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576C" w14:textId="77777777" w:rsidR="00215EF9" w:rsidRDefault="00000000" w:rsidP="00215EF9">
      <w:pPr>
        <w:pStyle w:val="Heading1"/>
        <w:jc w:val="center"/>
        <w:rPr>
          <w:rFonts w:eastAsia="Arial Unicode MS" w:cs="Arial"/>
          <w:i/>
          <w:iCs/>
          <w:u w:val="single"/>
        </w:rPr>
      </w:pPr>
      <w:bookmarkStart w:id="0" w:name="_Hlk185153556"/>
      <w:r>
        <w:rPr>
          <w:rFonts w:eastAsia="Arial Unicode MS" w:cs="Arial"/>
          <w:sz w:val="22"/>
        </w:rPr>
        <w:t xml:space="preserve"> </w:t>
      </w:r>
      <w:r w:rsidR="00215EF9" w:rsidRPr="00215EF9">
        <w:rPr>
          <w:rFonts w:eastAsia="Arial Unicode MS" w:cs="Arial"/>
          <w:i/>
          <w:iCs/>
          <w:u w:val="single"/>
        </w:rPr>
        <w:t>Original Research Article</w:t>
      </w:r>
    </w:p>
    <w:p w14:paraId="5CCEC4F4" w14:textId="77777777" w:rsidR="00215EF9" w:rsidRPr="00215EF9" w:rsidRDefault="00215EF9" w:rsidP="00215EF9"/>
    <w:p w14:paraId="34FA46E5" w14:textId="12C0C786" w:rsidR="00C640BF" w:rsidRDefault="00000000">
      <w:pPr>
        <w:pStyle w:val="Heading1"/>
        <w:jc w:val="center"/>
        <w:rPr>
          <w:rFonts w:eastAsia="Arial Unicode MS" w:cs="Arial"/>
          <w:sz w:val="22"/>
        </w:rPr>
      </w:pPr>
      <w:r>
        <w:rPr>
          <w:rFonts w:eastAsia="Arial Unicode MS" w:cs="Arial"/>
          <w:sz w:val="22"/>
        </w:rPr>
        <w:t>Establishment of a New early Diagnostic criteria for Dilutional Anemia using Maternal Total Plasma Proteins levels and Hemoglobin Concentrations Among Pregnant Women Attending Antenatal Clinic at University of Calabar Teaching Hospital, Calabar</w:t>
      </w:r>
      <w:bookmarkEnd w:id="0"/>
      <w:r>
        <w:rPr>
          <w:rFonts w:eastAsia="Arial Unicode MS" w:cs="Arial"/>
          <w:sz w:val="22"/>
        </w:rPr>
        <w:t>.</w:t>
      </w:r>
    </w:p>
    <w:p w14:paraId="7A3465BF" w14:textId="77777777" w:rsidR="005F1520" w:rsidRDefault="005F1520">
      <w:pPr>
        <w:pStyle w:val="Heading1"/>
        <w:rPr>
          <w:rFonts w:ascii="Times New Roman" w:hAnsi="Times New Roman" w:cs="Times New Roman"/>
          <w:b w:val="0"/>
          <w:i/>
          <w:sz w:val="14"/>
          <w:szCs w:val="20"/>
        </w:rPr>
      </w:pPr>
    </w:p>
    <w:p w14:paraId="2009EB36" w14:textId="77777777" w:rsidR="005F1520" w:rsidRDefault="005F1520">
      <w:pPr>
        <w:pStyle w:val="Heading1"/>
        <w:rPr>
          <w:rFonts w:ascii="Times New Roman" w:hAnsi="Times New Roman" w:cs="Times New Roman"/>
          <w:b w:val="0"/>
          <w:i/>
          <w:sz w:val="14"/>
          <w:szCs w:val="20"/>
        </w:rPr>
      </w:pPr>
    </w:p>
    <w:p w14:paraId="34B2E895" w14:textId="47303910" w:rsidR="00C640BF" w:rsidRDefault="00000000">
      <w:pPr>
        <w:pStyle w:val="Heading1"/>
        <w:rPr>
          <w:rFonts w:ascii="Times New Roman" w:hAnsi="Times New Roman" w:cs="Times New Roman"/>
          <w:b w:val="0"/>
          <w:i/>
          <w:sz w:val="14"/>
          <w:szCs w:val="20"/>
        </w:rPr>
      </w:pPr>
      <w:r>
        <w:rPr>
          <w:rFonts w:ascii="Times New Roman" w:hAnsi="Times New Roman" w:cs="Times New Roman"/>
          <w:b w:val="0"/>
          <w:i/>
          <w:sz w:val="14"/>
          <w:szCs w:val="20"/>
        </w:rPr>
        <w:t>.</w:t>
      </w:r>
    </w:p>
    <w:p w14:paraId="4E91742B" w14:textId="77777777" w:rsidR="00C640BF" w:rsidRDefault="00000000">
      <w:pPr>
        <w:pStyle w:val="Heading1"/>
        <w:rPr>
          <w:rFonts w:ascii="Times New Roman" w:eastAsia="Times New Roman" w:hAnsi="Times New Roman" w:cs="Times New Roman"/>
          <w:b w:val="0"/>
          <w:i/>
          <w:sz w:val="18"/>
          <w:szCs w:val="20"/>
        </w:rPr>
      </w:pPr>
      <w:r>
        <w:rPr>
          <w:rFonts w:ascii="Times New Roman" w:eastAsia="Times New Roman" w:hAnsi="Times New Roman" w:cs="Times New Roman"/>
          <w:b w:val="0"/>
          <w:i/>
          <w:sz w:val="18"/>
          <w:szCs w:val="20"/>
        </w:rPr>
        <w:t>------------------------------------------------------------------------------------------------------------------------------------------------------</w:t>
      </w:r>
    </w:p>
    <w:p w14:paraId="3D227FDF" w14:textId="77777777" w:rsidR="00C640BF" w:rsidRDefault="00000000">
      <w:pPr>
        <w:pStyle w:val="Heading1"/>
        <w:spacing w:line="360" w:lineRule="auto"/>
        <w:jc w:val="left"/>
        <w:rPr>
          <w:rFonts w:cs="Arial"/>
          <w:sz w:val="16"/>
          <w:szCs w:val="20"/>
        </w:rPr>
      </w:pPr>
      <w:r>
        <w:rPr>
          <w:rFonts w:cs="Arial"/>
          <w:sz w:val="16"/>
          <w:szCs w:val="20"/>
        </w:rPr>
        <w:t>Abstract:</w:t>
      </w:r>
    </w:p>
    <w:p w14:paraId="6F905737" w14:textId="77777777" w:rsidR="00C640BF" w:rsidRDefault="00000000">
      <w:pPr>
        <w:pStyle w:val="Heading1"/>
        <w:spacing w:line="360" w:lineRule="auto"/>
        <w:jc w:val="both"/>
        <w:rPr>
          <w:rFonts w:cs="Arial"/>
          <w:b w:val="0"/>
          <w:sz w:val="16"/>
          <w:szCs w:val="20"/>
        </w:rPr>
      </w:pPr>
      <w:r>
        <w:rPr>
          <w:rFonts w:cs="Arial"/>
          <w:sz w:val="16"/>
          <w:szCs w:val="20"/>
        </w:rPr>
        <w:t>Background</w:t>
      </w:r>
      <w:r>
        <w:rPr>
          <w:rFonts w:cs="Arial"/>
          <w:b w:val="0"/>
          <w:sz w:val="16"/>
          <w:szCs w:val="20"/>
        </w:rPr>
        <w:t xml:space="preserve">: Dilutional </w:t>
      </w:r>
      <w:proofErr w:type="spellStart"/>
      <w:r>
        <w:rPr>
          <w:rFonts w:cs="Arial"/>
          <w:b w:val="0"/>
          <w:sz w:val="16"/>
          <w:szCs w:val="20"/>
        </w:rPr>
        <w:t>anaemia</w:t>
      </w:r>
      <w:proofErr w:type="spellEnd"/>
      <w:r>
        <w:rPr>
          <w:rFonts w:cs="Arial"/>
          <w:b w:val="0"/>
          <w:sz w:val="16"/>
          <w:szCs w:val="20"/>
        </w:rPr>
        <w:t xml:space="preserve"> has been hypothesized to be a common complication in pregnancy usually  characterized by decreased hemoglobin concentration due to increased blood volume and changes in maternal total plasma protein level. However, accurate measurement of combined hemoglobin and total plasma protein levels are yet to be recognized by researchers  as early new diagnostic  criteria  parameters  for its, management and differentiation from other  types of gestational anemias </w:t>
      </w:r>
    </w:p>
    <w:p w14:paraId="0F6EC495" w14:textId="77777777" w:rsidR="00C640BF" w:rsidRDefault="00000000">
      <w:pPr>
        <w:pStyle w:val="Heading1"/>
        <w:spacing w:line="360" w:lineRule="auto"/>
        <w:jc w:val="both"/>
        <w:rPr>
          <w:rFonts w:cs="Arial"/>
          <w:b w:val="0"/>
          <w:sz w:val="16"/>
          <w:szCs w:val="20"/>
        </w:rPr>
      </w:pPr>
      <w:r>
        <w:rPr>
          <w:rFonts w:cs="Arial"/>
          <w:sz w:val="16"/>
          <w:szCs w:val="20"/>
        </w:rPr>
        <w:t>Objective</w:t>
      </w:r>
      <w:r>
        <w:rPr>
          <w:rFonts w:cs="Arial"/>
          <w:b w:val="0"/>
          <w:sz w:val="16"/>
          <w:szCs w:val="20"/>
        </w:rPr>
        <w:t>: T</w:t>
      </w:r>
      <w:bookmarkStart w:id="1" w:name="_Hlk185229222"/>
      <w:r>
        <w:rPr>
          <w:rFonts w:cs="Arial"/>
          <w:b w:val="0"/>
          <w:sz w:val="16"/>
          <w:szCs w:val="20"/>
        </w:rPr>
        <w:t xml:space="preserve">he index study was aimed at establishing a new early criterion for the diagnosis of  dilutional anemia using  maternal total plasma protein levels and maternal hemoglobin concentration </w:t>
      </w:r>
      <w:bookmarkStart w:id="2" w:name="_Hlk186127827"/>
      <w:r>
        <w:rPr>
          <w:rFonts w:cs="Arial"/>
          <w:b w:val="0"/>
          <w:sz w:val="16"/>
          <w:szCs w:val="20"/>
        </w:rPr>
        <w:t>estimated using five difference  types of hemoglobinometers</w:t>
      </w:r>
      <w:bookmarkEnd w:id="2"/>
      <w:r>
        <w:rPr>
          <w:rFonts w:cs="Arial"/>
          <w:b w:val="0"/>
          <w:sz w:val="16"/>
          <w:szCs w:val="20"/>
        </w:rPr>
        <w:t xml:space="preserve"> during the trimesters of pregnancy among pregnant women attending the Antenatal clinic at University of Calabar Teaching Hospital (UCTH) Calabar compare to  non-pregnant women. </w:t>
      </w:r>
    </w:p>
    <w:bookmarkEnd w:id="1"/>
    <w:p w14:paraId="27783550" w14:textId="77777777" w:rsidR="00C640BF" w:rsidRDefault="00000000">
      <w:pPr>
        <w:pStyle w:val="Heading1"/>
        <w:spacing w:line="360" w:lineRule="auto"/>
        <w:jc w:val="both"/>
        <w:rPr>
          <w:rFonts w:cs="Arial"/>
          <w:b w:val="0"/>
          <w:sz w:val="16"/>
          <w:szCs w:val="20"/>
        </w:rPr>
      </w:pPr>
      <w:r>
        <w:rPr>
          <w:rFonts w:cs="Arial"/>
          <w:sz w:val="16"/>
          <w:szCs w:val="20"/>
        </w:rPr>
        <w:t>Methods:</w:t>
      </w:r>
      <w:r>
        <w:rPr>
          <w:rFonts w:cs="Arial"/>
          <w:b w:val="0"/>
          <w:sz w:val="16"/>
          <w:szCs w:val="20"/>
        </w:rPr>
        <w:t xml:space="preserve"> This cross-sectional study involved 400 participants comprising of (n=200 registered pregnant women (50%) and n=200 non-pregnant women (50%) with ages from  18 years and above , who had been previously counseled and had completed an opened-ended, semi-structured self-administered questionnaire form after providing informed / written consent. All blood samples collected by standard methods, were analyzed for total plasma proteins levels using Biuret’s spectrophotometric method, while hemoglobin concentration was measured using </w:t>
      </w:r>
      <w:proofErr w:type="spellStart"/>
      <w:r>
        <w:rPr>
          <w:rFonts w:cs="Arial"/>
          <w:b w:val="0"/>
          <w:sz w:val="16"/>
          <w:szCs w:val="20"/>
        </w:rPr>
        <w:t>HemoCue</w:t>
      </w:r>
      <w:proofErr w:type="spellEnd"/>
      <w:r>
        <w:rPr>
          <w:rFonts w:cs="Arial"/>
          <w:b w:val="0"/>
          <w:sz w:val="16"/>
          <w:szCs w:val="20"/>
        </w:rPr>
        <w:t xml:space="preserve"> rapid diagnostic test, micro-hematocrit /Packed cell volume </w:t>
      </w:r>
      <w:r>
        <w:rPr>
          <w:rFonts w:cs="Arial"/>
          <w:b w:val="0"/>
          <w:iCs/>
          <w:sz w:val="16"/>
          <w:szCs w:val="20"/>
        </w:rPr>
        <w:t>(PCV)</w:t>
      </w:r>
      <w:r>
        <w:rPr>
          <w:rFonts w:cs="Arial"/>
          <w:b w:val="0"/>
          <w:sz w:val="16"/>
          <w:szCs w:val="20"/>
        </w:rPr>
        <w:t>, Copper sulphate (</w:t>
      </w:r>
      <w:r>
        <w:rPr>
          <w:rFonts w:cs="Arial"/>
          <w:b w:val="0"/>
          <w:iCs/>
          <w:sz w:val="16"/>
          <w:szCs w:val="20"/>
        </w:rPr>
        <w:t>CuSO</w:t>
      </w:r>
      <w:r>
        <w:rPr>
          <w:rFonts w:cs="Arial"/>
          <w:b w:val="0"/>
          <w:iCs/>
          <w:sz w:val="16"/>
          <w:szCs w:val="20"/>
          <w:vertAlign w:val="subscript"/>
        </w:rPr>
        <w:t>4</w:t>
      </w:r>
      <w:r>
        <w:rPr>
          <w:rFonts w:cs="Arial"/>
          <w:b w:val="0"/>
          <w:iCs/>
          <w:sz w:val="16"/>
          <w:szCs w:val="20"/>
        </w:rPr>
        <w:t xml:space="preserve">) gravimetric </w:t>
      </w:r>
      <w:r>
        <w:rPr>
          <w:rFonts w:cs="Arial"/>
          <w:b w:val="0"/>
          <w:sz w:val="16"/>
          <w:szCs w:val="20"/>
        </w:rPr>
        <w:t xml:space="preserve">method, </w:t>
      </w:r>
      <w:proofErr w:type="spellStart"/>
      <w:r>
        <w:rPr>
          <w:rFonts w:cs="Arial"/>
          <w:b w:val="0"/>
          <w:sz w:val="16"/>
          <w:szCs w:val="20"/>
        </w:rPr>
        <w:t>Tallquist’s</w:t>
      </w:r>
      <w:proofErr w:type="spellEnd"/>
      <w:r>
        <w:rPr>
          <w:rFonts w:cs="Arial"/>
          <w:b w:val="0"/>
          <w:sz w:val="16"/>
          <w:szCs w:val="20"/>
        </w:rPr>
        <w:t xml:space="preserve"> hemoglobin scale and Sahli’s method (also called as acid hematin method which is the visual comparator method for the estimation of hemoglobin). </w:t>
      </w:r>
    </w:p>
    <w:p w14:paraId="49A205D8" w14:textId="77777777" w:rsidR="00C640BF" w:rsidRDefault="00000000">
      <w:pPr>
        <w:pStyle w:val="Heading1"/>
        <w:spacing w:line="360" w:lineRule="auto"/>
        <w:jc w:val="both"/>
        <w:rPr>
          <w:rFonts w:cs="Arial"/>
          <w:b w:val="0"/>
          <w:sz w:val="16"/>
          <w:szCs w:val="20"/>
        </w:rPr>
      </w:pPr>
      <w:r>
        <w:rPr>
          <w:rFonts w:cs="Arial"/>
          <w:sz w:val="16"/>
          <w:szCs w:val="20"/>
        </w:rPr>
        <w:t>Key findings</w:t>
      </w:r>
      <w:r>
        <w:rPr>
          <w:rFonts w:cs="Arial"/>
          <w:b w:val="0"/>
          <w:sz w:val="16"/>
          <w:szCs w:val="20"/>
        </w:rPr>
        <w:t>: This study highlights the importance of accurate hemoglobin concentration measurement throughout the three trimesters of pregnancy using reliable five different types of point of care testing rapid diagnostic hemoglobinometers. The combined  hemoglobin concentration and total plasma protein levels suggests additional potential utility in diagnosing dilutional anemia among pregnant women compared to non-pregnant women.</w:t>
      </w:r>
    </w:p>
    <w:p w14:paraId="67C709C1" w14:textId="77777777" w:rsidR="00C640BF" w:rsidRDefault="00000000">
      <w:pPr>
        <w:spacing w:after="0" w:line="360" w:lineRule="auto"/>
        <w:jc w:val="both"/>
        <w:rPr>
          <w:rFonts w:ascii="Arial" w:eastAsia="Times New Roman" w:hAnsi="Arial" w:cs="Arial"/>
          <w:bCs/>
          <w:kern w:val="36"/>
          <w:sz w:val="16"/>
          <w:szCs w:val="20"/>
        </w:rPr>
      </w:pPr>
      <w:r>
        <w:rPr>
          <w:rFonts w:cs="Arial"/>
          <w:b/>
          <w:sz w:val="18"/>
          <w:szCs w:val="20"/>
        </w:rPr>
        <w:t xml:space="preserve">Results: </w:t>
      </w:r>
      <w:bookmarkStart w:id="3" w:name="_Hlk186396642"/>
      <w:r>
        <w:rPr>
          <w:rFonts w:ascii="Arial" w:eastAsia="Times New Roman" w:hAnsi="Arial" w:cs="Arial"/>
          <w:bCs/>
          <w:iCs/>
          <w:kern w:val="36"/>
          <w:sz w:val="16"/>
          <w:szCs w:val="20"/>
        </w:rPr>
        <w:t>The Mean age ± SD (years) for pregnant women  was 24.99±1.01 compared to  nonpregnant women  29.95±7.85</w:t>
      </w:r>
      <w:r>
        <w:rPr>
          <w:rFonts w:ascii="Arial" w:eastAsia="Times New Roman" w:hAnsi="Arial" w:cs="Arial"/>
          <w:bCs/>
          <w:iCs/>
          <w:kern w:val="36"/>
          <w:sz w:val="16"/>
          <w:szCs w:val="20"/>
          <w:lang w:bidi="en-US"/>
        </w:rPr>
        <w:t xml:space="preserve"> with statistically</w:t>
      </w:r>
      <w:r>
        <w:rPr>
          <w:rFonts w:ascii="Arial" w:eastAsia="Times New Roman" w:hAnsi="Arial" w:cs="Arial"/>
          <w:bCs/>
          <w:iCs/>
          <w:kern w:val="36"/>
          <w:sz w:val="16"/>
          <w:szCs w:val="20"/>
        </w:rPr>
        <w:t xml:space="preserve"> significant difference between ages (P&lt;0.05, t=7.2822, P=0.0001).</w:t>
      </w:r>
      <w:r>
        <w:rPr>
          <w:rFonts w:ascii="Arial" w:eastAsia="Microsoft YaHei" w:hAnsi="Arial" w:cs="Arial"/>
          <w:iCs/>
          <w:sz w:val="16"/>
          <w:szCs w:val="16"/>
        </w:rPr>
        <w:t>The mean value plus one standard deviation (X±SD) of total plasma protein (TPP) levels in g/dl for first ,second, third trimesters  and total for  pregnant women at which dilution anemia occurred  were  6.47 ± 0.88, 5.7± 0.76, 5.6 ± 0.67 and  5.92 ± 0.77 respectively compared to  7.48±.79  for non-pregnant women. The mean value plus one standard deviation of hemoglobin concentration in g/dl per trimester using the five different type of hemoglobinometers at which dilutional anemia occurred  were  12.77±.52,11.4±.23,10.9±.89 and 10.98±.36 respectively for pregnant women compared to 12.84±1.7 for nonpregnant women .</w:t>
      </w:r>
      <w:r>
        <w:rPr>
          <w:rFonts w:cs="Arial"/>
          <w:b/>
          <w:sz w:val="16"/>
          <w:szCs w:val="20"/>
        </w:rPr>
        <w:t xml:space="preserve"> </w:t>
      </w:r>
      <w:r>
        <w:rPr>
          <w:rFonts w:ascii="Arial" w:eastAsia="Microsoft YaHei" w:hAnsi="Arial" w:cs="Arial"/>
          <w:iCs/>
          <w:sz w:val="16"/>
          <w:szCs w:val="16"/>
        </w:rPr>
        <w:t xml:space="preserve">The prevalence of dilutional anemia was significantly higher </w:t>
      </w:r>
      <w:bookmarkStart w:id="4" w:name="_Hlk185791631"/>
      <w:r>
        <w:rPr>
          <w:rFonts w:ascii="Arial" w:eastAsia="Microsoft YaHei" w:hAnsi="Arial" w:cs="Arial"/>
          <w:iCs/>
          <w:sz w:val="16"/>
          <w:szCs w:val="16"/>
        </w:rPr>
        <w:t>among pregnant women (03.5%) compared to non-pregnant women (1.5%)</w:t>
      </w:r>
      <w:bookmarkEnd w:id="3"/>
      <w:bookmarkEnd w:id="4"/>
      <w:r>
        <w:rPr>
          <w:rFonts w:ascii="Arial" w:eastAsia="Microsoft YaHei" w:hAnsi="Arial" w:cs="Arial"/>
          <w:iCs/>
          <w:sz w:val="16"/>
          <w:szCs w:val="16"/>
        </w:rPr>
        <w:t>.</w:t>
      </w:r>
    </w:p>
    <w:p w14:paraId="59CE2C98" w14:textId="77777777" w:rsidR="00C640BF" w:rsidRDefault="00000000">
      <w:pPr>
        <w:pStyle w:val="Heading1"/>
        <w:spacing w:line="360" w:lineRule="auto"/>
        <w:jc w:val="both"/>
        <w:rPr>
          <w:rFonts w:cs="Arial"/>
          <w:b w:val="0"/>
          <w:sz w:val="16"/>
          <w:szCs w:val="20"/>
        </w:rPr>
      </w:pPr>
      <w:r>
        <w:rPr>
          <w:rFonts w:cs="Arial"/>
          <w:sz w:val="16"/>
          <w:szCs w:val="20"/>
        </w:rPr>
        <w:t>Keywords: new criteria,  diagnosis of  dilutional anemia, hemoglobin concentration, total plasma protein, pregnant women, non-pregnant women , five hemoglobinometers types</w:t>
      </w:r>
      <w:r>
        <w:rPr>
          <w:rFonts w:cs="Arial"/>
          <w:b w:val="0"/>
          <w:sz w:val="16"/>
          <w:szCs w:val="20"/>
        </w:rPr>
        <w:t>.</w:t>
      </w:r>
    </w:p>
    <w:p w14:paraId="5591AA3F" w14:textId="77777777" w:rsidR="00C640BF" w:rsidRDefault="00C640BF">
      <w:pPr>
        <w:spacing w:line="360" w:lineRule="auto"/>
        <w:jc w:val="both"/>
        <w:rPr>
          <w:rFonts w:ascii="Arial" w:hAnsi="Arial" w:cs="Arial"/>
          <w:b/>
          <w:sz w:val="16"/>
          <w:szCs w:val="20"/>
        </w:rPr>
      </w:pPr>
    </w:p>
    <w:p w14:paraId="503D035C" w14:textId="77777777" w:rsidR="00C640BF" w:rsidRDefault="00000000">
      <w:pPr>
        <w:pStyle w:val="ListParagraph"/>
        <w:numPr>
          <w:ilvl w:val="0"/>
          <w:numId w:val="1"/>
        </w:numPr>
        <w:spacing w:line="360" w:lineRule="auto"/>
        <w:jc w:val="both"/>
        <w:rPr>
          <w:rFonts w:ascii="Arial" w:hAnsi="Arial" w:cs="Arial"/>
          <w:b/>
          <w:sz w:val="16"/>
          <w:szCs w:val="20"/>
        </w:rPr>
      </w:pPr>
      <w:r>
        <w:rPr>
          <w:rFonts w:ascii="Arial" w:hAnsi="Arial" w:cs="Arial"/>
          <w:b/>
          <w:sz w:val="16"/>
          <w:szCs w:val="20"/>
        </w:rPr>
        <w:t xml:space="preserve">INTRODUCTION </w:t>
      </w:r>
    </w:p>
    <w:p w14:paraId="4FB6BD68" w14:textId="77777777" w:rsidR="00C640BF" w:rsidRDefault="00000000">
      <w:pPr>
        <w:spacing w:after="0" w:line="360" w:lineRule="auto"/>
        <w:jc w:val="both"/>
        <w:rPr>
          <w:rFonts w:ascii="Arial" w:hAnsi="Arial" w:cs="Arial"/>
          <w:sz w:val="16"/>
          <w:szCs w:val="20"/>
        </w:rPr>
      </w:pPr>
      <w:r>
        <w:rPr>
          <w:rFonts w:ascii="Arial" w:hAnsi="Arial" w:cs="Arial"/>
          <w:sz w:val="16"/>
          <w:szCs w:val="20"/>
        </w:rPr>
        <w:t xml:space="preserve">Pregnancy is a state of having implanted products of conception located either in the uterus or elsewhere in the body and usually ends through either spontaneous or elective abortion or delivery [1]. Since 1965, the American College of Obstetricians and Gynecologists (ACOG) have defined pregnancy as beginning when an embryo implants in the uterine wall and this definition have been accepted by many researchers worldwide [2,3,4,5,6,7]. During the duration of period of pregnancy, the mother’s body goes through immense changes involving all organ systems to sustain the growing fetus [8]. All medical providers must be aware of these alterations present in pregnancy to be able to provide the best possible care for both mother and fetus [9]. Pregnancy usually lasts about 40 weeks, or just over 9 months, as measured from the last menstrual period to delivery. Health care providers </w:t>
      </w:r>
      <w:r>
        <w:rPr>
          <w:rFonts w:ascii="Arial" w:hAnsi="Arial" w:cs="Arial"/>
          <w:sz w:val="16"/>
          <w:szCs w:val="20"/>
        </w:rPr>
        <w:lastRenderedPageBreak/>
        <w:t>refer to three segments of pregnancy as “trimesters” [10]. The events of the first trimesters starts from one week to week 12 and lead to pregnancy beginning with conception or fertilization in which a sperm penetrates an egg. The fertilized egg (called a zygote) then travels through the woman's fallopian tube to the uterus, where it implants itself in the uterine wall. The zygote is made up of a cluster of cells that later form the fetus and the placenta. The placenta connects the mother to the fetus and provides nutrients and oxygen to the fetus [11]. The second trimester covers week 13 to week 28. Between 18 and 20 weeks, represent the typical timing for ultrasound to look for congenital anomalies and also to find out the sex of the index baby. At 20 weeks, a woman may begin to feel fetal movements. At 24 weeks, footprints and fingerprints have formed and the fetus sleeps and wakes regularly. According to research from the NICHD Neonatal Research Network, the survival rate for babies born at 28 weeks was 92%, although those born at this time will likely still experience serious health complications, including respiratory and neurologic problems [12]. The third trimester starts from week 29 to week 40. At 32 weeks, the bones are soft and yet almost fully formed, and the eyes can open and close. Infants born before 37 weeks are considered preterm. These children are at increased risk for problems such as developmental delays, vision and hearing problems, and cerebral palsy. Infants born between 34 and 36 weeks of pregnancy are considered to be "late preterm"[13]. Infants born in the 37</w:t>
      </w:r>
      <w:r>
        <w:rPr>
          <w:rFonts w:ascii="Arial" w:hAnsi="Arial" w:cs="Arial"/>
          <w:sz w:val="16"/>
          <w:szCs w:val="20"/>
          <w:vertAlign w:val="superscript"/>
        </w:rPr>
        <w:t>th</w:t>
      </w:r>
      <w:r>
        <w:rPr>
          <w:rFonts w:ascii="Arial" w:hAnsi="Arial" w:cs="Arial"/>
          <w:sz w:val="16"/>
          <w:szCs w:val="20"/>
        </w:rPr>
        <w:t xml:space="preserve"> and 38</w:t>
      </w:r>
      <w:r>
        <w:rPr>
          <w:rFonts w:ascii="Arial" w:hAnsi="Arial" w:cs="Arial"/>
          <w:sz w:val="16"/>
          <w:szCs w:val="20"/>
          <w:vertAlign w:val="superscript"/>
        </w:rPr>
        <w:t>th</w:t>
      </w:r>
      <w:r>
        <w:rPr>
          <w:rFonts w:ascii="Arial" w:hAnsi="Arial" w:cs="Arial"/>
          <w:sz w:val="16"/>
          <w:szCs w:val="20"/>
        </w:rPr>
        <w:t xml:space="preserve"> weeks of pregnancy—previously considered “term”—are now considered "early term." These infants face more health risks than infants who are born at 39</w:t>
      </w:r>
      <w:r>
        <w:rPr>
          <w:rFonts w:ascii="Arial" w:hAnsi="Arial" w:cs="Arial"/>
          <w:sz w:val="16"/>
          <w:szCs w:val="20"/>
          <w:vertAlign w:val="superscript"/>
        </w:rPr>
        <w:t>th</w:t>
      </w:r>
      <w:r>
        <w:rPr>
          <w:rFonts w:ascii="Arial" w:hAnsi="Arial" w:cs="Arial"/>
          <w:sz w:val="16"/>
          <w:szCs w:val="20"/>
        </w:rPr>
        <w:t xml:space="preserve"> weeks or later 40</w:t>
      </w:r>
      <w:r>
        <w:rPr>
          <w:rFonts w:ascii="Arial" w:hAnsi="Arial" w:cs="Arial"/>
          <w:sz w:val="16"/>
          <w:szCs w:val="20"/>
          <w:vertAlign w:val="superscript"/>
        </w:rPr>
        <w:t>th</w:t>
      </w:r>
      <w:r>
        <w:rPr>
          <w:rFonts w:ascii="Arial" w:hAnsi="Arial" w:cs="Arial"/>
          <w:sz w:val="16"/>
          <w:szCs w:val="20"/>
        </w:rPr>
        <w:t>weeks, is now considered “full term” [14]. Full-term infants have better health outcomes than do infants born earlier or, in some cases, later than this period. Therefore, if there is no medical reason to deliver earlier, it is best to deliver at or after 39 weeks to give the infant's lungs, brain, and liver time to fully develop [15,16]. Infants born at 41 weeks through 41 weeks and 6 days are considered “late term”, while those infants born at 42 weeks and beyond are considered “post-term”</w:t>
      </w:r>
      <w:r>
        <w:rPr>
          <w:rFonts w:ascii="Arial" w:hAnsi="Arial" w:cs="Arial"/>
          <w:sz w:val="16"/>
          <w:szCs w:val="20"/>
          <w:vertAlign w:val="superscript"/>
        </w:rPr>
        <w:t xml:space="preserve"> </w:t>
      </w:r>
      <w:bookmarkStart w:id="5" w:name="_Hlk185234708"/>
      <w:r>
        <w:rPr>
          <w:rFonts w:ascii="Arial" w:hAnsi="Arial" w:cs="Arial"/>
          <w:sz w:val="16"/>
          <w:szCs w:val="20"/>
        </w:rPr>
        <w:t>[17].</w:t>
      </w:r>
      <w:bookmarkEnd w:id="5"/>
    </w:p>
    <w:p w14:paraId="308D2895" w14:textId="77777777" w:rsidR="00C640BF" w:rsidRDefault="00000000">
      <w:pPr>
        <w:spacing w:after="0" w:line="360" w:lineRule="auto"/>
        <w:jc w:val="both"/>
        <w:rPr>
          <w:rFonts w:ascii="Arial" w:hAnsi="Arial" w:cs="Arial"/>
          <w:color w:val="000000"/>
          <w:sz w:val="16"/>
          <w:szCs w:val="20"/>
        </w:rPr>
      </w:pPr>
      <w:r>
        <w:rPr>
          <w:rFonts w:ascii="Arial" w:hAnsi="Arial" w:cs="Arial"/>
          <w:sz w:val="16"/>
          <w:szCs w:val="20"/>
        </w:rPr>
        <w:t xml:space="preserve"> Epidemiologically, about 213 million pregnancies occurred in 2012, of which, 190 million (89%) were in the less developing countries of the world and 23 million (11%) were in the developed countries of the world. The number of pregnancies in women with ages between 15 and 44 were 133 per 1,000 women [18]. According to recent study an estimated number of pregnancies worldwide each year stands at 208 million, with 46% of them being unintended. According to another study published in 2023, reported that the global adolescent birth rate (ABR) was 41.3% births per 1,000 women aged between 15–19 years and this was lower from 64.5% in 2000 [19]. Similarly , the number of births in the United States was 3,596,017, which recoded  2% decrease from 2022 and  the general fertility rate for the United States in 2023 was 54.5% births per 1,000 females ages between 15–44 years, which also  recorded a 3% decrease from 2022 [20]. About 10% to 15% of recognized pregnancies end in </w:t>
      </w:r>
      <w:hyperlink r:id="rId7" w:tooltip="Miscarriage" w:history="1">
        <w:r w:rsidR="00C640BF">
          <w:rPr>
            <w:rStyle w:val="Hyperlink"/>
            <w:rFonts w:ascii="Arial" w:hAnsi="Arial" w:cs="Arial"/>
            <w:color w:val="000000"/>
            <w:sz w:val="16"/>
            <w:szCs w:val="20"/>
            <w:u w:val="none"/>
          </w:rPr>
          <w:t>miscarriage</w:t>
        </w:r>
      </w:hyperlink>
      <w:r>
        <w:rPr>
          <w:rFonts w:ascii="Arial" w:hAnsi="Arial" w:cs="Arial"/>
          <w:color w:val="000000"/>
          <w:sz w:val="16"/>
          <w:szCs w:val="20"/>
        </w:rPr>
        <w:t xml:space="preserve"> [21]. In 2016, complication of pregnancy resulted in 230,600 maternal death, down from 377,000 deaths in 1990. Common causes include different types of  anemias that resulted from bleeding  , </w:t>
      </w:r>
      <w:hyperlink r:id="rId8" w:tooltip="Postpartum infections" w:history="1">
        <w:r w:rsidR="00C640BF">
          <w:rPr>
            <w:rStyle w:val="Hyperlink"/>
            <w:rFonts w:ascii="Arial" w:hAnsi="Arial" w:cs="Arial"/>
            <w:color w:val="000000"/>
            <w:sz w:val="16"/>
            <w:szCs w:val="20"/>
            <w:u w:val="none"/>
          </w:rPr>
          <w:t>infections</w:t>
        </w:r>
      </w:hyperlink>
      <w:r>
        <w:rPr>
          <w:rFonts w:ascii="Arial" w:hAnsi="Arial" w:cs="Arial"/>
          <w:color w:val="000000"/>
          <w:sz w:val="16"/>
          <w:szCs w:val="20"/>
        </w:rPr>
        <w:t xml:space="preserve">, hypertensive diseases  in pregnancy, obstructed labor, miscarriage, abortion, or ectopic  pregnancy [22]. Globally, 44% of pregnancies are unplanned and more than half (56%) of unplanned pregnancies are aborted [23]. Among unintended pregnancies in the United States, 60% of the women used birth control to some extent during the month pregnancy began [24]. This is in sharp contrast to Nigeria pregnancy data , that recorded a total of 10,500,000 pregnancies annually in 2015 to 2019, and  with 2,990,000 being  unintended and 1,430,000 ended in abortion [25]. </w:t>
      </w:r>
    </w:p>
    <w:p w14:paraId="325AA1E3" w14:textId="77777777" w:rsidR="00C640BF" w:rsidRDefault="00000000">
      <w:pPr>
        <w:spacing w:line="360" w:lineRule="auto"/>
        <w:jc w:val="both"/>
        <w:rPr>
          <w:rFonts w:ascii="Arial" w:hAnsi="Arial" w:cs="Arial"/>
          <w:sz w:val="16"/>
          <w:szCs w:val="20"/>
        </w:rPr>
      </w:pPr>
      <w:r>
        <w:rPr>
          <w:rFonts w:ascii="Arial" w:hAnsi="Arial" w:cs="Arial"/>
          <w:b/>
          <w:sz w:val="16"/>
          <w:szCs w:val="20"/>
        </w:rPr>
        <w:t xml:space="preserve">Statement of the problem </w:t>
      </w:r>
    </w:p>
    <w:p w14:paraId="5A015F6C" w14:textId="77777777" w:rsidR="00C640BF" w:rsidRDefault="00000000">
      <w:pPr>
        <w:spacing w:line="360" w:lineRule="auto"/>
        <w:jc w:val="both"/>
        <w:rPr>
          <w:rFonts w:ascii="Arial" w:hAnsi="Arial" w:cs="Arial"/>
          <w:sz w:val="16"/>
          <w:szCs w:val="20"/>
        </w:rPr>
      </w:pPr>
      <w:r>
        <w:rPr>
          <w:rFonts w:ascii="Arial" w:hAnsi="Arial" w:cs="Arial"/>
          <w:sz w:val="16"/>
          <w:szCs w:val="20"/>
        </w:rPr>
        <w:t xml:space="preserve">Anemia has been considered as one of the most frequent complications related to pregnancy [26]. Normal physiologic changes in pregnancy affect the hemoglobin (Hb) and studies have shown that there is a relative or absolute reduction in Hb concentration. The most common true anemias during pregnancy is gestational </w:t>
      </w:r>
      <w:proofErr w:type="spellStart"/>
      <w:r>
        <w:rPr>
          <w:rFonts w:ascii="Arial" w:hAnsi="Arial" w:cs="Arial"/>
          <w:sz w:val="16"/>
          <w:szCs w:val="20"/>
        </w:rPr>
        <w:t>anaemia</w:t>
      </w:r>
      <w:proofErr w:type="spellEnd"/>
      <w:r>
        <w:rPr>
          <w:rFonts w:ascii="Arial" w:hAnsi="Arial" w:cs="Arial"/>
          <w:sz w:val="16"/>
          <w:szCs w:val="20"/>
        </w:rPr>
        <w:t xml:space="preserve">, defined as hemoglobin level below 11g/dl, which is caused by iron deficiency anemia (approximately 75%) and folate deficiency megaloblastic anemia, which are more common in women who have inadequate diets and who are not receiving prenatal iron and folate supplements. It is associated with severe anemia which may have adverse effects on the mother and the fetus. Anemia with hemoglobin levels less than 6 g/dl is associated with poor pregnancy outcome such as prematurity, spontaneous abortions, low birth weight, and fetal deaths are complications of severe maternal anemia. Nevertheless, a mild to moderate iron deficiency does not appear to cause a significant effect on fetal hemoglobin concentration. An Hb level of 11 g/dl in the late first trimester and also of 10 g/dl in the second and third trimesters are suggested as lower limits for Hb concentration. In an iron-deficient state, iron supplementation must be given and follow-up is indicated to diagnose iron-unresponsive anemias [27].  Dilutional </w:t>
      </w:r>
      <w:proofErr w:type="spellStart"/>
      <w:r>
        <w:rPr>
          <w:rFonts w:ascii="Arial" w:hAnsi="Arial" w:cs="Arial"/>
          <w:sz w:val="16"/>
          <w:szCs w:val="20"/>
        </w:rPr>
        <w:t>anaemia</w:t>
      </w:r>
      <w:proofErr w:type="spellEnd"/>
      <w:r>
        <w:rPr>
          <w:rFonts w:ascii="Arial" w:hAnsi="Arial" w:cs="Arial"/>
          <w:sz w:val="16"/>
          <w:szCs w:val="20"/>
        </w:rPr>
        <w:t xml:space="preserve"> also known as physiologic anemia of pregnancy is one of the most common cause of anemia in pregnancy and may be caused by other pathological conditions which are well contrasted and distinguished from gestational </w:t>
      </w:r>
      <w:proofErr w:type="spellStart"/>
      <w:r>
        <w:rPr>
          <w:rFonts w:ascii="Arial" w:hAnsi="Arial" w:cs="Arial"/>
          <w:sz w:val="16"/>
          <w:szCs w:val="20"/>
        </w:rPr>
        <w:t>anaemia</w:t>
      </w:r>
      <w:proofErr w:type="spellEnd"/>
      <w:r>
        <w:rPr>
          <w:rFonts w:ascii="Arial" w:hAnsi="Arial" w:cs="Arial"/>
          <w:sz w:val="16"/>
          <w:szCs w:val="20"/>
        </w:rPr>
        <w:t xml:space="preserve">. It may be cause by chronic inflammatory conditions such as infectious disease, autoimmune diseases, chronic kidney diseases and malignancies, thus leading to increased plasma volume expansion [28,29].During  pregnancy, the RBC volume increases by 20% to 30%, while the plasma volume increases by 45 to 55%. This disproportionate volume increase leads to dilutional anemia with decreased hematocrit. WBC count increases to 6 to 16 </w:t>
      </w:r>
      <w:r>
        <w:rPr>
          <w:rFonts w:ascii="Arial" w:hAnsi="Arial" w:cs="Arial"/>
          <w:sz w:val="16"/>
          <w:szCs w:val="20"/>
        </w:rPr>
        <w:lastRenderedPageBreak/>
        <w:t>million/mL and can be as high as 20 million/mL during and shortly after labor. Platelet concentration decreases slightly due to the increased plasma volume but typically stays within normal limits. A small proportion of women (5 to 10%) will have platelet levels between 100 and 150 billion/L without any pathology present. Fibrinogen and factors VII – X levels increase, but the clotting and bleeding times remain unchanged. However, increased venous stasis and damaged vessel endothelium result in higher rates of thromboembolic events during pregnancy. The increase in the risk of thromboembolic events starts in the first trimester and continues at least 12 weeks postpartum [28,29].</w:t>
      </w:r>
      <w:r>
        <w:rPr>
          <w:rFonts w:ascii="Arial" w:hAnsi="Arial" w:cs="Arial"/>
          <w:b/>
          <w:bCs/>
          <w:sz w:val="16"/>
          <w:szCs w:val="20"/>
          <w:lang w:eastAsia="zh-CN"/>
        </w:rPr>
        <w:t xml:space="preserve"> </w:t>
      </w:r>
      <w:r>
        <w:rPr>
          <w:rFonts w:ascii="Arial" w:hAnsi="Arial" w:cs="Arial"/>
          <w:sz w:val="16"/>
          <w:szCs w:val="20"/>
        </w:rPr>
        <w:t xml:space="preserve">Assessment of hemoglobin is one of the most reliable indicators for anemia, and is widely used to screen for anemia among pregnant women and others pathological condition involving shortages of blood. The </w:t>
      </w:r>
      <w:proofErr w:type="spellStart"/>
      <w:r>
        <w:rPr>
          <w:rFonts w:ascii="Arial" w:hAnsi="Arial" w:cs="Arial"/>
          <w:sz w:val="16"/>
          <w:szCs w:val="20"/>
        </w:rPr>
        <w:t>HemoCue</w:t>
      </w:r>
      <w:proofErr w:type="spellEnd"/>
      <w:r>
        <w:rPr>
          <w:rFonts w:ascii="Arial" w:hAnsi="Arial" w:cs="Arial"/>
          <w:sz w:val="16"/>
          <w:szCs w:val="20"/>
        </w:rPr>
        <w:t xml:space="preserve">, Packed cell volume </w:t>
      </w:r>
      <w:r>
        <w:rPr>
          <w:rFonts w:ascii="Arial" w:hAnsi="Arial" w:cs="Arial"/>
          <w:iCs/>
          <w:sz w:val="16"/>
          <w:szCs w:val="20"/>
        </w:rPr>
        <w:t>(PCV)</w:t>
      </w:r>
      <w:r>
        <w:rPr>
          <w:rFonts w:ascii="Arial" w:hAnsi="Arial" w:cs="Arial"/>
          <w:sz w:val="16"/>
          <w:szCs w:val="20"/>
        </w:rPr>
        <w:t xml:space="preserve"> micro-hematocrit, Copper sulphate (</w:t>
      </w:r>
      <w:r>
        <w:rPr>
          <w:rFonts w:ascii="Arial" w:hAnsi="Arial" w:cs="Arial"/>
          <w:iCs/>
          <w:sz w:val="16"/>
          <w:szCs w:val="20"/>
        </w:rPr>
        <w:t>CuSO</w:t>
      </w:r>
      <w:r>
        <w:rPr>
          <w:rFonts w:ascii="Arial" w:hAnsi="Arial" w:cs="Arial"/>
          <w:iCs/>
          <w:sz w:val="16"/>
          <w:szCs w:val="20"/>
          <w:vertAlign w:val="subscript"/>
        </w:rPr>
        <w:t>4</w:t>
      </w:r>
      <w:r>
        <w:rPr>
          <w:rFonts w:ascii="Arial" w:hAnsi="Arial" w:cs="Arial"/>
          <w:iCs/>
          <w:sz w:val="16"/>
          <w:szCs w:val="20"/>
        </w:rPr>
        <w:t xml:space="preserve">) gravimetric </w:t>
      </w:r>
      <w:r>
        <w:rPr>
          <w:rFonts w:ascii="Arial" w:hAnsi="Arial" w:cs="Arial"/>
          <w:sz w:val="16"/>
          <w:szCs w:val="20"/>
        </w:rPr>
        <w:t xml:space="preserve">method, </w:t>
      </w:r>
      <w:proofErr w:type="spellStart"/>
      <w:r>
        <w:rPr>
          <w:rFonts w:ascii="Arial" w:hAnsi="Arial" w:cs="Arial"/>
          <w:bCs/>
          <w:sz w:val="16"/>
          <w:szCs w:val="20"/>
        </w:rPr>
        <w:t>Tallquist’s</w:t>
      </w:r>
      <w:proofErr w:type="spellEnd"/>
      <w:r>
        <w:rPr>
          <w:rFonts w:ascii="Arial" w:hAnsi="Arial" w:cs="Arial"/>
          <w:bCs/>
          <w:sz w:val="16"/>
          <w:szCs w:val="20"/>
        </w:rPr>
        <w:t xml:space="preserve"> hemoglobin scale and Sahli’s method </w:t>
      </w:r>
      <w:r>
        <w:rPr>
          <w:rFonts w:ascii="Arial" w:hAnsi="Arial" w:cs="Arial"/>
          <w:sz w:val="16"/>
          <w:szCs w:val="20"/>
        </w:rPr>
        <w:t>had been widely used as a point-of-care devices for hemoglobin estimation in some health facilities that are considered as resource-poor setting where there is no availability of power supply or electricity. In recent time high or low levels of total plasma proteins have been hypothesized to have significance effects on the accuracy of the results from these instruments [30].</w:t>
      </w:r>
      <w:r>
        <w:rPr>
          <w:rFonts w:ascii="Arial" w:hAnsi="Arial" w:cs="Arial"/>
          <w:b/>
          <w:sz w:val="16"/>
          <w:szCs w:val="20"/>
        </w:rPr>
        <w:t xml:space="preserve"> </w:t>
      </w:r>
    </w:p>
    <w:p w14:paraId="01B6A9E6" w14:textId="77777777" w:rsidR="00C640BF" w:rsidRDefault="00000000">
      <w:pPr>
        <w:spacing w:line="360" w:lineRule="auto"/>
        <w:jc w:val="both"/>
        <w:rPr>
          <w:rFonts w:ascii="Arial" w:hAnsi="Arial" w:cs="Arial"/>
          <w:b/>
          <w:sz w:val="16"/>
          <w:szCs w:val="20"/>
        </w:rPr>
      </w:pPr>
      <w:r>
        <w:rPr>
          <w:rFonts w:ascii="Arial" w:hAnsi="Arial" w:cs="Arial"/>
          <w:b/>
          <w:sz w:val="16"/>
          <w:szCs w:val="20"/>
        </w:rPr>
        <w:t xml:space="preserve">Justification and rational of the study  </w:t>
      </w:r>
    </w:p>
    <w:p w14:paraId="57A0931A" w14:textId="77777777" w:rsidR="00C640BF" w:rsidRDefault="00000000">
      <w:pPr>
        <w:spacing w:line="360" w:lineRule="auto"/>
        <w:jc w:val="both"/>
        <w:rPr>
          <w:rFonts w:ascii="Arial" w:hAnsi="Arial" w:cs="Arial"/>
          <w:sz w:val="16"/>
          <w:szCs w:val="20"/>
        </w:rPr>
      </w:pPr>
      <w:r>
        <w:rPr>
          <w:rFonts w:ascii="Arial" w:hAnsi="Arial" w:cs="Arial"/>
          <w:sz w:val="16"/>
          <w:szCs w:val="20"/>
        </w:rPr>
        <w:t xml:space="preserve">During normal pregnancy, there is a greater expansion of the plasma volume relative to the increase in the red cell mass, which results in dilutional anemia, termed as the physiologic anemia of pregnancy. Although this type of anemia is mild (hemoglobin of 10 to 11 g/dl), there is no specific hemoglobin or hematocrit value that can distinguish physiologic anemia from other causes of anemia in pregnancy such as gestational </w:t>
      </w:r>
      <w:proofErr w:type="spellStart"/>
      <w:r>
        <w:rPr>
          <w:rFonts w:ascii="Arial" w:hAnsi="Arial" w:cs="Arial"/>
          <w:sz w:val="16"/>
          <w:szCs w:val="20"/>
        </w:rPr>
        <w:t>anaemia</w:t>
      </w:r>
      <w:proofErr w:type="spellEnd"/>
      <w:r>
        <w:rPr>
          <w:rFonts w:ascii="Arial" w:hAnsi="Arial" w:cs="Arial"/>
          <w:sz w:val="16"/>
          <w:szCs w:val="20"/>
        </w:rPr>
        <w:t xml:space="preserve"> [31,32].More so there is paucity of knowledge on the  relationship between dilutional anemia, maternal total plasma protein levels and maternal hemoglobin concentration estimated using different  types of hemoglobinometers during the trimesters of pregnancy among pregnant  women compared  to non-pregnant women in the study area . </w:t>
      </w:r>
    </w:p>
    <w:p w14:paraId="46382F47" w14:textId="77777777" w:rsidR="00C640BF" w:rsidRDefault="00000000">
      <w:pPr>
        <w:spacing w:line="360" w:lineRule="auto"/>
        <w:jc w:val="both"/>
        <w:rPr>
          <w:rFonts w:ascii="Arial" w:hAnsi="Arial" w:cs="Arial"/>
          <w:b/>
          <w:sz w:val="16"/>
          <w:szCs w:val="20"/>
        </w:rPr>
      </w:pPr>
      <w:r>
        <w:rPr>
          <w:rFonts w:ascii="Arial" w:hAnsi="Arial" w:cs="Arial"/>
          <w:b/>
          <w:sz w:val="16"/>
          <w:szCs w:val="20"/>
        </w:rPr>
        <w:t xml:space="preserve">Research question </w:t>
      </w:r>
    </w:p>
    <w:p w14:paraId="747A97AC" w14:textId="77777777" w:rsidR="00C640BF" w:rsidRDefault="00000000">
      <w:pPr>
        <w:spacing w:line="360" w:lineRule="auto"/>
        <w:jc w:val="both"/>
        <w:rPr>
          <w:rFonts w:ascii="Arial" w:hAnsi="Arial" w:cs="Arial"/>
          <w:sz w:val="16"/>
          <w:szCs w:val="20"/>
        </w:rPr>
      </w:pPr>
      <w:r>
        <w:rPr>
          <w:rFonts w:ascii="Arial" w:hAnsi="Arial" w:cs="Arial"/>
          <w:sz w:val="16"/>
          <w:szCs w:val="20"/>
        </w:rPr>
        <w:t xml:space="preserve">1. What is the </w:t>
      </w:r>
      <w:bookmarkStart w:id="6" w:name="_Hlk185155577"/>
      <w:r>
        <w:rPr>
          <w:rFonts w:ascii="Arial" w:hAnsi="Arial" w:cs="Arial"/>
          <w:sz w:val="16"/>
          <w:szCs w:val="20"/>
        </w:rPr>
        <w:t>new criteria for the diagnostic  dilutional anemia during the trimesters among pregnant women</w:t>
      </w:r>
      <w:r>
        <w:rPr>
          <w:rFonts w:ascii="Arial" w:hAnsi="Arial" w:cs="Arial"/>
          <w:bCs/>
          <w:sz w:val="16"/>
          <w:szCs w:val="20"/>
        </w:rPr>
        <w:t xml:space="preserve"> attending antenatal clinic at  University of Calabar Teaching Hospital Calabar compared to non-pregnant women </w:t>
      </w:r>
      <w:r>
        <w:rPr>
          <w:rFonts w:ascii="Arial" w:hAnsi="Arial" w:cs="Arial"/>
          <w:sz w:val="16"/>
          <w:szCs w:val="20"/>
        </w:rPr>
        <w:t>?</w:t>
      </w:r>
      <w:bookmarkEnd w:id="6"/>
    </w:p>
    <w:p w14:paraId="1E199C5F" w14:textId="77777777" w:rsidR="00C640BF" w:rsidRDefault="00000000">
      <w:pPr>
        <w:spacing w:line="360" w:lineRule="auto"/>
        <w:jc w:val="both"/>
        <w:rPr>
          <w:rFonts w:ascii="Arial" w:hAnsi="Arial" w:cs="Arial"/>
          <w:sz w:val="16"/>
          <w:szCs w:val="20"/>
        </w:rPr>
      </w:pPr>
      <w:r>
        <w:rPr>
          <w:rFonts w:ascii="Arial" w:hAnsi="Arial" w:cs="Arial"/>
          <w:sz w:val="16"/>
          <w:szCs w:val="20"/>
        </w:rPr>
        <w:t>2. what is the levels of  maternal  total plasma protein levels and maternal hemoglobin concentration during the trimesters of pregnancy among pregnant women attending</w:t>
      </w:r>
      <w:r>
        <w:rPr>
          <w:rFonts w:ascii="Arial" w:hAnsi="Arial" w:cs="Arial"/>
          <w:bCs/>
          <w:sz w:val="16"/>
          <w:szCs w:val="20"/>
        </w:rPr>
        <w:t xml:space="preserve"> antenatal clinic in University of Calabar Teaching Hospital ,Calabar compare to nonpregnant women</w:t>
      </w:r>
      <w:r>
        <w:rPr>
          <w:rFonts w:ascii="Arial" w:hAnsi="Arial" w:cs="Arial"/>
          <w:sz w:val="16"/>
          <w:szCs w:val="20"/>
        </w:rPr>
        <w:t>?</w:t>
      </w:r>
    </w:p>
    <w:p w14:paraId="579097CA" w14:textId="77777777" w:rsidR="00C640BF" w:rsidRDefault="00000000">
      <w:pPr>
        <w:spacing w:line="360" w:lineRule="auto"/>
        <w:jc w:val="both"/>
        <w:rPr>
          <w:rFonts w:ascii="Arial" w:hAnsi="Arial" w:cs="Arial"/>
          <w:sz w:val="16"/>
          <w:szCs w:val="20"/>
        </w:rPr>
      </w:pPr>
      <w:r>
        <w:rPr>
          <w:rFonts w:ascii="Arial" w:hAnsi="Arial" w:cs="Arial"/>
          <w:sz w:val="16"/>
          <w:szCs w:val="20"/>
        </w:rPr>
        <w:t>3. what is the hemoglobin concentration estimated by the five different hemoglobinometers  during the trimesters of pregnancy among pregnant women</w:t>
      </w:r>
      <w:r>
        <w:rPr>
          <w:rFonts w:ascii="Arial" w:hAnsi="Arial" w:cs="Arial"/>
          <w:bCs/>
          <w:sz w:val="16"/>
          <w:szCs w:val="20"/>
        </w:rPr>
        <w:t xml:space="preserve"> attending antenatal clinic at  University of Calabar Teaching Hospital Calabar compare to nonpregnant women </w:t>
      </w:r>
      <w:r>
        <w:rPr>
          <w:rFonts w:ascii="Arial" w:hAnsi="Arial" w:cs="Arial"/>
          <w:sz w:val="16"/>
          <w:szCs w:val="20"/>
        </w:rPr>
        <w:t xml:space="preserve">. </w:t>
      </w:r>
    </w:p>
    <w:p w14:paraId="611C11D3" w14:textId="77777777" w:rsidR="00C640BF" w:rsidRDefault="00000000">
      <w:pPr>
        <w:spacing w:after="0" w:line="360" w:lineRule="auto"/>
        <w:jc w:val="both"/>
        <w:rPr>
          <w:rFonts w:ascii="Arial" w:hAnsi="Arial" w:cs="Arial"/>
          <w:b/>
          <w:sz w:val="16"/>
          <w:szCs w:val="20"/>
        </w:rPr>
      </w:pPr>
      <w:r>
        <w:rPr>
          <w:rFonts w:ascii="Arial" w:hAnsi="Arial" w:cs="Arial"/>
          <w:b/>
          <w:sz w:val="16"/>
          <w:szCs w:val="20"/>
        </w:rPr>
        <w:t xml:space="preserve">General objective </w:t>
      </w:r>
    </w:p>
    <w:p w14:paraId="0CE4A5A5" w14:textId="77777777" w:rsidR="00C640BF" w:rsidRDefault="00000000">
      <w:pPr>
        <w:spacing w:after="0" w:line="360" w:lineRule="auto"/>
        <w:jc w:val="both"/>
        <w:rPr>
          <w:rFonts w:ascii="Arial" w:hAnsi="Arial" w:cs="Arial"/>
          <w:sz w:val="16"/>
          <w:szCs w:val="20"/>
        </w:rPr>
      </w:pPr>
      <w:r>
        <w:rPr>
          <w:rFonts w:cs="Arial"/>
          <w:sz w:val="16"/>
          <w:szCs w:val="20"/>
        </w:rPr>
        <w:t xml:space="preserve">The current study was aimed at establishing a new criteria for diagnostic of  dilutional anemia  using </w:t>
      </w:r>
      <w:r>
        <w:rPr>
          <w:rFonts w:ascii="Arial" w:hAnsi="Arial" w:cs="Arial"/>
          <w:sz w:val="16"/>
          <w:szCs w:val="20"/>
        </w:rPr>
        <w:t xml:space="preserve"> maternal total plasma protein levels</w:t>
      </w:r>
      <w:r>
        <w:rPr>
          <w:rFonts w:cs="Arial"/>
          <w:sz w:val="16"/>
          <w:szCs w:val="20"/>
        </w:rPr>
        <w:t xml:space="preserve"> </w:t>
      </w:r>
      <w:r>
        <w:rPr>
          <w:rFonts w:ascii="Arial" w:hAnsi="Arial" w:cs="Arial"/>
          <w:sz w:val="16"/>
          <w:szCs w:val="20"/>
        </w:rPr>
        <w:t>and maternal hemoglobin concentration estimated using five</w:t>
      </w:r>
      <w:r>
        <w:rPr>
          <w:rFonts w:cs="Arial"/>
          <w:sz w:val="16"/>
          <w:szCs w:val="20"/>
        </w:rPr>
        <w:t xml:space="preserve"> different </w:t>
      </w:r>
      <w:r>
        <w:rPr>
          <w:rFonts w:ascii="Arial" w:hAnsi="Arial" w:cs="Arial"/>
          <w:sz w:val="16"/>
          <w:szCs w:val="20"/>
        </w:rPr>
        <w:t xml:space="preserve"> types of hemoglobinometers</w:t>
      </w:r>
      <w:r>
        <w:rPr>
          <w:rFonts w:cs="Arial"/>
          <w:sz w:val="16"/>
          <w:szCs w:val="20"/>
        </w:rPr>
        <w:t xml:space="preserve"> </w:t>
      </w:r>
      <w:r>
        <w:rPr>
          <w:rFonts w:ascii="Arial" w:hAnsi="Arial" w:cs="Arial"/>
          <w:sz w:val="16"/>
          <w:szCs w:val="20"/>
        </w:rPr>
        <w:t xml:space="preserve">during the trimesters of pregnancy among pregnant </w:t>
      </w:r>
      <w:r>
        <w:rPr>
          <w:rFonts w:cs="Arial"/>
          <w:sz w:val="16"/>
          <w:szCs w:val="20"/>
        </w:rPr>
        <w:t xml:space="preserve">attending the Antenatal clinic at </w:t>
      </w:r>
      <w:r>
        <w:rPr>
          <w:rFonts w:ascii="Arial" w:hAnsi="Arial" w:cs="Arial"/>
          <w:sz w:val="16"/>
          <w:szCs w:val="20"/>
        </w:rPr>
        <w:t xml:space="preserve">University of Calabar Teaching Hospital </w:t>
      </w:r>
      <w:r>
        <w:rPr>
          <w:rFonts w:cs="Arial"/>
          <w:sz w:val="16"/>
          <w:szCs w:val="20"/>
        </w:rPr>
        <w:t xml:space="preserve">(UCTH) </w:t>
      </w:r>
      <w:r>
        <w:rPr>
          <w:rFonts w:ascii="Arial" w:hAnsi="Arial" w:cs="Arial"/>
          <w:sz w:val="16"/>
          <w:szCs w:val="20"/>
        </w:rPr>
        <w:t>Calabar compare to  non-pregnant women</w:t>
      </w:r>
      <w:bookmarkStart w:id="7" w:name="_Hlk185154025"/>
    </w:p>
    <w:bookmarkEnd w:id="7"/>
    <w:p w14:paraId="3AB36430" w14:textId="77777777" w:rsidR="00C640BF" w:rsidRDefault="00000000">
      <w:pPr>
        <w:spacing w:line="360" w:lineRule="auto"/>
        <w:jc w:val="both"/>
        <w:rPr>
          <w:rFonts w:ascii="Arial" w:hAnsi="Arial" w:cs="Arial"/>
          <w:b/>
          <w:bCs/>
          <w:sz w:val="16"/>
          <w:szCs w:val="20"/>
        </w:rPr>
      </w:pPr>
      <w:r>
        <w:rPr>
          <w:rFonts w:ascii="Arial" w:hAnsi="Arial" w:cs="Arial"/>
          <w:b/>
          <w:sz w:val="16"/>
          <w:szCs w:val="20"/>
        </w:rPr>
        <w:t>Specific objective</w:t>
      </w:r>
      <w:r>
        <w:rPr>
          <w:rFonts w:ascii="Arial" w:hAnsi="Arial" w:cs="Arial"/>
          <w:bCs/>
          <w:sz w:val="16"/>
          <w:szCs w:val="20"/>
        </w:rPr>
        <w:t xml:space="preserve"> </w:t>
      </w:r>
      <w:r>
        <w:rPr>
          <w:rFonts w:ascii="Arial" w:hAnsi="Arial" w:cs="Arial"/>
          <w:b/>
          <w:bCs/>
          <w:sz w:val="16"/>
          <w:szCs w:val="20"/>
        </w:rPr>
        <w:t xml:space="preserve">of the study </w:t>
      </w:r>
    </w:p>
    <w:p w14:paraId="0F175697" w14:textId="77777777" w:rsidR="00C640BF" w:rsidRDefault="00000000">
      <w:pPr>
        <w:pStyle w:val="ListParagraph"/>
        <w:numPr>
          <w:ilvl w:val="0"/>
          <w:numId w:val="17"/>
        </w:numPr>
        <w:spacing w:line="360" w:lineRule="auto"/>
        <w:jc w:val="both"/>
        <w:rPr>
          <w:rFonts w:ascii="Arial" w:hAnsi="Arial" w:cs="Arial"/>
          <w:b/>
          <w:bCs/>
          <w:sz w:val="16"/>
          <w:szCs w:val="20"/>
        </w:rPr>
      </w:pPr>
      <w:r>
        <w:rPr>
          <w:rFonts w:ascii="Arial" w:hAnsi="Arial" w:cs="Arial"/>
          <w:bCs/>
          <w:sz w:val="16"/>
          <w:szCs w:val="20"/>
        </w:rPr>
        <w:t xml:space="preserve">Determine the maternal total plasma protein levels during the three trimesters of pregnancy among pregnant women </w:t>
      </w:r>
      <w:bookmarkStart w:id="8" w:name="_Hlk185154476"/>
      <w:r>
        <w:rPr>
          <w:rFonts w:ascii="Arial" w:hAnsi="Arial" w:cs="Arial"/>
          <w:bCs/>
          <w:sz w:val="16"/>
          <w:szCs w:val="20"/>
        </w:rPr>
        <w:t>attending antenatal clinic at University of Calabar Teaching Hospital Calabar</w:t>
      </w:r>
      <w:bookmarkEnd w:id="8"/>
      <w:r>
        <w:rPr>
          <w:rFonts w:ascii="Arial" w:hAnsi="Arial" w:cs="Arial"/>
          <w:bCs/>
          <w:sz w:val="16"/>
          <w:szCs w:val="20"/>
        </w:rPr>
        <w:t xml:space="preserve"> compare to non-pregnant  women .</w:t>
      </w:r>
    </w:p>
    <w:p w14:paraId="0D618778" w14:textId="77777777" w:rsidR="00C640BF" w:rsidRDefault="00000000">
      <w:pPr>
        <w:pStyle w:val="ListParagraph"/>
        <w:numPr>
          <w:ilvl w:val="0"/>
          <w:numId w:val="17"/>
        </w:numPr>
        <w:spacing w:line="360" w:lineRule="auto"/>
        <w:jc w:val="both"/>
        <w:rPr>
          <w:rFonts w:ascii="Arial" w:hAnsi="Arial" w:cs="Arial"/>
          <w:bCs/>
          <w:sz w:val="16"/>
          <w:szCs w:val="20"/>
        </w:rPr>
      </w:pPr>
      <w:r>
        <w:rPr>
          <w:rFonts w:ascii="Arial" w:hAnsi="Arial" w:cs="Arial"/>
          <w:bCs/>
          <w:sz w:val="16"/>
          <w:szCs w:val="20"/>
        </w:rPr>
        <w:t xml:space="preserve">Determine the maternal hemoglobin concentration estimated by five different types hemoglobinometers  during the trimesters of pregnancy in  pregnant </w:t>
      </w:r>
      <w:bookmarkStart w:id="9" w:name="_Hlk185154131"/>
      <w:r>
        <w:rPr>
          <w:rFonts w:ascii="Arial" w:hAnsi="Arial" w:cs="Arial"/>
          <w:bCs/>
          <w:sz w:val="16"/>
          <w:szCs w:val="20"/>
        </w:rPr>
        <w:t xml:space="preserve">women attending antenatal clinic at  University of Calabar Teaching Hospital Calabar compare to nonpregnant women </w:t>
      </w:r>
    </w:p>
    <w:p w14:paraId="7196CB4D" w14:textId="77777777" w:rsidR="00C640BF" w:rsidRDefault="00000000">
      <w:pPr>
        <w:pStyle w:val="ListParagraph"/>
        <w:numPr>
          <w:ilvl w:val="0"/>
          <w:numId w:val="17"/>
        </w:numPr>
        <w:spacing w:line="360" w:lineRule="auto"/>
        <w:jc w:val="both"/>
        <w:rPr>
          <w:rFonts w:ascii="Arial" w:hAnsi="Arial" w:cs="Arial"/>
          <w:bCs/>
          <w:sz w:val="16"/>
          <w:szCs w:val="20"/>
        </w:rPr>
      </w:pPr>
      <w:r>
        <w:rPr>
          <w:rFonts w:ascii="Arial" w:hAnsi="Arial" w:cs="Arial"/>
          <w:sz w:val="16"/>
          <w:szCs w:val="20"/>
        </w:rPr>
        <w:t>Determine prevalence</w:t>
      </w:r>
      <w:r>
        <w:rPr>
          <w:rFonts w:ascii="Arial" w:hAnsi="Arial" w:cs="Arial"/>
          <w:bCs/>
          <w:sz w:val="16"/>
          <w:szCs w:val="20"/>
        </w:rPr>
        <w:t xml:space="preserve"> of dilutional anemia during the trimesters among pregnant women attending antenatal clinic in University of Calabar Teaching Hospital Calabar compare  to non-pregnant women ?</w:t>
      </w:r>
      <w:bookmarkEnd w:id="9"/>
    </w:p>
    <w:p w14:paraId="41023877" w14:textId="77777777" w:rsidR="00C640BF" w:rsidRDefault="00000000">
      <w:pPr>
        <w:spacing w:after="0" w:line="360" w:lineRule="auto"/>
        <w:rPr>
          <w:rFonts w:ascii="Arial" w:hAnsi="Arial" w:cs="Arial"/>
          <w:b/>
          <w:sz w:val="16"/>
          <w:szCs w:val="16"/>
        </w:rPr>
      </w:pPr>
      <w:r>
        <w:rPr>
          <w:rFonts w:ascii="Arial" w:hAnsi="Arial" w:cs="Arial"/>
          <w:b/>
          <w:sz w:val="16"/>
          <w:szCs w:val="16"/>
        </w:rPr>
        <w:t xml:space="preserve">3) METHODOLOGY </w:t>
      </w:r>
    </w:p>
    <w:p w14:paraId="0D3D11DD" w14:textId="77777777" w:rsidR="00C640BF" w:rsidRDefault="00000000">
      <w:pPr>
        <w:spacing w:after="0" w:line="360" w:lineRule="auto"/>
        <w:rPr>
          <w:rFonts w:ascii="Arial" w:hAnsi="Arial" w:cs="Arial"/>
          <w:b/>
          <w:bCs/>
          <w:sz w:val="16"/>
          <w:szCs w:val="16"/>
        </w:rPr>
      </w:pPr>
      <w:r>
        <w:rPr>
          <w:rFonts w:ascii="Arial" w:hAnsi="Arial" w:cs="Arial"/>
          <w:b/>
          <w:bCs/>
          <w:sz w:val="16"/>
          <w:szCs w:val="16"/>
        </w:rPr>
        <w:t xml:space="preserve">3.1) Study Setting </w:t>
      </w:r>
    </w:p>
    <w:p w14:paraId="7AE2FC96" w14:textId="77777777" w:rsidR="00C640BF" w:rsidRDefault="00000000">
      <w:pPr>
        <w:tabs>
          <w:tab w:val="left" w:pos="2723"/>
        </w:tabs>
        <w:spacing w:after="0" w:line="360" w:lineRule="auto"/>
        <w:jc w:val="both"/>
        <w:rPr>
          <w:rFonts w:ascii="Arial" w:hAnsi="Arial" w:cs="Arial"/>
          <w:b/>
          <w:bCs/>
          <w:sz w:val="10"/>
          <w:szCs w:val="16"/>
        </w:rPr>
      </w:pPr>
      <w:r>
        <w:rPr>
          <w:rFonts w:ascii="Arial" w:hAnsi="Arial" w:cs="Arial"/>
          <w:b/>
          <w:sz w:val="16"/>
        </w:rPr>
        <w:lastRenderedPageBreak/>
        <w:t>Study area :</w:t>
      </w:r>
      <w:r>
        <w:rPr>
          <w:rFonts w:ascii="Arial" w:hAnsi="Arial" w:cs="Arial"/>
          <w:sz w:val="16"/>
        </w:rPr>
        <w:t xml:space="preserve"> The study area of this index study was carried out in  the Antenatal clinic of the Department of obstetrics and gynecology, at University of Calabar Teaching Hospital (UCTH) which  is a public hospital located  in Calabar, Cross River State, Nigeria. UCTH came into existence in 1979 following the need for a Tertiary Health Institution that will render clinical services at a level that meets the requirements for the training of medical students at the College of Medical Sciences of the University of Calabar, resident doctors for the different postgraduates as well as other healthcare providers in different specialties of medicine and its allied professions. The UCTH offers tertiary health care to the residents of Cross River State, surrounding states and counties like  southern Cameroon and Equatorial Guinea. [33,34,35] University of Calabar Teaching Hospital (UCTH)</w:t>
      </w:r>
      <w:r>
        <w:rPr>
          <w:rFonts w:ascii="Arial" w:hAnsi="Arial" w:cs="Arial"/>
          <w:b/>
          <w:bCs/>
          <w:sz w:val="10"/>
          <w:szCs w:val="16"/>
        </w:rPr>
        <w:t xml:space="preserve"> </w:t>
      </w:r>
      <w:r>
        <w:rPr>
          <w:rFonts w:ascii="Arial" w:hAnsi="Arial" w:cs="Arial"/>
          <w:bCs/>
          <w:sz w:val="16"/>
          <w:szCs w:val="16"/>
        </w:rPr>
        <w:t xml:space="preserve"> is under Calabar municipality and  Calabar</w:t>
      </w:r>
      <w:r>
        <w:rPr>
          <w:rFonts w:ascii="Arial" w:hAnsi="Arial" w:cs="Arial"/>
          <w:sz w:val="16"/>
          <w:szCs w:val="16"/>
        </w:rPr>
        <w:t xml:space="preserve">  is the present capital of Cross River State in the south eastern part of the Federal Republic of Nigeria </w:t>
      </w:r>
      <w:r>
        <w:rPr>
          <w:rFonts w:ascii="Arial" w:hAnsi="Arial" w:cs="Arial"/>
          <w:bCs/>
          <w:sz w:val="16"/>
          <w:szCs w:val="16"/>
        </w:rPr>
        <w:t xml:space="preserve">[36] Geographically, Calabar has a total land area surface of 142 km² while the total local government area population is estimated to be 320,826 of which 166,203 are males and 154,659 females [37]. The inhabitants are mainly of the </w:t>
      </w:r>
      <w:proofErr w:type="spellStart"/>
      <w:r>
        <w:rPr>
          <w:rFonts w:ascii="Arial" w:hAnsi="Arial" w:cs="Arial"/>
          <w:bCs/>
          <w:sz w:val="16"/>
          <w:szCs w:val="16"/>
        </w:rPr>
        <w:t>Efiks</w:t>
      </w:r>
      <w:proofErr w:type="spellEnd"/>
      <w:r>
        <w:rPr>
          <w:rFonts w:ascii="Arial" w:hAnsi="Arial" w:cs="Arial"/>
          <w:bCs/>
          <w:sz w:val="16"/>
          <w:szCs w:val="16"/>
        </w:rPr>
        <w:t xml:space="preserve">, Quas, </w:t>
      </w:r>
      <w:proofErr w:type="spellStart"/>
      <w:r>
        <w:rPr>
          <w:rFonts w:ascii="Arial" w:hAnsi="Arial" w:cs="Arial"/>
          <w:bCs/>
          <w:sz w:val="16"/>
          <w:szCs w:val="16"/>
        </w:rPr>
        <w:t>Ejagham</w:t>
      </w:r>
      <w:proofErr w:type="spellEnd"/>
      <w:r>
        <w:rPr>
          <w:rFonts w:ascii="Arial" w:hAnsi="Arial" w:cs="Arial"/>
          <w:bCs/>
          <w:sz w:val="16"/>
          <w:szCs w:val="16"/>
        </w:rPr>
        <w:t xml:space="preserve">, </w:t>
      </w:r>
      <w:proofErr w:type="spellStart"/>
      <w:r>
        <w:rPr>
          <w:rFonts w:ascii="Arial" w:hAnsi="Arial" w:cs="Arial"/>
          <w:bCs/>
          <w:sz w:val="16"/>
          <w:szCs w:val="16"/>
        </w:rPr>
        <w:t>Efut</w:t>
      </w:r>
      <w:proofErr w:type="spellEnd"/>
      <w:r>
        <w:rPr>
          <w:rFonts w:ascii="Arial" w:hAnsi="Arial" w:cs="Arial"/>
          <w:bCs/>
          <w:sz w:val="16"/>
          <w:szCs w:val="16"/>
        </w:rPr>
        <w:t xml:space="preserve">, Ibibio, </w:t>
      </w:r>
      <w:proofErr w:type="spellStart"/>
      <w:r>
        <w:rPr>
          <w:rFonts w:ascii="Arial" w:hAnsi="Arial" w:cs="Arial"/>
          <w:bCs/>
          <w:sz w:val="16"/>
          <w:szCs w:val="16"/>
        </w:rPr>
        <w:t>Annang</w:t>
      </w:r>
      <w:proofErr w:type="spellEnd"/>
      <w:r>
        <w:rPr>
          <w:rFonts w:ascii="Arial" w:hAnsi="Arial" w:cs="Arial"/>
          <w:bCs/>
          <w:sz w:val="16"/>
          <w:szCs w:val="16"/>
        </w:rPr>
        <w:t xml:space="preserve"> by tribe and others– include the migrant workers and mixed multitudes. They are mainly civil servants, subsistence farmers, traders and fishermen. There are many important, primary, secondary, tertiary health facilities and educational centers belonging to either federal or state government in Calabar municipality [38].</w:t>
      </w:r>
    </w:p>
    <w:p w14:paraId="7100F442" w14:textId="77777777" w:rsidR="00C640BF" w:rsidRDefault="00000000">
      <w:pPr>
        <w:spacing w:after="0" w:line="360" w:lineRule="auto"/>
        <w:jc w:val="both"/>
        <w:rPr>
          <w:rFonts w:ascii="Arial" w:hAnsi="Arial" w:cs="Arial"/>
          <w:b/>
          <w:bCs/>
          <w:sz w:val="16"/>
          <w:szCs w:val="16"/>
        </w:rPr>
      </w:pPr>
      <w:r>
        <w:rPr>
          <w:rFonts w:ascii="Arial" w:hAnsi="Arial" w:cs="Arial"/>
          <w:b/>
          <w:bCs/>
          <w:sz w:val="16"/>
          <w:szCs w:val="16"/>
        </w:rPr>
        <w:t>3.2</w:t>
      </w:r>
      <w:r>
        <w:rPr>
          <w:rFonts w:ascii="Arial" w:hAnsi="Arial" w:cs="Arial"/>
          <w:b/>
          <w:bCs/>
          <w:sz w:val="16"/>
          <w:szCs w:val="16"/>
        </w:rPr>
        <w:tab/>
        <w:t xml:space="preserve">Sites for Participant Recruitment and Pre-Counseling for Samples Collection </w:t>
      </w:r>
    </w:p>
    <w:p w14:paraId="4CA78C39"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The participants of the current study were made up of apparently healthy individual who presented to the blood donors department of UCTH Calabar for eligibility assessment and screening profile for blood donation. </w:t>
      </w:r>
    </w:p>
    <w:p w14:paraId="52BB5779" w14:textId="77777777" w:rsidR="00C640BF" w:rsidRDefault="00000000">
      <w:pPr>
        <w:spacing w:after="0" w:line="360" w:lineRule="auto"/>
        <w:jc w:val="both"/>
        <w:rPr>
          <w:rFonts w:ascii="Arial" w:hAnsi="Arial" w:cs="Arial"/>
          <w:sz w:val="16"/>
          <w:szCs w:val="16"/>
        </w:rPr>
      </w:pPr>
      <w:r>
        <w:rPr>
          <w:rFonts w:ascii="Arial" w:hAnsi="Arial" w:cs="Arial"/>
          <w:b/>
          <w:sz w:val="16"/>
          <w:szCs w:val="16"/>
        </w:rPr>
        <w:t>3.3 Sampling Techniques</w:t>
      </w:r>
    </w:p>
    <w:p w14:paraId="7817A4F4" w14:textId="77777777" w:rsidR="00C640BF" w:rsidRDefault="00000000">
      <w:pPr>
        <w:spacing w:after="0" w:line="360" w:lineRule="auto"/>
        <w:jc w:val="both"/>
        <w:rPr>
          <w:rFonts w:ascii="Arial" w:hAnsi="Arial" w:cs="Arial"/>
          <w:sz w:val="16"/>
          <w:szCs w:val="16"/>
        </w:rPr>
      </w:pPr>
      <w:r>
        <w:rPr>
          <w:rFonts w:ascii="Arial" w:hAnsi="Arial" w:cs="Arial"/>
          <w:sz w:val="16"/>
          <w:szCs w:val="16"/>
        </w:rPr>
        <w:t>This study utilizes the convenient and random sampling method in the selection and enrolment of participants who were found to serve as eligible voluntary apparently healthy prospective blood donors and who gave their written/ informed consent. This study adopted a cross-sectional approach which was conducted within a year period (2021 to 2022).</w:t>
      </w:r>
    </w:p>
    <w:p w14:paraId="3E202957" w14:textId="77777777" w:rsidR="00C640BF" w:rsidRDefault="00000000">
      <w:pPr>
        <w:spacing w:after="0" w:line="360" w:lineRule="auto"/>
        <w:jc w:val="both"/>
        <w:rPr>
          <w:rFonts w:ascii="Arial" w:hAnsi="Arial" w:cs="Arial"/>
          <w:sz w:val="16"/>
          <w:szCs w:val="16"/>
        </w:rPr>
      </w:pPr>
      <w:r>
        <w:rPr>
          <w:rFonts w:ascii="Arial" w:hAnsi="Arial" w:cs="Arial"/>
          <w:b/>
          <w:sz w:val="16"/>
          <w:szCs w:val="16"/>
        </w:rPr>
        <w:t>3.4 Study participants</w:t>
      </w:r>
    </w:p>
    <w:p w14:paraId="72DEBC74" w14:textId="77777777" w:rsidR="00C640BF" w:rsidRDefault="00000000">
      <w:pPr>
        <w:spacing w:after="0" w:line="360" w:lineRule="auto"/>
        <w:jc w:val="both"/>
        <w:rPr>
          <w:rFonts w:ascii="Arial" w:hAnsi="Arial" w:cs="Arial"/>
          <w:sz w:val="16"/>
          <w:szCs w:val="16"/>
        </w:rPr>
      </w:pPr>
      <w:r>
        <w:rPr>
          <w:rFonts w:ascii="Arial" w:hAnsi="Arial" w:cs="Arial"/>
          <w:sz w:val="16"/>
          <w:szCs w:val="16"/>
        </w:rPr>
        <w:t>The participants were enrolled at the University of Calabar Teaching Hospital, Calabar, Cross River State. The documentation of the study participant’s demographics, blood transfusion history, risky behavioral conduct, number of sexual relationships, drug injection history and clinical background was done using the semi close- ended research questionnaire prepared, verified and adopted for this study.</w:t>
      </w:r>
    </w:p>
    <w:p w14:paraId="65F0A3C7" w14:textId="77777777" w:rsidR="00C640BF" w:rsidRDefault="00000000">
      <w:pPr>
        <w:spacing w:after="0" w:line="360" w:lineRule="auto"/>
        <w:jc w:val="both"/>
        <w:rPr>
          <w:rFonts w:ascii="Arial" w:hAnsi="Arial" w:cs="Arial"/>
          <w:sz w:val="16"/>
          <w:szCs w:val="16"/>
        </w:rPr>
      </w:pPr>
      <w:r>
        <w:rPr>
          <w:rFonts w:ascii="Arial" w:hAnsi="Arial" w:cs="Arial"/>
          <w:b/>
          <w:bCs/>
          <w:sz w:val="16"/>
          <w:szCs w:val="16"/>
        </w:rPr>
        <w:t>3.5 Study Design</w:t>
      </w:r>
    </w:p>
    <w:p w14:paraId="5BC7EA06"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Experimental and analytical designed were adopted in this study and all collected samples for estimation of hemoglobin concentration and total plasma protein concentration was carried out in the Department of Hematology &amp; Blood Transfusion Sciences and total plasma proteins levels from the </w:t>
      </w:r>
      <w:r>
        <w:rPr>
          <w:rFonts w:ascii="Arial" w:hAnsi="Arial" w:cs="Arial"/>
          <w:iCs/>
          <w:sz w:val="16"/>
          <w:szCs w:val="16"/>
        </w:rPr>
        <w:t>Department</w:t>
      </w:r>
      <w:r>
        <w:rPr>
          <w:rFonts w:ascii="Arial" w:hAnsi="Arial" w:cs="Arial"/>
          <w:sz w:val="16"/>
          <w:szCs w:val="16"/>
        </w:rPr>
        <w:t xml:space="preserve"> of Chemical </w:t>
      </w:r>
      <w:proofErr w:type="spellStart"/>
      <w:r>
        <w:rPr>
          <w:rFonts w:ascii="Arial" w:hAnsi="Arial" w:cs="Arial"/>
          <w:sz w:val="16"/>
          <w:szCs w:val="16"/>
        </w:rPr>
        <w:t>Pathology,Faculty</w:t>
      </w:r>
      <w:proofErr w:type="spellEnd"/>
      <w:r>
        <w:rPr>
          <w:rFonts w:ascii="Arial" w:hAnsi="Arial" w:cs="Arial"/>
          <w:sz w:val="16"/>
          <w:szCs w:val="16"/>
        </w:rPr>
        <w:t xml:space="preserve"> of Medical Laboratory  Science, University of Calabar, Cross Rivers State ,Nigeria.</w:t>
      </w:r>
    </w:p>
    <w:p w14:paraId="1F69D521" w14:textId="77777777" w:rsidR="00C640BF" w:rsidRDefault="00000000">
      <w:pPr>
        <w:spacing w:after="0" w:line="360" w:lineRule="auto"/>
        <w:jc w:val="both"/>
        <w:rPr>
          <w:rFonts w:ascii="Arial" w:hAnsi="Arial" w:cs="Arial"/>
          <w:sz w:val="16"/>
          <w:szCs w:val="16"/>
        </w:rPr>
      </w:pPr>
      <w:r>
        <w:rPr>
          <w:rFonts w:ascii="Arial" w:hAnsi="Arial" w:cs="Arial"/>
          <w:b/>
          <w:sz w:val="16"/>
          <w:szCs w:val="16"/>
        </w:rPr>
        <w:t xml:space="preserve">3.6 </w:t>
      </w:r>
      <w:r>
        <w:rPr>
          <w:rFonts w:ascii="Arial" w:hAnsi="Arial" w:cs="Arial"/>
          <w:b/>
          <w:bCs/>
          <w:sz w:val="16"/>
          <w:szCs w:val="16"/>
        </w:rPr>
        <w:t>Calculation of Sample Size</w:t>
      </w:r>
    </w:p>
    <w:p w14:paraId="3A220A83" w14:textId="77777777" w:rsidR="00C640BF" w:rsidRDefault="00000000">
      <w:pPr>
        <w:spacing w:after="0" w:line="360" w:lineRule="auto"/>
        <w:jc w:val="both"/>
        <w:rPr>
          <w:rFonts w:ascii="Arial" w:hAnsi="Arial" w:cs="Arial"/>
          <w:sz w:val="16"/>
          <w:szCs w:val="16"/>
        </w:rPr>
      </w:pPr>
      <w:r>
        <w:rPr>
          <w:rFonts w:ascii="Arial" w:hAnsi="Arial" w:cs="Arial"/>
          <w:sz w:val="16"/>
          <w:szCs w:val="16"/>
        </w:rPr>
        <w:t>The Formula of Cochran, 1977, for calculating the sample size (S) was adopted in current study and is denoted by formula viz: [38]</w:t>
      </w:r>
      <w:r>
        <w:rPr>
          <w:rFonts w:ascii="Arial" w:hAnsi="Arial" w:cs="Arial"/>
          <w:b/>
          <w:bCs/>
          <w:sz w:val="16"/>
          <w:szCs w:val="16"/>
        </w:rPr>
        <w:t xml:space="preserve">: </w:t>
      </w:r>
      <w:r>
        <w:rPr>
          <w:rFonts w:ascii="Arial" w:hAnsi="Arial" w:cs="Arial"/>
          <w:b/>
          <w:sz w:val="16"/>
          <w:szCs w:val="16"/>
        </w:rPr>
        <w:t>S=   t</w:t>
      </w:r>
      <w:r>
        <w:rPr>
          <w:rFonts w:ascii="Arial" w:hAnsi="Arial" w:cs="Arial"/>
          <w:b/>
          <w:sz w:val="16"/>
          <w:szCs w:val="16"/>
          <w:vertAlign w:val="superscript"/>
        </w:rPr>
        <w:t>2</w:t>
      </w:r>
      <w:r>
        <w:rPr>
          <w:rFonts w:ascii="Arial" w:hAnsi="Arial" w:cs="Arial"/>
          <w:b/>
          <w:sz w:val="16"/>
          <w:szCs w:val="16"/>
        </w:rPr>
        <w:t xml:space="preserve"> p (1-p)/ ҽ</w:t>
      </w:r>
      <w:r>
        <w:rPr>
          <w:rFonts w:ascii="Arial" w:hAnsi="Arial" w:cs="Arial"/>
          <w:b/>
          <w:sz w:val="16"/>
          <w:szCs w:val="16"/>
          <w:vertAlign w:val="superscript"/>
        </w:rPr>
        <w:t>2</w:t>
      </w:r>
      <w:r>
        <w:rPr>
          <w:rFonts w:ascii="Arial" w:hAnsi="Arial" w:cs="Arial"/>
          <w:sz w:val="16"/>
          <w:szCs w:val="16"/>
        </w:rPr>
        <w:t xml:space="preserve"> , </w:t>
      </w:r>
      <w:r>
        <w:rPr>
          <w:rFonts w:ascii="Arial" w:hAnsi="Arial" w:cs="Arial"/>
          <w:i/>
          <w:iCs/>
          <w:sz w:val="16"/>
          <w:szCs w:val="16"/>
        </w:rPr>
        <w:t xml:space="preserve">Where </w:t>
      </w:r>
      <w:r>
        <w:rPr>
          <w:rFonts w:ascii="Arial" w:hAnsi="Arial" w:cs="Arial"/>
          <w:sz w:val="16"/>
          <w:szCs w:val="16"/>
        </w:rPr>
        <w:t xml:space="preserve">t= t value (The alpha level used in determining sample size in most educational research studies is either 0.05 % or 5% </w:t>
      </w:r>
      <w:r>
        <w:rPr>
          <w:rFonts w:ascii="Arial" w:hAnsi="Arial" w:cs="Arial"/>
          <w:b/>
          <w:bCs/>
          <w:sz w:val="16"/>
          <w:szCs w:val="16"/>
        </w:rPr>
        <w:t>.</w:t>
      </w:r>
      <w:r>
        <w:rPr>
          <w:rFonts w:ascii="Arial" w:hAnsi="Arial" w:cs="Arial"/>
          <w:sz w:val="16"/>
          <w:szCs w:val="16"/>
        </w:rPr>
        <w:t xml:space="preserve"> In Cochran’s formula, t-value for alpha level of .05 is 1.96 for 95% confidence level for sample sizes above 120</w:t>
      </w:r>
      <w:r>
        <w:rPr>
          <w:rFonts w:ascii="Arial" w:hAnsi="Arial" w:cs="Arial"/>
          <w:i/>
          <w:iCs/>
          <w:sz w:val="16"/>
          <w:szCs w:val="16"/>
        </w:rPr>
        <w:t>.</w:t>
      </w:r>
      <w:r>
        <w:rPr>
          <w:rFonts w:ascii="Arial" w:hAnsi="Arial" w:cs="Arial"/>
          <w:b/>
          <w:sz w:val="16"/>
          <w:szCs w:val="16"/>
        </w:rPr>
        <w:t>P=</w:t>
      </w:r>
      <w:r>
        <w:rPr>
          <w:rFonts w:ascii="Arial" w:hAnsi="Arial" w:cs="Arial"/>
          <w:sz w:val="16"/>
          <w:szCs w:val="16"/>
        </w:rPr>
        <w:t xml:space="preserve"> prevalence rate in percentage (%)  from previous study of estimation of  hemoglobin concentration  in non-Caucasian  population in Calabar and in this case it is taken to be 0.5 or 50% since someone had never worked on this population  [39,40]  While </w:t>
      </w:r>
      <w:r>
        <w:rPr>
          <w:rFonts w:ascii="Arial" w:hAnsi="Arial" w:cs="Arial"/>
          <w:b/>
          <w:sz w:val="16"/>
          <w:szCs w:val="16"/>
        </w:rPr>
        <w:t>ҽ =</w:t>
      </w:r>
      <w:r>
        <w:rPr>
          <w:rFonts w:ascii="Arial" w:hAnsi="Arial" w:cs="Arial"/>
          <w:sz w:val="16"/>
          <w:szCs w:val="16"/>
        </w:rPr>
        <w:t xml:space="preserve"> tolerance error or confidence interval expressed as decimal and it is taken to be 0.05.Therefore </w:t>
      </w:r>
      <w:r>
        <w:rPr>
          <w:rFonts w:ascii="Arial" w:hAnsi="Arial" w:cs="Arial"/>
          <w:b/>
          <w:sz w:val="16"/>
          <w:szCs w:val="16"/>
        </w:rPr>
        <w:t>S =</w:t>
      </w:r>
      <w:r>
        <w:rPr>
          <w:rFonts w:ascii="Arial" w:hAnsi="Arial" w:cs="Arial"/>
          <w:sz w:val="16"/>
          <w:szCs w:val="16"/>
        </w:rPr>
        <w:t xml:space="preserve">    (1.962)</w:t>
      </w:r>
      <w:r>
        <w:rPr>
          <w:rFonts w:ascii="Arial" w:hAnsi="Arial" w:cs="Arial"/>
          <w:sz w:val="16"/>
          <w:szCs w:val="16"/>
          <w:vertAlign w:val="superscript"/>
        </w:rPr>
        <w:t>2</w:t>
      </w:r>
      <w:r>
        <w:rPr>
          <w:rFonts w:ascii="Arial" w:hAnsi="Arial" w:cs="Arial"/>
          <w:sz w:val="16"/>
          <w:szCs w:val="16"/>
        </w:rPr>
        <w:t xml:space="preserve"> (.5(1-0.5)/ (0.05)</w:t>
      </w:r>
      <w:r>
        <w:rPr>
          <w:rFonts w:ascii="Arial" w:hAnsi="Arial" w:cs="Arial"/>
          <w:sz w:val="16"/>
          <w:szCs w:val="16"/>
          <w:vertAlign w:val="superscript"/>
        </w:rPr>
        <w:t>2</w:t>
      </w:r>
      <w:r>
        <w:rPr>
          <w:rFonts w:ascii="Arial" w:hAnsi="Arial" w:cs="Arial"/>
          <w:sz w:val="16"/>
          <w:szCs w:val="16"/>
        </w:rPr>
        <w:t>, S =  (1.962)</w:t>
      </w:r>
      <w:r>
        <w:rPr>
          <w:rFonts w:ascii="Arial" w:hAnsi="Arial" w:cs="Arial"/>
          <w:sz w:val="16"/>
          <w:szCs w:val="16"/>
          <w:vertAlign w:val="superscript"/>
        </w:rPr>
        <w:t xml:space="preserve">2 </w:t>
      </w:r>
      <w:r>
        <w:rPr>
          <w:rFonts w:ascii="Arial" w:hAnsi="Arial" w:cs="Arial"/>
          <w:sz w:val="16"/>
          <w:szCs w:val="16"/>
        </w:rPr>
        <w:t>(0.5)</w:t>
      </w:r>
      <w:r>
        <w:rPr>
          <w:rFonts w:ascii="Arial" w:hAnsi="Arial" w:cs="Arial"/>
          <w:sz w:val="16"/>
          <w:szCs w:val="16"/>
          <w:vertAlign w:val="superscript"/>
        </w:rPr>
        <w:t>2</w:t>
      </w:r>
      <w:r>
        <w:rPr>
          <w:rFonts w:ascii="Arial" w:hAnsi="Arial" w:cs="Arial"/>
          <w:sz w:val="16"/>
          <w:szCs w:val="16"/>
        </w:rPr>
        <w:t>/ (0.05)</w:t>
      </w:r>
      <w:r>
        <w:rPr>
          <w:rFonts w:ascii="Arial" w:hAnsi="Arial" w:cs="Arial"/>
          <w:sz w:val="16"/>
          <w:szCs w:val="16"/>
          <w:vertAlign w:val="superscript"/>
        </w:rPr>
        <w:t>2</w:t>
      </w:r>
      <w:r>
        <w:rPr>
          <w:rFonts w:ascii="Arial" w:hAnsi="Arial" w:cs="Arial"/>
          <w:sz w:val="16"/>
          <w:szCs w:val="16"/>
        </w:rPr>
        <w:t xml:space="preserve">   = 384.16  ,hence S = ~ 400 subjects were used in cases of any loss data or specimen during the study or in cases of non-respondent individuals . </w:t>
      </w:r>
    </w:p>
    <w:p w14:paraId="46FA0DEB"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Correction for a small/finite population below 10,000 the formula viz: </w:t>
      </w:r>
      <w:r>
        <w:rPr>
          <w:rFonts w:ascii="Arial" w:hAnsi="Arial" w:cs="Arial"/>
          <w:b/>
          <w:bCs/>
          <w:sz w:val="16"/>
          <w:szCs w:val="16"/>
        </w:rPr>
        <w:t xml:space="preserve">n=no/1+(no-1)/N </w:t>
      </w:r>
      <w:r>
        <w:rPr>
          <w:rFonts w:ascii="Arial" w:hAnsi="Arial" w:cs="Arial"/>
          <w:bCs/>
          <w:sz w:val="16"/>
          <w:szCs w:val="16"/>
        </w:rPr>
        <w:t>was used.</w:t>
      </w:r>
    </w:p>
    <w:p w14:paraId="01F4D168" w14:textId="77777777" w:rsidR="00C640BF" w:rsidRDefault="00000000">
      <w:pPr>
        <w:spacing w:after="0" w:line="360" w:lineRule="auto"/>
        <w:jc w:val="both"/>
        <w:rPr>
          <w:rFonts w:ascii="Arial" w:hAnsi="Arial" w:cs="Arial"/>
          <w:sz w:val="16"/>
          <w:szCs w:val="16"/>
        </w:rPr>
      </w:pPr>
      <w:r>
        <w:rPr>
          <w:rFonts w:ascii="Arial" w:hAnsi="Arial" w:cs="Arial"/>
          <w:sz w:val="16"/>
          <w:szCs w:val="16"/>
        </w:rPr>
        <w:t>where n is the corrected sample size, n</w:t>
      </w:r>
      <w:r>
        <w:rPr>
          <w:rFonts w:ascii="Arial" w:hAnsi="Arial" w:cs="Arial"/>
          <w:sz w:val="16"/>
          <w:szCs w:val="16"/>
          <w:vertAlign w:val="subscript"/>
        </w:rPr>
        <w:t xml:space="preserve">0 </w:t>
      </w:r>
      <w:r>
        <w:rPr>
          <w:rFonts w:ascii="Arial" w:hAnsi="Arial" w:cs="Arial"/>
          <w:sz w:val="16"/>
          <w:szCs w:val="16"/>
        </w:rPr>
        <w:t>is the calculated sample size and N is the population size. Therefore n=384/1+(384-1)/5650=360= minimum sample size needed.</w:t>
      </w:r>
    </w:p>
    <w:p w14:paraId="28123EE0"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Non- respondent rate =384/1-0.1=384/.9=426 samples </w:t>
      </w:r>
    </w:p>
    <w:p w14:paraId="5F02E4C7" w14:textId="77777777" w:rsidR="00C640BF" w:rsidRDefault="00000000">
      <w:pPr>
        <w:spacing w:after="0" w:line="360" w:lineRule="auto"/>
        <w:jc w:val="both"/>
        <w:rPr>
          <w:rFonts w:ascii="Arial" w:hAnsi="Arial" w:cs="Arial"/>
          <w:bCs/>
          <w:sz w:val="16"/>
          <w:szCs w:val="16"/>
        </w:rPr>
      </w:pPr>
      <w:r>
        <w:rPr>
          <w:rFonts w:ascii="Arial" w:hAnsi="Arial" w:cs="Arial"/>
          <w:sz w:val="16"/>
          <w:szCs w:val="16"/>
        </w:rPr>
        <w:t xml:space="preserve">Approximately 430 as maximum samples were collected by convenient sampling techniques after correction for missing or spoiled samples </w:t>
      </w:r>
      <w:r>
        <w:rPr>
          <w:rFonts w:ascii="Arial" w:hAnsi="Arial" w:cs="Arial"/>
          <w:bCs/>
          <w:sz w:val="16"/>
          <w:szCs w:val="16"/>
        </w:rPr>
        <w:t>[41,42,43,44].</w:t>
      </w:r>
    </w:p>
    <w:p w14:paraId="0D0F8920" w14:textId="77777777" w:rsidR="00C640BF" w:rsidRDefault="00000000">
      <w:pPr>
        <w:spacing w:after="0" w:line="360" w:lineRule="auto"/>
        <w:jc w:val="both"/>
        <w:rPr>
          <w:rFonts w:ascii="Arial" w:hAnsi="Arial" w:cs="Arial"/>
          <w:sz w:val="16"/>
          <w:szCs w:val="16"/>
        </w:rPr>
      </w:pPr>
      <w:r>
        <w:rPr>
          <w:rFonts w:ascii="Arial" w:hAnsi="Arial" w:cs="Arial"/>
          <w:b/>
          <w:sz w:val="16"/>
          <w:szCs w:val="16"/>
        </w:rPr>
        <w:t>3.7</w:t>
      </w:r>
      <w:r>
        <w:rPr>
          <w:rFonts w:ascii="Arial" w:hAnsi="Arial" w:cs="Arial"/>
          <w:b/>
          <w:sz w:val="16"/>
          <w:szCs w:val="16"/>
        </w:rPr>
        <w:tab/>
      </w:r>
      <w:r>
        <w:rPr>
          <w:rFonts w:ascii="Arial" w:hAnsi="Arial" w:cs="Arial"/>
          <w:b/>
          <w:bCs/>
          <w:sz w:val="16"/>
          <w:szCs w:val="16"/>
        </w:rPr>
        <w:t>Inclusive and Exclusive Criteria for Selection of Participants</w:t>
      </w:r>
    </w:p>
    <w:p w14:paraId="280C5A82"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A total of 400 apparently healthy pregnant women, and non-pregnant  aged from 18years  and above  and who were randomly  recruited </w:t>
      </w:r>
      <w:bookmarkStart w:id="10" w:name="_Hlk186404462"/>
      <w:r>
        <w:rPr>
          <w:rFonts w:ascii="Arial" w:hAnsi="Arial" w:cs="Arial"/>
          <w:sz w:val="16"/>
          <w:szCs w:val="16"/>
        </w:rPr>
        <w:t>attending the antenatal clinic at University of Calabar Teaching Hospital Calabar, Cross River State, Nigeria</w:t>
      </w:r>
      <w:bookmarkEnd w:id="10"/>
      <w:r>
        <w:rPr>
          <w:rFonts w:ascii="Arial" w:hAnsi="Arial" w:cs="Arial"/>
          <w:sz w:val="16"/>
          <w:szCs w:val="16"/>
        </w:rPr>
        <w:t>. The participants were divided into two study groups according to their ages  and pregnant status  and a questionnaire form designed and prepared for this purposed, was used for both inclusive and exclusive criteria.</w:t>
      </w:r>
    </w:p>
    <w:p w14:paraId="7CF8E472" w14:textId="77777777" w:rsidR="00C640BF" w:rsidRDefault="00000000">
      <w:pPr>
        <w:spacing w:after="0" w:line="360" w:lineRule="auto"/>
        <w:jc w:val="both"/>
        <w:rPr>
          <w:rFonts w:ascii="Arial" w:hAnsi="Arial" w:cs="Arial"/>
          <w:b/>
          <w:bCs/>
          <w:sz w:val="16"/>
          <w:szCs w:val="16"/>
        </w:rPr>
      </w:pPr>
      <w:r>
        <w:rPr>
          <w:rFonts w:ascii="Arial" w:hAnsi="Arial" w:cs="Arial"/>
          <w:b/>
          <w:bCs/>
          <w:sz w:val="16"/>
          <w:szCs w:val="16"/>
        </w:rPr>
        <w:lastRenderedPageBreak/>
        <w:t>3.8 Ethical Approvals</w:t>
      </w:r>
    </w:p>
    <w:p w14:paraId="7360E498" w14:textId="77777777" w:rsidR="00C640BF" w:rsidRDefault="00000000">
      <w:pPr>
        <w:spacing w:after="0" w:line="360" w:lineRule="auto"/>
        <w:jc w:val="both"/>
        <w:rPr>
          <w:rFonts w:ascii="Arial" w:hAnsi="Arial" w:cs="Arial"/>
          <w:b/>
          <w:bCs/>
          <w:sz w:val="16"/>
          <w:szCs w:val="16"/>
        </w:rPr>
      </w:pPr>
      <w:r>
        <w:rPr>
          <w:rFonts w:ascii="Arial" w:hAnsi="Arial" w:cs="Arial"/>
          <w:sz w:val="16"/>
          <w:szCs w:val="16"/>
        </w:rPr>
        <w:t>These were sought and obtained from the university of Calabar teaching hospital Research Ethical Committee, Centre for Clinical Governance, Research &amp; Training Ministry of Health Calabar, Cross Rivers State, Nigeria.</w:t>
      </w:r>
    </w:p>
    <w:p w14:paraId="672E8CBC" w14:textId="77777777" w:rsidR="00C640BF" w:rsidRDefault="00000000">
      <w:pPr>
        <w:spacing w:after="0" w:line="360" w:lineRule="auto"/>
        <w:jc w:val="both"/>
        <w:rPr>
          <w:rFonts w:ascii="Arial" w:hAnsi="Arial" w:cs="Arial"/>
          <w:b/>
          <w:bCs/>
          <w:sz w:val="16"/>
          <w:szCs w:val="16"/>
        </w:rPr>
      </w:pPr>
      <w:r>
        <w:rPr>
          <w:rFonts w:ascii="Arial" w:hAnsi="Arial" w:cs="Arial"/>
          <w:b/>
          <w:bCs/>
          <w:sz w:val="16"/>
          <w:szCs w:val="16"/>
        </w:rPr>
        <w:t>3.9 Informed and Written Consent</w:t>
      </w:r>
    </w:p>
    <w:p w14:paraId="7FD9E953" w14:textId="77777777" w:rsidR="00C640BF" w:rsidRDefault="00000000">
      <w:pPr>
        <w:spacing w:after="0" w:line="360" w:lineRule="auto"/>
        <w:jc w:val="both"/>
        <w:rPr>
          <w:rFonts w:ascii="Arial" w:hAnsi="Arial" w:cs="Arial"/>
          <w:b/>
          <w:bCs/>
          <w:sz w:val="16"/>
          <w:szCs w:val="16"/>
        </w:rPr>
      </w:pPr>
      <w:r>
        <w:rPr>
          <w:rFonts w:ascii="Arial" w:hAnsi="Arial" w:cs="Arial"/>
          <w:sz w:val="16"/>
          <w:szCs w:val="16"/>
        </w:rPr>
        <w:t xml:space="preserve">These were also sought and obtained from these subjects before inclusion in the study. </w:t>
      </w:r>
    </w:p>
    <w:p w14:paraId="65D91DF8" w14:textId="77777777" w:rsidR="00C640BF" w:rsidRDefault="00000000">
      <w:pPr>
        <w:spacing w:after="0" w:line="360" w:lineRule="auto"/>
        <w:jc w:val="both"/>
        <w:rPr>
          <w:rFonts w:ascii="Arial" w:hAnsi="Arial" w:cs="Arial"/>
          <w:sz w:val="16"/>
          <w:szCs w:val="16"/>
        </w:rPr>
      </w:pPr>
      <w:r>
        <w:rPr>
          <w:rFonts w:ascii="Arial" w:hAnsi="Arial" w:cs="Arial"/>
          <w:b/>
          <w:bCs/>
          <w:sz w:val="16"/>
          <w:szCs w:val="16"/>
        </w:rPr>
        <w:t>3.10 Administration of Questionnaire</w:t>
      </w:r>
    </w:p>
    <w:p w14:paraId="555FA702" w14:textId="77777777" w:rsidR="00C640BF" w:rsidRDefault="00000000">
      <w:pPr>
        <w:spacing w:after="0" w:line="360" w:lineRule="auto"/>
        <w:jc w:val="both"/>
        <w:rPr>
          <w:rFonts w:ascii="Arial" w:hAnsi="Arial" w:cs="Arial"/>
          <w:b/>
          <w:sz w:val="16"/>
          <w:szCs w:val="16"/>
        </w:rPr>
      </w:pPr>
      <w:r>
        <w:rPr>
          <w:rFonts w:ascii="Arial" w:hAnsi="Arial" w:cs="Arial"/>
          <w:sz w:val="16"/>
          <w:szCs w:val="16"/>
        </w:rPr>
        <w:t xml:space="preserve">The harmless nature and advantage of the research was also explained to each participant in the form of pre-counselling in which the prepared questionnaire forms were administered on each of the participants  to obtain more medical information about the clinical history and pregnancy history . After the Previous counselling, informed consent forms were filled and signed by these participants for research to start </w:t>
      </w:r>
      <w:r>
        <w:rPr>
          <w:rFonts w:ascii="Arial" w:hAnsi="Arial" w:cs="Arial"/>
          <w:b/>
          <w:sz w:val="16"/>
          <w:szCs w:val="16"/>
        </w:rPr>
        <w:t xml:space="preserve">. </w:t>
      </w:r>
    </w:p>
    <w:p w14:paraId="5196D17D" w14:textId="77777777" w:rsidR="00C640BF" w:rsidRDefault="00000000">
      <w:pPr>
        <w:spacing w:after="0" w:line="360" w:lineRule="auto"/>
        <w:jc w:val="both"/>
        <w:rPr>
          <w:rFonts w:ascii="Arial" w:hAnsi="Arial" w:cs="Arial"/>
          <w:b/>
          <w:sz w:val="16"/>
          <w:szCs w:val="16"/>
        </w:rPr>
      </w:pPr>
      <w:r>
        <w:rPr>
          <w:rFonts w:ascii="Arial" w:hAnsi="Arial" w:cs="Arial"/>
          <w:b/>
          <w:sz w:val="16"/>
          <w:szCs w:val="16"/>
        </w:rPr>
        <w:t>3.11 Study Population</w:t>
      </w:r>
    </w:p>
    <w:p w14:paraId="21EF997B" w14:textId="77777777" w:rsidR="00C640BF" w:rsidRDefault="00000000">
      <w:pPr>
        <w:spacing w:after="0" w:line="360" w:lineRule="auto"/>
        <w:jc w:val="both"/>
        <w:rPr>
          <w:rFonts w:ascii="Arial" w:hAnsi="Arial" w:cs="Arial"/>
          <w:b/>
          <w:sz w:val="16"/>
          <w:szCs w:val="16"/>
        </w:rPr>
      </w:pPr>
      <w:r>
        <w:rPr>
          <w:rFonts w:ascii="Arial" w:hAnsi="Arial" w:cs="Arial"/>
          <w:sz w:val="16"/>
          <w:szCs w:val="16"/>
        </w:rPr>
        <w:t xml:space="preserve">A total of 400 apparently healthy pregnant women and non-pregnant women  aged from 18 years and above  were recruited from  the antenatal clinic at University of Calabar Teaching Hospital Calabar. Recruited participants were previously counseled and screened in accordance with the Questionnaire form designed, validated and prepared to be adopted for this purpose. </w:t>
      </w:r>
    </w:p>
    <w:p w14:paraId="7FDFBAD4" w14:textId="77777777" w:rsidR="00C640BF" w:rsidRDefault="00000000">
      <w:pPr>
        <w:spacing w:after="0" w:line="360" w:lineRule="auto"/>
        <w:jc w:val="both"/>
        <w:rPr>
          <w:rFonts w:ascii="Arial" w:hAnsi="Arial" w:cs="Arial"/>
          <w:b/>
          <w:sz w:val="16"/>
          <w:szCs w:val="16"/>
        </w:rPr>
      </w:pPr>
      <w:r>
        <w:rPr>
          <w:rFonts w:ascii="Arial" w:hAnsi="Arial" w:cs="Arial"/>
          <w:b/>
          <w:sz w:val="16"/>
          <w:szCs w:val="16"/>
        </w:rPr>
        <w:t>3.12</w:t>
      </w:r>
      <w:r>
        <w:rPr>
          <w:rFonts w:ascii="Arial" w:hAnsi="Arial" w:cs="Arial"/>
          <w:b/>
          <w:sz w:val="16"/>
          <w:szCs w:val="16"/>
        </w:rPr>
        <w:tab/>
        <w:t>Method for Collection and Treatment of Blood Samples</w:t>
      </w:r>
    </w:p>
    <w:p w14:paraId="450F4B3B"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About </w:t>
      </w:r>
      <w:bookmarkStart w:id="11" w:name="_Hlk175870276"/>
      <w:r>
        <w:rPr>
          <w:rFonts w:ascii="Arial" w:hAnsi="Arial" w:cs="Arial"/>
          <w:sz w:val="16"/>
          <w:szCs w:val="16"/>
        </w:rPr>
        <w:t xml:space="preserve">five </w:t>
      </w:r>
      <w:bookmarkEnd w:id="11"/>
      <w:r>
        <w:rPr>
          <w:rFonts w:ascii="Arial" w:hAnsi="Arial" w:cs="Arial"/>
          <w:sz w:val="16"/>
          <w:szCs w:val="16"/>
        </w:rPr>
        <w:t xml:space="preserve">milliliters of venous blood samples was withdrawn from the antecubital vein of the arms of previously counseled and screened apparently healthy pregnant women and non-pregnant . By a mean of a disposable plastic five milliliters   syringe fitted with 19 SWG needle. The area of venipuncture was first of all cleaned with  methylated spirit  (70%) alcohol and allowed to dry. A tourniquet was tied just for a short time. The withdrawn samples were put into sample bottles containing 4mg of </w:t>
      </w:r>
      <w:proofErr w:type="spellStart"/>
      <w:r>
        <w:rPr>
          <w:rFonts w:ascii="Arial" w:hAnsi="Arial" w:cs="Arial"/>
          <w:sz w:val="16"/>
          <w:szCs w:val="16"/>
        </w:rPr>
        <w:t>potassiumethylene</w:t>
      </w:r>
      <w:proofErr w:type="spellEnd"/>
      <w:r>
        <w:rPr>
          <w:rFonts w:ascii="Arial" w:hAnsi="Arial" w:cs="Arial"/>
          <w:sz w:val="16"/>
          <w:szCs w:val="16"/>
        </w:rPr>
        <w:t xml:space="preserve"> dimethylamine tetra acetic acid (K</w:t>
      </w:r>
      <w:r>
        <w:rPr>
          <w:rFonts w:ascii="Arial" w:hAnsi="Arial" w:cs="Arial"/>
          <w:sz w:val="16"/>
          <w:szCs w:val="16"/>
          <w:vertAlign w:val="subscript"/>
        </w:rPr>
        <w:t>2</w:t>
      </w:r>
      <w:r>
        <w:rPr>
          <w:rFonts w:ascii="Arial" w:hAnsi="Arial" w:cs="Arial"/>
          <w:sz w:val="16"/>
          <w:szCs w:val="16"/>
        </w:rPr>
        <w:t xml:space="preserve"> EDTA) and thoroughly mixed immediately. The samples were used for determination of hemoglobin concentrations and those samples that were not analyzed immediately within 2 hours of collection were stored at 4</w:t>
      </w:r>
      <w:r>
        <w:rPr>
          <w:rFonts w:ascii="Arial" w:hAnsi="Arial" w:cs="Arial"/>
          <w:sz w:val="16"/>
          <w:szCs w:val="16"/>
          <w:vertAlign w:val="superscript"/>
        </w:rPr>
        <w:t xml:space="preserve">o </w:t>
      </w:r>
      <w:r>
        <w:rPr>
          <w:rFonts w:ascii="Arial" w:hAnsi="Arial" w:cs="Arial"/>
          <w:sz w:val="16"/>
          <w:szCs w:val="16"/>
        </w:rPr>
        <w:t>C – 6</w:t>
      </w:r>
      <w:r>
        <w:rPr>
          <w:rFonts w:ascii="Arial" w:hAnsi="Arial" w:cs="Arial"/>
          <w:sz w:val="16"/>
          <w:szCs w:val="16"/>
          <w:vertAlign w:val="superscript"/>
        </w:rPr>
        <w:t>o</w:t>
      </w:r>
      <w:r>
        <w:rPr>
          <w:rFonts w:ascii="Arial" w:hAnsi="Arial" w:cs="Arial"/>
          <w:sz w:val="16"/>
          <w:szCs w:val="16"/>
        </w:rPr>
        <w:t>C. The samples were usually spun at 4000 rpm for 10 minutes to harvest plasma which were used for estimation of total plasma protein stored at -20</w:t>
      </w:r>
      <w:r>
        <w:rPr>
          <w:rFonts w:ascii="Arial" w:hAnsi="Arial" w:cs="Arial"/>
          <w:sz w:val="16"/>
          <w:szCs w:val="16"/>
          <w:vertAlign w:val="superscript"/>
        </w:rPr>
        <w:t>o</w:t>
      </w:r>
      <w:r>
        <w:rPr>
          <w:rFonts w:ascii="Arial" w:hAnsi="Arial" w:cs="Arial"/>
          <w:sz w:val="16"/>
          <w:szCs w:val="16"/>
        </w:rPr>
        <w:t>C and the screening was done within 7 days. Collection and preparation of blood samples were done from Monday to Friday of each week and between the hours of 7.00am and 5.00 pm.</w:t>
      </w:r>
    </w:p>
    <w:p w14:paraId="76C5E5C8" w14:textId="77777777" w:rsidR="00C640BF" w:rsidRDefault="00000000">
      <w:pPr>
        <w:spacing w:after="0" w:line="360" w:lineRule="auto"/>
        <w:jc w:val="both"/>
        <w:rPr>
          <w:rFonts w:ascii="Arial" w:hAnsi="Arial" w:cs="Arial"/>
          <w:b/>
          <w:sz w:val="16"/>
          <w:szCs w:val="16"/>
        </w:rPr>
      </w:pPr>
      <w:r>
        <w:rPr>
          <w:rFonts w:ascii="Arial" w:hAnsi="Arial" w:cs="Arial"/>
          <w:b/>
          <w:sz w:val="16"/>
          <w:szCs w:val="16"/>
        </w:rPr>
        <w:t>3.13</w:t>
      </w:r>
      <w:r>
        <w:rPr>
          <w:rFonts w:ascii="Arial" w:hAnsi="Arial" w:cs="Arial"/>
          <w:b/>
          <w:sz w:val="16"/>
          <w:szCs w:val="16"/>
        </w:rPr>
        <w:tab/>
        <w:t>Laboratory Methodology for Analyzing Various Parameters</w:t>
      </w:r>
    </w:p>
    <w:p w14:paraId="210D1136" w14:textId="77777777" w:rsidR="00C640BF" w:rsidRDefault="00000000">
      <w:pPr>
        <w:spacing w:after="0" w:line="360" w:lineRule="auto"/>
        <w:jc w:val="both"/>
        <w:rPr>
          <w:rFonts w:ascii="Arial" w:hAnsi="Arial" w:cs="Arial"/>
          <w:b/>
          <w:sz w:val="14"/>
          <w:szCs w:val="16"/>
        </w:rPr>
      </w:pPr>
      <w:r>
        <w:rPr>
          <w:rFonts w:ascii="Arial" w:hAnsi="Arial" w:cs="Arial"/>
          <w:b/>
          <w:sz w:val="14"/>
          <w:szCs w:val="16"/>
        </w:rPr>
        <w:t>1)</w:t>
      </w:r>
      <w:proofErr w:type="spellStart"/>
      <w:r>
        <w:rPr>
          <w:rFonts w:ascii="Arial" w:hAnsi="Arial" w:cs="Arial"/>
          <w:b/>
          <w:sz w:val="14"/>
          <w:szCs w:val="16"/>
        </w:rPr>
        <w:t>HemoCue</w:t>
      </w:r>
      <w:proofErr w:type="spellEnd"/>
      <w:r>
        <w:rPr>
          <w:rFonts w:ascii="Arial" w:hAnsi="Arial" w:cs="Arial"/>
          <w:b/>
          <w:sz w:val="14"/>
          <w:szCs w:val="16"/>
        </w:rPr>
        <w:t xml:space="preserve"> </w:t>
      </w:r>
      <w:r>
        <w:rPr>
          <w:rFonts w:ascii="Arial" w:hAnsi="Arial" w:cs="Arial"/>
          <w:sz w:val="14"/>
          <w:szCs w:val="16"/>
        </w:rPr>
        <w:t xml:space="preserve">: The </w:t>
      </w:r>
      <w:proofErr w:type="spellStart"/>
      <w:r>
        <w:rPr>
          <w:rFonts w:ascii="Arial" w:hAnsi="Arial" w:cs="Arial"/>
          <w:sz w:val="14"/>
          <w:szCs w:val="16"/>
        </w:rPr>
        <w:t>HemoCue</w:t>
      </w:r>
      <w:proofErr w:type="spellEnd"/>
      <w:r>
        <w:rPr>
          <w:rFonts w:ascii="Arial" w:hAnsi="Arial" w:cs="Arial"/>
          <w:sz w:val="14"/>
          <w:szCs w:val="16"/>
        </w:rPr>
        <w:t xml:space="preserve"> is a point-of-care device that uses spectroscopy to measure hemoglobin concentration </w:t>
      </w:r>
    </w:p>
    <w:p w14:paraId="0D59F94C" w14:textId="77777777" w:rsidR="00C640BF" w:rsidRDefault="00000000">
      <w:pPr>
        <w:spacing w:after="0" w:line="360" w:lineRule="auto"/>
        <w:jc w:val="both"/>
        <w:rPr>
          <w:rFonts w:ascii="Arial" w:hAnsi="Arial" w:cs="Arial"/>
          <w:sz w:val="14"/>
          <w:szCs w:val="16"/>
        </w:rPr>
      </w:pPr>
      <w:r>
        <w:rPr>
          <w:rFonts w:ascii="Arial" w:hAnsi="Arial" w:cs="Arial"/>
          <w:b/>
          <w:sz w:val="14"/>
          <w:szCs w:val="16"/>
        </w:rPr>
        <w:t>Principle:</w:t>
      </w:r>
      <w:r>
        <w:rPr>
          <w:rFonts w:ascii="Arial" w:hAnsi="Arial" w:cs="Arial"/>
          <w:sz w:val="14"/>
          <w:szCs w:val="16"/>
        </w:rPr>
        <w:t xml:space="preserve"> The </w:t>
      </w:r>
      <w:proofErr w:type="spellStart"/>
      <w:r>
        <w:rPr>
          <w:rFonts w:ascii="Arial" w:hAnsi="Arial" w:cs="Arial"/>
          <w:sz w:val="14"/>
          <w:szCs w:val="16"/>
        </w:rPr>
        <w:t>HemoCue</w:t>
      </w:r>
      <w:proofErr w:type="spellEnd"/>
      <w:r>
        <w:rPr>
          <w:rFonts w:ascii="Arial" w:hAnsi="Arial" w:cs="Arial"/>
          <w:sz w:val="14"/>
          <w:szCs w:val="16"/>
        </w:rPr>
        <w:t xml:space="preserve"> uses a specific wavelength of light to measure the absorbance of hemoglobin in a blood sample)</w:t>
      </w:r>
      <w:r>
        <w:rPr>
          <w:rFonts w:ascii="Arial" w:hAnsi="Arial" w:cs="Arial"/>
          <w:sz w:val="16"/>
          <w:szCs w:val="16"/>
        </w:rPr>
        <w:t xml:space="preserve">The color intensity of this mixture is measured in a colorimeter at a wavelength of 540nm or using a yellow green filter. The absorbance of the solution is proportional to be concentration of hemoglobin in the whole blood sample. All forms of hemoglobin are measured with this method, except </w:t>
      </w:r>
      <w:proofErr w:type="spellStart"/>
      <w:r>
        <w:rPr>
          <w:rFonts w:ascii="Arial" w:hAnsi="Arial" w:cs="Arial"/>
          <w:sz w:val="16"/>
          <w:szCs w:val="16"/>
        </w:rPr>
        <w:t>sulfhaemoglobin</w:t>
      </w:r>
      <w:proofErr w:type="spellEnd"/>
      <w:r>
        <w:rPr>
          <w:rFonts w:ascii="Arial" w:hAnsi="Arial" w:cs="Arial"/>
          <w:sz w:val="16"/>
          <w:szCs w:val="16"/>
        </w:rPr>
        <w:t xml:space="preserve"> </w:t>
      </w:r>
    </w:p>
    <w:p w14:paraId="4FBD8052" w14:textId="77777777" w:rsidR="00C640BF" w:rsidRDefault="00000000">
      <w:pPr>
        <w:spacing w:after="0" w:line="360" w:lineRule="auto"/>
        <w:jc w:val="both"/>
        <w:rPr>
          <w:rFonts w:ascii="Arial" w:hAnsi="Arial" w:cs="Arial"/>
          <w:sz w:val="14"/>
          <w:szCs w:val="16"/>
        </w:rPr>
      </w:pPr>
      <w:r>
        <w:rPr>
          <w:rFonts w:ascii="Arial" w:hAnsi="Arial" w:cs="Arial"/>
          <w:b/>
          <w:sz w:val="14"/>
          <w:szCs w:val="16"/>
        </w:rPr>
        <w:t>Procedure</w:t>
      </w:r>
      <w:r>
        <w:rPr>
          <w:rFonts w:ascii="Arial" w:hAnsi="Arial" w:cs="Arial"/>
          <w:sz w:val="14"/>
          <w:szCs w:val="16"/>
        </w:rPr>
        <w:t xml:space="preserve">: - Obtain a blood sample from the patient, - Place the blood sample on the </w:t>
      </w:r>
      <w:proofErr w:type="spellStart"/>
      <w:r>
        <w:rPr>
          <w:rFonts w:ascii="Arial" w:hAnsi="Arial" w:cs="Arial"/>
          <w:sz w:val="14"/>
          <w:szCs w:val="16"/>
        </w:rPr>
        <w:t>HemoCue</w:t>
      </w:r>
      <w:proofErr w:type="spellEnd"/>
      <w:r>
        <w:rPr>
          <w:rFonts w:ascii="Arial" w:hAnsi="Arial" w:cs="Arial"/>
          <w:sz w:val="14"/>
          <w:szCs w:val="16"/>
        </w:rPr>
        <w:t xml:space="preserve"> device, - Close the device and wait for the measurement to be taken, - Read the hemoglobin result on the device [45,46]</w:t>
      </w:r>
      <w:r>
        <w:rPr>
          <w:rFonts w:ascii="Arial" w:hAnsi="Arial" w:cs="Arial"/>
          <w:b/>
          <w:sz w:val="16"/>
          <w:szCs w:val="16"/>
        </w:rPr>
        <w:t xml:space="preserve"> </w:t>
      </w:r>
      <w:r>
        <w:rPr>
          <w:rFonts w:ascii="Arial" w:hAnsi="Arial" w:cs="Arial"/>
          <w:bCs/>
          <w:sz w:val="16"/>
          <w:szCs w:val="16"/>
        </w:rPr>
        <w:t>.</w:t>
      </w:r>
    </w:p>
    <w:p w14:paraId="33F0ADF8" w14:textId="77777777" w:rsidR="00C640BF" w:rsidRDefault="00000000">
      <w:pPr>
        <w:spacing w:after="0" w:line="360" w:lineRule="auto"/>
        <w:jc w:val="both"/>
        <w:rPr>
          <w:rFonts w:ascii="Arial" w:hAnsi="Arial" w:cs="Arial"/>
          <w:bCs/>
          <w:sz w:val="16"/>
          <w:szCs w:val="16"/>
        </w:rPr>
      </w:pPr>
      <w:r>
        <w:rPr>
          <w:rFonts w:ascii="Arial" w:hAnsi="Arial" w:cs="Arial"/>
          <w:b/>
          <w:sz w:val="16"/>
          <w:szCs w:val="16"/>
        </w:rPr>
        <w:t xml:space="preserve">Method and procedure for microhematocrit or </w:t>
      </w:r>
      <w:r>
        <w:rPr>
          <w:rFonts w:ascii="Arial" w:hAnsi="Arial" w:cs="Arial"/>
          <w:b/>
          <w:sz w:val="14"/>
          <w:szCs w:val="16"/>
        </w:rPr>
        <w:t>PCV (Packed Cell Volume)</w:t>
      </w:r>
      <w:r>
        <w:rPr>
          <w:rFonts w:ascii="Arial" w:hAnsi="Arial" w:cs="Arial"/>
          <w:sz w:val="14"/>
          <w:szCs w:val="16"/>
        </w:rPr>
        <w:t xml:space="preserve">: The </w:t>
      </w:r>
      <w:proofErr w:type="spellStart"/>
      <w:r>
        <w:rPr>
          <w:rFonts w:ascii="Arial" w:hAnsi="Arial" w:cs="Arial"/>
          <w:sz w:val="14"/>
          <w:szCs w:val="16"/>
        </w:rPr>
        <w:t>microhaematocrit</w:t>
      </w:r>
      <w:proofErr w:type="spellEnd"/>
      <w:r>
        <w:rPr>
          <w:rFonts w:ascii="Arial" w:hAnsi="Arial" w:cs="Arial"/>
          <w:sz w:val="14"/>
          <w:szCs w:val="16"/>
        </w:rPr>
        <w:t xml:space="preserve"> is a laboratory test used to measure the packed cell volume (PCV) of blood.</w:t>
      </w:r>
    </w:p>
    <w:p w14:paraId="334ED750" w14:textId="77777777" w:rsidR="00C640BF" w:rsidRDefault="00000000">
      <w:pPr>
        <w:spacing w:after="0" w:line="360" w:lineRule="auto"/>
        <w:jc w:val="both"/>
        <w:rPr>
          <w:rFonts w:ascii="Arial" w:hAnsi="Arial" w:cs="Arial"/>
          <w:sz w:val="14"/>
          <w:szCs w:val="16"/>
        </w:rPr>
      </w:pPr>
      <w:r>
        <w:rPr>
          <w:rFonts w:ascii="Arial" w:hAnsi="Arial" w:cs="Arial"/>
          <w:b/>
          <w:sz w:val="14"/>
          <w:szCs w:val="16"/>
        </w:rPr>
        <w:t>Principle</w:t>
      </w:r>
      <w:r>
        <w:rPr>
          <w:rFonts w:ascii="Arial" w:hAnsi="Arial" w:cs="Arial"/>
          <w:sz w:val="14"/>
          <w:szCs w:val="16"/>
        </w:rPr>
        <w:t xml:space="preserve">: The </w:t>
      </w:r>
      <w:proofErr w:type="spellStart"/>
      <w:r>
        <w:rPr>
          <w:rFonts w:ascii="Arial" w:hAnsi="Arial" w:cs="Arial"/>
          <w:sz w:val="14"/>
          <w:szCs w:val="16"/>
        </w:rPr>
        <w:t>microhaematocrit</w:t>
      </w:r>
      <w:proofErr w:type="spellEnd"/>
      <w:r>
        <w:rPr>
          <w:rFonts w:ascii="Arial" w:hAnsi="Arial" w:cs="Arial"/>
          <w:sz w:val="14"/>
          <w:szCs w:val="16"/>
        </w:rPr>
        <w:t xml:space="preserve"> method uses centrifugation to separate the blood cells from the plasma</w:t>
      </w:r>
      <w:r>
        <w:rPr>
          <w:rFonts w:ascii="Arial" w:hAnsi="Arial" w:cs="Arial"/>
          <w:sz w:val="16"/>
          <w:szCs w:val="16"/>
        </w:rPr>
        <w:t xml:space="preserve"> Whole blood is centrifuged for maximum red blood cell packing. The space occupied by the red cells in measured and expressed as percent of whole volume [</w:t>
      </w:r>
      <w:r>
        <w:rPr>
          <w:rFonts w:ascii="Arial" w:hAnsi="Arial" w:cs="Arial"/>
          <w:bCs/>
          <w:sz w:val="16"/>
          <w:szCs w:val="16"/>
        </w:rPr>
        <w:t>45,47].</w:t>
      </w:r>
    </w:p>
    <w:p w14:paraId="72A6F831" w14:textId="77777777" w:rsidR="00C640BF" w:rsidRDefault="00000000">
      <w:pPr>
        <w:spacing w:after="0" w:line="360" w:lineRule="auto"/>
        <w:jc w:val="both"/>
        <w:rPr>
          <w:rFonts w:ascii="Arial" w:hAnsi="Arial" w:cs="Arial"/>
          <w:sz w:val="14"/>
          <w:szCs w:val="16"/>
        </w:rPr>
      </w:pPr>
      <w:r>
        <w:rPr>
          <w:rFonts w:ascii="Arial" w:hAnsi="Arial" w:cs="Arial"/>
          <w:b/>
          <w:sz w:val="14"/>
          <w:szCs w:val="16"/>
        </w:rPr>
        <w:t>Procedure:</w:t>
      </w:r>
      <w:r>
        <w:rPr>
          <w:rFonts w:ascii="Arial" w:hAnsi="Arial" w:cs="Arial"/>
          <w:sz w:val="14"/>
          <w:szCs w:val="16"/>
        </w:rPr>
        <w:t>- Obtain a blood sample from the patient</w:t>
      </w:r>
      <w:r>
        <w:rPr>
          <w:rFonts w:ascii="Arial" w:hAnsi="Arial" w:cs="Arial"/>
          <w:b/>
          <w:sz w:val="14"/>
          <w:szCs w:val="16"/>
        </w:rPr>
        <w:t xml:space="preserve">, </w:t>
      </w:r>
      <w:r>
        <w:rPr>
          <w:rFonts w:ascii="Arial" w:hAnsi="Arial" w:cs="Arial"/>
          <w:sz w:val="14"/>
          <w:szCs w:val="16"/>
        </w:rPr>
        <w:t xml:space="preserve">- Place the blood sample in a </w:t>
      </w:r>
      <w:proofErr w:type="spellStart"/>
      <w:r>
        <w:rPr>
          <w:rFonts w:ascii="Arial" w:hAnsi="Arial" w:cs="Arial"/>
          <w:sz w:val="14"/>
          <w:szCs w:val="16"/>
        </w:rPr>
        <w:t>microhaematocrit</w:t>
      </w:r>
      <w:proofErr w:type="spellEnd"/>
      <w:r>
        <w:rPr>
          <w:rFonts w:ascii="Arial" w:hAnsi="Arial" w:cs="Arial"/>
          <w:sz w:val="14"/>
          <w:szCs w:val="16"/>
        </w:rPr>
        <w:t xml:space="preserve"> tube</w:t>
      </w:r>
      <w:r>
        <w:rPr>
          <w:rFonts w:ascii="Arial" w:hAnsi="Arial" w:cs="Arial"/>
          <w:b/>
          <w:sz w:val="14"/>
          <w:szCs w:val="16"/>
        </w:rPr>
        <w:t xml:space="preserve">, </w:t>
      </w:r>
      <w:r>
        <w:rPr>
          <w:rFonts w:ascii="Arial" w:hAnsi="Arial" w:cs="Arial"/>
          <w:sz w:val="14"/>
          <w:szCs w:val="16"/>
        </w:rPr>
        <w:t>- Centrifuge the tube for 5 minutes</w:t>
      </w:r>
      <w:r>
        <w:rPr>
          <w:rFonts w:ascii="Arial" w:hAnsi="Arial" w:cs="Arial"/>
          <w:b/>
          <w:sz w:val="14"/>
          <w:szCs w:val="16"/>
        </w:rPr>
        <w:t xml:space="preserve">, </w:t>
      </w:r>
      <w:r>
        <w:rPr>
          <w:rFonts w:ascii="Arial" w:hAnsi="Arial" w:cs="Arial"/>
          <w:sz w:val="14"/>
          <w:szCs w:val="16"/>
        </w:rPr>
        <w:t>- Read the packed cell volume (PCV) by measuring the height of the packed cells in the tube [47]</w:t>
      </w:r>
    </w:p>
    <w:p w14:paraId="0A8C71BB" w14:textId="77777777" w:rsidR="00C640BF" w:rsidRDefault="00C640BF">
      <w:pPr>
        <w:spacing w:after="0" w:line="360" w:lineRule="auto"/>
        <w:jc w:val="both"/>
        <w:rPr>
          <w:rFonts w:ascii="Arial" w:hAnsi="Arial" w:cs="Arial"/>
          <w:sz w:val="14"/>
          <w:szCs w:val="16"/>
        </w:rPr>
      </w:pPr>
    </w:p>
    <w:p w14:paraId="48F3C536" w14:textId="77777777" w:rsidR="00C640BF" w:rsidRDefault="00000000">
      <w:pPr>
        <w:spacing w:after="0" w:line="360" w:lineRule="auto"/>
        <w:jc w:val="both"/>
        <w:rPr>
          <w:rFonts w:ascii="Arial" w:hAnsi="Arial" w:cs="Arial"/>
          <w:sz w:val="14"/>
          <w:szCs w:val="16"/>
        </w:rPr>
      </w:pPr>
      <w:r>
        <w:rPr>
          <w:rFonts w:ascii="Arial" w:eastAsia="Microsoft YaHei" w:hAnsi="Arial" w:cs="Arial"/>
          <w:b/>
          <w:sz w:val="14"/>
          <w:szCs w:val="16"/>
        </w:rPr>
        <w:t>Copper sulphate solution method:</w:t>
      </w:r>
      <w:r>
        <w:rPr>
          <w:rFonts w:ascii="Arial" w:hAnsi="Arial" w:cs="Arial"/>
          <w:sz w:val="14"/>
          <w:szCs w:val="16"/>
        </w:rPr>
        <w:t xml:space="preserve"> The copper sulfate solution method is a laboratory test used to measure the specific gravity of blood</w:t>
      </w:r>
      <w:r>
        <w:rPr>
          <w:rFonts w:ascii="Arial" w:eastAsia="Microsoft YaHei" w:hAnsi="Arial" w:cs="Arial"/>
          <w:b/>
          <w:sz w:val="14"/>
          <w:szCs w:val="16"/>
        </w:rPr>
        <w:t xml:space="preserve"> .</w:t>
      </w:r>
    </w:p>
    <w:p w14:paraId="4AE17DE3" w14:textId="77777777" w:rsidR="00C640BF" w:rsidRDefault="00000000">
      <w:pPr>
        <w:spacing w:after="0" w:line="360" w:lineRule="auto"/>
        <w:jc w:val="both"/>
        <w:rPr>
          <w:rFonts w:ascii="Arial" w:eastAsia="Microsoft YaHei" w:hAnsi="Arial" w:cs="Arial"/>
          <w:bCs/>
          <w:sz w:val="14"/>
          <w:szCs w:val="16"/>
        </w:rPr>
      </w:pPr>
      <w:r>
        <w:rPr>
          <w:rFonts w:ascii="Arial" w:hAnsi="Arial" w:cs="Arial"/>
          <w:b/>
          <w:sz w:val="14"/>
          <w:szCs w:val="16"/>
        </w:rPr>
        <w:t>Principle</w:t>
      </w:r>
      <w:r>
        <w:rPr>
          <w:rFonts w:ascii="Arial" w:hAnsi="Arial" w:cs="Arial"/>
          <w:sz w:val="14"/>
          <w:szCs w:val="16"/>
        </w:rPr>
        <w:t>: The copper sulfate solution method uses the principle of specific gravity to measure the density of the blood</w:t>
      </w:r>
      <w:r>
        <w:rPr>
          <w:rFonts w:ascii="Arial" w:eastAsia="Microsoft YaHei" w:hAnsi="Arial" w:cs="Arial"/>
          <w:sz w:val="16"/>
          <w:szCs w:val="16"/>
        </w:rPr>
        <w:t xml:space="preserve"> </w:t>
      </w:r>
      <w:r>
        <w:rPr>
          <w:rFonts w:ascii="Arial" w:eastAsia="Microsoft YaHei" w:hAnsi="Arial" w:cs="Arial"/>
          <w:sz w:val="14"/>
          <w:szCs w:val="16"/>
        </w:rPr>
        <w:t>The principle of the copper sulphate solution method is based on the fact that, when whole blood is dropped into a solution of CuSO4, the CuSO4 reacts with the protein at the periphery of the drop to form copper proteinate which acts as a protective membrane. Thus, preventing the dispersion of the drop. Whether or not the drop will float or sink is dependent on the hemoglobin concentration in it. (Phillips et al, 1950, and Henry et al, 1974)</w:t>
      </w:r>
      <w:r>
        <w:rPr>
          <w:rFonts w:ascii="Arial" w:eastAsia="Microsoft YaHei" w:hAnsi="Arial" w:cs="Arial"/>
          <w:b/>
          <w:sz w:val="14"/>
          <w:szCs w:val="16"/>
        </w:rPr>
        <w:t xml:space="preserve"> </w:t>
      </w:r>
      <w:r>
        <w:rPr>
          <w:rFonts w:ascii="Arial" w:eastAsia="Microsoft YaHei" w:hAnsi="Arial" w:cs="Arial"/>
          <w:bCs/>
          <w:sz w:val="14"/>
          <w:szCs w:val="16"/>
        </w:rPr>
        <w:t>[9, 31,32].</w:t>
      </w:r>
    </w:p>
    <w:p w14:paraId="47A73C11" w14:textId="77777777" w:rsidR="00C640BF" w:rsidRDefault="00000000">
      <w:pPr>
        <w:spacing w:after="0" w:line="360" w:lineRule="auto"/>
        <w:jc w:val="both"/>
        <w:rPr>
          <w:rFonts w:ascii="Arial" w:hAnsi="Arial" w:cs="Arial"/>
          <w:sz w:val="14"/>
          <w:szCs w:val="16"/>
        </w:rPr>
      </w:pPr>
      <w:r>
        <w:rPr>
          <w:rFonts w:ascii="Arial" w:hAnsi="Arial" w:cs="Arial"/>
          <w:b/>
          <w:sz w:val="14"/>
          <w:szCs w:val="16"/>
        </w:rPr>
        <w:t>Procedure:</w:t>
      </w:r>
      <w:r>
        <w:rPr>
          <w:rFonts w:ascii="Arial" w:hAnsi="Arial" w:cs="Arial"/>
          <w:sz w:val="14"/>
          <w:szCs w:val="16"/>
        </w:rPr>
        <w:t xml:space="preserve"> - Obtain a blood sample from the patient</w:t>
      </w:r>
      <w:r>
        <w:rPr>
          <w:rFonts w:ascii="Arial" w:hAnsi="Arial" w:cs="Arial"/>
          <w:b/>
          <w:sz w:val="14"/>
          <w:szCs w:val="16"/>
        </w:rPr>
        <w:t xml:space="preserve">, </w:t>
      </w:r>
      <w:r>
        <w:rPr>
          <w:rFonts w:ascii="Arial" w:hAnsi="Arial" w:cs="Arial"/>
          <w:sz w:val="14"/>
          <w:szCs w:val="16"/>
        </w:rPr>
        <w:t>- Mix the blood sample with a copper sulfate solution</w:t>
      </w:r>
      <w:r>
        <w:rPr>
          <w:rFonts w:ascii="Arial" w:hAnsi="Arial" w:cs="Arial"/>
          <w:b/>
          <w:sz w:val="14"/>
          <w:szCs w:val="16"/>
        </w:rPr>
        <w:t xml:space="preserve">, </w:t>
      </w:r>
      <w:r>
        <w:rPr>
          <w:rFonts w:ascii="Arial" w:hAnsi="Arial" w:cs="Arial"/>
          <w:sz w:val="14"/>
          <w:szCs w:val="16"/>
        </w:rPr>
        <w:t>- Centrifuge the mixture for 5 minutes, - Read the specific gravity of the resulting solution using a hydrometer [48]</w:t>
      </w:r>
    </w:p>
    <w:p w14:paraId="75B82067" w14:textId="77777777" w:rsidR="00C640BF" w:rsidRDefault="00000000">
      <w:pPr>
        <w:spacing w:after="0" w:line="360" w:lineRule="auto"/>
        <w:jc w:val="both"/>
        <w:rPr>
          <w:rFonts w:ascii="Arial" w:hAnsi="Arial" w:cs="Arial"/>
          <w:sz w:val="16"/>
          <w:szCs w:val="16"/>
        </w:rPr>
      </w:pPr>
      <w:r>
        <w:rPr>
          <w:rFonts w:ascii="Arial" w:hAnsi="Arial" w:cs="Arial"/>
          <w:sz w:val="16"/>
          <w:szCs w:val="16"/>
        </w:rPr>
        <w:t>4)</w:t>
      </w:r>
      <w:r>
        <w:rPr>
          <w:rFonts w:ascii="Arial" w:hAnsi="Arial" w:cs="Arial"/>
          <w:b/>
          <w:sz w:val="16"/>
          <w:szCs w:val="16"/>
        </w:rPr>
        <w:t>Sahli device</w:t>
      </w:r>
      <w:r>
        <w:rPr>
          <w:rFonts w:ascii="Arial" w:hAnsi="Arial" w:cs="Arial"/>
          <w:sz w:val="16"/>
          <w:szCs w:val="16"/>
        </w:rPr>
        <w:t>: The Sahli device is a manual device used to measure hemoglobin.</w:t>
      </w:r>
    </w:p>
    <w:p w14:paraId="33C01385" w14:textId="77777777" w:rsidR="00C640BF" w:rsidRDefault="00000000">
      <w:pPr>
        <w:spacing w:after="0" w:line="360" w:lineRule="auto"/>
        <w:jc w:val="both"/>
        <w:rPr>
          <w:rFonts w:ascii="Arial" w:hAnsi="Arial" w:cs="Arial"/>
          <w:sz w:val="16"/>
          <w:szCs w:val="16"/>
        </w:rPr>
      </w:pPr>
      <w:r>
        <w:rPr>
          <w:rFonts w:ascii="Arial" w:hAnsi="Arial" w:cs="Arial"/>
          <w:b/>
          <w:sz w:val="16"/>
          <w:szCs w:val="16"/>
        </w:rPr>
        <w:t>Principle</w:t>
      </w:r>
      <w:r>
        <w:rPr>
          <w:rFonts w:ascii="Arial" w:hAnsi="Arial" w:cs="Arial"/>
          <w:sz w:val="16"/>
          <w:szCs w:val="16"/>
        </w:rPr>
        <w:t>: The Sahli device uses the principle of colorimetry to measure hemoglobin.</w:t>
      </w:r>
    </w:p>
    <w:p w14:paraId="6AB991C8" w14:textId="77777777" w:rsidR="00C640BF" w:rsidRDefault="00000000">
      <w:pPr>
        <w:spacing w:after="0" w:line="360" w:lineRule="auto"/>
        <w:jc w:val="both"/>
        <w:rPr>
          <w:rFonts w:ascii="Arial" w:hAnsi="Arial" w:cs="Arial"/>
          <w:sz w:val="16"/>
          <w:szCs w:val="16"/>
        </w:rPr>
      </w:pPr>
      <w:r>
        <w:rPr>
          <w:rFonts w:ascii="Arial" w:hAnsi="Arial" w:cs="Arial"/>
          <w:b/>
          <w:sz w:val="16"/>
          <w:szCs w:val="16"/>
        </w:rPr>
        <w:t>Procedure</w:t>
      </w:r>
      <w:r>
        <w:rPr>
          <w:rFonts w:ascii="Arial" w:hAnsi="Arial" w:cs="Arial"/>
          <w:sz w:val="16"/>
          <w:szCs w:val="16"/>
        </w:rPr>
        <w:t>:-Obtain a blood sample from the patient, - Mix the blood sample with a solution of potassium ferricyanide and potassium cyanide, - Place the mixture in the Sahli device, - Compare the color of the mixture to a standard color chart,- Read the hemoglobin result from the chart[49]</w:t>
      </w:r>
    </w:p>
    <w:p w14:paraId="6C1A95E5" w14:textId="77777777" w:rsidR="00C640BF" w:rsidRDefault="00000000">
      <w:pPr>
        <w:spacing w:after="0" w:line="360" w:lineRule="auto"/>
        <w:jc w:val="both"/>
        <w:rPr>
          <w:rFonts w:ascii="Arial" w:hAnsi="Arial" w:cs="Arial"/>
          <w:sz w:val="16"/>
          <w:szCs w:val="16"/>
        </w:rPr>
      </w:pPr>
      <w:r>
        <w:rPr>
          <w:rFonts w:ascii="Arial" w:hAnsi="Arial" w:cs="Arial"/>
          <w:sz w:val="16"/>
          <w:szCs w:val="16"/>
        </w:rPr>
        <w:lastRenderedPageBreak/>
        <w:t>5)</w:t>
      </w:r>
      <w:proofErr w:type="spellStart"/>
      <w:r>
        <w:rPr>
          <w:rFonts w:ascii="Arial" w:hAnsi="Arial" w:cs="Arial"/>
          <w:b/>
          <w:sz w:val="16"/>
          <w:szCs w:val="16"/>
        </w:rPr>
        <w:t>Tallquist</w:t>
      </w:r>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Tallquist</w:t>
      </w:r>
      <w:proofErr w:type="spellEnd"/>
      <w:r>
        <w:rPr>
          <w:rFonts w:ascii="Arial" w:hAnsi="Arial" w:cs="Arial"/>
          <w:sz w:val="16"/>
          <w:szCs w:val="16"/>
        </w:rPr>
        <w:t xml:space="preserve"> method is a manual method used to measure hemoglobin.</w:t>
      </w:r>
    </w:p>
    <w:p w14:paraId="52F57624" w14:textId="77777777" w:rsidR="00C640BF" w:rsidRDefault="00000000">
      <w:pPr>
        <w:spacing w:after="0" w:line="360" w:lineRule="auto"/>
        <w:jc w:val="both"/>
        <w:rPr>
          <w:rFonts w:ascii="Arial" w:hAnsi="Arial" w:cs="Arial"/>
          <w:sz w:val="16"/>
          <w:szCs w:val="16"/>
        </w:rPr>
      </w:pPr>
      <w:r>
        <w:rPr>
          <w:rFonts w:ascii="Arial" w:hAnsi="Arial" w:cs="Arial"/>
          <w:b/>
          <w:sz w:val="16"/>
          <w:szCs w:val="16"/>
        </w:rPr>
        <w:t>Principle:</w:t>
      </w:r>
      <w:r>
        <w:rPr>
          <w:rFonts w:ascii="Arial" w:hAnsi="Arial" w:cs="Arial"/>
          <w:sz w:val="16"/>
          <w:szCs w:val="16"/>
        </w:rPr>
        <w:t xml:space="preserve"> The </w:t>
      </w:r>
      <w:proofErr w:type="spellStart"/>
      <w:r>
        <w:rPr>
          <w:rFonts w:ascii="Arial" w:hAnsi="Arial" w:cs="Arial"/>
          <w:sz w:val="16"/>
          <w:szCs w:val="16"/>
        </w:rPr>
        <w:t>Tallquist</w:t>
      </w:r>
      <w:proofErr w:type="spellEnd"/>
      <w:r>
        <w:rPr>
          <w:rFonts w:ascii="Arial" w:hAnsi="Arial" w:cs="Arial"/>
          <w:sz w:val="16"/>
          <w:szCs w:val="16"/>
        </w:rPr>
        <w:t xml:space="preserve"> method uses the principle of acid hematin formation to measure hemoglobin.</w:t>
      </w:r>
    </w:p>
    <w:p w14:paraId="2DC217F9" w14:textId="77777777" w:rsidR="00C640BF" w:rsidRDefault="00000000">
      <w:pPr>
        <w:spacing w:after="0" w:line="360" w:lineRule="auto"/>
        <w:jc w:val="both"/>
        <w:rPr>
          <w:rFonts w:ascii="Arial" w:hAnsi="Arial" w:cs="Arial"/>
          <w:b/>
          <w:sz w:val="16"/>
          <w:szCs w:val="16"/>
        </w:rPr>
      </w:pPr>
      <w:r>
        <w:rPr>
          <w:rFonts w:ascii="Arial" w:hAnsi="Arial" w:cs="Arial"/>
          <w:b/>
          <w:sz w:val="16"/>
          <w:szCs w:val="16"/>
        </w:rPr>
        <w:t xml:space="preserve">Procedure: </w:t>
      </w:r>
      <w:r>
        <w:rPr>
          <w:rFonts w:ascii="Arial" w:hAnsi="Arial" w:cs="Arial"/>
          <w:sz w:val="16"/>
          <w:szCs w:val="16"/>
        </w:rPr>
        <w:t>- Obtain a blood sample from the patient</w:t>
      </w:r>
      <w:r>
        <w:rPr>
          <w:rFonts w:ascii="Arial" w:hAnsi="Arial" w:cs="Arial"/>
          <w:b/>
          <w:sz w:val="16"/>
          <w:szCs w:val="16"/>
        </w:rPr>
        <w:t xml:space="preserve">, </w:t>
      </w:r>
      <w:r>
        <w:rPr>
          <w:rFonts w:ascii="Arial" w:hAnsi="Arial" w:cs="Arial"/>
          <w:sz w:val="16"/>
          <w:szCs w:val="16"/>
        </w:rPr>
        <w:t>- Mix the blood sample with a solution of hydrochloric acid</w:t>
      </w:r>
    </w:p>
    <w:p w14:paraId="0A1E7D95" w14:textId="77777777" w:rsidR="00C640BF" w:rsidRDefault="00000000">
      <w:pPr>
        <w:spacing w:after="0" w:line="360" w:lineRule="auto"/>
        <w:jc w:val="both"/>
        <w:rPr>
          <w:rFonts w:ascii="Arial" w:hAnsi="Arial" w:cs="Arial"/>
          <w:sz w:val="16"/>
          <w:szCs w:val="16"/>
        </w:rPr>
      </w:pPr>
      <w:r>
        <w:rPr>
          <w:rFonts w:ascii="Arial" w:hAnsi="Arial" w:cs="Arial"/>
          <w:sz w:val="16"/>
          <w:szCs w:val="16"/>
        </w:rPr>
        <w:t>- Place the mixture in a spectrophotometer, - Measure the absorbance of the mixture at a specific wavelength, - Read the hemoglobin result from a standard curve [50]</w:t>
      </w:r>
    </w:p>
    <w:p w14:paraId="4EC4739A" w14:textId="77777777" w:rsidR="00C640BF" w:rsidRDefault="00000000">
      <w:pPr>
        <w:spacing w:after="0" w:line="360" w:lineRule="auto"/>
        <w:jc w:val="both"/>
        <w:rPr>
          <w:rFonts w:ascii="Arial" w:eastAsia="Microsoft YaHei" w:hAnsi="Arial" w:cs="Arial"/>
          <w:bCs/>
          <w:sz w:val="16"/>
          <w:szCs w:val="16"/>
        </w:rPr>
      </w:pPr>
      <w:r>
        <w:rPr>
          <w:rFonts w:ascii="Arial" w:hAnsi="Arial" w:cs="Arial"/>
          <w:b/>
          <w:sz w:val="16"/>
          <w:szCs w:val="16"/>
        </w:rPr>
        <w:t xml:space="preserve">6) Method and procedure for biuret’s method: </w:t>
      </w:r>
      <w:r>
        <w:rPr>
          <w:rFonts w:ascii="Arial" w:hAnsi="Arial" w:cs="Arial"/>
          <w:sz w:val="16"/>
          <w:szCs w:val="16"/>
        </w:rPr>
        <w:t>The principle of Biuret method or Biuret reaction is based, on the fact all proteins contain a large number of peptide bonds. When a solution of protein is treated with Cu</w:t>
      </w:r>
      <w:r>
        <w:rPr>
          <w:rFonts w:ascii="Arial" w:hAnsi="Arial" w:cs="Arial"/>
          <w:sz w:val="16"/>
          <w:szCs w:val="16"/>
          <w:vertAlign w:val="superscript"/>
        </w:rPr>
        <w:t>2+</w:t>
      </w:r>
      <w:r>
        <w:rPr>
          <w:rFonts w:ascii="Arial" w:hAnsi="Arial" w:cs="Arial"/>
          <w:sz w:val="16"/>
          <w:szCs w:val="16"/>
        </w:rPr>
        <w:t xml:space="preserve"> in a moderately alkaline medium, a violet color chelating-complex is formed between the Cu</w:t>
      </w:r>
      <w:r>
        <w:rPr>
          <w:rFonts w:ascii="Arial" w:hAnsi="Arial" w:cs="Arial"/>
          <w:sz w:val="16"/>
          <w:szCs w:val="16"/>
          <w:vertAlign w:val="superscript"/>
        </w:rPr>
        <w:t>2+</w:t>
      </w:r>
      <w:r>
        <w:rPr>
          <w:rFonts w:ascii="Arial" w:hAnsi="Arial" w:cs="Arial"/>
          <w:sz w:val="16"/>
          <w:szCs w:val="16"/>
        </w:rPr>
        <w:t xml:space="preserve"> and the carbonyl (=COOH) and amino (=N-H) groups of the peptide bonds, the intensity of the color changed produced is proportional to the number of peptide </w:t>
      </w:r>
      <w:r>
        <w:rPr>
          <w:rFonts w:ascii="Arial" w:eastAsia="Microsoft YaHei" w:hAnsi="Arial" w:cs="Arial"/>
          <w:sz w:val="16"/>
          <w:szCs w:val="16"/>
        </w:rPr>
        <w:t xml:space="preserve">bonds presence or (undergoing in the reaction), when measured calorimetrically at 540 nm </w:t>
      </w:r>
      <w:r>
        <w:rPr>
          <w:rFonts w:ascii="Arial" w:eastAsia="Microsoft YaHei" w:hAnsi="Arial" w:cs="Arial"/>
          <w:bCs/>
          <w:sz w:val="16"/>
          <w:szCs w:val="16"/>
        </w:rPr>
        <w:t>[45]</w:t>
      </w:r>
    </w:p>
    <w:p w14:paraId="6193B6CE" w14:textId="77777777" w:rsidR="00C640BF" w:rsidRDefault="00000000">
      <w:pPr>
        <w:spacing w:after="0" w:line="360" w:lineRule="auto"/>
        <w:jc w:val="both"/>
        <w:rPr>
          <w:rFonts w:ascii="Arial" w:eastAsia="Calibri" w:hAnsi="Arial" w:cs="Arial"/>
          <w:b/>
          <w:bCs/>
          <w:sz w:val="16"/>
          <w:szCs w:val="16"/>
        </w:rPr>
      </w:pPr>
      <w:r>
        <w:rPr>
          <w:rFonts w:ascii="Arial" w:eastAsia="Calibri" w:hAnsi="Arial" w:cs="Arial"/>
          <w:b/>
          <w:bCs/>
          <w:sz w:val="16"/>
          <w:szCs w:val="16"/>
        </w:rPr>
        <w:t xml:space="preserve">3.14) Method of Data Collection and Statistical Tools for Data Analysis </w:t>
      </w:r>
    </w:p>
    <w:p w14:paraId="7AD8F132" w14:textId="77777777" w:rsidR="00C640BF" w:rsidRDefault="00000000">
      <w:pPr>
        <w:spacing w:after="0" w:line="360" w:lineRule="auto"/>
        <w:jc w:val="both"/>
        <w:rPr>
          <w:rFonts w:ascii="Arial" w:eastAsia="Calibri" w:hAnsi="Arial" w:cs="Arial"/>
          <w:sz w:val="16"/>
          <w:szCs w:val="16"/>
        </w:rPr>
      </w:pPr>
      <w:r>
        <w:rPr>
          <w:rFonts w:ascii="Arial" w:eastAsia="Calibri" w:hAnsi="Arial" w:cs="Arial"/>
          <w:bCs/>
          <w:sz w:val="16"/>
          <w:szCs w:val="16"/>
        </w:rPr>
        <w:t xml:space="preserve">After codification and collation of the raw data for both sexes of the results were entered and subjected to statistical analysis using Statistical Package for Social Students software version 26 (SPSS Incorporation, Chicago, United State America). Data were represented with frequency and percentages while continuous data were expressed as mean plus or minus standard deviations (X±SD). One sample Kolmogorov-Smirnov test was used to assess the normality of the data. All data were normally distributed; hence, parametric procedure was used for the statistical analysis of the data. The prevalence rate formulae were used to calculate the prevalence rate. A two tailed p-value of &lt;0.05 was considered indicative of a statistically significant difference.  Comparison of the parameters and variables between the samples   were performed using independent t-test while comparison among various age groups were analyzed using ANOVA. Association between variables was analyzed using Chi Square and Fischer exact test. Alpha value of 0.5 was used. </w:t>
      </w:r>
      <w:r>
        <w:rPr>
          <w:rFonts w:ascii="Arial" w:eastAsia="Calibri" w:hAnsi="Arial" w:cs="Arial"/>
          <w:sz w:val="16"/>
          <w:szCs w:val="16"/>
        </w:rPr>
        <w:t>Coefficient of Variation (CV) Formula given by CV=σ/μ, where: σ=standard deviation and μ=mean was used to calculate the coefficient of variation of the desire variables.</w:t>
      </w:r>
    </w:p>
    <w:p w14:paraId="6FAA0EBC" w14:textId="77777777" w:rsidR="00C640BF" w:rsidRDefault="00000000">
      <w:pPr>
        <w:spacing w:after="0" w:line="360" w:lineRule="auto"/>
        <w:jc w:val="both"/>
        <w:rPr>
          <w:rFonts w:ascii="Arial" w:hAnsi="Arial" w:cs="Arial"/>
          <w:sz w:val="16"/>
          <w:szCs w:val="16"/>
        </w:rPr>
      </w:pPr>
      <w:r>
        <w:rPr>
          <w:rFonts w:ascii="Arial" w:hAnsi="Arial" w:cs="Arial"/>
          <w:b/>
          <w:sz w:val="16"/>
          <w:szCs w:val="16"/>
        </w:rPr>
        <w:t>3.15) Calculation of the prevalence of dilutional anemia during pregnancy from hemoglobin concentration, using the using the five different types of hemoglobinometers during the three trimesters of pregnancy involved the following steps</w:t>
      </w:r>
      <w:r>
        <w:rPr>
          <w:rFonts w:ascii="Arial" w:hAnsi="Arial" w:cs="Arial"/>
          <w:sz w:val="16"/>
          <w:szCs w:val="16"/>
        </w:rPr>
        <w:t>:</w:t>
      </w:r>
    </w:p>
    <w:p w14:paraId="6A044100" w14:textId="77777777" w:rsidR="00C640BF" w:rsidRDefault="00000000">
      <w:pPr>
        <w:spacing w:after="0" w:line="360" w:lineRule="auto"/>
        <w:jc w:val="both"/>
        <w:rPr>
          <w:rFonts w:ascii="Arial" w:hAnsi="Arial" w:cs="Arial"/>
          <w:sz w:val="16"/>
          <w:szCs w:val="16"/>
        </w:rPr>
      </w:pPr>
      <w:r>
        <w:rPr>
          <w:rFonts w:ascii="Arial" w:hAnsi="Arial" w:cs="Arial"/>
          <w:b/>
          <w:sz w:val="16"/>
          <w:szCs w:val="16"/>
        </w:rPr>
        <w:t>Step 1</w:t>
      </w:r>
      <w:r>
        <w:rPr>
          <w:rFonts w:ascii="Arial" w:hAnsi="Arial" w:cs="Arial"/>
          <w:sz w:val="16"/>
          <w:szCs w:val="16"/>
        </w:rPr>
        <w:t>: Define the criteria for dilutional anemia, Dilutional anemia is typically defined as a hemoglobin concentration below 11.0 g/dl in the first trimester, below 10.5 g/dl in the second trimester and below 9.5 g/dl in the third trimester [51].</w:t>
      </w:r>
    </w:p>
    <w:p w14:paraId="403E7CD5" w14:textId="77777777" w:rsidR="00C640BF" w:rsidRDefault="00000000">
      <w:pPr>
        <w:spacing w:after="0" w:line="360" w:lineRule="auto"/>
        <w:jc w:val="both"/>
        <w:rPr>
          <w:rFonts w:ascii="Arial" w:hAnsi="Arial" w:cs="Arial"/>
          <w:sz w:val="16"/>
          <w:szCs w:val="16"/>
        </w:rPr>
      </w:pPr>
      <w:r>
        <w:rPr>
          <w:rFonts w:ascii="Arial" w:hAnsi="Arial" w:cs="Arial"/>
          <w:b/>
          <w:sz w:val="16"/>
          <w:szCs w:val="16"/>
        </w:rPr>
        <w:t>Step 2</w:t>
      </w:r>
      <w:r>
        <w:rPr>
          <w:rFonts w:ascii="Arial" w:hAnsi="Arial" w:cs="Arial"/>
          <w:sz w:val="16"/>
          <w:szCs w:val="16"/>
        </w:rPr>
        <w:t>: Collect the data on hemoglobin concentration  from the pregnant women throughout the  trimesters  of pregnancy among  the index study population while noting the total protein levels .</w:t>
      </w:r>
    </w:p>
    <w:p w14:paraId="3847DD6F" w14:textId="77777777" w:rsidR="00C640BF" w:rsidRDefault="00000000">
      <w:pPr>
        <w:spacing w:after="0" w:line="360" w:lineRule="auto"/>
        <w:jc w:val="both"/>
        <w:rPr>
          <w:rFonts w:ascii="Arial" w:hAnsi="Arial" w:cs="Arial"/>
          <w:sz w:val="16"/>
          <w:szCs w:val="16"/>
        </w:rPr>
      </w:pPr>
      <w:r>
        <w:rPr>
          <w:rFonts w:ascii="Arial" w:hAnsi="Arial" w:cs="Arial"/>
          <w:b/>
          <w:sz w:val="16"/>
          <w:szCs w:val="16"/>
        </w:rPr>
        <w:t>Step 3</w:t>
      </w:r>
      <w:r>
        <w:rPr>
          <w:rFonts w:ascii="Arial" w:hAnsi="Arial" w:cs="Arial"/>
          <w:sz w:val="16"/>
          <w:szCs w:val="16"/>
        </w:rPr>
        <w:t>: Categorize the data based on trimesters of  pregnancy (first, second, or third and total compared to non-pregnant ).</w:t>
      </w:r>
    </w:p>
    <w:p w14:paraId="3806ADF0" w14:textId="77777777" w:rsidR="00C640BF" w:rsidRDefault="00000000">
      <w:pPr>
        <w:spacing w:after="0" w:line="360" w:lineRule="auto"/>
        <w:jc w:val="both"/>
        <w:rPr>
          <w:rFonts w:ascii="Arial" w:hAnsi="Arial" w:cs="Arial"/>
          <w:sz w:val="16"/>
          <w:szCs w:val="16"/>
        </w:rPr>
      </w:pPr>
      <w:r>
        <w:rPr>
          <w:rFonts w:ascii="Arial" w:hAnsi="Arial" w:cs="Arial"/>
          <w:b/>
          <w:sz w:val="16"/>
          <w:szCs w:val="16"/>
        </w:rPr>
        <w:t>Step 4:</w:t>
      </w:r>
      <w:r>
        <w:rPr>
          <w:rFonts w:ascii="Arial" w:hAnsi="Arial" w:cs="Arial"/>
          <w:sz w:val="16"/>
          <w:szCs w:val="16"/>
        </w:rPr>
        <w:t xml:space="preserve"> Calculate the prevalence of dilutional anemia by dividing the number of women with hemoglobin concentration below the cutoff value for each trimester by the total number of women in that trimester.</w:t>
      </w:r>
    </w:p>
    <w:p w14:paraId="734B9605" w14:textId="77777777" w:rsidR="00C640BF" w:rsidRDefault="00000000">
      <w:pPr>
        <w:spacing w:after="0" w:line="360" w:lineRule="auto"/>
        <w:jc w:val="both"/>
        <w:rPr>
          <w:rFonts w:ascii="Arial" w:hAnsi="Arial" w:cs="Arial"/>
          <w:sz w:val="16"/>
          <w:szCs w:val="16"/>
        </w:rPr>
      </w:pPr>
      <w:r>
        <w:rPr>
          <w:rFonts w:ascii="Arial" w:hAnsi="Arial" w:cs="Arial"/>
          <w:sz w:val="16"/>
          <w:szCs w:val="16"/>
        </w:rPr>
        <w:t>The formula for calculating prevalence is:</w:t>
      </w:r>
    </w:p>
    <w:p w14:paraId="35C722BF" w14:textId="77777777" w:rsidR="00C640BF" w:rsidRDefault="00000000">
      <w:pPr>
        <w:spacing w:after="0" w:line="360" w:lineRule="auto"/>
        <w:jc w:val="both"/>
        <w:rPr>
          <w:rFonts w:ascii="Arial" w:hAnsi="Arial" w:cs="Arial"/>
          <w:sz w:val="16"/>
          <w:szCs w:val="16"/>
        </w:rPr>
      </w:pPr>
      <w:r>
        <w:rPr>
          <w:rFonts w:ascii="Arial" w:hAnsi="Arial" w:cs="Arial"/>
          <w:sz w:val="16"/>
          <w:szCs w:val="16"/>
        </w:rPr>
        <w:t>Prevalence = (Number of women with dilutional anemia / Total number of women) x 100</w:t>
      </w:r>
    </w:p>
    <w:p w14:paraId="338CC6A4" w14:textId="77777777" w:rsidR="00C640BF" w:rsidRDefault="00000000">
      <w:pPr>
        <w:spacing w:after="0" w:line="360" w:lineRule="auto"/>
        <w:jc w:val="both"/>
        <w:rPr>
          <w:rFonts w:ascii="Arial" w:hAnsi="Arial" w:cs="Arial"/>
          <w:sz w:val="16"/>
          <w:szCs w:val="16"/>
        </w:rPr>
      </w:pPr>
      <w:r>
        <w:rPr>
          <w:rFonts w:ascii="Arial" w:hAnsi="Arial" w:cs="Arial"/>
          <w:b/>
          <w:sz w:val="16"/>
          <w:szCs w:val="16"/>
        </w:rPr>
        <w:t>Step 5</w:t>
      </w:r>
      <w:r>
        <w:rPr>
          <w:rFonts w:ascii="Arial" w:hAnsi="Arial" w:cs="Arial"/>
          <w:sz w:val="16"/>
          <w:szCs w:val="16"/>
        </w:rPr>
        <w:t>: Report the results</w:t>
      </w:r>
    </w:p>
    <w:p w14:paraId="3AAD3F78" w14:textId="77777777" w:rsidR="00C640BF" w:rsidRDefault="00000000">
      <w:pPr>
        <w:spacing w:after="0" w:line="360" w:lineRule="auto"/>
        <w:jc w:val="both"/>
        <w:rPr>
          <w:rFonts w:ascii="Arial" w:hAnsi="Arial" w:cs="Arial"/>
          <w:sz w:val="16"/>
          <w:szCs w:val="16"/>
        </w:rPr>
      </w:pPr>
      <w:r>
        <w:rPr>
          <w:rFonts w:ascii="Arial" w:hAnsi="Arial" w:cs="Arial"/>
          <w:sz w:val="16"/>
          <w:szCs w:val="16"/>
        </w:rPr>
        <w:t>Report the results as the prevalence of dilutional anemia in each trimester, along with the corresponding 95% confidence intervals.</w:t>
      </w:r>
    </w:p>
    <w:p w14:paraId="2368B9C9" w14:textId="77777777" w:rsidR="00C640BF" w:rsidRDefault="00C640BF">
      <w:pPr>
        <w:spacing w:after="0"/>
        <w:jc w:val="both"/>
        <w:rPr>
          <w:rFonts w:cs="Calibri"/>
          <w:sz w:val="20"/>
          <w:szCs w:val="16"/>
        </w:rPr>
      </w:pPr>
    </w:p>
    <w:p w14:paraId="03AC09AC" w14:textId="77777777" w:rsidR="00C640BF" w:rsidRDefault="00000000">
      <w:pPr>
        <w:spacing w:after="0"/>
        <w:jc w:val="both"/>
        <w:rPr>
          <w:rFonts w:ascii="Arial" w:eastAsia="Times New Roman" w:hAnsi="Arial" w:cs="Arial"/>
          <w:b/>
          <w:bCs/>
          <w:kern w:val="36"/>
          <w:sz w:val="16"/>
          <w:szCs w:val="20"/>
        </w:rPr>
      </w:pPr>
      <w:r>
        <w:rPr>
          <w:rFonts w:ascii="Arial" w:eastAsia="Times New Roman" w:hAnsi="Arial" w:cs="Arial"/>
          <w:b/>
          <w:bCs/>
          <w:kern w:val="36"/>
          <w:sz w:val="16"/>
          <w:szCs w:val="20"/>
        </w:rPr>
        <w:t>4) RESULTS</w:t>
      </w:r>
    </w:p>
    <w:p w14:paraId="79FBC10E" w14:textId="77777777" w:rsidR="00C640BF" w:rsidRDefault="00000000">
      <w:pPr>
        <w:spacing w:after="0" w:line="360" w:lineRule="auto"/>
        <w:jc w:val="both"/>
        <w:rPr>
          <w:rFonts w:ascii="Arial" w:eastAsia="Times New Roman" w:hAnsi="Arial" w:cs="Arial"/>
          <w:bCs/>
          <w:kern w:val="36"/>
          <w:sz w:val="16"/>
          <w:szCs w:val="20"/>
        </w:rPr>
      </w:pPr>
      <w:r>
        <w:rPr>
          <w:rFonts w:ascii="Arial" w:eastAsia="Times New Roman" w:hAnsi="Arial" w:cs="Arial"/>
          <w:bCs/>
          <w:kern w:val="36"/>
          <w:sz w:val="16"/>
          <w:szCs w:val="20"/>
        </w:rPr>
        <w:t>The results obtained for the current study are shown in the Tables 1, 2 and 3.</w:t>
      </w:r>
      <w:bookmarkStart w:id="12" w:name="_Hlk178914680"/>
      <w:r>
        <w:rPr>
          <w:rFonts w:ascii="Arial" w:eastAsia="Times New Roman" w:hAnsi="Arial" w:cs="Arial"/>
          <w:kern w:val="36"/>
          <w:sz w:val="16"/>
          <w:szCs w:val="20"/>
        </w:rPr>
        <w:t>Table1 sho</w:t>
      </w:r>
      <w:r>
        <w:rPr>
          <w:rFonts w:ascii="Arial" w:eastAsia="Times New Roman" w:hAnsi="Arial" w:cs="Arial"/>
          <w:bCs/>
          <w:kern w:val="36"/>
          <w:sz w:val="16"/>
          <w:szCs w:val="20"/>
        </w:rPr>
        <w:t xml:space="preserve">ws the results of the frequency distribution by demographic parameters and Age range of participants recruited </w:t>
      </w:r>
      <w:r>
        <w:rPr>
          <w:rFonts w:ascii="Arial" w:eastAsia="Times New Roman" w:hAnsi="Arial" w:cs="Arial"/>
          <w:bCs/>
          <w:iCs/>
          <w:kern w:val="36"/>
          <w:sz w:val="16"/>
          <w:szCs w:val="20"/>
        </w:rPr>
        <w:t xml:space="preserve">within </w:t>
      </w:r>
      <w:r>
        <w:rPr>
          <w:rFonts w:ascii="Arial" w:eastAsia="Times New Roman" w:hAnsi="Arial" w:cs="Arial"/>
          <w:bCs/>
          <w:kern w:val="36"/>
          <w:sz w:val="16"/>
          <w:szCs w:val="24"/>
        </w:rPr>
        <w:t xml:space="preserve">UCTH Calabar, Cross River State, Nigeria </w:t>
      </w:r>
      <w:r>
        <w:rPr>
          <w:rFonts w:ascii="Arial" w:eastAsia="Times New Roman" w:hAnsi="Arial" w:cs="Arial"/>
          <w:bCs/>
          <w:kern w:val="36"/>
          <w:sz w:val="16"/>
          <w:szCs w:val="20"/>
        </w:rPr>
        <w:t xml:space="preserve">. </w:t>
      </w:r>
      <w:r>
        <w:rPr>
          <w:rFonts w:ascii="Arial" w:eastAsia="Times New Roman" w:hAnsi="Arial" w:cs="Arial"/>
          <w:bCs/>
          <w:iCs/>
          <w:kern w:val="36"/>
          <w:sz w:val="16"/>
          <w:szCs w:val="20"/>
        </w:rPr>
        <w:t>A total of 400 blood samples were collected using standard procedures  from apparently healthy individuals comprising of pregnant women] n=200 (50%) ] and non-pregnant  women [n= 200 (50%)] and  with ages from 18 years and above,   All apparently healthy individuals recruited  have been consented and previously counselled before recruitment into the study. The Mean age ± SD (years) for pregnant women  was 24.99±1.01 compared to  nonpregnant women  29.95±7.85</w:t>
      </w:r>
      <w:r>
        <w:rPr>
          <w:rFonts w:ascii="Arial" w:eastAsia="Times New Roman" w:hAnsi="Arial" w:cs="Arial"/>
          <w:bCs/>
          <w:iCs/>
          <w:kern w:val="36"/>
          <w:sz w:val="16"/>
          <w:szCs w:val="20"/>
          <w:lang w:bidi="en-US"/>
        </w:rPr>
        <w:t xml:space="preserve"> with statistically</w:t>
      </w:r>
      <w:r>
        <w:rPr>
          <w:rFonts w:ascii="Arial" w:eastAsia="Times New Roman" w:hAnsi="Arial" w:cs="Arial"/>
          <w:bCs/>
          <w:iCs/>
          <w:kern w:val="36"/>
          <w:sz w:val="16"/>
          <w:szCs w:val="20"/>
        </w:rPr>
        <w:t xml:space="preserve"> significant difference between ages (P&lt;0.05, t=7.2822, P=0.0001).</w:t>
      </w:r>
    </w:p>
    <w:p w14:paraId="4A2A316B" w14:textId="77777777" w:rsidR="00C640BF" w:rsidRDefault="00C640BF">
      <w:pPr>
        <w:spacing w:after="0" w:line="360" w:lineRule="auto"/>
        <w:jc w:val="both"/>
        <w:rPr>
          <w:rFonts w:ascii="Arial" w:eastAsia="Times New Roman" w:hAnsi="Arial" w:cs="Arial"/>
          <w:bCs/>
          <w:iCs/>
          <w:kern w:val="36"/>
          <w:sz w:val="16"/>
          <w:szCs w:val="20"/>
        </w:rPr>
      </w:pPr>
    </w:p>
    <w:p w14:paraId="4FB6AF1C" w14:textId="77777777" w:rsidR="00C640BF" w:rsidRDefault="00C640BF">
      <w:pPr>
        <w:rPr>
          <w:rFonts w:eastAsia="Times New Roman" w:cs="Calibri"/>
          <w:bCs/>
          <w:iCs/>
          <w:kern w:val="36"/>
          <w:sz w:val="20"/>
          <w:szCs w:val="20"/>
        </w:rPr>
        <w:sectPr w:rsidR="00C640BF">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864" w:gutter="0"/>
          <w:cols w:space="288"/>
          <w:titlePg/>
          <w:docGrid w:linePitch="360"/>
        </w:sectPr>
      </w:pPr>
    </w:p>
    <w:bookmarkEnd w:id="12"/>
    <w:p w14:paraId="2E68ABD3" w14:textId="77777777" w:rsidR="00C640BF" w:rsidRDefault="00000000">
      <w:pPr>
        <w:spacing w:after="0" w:line="240" w:lineRule="auto"/>
        <w:rPr>
          <w:rFonts w:ascii="Arial" w:eastAsia="Times New Roman" w:hAnsi="Arial" w:cs="Arial"/>
          <w:b/>
          <w:bCs/>
          <w:kern w:val="36"/>
          <w:sz w:val="16"/>
          <w:szCs w:val="24"/>
        </w:rPr>
      </w:pPr>
      <w:r>
        <w:rPr>
          <w:rFonts w:ascii="Arial" w:eastAsia="Times New Roman" w:hAnsi="Arial" w:cs="Arial"/>
          <w:b/>
          <w:bCs/>
          <w:kern w:val="36"/>
          <w:sz w:val="16"/>
          <w:szCs w:val="20"/>
        </w:rPr>
        <w:t xml:space="preserve">Table 1. </w:t>
      </w:r>
      <w:bookmarkStart w:id="13" w:name="_Hlk178406086"/>
      <w:r>
        <w:rPr>
          <w:rFonts w:ascii="Arial" w:eastAsia="Times New Roman" w:hAnsi="Arial" w:cs="Arial"/>
          <w:b/>
          <w:bCs/>
          <w:kern w:val="36"/>
          <w:sz w:val="16"/>
          <w:szCs w:val="20"/>
        </w:rPr>
        <w:t xml:space="preserve">Distribution by demographic parameters and Age range of </w:t>
      </w:r>
      <w:r>
        <w:rPr>
          <w:rFonts w:ascii="Arial" w:eastAsia="Times New Roman" w:hAnsi="Arial" w:cs="Arial"/>
          <w:b/>
          <w:bCs/>
          <w:kern w:val="36"/>
          <w:sz w:val="16"/>
          <w:szCs w:val="24"/>
        </w:rPr>
        <w:t>pregnant women and non-pregnant women attending Antenatal clinic at UCTH Calabar, Cross River State, Nigeria</w:t>
      </w:r>
    </w:p>
    <w:tbl>
      <w:tblPr>
        <w:tblStyle w:val="TableGrid"/>
        <w:tblpPr w:leftFromText="180" w:rightFromText="180" w:vertAnchor="text" w:horzAnchor="margin" w:tblpY="29"/>
        <w:tblW w:w="473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
        <w:gridCol w:w="783"/>
        <w:gridCol w:w="1390"/>
        <w:gridCol w:w="1476"/>
        <w:gridCol w:w="1513"/>
        <w:gridCol w:w="2604"/>
      </w:tblGrid>
      <w:tr w:rsidR="00C640BF" w14:paraId="300B2F77" w14:textId="77777777">
        <w:trPr>
          <w:trHeight w:val="20"/>
        </w:trPr>
        <w:tc>
          <w:tcPr>
            <w:tcW w:w="458" w:type="pct"/>
            <w:tcBorders>
              <w:top w:val="single" w:sz="18" w:space="0" w:color="auto"/>
              <w:bottom w:val="single" w:sz="2" w:space="0" w:color="auto"/>
            </w:tcBorders>
          </w:tcPr>
          <w:p w14:paraId="009491A7"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No of  </w:t>
            </w:r>
          </w:p>
          <w:p w14:paraId="5EA45888" w14:textId="77777777" w:rsidR="00C640BF" w:rsidRDefault="00000000">
            <w:pPr>
              <w:spacing w:after="0" w:line="240" w:lineRule="auto"/>
              <w:rPr>
                <w:rFonts w:ascii="Arial" w:eastAsia="Times New Roman" w:hAnsi="Arial" w:cs="Arial"/>
                <w:b/>
                <w:kern w:val="36"/>
                <w:sz w:val="16"/>
                <w:szCs w:val="24"/>
                <w:lang w:val="en-GB"/>
              </w:rPr>
            </w:pPr>
            <w:r>
              <w:rPr>
                <w:rFonts w:ascii="Arial" w:eastAsia="Times New Roman" w:hAnsi="Arial" w:cs="Arial"/>
                <w:kern w:val="36"/>
                <w:sz w:val="16"/>
                <w:szCs w:val="24"/>
                <w:lang w:val="en-GB"/>
              </w:rPr>
              <w:t>Group</w:t>
            </w:r>
          </w:p>
        </w:tc>
        <w:tc>
          <w:tcPr>
            <w:tcW w:w="458" w:type="pct"/>
            <w:tcBorders>
              <w:top w:val="single" w:sz="18" w:space="0" w:color="auto"/>
              <w:bottom w:val="single" w:sz="2" w:space="0" w:color="auto"/>
            </w:tcBorders>
          </w:tcPr>
          <w:p w14:paraId="61E54155"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Age Range </w:t>
            </w:r>
          </w:p>
          <w:p w14:paraId="33083CB6"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(Year)</w:t>
            </w:r>
          </w:p>
        </w:tc>
        <w:tc>
          <w:tcPr>
            <w:tcW w:w="813" w:type="pct"/>
            <w:tcBorders>
              <w:top w:val="single" w:sz="18" w:space="0" w:color="auto"/>
              <w:bottom w:val="single" w:sz="2" w:space="0" w:color="auto"/>
            </w:tcBorders>
          </w:tcPr>
          <w:p w14:paraId="5E0DDBFF"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Pregnant women</w:t>
            </w:r>
          </w:p>
          <w:p w14:paraId="54BDA339"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863" w:type="pct"/>
            <w:tcBorders>
              <w:top w:val="single" w:sz="18" w:space="0" w:color="auto"/>
              <w:bottom w:val="single" w:sz="2" w:space="0" w:color="auto"/>
            </w:tcBorders>
          </w:tcPr>
          <w:p w14:paraId="0A2B9688"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Non- pregnant women</w:t>
            </w:r>
          </w:p>
          <w:p w14:paraId="453A8432"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885" w:type="pct"/>
            <w:tcBorders>
              <w:top w:val="single" w:sz="18" w:space="0" w:color="auto"/>
              <w:bottom w:val="single" w:sz="2" w:space="0" w:color="auto"/>
            </w:tcBorders>
          </w:tcPr>
          <w:p w14:paraId="70EE531E"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Total  </w:t>
            </w:r>
          </w:p>
          <w:p w14:paraId="01F7A7C1"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Women</w:t>
            </w:r>
          </w:p>
          <w:p w14:paraId="14EB425A"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Frequency (%)</w:t>
            </w:r>
          </w:p>
        </w:tc>
        <w:tc>
          <w:tcPr>
            <w:tcW w:w="1523" w:type="pct"/>
            <w:tcBorders>
              <w:top w:val="single" w:sz="18" w:space="0" w:color="auto"/>
              <w:bottom w:val="single" w:sz="2" w:space="0" w:color="auto"/>
            </w:tcBorders>
          </w:tcPr>
          <w:p w14:paraId="205D22C2" w14:textId="77777777" w:rsidR="00C640BF" w:rsidRDefault="00000000">
            <w:pPr>
              <w:spacing w:after="0" w:line="240" w:lineRule="auto"/>
              <w:rPr>
                <w:rFonts w:ascii="Arial" w:eastAsia="Times New Roman" w:hAnsi="Arial" w:cs="Arial"/>
                <w:kern w:val="36"/>
                <w:sz w:val="16"/>
                <w:szCs w:val="24"/>
                <w:lang w:val="en-GB"/>
              </w:rPr>
            </w:pPr>
            <w:r>
              <w:rPr>
                <w:rFonts w:ascii="Arial" w:eastAsia="Times New Roman" w:hAnsi="Arial" w:cs="Arial"/>
                <w:kern w:val="36"/>
                <w:sz w:val="16"/>
                <w:szCs w:val="24"/>
                <w:lang w:val="en-GB"/>
              </w:rPr>
              <w:t xml:space="preserve">t-value   </w:t>
            </w:r>
            <w:r>
              <w:rPr>
                <w:rFonts w:ascii="Arial" w:eastAsia="Times New Roman" w:hAnsi="Arial" w:cs="Arial"/>
                <w:i/>
                <w:kern w:val="36"/>
                <w:sz w:val="16"/>
                <w:szCs w:val="24"/>
                <w:lang w:val="en-GB"/>
              </w:rPr>
              <w:t xml:space="preserve"> P</w:t>
            </w:r>
            <w:r>
              <w:rPr>
                <w:rFonts w:ascii="Arial" w:eastAsia="Times New Roman" w:hAnsi="Arial" w:cs="Arial"/>
                <w:kern w:val="36"/>
                <w:sz w:val="16"/>
                <w:szCs w:val="24"/>
                <w:lang w:val="en-GB"/>
              </w:rPr>
              <w:t xml:space="preserve">-value      remarks          </w:t>
            </w:r>
          </w:p>
        </w:tc>
      </w:tr>
      <w:tr w:rsidR="00C640BF" w14:paraId="7962EB80" w14:textId="77777777">
        <w:trPr>
          <w:trHeight w:val="197"/>
        </w:trPr>
        <w:tc>
          <w:tcPr>
            <w:tcW w:w="458" w:type="pct"/>
            <w:tcBorders>
              <w:top w:val="single" w:sz="2" w:space="0" w:color="auto"/>
            </w:tcBorders>
          </w:tcPr>
          <w:p w14:paraId="3828AA8B"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w:t>
            </w:r>
          </w:p>
        </w:tc>
        <w:tc>
          <w:tcPr>
            <w:tcW w:w="458" w:type="pct"/>
            <w:tcBorders>
              <w:top w:val="single" w:sz="2" w:space="0" w:color="auto"/>
            </w:tcBorders>
          </w:tcPr>
          <w:p w14:paraId="0B2366D3"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18-20</w:t>
            </w:r>
          </w:p>
        </w:tc>
        <w:tc>
          <w:tcPr>
            <w:tcW w:w="813" w:type="pct"/>
            <w:tcBorders>
              <w:top w:val="single" w:sz="2" w:space="0" w:color="auto"/>
            </w:tcBorders>
          </w:tcPr>
          <w:p w14:paraId="682C5556"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 (5)</w:t>
            </w:r>
          </w:p>
        </w:tc>
        <w:tc>
          <w:tcPr>
            <w:tcW w:w="863" w:type="pct"/>
            <w:tcBorders>
              <w:top w:val="single" w:sz="2" w:space="0" w:color="auto"/>
            </w:tcBorders>
          </w:tcPr>
          <w:p w14:paraId="07D2B649"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25 (6.25)</w:t>
            </w:r>
          </w:p>
        </w:tc>
        <w:tc>
          <w:tcPr>
            <w:tcW w:w="885" w:type="pct"/>
            <w:tcBorders>
              <w:top w:val="single" w:sz="2" w:space="0" w:color="auto"/>
            </w:tcBorders>
          </w:tcPr>
          <w:p w14:paraId="39A7D387" w14:textId="77777777" w:rsidR="00C640BF" w:rsidRDefault="00000000">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45 (11.25)</w:t>
            </w:r>
          </w:p>
        </w:tc>
        <w:tc>
          <w:tcPr>
            <w:tcW w:w="1523" w:type="pct"/>
            <w:tcBorders>
              <w:top w:val="single" w:sz="2" w:space="0" w:color="auto"/>
            </w:tcBorders>
          </w:tcPr>
          <w:p w14:paraId="766AC70B" w14:textId="77777777" w:rsidR="00C640BF" w:rsidRDefault="00000000">
            <w:pPr>
              <w:spacing w:after="0" w:line="240" w:lineRule="auto"/>
              <w:rPr>
                <w:rFonts w:ascii="Arial" w:eastAsia="Times New Roman" w:hAnsi="Arial" w:cs="Arial"/>
                <w:bCs/>
                <w:kern w:val="36"/>
                <w:sz w:val="16"/>
                <w:szCs w:val="24"/>
                <w:lang w:val="en-GB"/>
              </w:rPr>
            </w:pPr>
            <w:r>
              <w:rPr>
                <w:rFonts w:ascii="Arial" w:eastAsia="Times New Roman" w:hAnsi="Arial" w:cs="Arial"/>
                <w:bCs/>
                <w:iCs/>
                <w:kern w:val="36"/>
                <w:sz w:val="16"/>
                <w:szCs w:val="24"/>
              </w:rPr>
              <w:t>7.2822   0.0001   p&lt;0.05 S*</w:t>
            </w:r>
          </w:p>
        </w:tc>
      </w:tr>
      <w:tr w:rsidR="00C640BF" w14:paraId="16D0607F" w14:textId="77777777">
        <w:trPr>
          <w:trHeight w:val="20"/>
        </w:trPr>
        <w:tc>
          <w:tcPr>
            <w:tcW w:w="458" w:type="pct"/>
          </w:tcPr>
          <w:p w14:paraId="62F18D1A"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lastRenderedPageBreak/>
              <w:t>2</w:t>
            </w:r>
          </w:p>
        </w:tc>
        <w:tc>
          <w:tcPr>
            <w:tcW w:w="458" w:type="pct"/>
          </w:tcPr>
          <w:p w14:paraId="67BF052B"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21 -25</w:t>
            </w:r>
          </w:p>
        </w:tc>
        <w:tc>
          <w:tcPr>
            <w:tcW w:w="813" w:type="pct"/>
          </w:tcPr>
          <w:p w14:paraId="263643F3"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50 (12.5)</w:t>
            </w:r>
          </w:p>
        </w:tc>
        <w:tc>
          <w:tcPr>
            <w:tcW w:w="863" w:type="pct"/>
          </w:tcPr>
          <w:p w14:paraId="0AD98863"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35 (8.25)</w:t>
            </w:r>
          </w:p>
        </w:tc>
        <w:tc>
          <w:tcPr>
            <w:tcW w:w="885" w:type="pct"/>
          </w:tcPr>
          <w:p w14:paraId="5651FFE7" w14:textId="77777777" w:rsidR="00C640BF" w:rsidRDefault="00000000">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85 (21.25)</w:t>
            </w:r>
          </w:p>
        </w:tc>
        <w:tc>
          <w:tcPr>
            <w:tcW w:w="1523" w:type="pct"/>
          </w:tcPr>
          <w:p w14:paraId="22D314C4" w14:textId="77777777" w:rsidR="00C640BF" w:rsidRDefault="00000000">
            <w:pPr>
              <w:spacing w:after="0" w:line="240" w:lineRule="auto"/>
              <w:rPr>
                <w:rFonts w:ascii="Arial" w:eastAsia="Times New Roman" w:hAnsi="Arial" w:cs="Arial"/>
                <w:bCs/>
                <w:iCs/>
                <w:kern w:val="36"/>
                <w:sz w:val="16"/>
                <w:szCs w:val="24"/>
              </w:rPr>
            </w:pPr>
            <w:r>
              <w:rPr>
                <w:rFonts w:ascii="Arial" w:eastAsia="Times New Roman" w:hAnsi="Arial" w:cs="Arial"/>
                <w:bCs/>
                <w:iCs/>
                <w:kern w:val="36"/>
                <w:sz w:val="16"/>
                <w:szCs w:val="24"/>
              </w:rPr>
              <w:t xml:space="preserve">             </w:t>
            </w:r>
          </w:p>
        </w:tc>
      </w:tr>
      <w:tr w:rsidR="00C640BF" w14:paraId="21CF587B" w14:textId="77777777">
        <w:trPr>
          <w:trHeight w:val="20"/>
        </w:trPr>
        <w:tc>
          <w:tcPr>
            <w:tcW w:w="458" w:type="pct"/>
          </w:tcPr>
          <w:p w14:paraId="5312B1F1"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w:t>
            </w:r>
          </w:p>
        </w:tc>
        <w:tc>
          <w:tcPr>
            <w:tcW w:w="458" w:type="pct"/>
          </w:tcPr>
          <w:p w14:paraId="0F41412C"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26-30</w:t>
            </w:r>
          </w:p>
        </w:tc>
        <w:tc>
          <w:tcPr>
            <w:tcW w:w="813" w:type="pct"/>
          </w:tcPr>
          <w:p w14:paraId="556DE78F"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46 (11.5)</w:t>
            </w:r>
          </w:p>
        </w:tc>
        <w:tc>
          <w:tcPr>
            <w:tcW w:w="863" w:type="pct"/>
          </w:tcPr>
          <w:p w14:paraId="74594A17"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50 (12.5)</w:t>
            </w:r>
          </w:p>
        </w:tc>
        <w:tc>
          <w:tcPr>
            <w:tcW w:w="885" w:type="pct"/>
          </w:tcPr>
          <w:p w14:paraId="207C38D6" w14:textId="77777777" w:rsidR="00C640BF" w:rsidRDefault="00000000">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96 (24)</w:t>
            </w:r>
          </w:p>
        </w:tc>
        <w:tc>
          <w:tcPr>
            <w:tcW w:w="1523" w:type="pct"/>
          </w:tcPr>
          <w:p w14:paraId="589D338C" w14:textId="77777777" w:rsidR="00C640BF" w:rsidRDefault="00C640BF">
            <w:pPr>
              <w:spacing w:after="0" w:line="240" w:lineRule="auto"/>
              <w:rPr>
                <w:rFonts w:ascii="Arial" w:eastAsia="Times New Roman" w:hAnsi="Arial" w:cs="Arial"/>
                <w:bCs/>
                <w:iCs/>
                <w:kern w:val="36"/>
                <w:sz w:val="16"/>
                <w:szCs w:val="24"/>
              </w:rPr>
            </w:pPr>
          </w:p>
        </w:tc>
      </w:tr>
      <w:tr w:rsidR="00C640BF" w14:paraId="061CE466" w14:textId="77777777">
        <w:trPr>
          <w:trHeight w:val="20"/>
        </w:trPr>
        <w:tc>
          <w:tcPr>
            <w:tcW w:w="458" w:type="pct"/>
          </w:tcPr>
          <w:p w14:paraId="2A821943"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w:t>
            </w:r>
          </w:p>
        </w:tc>
        <w:tc>
          <w:tcPr>
            <w:tcW w:w="458" w:type="pct"/>
          </w:tcPr>
          <w:p w14:paraId="5C0FEA1E"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31-35</w:t>
            </w:r>
          </w:p>
        </w:tc>
        <w:tc>
          <w:tcPr>
            <w:tcW w:w="813" w:type="pct"/>
          </w:tcPr>
          <w:p w14:paraId="69956560"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45 (11.25)</w:t>
            </w:r>
          </w:p>
        </w:tc>
        <w:tc>
          <w:tcPr>
            <w:tcW w:w="863" w:type="pct"/>
          </w:tcPr>
          <w:p w14:paraId="235F03F8"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55 (13.75)</w:t>
            </w:r>
          </w:p>
        </w:tc>
        <w:tc>
          <w:tcPr>
            <w:tcW w:w="885" w:type="pct"/>
          </w:tcPr>
          <w:p w14:paraId="0F2810BF" w14:textId="77777777" w:rsidR="00C640BF" w:rsidRDefault="00000000">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100 (25)</w:t>
            </w:r>
          </w:p>
        </w:tc>
        <w:tc>
          <w:tcPr>
            <w:tcW w:w="1523" w:type="pct"/>
          </w:tcPr>
          <w:p w14:paraId="0F172616" w14:textId="77777777" w:rsidR="00C640BF" w:rsidRDefault="00C640BF">
            <w:pPr>
              <w:spacing w:after="0" w:line="240" w:lineRule="auto"/>
              <w:rPr>
                <w:rFonts w:ascii="Arial" w:eastAsia="Times New Roman" w:hAnsi="Arial" w:cs="Arial"/>
                <w:bCs/>
                <w:iCs/>
                <w:kern w:val="36"/>
                <w:sz w:val="16"/>
                <w:szCs w:val="24"/>
              </w:rPr>
            </w:pPr>
          </w:p>
        </w:tc>
      </w:tr>
      <w:tr w:rsidR="00C640BF" w14:paraId="6A71C2B8" w14:textId="77777777">
        <w:trPr>
          <w:trHeight w:val="20"/>
        </w:trPr>
        <w:tc>
          <w:tcPr>
            <w:tcW w:w="458" w:type="pct"/>
          </w:tcPr>
          <w:p w14:paraId="1D72DEB2"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w:t>
            </w:r>
          </w:p>
        </w:tc>
        <w:tc>
          <w:tcPr>
            <w:tcW w:w="458" w:type="pct"/>
          </w:tcPr>
          <w:p w14:paraId="5AD60AA2"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36 -40      </w:t>
            </w:r>
          </w:p>
        </w:tc>
        <w:tc>
          <w:tcPr>
            <w:tcW w:w="813" w:type="pct"/>
          </w:tcPr>
          <w:p w14:paraId="6062DCFD"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34 (8.5)</w:t>
            </w:r>
          </w:p>
        </w:tc>
        <w:tc>
          <w:tcPr>
            <w:tcW w:w="863" w:type="pct"/>
          </w:tcPr>
          <w:p w14:paraId="4BC4C494"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 25 (6.25)</w:t>
            </w:r>
          </w:p>
        </w:tc>
        <w:tc>
          <w:tcPr>
            <w:tcW w:w="885" w:type="pct"/>
          </w:tcPr>
          <w:p w14:paraId="56B64678" w14:textId="77777777" w:rsidR="00C640BF" w:rsidRDefault="00000000">
            <w:pPr>
              <w:spacing w:after="0" w:line="360" w:lineRule="auto"/>
              <w:rPr>
                <w:rFonts w:ascii="Arial" w:eastAsia="Times New Roman" w:hAnsi="Arial" w:cs="Arial"/>
                <w:bCs/>
                <w:iCs/>
                <w:kern w:val="36"/>
                <w:sz w:val="16"/>
                <w:szCs w:val="24"/>
              </w:rPr>
            </w:pPr>
            <w:r>
              <w:rPr>
                <w:rFonts w:ascii="Arial" w:eastAsia="Times New Roman" w:hAnsi="Arial" w:cs="Arial"/>
                <w:bCs/>
                <w:iCs/>
                <w:kern w:val="36"/>
                <w:sz w:val="16"/>
                <w:szCs w:val="24"/>
              </w:rPr>
              <w:t>59 (14.75)</w:t>
            </w:r>
          </w:p>
        </w:tc>
        <w:tc>
          <w:tcPr>
            <w:tcW w:w="1523" w:type="pct"/>
          </w:tcPr>
          <w:p w14:paraId="29BA483B" w14:textId="77777777" w:rsidR="00C640BF" w:rsidRDefault="00C640BF">
            <w:pPr>
              <w:spacing w:after="0" w:line="240" w:lineRule="auto"/>
              <w:rPr>
                <w:rFonts w:ascii="Arial" w:eastAsia="Times New Roman" w:hAnsi="Arial" w:cs="Arial"/>
                <w:bCs/>
                <w:kern w:val="36"/>
                <w:sz w:val="16"/>
                <w:szCs w:val="24"/>
                <w:lang w:val="en-GB"/>
              </w:rPr>
            </w:pPr>
          </w:p>
        </w:tc>
      </w:tr>
      <w:tr w:rsidR="00C640BF" w14:paraId="4EE5484B" w14:textId="77777777">
        <w:trPr>
          <w:trHeight w:val="20"/>
        </w:trPr>
        <w:tc>
          <w:tcPr>
            <w:tcW w:w="458" w:type="pct"/>
          </w:tcPr>
          <w:p w14:paraId="2947EB08"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6</w:t>
            </w:r>
          </w:p>
        </w:tc>
        <w:tc>
          <w:tcPr>
            <w:tcW w:w="458" w:type="pct"/>
          </w:tcPr>
          <w:p w14:paraId="471051BF"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41 -45</w:t>
            </w:r>
          </w:p>
        </w:tc>
        <w:tc>
          <w:tcPr>
            <w:tcW w:w="813" w:type="pct"/>
          </w:tcPr>
          <w:p w14:paraId="581CDCEF"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5 (1.25)</w:t>
            </w:r>
          </w:p>
        </w:tc>
        <w:tc>
          <w:tcPr>
            <w:tcW w:w="863" w:type="pct"/>
          </w:tcPr>
          <w:p w14:paraId="6654A0C7"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 xml:space="preserve"> 10(2.5)</w:t>
            </w:r>
          </w:p>
        </w:tc>
        <w:tc>
          <w:tcPr>
            <w:tcW w:w="885" w:type="pct"/>
          </w:tcPr>
          <w:p w14:paraId="57A8D7F8"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15 (3.73)</w:t>
            </w:r>
          </w:p>
        </w:tc>
        <w:tc>
          <w:tcPr>
            <w:tcW w:w="1523" w:type="pct"/>
          </w:tcPr>
          <w:p w14:paraId="03723198" w14:textId="77777777" w:rsidR="00C640BF" w:rsidRDefault="00C640BF">
            <w:pPr>
              <w:spacing w:after="0" w:line="240" w:lineRule="auto"/>
              <w:rPr>
                <w:rFonts w:ascii="Arial" w:eastAsia="Times New Roman" w:hAnsi="Arial" w:cs="Arial"/>
                <w:bCs/>
                <w:kern w:val="36"/>
                <w:sz w:val="16"/>
                <w:szCs w:val="24"/>
                <w:lang w:val="en-GB"/>
              </w:rPr>
            </w:pPr>
          </w:p>
        </w:tc>
      </w:tr>
      <w:tr w:rsidR="00C640BF" w14:paraId="47622435" w14:textId="77777777">
        <w:trPr>
          <w:trHeight w:val="189"/>
        </w:trPr>
        <w:tc>
          <w:tcPr>
            <w:tcW w:w="458" w:type="pct"/>
          </w:tcPr>
          <w:p w14:paraId="4D13484D" w14:textId="77777777" w:rsidR="00C640BF" w:rsidRDefault="00000000">
            <w:pPr>
              <w:spacing w:after="0" w:line="360" w:lineRule="auto"/>
              <w:rPr>
                <w:rFonts w:ascii="Arial" w:eastAsia="Times New Roman" w:hAnsi="Arial" w:cs="Arial"/>
                <w:bCs/>
                <w:kern w:val="36"/>
                <w:sz w:val="16"/>
                <w:szCs w:val="24"/>
                <w:lang w:val="en-GB"/>
              </w:rPr>
            </w:pPr>
            <w:proofErr w:type="spellStart"/>
            <w:r>
              <w:rPr>
                <w:rFonts w:ascii="Arial" w:eastAsia="Times New Roman" w:hAnsi="Arial" w:cs="Arial"/>
                <w:bCs/>
                <w:kern w:val="36"/>
                <w:sz w:val="10"/>
                <w:szCs w:val="24"/>
                <w:lang w:val="en-GB"/>
              </w:rPr>
              <w:t>Totalsample</w:t>
            </w:r>
            <w:proofErr w:type="spellEnd"/>
            <w:r>
              <w:rPr>
                <w:rFonts w:ascii="Arial" w:eastAsia="Times New Roman" w:hAnsi="Arial" w:cs="Arial"/>
                <w:bCs/>
                <w:kern w:val="36"/>
                <w:sz w:val="16"/>
                <w:szCs w:val="24"/>
                <w:lang w:val="en-GB"/>
              </w:rPr>
              <w:t xml:space="preserve"> </w:t>
            </w:r>
          </w:p>
        </w:tc>
        <w:tc>
          <w:tcPr>
            <w:tcW w:w="458" w:type="pct"/>
          </w:tcPr>
          <w:p w14:paraId="77C990C1" w14:textId="77777777" w:rsidR="00C640BF" w:rsidRDefault="00C640BF">
            <w:pPr>
              <w:spacing w:after="0" w:line="360" w:lineRule="auto"/>
              <w:rPr>
                <w:rFonts w:ascii="Arial" w:eastAsia="Times New Roman" w:hAnsi="Arial" w:cs="Arial"/>
                <w:bCs/>
                <w:kern w:val="36"/>
                <w:sz w:val="16"/>
                <w:szCs w:val="24"/>
                <w:lang w:val="en-GB"/>
              </w:rPr>
            </w:pPr>
          </w:p>
        </w:tc>
        <w:tc>
          <w:tcPr>
            <w:tcW w:w="813" w:type="pct"/>
          </w:tcPr>
          <w:p w14:paraId="0AC333B4"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200 (50)</w:t>
            </w:r>
          </w:p>
        </w:tc>
        <w:tc>
          <w:tcPr>
            <w:tcW w:w="863" w:type="pct"/>
          </w:tcPr>
          <w:p w14:paraId="7DA32FF7"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200 (50%)</w:t>
            </w:r>
          </w:p>
        </w:tc>
        <w:tc>
          <w:tcPr>
            <w:tcW w:w="885" w:type="pct"/>
          </w:tcPr>
          <w:p w14:paraId="7874240B" w14:textId="77777777" w:rsidR="00C640BF" w:rsidRDefault="00000000">
            <w:pPr>
              <w:spacing w:after="0" w:line="360" w:lineRule="auto"/>
              <w:rPr>
                <w:rFonts w:ascii="Arial" w:eastAsia="Times New Roman" w:hAnsi="Arial" w:cs="Arial"/>
                <w:bCs/>
                <w:kern w:val="36"/>
                <w:sz w:val="16"/>
                <w:szCs w:val="24"/>
                <w:lang w:val="en-GB"/>
              </w:rPr>
            </w:pPr>
            <w:r>
              <w:rPr>
                <w:rFonts w:ascii="Arial" w:eastAsia="Times New Roman" w:hAnsi="Arial" w:cs="Arial"/>
                <w:bCs/>
                <w:kern w:val="36"/>
                <w:sz w:val="16"/>
                <w:szCs w:val="24"/>
                <w:lang w:val="en-GB"/>
              </w:rPr>
              <w:t>400 (100%)</w:t>
            </w:r>
          </w:p>
        </w:tc>
        <w:tc>
          <w:tcPr>
            <w:tcW w:w="1523" w:type="pct"/>
          </w:tcPr>
          <w:p w14:paraId="1A97AA04" w14:textId="77777777" w:rsidR="00C640BF" w:rsidRDefault="00C640BF">
            <w:pPr>
              <w:spacing w:after="0" w:line="240" w:lineRule="auto"/>
              <w:rPr>
                <w:rFonts w:ascii="Arial" w:eastAsia="Times New Roman" w:hAnsi="Arial" w:cs="Arial"/>
                <w:bCs/>
                <w:kern w:val="36"/>
                <w:sz w:val="16"/>
                <w:szCs w:val="24"/>
                <w:lang w:val="en-GB"/>
              </w:rPr>
            </w:pPr>
          </w:p>
        </w:tc>
      </w:tr>
      <w:bookmarkEnd w:id="13"/>
    </w:tbl>
    <w:p w14:paraId="1B13ED68" w14:textId="77777777" w:rsidR="00C640BF" w:rsidRDefault="00C640BF">
      <w:pPr>
        <w:spacing w:after="0" w:line="240" w:lineRule="auto"/>
        <w:rPr>
          <w:rFonts w:eastAsia="Times New Roman" w:cs="Calibri"/>
          <w:bCs/>
          <w:kern w:val="36"/>
          <w:sz w:val="20"/>
          <w:szCs w:val="20"/>
        </w:rPr>
      </w:pPr>
    </w:p>
    <w:p w14:paraId="668774B0" w14:textId="77777777" w:rsidR="00C640BF" w:rsidRDefault="00000000">
      <w:pPr>
        <w:spacing w:after="0" w:line="240" w:lineRule="auto"/>
        <w:rPr>
          <w:rFonts w:eastAsia="Times New Roman" w:cs="Calibri"/>
          <w:bCs/>
          <w:kern w:val="36"/>
          <w:sz w:val="20"/>
          <w:szCs w:val="20"/>
        </w:rPr>
      </w:pPr>
      <w:r>
        <w:rPr>
          <w:rFonts w:eastAsia="Times New Roman" w:cs="Calibri"/>
          <w:bCs/>
          <w:kern w:val="36"/>
          <w:sz w:val="16"/>
          <w:szCs w:val="20"/>
        </w:rPr>
        <w:t>S * denotes    statistically significant difference</w:t>
      </w:r>
    </w:p>
    <w:p w14:paraId="75946FD5" w14:textId="77777777" w:rsidR="00C640BF" w:rsidRDefault="00C640BF">
      <w:pPr>
        <w:rPr>
          <w:rFonts w:eastAsia="Times New Roman" w:cs="Calibri"/>
          <w:b/>
          <w:bCs/>
          <w:kern w:val="36"/>
          <w:sz w:val="24"/>
          <w:szCs w:val="24"/>
        </w:rPr>
      </w:pPr>
    </w:p>
    <w:p w14:paraId="5A932DCC" w14:textId="77777777" w:rsidR="00C640BF" w:rsidRDefault="00C640BF">
      <w:pPr>
        <w:rPr>
          <w:rFonts w:eastAsia="Times New Roman" w:cs="Calibri"/>
          <w:b/>
          <w:bCs/>
          <w:kern w:val="36"/>
          <w:sz w:val="24"/>
          <w:szCs w:val="24"/>
        </w:rPr>
      </w:pPr>
    </w:p>
    <w:p w14:paraId="5B50C8D8" w14:textId="77777777" w:rsidR="00C640BF" w:rsidRDefault="00000000">
      <w:pPr>
        <w:spacing w:after="0" w:line="240" w:lineRule="auto"/>
        <w:rPr>
          <w:rFonts w:ascii="Times New Roman" w:eastAsia="Times New Roman" w:hAnsi="Times New Roman" w:cs="Times New Roman"/>
          <w:b/>
          <w:bCs/>
          <w:kern w:val="36"/>
          <w:sz w:val="16"/>
          <w:szCs w:val="18"/>
        </w:rPr>
      </w:pPr>
      <w:r>
        <w:rPr>
          <w:rFonts w:ascii="Times New Roman" w:eastAsia="Times New Roman" w:hAnsi="Times New Roman" w:cs="Times New Roman"/>
          <w:b/>
          <w:bCs/>
          <w:kern w:val="36"/>
          <w:sz w:val="16"/>
          <w:szCs w:val="18"/>
        </w:rPr>
        <w:t>Table 2. Results of Means Values of Parameters done during first, second and third trimesters of pregnancy among pregnant women and non-pregnant women attending Antenatal clinic in  UCTH Calabar, Cross River State, Nigeria</w:t>
      </w:r>
    </w:p>
    <w:tbl>
      <w:tblPr>
        <w:tblStyle w:val="TableGrid"/>
        <w:tblW w:w="5569"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64"/>
        <w:gridCol w:w="1114"/>
        <w:gridCol w:w="571"/>
        <w:gridCol w:w="1088"/>
        <w:gridCol w:w="1080"/>
        <w:gridCol w:w="893"/>
        <w:gridCol w:w="1177"/>
        <w:gridCol w:w="992"/>
        <w:gridCol w:w="710"/>
        <w:gridCol w:w="1068"/>
      </w:tblGrid>
      <w:tr w:rsidR="00C640BF" w14:paraId="2B010DD7" w14:textId="77777777">
        <w:trPr>
          <w:trHeight w:val="20"/>
          <w:jc w:val="center"/>
        </w:trPr>
        <w:tc>
          <w:tcPr>
            <w:tcW w:w="678" w:type="pct"/>
          </w:tcPr>
          <w:p w14:paraId="4535E939" w14:textId="77777777" w:rsidR="00C640BF" w:rsidRDefault="00000000">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Parameter done </w:t>
            </w:r>
          </w:p>
        </w:tc>
        <w:tc>
          <w:tcPr>
            <w:tcW w:w="838" w:type="pct"/>
            <w:gridSpan w:val="2"/>
          </w:tcPr>
          <w:p w14:paraId="404118FB" w14:textId="77777777" w:rsidR="00C640BF" w:rsidRDefault="00C640BF">
            <w:pPr>
              <w:spacing w:after="0" w:line="240" w:lineRule="auto"/>
              <w:rPr>
                <w:rFonts w:ascii="Times New Roman" w:hAnsi="Times New Roman"/>
                <w:b/>
                <w:bCs/>
                <w:sz w:val="16"/>
                <w:szCs w:val="18"/>
                <w:lang w:val="en-GB"/>
              </w:rPr>
            </w:pPr>
          </w:p>
        </w:tc>
        <w:tc>
          <w:tcPr>
            <w:tcW w:w="541" w:type="pct"/>
          </w:tcPr>
          <w:p w14:paraId="1C6836E5" w14:textId="77777777" w:rsidR="00C640BF" w:rsidRDefault="00000000">
            <w:pPr>
              <w:spacing w:after="0" w:line="240" w:lineRule="auto"/>
              <w:rPr>
                <w:rFonts w:ascii="Arial" w:hAnsi="Arial" w:cs="Arial"/>
                <w:bCs/>
                <w:kern w:val="36"/>
                <w:sz w:val="10"/>
                <w:szCs w:val="18"/>
              </w:rPr>
            </w:pPr>
            <w:r>
              <w:rPr>
                <w:rFonts w:ascii="Arial" w:hAnsi="Arial" w:cs="Arial"/>
                <w:bCs/>
                <w:sz w:val="10"/>
                <w:szCs w:val="18"/>
              </w:rPr>
              <w:t>Mean Values</w:t>
            </w:r>
            <w:r>
              <w:rPr>
                <w:rFonts w:ascii="Arial" w:hAnsi="Arial" w:cs="Arial"/>
                <w:bCs/>
                <w:kern w:val="36"/>
                <w:sz w:val="10"/>
                <w:szCs w:val="18"/>
              </w:rPr>
              <w:t xml:space="preserve"> in first trimester of Pregnancy </w:t>
            </w:r>
            <w:r>
              <w:rPr>
                <w:rFonts w:ascii="Arial" w:eastAsia="Microsoft YaHei" w:hAnsi="Arial" w:cs="Arial"/>
                <w:iCs/>
                <w:sz w:val="10"/>
              </w:rPr>
              <w:t>(X±SD)</w:t>
            </w:r>
          </w:p>
          <w:p w14:paraId="650E9D45" w14:textId="77777777" w:rsidR="00C640BF" w:rsidRDefault="00C640BF">
            <w:pPr>
              <w:spacing w:after="0" w:line="240" w:lineRule="auto"/>
              <w:rPr>
                <w:rFonts w:ascii="Arial" w:hAnsi="Arial" w:cs="Arial"/>
                <w:bCs/>
                <w:sz w:val="10"/>
                <w:szCs w:val="18"/>
                <w:lang w:val="en-GB"/>
              </w:rPr>
            </w:pPr>
          </w:p>
        </w:tc>
        <w:tc>
          <w:tcPr>
            <w:tcW w:w="537" w:type="pct"/>
          </w:tcPr>
          <w:p w14:paraId="7CB4551A" w14:textId="77777777" w:rsidR="00C640BF" w:rsidRDefault="00000000">
            <w:pPr>
              <w:spacing w:after="0" w:line="240" w:lineRule="auto"/>
              <w:rPr>
                <w:rFonts w:ascii="Arial" w:hAnsi="Arial" w:cs="Arial"/>
                <w:bCs/>
                <w:sz w:val="10"/>
                <w:szCs w:val="18"/>
              </w:rPr>
            </w:pPr>
            <w:r>
              <w:rPr>
                <w:rFonts w:ascii="Arial" w:hAnsi="Arial" w:cs="Arial"/>
                <w:bCs/>
                <w:sz w:val="10"/>
                <w:szCs w:val="18"/>
              </w:rPr>
              <w:t>Mean Values in second trimester of Pregnancy</w:t>
            </w:r>
            <w:r>
              <w:rPr>
                <w:rFonts w:ascii="Arial" w:eastAsia="Microsoft YaHei" w:hAnsi="Arial" w:cs="Arial"/>
                <w:iCs/>
                <w:sz w:val="10"/>
              </w:rPr>
              <w:t>(X±SD)</w:t>
            </w:r>
          </w:p>
          <w:p w14:paraId="2D31BC02" w14:textId="77777777" w:rsidR="00C640BF" w:rsidRDefault="00000000">
            <w:pPr>
              <w:spacing w:after="0" w:line="240" w:lineRule="auto"/>
              <w:rPr>
                <w:rFonts w:ascii="Arial" w:hAnsi="Arial" w:cs="Arial"/>
                <w:bCs/>
                <w:sz w:val="10"/>
                <w:szCs w:val="18"/>
              </w:rPr>
            </w:pPr>
            <w:r>
              <w:rPr>
                <w:rFonts w:ascii="Arial" w:hAnsi="Arial" w:cs="Arial"/>
                <w:bCs/>
                <w:sz w:val="10"/>
                <w:szCs w:val="18"/>
              </w:rPr>
              <w:t xml:space="preserve"> </w:t>
            </w:r>
          </w:p>
        </w:tc>
        <w:tc>
          <w:tcPr>
            <w:tcW w:w="444" w:type="pct"/>
          </w:tcPr>
          <w:p w14:paraId="6806726A" w14:textId="77777777" w:rsidR="00C640BF" w:rsidRDefault="00000000">
            <w:pPr>
              <w:spacing w:after="0" w:line="240" w:lineRule="auto"/>
              <w:rPr>
                <w:rFonts w:ascii="Arial" w:hAnsi="Arial" w:cs="Arial"/>
                <w:bCs/>
                <w:sz w:val="10"/>
                <w:szCs w:val="18"/>
              </w:rPr>
            </w:pPr>
            <w:r>
              <w:rPr>
                <w:rFonts w:ascii="Arial" w:hAnsi="Arial" w:cs="Arial"/>
                <w:bCs/>
                <w:sz w:val="10"/>
                <w:szCs w:val="18"/>
              </w:rPr>
              <w:t>Mean Values in third trimester</w:t>
            </w:r>
          </w:p>
          <w:p w14:paraId="5A60369B" w14:textId="77777777" w:rsidR="00C640BF" w:rsidRDefault="00000000">
            <w:pPr>
              <w:spacing w:after="0" w:line="240" w:lineRule="auto"/>
              <w:rPr>
                <w:rFonts w:ascii="Arial" w:hAnsi="Arial" w:cs="Arial"/>
                <w:bCs/>
                <w:sz w:val="10"/>
                <w:szCs w:val="18"/>
              </w:rPr>
            </w:pPr>
            <w:r>
              <w:rPr>
                <w:rFonts w:ascii="Arial" w:hAnsi="Arial" w:cs="Arial"/>
                <w:bCs/>
                <w:sz w:val="10"/>
                <w:szCs w:val="18"/>
              </w:rPr>
              <w:t xml:space="preserve"> of Pregnancy </w:t>
            </w:r>
          </w:p>
          <w:p w14:paraId="381BB9F1" w14:textId="77777777" w:rsidR="00C640BF" w:rsidRDefault="00000000">
            <w:pPr>
              <w:spacing w:after="0" w:line="240" w:lineRule="auto"/>
              <w:rPr>
                <w:rFonts w:ascii="Arial" w:hAnsi="Arial" w:cs="Arial"/>
                <w:bCs/>
                <w:sz w:val="10"/>
                <w:szCs w:val="18"/>
              </w:rPr>
            </w:pPr>
            <w:r>
              <w:rPr>
                <w:rFonts w:ascii="Arial" w:eastAsia="Microsoft YaHei" w:hAnsi="Arial" w:cs="Arial"/>
                <w:iCs/>
                <w:sz w:val="10"/>
              </w:rPr>
              <w:t>(X±SD)</w:t>
            </w:r>
          </w:p>
        </w:tc>
        <w:tc>
          <w:tcPr>
            <w:tcW w:w="585" w:type="pct"/>
          </w:tcPr>
          <w:p w14:paraId="1AB92007" w14:textId="77777777" w:rsidR="00C640BF" w:rsidRDefault="00000000">
            <w:pPr>
              <w:spacing w:after="0" w:line="240" w:lineRule="auto"/>
              <w:rPr>
                <w:rFonts w:ascii="Arial" w:hAnsi="Arial" w:cs="Arial"/>
                <w:bCs/>
                <w:sz w:val="10"/>
                <w:szCs w:val="18"/>
              </w:rPr>
            </w:pPr>
            <w:r>
              <w:rPr>
                <w:rFonts w:ascii="Arial" w:hAnsi="Arial" w:cs="Arial"/>
                <w:bCs/>
                <w:sz w:val="10"/>
                <w:szCs w:val="18"/>
                <w:lang w:val="en-GB"/>
              </w:rPr>
              <w:t xml:space="preserve"> </w:t>
            </w:r>
            <w:r>
              <w:rPr>
                <w:rFonts w:ascii="Arial" w:hAnsi="Arial" w:cs="Arial"/>
                <w:bCs/>
                <w:sz w:val="10"/>
                <w:szCs w:val="18"/>
              </w:rPr>
              <w:t>Means Values</w:t>
            </w:r>
          </w:p>
          <w:p w14:paraId="4B0E7F57" w14:textId="77777777" w:rsidR="00C640BF" w:rsidRDefault="00000000">
            <w:pPr>
              <w:spacing w:after="0" w:line="240" w:lineRule="auto"/>
              <w:rPr>
                <w:rFonts w:ascii="Arial" w:hAnsi="Arial" w:cs="Arial"/>
                <w:bCs/>
                <w:sz w:val="10"/>
                <w:szCs w:val="18"/>
              </w:rPr>
            </w:pPr>
            <w:r>
              <w:rPr>
                <w:rFonts w:ascii="Arial" w:hAnsi="Arial" w:cs="Arial"/>
                <w:bCs/>
                <w:sz w:val="10"/>
                <w:szCs w:val="18"/>
              </w:rPr>
              <w:t xml:space="preserve">Total trimesters </w:t>
            </w:r>
          </w:p>
          <w:p w14:paraId="0637FB6F" w14:textId="77777777" w:rsidR="00C640BF" w:rsidRDefault="00000000">
            <w:pPr>
              <w:spacing w:after="0" w:line="240" w:lineRule="auto"/>
              <w:rPr>
                <w:rFonts w:ascii="Arial" w:hAnsi="Arial" w:cs="Arial"/>
                <w:bCs/>
                <w:sz w:val="10"/>
                <w:szCs w:val="18"/>
              </w:rPr>
            </w:pPr>
            <w:r>
              <w:rPr>
                <w:rFonts w:ascii="Arial" w:hAnsi="Arial" w:cs="Arial"/>
                <w:bCs/>
                <w:sz w:val="10"/>
                <w:szCs w:val="18"/>
              </w:rPr>
              <w:t>of pregnancy</w:t>
            </w:r>
          </w:p>
          <w:p w14:paraId="2CB58819" w14:textId="77777777" w:rsidR="00C640BF" w:rsidRDefault="00000000">
            <w:pPr>
              <w:spacing w:after="0" w:line="240" w:lineRule="auto"/>
              <w:rPr>
                <w:rFonts w:ascii="Arial" w:hAnsi="Arial" w:cs="Arial"/>
                <w:bCs/>
                <w:sz w:val="10"/>
                <w:szCs w:val="18"/>
              </w:rPr>
            </w:pPr>
            <w:r>
              <w:rPr>
                <w:rFonts w:ascii="Arial" w:eastAsia="Microsoft YaHei" w:hAnsi="Arial" w:cs="Arial"/>
                <w:iCs/>
                <w:sz w:val="10"/>
              </w:rPr>
              <w:t>(X±SD)</w:t>
            </w:r>
          </w:p>
        </w:tc>
        <w:tc>
          <w:tcPr>
            <w:tcW w:w="493" w:type="pct"/>
          </w:tcPr>
          <w:p w14:paraId="4B32F874" w14:textId="77777777" w:rsidR="00C640BF" w:rsidRDefault="00000000">
            <w:pPr>
              <w:spacing w:after="0" w:line="240" w:lineRule="auto"/>
              <w:rPr>
                <w:rFonts w:ascii="Arial" w:hAnsi="Arial" w:cs="Arial"/>
                <w:bCs/>
                <w:sz w:val="10"/>
                <w:szCs w:val="18"/>
                <w:lang w:val="en-GB"/>
              </w:rPr>
            </w:pPr>
            <w:r>
              <w:rPr>
                <w:rFonts w:ascii="Arial" w:hAnsi="Arial" w:cs="Arial"/>
                <w:bCs/>
                <w:sz w:val="10"/>
                <w:szCs w:val="18"/>
              </w:rPr>
              <w:t>Means Values</w:t>
            </w:r>
          </w:p>
          <w:p w14:paraId="7D725E04" w14:textId="77777777" w:rsidR="00C640BF" w:rsidRDefault="00000000">
            <w:pPr>
              <w:spacing w:after="0" w:line="240" w:lineRule="auto"/>
              <w:rPr>
                <w:rFonts w:ascii="Arial" w:hAnsi="Arial" w:cs="Arial"/>
                <w:bCs/>
                <w:sz w:val="10"/>
                <w:szCs w:val="18"/>
                <w:lang w:val="en-GB"/>
              </w:rPr>
            </w:pPr>
            <w:r>
              <w:rPr>
                <w:rFonts w:ascii="Arial" w:hAnsi="Arial" w:cs="Arial"/>
                <w:bCs/>
                <w:sz w:val="10"/>
                <w:szCs w:val="18"/>
                <w:lang w:val="en-GB"/>
              </w:rPr>
              <w:t xml:space="preserve"> for Non-</w:t>
            </w:r>
          </w:p>
          <w:p w14:paraId="278DC487" w14:textId="77777777" w:rsidR="00C640BF" w:rsidRDefault="00000000">
            <w:pPr>
              <w:spacing w:after="0" w:line="240" w:lineRule="auto"/>
              <w:rPr>
                <w:rFonts w:ascii="Arial" w:hAnsi="Arial" w:cs="Arial"/>
                <w:bCs/>
                <w:sz w:val="10"/>
                <w:szCs w:val="18"/>
                <w:lang w:val="en-GB"/>
              </w:rPr>
            </w:pPr>
            <w:r>
              <w:rPr>
                <w:rFonts w:ascii="Arial" w:hAnsi="Arial" w:cs="Arial"/>
                <w:bCs/>
                <w:sz w:val="10"/>
                <w:szCs w:val="18"/>
                <w:lang w:val="en-GB"/>
              </w:rPr>
              <w:t>pregnant</w:t>
            </w:r>
          </w:p>
          <w:p w14:paraId="04B9394D" w14:textId="77777777" w:rsidR="00C640BF" w:rsidRDefault="00000000">
            <w:pPr>
              <w:spacing w:after="0" w:line="240" w:lineRule="auto"/>
              <w:rPr>
                <w:rFonts w:ascii="Arial" w:hAnsi="Arial" w:cs="Arial"/>
                <w:bCs/>
                <w:sz w:val="10"/>
                <w:szCs w:val="18"/>
                <w:lang w:val="en-GB"/>
              </w:rPr>
            </w:pPr>
            <w:r>
              <w:rPr>
                <w:rFonts w:ascii="Arial" w:hAnsi="Arial" w:cs="Arial"/>
                <w:bCs/>
                <w:sz w:val="10"/>
                <w:szCs w:val="18"/>
                <w:lang w:val="en-GB"/>
              </w:rPr>
              <w:t xml:space="preserve">Women </w:t>
            </w:r>
            <w:r>
              <w:rPr>
                <w:rFonts w:ascii="Arial" w:eastAsia="Microsoft YaHei" w:hAnsi="Arial" w:cs="Arial"/>
                <w:iCs/>
                <w:sz w:val="10"/>
              </w:rPr>
              <w:t>(X±SD)</w:t>
            </w:r>
          </w:p>
        </w:tc>
        <w:tc>
          <w:tcPr>
            <w:tcW w:w="353" w:type="pct"/>
          </w:tcPr>
          <w:p w14:paraId="50D7F2AC" w14:textId="77777777" w:rsidR="00C640BF" w:rsidRDefault="00000000">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p-values </w:t>
            </w:r>
          </w:p>
        </w:tc>
        <w:tc>
          <w:tcPr>
            <w:tcW w:w="531" w:type="pct"/>
          </w:tcPr>
          <w:p w14:paraId="07859711" w14:textId="77777777" w:rsidR="00C640BF" w:rsidRDefault="00000000">
            <w:pPr>
              <w:spacing w:after="0" w:line="240" w:lineRule="auto"/>
              <w:rPr>
                <w:rFonts w:ascii="Times New Roman" w:hAnsi="Times New Roman"/>
                <w:bCs/>
                <w:sz w:val="16"/>
                <w:szCs w:val="18"/>
                <w:lang w:val="en-GB"/>
              </w:rPr>
            </w:pPr>
            <w:r>
              <w:rPr>
                <w:rFonts w:ascii="Times New Roman" w:hAnsi="Times New Roman"/>
                <w:bCs/>
                <w:sz w:val="16"/>
                <w:szCs w:val="18"/>
                <w:lang w:val="en-GB"/>
              </w:rPr>
              <w:t xml:space="preserve">Remarks </w:t>
            </w:r>
          </w:p>
        </w:tc>
      </w:tr>
      <w:tr w:rsidR="00C640BF" w14:paraId="475DE170" w14:textId="77777777">
        <w:trPr>
          <w:trHeight w:val="20"/>
          <w:jc w:val="center"/>
        </w:trPr>
        <w:tc>
          <w:tcPr>
            <w:tcW w:w="678" w:type="pct"/>
          </w:tcPr>
          <w:p w14:paraId="627CC074" w14:textId="77777777" w:rsidR="00C640BF" w:rsidRDefault="00000000">
            <w:pPr>
              <w:spacing w:after="0" w:line="240" w:lineRule="auto"/>
              <w:rPr>
                <w:rFonts w:ascii="Times New Roman" w:hAnsi="Times New Roman"/>
                <w:sz w:val="14"/>
                <w:szCs w:val="18"/>
                <w:lang w:val="fr-FR"/>
              </w:rPr>
            </w:pPr>
            <w:bookmarkStart w:id="14" w:name="_Hlk185819024"/>
            <w:r>
              <w:rPr>
                <w:rFonts w:ascii="Times New Roman" w:hAnsi="Times New Roman"/>
                <w:sz w:val="14"/>
                <w:szCs w:val="18"/>
                <w:lang w:val="fr-FR"/>
              </w:rPr>
              <w:t xml:space="preserve">Total Plasma  </w:t>
            </w:r>
            <w:proofErr w:type="spellStart"/>
            <w:r>
              <w:rPr>
                <w:rFonts w:ascii="Times New Roman" w:hAnsi="Times New Roman"/>
                <w:sz w:val="14"/>
                <w:szCs w:val="18"/>
                <w:lang w:val="fr-FR"/>
              </w:rPr>
              <w:t>Protein</w:t>
            </w:r>
            <w:proofErr w:type="spellEnd"/>
          </w:p>
        </w:tc>
        <w:tc>
          <w:tcPr>
            <w:tcW w:w="554" w:type="pct"/>
          </w:tcPr>
          <w:p w14:paraId="66F009B1"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TPP</w:t>
            </w:r>
          </w:p>
        </w:tc>
        <w:tc>
          <w:tcPr>
            <w:tcW w:w="284" w:type="pct"/>
          </w:tcPr>
          <w:p w14:paraId="21B0A631"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(g/dl)</w:t>
            </w:r>
          </w:p>
        </w:tc>
        <w:tc>
          <w:tcPr>
            <w:tcW w:w="541" w:type="pct"/>
          </w:tcPr>
          <w:p w14:paraId="10E465F1"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 xml:space="preserve"> 6.47 </w:t>
            </w:r>
            <w:r>
              <w:rPr>
                <w:rFonts w:ascii="Times New Roman" w:hAnsi="Times New Roman"/>
                <w:sz w:val="14"/>
                <w:szCs w:val="18"/>
              </w:rPr>
              <w:t>±</w:t>
            </w:r>
            <w:r>
              <w:rPr>
                <w:rFonts w:ascii="Times New Roman" w:hAnsi="Times New Roman"/>
                <w:sz w:val="14"/>
                <w:szCs w:val="18"/>
                <w:lang w:val="fr-FR"/>
              </w:rPr>
              <w:t xml:space="preserve"> 0.88</w:t>
            </w:r>
          </w:p>
        </w:tc>
        <w:tc>
          <w:tcPr>
            <w:tcW w:w="537" w:type="pct"/>
          </w:tcPr>
          <w:p w14:paraId="2527949C"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5.7</w:t>
            </w:r>
            <w:r>
              <w:rPr>
                <w:rFonts w:ascii="Times New Roman" w:hAnsi="Times New Roman"/>
                <w:sz w:val="14"/>
                <w:szCs w:val="18"/>
              </w:rPr>
              <w:t>± 0.76</w:t>
            </w:r>
          </w:p>
        </w:tc>
        <w:tc>
          <w:tcPr>
            <w:tcW w:w="444" w:type="pct"/>
          </w:tcPr>
          <w:p w14:paraId="7A7CF824"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rPr>
              <w:t>5.6 ± 0.67</w:t>
            </w:r>
          </w:p>
        </w:tc>
        <w:tc>
          <w:tcPr>
            <w:tcW w:w="585" w:type="pct"/>
          </w:tcPr>
          <w:p w14:paraId="27486442"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 xml:space="preserve">5.92 </w:t>
            </w:r>
            <w:r>
              <w:rPr>
                <w:rFonts w:ascii="Times New Roman" w:hAnsi="Times New Roman"/>
                <w:sz w:val="14"/>
                <w:szCs w:val="18"/>
              </w:rPr>
              <w:t>±</w:t>
            </w:r>
            <w:r>
              <w:rPr>
                <w:rFonts w:ascii="Times New Roman" w:hAnsi="Times New Roman"/>
                <w:sz w:val="14"/>
                <w:szCs w:val="18"/>
                <w:lang w:val="fr-FR"/>
              </w:rPr>
              <w:t xml:space="preserve"> 0.77</w:t>
            </w:r>
          </w:p>
        </w:tc>
        <w:tc>
          <w:tcPr>
            <w:tcW w:w="493" w:type="pct"/>
          </w:tcPr>
          <w:p w14:paraId="1F3AF01A"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 xml:space="preserve">7.48 </w:t>
            </w:r>
            <w:r>
              <w:rPr>
                <w:rFonts w:ascii="Times New Roman" w:hAnsi="Times New Roman"/>
                <w:sz w:val="14"/>
                <w:szCs w:val="18"/>
              </w:rPr>
              <w:t>±</w:t>
            </w:r>
            <w:r>
              <w:rPr>
                <w:rFonts w:ascii="Times New Roman" w:hAnsi="Times New Roman"/>
                <w:sz w:val="14"/>
                <w:szCs w:val="18"/>
                <w:lang w:val="fr-FR"/>
              </w:rPr>
              <w:t xml:space="preserve"> .79</w:t>
            </w:r>
          </w:p>
        </w:tc>
        <w:tc>
          <w:tcPr>
            <w:tcW w:w="353" w:type="pct"/>
          </w:tcPr>
          <w:p w14:paraId="3319CACC"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rPr>
              <w:t>0.000</w:t>
            </w:r>
          </w:p>
        </w:tc>
        <w:tc>
          <w:tcPr>
            <w:tcW w:w="531" w:type="pct"/>
          </w:tcPr>
          <w:p w14:paraId="7F85B42B" w14:textId="77777777" w:rsidR="00C640BF" w:rsidRDefault="00000000">
            <w:pPr>
              <w:spacing w:after="0" w:line="240" w:lineRule="auto"/>
              <w:rPr>
                <w:rFonts w:ascii="Times New Roman" w:hAnsi="Times New Roman"/>
                <w:sz w:val="14"/>
                <w:szCs w:val="18"/>
                <w:lang w:val="fr-FR"/>
              </w:rPr>
            </w:pPr>
            <w:r>
              <w:rPr>
                <w:rFonts w:ascii="Times New Roman" w:hAnsi="Times New Roman"/>
                <w:sz w:val="14"/>
                <w:szCs w:val="18"/>
                <w:lang w:val="fr-FR"/>
              </w:rPr>
              <w:t>(P&gt;0.05) NS*</w:t>
            </w:r>
          </w:p>
        </w:tc>
      </w:tr>
      <w:tr w:rsidR="00C640BF" w14:paraId="5AC5D490" w14:textId="77777777">
        <w:trPr>
          <w:trHeight w:val="20"/>
          <w:jc w:val="center"/>
        </w:trPr>
        <w:tc>
          <w:tcPr>
            <w:tcW w:w="678" w:type="pct"/>
          </w:tcPr>
          <w:p w14:paraId="779E5D6D" w14:textId="77777777" w:rsidR="00C640BF" w:rsidRDefault="00000000">
            <w:pPr>
              <w:spacing w:after="0" w:line="240" w:lineRule="auto"/>
              <w:rPr>
                <w:rFonts w:ascii="Times New Roman" w:hAnsi="Times New Roman"/>
                <w:sz w:val="14"/>
                <w:szCs w:val="18"/>
                <w:lang w:val="en-GB"/>
              </w:rPr>
            </w:pPr>
            <w:bookmarkStart w:id="15" w:name="_Hlk185819533"/>
            <w:bookmarkEnd w:id="14"/>
            <w:r>
              <w:rPr>
                <w:rFonts w:ascii="Times New Roman" w:hAnsi="Times New Roman"/>
                <w:sz w:val="14"/>
                <w:szCs w:val="18"/>
                <w:lang w:val="en-GB"/>
              </w:rPr>
              <w:t>Hb. Concentration</w:t>
            </w:r>
          </w:p>
        </w:tc>
        <w:tc>
          <w:tcPr>
            <w:tcW w:w="554" w:type="pct"/>
          </w:tcPr>
          <w:p w14:paraId="11731357"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(HEMOCUE)</w:t>
            </w:r>
          </w:p>
        </w:tc>
        <w:tc>
          <w:tcPr>
            <w:tcW w:w="284" w:type="pct"/>
          </w:tcPr>
          <w:p w14:paraId="06B9A41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14:paraId="1AD88B4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12.43 </w:t>
            </w:r>
            <w:r>
              <w:rPr>
                <w:rFonts w:ascii="Times New Roman" w:hAnsi="Times New Roman"/>
                <w:sz w:val="14"/>
                <w:szCs w:val="18"/>
              </w:rPr>
              <w:t>±</w:t>
            </w:r>
            <w:r>
              <w:rPr>
                <w:rFonts w:ascii="Times New Roman" w:hAnsi="Times New Roman"/>
                <w:sz w:val="14"/>
                <w:szCs w:val="18"/>
                <w:lang w:val="en-GB"/>
              </w:rPr>
              <w:t xml:space="preserve"> 1.92</w:t>
            </w:r>
          </w:p>
        </w:tc>
        <w:tc>
          <w:tcPr>
            <w:tcW w:w="537" w:type="pct"/>
          </w:tcPr>
          <w:p w14:paraId="0064E25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11.6 </w:t>
            </w:r>
            <w:r>
              <w:rPr>
                <w:rFonts w:ascii="Times New Roman" w:hAnsi="Times New Roman"/>
                <w:sz w:val="14"/>
                <w:szCs w:val="18"/>
              </w:rPr>
              <w:t>±0.14</w:t>
            </w:r>
          </w:p>
        </w:tc>
        <w:tc>
          <w:tcPr>
            <w:tcW w:w="444" w:type="pct"/>
          </w:tcPr>
          <w:p w14:paraId="394CD80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11.4 </w:t>
            </w:r>
            <w:r>
              <w:rPr>
                <w:rFonts w:ascii="Times New Roman" w:hAnsi="Times New Roman"/>
                <w:sz w:val="14"/>
                <w:szCs w:val="18"/>
              </w:rPr>
              <w:t>± 0.41</w:t>
            </w:r>
          </w:p>
        </w:tc>
        <w:tc>
          <w:tcPr>
            <w:tcW w:w="585" w:type="pct"/>
          </w:tcPr>
          <w:p w14:paraId="5407B6D8"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11.81 </w:t>
            </w:r>
            <w:r>
              <w:rPr>
                <w:rFonts w:ascii="Times New Roman" w:hAnsi="Times New Roman"/>
                <w:sz w:val="14"/>
                <w:szCs w:val="18"/>
              </w:rPr>
              <w:t>±.82</w:t>
            </w:r>
          </w:p>
        </w:tc>
        <w:tc>
          <w:tcPr>
            <w:tcW w:w="493" w:type="pct"/>
          </w:tcPr>
          <w:p w14:paraId="46FE56D5"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12.77 </w:t>
            </w:r>
            <w:r>
              <w:rPr>
                <w:rFonts w:ascii="Times New Roman" w:hAnsi="Times New Roman"/>
                <w:sz w:val="14"/>
                <w:szCs w:val="18"/>
              </w:rPr>
              <w:t xml:space="preserve">± </w:t>
            </w:r>
            <w:r>
              <w:rPr>
                <w:rFonts w:ascii="Times New Roman" w:hAnsi="Times New Roman"/>
                <w:sz w:val="14"/>
                <w:szCs w:val="18"/>
                <w:lang w:val="en-GB"/>
              </w:rPr>
              <w:t>2.20</w:t>
            </w:r>
          </w:p>
        </w:tc>
        <w:tc>
          <w:tcPr>
            <w:tcW w:w="353" w:type="pct"/>
          </w:tcPr>
          <w:p w14:paraId="26560578"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rPr>
              <w:t>0.000</w:t>
            </w:r>
          </w:p>
        </w:tc>
        <w:tc>
          <w:tcPr>
            <w:tcW w:w="531" w:type="pct"/>
          </w:tcPr>
          <w:p w14:paraId="4D1C892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 xml:space="preserve">P&gt;0.05 ) </w:t>
            </w:r>
            <w:r>
              <w:rPr>
                <w:rFonts w:ascii="Times New Roman" w:hAnsi="Times New Roman"/>
                <w:sz w:val="14"/>
                <w:szCs w:val="18"/>
                <w:lang w:val="en-GB"/>
              </w:rPr>
              <w:t>NS*</w:t>
            </w:r>
          </w:p>
        </w:tc>
      </w:tr>
      <w:tr w:rsidR="00C640BF" w14:paraId="20E94AC0" w14:textId="77777777">
        <w:trPr>
          <w:trHeight w:val="20"/>
          <w:jc w:val="center"/>
        </w:trPr>
        <w:tc>
          <w:tcPr>
            <w:tcW w:w="678" w:type="pct"/>
          </w:tcPr>
          <w:p w14:paraId="727871C6" w14:textId="77777777" w:rsidR="00C640BF" w:rsidRDefault="00000000">
            <w:pPr>
              <w:spacing w:after="0" w:line="240" w:lineRule="auto"/>
              <w:rPr>
                <w:rFonts w:ascii="Times New Roman" w:hAnsi="Times New Roman"/>
                <w:sz w:val="14"/>
                <w:szCs w:val="18"/>
                <w:lang w:val="en-GB"/>
              </w:rPr>
            </w:pPr>
            <w:bookmarkStart w:id="16" w:name="_Hlk185819821"/>
            <w:bookmarkEnd w:id="15"/>
            <w:proofErr w:type="spellStart"/>
            <w:r>
              <w:rPr>
                <w:rFonts w:ascii="Times New Roman" w:hAnsi="Times New Roman"/>
                <w:sz w:val="14"/>
                <w:szCs w:val="18"/>
                <w:lang w:val="en-GB"/>
              </w:rPr>
              <w:t>Microhaematocrit</w:t>
            </w:r>
            <w:proofErr w:type="spellEnd"/>
          </w:p>
        </w:tc>
        <w:tc>
          <w:tcPr>
            <w:tcW w:w="554" w:type="pct"/>
          </w:tcPr>
          <w:p w14:paraId="11B1B47D"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(PCV) </w:t>
            </w:r>
          </w:p>
        </w:tc>
        <w:tc>
          <w:tcPr>
            <w:tcW w:w="284" w:type="pct"/>
          </w:tcPr>
          <w:p w14:paraId="6965E71D"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p>
        </w:tc>
        <w:tc>
          <w:tcPr>
            <w:tcW w:w="541" w:type="pct"/>
          </w:tcPr>
          <w:p w14:paraId="05603D39"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40.51 </w:t>
            </w:r>
            <w:r>
              <w:rPr>
                <w:rFonts w:ascii="Times New Roman" w:hAnsi="Times New Roman"/>
                <w:sz w:val="14"/>
                <w:szCs w:val="18"/>
              </w:rPr>
              <w:t>±</w:t>
            </w:r>
            <w:r>
              <w:rPr>
                <w:rFonts w:ascii="Times New Roman" w:hAnsi="Times New Roman"/>
                <w:sz w:val="14"/>
                <w:szCs w:val="18"/>
                <w:lang w:val="en-GB"/>
              </w:rPr>
              <w:t xml:space="preserve"> 1.7 </w:t>
            </w:r>
          </w:p>
        </w:tc>
        <w:tc>
          <w:tcPr>
            <w:tcW w:w="537" w:type="pct"/>
          </w:tcPr>
          <w:p w14:paraId="58196695" w14:textId="77777777" w:rsidR="00C640BF" w:rsidRDefault="00000000">
            <w:pPr>
              <w:spacing w:after="0" w:line="240" w:lineRule="auto"/>
              <w:rPr>
                <w:rFonts w:ascii="Times New Roman" w:hAnsi="Times New Roman"/>
                <w:sz w:val="14"/>
                <w:szCs w:val="18"/>
                <w:lang w:val="en-GB"/>
              </w:rPr>
            </w:pPr>
            <w:r>
              <w:rPr>
                <w:rFonts w:eastAsia="Microsoft YaHei" w:cs="Calibri"/>
                <w:iCs/>
                <w:sz w:val="14"/>
              </w:rPr>
              <w:t>31 .10 ± 2.7</w:t>
            </w:r>
          </w:p>
        </w:tc>
        <w:tc>
          <w:tcPr>
            <w:tcW w:w="444" w:type="pct"/>
          </w:tcPr>
          <w:p w14:paraId="618148C7" w14:textId="77777777" w:rsidR="00C640BF" w:rsidRDefault="00000000">
            <w:pPr>
              <w:spacing w:after="0" w:line="240" w:lineRule="auto"/>
              <w:rPr>
                <w:rFonts w:ascii="Times New Roman" w:hAnsi="Times New Roman"/>
                <w:sz w:val="14"/>
                <w:szCs w:val="18"/>
                <w:lang w:val="en-GB"/>
              </w:rPr>
            </w:pPr>
            <w:r>
              <w:rPr>
                <w:rFonts w:eastAsia="Microsoft YaHei" w:cs="Calibri"/>
                <w:iCs/>
                <w:sz w:val="14"/>
              </w:rPr>
              <w:t>29 .11 ± 3.1</w:t>
            </w:r>
          </w:p>
        </w:tc>
        <w:tc>
          <w:tcPr>
            <w:tcW w:w="585" w:type="pct"/>
          </w:tcPr>
          <w:p w14:paraId="37D1F4A7"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33.57 </w:t>
            </w:r>
            <w:r>
              <w:rPr>
                <w:rFonts w:ascii="Times New Roman" w:hAnsi="Times New Roman"/>
                <w:sz w:val="14"/>
                <w:szCs w:val="18"/>
              </w:rPr>
              <w:t>±</w:t>
            </w:r>
            <w:r>
              <w:rPr>
                <w:rFonts w:ascii="Times New Roman" w:hAnsi="Times New Roman"/>
                <w:sz w:val="14"/>
                <w:szCs w:val="18"/>
                <w:lang w:val="en-GB"/>
              </w:rPr>
              <w:t xml:space="preserve"> 2.5 </w:t>
            </w:r>
          </w:p>
        </w:tc>
        <w:tc>
          <w:tcPr>
            <w:tcW w:w="493" w:type="pct"/>
          </w:tcPr>
          <w:p w14:paraId="0CA375E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39.16 </w:t>
            </w:r>
            <w:r>
              <w:rPr>
                <w:rFonts w:ascii="Times New Roman" w:hAnsi="Times New Roman"/>
                <w:sz w:val="14"/>
                <w:szCs w:val="18"/>
              </w:rPr>
              <w:t>±</w:t>
            </w:r>
            <w:r>
              <w:rPr>
                <w:rFonts w:ascii="Times New Roman" w:hAnsi="Times New Roman"/>
                <w:sz w:val="14"/>
                <w:szCs w:val="18"/>
                <w:lang w:val="en-GB"/>
              </w:rPr>
              <w:t xml:space="preserve"> 8.24</w:t>
            </w:r>
          </w:p>
        </w:tc>
        <w:tc>
          <w:tcPr>
            <w:tcW w:w="353" w:type="pct"/>
          </w:tcPr>
          <w:p w14:paraId="75EEBA1D"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rPr>
              <w:t>0.000</w:t>
            </w:r>
          </w:p>
        </w:tc>
        <w:tc>
          <w:tcPr>
            <w:tcW w:w="531" w:type="pct"/>
          </w:tcPr>
          <w:p w14:paraId="6266E84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P&gt;0.05)</w:t>
            </w:r>
            <w:r>
              <w:rPr>
                <w:rFonts w:ascii="Times New Roman" w:hAnsi="Times New Roman"/>
                <w:sz w:val="14"/>
                <w:szCs w:val="18"/>
                <w:lang w:val="en-GB"/>
              </w:rPr>
              <w:t>NS*</w:t>
            </w:r>
          </w:p>
        </w:tc>
      </w:tr>
      <w:tr w:rsidR="00C640BF" w14:paraId="04E3199A" w14:textId="77777777">
        <w:trPr>
          <w:trHeight w:val="20"/>
          <w:jc w:val="center"/>
        </w:trPr>
        <w:tc>
          <w:tcPr>
            <w:tcW w:w="678" w:type="pct"/>
          </w:tcPr>
          <w:p w14:paraId="30E57D9E" w14:textId="77777777" w:rsidR="00C640BF" w:rsidRDefault="00000000">
            <w:pPr>
              <w:spacing w:after="0" w:line="240" w:lineRule="auto"/>
              <w:rPr>
                <w:rFonts w:ascii="Times New Roman" w:hAnsi="Times New Roman"/>
                <w:sz w:val="14"/>
                <w:szCs w:val="18"/>
                <w:lang w:val="en-GB"/>
              </w:rPr>
            </w:pPr>
            <w:bookmarkStart w:id="17" w:name="_Hlk185825889"/>
            <w:bookmarkEnd w:id="16"/>
            <w:r>
              <w:rPr>
                <w:rFonts w:ascii="Times New Roman" w:hAnsi="Times New Roman"/>
                <w:sz w:val="14"/>
                <w:szCs w:val="18"/>
                <w:lang w:val="en-GB"/>
              </w:rPr>
              <w:t>(Hb. Equivalent in</w:t>
            </w:r>
          </w:p>
        </w:tc>
        <w:tc>
          <w:tcPr>
            <w:tcW w:w="554" w:type="pct"/>
          </w:tcPr>
          <w:p w14:paraId="6F10F661" w14:textId="77777777" w:rsidR="00C640BF" w:rsidRDefault="00C640BF">
            <w:pPr>
              <w:spacing w:after="0" w:line="240" w:lineRule="auto"/>
              <w:rPr>
                <w:rFonts w:ascii="Times New Roman" w:hAnsi="Times New Roman"/>
                <w:sz w:val="14"/>
                <w:szCs w:val="18"/>
                <w:lang w:val="en-GB"/>
              </w:rPr>
            </w:pPr>
          </w:p>
        </w:tc>
        <w:tc>
          <w:tcPr>
            <w:tcW w:w="284" w:type="pct"/>
          </w:tcPr>
          <w:p w14:paraId="78C8DB39"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14:paraId="4C8F20CD"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13.50 </w:t>
            </w:r>
            <w:r>
              <w:rPr>
                <w:rFonts w:ascii="Times New Roman" w:hAnsi="Times New Roman"/>
                <w:sz w:val="14"/>
                <w:szCs w:val="18"/>
              </w:rPr>
              <w:t>±</w:t>
            </w:r>
            <w:r>
              <w:rPr>
                <w:rFonts w:ascii="Times New Roman" w:hAnsi="Times New Roman"/>
                <w:sz w:val="14"/>
                <w:szCs w:val="18"/>
                <w:lang w:val="en-GB"/>
              </w:rPr>
              <w:t xml:space="preserve"> .60</w:t>
            </w:r>
          </w:p>
        </w:tc>
        <w:tc>
          <w:tcPr>
            <w:tcW w:w="537" w:type="pct"/>
          </w:tcPr>
          <w:p w14:paraId="29EA457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10.4</w:t>
            </w:r>
            <w:r>
              <w:rPr>
                <w:rFonts w:eastAsia="Microsoft YaHei" w:cs="Calibri"/>
                <w:iCs/>
                <w:sz w:val="14"/>
              </w:rPr>
              <w:t>±0.9</w:t>
            </w:r>
          </w:p>
        </w:tc>
        <w:tc>
          <w:tcPr>
            <w:tcW w:w="444" w:type="pct"/>
          </w:tcPr>
          <w:p w14:paraId="1B78D7A1"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9.70</w:t>
            </w:r>
            <w:r>
              <w:rPr>
                <w:rFonts w:eastAsia="Microsoft YaHei" w:cs="Calibri"/>
                <w:iCs/>
                <w:sz w:val="14"/>
              </w:rPr>
              <w:t>±1.0</w:t>
            </w:r>
          </w:p>
        </w:tc>
        <w:tc>
          <w:tcPr>
            <w:tcW w:w="585" w:type="pct"/>
          </w:tcPr>
          <w:p w14:paraId="05F501B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11.2 </w:t>
            </w:r>
            <w:r>
              <w:rPr>
                <w:rFonts w:ascii="Times New Roman" w:hAnsi="Times New Roman"/>
                <w:sz w:val="14"/>
                <w:szCs w:val="18"/>
              </w:rPr>
              <w:t>±</w:t>
            </w:r>
            <w:r>
              <w:rPr>
                <w:rFonts w:ascii="Times New Roman" w:hAnsi="Times New Roman"/>
                <w:sz w:val="14"/>
                <w:szCs w:val="18"/>
                <w:lang w:val="en-GB"/>
              </w:rPr>
              <w:t xml:space="preserve"> .80</w:t>
            </w:r>
          </w:p>
        </w:tc>
        <w:tc>
          <w:tcPr>
            <w:tcW w:w="493" w:type="pct"/>
          </w:tcPr>
          <w:p w14:paraId="234EEB1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13.05 </w:t>
            </w:r>
            <w:r>
              <w:rPr>
                <w:rFonts w:ascii="Times New Roman" w:hAnsi="Times New Roman"/>
                <w:sz w:val="14"/>
                <w:szCs w:val="18"/>
              </w:rPr>
              <w:t>±</w:t>
            </w:r>
            <w:r>
              <w:rPr>
                <w:rFonts w:ascii="Times New Roman" w:hAnsi="Times New Roman"/>
                <w:sz w:val="14"/>
                <w:szCs w:val="18"/>
                <w:lang w:val="en-GB"/>
              </w:rPr>
              <w:t xml:space="preserve"> 2.75</w:t>
            </w:r>
          </w:p>
        </w:tc>
        <w:tc>
          <w:tcPr>
            <w:tcW w:w="353" w:type="pct"/>
          </w:tcPr>
          <w:p w14:paraId="259CF07A"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rPr>
              <w:t>0.000</w:t>
            </w:r>
          </w:p>
        </w:tc>
        <w:tc>
          <w:tcPr>
            <w:tcW w:w="531" w:type="pct"/>
          </w:tcPr>
          <w:p w14:paraId="10C2311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NS*</w:t>
            </w:r>
          </w:p>
        </w:tc>
      </w:tr>
      <w:tr w:rsidR="00C640BF" w14:paraId="3B13E31E" w14:textId="77777777">
        <w:trPr>
          <w:trHeight w:val="20"/>
          <w:jc w:val="center"/>
        </w:trPr>
        <w:tc>
          <w:tcPr>
            <w:tcW w:w="678" w:type="pct"/>
          </w:tcPr>
          <w:p w14:paraId="1759EA49" w14:textId="77777777" w:rsidR="00C640BF" w:rsidRDefault="00000000">
            <w:pPr>
              <w:spacing w:after="0" w:line="240" w:lineRule="auto"/>
              <w:rPr>
                <w:rFonts w:ascii="Times New Roman" w:hAnsi="Times New Roman"/>
                <w:sz w:val="14"/>
                <w:szCs w:val="18"/>
                <w:lang w:val="en-GB"/>
              </w:rPr>
            </w:pPr>
            <w:bookmarkStart w:id="18" w:name="_Hlk185820478"/>
            <w:bookmarkEnd w:id="17"/>
            <w:r>
              <w:rPr>
                <w:rFonts w:ascii="Times New Roman" w:hAnsi="Times New Roman"/>
                <w:sz w:val="14"/>
                <w:szCs w:val="18"/>
                <w:lang w:val="en-GB"/>
              </w:rPr>
              <w:t xml:space="preserve">Specific gravity of copper sulphate </w:t>
            </w:r>
          </w:p>
        </w:tc>
        <w:tc>
          <w:tcPr>
            <w:tcW w:w="554" w:type="pct"/>
          </w:tcPr>
          <w:p w14:paraId="6F7DB4FA"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CuSO</w:t>
            </w:r>
            <w:r>
              <w:rPr>
                <w:rFonts w:ascii="Times New Roman" w:hAnsi="Times New Roman"/>
                <w:sz w:val="14"/>
                <w:szCs w:val="18"/>
                <w:vertAlign w:val="subscript"/>
                <w:lang w:val="en-GB"/>
              </w:rPr>
              <w:t>4</w:t>
            </w:r>
            <w:r>
              <w:rPr>
                <w:rFonts w:ascii="Times New Roman" w:hAnsi="Times New Roman"/>
                <w:sz w:val="14"/>
                <w:szCs w:val="18"/>
                <w:lang w:val="en-GB"/>
              </w:rPr>
              <w:t xml:space="preserve"> (S.G.)</w:t>
            </w:r>
          </w:p>
        </w:tc>
        <w:tc>
          <w:tcPr>
            <w:tcW w:w="284" w:type="pct"/>
          </w:tcPr>
          <w:p w14:paraId="4494DF72" w14:textId="77777777" w:rsidR="00C640BF" w:rsidRDefault="00000000">
            <w:pPr>
              <w:spacing w:after="0" w:line="240" w:lineRule="auto"/>
              <w:rPr>
                <w:rFonts w:ascii="Times New Roman" w:hAnsi="Times New Roman"/>
                <w:sz w:val="14"/>
                <w:szCs w:val="18"/>
                <w:lang w:val="en-GB"/>
              </w:rPr>
            </w:pPr>
            <w:proofErr w:type="spellStart"/>
            <w:r>
              <w:rPr>
                <w:rFonts w:ascii="Times New Roman" w:hAnsi="Times New Roman"/>
                <w:sz w:val="14"/>
                <w:szCs w:val="18"/>
                <w:lang w:val="en-GB"/>
              </w:rPr>
              <w:t>Spg</w:t>
            </w:r>
            <w:proofErr w:type="spellEnd"/>
          </w:p>
        </w:tc>
        <w:tc>
          <w:tcPr>
            <w:tcW w:w="541" w:type="pct"/>
          </w:tcPr>
          <w:p w14:paraId="1E4CDF60"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1.058</w:t>
            </w:r>
            <w:r>
              <w:rPr>
                <w:rFonts w:ascii="Times New Roman" w:hAnsi="Times New Roman"/>
                <w:sz w:val="14"/>
                <w:szCs w:val="18"/>
              </w:rPr>
              <w:t>±</w:t>
            </w:r>
            <w:r>
              <w:rPr>
                <w:rFonts w:ascii="Times New Roman" w:hAnsi="Times New Roman"/>
                <w:sz w:val="14"/>
                <w:szCs w:val="18"/>
                <w:lang w:val="en-GB"/>
              </w:rPr>
              <w:t xml:space="preserve"> 0.006</w:t>
            </w:r>
          </w:p>
        </w:tc>
        <w:tc>
          <w:tcPr>
            <w:tcW w:w="537" w:type="pct"/>
          </w:tcPr>
          <w:p w14:paraId="062219E1"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1.050 </w:t>
            </w:r>
            <w:r>
              <w:rPr>
                <w:rFonts w:eastAsia="Microsoft YaHei" w:cs="Calibri"/>
                <w:iCs/>
                <w:sz w:val="14"/>
              </w:rPr>
              <w:t>±.001</w:t>
            </w:r>
          </w:p>
        </w:tc>
        <w:tc>
          <w:tcPr>
            <w:tcW w:w="444" w:type="pct"/>
          </w:tcPr>
          <w:p w14:paraId="6547827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1.045</w:t>
            </w:r>
            <w:r>
              <w:rPr>
                <w:rFonts w:eastAsia="Microsoft YaHei" w:cs="Calibri"/>
                <w:iCs/>
                <w:sz w:val="14"/>
              </w:rPr>
              <w:t>±.002</w:t>
            </w:r>
          </w:p>
        </w:tc>
        <w:tc>
          <w:tcPr>
            <w:tcW w:w="585" w:type="pct"/>
          </w:tcPr>
          <w:p w14:paraId="0364CBC7"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1.051 </w:t>
            </w:r>
            <w:r>
              <w:rPr>
                <w:rFonts w:ascii="Times New Roman" w:hAnsi="Times New Roman"/>
                <w:sz w:val="14"/>
                <w:szCs w:val="18"/>
              </w:rPr>
              <w:t>±</w:t>
            </w:r>
            <w:r>
              <w:rPr>
                <w:rFonts w:ascii="Times New Roman" w:hAnsi="Times New Roman"/>
                <w:sz w:val="14"/>
                <w:szCs w:val="18"/>
                <w:lang w:val="en-GB"/>
              </w:rPr>
              <w:t xml:space="preserve"> 0.003</w:t>
            </w:r>
          </w:p>
        </w:tc>
        <w:tc>
          <w:tcPr>
            <w:tcW w:w="493" w:type="pct"/>
          </w:tcPr>
          <w:p w14:paraId="4CEA3BC7"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1.055 </w:t>
            </w:r>
            <w:r>
              <w:rPr>
                <w:rFonts w:ascii="Times New Roman" w:hAnsi="Times New Roman"/>
                <w:sz w:val="14"/>
                <w:szCs w:val="18"/>
              </w:rPr>
              <w:t>±</w:t>
            </w:r>
            <w:r>
              <w:rPr>
                <w:rFonts w:ascii="Times New Roman" w:hAnsi="Times New Roman"/>
                <w:sz w:val="14"/>
                <w:szCs w:val="18"/>
                <w:lang w:val="en-GB"/>
              </w:rPr>
              <w:t xml:space="preserve"> 0.009</w:t>
            </w:r>
          </w:p>
        </w:tc>
        <w:tc>
          <w:tcPr>
            <w:tcW w:w="353" w:type="pct"/>
          </w:tcPr>
          <w:p w14:paraId="51041AC2"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rPr>
              <w:t>0.000</w:t>
            </w:r>
          </w:p>
        </w:tc>
        <w:tc>
          <w:tcPr>
            <w:tcW w:w="531" w:type="pct"/>
          </w:tcPr>
          <w:p w14:paraId="258359AC"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NS*</w:t>
            </w:r>
          </w:p>
        </w:tc>
      </w:tr>
      <w:tr w:rsidR="00C640BF" w14:paraId="0FB1FE2D" w14:textId="77777777">
        <w:trPr>
          <w:trHeight w:val="20"/>
          <w:jc w:val="center"/>
        </w:trPr>
        <w:tc>
          <w:tcPr>
            <w:tcW w:w="678" w:type="pct"/>
          </w:tcPr>
          <w:p w14:paraId="04FCC241" w14:textId="77777777" w:rsidR="00C640BF" w:rsidRDefault="00000000">
            <w:pPr>
              <w:spacing w:after="0" w:line="240" w:lineRule="auto"/>
              <w:rPr>
                <w:rFonts w:ascii="Times New Roman" w:hAnsi="Times New Roman"/>
                <w:sz w:val="14"/>
                <w:szCs w:val="18"/>
                <w:lang w:val="en-GB"/>
              </w:rPr>
            </w:pPr>
            <w:bookmarkStart w:id="19" w:name="_Hlk185820998"/>
            <w:bookmarkEnd w:id="18"/>
            <w:r>
              <w:rPr>
                <w:rFonts w:ascii="Times New Roman" w:hAnsi="Times New Roman"/>
                <w:sz w:val="14"/>
                <w:szCs w:val="18"/>
                <w:lang w:val="en-GB"/>
              </w:rPr>
              <w:t>(Hb. Equivalent In</w:t>
            </w:r>
          </w:p>
        </w:tc>
        <w:tc>
          <w:tcPr>
            <w:tcW w:w="554" w:type="pct"/>
          </w:tcPr>
          <w:p w14:paraId="6FB4EE9C" w14:textId="77777777" w:rsidR="00C640BF" w:rsidRDefault="00C640BF">
            <w:pPr>
              <w:spacing w:after="0" w:line="240" w:lineRule="auto"/>
              <w:rPr>
                <w:rFonts w:ascii="Times New Roman" w:hAnsi="Times New Roman"/>
                <w:sz w:val="14"/>
                <w:szCs w:val="18"/>
                <w:lang w:val="en-GB"/>
              </w:rPr>
            </w:pPr>
          </w:p>
        </w:tc>
        <w:tc>
          <w:tcPr>
            <w:tcW w:w="284" w:type="pct"/>
          </w:tcPr>
          <w:p w14:paraId="0B32BCF4"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14:paraId="34878DD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13.60 </w:t>
            </w:r>
            <w:r>
              <w:rPr>
                <w:rFonts w:ascii="Times New Roman" w:hAnsi="Times New Roman"/>
                <w:sz w:val="14"/>
                <w:szCs w:val="18"/>
              </w:rPr>
              <w:t>±</w:t>
            </w:r>
            <w:r>
              <w:rPr>
                <w:rFonts w:ascii="Times New Roman" w:hAnsi="Times New Roman"/>
                <w:sz w:val="14"/>
                <w:szCs w:val="18"/>
                <w:lang w:val="en-GB"/>
              </w:rPr>
              <w:t xml:space="preserve"> 0.07</w:t>
            </w:r>
          </w:p>
        </w:tc>
        <w:tc>
          <w:tcPr>
            <w:tcW w:w="537" w:type="pct"/>
          </w:tcPr>
          <w:p w14:paraId="4F5A647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11.5</w:t>
            </w:r>
            <w:r>
              <w:rPr>
                <w:rFonts w:ascii="Times New Roman" w:hAnsi="Times New Roman"/>
                <w:sz w:val="14"/>
                <w:szCs w:val="18"/>
              </w:rPr>
              <w:t>± .13</w:t>
            </w:r>
          </w:p>
        </w:tc>
        <w:tc>
          <w:tcPr>
            <w:tcW w:w="444" w:type="pct"/>
          </w:tcPr>
          <w:p w14:paraId="59CC71B5"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10.5 </w:t>
            </w:r>
            <w:r>
              <w:rPr>
                <w:rFonts w:ascii="Times New Roman" w:hAnsi="Times New Roman"/>
                <w:sz w:val="14"/>
                <w:szCs w:val="18"/>
              </w:rPr>
              <w:t>±.14</w:t>
            </w:r>
          </w:p>
        </w:tc>
        <w:tc>
          <w:tcPr>
            <w:tcW w:w="585" w:type="pct"/>
          </w:tcPr>
          <w:p w14:paraId="1333161B"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11.86 </w:t>
            </w:r>
            <w:r>
              <w:rPr>
                <w:rFonts w:ascii="Times New Roman" w:hAnsi="Times New Roman"/>
                <w:sz w:val="14"/>
                <w:szCs w:val="18"/>
              </w:rPr>
              <w:t>±</w:t>
            </w:r>
            <w:r>
              <w:rPr>
                <w:rFonts w:ascii="Times New Roman" w:hAnsi="Times New Roman"/>
                <w:sz w:val="14"/>
                <w:szCs w:val="18"/>
                <w:lang w:val="en-GB"/>
              </w:rPr>
              <w:t xml:space="preserve"> 0.11</w:t>
            </w:r>
          </w:p>
        </w:tc>
        <w:tc>
          <w:tcPr>
            <w:tcW w:w="493" w:type="pct"/>
          </w:tcPr>
          <w:p w14:paraId="29E3CC1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12.5 </w:t>
            </w:r>
            <w:r>
              <w:rPr>
                <w:rFonts w:ascii="Times New Roman" w:hAnsi="Times New Roman"/>
                <w:sz w:val="14"/>
                <w:szCs w:val="18"/>
              </w:rPr>
              <w:t>±</w:t>
            </w:r>
            <w:r>
              <w:rPr>
                <w:rFonts w:ascii="Times New Roman" w:hAnsi="Times New Roman"/>
                <w:sz w:val="14"/>
                <w:szCs w:val="18"/>
                <w:lang w:val="en-GB"/>
              </w:rPr>
              <w:t xml:space="preserve"> 0.11</w:t>
            </w:r>
          </w:p>
        </w:tc>
        <w:tc>
          <w:tcPr>
            <w:tcW w:w="353" w:type="pct"/>
          </w:tcPr>
          <w:p w14:paraId="231A919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rPr>
              <w:t>0.000</w:t>
            </w:r>
          </w:p>
        </w:tc>
        <w:tc>
          <w:tcPr>
            <w:tcW w:w="531" w:type="pct"/>
          </w:tcPr>
          <w:p w14:paraId="4D4FF68B"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 xml:space="preserve"> (</w:t>
            </w:r>
            <w:r>
              <w:rPr>
                <w:rFonts w:ascii="Times New Roman" w:hAnsi="Times New Roman"/>
                <w:sz w:val="14"/>
                <w:szCs w:val="18"/>
                <w:lang w:val="fr-FR"/>
              </w:rPr>
              <w:t>P&gt;0.05)</w:t>
            </w:r>
            <w:r>
              <w:rPr>
                <w:rFonts w:ascii="Times New Roman" w:hAnsi="Times New Roman"/>
                <w:sz w:val="14"/>
                <w:szCs w:val="18"/>
                <w:lang w:val="en-GB"/>
              </w:rPr>
              <w:t xml:space="preserve">NS* </w:t>
            </w:r>
          </w:p>
        </w:tc>
      </w:tr>
      <w:tr w:rsidR="00C640BF" w14:paraId="7F287867" w14:textId="77777777">
        <w:trPr>
          <w:trHeight w:val="143"/>
          <w:jc w:val="center"/>
        </w:trPr>
        <w:tc>
          <w:tcPr>
            <w:tcW w:w="678" w:type="pct"/>
          </w:tcPr>
          <w:p w14:paraId="3A70C95B" w14:textId="77777777" w:rsidR="00C640BF" w:rsidRDefault="00000000">
            <w:pPr>
              <w:spacing w:after="0" w:line="240" w:lineRule="auto"/>
              <w:rPr>
                <w:rFonts w:ascii="Times New Roman" w:hAnsi="Times New Roman"/>
                <w:sz w:val="14"/>
                <w:szCs w:val="18"/>
                <w:lang w:val="en-GB"/>
              </w:rPr>
            </w:pPr>
            <w:bookmarkStart w:id="20" w:name="_Hlk185826143"/>
            <w:bookmarkEnd w:id="19"/>
            <w:r>
              <w:rPr>
                <w:rFonts w:ascii="Times New Roman" w:hAnsi="Times New Roman"/>
                <w:sz w:val="14"/>
                <w:szCs w:val="18"/>
                <w:lang w:val="en-GB"/>
              </w:rPr>
              <w:t xml:space="preserve">Sahli device </w:t>
            </w:r>
          </w:p>
        </w:tc>
        <w:tc>
          <w:tcPr>
            <w:tcW w:w="554" w:type="pct"/>
          </w:tcPr>
          <w:p w14:paraId="13E98D11"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SHD</w:t>
            </w:r>
          </w:p>
        </w:tc>
        <w:tc>
          <w:tcPr>
            <w:tcW w:w="284" w:type="pct"/>
          </w:tcPr>
          <w:p w14:paraId="01D572F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14:paraId="74A7FA2A"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12.11</w:t>
            </w:r>
            <w:r>
              <w:rPr>
                <w:rFonts w:ascii="Times New Roman" w:hAnsi="Times New Roman"/>
                <w:sz w:val="14"/>
                <w:szCs w:val="18"/>
              </w:rPr>
              <w:t>±</w:t>
            </w:r>
            <w:r>
              <w:rPr>
                <w:rFonts w:ascii="Times New Roman" w:hAnsi="Times New Roman"/>
                <w:sz w:val="14"/>
                <w:szCs w:val="18"/>
                <w:lang w:val="en-GB"/>
              </w:rPr>
              <w:t xml:space="preserve"> 0.02</w:t>
            </w:r>
          </w:p>
        </w:tc>
        <w:tc>
          <w:tcPr>
            <w:tcW w:w="537" w:type="pct"/>
          </w:tcPr>
          <w:p w14:paraId="6B35234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11.9</w:t>
            </w:r>
            <w:r>
              <w:rPr>
                <w:rFonts w:ascii="Times New Roman" w:hAnsi="Times New Roman"/>
                <w:sz w:val="14"/>
                <w:szCs w:val="18"/>
              </w:rPr>
              <w:t>±.10</w:t>
            </w:r>
          </w:p>
        </w:tc>
        <w:tc>
          <w:tcPr>
            <w:tcW w:w="444" w:type="pct"/>
          </w:tcPr>
          <w:p w14:paraId="70985674"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11.5</w:t>
            </w:r>
            <w:r>
              <w:rPr>
                <w:rFonts w:ascii="Times New Roman" w:hAnsi="Times New Roman"/>
                <w:sz w:val="14"/>
                <w:szCs w:val="18"/>
              </w:rPr>
              <w:t>±.11</w:t>
            </w:r>
          </w:p>
        </w:tc>
        <w:tc>
          <w:tcPr>
            <w:tcW w:w="585" w:type="pct"/>
          </w:tcPr>
          <w:p w14:paraId="1F39885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11.50</w:t>
            </w:r>
            <w:r>
              <w:rPr>
                <w:rFonts w:ascii="Times New Roman" w:hAnsi="Times New Roman"/>
                <w:sz w:val="14"/>
                <w:szCs w:val="18"/>
              </w:rPr>
              <w:t>±</w:t>
            </w:r>
            <w:r>
              <w:rPr>
                <w:rFonts w:ascii="Times New Roman" w:hAnsi="Times New Roman"/>
                <w:sz w:val="14"/>
                <w:szCs w:val="18"/>
                <w:lang w:val="en-GB"/>
              </w:rPr>
              <w:t xml:space="preserve"> 0.07</w:t>
            </w:r>
          </w:p>
        </w:tc>
        <w:tc>
          <w:tcPr>
            <w:tcW w:w="493" w:type="pct"/>
          </w:tcPr>
          <w:p w14:paraId="7D314B19"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13.4</w:t>
            </w:r>
            <w:r>
              <w:rPr>
                <w:rFonts w:ascii="Times New Roman" w:hAnsi="Times New Roman"/>
                <w:sz w:val="14"/>
                <w:szCs w:val="18"/>
              </w:rPr>
              <w:t>±</w:t>
            </w:r>
            <w:r>
              <w:rPr>
                <w:rFonts w:ascii="Times New Roman" w:hAnsi="Times New Roman"/>
                <w:sz w:val="14"/>
                <w:szCs w:val="18"/>
                <w:lang w:val="en-GB"/>
              </w:rPr>
              <w:t xml:space="preserve"> 0.06</w:t>
            </w:r>
          </w:p>
        </w:tc>
        <w:tc>
          <w:tcPr>
            <w:tcW w:w="353" w:type="pct"/>
          </w:tcPr>
          <w:p w14:paraId="671AECD3" w14:textId="77777777" w:rsidR="00C640BF" w:rsidRDefault="00000000">
            <w:pPr>
              <w:spacing w:after="0" w:line="240" w:lineRule="auto"/>
              <w:rPr>
                <w:rFonts w:ascii="Times New Roman" w:hAnsi="Times New Roman"/>
                <w:sz w:val="14"/>
                <w:szCs w:val="18"/>
              </w:rPr>
            </w:pPr>
            <w:r>
              <w:rPr>
                <w:rFonts w:ascii="Times New Roman" w:hAnsi="Times New Roman"/>
                <w:sz w:val="14"/>
                <w:szCs w:val="18"/>
              </w:rPr>
              <w:t>0.000</w:t>
            </w:r>
          </w:p>
        </w:tc>
        <w:tc>
          <w:tcPr>
            <w:tcW w:w="531" w:type="pct"/>
          </w:tcPr>
          <w:p w14:paraId="0EFC467A"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P&gt;0.05)</w:t>
            </w:r>
            <w:r>
              <w:rPr>
                <w:rFonts w:ascii="Times New Roman" w:hAnsi="Times New Roman"/>
                <w:sz w:val="14"/>
                <w:szCs w:val="18"/>
                <w:lang w:val="en-GB"/>
              </w:rPr>
              <w:t>NS*</w:t>
            </w:r>
          </w:p>
        </w:tc>
      </w:tr>
      <w:bookmarkEnd w:id="20"/>
      <w:tr w:rsidR="00C640BF" w14:paraId="22D584FE" w14:textId="77777777">
        <w:trPr>
          <w:trHeight w:val="206"/>
          <w:jc w:val="center"/>
        </w:trPr>
        <w:tc>
          <w:tcPr>
            <w:tcW w:w="678" w:type="pct"/>
          </w:tcPr>
          <w:p w14:paraId="4EA00F90" w14:textId="77777777" w:rsidR="00C640BF" w:rsidRDefault="00000000">
            <w:pPr>
              <w:spacing w:after="0" w:line="240" w:lineRule="auto"/>
              <w:rPr>
                <w:rFonts w:ascii="Times New Roman" w:hAnsi="Times New Roman"/>
                <w:sz w:val="14"/>
                <w:szCs w:val="18"/>
                <w:lang w:val="en-GB"/>
              </w:rPr>
            </w:pPr>
            <w:proofErr w:type="spellStart"/>
            <w:r>
              <w:rPr>
                <w:rFonts w:ascii="Times New Roman" w:hAnsi="Times New Roman"/>
                <w:sz w:val="14"/>
                <w:szCs w:val="18"/>
                <w:lang w:val="en-GB"/>
              </w:rPr>
              <w:t>Tallquist</w:t>
            </w:r>
            <w:proofErr w:type="spellEnd"/>
            <w:r>
              <w:rPr>
                <w:rFonts w:ascii="Times New Roman" w:hAnsi="Times New Roman"/>
                <w:sz w:val="14"/>
                <w:szCs w:val="18"/>
                <w:lang w:val="en-GB"/>
              </w:rPr>
              <w:t xml:space="preserve"> paper </w:t>
            </w:r>
          </w:p>
        </w:tc>
        <w:tc>
          <w:tcPr>
            <w:tcW w:w="554" w:type="pct"/>
          </w:tcPr>
          <w:p w14:paraId="6D81E2CC"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TQP</w:t>
            </w:r>
          </w:p>
        </w:tc>
        <w:tc>
          <w:tcPr>
            <w:tcW w:w="284" w:type="pct"/>
          </w:tcPr>
          <w:p w14:paraId="2AE6A3F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p>
        </w:tc>
        <w:tc>
          <w:tcPr>
            <w:tcW w:w="541" w:type="pct"/>
          </w:tcPr>
          <w:p w14:paraId="6D2E3916"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80</w:t>
            </w:r>
          </w:p>
        </w:tc>
        <w:tc>
          <w:tcPr>
            <w:tcW w:w="537" w:type="pct"/>
          </w:tcPr>
          <w:p w14:paraId="2150FDD3"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75</w:t>
            </w:r>
          </w:p>
        </w:tc>
        <w:tc>
          <w:tcPr>
            <w:tcW w:w="444" w:type="pct"/>
          </w:tcPr>
          <w:p w14:paraId="3B2652C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70</w:t>
            </w:r>
          </w:p>
        </w:tc>
        <w:tc>
          <w:tcPr>
            <w:tcW w:w="585" w:type="pct"/>
          </w:tcPr>
          <w:p w14:paraId="484389CB"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75</w:t>
            </w:r>
          </w:p>
        </w:tc>
        <w:tc>
          <w:tcPr>
            <w:tcW w:w="493" w:type="pct"/>
          </w:tcPr>
          <w:p w14:paraId="620A0C3B"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80</w:t>
            </w:r>
          </w:p>
        </w:tc>
        <w:tc>
          <w:tcPr>
            <w:tcW w:w="353" w:type="pct"/>
          </w:tcPr>
          <w:p w14:paraId="36842B52" w14:textId="77777777" w:rsidR="00C640BF" w:rsidRDefault="00000000">
            <w:pPr>
              <w:spacing w:after="0" w:line="240" w:lineRule="auto"/>
              <w:rPr>
                <w:rFonts w:ascii="Times New Roman" w:hAnsi="Times New Roman"/>
                <w:sz w:val="14"/>
                <w:szCs w:val="18"/>
              </w:rPr>
            </w:pPr>
            <w:r>
              <w:rPr>
                <w:rFonts w:ascii="Times New Roman" w:hAnsi="Times New Roman"/>
                <w:sz w:val="14"/>
                <w:szCs w:val="18"/>
              </w:rPr>
              <w:t>0.000</w:t>
            </w:r>
          </w:p>
        </w:tc>
        <w:tc>
          <w:tcPr>
            <w:tcW w:w="531" w:type="pct"/>
          </w:tcPr>
          <w:p w14:paraId="077EB43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w:t>
            </w:r>
            <w:r>
              <w:rPr>
                <w:rFonts w:ascii="Times New Roman" w:hAnsi="Times New Roman"/>
                <w:sz w:val="14"/>
                <w:szCs w:val="18"/>
                <w:lang w:val="fr-FR"/>
              </w:rPr>
              <w:t>P&gt;0.05)</w:t>
            </w:r>
            <w:r>
              <w:rPr>
                <w:rFonts w:ascii="Times New Roman" w:hAnsi="Times New Roman"/>
                <w:sz w:val="14"/>
                <w:szCs w:val="18"/>
                <w:lang w:val="en-GB"/>
              </w:rPr>
              <w:t>NS*</w:t>
            </w:r>
          </w:p>
        </w:tc>
      </w:tr>
      <w:tr w:rsidR="00C640BF" w14:paraId="39CB08C5" w14:textId="77777777">
        <w:trPr>
          <w:trHeight w:val="206"/>
          <w:jc w:val="center"/>
        </w:trPr>
        <w:tc>
          <w:tcPr>
            <w:tcW w:w="678" w:type="pct"/>
          </w:tcPr>
          <w:p w14:paraId="745BCF46" w14:textId="77777777" w:rsidR="00C640BF" w:rsidRDefault="00C640BF">
            <w:pPr>
              <w:spacing w:after="0" w:line="240" w:lineRule="auto"/>
              <w:rPr>
                <w:rFonts w:ascii="Times New Roman" w:hAnsi="Times New Roman"/>
                <w:sz w:val="14"/>
                <w:szCs w:val="18"/>
                <w:lang w:val="en-GB"/>
              </w:rPr>
            </w:pPr>
            <w:bookmarkStart w:id="21" w:name="_Hlk185826643"/>
          </w:p>
        </w:tc>
        <w:tc>
          <w:tcPr>
            <w:tcW w:w="554" w:type="pct"/>
          </w:tcPr>
          <w:p w14:paraId="012BA9D1" w14:textId="77777777" w:rsidR="00C640BF" w:rsidRDefault="00C640BF">
            <w:pPr>
              <w:spacing w:after="0" w:line="240" w:lineRule="auto"/>
              <w:rPr>
                <w:rFonts w:ascii="Times New Roman" w:hAnsi="Times New Roman"/>
                <w:sz w:val="14"/>
                <w:szCs w:val="18"/>
                <w:lang w:val="en-GB"/>
              </w:rPr>
            </w:pPr>
          </w:p>
        </w:tc>
        <w:tc>
          <w:tcPr>
            <w:tcW w:w="284" w:type="pct"/>
          </w:tcPr>
          <w:p w14:paraId="031E744C"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g/dl</w:t>
            </w:r>
          </w:p>
        </w:tc>
        <w:tc>
          <w:tcPr>
            <w:tcW w:w="541" w:type="pct"/>
          </w:tcPr>
          <w:p w14:paraId="42603205"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12.2</w:t>
            </w:r>
            <w:r>
              <w:rPr>
                <w:rFonts w:ascii="Times New Roman" w:hAnsi="Times New Roman"/>
                <w:sz w:val="14"/>
                <w:szCs w:val="18"/>
              </w:rPr>
              <w:t>±.12</w:t>
            </w:r>
          </w:p>
        </w:tc>
        <w:tc>
          <w:tcPr>
            <w:tcW w:w="537" w:type="pct"/>
          </w:tcPr>
          <w:p w14:paraId="7F6BC7C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11.6</w:t>
            </w:r>
            <w:r>
              <w:rPr>
                <w:rFonts w:ascii="Times New Roman" w:hAnsi="Times New Roman"/>
                <w:sz w:val="14"/>
                <w:szCs w:val="18"/>
              </w:rPr>
              <w:t>±.11</w:t>
            </w:r>
          </w:p>
        </w:tc>
        <w:tc>
          <w:tcPr>
            <w:tcW w:w="444" w:type="pct"/>
          </w:tcPr>
          <w:p w14:paraId="64DD478F"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11.4</w:t>
            </w:r>
            <w:r>
              <w:rPr>
                <w:rFonts w:ascii="Times New Roman" w:hAnsi="Times New Roman"/>
                <w:sz w:val="14"/>
                <w:szCs w:val="18"/>
              </w:rPr>
              <w:t>±.10</w:t>
            </w:r>
          </w:p>
        </w:tc>
        <w:tc>
          <w:tcPr>
            <w:tcW w:w="585" w:type="pct"/>
          </w:tcPr>
          <w:p w14:paraId="180F206E"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11.7</w:t>
            </w:r>
            <w:r>
              <w:rPr>
                <w:rFonts w:ascii="Times New Roman" w:hAnsi="Times New Roman"/>
                <w:sz w:val="14"/>
                <w:szCs w:val="18"/>
              </w:rPr>
              <w:t>±.03</w:t>
            </w:r>
          </w:p>
        </w:tc>
        <w:tc>
          <w:tcPr>
            <w:tcW w:w="493" w:type="pct"/>
          </w:tcPr>
          <w:p w14:paraId="175BC985" w14:textId="77777777" w:rsidR="00C640BF" w:rsidRDefault="00000000">
            <w:pPr>
              <w:spacing w:after="0" w:line="240" w:lineRule="auto"/>
              <w:rPr>
                <w:rFonts w:ascii="Times New Roman" w:hAnsi="Times New Roman"/>
                <w:sz w:val="14"/>
                <w:szCs w:val="18"/>
                <w:lang w:val="en-GB"/>
              </w:rPr>
            </w:pPr>
            <w:r>
              <w:rPr>
                <w:rFonts w:ascii="Times New Roman" w:hAnsi="Times New Roman"/>
                <w:sz w:val="14"/>
                <w:szCs w:val="18"/>
                <w:lang w:val="en-GB"/>
              </w:rPr>
              <w:t>12.5</w:t>
            </w:r>
            <w:r>
              <w:rPr>
                <w:rFonts w:ascii="Times New Roman" w:hAnsi="Times New Roman"/>
                <w:sz w:val="14"/>
                <w:szCs w:val="18"/>
              </w:rPr>
              <w:t>±.14</w:t>
            </w:r>
          </w:p>
        </w:tc>
        <w:tc>
          <w:tcPr>
            <w:tcW w:w="353" w:type="pct"/>
          </w:tcPr>
          <w:p w14:paraId="374EB794" w14:textId="77777777" w:rsidR="00C640BF" w:rsidRDefault="00C640BF">
            <w:pPr>
              <w:spacing w:after="0" w:line="240" w:lineRule="auto"/>
              <w:rPr>
                <w:rFonts w:ascii="Times New Roman" w:hAnsi="Times New Roman"/>
                <w:sz w:val="14"/>
                <w:szCs w:val="18"/>
              </w:rPr>
            </w:pPr>
          </w:p>
        </w:tc>
        <w:tc>
          <w:tcPr>
            <w:tcW w:w="531" w:type="pct"/>
          </w:tcPr>
          <w:p w14:paraId="61E56E72" w14:textId="77777777" w:rsidR="00C640BF" w:rsidRDefault="00C640BF">
            <w:pPr>
              <w:spacing w:after="0" w:line="240" w:lineRule="auto"/>
              <w:rPr>
                <w:rFonts w:ascii="Times New Roman" w:hAnsi="Times New Roman"/>
                <w:sz w:val="14"/>
                <w:szCs w:val="18"/>
                <w:lang w:val="en-GB"/>
              </w:rPr>
            </w:pPr>
          </w:p>
        </w:tc>
      </w:tr>
      <w:tr w:rsidR="00C640BF" w14:paraId="6C67AC54" w14:textId="77777777">
        <w:trPr>
          <w:trHeight w:val="206"/>
          <w:jc w:val="center"/>
        </w:trPr>
        <w:tc>
          <w:tcPr>
            <w:tcW w:w="678" w:type="pct"/>
          </w:tcPr>
          <w:p w14:paraId="3D1C42FC" w14:textId="77777777" w:rsidR="00C640BF" w:rsidRDefault="00000000">
            <w:pPr>
              <w:spacing w:after="0" w:line="240" w:lineRule="auto"/>
              <w:rPr>
                <w:rFonts w:ascii="Times New Roman" w:hAnsi="Times New Roman"/>
                <w:sz w:val="14"/>
                <w:szCs w:val="18"/>
                <w:lang w:val="en-GB"/>
              </w:rPr>
            </w:pPr>
            <w:bookmarkStart w:id="22" w:name="_Hlk185827052"/>
            <w:bookmarkEnd w:id="21"/>
            <w:r>
              <w:rPr>
                <w:rFonts w:ascii="Times New Roman" w:hAnsi="Times New Roman"/>
                <w:sz w:val="14"/>
                <w:szCs w:val="18"/>
                <w:lang w:val="en-GB"/>
              </w:rPr>
              <w:t>Total (X±SD)</w:t>
            </w:r>
          </w:p>
        </w:tc>
        <w:tc>
          <w:tcPr>
            <w:tcW w:w="554" w:type="pct"/>
          </w:tcPr>
          <w:p w14:paraId="00429A16" w14:textId="77777777" w:rsidR="00C640BF" w:rsidRDefault="00C640BF">
            <w:pPr>
              <w:spacing w:after="0" w:line="240" w:lineRule="auto"/>
              <w:rPr>
                <w:rFonts w:ascii="Times New Roman" w:hAnsi="Times New Roman"/>
                <w:sz w:val="14"/>
                <w:szCs w:val="18"/>
                <w:lang w:val="en-GB"/>
              </w:rPr>
            </w:pPr>
          </w:p>
        </w:tc>
        <w:tc>
          <w:tcPr>
            <w:tcW w:w="284" w:type="pct"/>
          </w:tcPr>
          <w:p w14:paraId="161DFDFC" w14:textId="77777777" w:rsidR="00C640BF" w:rsidRDefault="00C640BF">
            <w:pPr>
              <w:spacing w:after="0" w:line="240" w:lineRule="auto"/>
              <w:rPr>
                <w:rFonts w:ascii="Times New Roman" w:hAnsi="Times New Roman"/>
                <w:sz w:val="14"/>
                <w:szCs w:val="18"/>
                <w:lang w:val="en-GB"/>
              </w:rPr>
            </w:pPr>
          </w:p>
        </w:tc>
        <w:tc>
          <w:tcPr>
            <w:tcW w:w="541" w:type="pct"/>
          </w:tcPr>
          <w:p w14:paraId="17A564AC" w14:textId="77777777" w:rsidR="00C640BF" w:rsidRDefault="00000000">
            <w:pPr>
              <w:spacing w:after="0" w:line="240" w:lineRule="auto"/>
              <w:rPr>
                <w:rFonts w:ascii="Times New Roman" w:hAnsi="Times New Roman"/>
                <w:b/>
                <w:sz w:val="14"/>
                <w:szCs w:val="18"/>
                <w:lang w:val="en-GB"/>
              </w:rPr>
            </w:pPr>
            <w:r>
              <w:rPr>
                <w:rFonts w:ascii="Times New Roman" w:hAnsi="Times New Roman"/>
                <w:b/>
                <w:sz w:val="14"/>
                <w:szCs w:val="18"/>
                <w:lang w:val="en-GB"/>
              </w:rPr>
              <w:t>12.77</w:t>
            </w:r>
            <w:r>
              <w:rPr>
                <w:rFonts w:ascii="Times New Roman" w:hAnsi="Times New Roman"/>
                <w:b/>
                <w:sz w:val="14"/>
                <w:szCs w:val="18"/>
              </w:rPr>
              <w:t>±.52</w:t>
            </w:r>
          </w:p>
        </w:tc>
        <w:tc>
          <w:tcPr>
            <w:tcW w:w="537" w:type="pct"/>
          </w:tcPr>
          <w:p w14:paraId="3F13DE34" w14:textId="77777777" w:rsidR="00C640BF" w:rsidRDefault="00000000">
            <w:pPr>
              <w:spacing w:after="0" w:line="240" w:lineRule="auto"/>
              <w:rPr>
                <w:rFonts w:ascii="Times New Roman" w:hAnsi="Times New Roman"/>
                <w:b/>
                <w:sz w:val="14"/>
                <w:szCs w:val="18"/>
                <w:lang w:val="en-GB"/>
              </w:rPr>
            </w:pPr>
            <w:r>
              <w:rPr>
                <w:rFonts w:ascii="Times New Roman" w:hAnsi="Times New Roman"/>
                <w:b/>
                <w:sz w:val="14"/>
                <w:szCs w:val="18"/>
                <w:lang w:val="en-GB"/>
              </w:rPr>
              <w:t>11.4</w:t>
            </w:r>
            <w:r>
              <w:rPr>
                <w:rFonts w:ascii="Times New Roman" w:hAnsi="Times New Roman"/>
                <w:b/>
                <w:sz w:val="14"/>
                <w:szCs w:val="18"/>
              </w:rPr>
              <w:t>±.23</w:t>
            </w:r>
          </w:p>
        </w:tc>
        <w:tc>
          <w:tcPr>
            <w:tcW w:w="444" w:type="pct"/>
          </w:tcPr>
          <w:p w14:paraId="78403401" w14:textId="77777777" w:rsidR="00C640BF" w:rsidRDefault="00000000">
            <w:pPr>
              <w:spacing w:after="0" w:line="240" w:lineRule="auto"/>
              <w:rPr>
                <w:rFonts w:ascii="Times New Roman" w:hAnsi="Times New Roman"/>
                <w:b/>
                <w:sz w:val="14"/>
                <w:szCs w:val="18"/>
                <w:lang w:val="en-GB"/>
              </w:rPr>
            </w:pPr>
            <w:r>
              <w:rPr>
                <w:rFonts w:ascii="Times New Roman" w:hAnsi="Times New Roman"/>
                <w:b/>
                <w:sz w:val="14"/>
                <w:szCs w:val="18"/>
                <w:lang w:val="en-GB"/>
              </w:rPr>
              <w:t>10.9</w:t>
            </w:r>
            <w:r>
              <w:rPr>
                <w:rFonts w:ascii="Times New Roman" w:hAnsi="Times New Roman"/>
                <w:b/>
                <w:sz w:val="14"/>
                <w:szCs w:val="18"/>
              </w:rPr>
              <w:t>±.89</w:t>
            </w:r>
          </w:p>
        </w:tc>
        <w:tc>
          <w:tcPr>
            <w:tcW w:w="585" w:type="pct"/>
          </w:tcPr>
          <w:p w14:paraId="521808D7" w14:textId="77777777" w:rsidR="00C640BF" w:rsidRDefault="00000000">
            <w:pPr>
              <w:spacing w:after="0" w:line="240" w:lineRule="auto"/>
              <w:rPr>
                <w:rFonts w:ascii="Times New Roman" w:hAnsi="Times New Roman"/>
                <w:b/>
                <w:sz w:val="14"/>
                <w:szCs w:val="18"/>
                <w:lang w:val="en-GB"/>
              </w:rPr>
            </w:pPr>
            <w:r>
              <w:rPr>
                <w:rFonts w:ascii="Times New Roman" w:hAnsi="Times New Roman"/>
                <w:b/>
                <w:sz w:val="14"/>
                <w:szCs w:val="18"/>
                <w:lang w:val="en-GB"/>
              </w:rPr>
              <w:t>10.98</w:t>
            </w:r>
            <w:r>
              <w:rPr>
                <w:rFonts w:ascii="Times New Roman" w:hAnsi="Times New Roman"/>
                <w:b/>
                <w:sz w:val="14"/>
                <w:szCs w:val="18"/>
              </w:rPr>
              <w:t>±.36</w:t>
            </w:r>
          </w:p>
        </w:tc>
        <w:tc>
          <w:tcPr>
            <w:tcW w:w="493" w:type="pct"/>
          </w:tcPr>
          <w:p w14:paraId="7F181152" w14:textId="77777777" w:rsidR="00C640BF" w:rsidRDefault="00000000">
            <w:pPr>
              <w:spacing w:after="0" w:line="240" w:lineRule="auto"/>
              <w:rPr>
                <w:rFonts w:ascii="Times New Roman" w:hAnsi="Times New Roman"/>
                <w:b/>
                <w:sz w:val="14"/>
                <w:szCs w:val="18"/>
                <w:lang w:val="en-GB"/>
              </w:rPr>
            </w:pPr>
            <w:r>
              <w:rPr>
                <w:rFonts w:ascii="Times New Roman" w:hAnsi="Times New Roman"/>
                <w:b/>
                <w:sz w:val="14"/>
                <w:szCs w:val="18"/>
                <w:lang w:val="en-GB"/>
              </w:rPr>
              <w:t>12.84</w:t>
            </w:r>
            <w:r>
              <w:rPr>
                <w:rFonts w:ascii="Times New Roman" w:hAnsi="Times New Roman"/>
                <w:sz w:val="14"/>
                <w:szCs w:val="18"/>
              </w:rPr>
              <w:t>±</w:t>
            </w:r>
            <w:r>
              <w:rPr>
                <w:rFonts w:ascii="Times New Roman" w:hAnsi="Times New Roman"/>
                <w:b/>
                <w:sz w:val="14"/>
                <w:szCs w:val="18"/>
              </w:rPr>
              <w:t>1.7</w:t>
            </w:r>
          </w:p>
        </w:tc>
        <w:tc>
          <w:tcPr>
            <w:tcW w:w="353" w:type="pct"/>
          </w:tcPr>
          <w:p w14:paraId="595D623C" w14:textId="77777777" w:rsidR="00C640BF" w:rsidRDefault="00C640BF">
            <w:pPr>
              <w:spacing w:after="0" w:line="240" w:lineRule="auto"/>
              <w:rPr>
                <w:rFonts w:ascii="Times New Roman" w:hAnsi="Times New Roman"/>
                <w:sz w:val="14"/>
                <w:szCs w:val="18"/>
              </w:rPr>
            </w:pPr>
          </w:p>
        </w:tc>
        <w:tc>
          <w:tcPr>
            <w:tcW w:w="531" w:type="pct"/>
          </w:tcPr>
          <w:p w14:paraId="6E8E83EA" w14:textId="77777777" w:rsidR="00C640BF" w:rsidRDefault="00C640BF">
            <w:pPr>
              <w:spacing w:after="0" w:line="240" w:lineRule="auto"/>
              <w:rPr>
                <w:rFonts w:ascii="Times New Roman" w:hAnsi="Times New Roman"/>
                <w:sz w:val="14"/>
                <w:szCs w:val="18"/>
                <w:lang w:val="en-GB"/>
              </w:rPr>
            </w:pPr>
          </w:p>
        </w:tc>
      </w:tr>
    </w:tbl>
    <w:bookmarkEnd w:id="22"/>
    <w:p w14:paraId="604B0A53" w14:textId="77777777" w:rsidR="00C640BF" w:rsidRDefault="00000000">
      <w:pPr>
        <w:jc w:val="both"/>
        <w:rPr>
          <w:rFonts w:ascii="Arial" w:eastAsia="Times New Roman" w:hAnsi="Arial" w:cs="Arial"/>
          <w:bCs/>
          <w:i/>
          <w:kern w:val="36"/>
          <w:sz w:val="14"/>
          <w:szCs w:val="20"/>
        </w:rPr>
      </w:pPr>
      <w:r>
        <w:rPr>
          <w:rFonts w:ascii="Arial" w:eastAsia="Times New Roman" w:hAnsi="Arial" w:cs="Arial"/>
          <w:bCs/>
          <w:i/>
          <w:kern w:val="36"/>
          <w:sz w:val="14"/>
          <w:szCs w:val="20"/>
        </w:rPr>
        <w:t>NS * denotes     no statistically significant difference. There was no statistically significant difference between the results of total mean values and that of the male and female genders respectively (</w:t>
      </w:r>
      <w:r>
        <w:rPr>
          <w:rFonts w:ascii="Arial" w:eastAsia="Times New Roman" w:hAnsi="Arial" w:cs="Arial"/>
          <w:bCs/>
          <w:i/>
          <w:iCs/>
          <w:kern w:val="36"/>
          <w:sz w:val="14"/>
          <w:szCs w:val="20"/>
        </w:rPr>
        <w:t>p &gt;0.05).</w:t>
      </w:r>
      <w:r>
        <w:rPr>
          <w:rFonts w:ascii="Arial" w:eastAsia="Times New Roman" w:hAnsi="Arial" w:cs="Arial"/>
          <w:bCs/>
          <w:i/>
          <w:kern w:val="36"/>
          <w:sz w:val="14"/>
          <w:szCs w:val="20"/>
        </w:rPr>
        <w:t xml:space="preserve"> Using ANOVA, the association between rows (groups) and columns (outcomes) were not statistically significant (</w:t>
      </w:r>
      <w:r>
        <w:rPr>
          <w:rFonts w:ascii="Arial" w:eastAsia="Times New Roman" w:hAnsi="Arial" w:cs="Arial"/>
          <w:bCs/>
          <w:i/>
          <w:iCs/>
          <w:kern w:val="36"/>
          <w:sz w:val="14"/>
          <w:szCs w:val="20"/>
        </w:rPr>
        <w:t>p &gt;0.05).</w:t>
      </w:r>
      <w:r>
        <w:rPr>
          <w:rFonts w:ascii="Arial" w:eastAsia="Times New Roman" w:hAnsi="Arial" w:cs="Arial"/>
          <w:bCs/>
          <w:i/>
          <w:kern w:val="36"/>
          <w:sz w:val="14"/>
          <w:szCs w:val="20"/>
        </w:rPr>
        <w:t xml:space="preserve"> While using Chi-square with Yates correction, the Chi squared equals 0.000 with 1 degree of freedom. The two-tailed P-value equals 0.996. </w:t>
      </w:r>
    </w:p>
    <w:p w14:paraId="39D7FD13" w14:textId="77777777" w:rsidR="00C640BF" w:rsidRDefault="00C640BF">
      <w:pPr>
        <w:rPr>
          <w:rFonts w:eastAsia="Times New Roman" w:cs="Calibri"/>
          <w:b/>
          <w:bCs/>
          <w:kern w:val="36"/>
          <w:sz w:val="24"/>
          <w:szCs w:val="24"/>
        </w:rPr>
      </w:pPr>
    </w:p>
    <w:p w14:paraId="2E14A376" w14:textId="77777777" w:rsidR="00C640BF" w:rsidRDefault="00C640BF">
      <w:pPr>
        <w:rPr>
          <w:rFonts w:eastAsia="Times New Roman" w:cs="Calibri"/>
          <w:bCs/>
          <w:kern w:val="36"/>
          <w:sz w:val="18"/>
          <w:szCs w:val="20"/>
        </w:rPr>
        <w:sectPr w:rsidR="00C640BF">
          <w:type w:val="continuous"/>
          <w:pgSz w:w="11909" w:h="16834" w:code="9"/>
          <w:pgMar w:top="1440" w:right="1440" w:bottom="1440" w:left="1440" w:header="720" w:footer="864" w:gutter="0"/>
          <w:cols w:space="720"/>
          <w:docGrid w:linePitch="360"/>
        </w:sectPr>
      </w:pPr>
      <w:bookmarkStart w:id="23" w:name="_Hlk178916155"/>
    </w:p>
    <w:p w14:paraId="68CFAC5F" w14:textId="77777777" w:rsidR="00C640BF" w:rsidRDefault="00000000">
      <w:pPr>
        <w:spacing w:after="0" w:line="360" w:lineRule="auto"/>
        <w:jc w:val="both"/>
        <w:rPr>
          <w:rFonts w:ascii="Arial" w:eastAsia="Microsoft YaHei" w:hAnsi="Arial" w:cs="Arial"/>
          <w:iCs/>
          <w:sz w:val="16"/>
          <w:szCs w:val="16"/>
        </w:rPr>
      </w:pPr>
      <w:bookmarkStart w:id="24" w:name="_Hlk185902459"/>
      <w:r>
        <w:rPr>
          <w:rFonts w:ascii="Arial" w:eastAsia="Times New Roman" w:hAnsi="Arial" w:cs="Arial"/>
          <w:bCs/>
          <w:kern w:val="36"/>
          <w:sz w:val="16"/>
          <w:szCs w:val="16"/>
        </w:rPr>
        <w:lastRenderedPageBreak/>
        <w:t>In</w:t>
      </w:r>
      <w:r>
        <w:rPr>
          <w:rFonts w:ascii="Arial" w:eastAsia="Times New Roman" w:hAnsi="Arial" w:cs="Arial"/>
          <w:b/>
          <w:bCs/>
          <w:kern w:val="36"/>
          <w:sz w:val="16"/>
          <w:szCs w:val="16"/>
        </w:rPr>
        <w:t xml:space="preserve"> </w:t>
      </w:r>
      <w:r>
        <w:rPr>
          <w:rFonts w:ascii="Arial" w:eastAsia="Times New Roman" w:hAnsi="Arial" w:cs="Arial"/>
          <w:b/>
          <w:kern w:val="36"/>
          <w:sz w:val="16"/>
          <w:szCs w:val="16"/>
        </w:rPr>
        <w:t>Table 2</w:t>
      </w:r>
      <w:r>
        <w:rPr>
          <w:rFonts w:ascii="Arial" w:eastAsia="Times New Roman" w:hAnsi="Arial" w:cs="Arial"/>
          <w:kern w:val="36"/>
          <w:sz w:val="16"/>
          <w:szCs w:val="16"/>
        </w:rPr>
        <w:t xml:space="preserve"> t</w:t>
      </w:r>
      <w:r>
        <w:rPr>
          <w:rFonts w:ascii="Arial" w:eastAsia="Times New Roman" w:hAnsi="Arial" w:cs="Arial"/>
          <w:bCs/>
          <w:kern w:val="36"/>
          <w:sz w:val="16"/>
          <w:szCs w:val="16"/>
        </w:rPr>
        <w:t xml:space="preserve">he results of means values of parameters investigated during the three trimesters of pregnancy among pregnant women and non -pregnant women attending Antenatal clinic in UCTH Calabar, Cross River State, </w:t>
      </w:r>
      <w:bookmarkEnd w:id="23"/>
      <w:r>
        <w:rPr>
          <w:rFonts w:ascii="Arial" w:eastAsia="Times New Roman" w:hAnsi="Arial" w:cs="Arial"/>
          <w:bCs/>
          <w:kern w:val="36"/>
          <w:sz w:val="16"/>
          <w:szCs w:val="16"/>
        </w:rPr>
        <w:t xml:space="preserve">Nigeria are shown. </w:t>
      </w:r>
      <w:r>
        <w:rPr>
          <w:rFonts w:ascii="Arial" w:eastAsia="Microsoft YaHei" w:hAnsi="Arial" w:cs="Arial"/>
          <w:iCs/>
          <w:sz w:val="16"/>
          <w:szCs w:val="16"/>
        </w:rPr>
        <w:t>T</w:t>
      </w:r>
      <w:bookmarkStart w:id="25" w:name="_Hlk186387687"/>
      <w:r>
        <w:rPr>
          <w:rFonts w:ascii="Arial" w:eastAsia="Microsoft YaHei" w:hAnsi="Arial" w:cs="Arial"/>
          <w:iCs/>
          <w:sz w:val="16"/>
          <w:szCs w:val="16"/>
        </w:rPr>
        <w:t>he mean value plus one standard deviation (X±SD) of total plasma protein (TPP) levels in g/dl for first ,second, third trimesters  and total for  pregnant women  were  6.47 ± 0.88, 5.7± 0.76,5.6 ± 0.67 and  5.92 ± 0.77 respectively compared to  7.48±.79  for non-pregnant women .</w:t>
      </w:r>
      <w:bookmarkStart w:id="26" w:name="_Hlk185819681"/>
      <w:r>
        <w:rPr>
          <w:rFonts w:ascii="Arial" w:eastAsia="Microsoft YaHei" w:hAnsi="Arial" w:cs="Arial"/>
          <w:iCs/>
          <w:sz w:val="16"/>
          <w:szCs w:val="16"/>
        </w:rPr>
        <w:t xml:space="preserve">The mean value plus one standard deviation of  hemoglobin concentration using </w:t>
      </w:r>
      <w:proofErr w:type="spellStart"/>
      <w:r>
        <w:rPr>
          <w:rFonts w:ascii="Arial" w:eastAsia="Microsoft YaHei" w:hAnsi="Arial" w:cs="Arial"/>
          <w:iCs/>
          <w:sz w:val="16"/>
          <w:szCs w:val="16"/>
        </w:rPr>
        <w:t>HemoCue</w:t>
      </w:r>
      <w:proofErr w:type="spellEnd"/>
      <w:r>
        <w:rPr>
          <w:rFonts w:ascii="Arial" w:eastAsia="Microsoft YaHei" w:hAnsi="Arial" w:cs="Arial"/>
          <w:iCs/>
          <w:sz w:val="16"/>
          <w:szCs w:val="16"/>
        </w:rPr>
        <w:t xml:space="preserve">  in g/dl  for first ,second , third trimesters  and total for  pregnant women  were </w:t>
      </w:r>
      <w:bookmarkEnd w:id="26"/>
      <w:r>
        <w:rPr>
          <w:rFonts w:ascii="Arial" w:eastAsia="Microsoft YaHei" w:hAnsi="Arial" w:cs="Arial"/>
          <w:iCs/>
          <w:sz w:val="16"/>
          <w:szCs w:val="16"/>
        </w:rPr>
        <w:t>12.43 ± 1.92, 11.6 ±0.14, 11.4 ± 0.41 and 11.81 ±.82 respectively  compared  to  12.77 ± 2.20  for non-pregnant women. The mean value plus one standard deviation of hemoglobin concentration using Microhematocrit (PCV) in % for first, second ,third trimesters and total for pregnant women were 40.51 ± 1.7 ,31 .10 ± 2.7, 29 .11 ± 3.1, 33.57 ± 2.5  respectively  compared to 39.16 ± 8.24 for non-pregnant women.</w:t>
      </w:r>
      <w:r>
        <w:rPr>
          <w:rFonts w:ascii="Arial" w:eastAsia="Times New Roman" w:hAnsi="Arial" w:cs="Arial"/>
          <w:bCs/>
          <w:kern w:val="36"/>
          <w:sz w:val="16"/>
          <w:szCs w:val="16"/>
        </w:rPr>
        <w:t xml:space="preserve"> </w:t>
      </w:r>
      <w:r>
        <w:rPr>
          <w:rFonts w:ascii="Arial" w:eastAsia="Microsoft YaHei" w:hAnsi="Arial" w:cs="Arial"/>
          <w:iCs/>
          <w:sz w:val="16"/>
          <w:szCs w:val="16"/>
        </w:rPr>
        <w:t xml:space="preserve">The hemoglobin equivalence in g/dl in the </w:t>
      </w:r>
      <w:proofErr w:type="spellStart"/>
      <w:r>
        <w:rPr>
          <w:rFonts w:ascii="Arial" w:eastAsia="Microsoft YaHei" w:hAnsi="Arial" w:cs="Arial"/>
          <w:iCs/>
          <w:sz w:val="16"/>
          <w:szCs w:val="16"/>
        </w:rPr>
        <w:t>first,second</w:t>
      </w:r>
      <w:proofErr w:type="spellEnd"/>
      <w:r>
        <w:rPr>
          <w:rFonts w:ascii="Arial" w:eastAsia="Microsoft YaHei" w:hAnsi="Arial" w:cs="Arial"/>
          <w:iCs/>
          <w:sz w:val="16"/>
          <w:szCs w:val="16"/>
        </w:rPr>
        <w:t xml:space="preserve">, third trimesters and total  for pregnant women  were  13.50 ± .60, 10.4±0.9,9.70±1.0, and 11.2 ± .80,  respectively compared to 13.05 ± 2.75 for nonpregnant .The mean </w:t>
      </w:r>
      <w:bookmarkStart w:id="27" w:name="_Hlk186304608"/>
      <w:r>
        <w:rPr>
          <w:rFonts w:ascii="Arial" w:eastAsia="Microsoft YaHei" w:hAnsi="Arial" w:cs="Arial"/>
          <w:iCs/>
          <w:sz w:val="16"/>
          <w:szCs w:val="16"/>
        </w:rPr>
        <w:t>value plus one standard deviation of hemoglobin concentration using</w:t>
      </w:r>
      <w:bookmarkEnd w:id="27"/>
      <w:r>
        <w:rPr>
          <w:rFonts w:ascii="Arial" w:eastAsia="Microsoft YaHei" w:hAnsi="Arial" w:cs="Arial"/>
          <w:iCs/>
          <w:sz w:val="16"/>
          <w:szCs w:val="16"/>
        </w:rPr>
        <w:t xml:space="preserve"> Copper sulphate solution gave a specific gravity of 1.058± 0.006, 1.050 ±.001, 1.045±.002, 1.051 ± 0.003, respectively </w:t>
      </w:r>
      <w:bookmarkStart w:id="28" w:name="_Hlk185826370"/>
      <w:r>
        <w:rPr>
          <w:rFonts w:ascii="Arial" w:eastAsia="Microsoft YaHei" w:hAnsi="Arial" w:cs="Arial"/>
          <w:iCs/>
          <w:sz w:val="16"/>
          <w:szCs w:val="16"/>
        </w:rPr>
        <w:t xml:space="preserve">for first, second, third trimesters and  total for pregnant women  compared to 1.055 ± 0.009  for non-pregnant </w:t>
      </w:r>
      <w:proofErr w:type="spellStart"/>
      <w:r>
        <w:rPr>
          <w:rFonts w:ascii="Arial" w:eastAsia="Microsoft YaHei" w:hAnsi="Arial" w:cs="Arial"/>
          <w:iCs/>
          <w:sz w:val="16"/>
          <w:szCs w:val="16"/>
        </w:rPr>
        <w:t>women</w:t>
      </w:r>
      <w:bookmarkEnd w:id="28"/>
      <w:r>
        <w:rPr>
          <w:rFonts w:ascii="Arial" w:eastAsia="Microsoft YaHei" w:hAnsi="Arial" w:cs="Arial"/>
          <w:iCs/>
          <w:sz w:val="16"/>
          <w:szCs w:val="16"/>
        </w:rPr>
        <w:t>.This</w:t>
      </w:r>
      <w:proofErr w:type="spellEnd"/>
      <w:r>
        <w:rPr>
          <w:rFonts w:ascii="Arial" w:eastAsia="Microsoft YaHei" w:hAnsi="Arial" w:cs="Arial"/>
          <w:iCs/>
          <w:sz w:val="16"/>
          <w:szCs w:val="16"/>
        </w:rPr>
        <w:t xml:space="preserve"> gave hemoglobin concentration equivalence in g/dl of 12.11± 0.02, 11.9±.10,11.5±.11 and 11.50± 0.07 for pregnant women  respectively compared to  13.4± 0.06</w:t>
      </w:r>
      <w:bookmarkStart w:id="29" w:name="_Hlk185827080"/>
      <w:r>
        <w:rPr>
          <w:rFonts w:ascii="Arial" w:eastAsia="Microsoft YaHei" w:hAnsi="Arial" w:cs="Arial"/>
          <w:iCs/>
          <w:sz w:val="16"/>
          <w:szCs w:val="16"/>
        </w:rPr>
        <w:t xml:space="preserve"> for nonpregnant women. The mean value plus one standard deviation of hemoglobin concentration in g/dl</w:t>
      </w:r>
      <w:bookmarkEnd w:id="29"/>
      <w:r>
        <w:rPr>
          <w:rFonts w:ascii="Arial" w:eastAsia="Microsoft YaHei" w:hAnsi="Arial" w:cs="Arial"/>
          <w:iCs/>
          <w:sz w:val="16"/>
          <w:szCs w:val="16"/>
        </w:rPr>
        <w:t xml:space="preserve"> using Sahli device for first, second , third trimesters and  total were 12.11± 0.02,11.9±.10 ,11.5±.11 and 11.50± 0.07 for pregnant women compared to  13.4± 0.06 for   non-pregnant women with corresponding hemoglobin concentration equivalence in g/dl of  12.2, 11.6, 11.4 and 11.7 respectively for pregnant women compared to  12.5 for nonpregnant women </w:t>
      </w:r>
    </w:p>
    <w:p w14:paraId="0214B5CC" w14:textId="77777777" w:rsidR="00C640BF" w:rsidRDefault="00000000">
      <w:pPr>
        <w:spacing w:after="0" w:line="360" w:lineRule="auto"/>
        <w:jc w:val="both"/>
        <w:rPr>
          <w:rFonts w:ascii="Arial" w:eastAsia="Times New Roman" w:hAnsi="Arial" w:cs="Arial"/>
          <w:bCs/>
          <w:kern w:val="36"/>
          <w:sz w:val="16"/>
          <w:szCs w:val="16"/>
        </w:rPr>
      </w:pPr>
      <w:r>
        <w:rPr>
          <w:rFonts w:ascii="Arial" w:eastAsia="Microsoft YaHei" w:hAnsi="Arial" w:cs="Arial"/>
          <w:iCs/>
          <w:sz w:val="16"/>
          <w:szCs w:val="16"/>
        </w:rPr>
        <w:t xml:space="preserve">The mean value plus one standard deviation of hemoglobin concentration using </w:t>
      </w:r>
      <w:proofErr w:type="spellStart"/>
      <w:r>
        <w:rPr>
          <w:rFonts w:ascii="Arial" w:eastAsia="Microsoft YaHei" w:hAnsi="Arial" w:cs="Arial"/>
          <w:iCs/>
          <w:sz w:val="16"/>
          <w:szCs w:val="16"/>
        </w:rPr>
        <w:t>Tallquist</w:t>
      </w:r>
      <w:proofErr w:type="spellEnd"/>
      <w:r>
        <w:rPr>
          <w:rFonts w:ascii="Arial" w:eastAsia="Microsoft YaHei" w:hAnsi="Arial" w:cs="Arial"/>
          <w:iCs/>
          <w:sz w:val="16"/>
          <w:szCs w:val="16"/>
        </w:rPr>
        <w:t xml:space="preserve"> for first, second ,third trimesters and total for pregnant women were 12.11± 0.02,11.9±.10,11.5±.11 and 11.50± 0.07 respectively compared to  13.4± 0.06 for  non-pregnant  and with corresponding equivalence hemoglobin concentration in g/dl of 12.2, 11.6, 11.4 and 11.7 respectively compared to  12.5 for  non-pregnant women</w:t>
      </w:r>
      <w:r>
        <w:rPr>
          <w:rFonts w:ascii="Arial" w:eastAsia="Times New Roman" w:hAnsi="Arial" w:cs="Arial"/>
          <w:bCs/>
          <w:kern w:val="36"/>
          <w:sz w:val="16"/>
          <w:szCs w:val="16"/>
        </w:rPr>
        <w:t xml:space="preserve">. </w:t>
      </w:r>
      <w:r>
        <w:rPr>
          <w:rFonts w:ascii="Arial" w:eastAsia="Microsoft YaHei" w:hAnsi="Arial" w:cs="Arial"/>
          <w:iCs/>
          <w:sz w:val="16"/>
          <w:szCs w:val="16"/>
        </w:rPr>
        <w:t>The mean value plus one standard deviation of hemoglobin concentration in g/dl per trimester per five type of hemoglobinometers were 12.77±.52,11.4±.23,10.9±.89,10.98±.36, 12.84±1.7 respectively.</w:t>
      </w:r>
      <w:bookmarkStart w:id="30" w:name="_Hlk185876944"/>
      <w:bookmarkEnd w:id="24"/>
    </w:p>
    <w:p w14:paraId="6F8EFB32" w14:textId="77777777" w:rsidR="00C640BF" w:rsidRDefault="00000000">
      <w:pPr>
        <w:spacing w:line="360" w:lineRule="auto"/>
        <w:jc w:val="both"/>
        <w:rPr>
          <w:rFonts w:ascii="Arial" w:eastAsia="Calibri" w:hAnsi="Arial" w:cs="Arial"/>
          <w:bCs/>
          <w:sz w:val="16"/>
          <w:szCs w:val="16"/>
        </w:rPr>
      </w:pPr>
      <w:r>
        <w:rPr>
          <w:rFonts w:ascii="Arial" w:eastAsia="Calibri" w:hAnsi="Arial" w:cs="Arial"/>
          <w:bCs/>
          <w:sz w:val="16"/>
          <w:szCs w:val="16"/>
        </w:rPr>
        <w:t>I</w:t>
      </w:r>
      <w:bookmarkEnd w:id="25"/>
      <w:r>
        <w:rPr>
          <w:rFonts w:ascii="Arial" w:eastAsia="Calibri" w:hAnsi="Arial" w:cs="Arial"/>
          <w:bCs/>
          <w:sz w:val="16"/>
          <w:szCs w:val="16"/>
        </w:rPr>
        <w:t xml:space="preserve">n </w:t>
      </w:r>
      <w:r>
        <w:rPr>
          <w:rFonts w:ascii="Arial" w:eastAsia="Calibri" w:hAnsi="Arial" w:cs="Arial"/>
          <w:b/>
          <w:bCs/>
          <w:sz w:val="16"/>
          <w:szCs w:val="16"/>
        </w:rPr>
        <w:t>Table 3</w:t>
      </w:r>
      <w:r>
        <w:rPr>
          <w:rFonts w:ascii="Arial" w:eastAsia="Calibri" w:hAnsi="Arial" w:cs="Arial"/>
          <w:bCs/>
          <w:sz w:val="16"/>
          <w:szCs w:val="16"/>
        </w:rPr>
        <w:t xml:space="preserve"> the Comparative results of coefficient of variance CV (%) of parameters among apparently healthy pregnant women and non-pregnant women attending UCTH Calabar, Cross River State, Nigeria are shown</w:t>
      </w:r>
      <w:r>
        <w:rPr>
          <w:rFonts w:ascii="Arial" w:eastAsia="Calibri" w:hAnsi="Arial" w:cs="Arial"/>
          <w:sz w:val="16"/>
          <w:szCs w:val="16"/>
        </w:rPr>
        <w:t xml:space="preserve">. </w:t>
      </w:r>
      <w:r>
        <w:rPr>
          <w:rFonts w:ascii="Arial" w:eastAsia="Calibri" w:hAnsi="Arial" w:cs="Arial"/>
          <w:bCs/>
          <w:sz w:val="16"/>
          <w:szCs w:val="16"/>
        </w:rPr>
        <w:t>The coefficient of variance CV (%) of total plasma protein (PTP) was 15.4 %, Hemoglobin concentration (</w:t>
      </w:r>
      <w:proofErr w:type="spellStart"/>
      <w:r>
        <w:rPr>
          <w:rFonts w:ascii="Arial" w:eastAsia="Calibri" w:hAnsi="Arial" w:cs="Arial"/>
          <w:bCs/>
          <w:sz w:val="16"/>
          <w:szCs w:val="16"/>
        </w:rPr>
        <w:t>HemoCue</w:t>
      </w:r>
      <w:proofErr w:type="spellEnd"/>
      <w:r>
        <w:rPr>
          <w:rFonts w:ascii="Arial" w:eastAsia="Calibri" w:hAnsi="Arial" w:cs="Arial"/>
          <w:bCs/>
          <w:sz w:val="16"/>
          <w:szCs w:val="16"/>
        </w:rPr>
        <w:t xml:space="preserve">) was 6.94 %, that of   </w:t>
      </w:r>
      <w:proofErr w:type="spellStart"/>
      <w:r>
        <w:rPr>
          <w:rFonts w:ascii="Arial" w:eastAsia="Calibri" w:hAnsi="Arial" w:cs="Arial"/>
          <w:bCs/>
          <w:sz w:val="16"/>
          <w:szCs w:val="16"/>
        </w:rPr>
        <w:t>Microhaematocrit</w:t>
      </w:r>
      <w:proofErr w:type="spellEnd"/>
      <w:r>
        <w:rPr>
          <w:rFonts w:ascii="Arial" w:eastAsia="Calibri" w:hAnsi="Arial" w:cs="Arial"/>
          <w:bCs/>
          <w:sz w:val="16"/>
          <w:szCs w:val="16"/>
        </w:rPr>
        <w:t xml:space="preserve"> (PCV) was 7.14 % and that of Copper sulphate (CuSO</w:t>
      </w:r>
      <w:r>
        <w:rPr>
          <w:rFonts w:ascii="Arial" w:eastAsia="Calibri" w:hAnsi="Arial" w:cs="Arial"/>
          <w:bCs/>
          <w:sz w:val="16"/>
          <w:szCs w:val="16"/>
          <w:vertAlign w:val="subscript"/>
        </w:rPr>
        <w:t>4</w:t>
      </w:r>
      <w:r>
        <w:rPr>
          <w:rFonts w:ascii="Arial" w:eastAsia="Calibri" w:hAnsi="Arial" w:cs="Arial"/>
          <w:bCs/>
          <w:sz w:val="16"/>
          <w:szCs w:val="16"/>
        </w:rPr>
        <w:t xml:space="preserve"> method) was 0.93% , that of  Sahli device  was 6.08% and that of </w:t>
      </w:r>
      <w:proofErr w:type="spellStart"/>
      <w:r>
        <w:rPr>
          <w:rFonts w:ascii="Arial" w:eastAsia="Calibri" w:hAnsi="Arial" w:cs="Arial"/>
          <w:bCs/>
          <w:sz w:val="16"/>
          <w:szCs w:val="16"/>
        </w:rPr>
        <w:t>Tallquist</w:t>
      </w:r>
      <w:proofErr w:type="spellEnd"/>
      <w:r>
        <w:rPr>
          <w:rFonts w:ascii="Arial" w:eastAsia="Calibri" w:hAnsi="Arial" w:cs="Arial"/>
          <w:bCs/>
          <w:sz w:val="16"/>
          <w:szCs w:val="16"/>
        </w:rPr>
        <w:t xml:space="preserve"> paper was 0.26 % </w:t>
      </w:r>
    </w:p>
    <w:p w14:paraId="5B478DD3" w14:textId="77777777" w:rsidR="00C640BF" w:rsidRDefault="00000000">
      <w:pPr>
        <w:rPr>
          <w:rFonts w:eastAsia="Calibri" w:cs="Calibri"/>
          <w:b/>
          <w:sz w:val="20"/>
          <w:szCs w:val="20"/>
        </w:rPr>
      </w:pPr>
      <w:bookmarkStart w:id="31" w:name="_Hlk185829120"/>
      <w:bookmarkEnd w:id="30"/>
      <w:r>
        <w:rPr>
          <w:rFonts w:eastAsia="Calibri" w:cs="Calibri"/>
          <w:b/>
          <w:sz w:val="20"/>
          <w:szCs w:val="20"/>
        </w:rPr>
        <w:t>Table 3. Comparative result of coefficient of variance cv (%) of each parameter among</w:t>
      </w:r>
      <w:r>
        <w:rPr>
          <w:rFonts w:eastAsia="Calibri" w:cs="Calibri"/>
          <w:b/>
          <w:bCs/>
          <w:sz w:val="20"/>
          <w:szCs w:val="20"/>
        </w:rPr>
        <w:t xml:space="preserve"> pregnant and non-pregnant women attending antenatal clinic at UCTH  Calabar , Cross River State, Nigeria.</w:t>
      </w:r>
    </w:p>
    <w:tbl>
      <w:tblPr>
        <w:tblStyle w:val="TableGrid"/>
        <w:tblW w:w="4997"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1515"/>
        <w:gridCol w:w="1167"/>
        <w:gridCol w:w="1336"/>
        <w:gridCol w:w="2917"/>
      </w:tblGrid>
      <w:tr w:rsidR="00C640BF" w14:paraId="2AB68F66" w14:textId="77777777">
        <w:trPr>
          <w:trHeight w:val="20"/>
          <w:jc w:val="center"/>
        </w:trPr>
        <w:tc>
          <w:tcPr>
            <w:tcW w:w="2727" w:type="pct"/>
            <w:gridSpan w:val="3"/>
            <w:tcBorders>
              <w:top w:val="single" w:sz="4" w:space="0" w:color="auto"/>
              <w:bottom w:val="single" w:sz="4" w:space="0" w:color="auto"/>
            </w:tcBorders>
          </w:tcPr>
          <w:bookmarkEnd w:id="31"/>
          <w:p w14:paraId="6318AE58" w14:textId="77777777" w:rsidR="00C640BF" w:rsidRDefault="00000000">
            <w:pPr>
              <w:rPr>
                <w:rFonts w:cs="Calibri"/>
              </w:rPr>
            </w:pPr>
            <w:r>
              <w:rPr>
                <w:rFonts w:cs="Calibri"/>
              </w:rPr>
              <w:t>Parameters Investigated</w:t>
            </w:r>
          </w:p>
        </w:tc>
        <w:tc>
          <w:tcPr>
            <w:tcW w:w="2273" w:type="pct"/>
            <w:gridSpan w:val="2"/>
            <w:tcBorders>
              <w:top w:val="single" w:sz="4" w:space="0" w:color="auto"/>
              <w:bottom w:val="single" w:sz="4" w:space="0" w:color="auto"/>
            </w:tcBorders>
          </w:tcPr>
          <w:p w14:paraId="44E545E1" w14:textId="77777777" w:rsidR="00C640BF" w:rsidRDefault="00000000">
            <w:pPr>
              <w:rPr>
                <w:rFonts w:cs="Calibri"/>
              </w:rPr>
            </w:pPr>
            <w:r>
              <w:rPr>
                <w:rFonts w:cs="Calibri"/>
              </w:rPr>
              <w:t xml:space="preserve">Coefficient Variation  </w:t>
            </w:r>
          </w:p>
        </w:tc>
      </w:tr>
      <w:tr w:rsidR="00C640BF" w14:paraId="0DE7E108" w14:textId="77777777">
        <w:trPr>
          <w:trHeight w:val="20"/>
          <w:jc w:val="center"/>
        </w:trPr>
        <w:tc>
          <w:tcPr>
            <w:tcW w:w="1293" w:type="pct"/>
            <w:tcBorders>
              <w:top w:val="single" w:sz="4" w:space="0" w:color="auto"/>
              <w:bottom w:val="single" w:sz="4" w:space="0" w:color="auto"/>
            </w:tcBorders>
          </w:tcPr>
          <w:p w14:paraId="38A7FA8C" w14:textId="77777777" w:rsidR="00C640BF" w:rsidRDefault="00C640BF">
            <w:pPr>
              <w:rPr>
                <w:rFonts w:cs="Calibri"/>
              </w:rPr>
            </w:pPr>
          </w:p>
        </w:tc>
        <w:tc>
          <w:tcPr>
            <w:tcW w:w="810" w:type="pct"/>
            <w:tcBorders>
              <w:top w:val="single" w:sz="4" w:space="0" w:color="auto"/>
              <w:bottom w:val="single" w:sz="4" w:space="0" w:color="auto"/>
            </w:tcBorders>
          </w:tcPr>
          <w:p w14:paraId="1F439312" w14:textId="77777777" w:rsidR="00C640BF" w:rsidRDefault="00000000">
            <w:pPr>
              <w:rPr>
                <w:rFonts w:cs="Calibri"/>
              </w:rPr>
            </w:pPr>
            <w:r>
              <w:rPr>
                <w:rFonts w:cs="Calibri"/>
              </w:rPr>
              <w:t xml:space="preserve">Code </w:t>
            </w:r>
          </w:p>
        </w:tc>
        <w:tc>
          <w:tcPr>
            <w:tcW w:w="624" w:type="pct"/>
            <w:tcBorders>
              <w:top w:val="single" w:sz="4" w:space="0" w:color="auto"/>
              <w:bottom w:val="single" w:sz="4" w:space="0" w:color="auto"/>
            </w:tcBorders>
          </w:tcPr>
          <w:p w14:paraId="7E6DD494" w14:textId="77777777" w:rsidR="00C640BF" w:rsidRDefault="00000000">
            <w:pPr>
              <w:rPr>
                <w:rFonts w:cs="Calibri"/>
              </w:rPr>
            </w:pPr>
            <w:r>
              <w:rPr>
                <w:rFonts w:cs="Calibri"/>
              </w:rPr>
              <w:t>Unit</w:t>
            </w:r>
          </w:p>
        </w:tc>
        <w:tc>
          <w:tcPr>
            <w:tcW w:w="714" w:type="pct"/>
            <w:tcBorders>
              <w:top w:val="single" w:sz="4" w:space="0" w:color="auto"/>
              <w:bottom w:val="single" w:sz="4" w:space="0" w:color="auto"/>
            </w:tcBorders>
          </w:tcPr>
          <w:p w14:paraId="56813710" w14:textId="77777777" w:rsidR="00C640BF" w:rsidRDefault="00000000">
            <w:pPr>
              <w:rPr>
                <w:rFonts w:cs="Calibri"/>
              </w:rPr>
            </w:pPr>
            <w:r>
              <w:rPr>
                <w:rFonts w:cs="Calibri"/>
              </w:rPr>
              <w:t>(%)</w:t>
            </w:r>
          </w:p>
        </w:tc>
        <w:tc>
          <w:tcPr>
            <w:tcW w:w="1559" w:type="pct"/>
            <w:tcBorders>
              <w:top w:val="single" w:sz="4" w:space="0" w:color="auto"/>
              <w:bottom w:val="single" w:sz="4" w:space="0" w:color="auto"/>
            </w:tcBorders>
          </w:tcPr>
          <w:p w14:paraId="362A400C" w14:textId="77777777" w:rsidR="00C640BF" w:rsidRDefault="00C640BF">
            <w:pPr>
              <w:rPr>
                <w:rFonts w:cs="Calibri"/>
              </w:rPr>
            </w:pPr>
          </w:p>
        </w:tc>
      </w:tr>
      <w:tr w:rsidR="00C640BF" w14:paraId="70AF9275" w14:textId="77777777">
        <w:trPr>
          <w:trHeight w:val="20"/>
          <w:jc w:val="center"/>
        </w:trPr>
        <w:tc>
          <w:tcPr>
            <w:tcW w:w="1293" w:type="pct"/>
            <w:tcBorders>
              <w:top w:val="single" w:sz="4" w:space="0" w:color="auto"/>
            </w:tcBorders>
          </w:tcPr>
          <w:p w14:paraId="13B0AD20" w14:textId="77777777" w:rsidR="00C640BF" w:rsidRDefault="00000000">
            <w:pPr>
              <w:rPr>
                <w:rFonts w:cs="Calibri"/>
              </w:rPr>
            </w:pPr>
            <w:bookmarkStart w:id="32" w:name="_Hlk178416714"/>
            <w:r>
              <w:rPr>
                <w:rFonts w:cs="Calibri"/>
              </w:rPr>
              <w:t>Total plasma protein</w:t>
            </w:r>
          </w:p>
        </w:tc>
        <w:tc>
          <w:tcPr>
            <w:tcW w:w="810" w:type="pct"/>
            <w:tcBorders>
              <w:top w:val="single" w:sz="4" w:space="0" w:color="auto"/>
            </w:tcBorders>
          </w:tcPr>
          <w:p w14:paraId="7BEE6775" w14:textId="77777777" w:rsidR="00C640BF" w:rsidRDefault="00000000">
            <w:pPr>
              <w:rPr>
                <w:rFonts w:cs="Calibri"/>
                <w:bCs/>
              </w:rPr>
            </w:pPr>
            <w:r>
              <w:rPr>
                <w:rFonts w:cs="Calibri"/>
              </w:rPr>
              <w:t>TPP</w:t>
            </w:r>
          </w:p>
        </w:tc>
        <w:tc>
          <w:tcPr>
            <w:tcW w:w="624" w:type="pct"/>
            <w:tcBorders>
              <w:top w:val="single" w:sz="4" w:space="0" w:color="auto"/>
            </w:tcBorders>
          </w:tcPr>
          <w:p w14:paraId="0403F49C" w14:textId="77777777" w:rsidR="00C640BF" w:rsidRDefault="00000000">
            <w:pPr>
              <w:rPr>
                <w:rFonts w:cs="Calibri"/>
                <w:bCs/>
              </w:rPr>
            </w:pPr>
            <w:r>
              <w:rPr>
                <w:rFonts w:cs="Calibri"/>
                <w:bCs/>
              </w:rPr>
              <w:t>g/dl</w:t>
            </w:r>
          </w:p>
        </w:tc>
        <w:tc>
          <w:tcPr>
            <w:tcW w:w="714" w:type="pct"/>
            <w:tcBorders>
              <w:top w:val="single" w:sz="4" w:space="0" w:color="auto"/>
            </w:tcBorders>
          </w:tcPr>
          <w:p w14:paraId="26CBB6F3" w14:textId="77777777" w:rsidR="00C640BF" w:rsidRDefault="00000000">
            <w:pPr>
              <w:rPr>
                <w:rFonts w:cs="Calibri"/>
              </w:rPr>
            </w:pPr>
            <w:r>
              <w:rPr>
                <w:rFonts w:cs="Calibri"/>
              </w:rPr>
              <w:t>15.4</w:t>
            </w:r>
          </w:p>
        </w:tc>
        <w:tc>
          <w:tcPr>
            <w:tcW w:w="1559" w:type="pct"/>
            <w:tcBorders>
              <w:top w:val="single" w:sz="4" w:space="0" w:color="auto"/>
            </w:tcBorders>
          </w:tcPr>
          <w:p w14:paraId="70365D8B" w14:textId="77777777" w:rsidR="00C640BF" w:rsidRDefault="00C640BF">
            <w:pPr>
              <w:rPr>
                <w:rFonts w:cs="Calibri"/>
              </w:rPr>
            </w:pPr>
          </w:p>
        </w:tc>
      </w:tr>
      <w:tr w:rsidR="00C640BF" w14:paraId="21B19DFC" w14:textId="77777777">
        <w:trPr>
          <w:trHeight w:val="20"/>
          <w:jc w:val="center"/>
        </w:trPr>
        <w:tc>
          <w:tcPr>
            <w:tcW w:w="1293" w:type="pct"/>
          </w:tcPr>
          <w:p w14:paraId="1A92812D" w14:textId="77777777" w:rsidR="00C640BF" w:rsidRDefault="00000000">
            <w:pPr>
              <w:rPr>
                <w:rFonts w:cs="Calibri"/>
              </w:rPr>
            </w:pPr>
            <w:proofErr w:type="spellStart"/>
            <w:r>
              <w:rPr>
                <w:rFonts w:cs="Calibri"/>
              </w:rPr>
              <w:t>Haemoglobin</w:t>
            </w:r>
            <w:proofErr w:type="spellEnd"/>
            <w:r>
              <w:rPr>
                <w:rFonts w:cs="Calibri"/>
              </w:rPr>
              <w:t xml:space="preserve">   conc.</w:t>
            </w:r>
          </w:p>
        </w:tc>
        <w:tc>
          <w:tcPr>
            <w:tcW w:w="810" w:type="pct"/>
          </w:tcPr>
          <w:p w14:paraId="017259C4" w14:textId="77777777" w:rsidR="00C640BF" w:rsidRDefault="00000000">
            <w:pPr>
              <w:rPr>
                <w:rFonts w:cs="Calibri"/>
                <w:bCs/>
              </w:rPr>
            </w:pPr>
            <w:r>
              <w:rPr>
                <w:rFonts w:cs="Calibri"/>
              </w:rPr>
              <w:t>(</w:t>
            </w:r>
            <w:proofErr w:type="spellStart"/>
            <w:r>
              <w:rPr>
                <w:rFonts w:cs="Calibri"/>
              </w:rPr>
              <w:t>HemoCue</w:t>
            </w:r>
            <w:proofErr w:type="spellEnd"/>
            <w:r>
              <w:rPr>
                <w:rFonts w:cs="Calibri"/>
              </w:rPr>
              <w:t>)</w:t>
            </w:r>
          </w:p>
        </w:tc>
        <w:tc>
          <w:tcPr>
            <w:tcW w:w="624" w:type="pct"/>
          </w:tcPr>
          <w:p w14:paraId="1AEA7372" w14:textId="77777777" w:rsidR="00C640BF" w:rsidRDefault="00000000">
            <w:pPr>
              <w:rPr>
                <w:rFonts w:cs="Calibri"/>
                <w:bCs/>
              </w:rPr>
            </w:pPr>
            <w:r>
              <w:rPr>
                <w:rFonts w:cs="Calibri"/>
                <w:bCs/>
              </w:rPr>
              <w:t>g/dl</w:t>
            </w:r>
          </w:p>
        </w:tc>
        <w:tc>
          <w:tcPr>
            <w:tcW w:w="714" w:type="pct"/>
          </w:tcPr>
          <w:p w14:paraId="2F5B9B95" w14:textId="77777777" w:rsidR="00C640BF" w:rsidRDefault="00000000">
            <w:pPr>
              <w:rPr>
                <w:rFonts w:cs="Calibri"/>
              </w:rPr>
            </w:pPr>
            <w:r>
              <w:rPr>
                <w:rFonts w:cs="Calibri"/>
              </w:rPr>
              <w:t>6.94</w:t>
            </w:r>
          </w:p>
        </w:tc>
        <w:tc>
          <w:tcPr>
            <w:tcW w:w="1559" w:type="pct"/>
          </w:tcPr>
          <w:p w14:paraId="686C66D3" w14:textId="77777777" w:rsidR="00C640BF" w:rsidRDefault="00C640BF">
            <w:pPr>
              <w:rPr>
                <w:rFonts w:cs="Calibri"/>
              </w:rPr>
            </w:pPr>
          </w:p>
        </w:tc>
      </w:tr>
      <w:tr w:rsidR="00C640BF" w14:paraId="5904DC4C" w14:textId="77777777">
        <w:trPr>
          <w:trHeight w:val="20"/>
          <w:jc w:val="center"/>
        </w:trPr>
        <w:tc>
          <w:tcPr>
            <w:tcW w:w="1293" w:type="pct"/>
          </w:tcPr>
          <w:p w14:paraId="360688F1" w14:textId="77777777" w:rsidR="00C640BF" w:rsidRDefault="00000000">
            <w:pPr>
              <w:rPr>
                <w:rFonts w:cs="Calibri"/>
              </w:rPr>
            </w:pPr>
            <w:proofErr w:type="spellStart"/>
            <w:r>
              <w:rPr>
                <w:rFonts w:cs="Calibri"/>
              </w:rPr>
              <w:t>Microhaematocrit</w:t>
            </w:r>
            <w:proofErr w:type="spellEnd"/>
          </w:p>
        </w:tc>
        <w:tc>
          <w:tcPr>
            <w:tcW w:w="810" w:type="pct"/>
          </w:tcPr>
          <w:p w14:paraId="33C04876" w14:textId="77777777" w:rsidR="00C640BF" w:rsidRDefault="00000000">
            <w:pPr>
              <w:rPr>
                <w:rFonts w:cs="Calibri"/>
                <w:bCs/>
              </w:rPr>
            </w:pPr>
            <w:r>
              <w:rPr>
                <w:rFonts w:cs="Calibri"/>
              </w:rPr>
              <w:t xml:space="preserve">PCV </w:t>
            </w:r>
          </w:p>
        </w:tc>
        <w:tc>
          <w:tcPr>
            <w:tcW w:w="624" w:type="pct"/>
          </w:tcPr>
          <w:p w14:paraId="72A8B892" w14:textId="77777777" w:rsidR="00C640BF" w:rsidRDefault="00000000">
            <w:pPr>
              <w:rPr>
                <w:rFonts w:cs="Calibri"/>
                <w:bCs/>
              </w:rPr>
            </w:pPr>
            <w:r>
              <w:rPr>
                <w:rFonts w:cs="Calibri"/>
                <w:bCs/>
              </w:rPr>
              <w:t>%</w:t>
            </w:r>
          </w:p>
        </w:tc>
        <w:tc>
          <w:tcPr>
            <w:tcW w:w="714" w:type="pct"/>
          </w:tcPr>
          <w:p w14:paraId="4DBDB3D9" w14:textId="77777777" w:rsidR="00C640BF" w:rsidRDefault="00000000">
            <w:pPr>
              <w:rPr>
                <w:rFonts w:cs="Calibri"/>
              </w:rPr>
            </w:pPr>
            <w:r>
              <w:rPr>
                <w:rFonts w:cs="Calibri"/>
              </w:rPr>
              <w:t>7.14</w:t>
            </w:r>
          </w:p>
        </w:tc>
        <w:tc>
          <w:tcPr>
            <w:tcW w:w="1559" w:type="pct"/>
          </w:tcPr>
          <w:p w14:paraId="01A95A96" w14:textId="77777777" w:rsidR="00C640BF" w:rsidRDefault="00C640BF">
            <w:pPr>
              <w:rPr>
                <w:rFonts w:cs="Calibri"/>
              </w:rPr>
            </w:pPr>
          </w:p>
        </w:tc>
      </w:tr>
      <w:tr w:rsidR="00C640BF" w14:paraId="36493739" w14:textId="77777777">
        <w:trPr>
          <w:trHeight w:val="20"/>
          <w:jc w:val="center"/>
        </w:trPr>
        <w:tc>
          <w:tcPr>
            <w:tcW w:w="1293" w:type="pct"/>
          </w:tcPr>
          <w:p w14:paraId="2A84251B" w14:textId="77777777" w:rsidR="00C640BF" w:rsidRDefault="00000000">
            <w:pPr>
              <w:rPr>
                <w:rFonts w:cs="Calibri"/>
              </w:rPr>
            </w:pPr>
            <w:r>
              <w:rPr>
                <w:rFonts w:cs="Calibri"/>
              </w:rPr>
              <w:t>Copper sulphate solution</w:t>
            </w:r>
          </w:p>
        </w:tc>
        <w:tc>
          <w:tcPr>
            <w:tcW w:w="810" w:type="pct"/>
          </w:tcPr>
          <w:p w14:paraId="2A90456A" w14:textId="77777777" w:rsidR="00C640BF" w:rsidRDefault="00000000">
            <w:pPr>
              <w:rPr>
                <w:rFonts w:cs="Calibri"/>
                <w:bCs/>
              </w:rPr>
            </w:pPr>
            <w:r>
              <w:rPr>
                <w:rFonts w:cs="Calibri"/>
              </w:rPr>
              <w:t>CuOS4</w:t>
            </w:r>
          </w:p>
        </w:tc>
        <w:tc>
          <w:tcPr>
            <w:tcW w:w="624" w:type="pct"/>
          </w:tcPr>
          <w:p w14:paraId="7BC3CDB8" w14:textId="77777777" w:rsidR="00C640BF" w:rsidRDefault="00000000">
            <w:pPr>
              <w:rPr>
                <w:rFonts w:cs="Calibri"/>
                <w:bCs/>
              </w:rPr>
            </w:pPr>
            <w:r>
              <w:rPr>
                <w:rFonts w:cs="Calibri"/>
                <w:bCs/>
              </w:rPr>
              <w:t>%</w:t>
            </w:r>
          </w:p>
        </w:tc>
        <w:tc>
          <w:tcPr>
            <w:tcW w:w="714" w:type="pct"/>
          </w:tcPr>
          <w:p w14:paraId="21B8005C" w14:textId="77777777" w:rsidR="00C640BF" w:rsidRDefault="00000000">
            <w:pPr>
              <w:rPr>
                <w:rFonts w:cs="Calibri"/>
              </w:rPr>
            </w:pPr>
            <w:r>
              <w:rPr>
                <w:rFonts w:cs="Calibri"/>
              </w:rPr>
              <w:t xml:space="preserve"> 0.93</w:t>
            </w:r>
          </w:p>
        </w:tc>
        <w:tc>
          <w:tcPr>
            <w:tcW w:w="1559" w:type="pct"/>
          </w:tcPr>
          <w:p w14:paraId="2AF28E48" w14:textId="77777777" w:rsidR="00C640BF" w:rsidRDefault="00C640BF">
            <w:pPr>
              <w:rPr>
                <w:rFonts w:cs="Calibri"/>
              </w:rPr>
            </w:pPr>
          </w:p>
        </w:tc>
      </w:tr>
      <w:tr w:rsidR="00C640BF" w14:paraId="03941C70" w14:textId="77777777">
        <w:trPr>
          <w:trHeight w:val="20"/>
          <w:jc w:val="center"/>
        </w:trPr>
        <w:tc>
          <w:tcPr>
            <w:tcW w:w="1293" w:type="pct"/>
          </w:tcPr>
          <w:p w14:paraId="31D86218" w14:textId="77777777" w:rsidR="00C640BF" w:rsidRDefault="00000000">
            <w:pPr>
              <w:rPr>
                <w:rFonts w:cs="Calibri"/>
              </w:rPr>
            </w:pPr>
            <w:bookmarkStart w:id="33" w:name="_Hlk185876532"/>
            <w:r>
              <w:rPr>
                <w:rFonts w:eastAsia="Times New Roman" w:cs="Calibri"/>
                <w:bCs/>
                <w:kern w:val="36"/>
              </w:rPr>
              <w:t xml:space="preserve">Sahli device </w:t>
            </w:r>
          </w:p>
        </w:tc>
        <w:tc>
          <w:tcPr>
            <w:tcW w:w="810" w:type="pct"/>
          </w:tcPr>
          <w:p w14:paraId="55380B22" w14:textId="77777777" w:rsidR="00C640BF" w:rsidRDefault="00000000">
            <w:pPr>
              <w:rPr>
                <w:rFonts w:cs="Calibri"/>
              </w:rPr>
            </w:pPr>
            <w:r>
              <w:rPr>
                <w:rFonts w:eastAsia="Times New Roman" w:cs="Calibri"/>
                <w:bCs/>
                <w:kern w:val="36"/>
              </w:rPr>
              <w:t>SHD</w:t>
            </w:r>
          </w:p>
        </w:tc>
        <w:tc>
          <w:tcPr>
            <w:tcW w:w="624" w:type="pct"/>
          </w:tcPr>
          <w:p w14:paraId="620FFE14" w14:textId="77777777" w:rsidR="00C640BF" w:rsidRDefault="00000000">
            <w:pPr>
              <w:rPr>
                <w:rFonts w:cs="Calibri"/>
                <w:bCs/>
              </w:rPr>
            </w:pPr>
            <w:r>
              <w:rPr>
                <w:rFonts w:eastAsia="Times New Roman" w:cs="Calibri"/>
                <w:bCs/>
                <w:kern w:val="36"/>
              </w:rPr>
              <w:t>g/dl</w:t>
            </w:r>
          </w:p>
        </w:tc>
        <w:tc>
          <w:tcPr>
            <w:tcW w:w="714" w:type="pct"/>
          </w:tcPr>
          <w:p w14:paraId="1A93203B" w14:textId="77777777" w:rsidR="00C640BF" w:rsidRDefault="00000000">
            <w:pPr>
              <w:rPr>
                <w:rFonts w:cs="Calibri"/>
              </w:rPr>
            </w:pPr>
            <w:r>
              <w:rPr>
                <w:rFonts w:cs="Calibri"/>
              </w:rPr>
              <w:t>6.08</w:t>
            </w:r>
          </w:p>
        </w:tc>
        <w:tc>
          <w:tcPr>
            <w:tcW w:w="1559" w:type="pct"/>
          </w:tcPr>
          <w:p w14:paraId="19483E8B" w14:textId="77777777" w:rsidR="00C640BF" w:rsidRDefault="00C640BF">
            <w:pPr>
              <w:rPr>
                <w:rFonts w:cs="Calibri"/>
              </w:rPr>
            </w:pPr>
          </w:p>
        </w:tc>
      </w:tr>
      <w:tr w:rsidR="00C640BF" w14:paraId="49A4935F" w14:textId="77777777">
        <w:trPr>
          <w:trHeight w:val="20"/>
          <w:jc w:val="center"/>
        </w:trPr>
        <w:tc>
          <w:tcPr>
            <w:tcW w:w="1293" w:type="pct"/>
          </w:tcPr>
          <w:p w14:paraId="6413A22B" w14:textId="77777777" w:rsidR="00C640BF" w:rsidRDefault="00000000">
            <w:pPr>
              <w:rPr>
                <w:rFonts w:eastAsia="Times New Roman" w:cs="Calibri"/>
                <w:bCs/>
                <w:kern w:val="36"/>
              </w:rPr>
            </w:pPr>
            <w:proofErr w:type="spellStart"/>
            <w:r>
              <w:rPr>
                <w:rFonts w:eastAsia="Times New Roman" w:cs="Calibri"/>
                <w:bCs/>
                <w:kern w:val="36"/>
              </w:rPr>
              <w:t>Tallquist</w:t>
            </w:r>
            <w:proofErr w:type="spellEnd"/>
            <w:r>
              <w:rPr>
                <w:rFonts w:eastAsia="Times New Roman" w:cs="Calibri"/>
                <w:bCs/>
                <w:kern w:val="36"/>
              </w:rPr>
              <w:t xml:space="preserve"> paper</w:t>
            </w:r>
          </w:p>
        </w:tc>
        <w:tc>
          <w:tcPr>
            <w:tcW w:w="810" w:type="pct"/>
          </w:tcPr>
          <w:p w14:paraId="60412F46" w14:textId="77777777" w:rsidR="00C640BF" w:rsidRDefault="00000000">
            <w:pPr>
              <w:rPr>
                <w:rFonts w:eastAsia="Times New Roman" w:cs="Calibri"/>
                <w:bCs/>
                <w:kern w:val="36"/>
              </w:rPr>
            </w:pPr>
            <w:r>
              <w:rPr>
                <w:rFonts w:eastAsia="Times New Roman" w:cs="Calibri"/>
                <w:bCs/>
                <w:kern w:val="36"/>
              </w:rPr>
              <w:t>TQP</w:t>
            </w:r>
          </w:p>
        </w:tc>
        <w:tc>
          <w:tcPr>
            <w:tcW w:w="624" w:type="pct"/>
          </w:tcPr>
          <w:p w14:paraId="3FBF8099" w14:textId="77777777" w:rsidR="00C640BF" w:rsidRDefault="00000000">
            <w:pPr>
              <w:rPr>
                <w:rFonts w:eastAsia="Times New Roman" w:cs="Calibri"/>
                <w:bCs/>
                <w:kern w:val="36"/>
              </w:rPr>
            </w:pPr>
            <w:r>
              <w:rPr>
                <w:rFonts w:cs="Calibri"/>
                <w:bCs/>
              </w:rPr>
              <w:t>%</w:t>
            </w:r>
          </w:p>
        </w:tc>
        <w:tc>
          <w:tcPr>
            <w:tcW w:w="714" w:type="pct"/>
          </w:tcPr>
          <w:p w14:paraId="30B54433" w14:textId="77777777" w:rsidR="00C640BF" w:rsidRDefault="00000000">
            <w:pPr>
              <w:rPr>
                <w:rFonts w:cs="Calibri"/>
              </w:rPr>
            </w:pPr>
            <w:r>
              <w:rPr>
                <w:rFonts w:cs="Calibri"/>
              </w:rPr>
              <w:t>0.26</w:t>
            </w:r>
          </w:p>
        </w:tc>
        <w:tc>
          <w:tcPr>
            <w:tcW w:w="1559" w:type="pct"/>
          </w:tcPr>
          <w:p w14:paraId="35063178" w14:textId="77777777" w:rsidR="00C640BF" w:rsidRDefault="00C640BF">
            <w:pPr>
              <w:rPr>
                <w:rFonts w:cs="Calibri"/>
              </w:rPr>
            </w:pPr>
          </w:p>
        </w:tc>
      </w:tr>
    </w:tbl>
    <w:bookmarkEnd w:id="32"/>
    <w:bookmarkEnd w:id="33"/>
    <w:p w14:paraId="49B687FE" w14:textId="77777777" w:rsidR="00C640BF" w:rsidRDefault="00000000">
      <w:pPr>
        <w:rPr>
          <w:rFonts w:ascii="Arial" w:hAnsi="Arial" w:cs="Arial"/>
          <w:sz w:val="16"/>
          <w:szCs w:val="20"/>
        </w:rPr>
      </w:pPr>
      <w:r>
        <w:rPr>
          <w:rFonts w:ascii="Arial" w:hAnsi="Arial" w:cs="Arial"/>
          <w:sz w:val="16"/>
          <w:szCs w:val="20"/>
        </w:rPr>
        <w:t xml:space="preserve"> </w:t>
      </w:r>
    </w:p>
    <w:p w14:paraId="7A8BE500" w14:textId="77777777" w:rsidR="00C640BF" w:rsidRDefault="00000000">
      <w:pPr>
        <w:spacing w:line="360" w:lineRule="auto"/>
        <w:jc w:val="both"/>
        <w:rPr>
          <w:rFonts w:ascii="Arial" w:eastAsia="Calibri" w:hAnsi="Arial" w:cs="Arial"/>
          <w:b/>
          <w:sz w:val="16"/>
          <w:szCs w:val="16"/>
        </w:rPr>
      </w:pPr>
      <w:r>
        <w:rPr>
          <w:rFonts w:ascii="Arial" w:hAnsi="Arial" w:cs="Arial"/>
          <w:b/>
          <w:bCs/>
          <w:sz w:val="16"/>
          <w:szCs w:val="20"/>
        </w:rPr>
        <w:lastRenderedPageBreak/>
        <w:t xml:space="preserve">Key findings : </w:t>
      </w:r>
      <w:r>
        <w:rPr>
          <w:rFonts w:ascii="Arial" w:hAnsi="Arial" w:cs="Arial"/>
          <w:sz w:val="16"/>
          <w:szCs w:val="20"/>
        </w:rPr>
        <w:t>This study highlights the importance of accurate hemoglobin measurement throughout the three trimesters of pregnancy using reliable five different types of point of care testing rapid diagnostic hemoglobinometers. The combination of  hemoglobin concentration and total plasma protein levels suggests additional potential utility in diagnosing dilutional anemia among pregnant women compared to non-pregnant women.</w:t>
      </w:r>
    </w:p>
    <w:p w14:paraId="63DD2703" w14:textId="77777777" w:rsidR="00C640BF" w:rsidRDefault="00000000">
      <w:pPr>
        <w:spacing w:line="360" w:lineRule="auto"/>
        <w:jc w:val="both"/>
        <w:rPr>
          <w:rFonts w:ascii="Arial" w:eastAsia="Calibri" w:hAnsi="Arial" w:cs="Arial"/>
          <w:b/>
          <w:sz w:val="16"/>
          <w:szCs w:val="16"/>
        </w:rPr>
      </w:pPr>
      <w:r>
        <w:rPr>
          <w:rFonts w:ascii="Arial" w:eastAsia="Calibri" w:hAnsi="Arial" w:cs="Arial"/>
          <w:b/>
          <w:sz w:val="16"/>
          <w:szCs w:val="16"/>
        </w:rPr>
        <w:t xml:space="preserve">5. DISCUSSION </w:t>
      </w:r>
    </w:p>
    <w:p w14:paraId="362E7B3A" w14:textId="77777777" w:rsidR="00C640BF" w:rsidRDefault="00000000">
      <w:pPr>
        <w:spacing w:after="0" w:line="360" w:lineRule="auto"/>
        <w:jc w:val="both"/>
        <w:rPr>
          <w:rFonts w:ascii="Arial" w:hAnsi="Arial" w:cs="Arial"/>
          <w:sz w:val="16"/>
          <w:szCs w:val="16"/>
        </w:rPr>
      </w:pPr>
      <w:r>
        <w:rPr>
          <w:rFonts w:ascii="Arial" w:hAnsi="Arial" w:cs="Arial"/>
          <w:sz w:val="16"/>
          <w:szCs w:val="16"/>
        </w:rPr>
        <w:t xml:space="preserve">Dilutional </w:t>
      </w:r>
      <w:proofErr w:type="spellStart"/>
      <w:r>
        <w:rPr>
          <w:rFonts w:ascii="Arial" w:hAnsi="Arial" w:cs="Arial"/>
          <w:sz w:val="16"/>
          <w:szCs w:val="16"/>
        </w:rPr>
        <w:t>anaemia</w:t>
      </w:r>
      <w:proofErr w:type="spellEnd"/>
      <w:r>
        <w:rPr>
          <w:rFonts w:ascii="Arial" w:hAnsi="Arial" w:cs="Arial"/>
          <w:sz w:val="16"/>
          <w:szCs w:val="16"/>
        </w:rPr>
        <w:t xml:space="preserve"> has been hypothesized to be a common complication in the three trimesters of pregnancy, which is usually characterized by decreased hemoglobin concentration caused by increased blood volume and physiological changes in maternal total plasma proteins levels. Therefore, accurate measurement of maternal hemoglobin concentrations and total plasma protein levels remained the only crucial biomarkers for its diagnosis and management and differentiation from other complications of pregnancy. </w:t>
      </w:r>
      <w:r>
        <w:rPr>
          <w:rFonts w:ascii="Arial" w:eastAsia="Microsoft YaHei" w:hAnsi="Arial" w:cs="Arial"/>
          <w:iCs/>
          <w:sz w:val="16"/>
          <w:szCs w:val="16"/>
        </w:rPr>
        <w:t xml:space="preserve">Studies have shown that </w:t>
      </w:r>
      <w:r>
        <w:rPr>
          <w:rFonts w:ascii="Arial" w:eastAsia="Calibri" w:hAnsi="Arial" w:cs="Arial"/>
          <w:sz w:val="16"/>
          <w:szCs w:val="16"/>
        </w:rPr>
        <w:t xml:space="preserve">over the years that pregnant  women hemoglobin (Hb) concentration estimation is an important test that is performed during antenatal visit of pregnant women. This is because it plays the double role of protecting pregnant women health against anemia development, diagnosis and at the same time ensuring safety and healthy growth of the fetus [52]. </w:t>
      </w:r>
    </w:p>
    <w:p w14:paraId="303A3172" w14:textId="77777777" w:rsidR="00C640BF" w:rsidRDefault="00000000">
      <w:pPr>
        <w:spacing w:after="0" w:line="360" w:lineRule="auto"/>
        <w:jc w:val="both"/>
        <w:rPr>
          <w:rFonts w:ascii="Arial" w:eastAsia="Calibri" w:hAnsi="Arial" w:cs="Arial"/>
          <w:sz w:val="16"/>
          <w:szCs w:val="16"/>
        </w:rPr>
      </w:pPr>
      <w:r>
        <w:rPr>
          <w:rFonts w:ascii="Arial" w:eastAsia="Calibri" w:hAnsi="Arial" w:cs="Arial"/>
          <w:sz w:val="16"/>
          <w:szCs w:val="16"/>
        </w:rPr>
        <w:t>Due to the fact that diverse cutoff criteria have been used for hemoglobinometry worldwide depending on the population characteristics, however, no testing methodology and sample requirement have been specified for hemoglobin screening. This is why the British Committee for Standards in Hematology (BCSH) [(1991)] [53] and the International Committee for Standardization in Hematology (ICSH) and the European Society of Hematology (ESH) [54] have been instituted. Besides the technique, there are several physiological and methodological factors that can affect accuracy, precaution, reproducibility and reliability of hemoglobin estimation</w:t>
      </w:r>
      <w:r>
        <w:rPr>
          <w:rFonts w:ascii="Arial" w:eastAsia="Microsoft YaHei" w:hAnsi="Arial" w:cs="Arial"/>
          <w:sz w:val="16"/>
          <w:szCs w:val="16"/>
        </w:rPr>
        <w:t xml:space="preserve"> such as the effects of </w:t>
      </w:r>
      <w:r>
        <w:rPr>
          <w:rFonts w:ascii="Arial" w:eastAsia="Microsoft YaHei" w:hAnsi="Arial" w:cs="Arial"/>
          <w:iCs/>
          <w:sz w:val="16"/>
          <w:szCs w:val="16"/>
        </w:rPr>
        <w:t xml:space="preserve">the reference values and numerical ratios of total plasma protein </w:t>
      </w:r>
      <w:r>
        <w:rPr>
          <w:rFonts w:ascii="Arial" w:eastAsia="Microsoft YaHei" w:hAnsi="Arial" w:cs="Arial"/>
          <w:sz w:val="16"/>
          <w:szCs w:val="16"/>
        </w:rPr>
        <w:t>(TPP)</w:t>
      </w:r>
      <w:r>
        <w:rPr>
          <w:rFonts w:ascii="Arial" w:eastAsia="Microsoft YaHei" w:hAnsi="Arial" w:cs="Arial"/>
          <w:iCs/>
          <w:sz w:val="16"/>
          <w:szCs w:val="16"/>
        </w:rPr>
        <w:t xml:space="preserve"> and hemoglobin concentrations (estimated using different types of hemoglobinometers).</w:t>
      </w:r>
      <w:r>
        <w:rPr>
          <w:rFonts w:ascii="Arial" w:hAnsi="Arial" w:cs="Arial"/>
          <w:bCs/>
          <w:sz w:val="16"/>
          <w:szCs w:val="16"/>
        </w:rPr>
        <w:t xml:space="preserve"> </w:t>
      </w:r>
      <w:r>
        <w:rPr>
          <w:rFonts w:ascii="Arial" w:eastAsia="Microsoft YaHei" w:hAnsi="Arial" w:cs="Arial"/>
          <w:bCs/>
          <w:iCs/>
          <w:sz w:val="16"/>
          <w:szCs w:val="16"/>
        </w:rPr>
        <w:t xml:space="preserve">The objective of the index study was to </w:t>
      </w:r>
      <w:r>
        <w:rPr>
          <w:rFonts w:ascii="Arial" w:eastAsia="Microsoft YaHei" w:hAnsi="Arial" w:cs="Arial"/>
          <w:iCs/>
          <w:sz w:val="16"/>
          <w:szCs w:val="16"/>
        </w:rPr>
        <w:t>evaluate the correlative relationship between dilutional anemia, maternal total plasma protein levels, and maternal hemoglobin concentration estimated using five different types of point of care testing rapid diagnostic hemoglobinometers during the three trimesters of pregnancy among pregnant and non-pregnant women in University of Calabar Teaching Hospital Calabar, Cross Rivers state Nigeria.</w:t>
      </w:r>
    </w:p>
    <w:p w14:paraId="43879FEE" w14:textId="77777777" w:rsidR="00C640BF" w:rsidRDefault="00C640BF">
      <w:pPr>
        <w:spacing w:after="0" w:line="360" w:lineRule="auto"/>
        <w:jc w:val="both"/>
        <w:rPr>
          <w:rFonts w:ascii="Arial" w:hAnsi="Arial" w:cs="Arial"/>
          <w:b/>
          <w:bCs/>
          <w:sz w:val="16"/>
          <w:szCs w:val="16"/>
        </w:rPr>
      </w:pPr>
    </w:p>
    <w:p w14:paraId="450F4C2C" w14:textId="77777777" w:rsidR="00C640BF" w:rsidRDefault="00000000">
      <w:pPr>
        <w:spacing w:after="0" w:line="360" w:lineRule="auto"/>
        <w:jc w:val="both"/>
        <w:rPr>
          <w:rFonts w:ascii="Arial" w:hAnsi="Arial" w:cs="Arial"/>
          <w:sz w:val="16"/>
          <w:szCs w:val="16"/>
        </w:rPr>
      </w:pPr>
      <w:r>
        <w:rPr>
          <w:rFonts w:ascii="Arial" w:eastAsia="Calibri" w:hAnsi="Arial" w:cs="Arial"/>
          <w:b/>
          <w:sz w:val="16"/>
          <w:szCs w:val="16"/>
        </w:rPr>
        <w:t>Table 1</w:t>
      </w:r>
      <w:r>
        <w:rPr>
          <w:rFonts w:ascii="Arial" w:eastAsia="Calibri" w:hAnsi="Arial" w:cs="Arial"/>
          <w:bCs/>
          <w:sz w:val="16"/>
          <w:szCs w:val="16"/>
        </w:rPr>
        <w:t xml:space="preserve"> shows the results of the frequency distribution by demographic parameters and age range of participants recruited within Antenatal clinic, UCTH Calabar, Cross Rivers State, Nigeria. </w:t>
      </w:r>
      <w:r>
        <w:rPr>
          <w:rFonts w:ascii="Arial" w:eastAsia="Calibri" w:hAnsi="Arial" w:cs="Arial"/>
          <w:bCs/>
          <w:iCs/>
          <w:sz w:val="16"/>
          <w:szCs w:val="16"/>
        </w:rPr>
        <w:t>A total of 400 blood samples comprising of and from pregnant [n=200 (50%)] and non- pregnant women [n=200 (50%)] respectively and with ages between 18 to 60 years were collected using standard procedures. All a participant recruited within Antenatal clinic, UCTH Calabar were consented and counselled before recruitment into the study. The Mean age ± SD (years) for pregnant women were 24.99 ±1.01 and nonpregnant women were 29.95±7.85</w:t>
      </w:r>
      <w:r>
        <w:rPr>
          <w:rFonts w:ascii="Arial" w:eastAsia="Calibri" w:hAnsi="Arial" w:cs="Arial"/>
          <w:bCs/>
          <w:iCs/>
          <w:sz w:val="16"/>
          <w:szCs w:val="16"/>
          <w:lang w:bidi="en-US"/>
        </w:rPr>
        <w:t xml:space="preserve"> respectively and with statistically</w:t>
      </w:r>
      <w:r>
        <w:rPr>
          <w:rFonts w:ascii="Arial" w:eastAsia="Calibri" w:hAnsi="Arial" w:cs="Arial"/>
          <w:bCs/>
          <w:iCs/>
          <w:sz w:val="16"/>
          <w:szCs w:val="16"/>
        </w:rPr>
        <w:t xml:space="preserve"> significant difference between ages (P&lt;0.05, t=7.2822, P=0.0001).</w:t>
      </w:r>
      <w:r>
        <w:rPr>
          <w:rFonts w:ascii="Arial" w:eastAsia="Calibri" w:hAnsi="Arial" w:cs="Arial"/>
          <w:sz w:val="16"/>
          <w:szCs w:val="16"/>
        </w:rPr>
        <w:t xml:space="preserve"> From the results in </w:t>
      </w:r>
      <w:r>
        <w:rPr>
          <w:rFonts w:ascii="Arial" w:eastAsia="Calibri" w:hAnsi="Arial" w:cs="Arial"/>
          <w:bCs/>
          <w:sz w:val="16"/>
          <w:szCs w:val="16"/>
        </w:rPr>
        <w:t xml:space="preserve">Table 1 it </w:t>
      </w:r>
      <w:r>
        <w:rPr>
          <w:rFonts w:ascii="Arial" w:eastAsia="Calibri" w:hAnsi="Arial" w:cs="Arial"/>
          <w:sz w:val="16"/>
          <w:szCs w:val="16"/>
        </w:rPr>
        <w:t>is clearly seen that there was turn out and response rate difference between pregnant women and nonpregnant. There were more pregnant women than nonpregnant women who responded positively and turned out for the study. Therefore, using Chi Squared (</w:t>
      </w:r>
      <w:r>
        <w:rPr>
          <w:rFonts w:ascii="Arial" w:eastAsia="Calibri" w:hAnsi="Arial" w:cs="Arial"/>
          <w:i/>
          <w:sz w:val="16"/>
          <w:szCs w:val="16"/>
        </w:rPr>
        <w:t>X</w:t>
      </w:r>
      <w:r>
        <w:rPr>
          <w:rFonts w:ascii="Arial" w:eastAsia="Calibri" w:hAnsi="Arial" w:cs="Arial"/>
          <w:sz w:val="16"/>
          <w:szCs w:val="16"/>
          <w:vertAlign w:val="superscript"/>
        </w:rPr>
        <w:t>2</w:t>
      </w:r>
      <w:r>
        <w:rPr>
          <w:rFonts w:ascii="Arial" w:eastAsia="Calibri" w:hAnsi="Arial" w:cs="Arial"/>
          <w:sz w:val="16"/>
          <w:szCs w:val="16"/>
        </w:rPr>
        <w:t xml:space="preserve">) statistical stool there was a statistically significant differences between the response rate in the results. This is in line with previous findings that have been published by others authors who said that </w:t>
      </w:r>
      <w:r>
        <w:rPr>
          <w:rFonts w:ascii="Arial" w:hAnsi="Arial" w:cs="Arial"/>
          <w:sz w:val="16"/>
          <w:szCs w:val="16"/>
        </w:rPr>
        <w:t>pregnant women may be more motivated to participate in studies due to several factors like personal investment reported  by  [54,55], health concerns report  [56,57], sense of community reported by [58,59] ,incentives reported [60] and awareness of health risks reported by  [61,62].</w:t>
      </w:r>
    </w:p>
    <w:p w14:paraId="76E9FE3C" w14:textId="77777777" w:rsidR="00C640BF" w:rsidRDefault="00C640BF">
      <w:pPr>
        <w:spacing w:after="0" w:line="360" w:lineRule="auto"/>
        <w:jc w:val="both"/>
        <w:rPr>
          <w:rFonts w:ascii="Arial" w:hAnsi="Arial" w:cs="Arial"/>
          <w:sz w:val="16"/>
          <w:szCs w:val="16"/>
        </w:rPr>
      </w:pPr>
    </w:p>
    <w:p w14:paraId="09CB443A" w14:textId="77777777" w:rsidR="00C640BF" w:rsidRDefault="00000000">
      <w:pPr>
        <w:spacing w:after="0" w:line="360" w:lineRule="auto"/>
        <w:jc w:val="both"/>
        <w:rPr>
          <w:rFonts w:ascii="Arial" w:hAnsi="Arial" w:cs="Arial"/>
          <w:bCs/>
          <w:sz w:val="16"/>
          <w:szCs w:val="16"/>
        </w:rPr>
      </w:pPr>
      <w:r>
        <w:rPr>
          <w:rFonts w:ascii="Arial" w:hAnsi="Arial" w:cs="Arial"/>
          <w:bCs/>
          <w:sz w:val="16"/>
          <w:szCs w:val="16"/>
        </w:rPr>
        <w:t>In</w:t>
      </w:r>
      <w:r>
        <w:rPr>
          <w:rFonts w:ascii="Arial" w:hAnsi="Arial" w:cs="Arial"/>
          <w:b/>
          <w:bCs/>
          <w:sz w:val="16"/>
          <w:szCs w:val="16"/>
        </w:rPr>
        <w:t xml:space="preserve"> </w:t>
      </w:r>
      <w:r>
        <w:rPr>
          <w:rFonts w:ascii="Arial" w:hAnsi="Arial" w:cs="Arial"/>
          <w:b/>
          <w:sz w:val="16"/>
          <w:szCs w:val="16"/>
        </w:rPr>
        <w:t>Table 2</w:t>
      </w:r>
      <w:r>
        <w:rPr>
          <w:rFonts w:ascii="Arial" w:hAnsi="Arial" w:cs="Arial"/>
          <w:sz w:val="16"/>
          <w:szCs w:val="16"/>
        </w:rPr>
        <w:t xml:space="preserve"> t</w:t>
      </w:r>
      <w:r>
        <w:rPr>
          <w:rFonts w:ascii="Arial" w:hAnsi="Arial" w:cs="Arial"/>
          <w:bCs/>
          <w:sz w:val="16"/>
          <w:szCs w:val="16"/>
        </w:rPr>
        <w:t xml:space="preserve">he results of means values of parameters investigated during the three trimesters of pregnancy among pregnant women and non -pregnant women attending Antenatal clinic in UCTH Calabar, Cross River State, Nigeria are shown. </w:t>
      </w:r>
      <w:r>
        <w:rPr>
          <w:rFonts w:ascii="Arial" w:hAnsi="Arial" w:cs="Arial"/>
          <w:iCs/>
          <w:sz w:val="16"/>
          <w:szCs w:val="16"/>
        </w:rPr>
        <w:t xml:space="preserve">The mean value plus one standard deviation (X±SD) of total plasma protein (TPP) levels in g/dl for first ,second , third trimesters and total for  pregnant women   6.47 ± 0.88, 5.7± 0.76,5.6 ± 0.67, 5.92 ± 0.77 and compared to  non-pregnant women  who had 7.48±.79 respectively .these finding were in line with those published that [63].The mean value plus one standard deviation of  hemoglobin concentration using </w:t>
      </w:r>
      <w:proofErr w:type="spellStart"/>
      <w:r>
        <w:rPr>
          <w:rFonts w:ascii="Arial" w:hAnsi="Arial" w:cs="Arial"/>
          <w:iCs/>
          <w:sz w:val="16"/>
          <w:szCs w:val="16"/>
        </w:rPr>
        <w:t>HemoCue</w:t>
      </w:r>
      <w:proofErr w:type="spellEnd"/>
      <w:r>
        <w:rPr>
          <w:rFonts w:ascii="Arial" w:hAnsi="Arial" w:cs="Arial"/>
          <w:iCs/>
          <w:sz w:val="16"/>
          <w:szCs w:val="16"/>
        </w:rPr>
        <w:t xml:space="preserve">   in g/dl  for first ,second ,third trimesters  and total for  pregnant women  12.43 ± 1.92, 11.6 ±0.14, 11.4 ± 0.41,11.81 ±.82 respectively compared to  non-pregnant women who had  12.77 ± 2.20. these were in line  with those published by  </w:t>
      </w:r>
      <w:r>
        <w:rPr>
          <w:rFonts w:ascii="Arial" w:hAnsi="Arial" w:cs="Arial"/>
          <w:sz w:val="16"/>
          <w:szCs w:val="16"/>
        </w:rPr>
        <w:t xml:space="preserve">[64] </w:t>
      </w:r>
      <w:r>
        <w:rPr>
          <w:rFonts w:ascii="Arial" w:hAnsi="Arial" w:cs="Arial"/>
          <w:iCs/>
          <w:sz w:val="16"/>
          <w:szCs w:val="16"/>
        </w:rPr>
        <w:t xml:space="preserve">.The mean value plus one standard deviation of hemoglobin concentration using Microhematocrit (PCV) in % for first, second, third trimesters, total for pregnant women 40.51 ± 1.7 ,31 .10 ± 2.7, 29 .11 ± 3.1, 33.57 ± 2.5  compared to non-pregnant women who had  39.16 ± </w:t>
      </w:r>
      <w:r>
        <w:rPr>
          <w:rFonts w:ascii="Arial" w:hAnsi="Arial" w:cs="Arial"/>
          <w:iCs/>
          <w:sz w:val="16"/>
          <w:szCs w:val="16"/>
        </w:rPr>
        <w:lastRenderedPageBreak/>
        <w:t xml:space="preserve">8.24 respectively. The hemoglobin equivalence in g/dl were 13.50 ± .60, 10.4±0.9,9.70±1.0,11.2 ± .80 compared to non-pregnant women who had  13.05 ± 2.75 respectively. These results were in line those published by [65,66] .The mean value plus one standard deviation of hemoglobin concentration using Copper sulphate solution gave a specific gravity of 1.058± 0.006, 1.050 ±.001, 1.045±.002and  1.051 ± 0.003, respectively for first, second, third trimesters and total for pregnant women compared to 1.055 ± 0.009 for nonpregnant. This gave a corresponding hemoglobin concentration equivalence in g/dl of 12.11± 0.02, 11.9±.10,11.5±.11 and 11.50± 0.07 respectively for first ,second, third and total for pregnant women  compared to  13.4± 0.06 for  non-pregnant women. These results were in line with those published by [67] .The mean value plus one standard deviation of hemoglobin concentration in g/dl using Sahli device for first, second and third trimesters and  total for pregnant women were 12.11± 0.02,11.9±.10,11.5±.11 and 11.50± 0.07 respectively  compared to   13.4± 0.06 for non-pregnant. These results were in line with those by [68]. The mean value plus one standard deviation of hemoglobin concentration in g/dl using </w:t>
      </w:r>
      <w:proofErr w:type="spellStart"/>
      <w:r>
        <w:rPr>
          <w:rFonts w:ascii="Arial" w:hAnsi="Arial" w:cs="Arial"/>
          <w:iCs/>
          <w:sz w:val="16"/>
          <w:szCs w:val="16"/>
        </w:rPr>
        <w:t>Tallquist</w:t>
      </w:r>
      <w:proofErr w:type="spellEnd"/>
      <w:r>
        <w:rPr>
          <w:rFonts w:ascii="Arial" w:hAnsi="Arial" w:cs="Arial"/>
          <w:iCs/>
          <w:sz w:val="16"/>
          <w:szCs w:val="16"/>
        </w:rPr>
        <w:t xml:space="preserve"> for first, second, third trimesters and total for pregnant women were 12.2, 11.6, 11.4 and 11.7  respectively compared to respected 12.5 in nonpregnant women . These results were in line with those published [69] .</w:t>
      </w:r>
      <w:r>
        <w:rPr>
          <w:rFonts w:ascii="Arial" w:hAnsi="Arial" w:cs="Arial"/>
          <w:bCs/>
          <w:sz w:val="16"/>
          <w:szCs w:val="16"/>
        </w:rPr>
        <w:t xml:space="preserve"> </w:t>
      </w:r>
      <w:r>
        <w:rPr>
          <w:rFonts w:ascii="Arial" w:hAnsi="Arial" w:cs="Arial"/>
          <w:iCs/>
          <w:sz w:val="16"/>
          <w:szCs w:val="16"/>
        </w:rPr>
        <w:t>The mean value plus one standard deviation of hemoglobin concentration in g/dl per first, second ,third  trimester and total using the  five type of hemoglobinometers combined were 12.77±.52,11.4±.23,10.9±.89, and 10.98±.36 respectively compared to  12.84±1.7 for nonpregnant  .</w:t>
      </w:r>
    </w:p>
    <w:p w14:paraId="5605256F" w14:textId="77777777" w:rsidR="00C640BF" w:rsidRDefault="00C640BF">
      <w:pPr>
        <w:spacing w:after="0" w:line="360" w:lineRule="auto"/>
        <w:jc w:val="both"/>
        <w:rPr>
          <w:rFonts w:ascii="Arial" w:hAnsi="Arial" w:cs="Arial"/>
          <w:iCs/>
          <w:sz w:val="16"/>
          <w:szCs w:val="16"/>
        </w:rPr>
      </w:pPr>
    </w:p>
    <w:p w14:paraId="1E79EE4A" w14:textId="77777777" w:rsidR="00C640BF" w:rsidRDefault="00C640BF">
      <w:pPr>
        <w:spacing w:after="0" w:line="360" w:lineRule="auto"/>
        <w:jc w:val="both"/>
        <w:rPr>
          <w:rFonts w:ascii="Arial" w:hAnsi="Arial" w:cs="Arial"/>
          <w:sz w:val="16"/>
          <w:szCs w:val="16"/>
        </w:rPr>
      </w:pPr>
    </w:p>
    <w:p w14:paraId="46B753FD" w14:textId="77777777" w:rsidR="00C640BF" w:rsidRDefault="00000000">
      <w:pPr>
        <w:spacing w:line="360" w:lineRule="auto"/>
        <w:jc w:val="both"/>
        <w:rPr>
          <w:rFonts w:ascii="Arial" w:eastAsia="Calibri" w:hAnsi="Arial" w:cs="Arial"/>
          <w:bCs/>
          <w:sz w:val="16"/>
          <w:szCs w:val="16"/>
        </w:rPr>
      </w:pPr>
      <w:r>
        <w:rPr>
          <w:rFonts w:ascii="Arial" w:eastAsia="Calibri" w:hAnsi="Arial" w:cs="Arial"/>
          <w:bCs/>
          <w:sz w:val="16"/>
          <w:szCs w:val="16"/>
        </w:rPr>
        <w:t xml:space="preserve">In </w:t>
      </w:r>
      <w:r>
        <w:rPr>
          <w:rFonts w:ascii="Arial" w:eastAsia="Calibri" w:hAnsi="Arial" w:cs="Arial"/>
          <w:b/>
          <w:bCs/>
          <w:sz w:val="16"/>
          <w:szCs w:val="16"/>
        </w:rPr>
        <w:t>Table 3</w:t>
      </w:r>
      <w:r>
        <w:rPr>
          <w:rFonts w:ascii="Arial" w:eastAsia="Calibri" w:hAnsi="Arial" w:cs="Arial"/>
          <w:bCs/>
          <w:sz w:val="16"/>
          <w:szCs w:val="16"/>
        </w:rPr>
        <w:t xml:space="preserve"> the Comparative results of coefficient of variance CV (%) of parameters among apparently healthy pregnant women and non-pregnant women attending UCTH Calabar, Cross River State, Nigeria are shown</w:t>
      </w:r>
      <w:r>
        <w:rPr>
          <w:rFonts w:ascii="Arial" w:eastAsia="Calibri" w:hAnsi="Arial" w:cs="Arial"/>
          <w:sz w:val="16"/>
          <w:szCs w:val="16"/>
        </w:rPr>
        <w:t>. The coefficient of variation (CV) is defined as the ratio of the standard deviation to the mean. Coefficient of Variation (CV) formula used  in the index study was  given by CV=</w:t>
      </w:r>
      <w:proofErr w:type="spellStart"/>
      <w:r>
        <w:rPr>
          <w:rFonts w:ascii="Arial" w:eastAsia="Calibri" w:hAnsi="Arial" w:cs="Arial"/>
          <w:sz w:val="16"/>
          <w:szCs w:val="16"/>
        </w:rPr>
        <w:t>σμ</w:t>
      </w:r>
      <w:proofErr w:type="spellEnd"/>
      <w:r>
        <w:rPr>
          <w:rFonts w:ascii="Arial" w:eastAsia="Calibri" w:hAnsi="Arial" w:cs="Arial"/>
          <w:sz w:val="16"/>
          <w:szCs w:val="16"/>
        </w:rPr>
        <w:t xml:space="preserve"> where: σ=standard deviation and μ=mean </w:t>
      </w:r>
      <w:r>
        <w:rPr>
          <w:rFonts w:ascii="Arial" w:eastAsia="Calibri" w:hAnsi="Arial" w:cs="Arial"/>
          <w:bCs/>
          <w:sz w:val="16"/>
          <w:szCs w:val="16"/>
        </w:rPr>
        <w:t xml:space="preserve">[64]. The higher the coefficient of variation, the greater the level of dispersion around the mean. It is generally expressed as a percentage and without units, it allows for comparison between distribution of values whose scales of measurements are not </w:t>
      </w:r>
      <w:proofErr w:type="spellStart"/>
      <w:r>
        <w:rPr>
          <w:rFonts w:ascii="Arial" w:eastAsia="Calibri" w:hAnsi="Arial" w:cs="Arial"/>
          <w:bCs/>
          <w:sz w:val="16"/>
          <w:szCs w:val="16"/>
        </w:rPr>
        <w:t>comparable.The</w:t>
      </w:r>
      <w:proofErr w:type="spellEnd"/>
      <w:r>
        <w:rPr>
          <w:rFonts w:ascii="Arial" w:eastAsia="Calibri" w:hAnsi="Arial" w:cs="Arial"/>
          <w:bCs/>
          <w:sz w:val="16"/>
          <w:szCs w:val="16"/>
        </w:rPr>
        <w:t xml:space="preserve"> coefficient of variance CV (%) of total plasma protein (PTP) was 15.4 %, Hemoglobin concentration (</w:t>
      </w:r>
      <w:proofErr w:type="spellStart"/>
      <w:r>
        <w:rPr>
          <w:rFonts w:ascii="Arial" w:eastAsia="Calibri" w:hAnsi="Arial" w:cs="Arial"/>
          <w:bCs/>
          <w:sz w:val="16"/>
          <w:szCs w:val="16"/>
        </w:rPr>
        <w:t>HemoCue</w:t>
      </w:r>
      <w:proofErr w:type="spellEnd"/>
      <w:r>
        <w:rPr>
          <w:rFonts w:ascii="Arial" w:eastAsia="Calibri" w:hAnsi="Arial" w:cs="Arial"/>
          <w:bCs/>
          <w:sz w:val="16"/>
          <w:szCs w:val="16"/>
        </w:rPr>
        <w:t xml:space="preserve">) was 6.94 %, that of   </w:t>
      </w:r>
      <w:proofErr w:type="spellStart"/>
      <w:r>
        <w:rPr>
          <w:rFonts w:ascii="Arial" w:eastAsia="Calibri" w:hAnsi="Arial" w:cs="Arial"/>
          <w:bCs/>
          <w:sz w:val="16"/>
          <w:szCs w:val="16"/>
        </w:rPr>
        <w:t>Microhaematocrit</w:t>
      </w:r>
      <w:proofErr w:type="spellEnd"/>
      <w:r>
        <w:rPr>
          <w:rFonts w:ascii="Arial" w:eastAsia="Calibri" w:hAnsi="Arial" w:cs="Arial"/>
          <w:bCs/>
          <w:sz w:val="16"/>
          <w:szCs w:val="16"/>
        </w:rPr>
        <w:t xml:space="preserve"> (PCV) was 7.14 % and that of Copper sulphate (CuSO</w:t>
      </w:r>
      <w:r>
        <w:rPr>
          <w:rFonts w:ascii="Arial" w:eastAsia="Calibri" w:hAnsi="Arial" w:cs="Arial"/>
          <w:bCs/>
          <w:sz w:val="16"/>
          <w:szCs w:val="16"/>
          <w:vertAlign w:val="subscript"/>
        </w:rPr>
        <w:t>4</w:t>
      </w:r>
      <w:r>
        <w:rPr>
          <w:rFonts w:ascii="Arial" w:eastAsia="Calibri" w:hAnsi="Arial" w:cs="Arial"/>
          <w:bCs/>
          <w:sz w:val="16"/>
          <w:szCs w:val="16"/>
        </w:rPr>
        <w:t xml:space="preserve"> method) was 0.93% , that of  Sahli device  was 6.08% and that of </w:t>
      </w:r>
      <w:proofErr w:type="spellStart"/>
      <w:r>
        <w:rPr>
          <w:rFonts w:ascii="Arial" w:eastAsia="Calibri" w:hAnsi="Arial" w:cs="Arial"/>
          <w:bCs/>
          <w:sz w:val="16"/>
          <w:szCs w:val="16"/>
        </w:rPr>
        <w:t>Tallquist</w:t>
      </w:r>
      <w:proofErr w:type="spellEnd"/>
      <w:r>
        <w:rPr>
          <w:rFonts w:ascii="Arial" w:eastAsia="Calibri" w:hAnsi="Arial" w:cs="Arial"/>
          <w:bCs/>
          <w:sz w:val="16"/>
          <w:szCs w:val="16"/>
        </w:rPr>
        <w:t xml:space="preserve"> paper was 0.26 % .These results are in line with those published by [70 ,71,72].</w:t>
      </w:r>
    </w:p>
    <w:p w14:paraId="021DF937" w14:textId="77777777" w:rsidR="00C640BF" w:rsidRDefault="00000000">
      <w:pPr>
        <w:spacing w:line="360" w:lineRule="auto"/>
        <w:jc w:val="both"/>
        <w:rPr>
          <w:rFonts w:eastAsia="Microsoft YaHei" w:cs="Calibri"/>
          <w:b/>
          <w:bCs/>
          <w:iCs/>
          <w:sz w:val="20"/>
          <w:szCs w:val="20"/>
        </w:rPr>
      </w:pPr>
      <w:r>
        <w:rPr>
          <w:rFonts w:eastAsia="Calibri" w:cs="Calibri"/>
          <w:b/>
          <w:bCs/>
          <w:sz w:val="20"/>
          <w:szCs w:val="20"/>
        </w:rPr>
        <w:t>6.</w:t>
      </w:r>
      <w:r>
        <w:rPr>
          <w:rFonts w:eastAsia="Microsoft YaHei" w:cs="Calibri"/>
          <w:b/>
          <w:bCs/>
          <w:iCs/>
          <w:sz w:val="20"/>
          <w:szCs w:val="20"/>
        </w:rPr>
        <w:t xml:space="preserve"> CONCLUSI</w:t>
      </w:r>
      <w:bookmarkStart w:id="34" w:name="_Hlk181322179"/>
      <w:r>
        <w:rPr>
          <w:rFonts w:eastAsia="Microsoft YaHei" w:cs="Calibri"/>
          <w:b/>
          <w:bCs/>
          <w:iCs/>
          <w:sz w:val="20"/>
          <w:szCs w:val="20"/>
        </w:rPr>
        <w:t xml:space="preserve">ON : </w:t>
      </w:r>
    </w:p>
    <w:p w14:paraId="52EE6076" w14:textId="77777777" w:rsidR="00C640BF" w:rsidRDefault="00000000">
      <w:pPr>
        <w:spacing w:line="360" w:lineRule="auto"/>
        <w:jc w:val="both"/>
        <w:rPr>
          <w:rFonts w:cs="Arial"/>
          <w:sz w:val="15"/>
          <w:szCs w:val="15"/>
        </w:rPr>
      </w:pPr>
      <w:r>
        <w:rPr>
          <w:rFonts w:ascii="Arial" w:hAnsi="Arial" w:cs="Arial"/>
          <w:sz w:val="14"/>
          <w:szCs w:val="20"/>
        </w:rPr>
        <w:t xml:space="preserve">The current  study has established new early diagnostic criteria for dilutional anemia using combined parameters of maternal total plasma protein levels  and hemoglobin concentration (estimated using five different types of  points of care testing rapid hemoglobinometers) throughout the trimesters of pregnancy . The findings of this study have significant implications for the diagnosis and management of dilutional anemia throughout the trimesters of pregnancy among the  two study populations . The use of maternal total plasma protein levels  and hemoglobin concentration as early new diagnostic criteria will enable healthcare providers to accurately diagnose dilutional anemia, thus preventing unnecessary blood transfusions and ensuring proper management and differentiation from others types of gestational </w:t>
      </w:r>
      <w:proofErr w:type="spellStart"/>
      <w:r>
        <w:rPr>
          <w:rFonts w:ascii="Arial" w:hAnsi="Arial" w:cs="Arial"/>
          <w:sz w:val="14"/>
          <w:szCs w:val="20"/>
        </w:rPr>
        <w:t>anaemia</w:t>
      </w:r>
      <w:proofErr w:type="spellEnd"/>
      <w:r>
        <w:rPr>
          <w:rFonts w:ascii="Arial" w:hAnsi="Arial" w:cs="Arial"/>
          <w:sz w:val="14"/>
          <w:szCs w:val="20"/>
        </w:rPr>
        <w:t xml:space="preserve"> in pregnancy trimesters. This study has  contributed to the existing body of knowledge on dilutional anemia in  the trimesters of pregnancy thus  providing  a foundation for future research. The findings of this study also have the potential to improve maternal and fetal outcomes, particularly in low-resource settings where access to blood transfusions may be limited.</w:t>
      </w:r>
    </w:p>
    <w:bookmarkEnd w:id="34"/>
    <w:p w14:paraId="1DF77287" w14:textId="77777777" w:rsidR="00C640BF" w:rsidRDefault="00000000">
      <w:pPr>
        <w:spacing w:after="0" w:line="360" w:lineRule="auto"/>
        <w:jc w:val="both"/>
        <w:rPr>
          <w:rFonts w:ascii="Arial" w:eastAsia="Microsoft YaHei" w:hAnsi="Arial" w:cs="Arial"/>
          <w:iCs/>
          <w:sz w:val="15"/>
          <w:szCs w:val="15"/>
        </w:rPr>
      </w:pPr>
      <w:r>
        <w:rPr>
          <w:rFonts w:ascii="Arial" w:eastAsia="Microsoft YaHei" w:hAnsi="Arial" w:cs="Arial"/>
          <w:b/>
          <w:bCs/>
          <w:iCs/>
          <w:sz w:val="15"/>
          <w:szCs w:val="15"/>
        </w:rPr>
        <w:t xml:space="preserve">7. RECOMMENDATIONS: </w:t>
      </w:r>
    </w:p>
    <w:p w14:paraId="38F15F7D" w14:textId="77777777" w:rsidR="00C640BF" w:rsidRDefault="00000000">
      <w:pPr>
        <w:spacing w:after="0" w:line="360" w:lineRule="auto"/>
        <w:rPr>
          <w:rFonts w:ascii="Arial" w:hAnsi="Arial" w:cs="Arial"/>
          <w:sz w:val="14"/>
          <w:szCs w:val="20"/>
        </w:rPr>
      </w:pPr>
      <w:r>
        <w:rPr>
          <w:rFonts w:ascii="Arial" w:hAnsi="Arial" w:cs="Arial"/>
          <w:sz w:val="14"/>
          <w:szCs w:val="20"/>
        </w:rPr>
        <w:t xml:space="preserve">Based on the findings of this study, the following recommendations are made: </w:t>
      </w:r>
    </w:p>
    <w:p w14:paraId="1EE90BF7" w14:textId="77777777" w:rsidR="00C640BF" w:rsidRDefault="00000000">
      <w:pPr>
        <w:spacing w:after="0" w:line="360" w:lineRule="auto"/>
        <w:rPr>
          <w:rFonts w:ascii="Arial" w:eastAsia="Microsoft YaHei" w:hAnsi="Arial" w:cs="Arial"/>
          <w:iCs/>
          <w:sz w:val="15"/>
          <w:szCs w:val="15"/>
        </w:rPr>
      </w:pPr>
      <w:r>
        <w:rPr>
          <w:rFonts w:ascii="Arial" w:hAnsi="Arial" w:cs="Arial"/>
          <w:sz w:val="14"/>
          <w:szCs w:val="20"/>
        </w:rPr>
        <w:t xml:space="preserve"> 1. Healthcare providers should use maternal total plasma protein and hemoglobin concentration as diagnostic criteria for dilutional anemia in </w:t>
      </w:r>
      <w:proofErr w:type="spellStart"/>
      <w:r>
        <w:rPr>
          <w:rFonts w:ascii="Arial" w:hAnsi="Arial" w:cs="Arial"/>
          <w:sz w:val="14"/>
          <w:szCs w:val="20"/>
        </w:rPr>
        <w:t>through out</w:t>
      </w:r>
      <w:proofErr w:type="spellEnd"/>
      <w:r>
        <w:rPr>
          <w:rFonts w:ascii="Arial" w:hAnsi="Arial" w:cs="Arial"/>
          <w:sz w:val="14"/>
          <w:szCs w:val="20"/>
        </w:rPr>
        <w:t xml:space="preserve"> the trimesters of pregnancy.</w:t>
      </w:r>
    </w:p>
    <w:p w14:paraId="6D7CB621" w14:textId="77777777" w:rsidR="00C640BF" w:rsidRDefault="00000000">
      <w:pPr>
        <w:spacing w:after="0" w:line="360" w:lineRule="auto"/>
        <w:rPr>
          <w:rFonts w:ascii="Arial" w:eastAsia="Microsoft YaHei" w:hAnsi="Arial" w:cs="Arial"/>
          <w:iCs/>
          <w:sz w:val="15"/>
          <w:szCs w:val="15"/>
        </w:rPr>
      </w:pPr>
      <w:r>
        <w:rPr>
          <w:rFonts w:ascii="Arial" w:hAnsi="Arial" w:cs="Arial"/>
          <w:sz w:val="14"/>
          <w:szCs w:val="20"/>
        </w:rPr>
        <w:t xml:space="preserve">2. Pregnant women should be screened for dilutional anemia at each antenatal visit </w:t>
      </w:r>
      <w:proofErr w:type="spellStart"/>
      <w:r>
        <w:rPr>
          <w:rFonts w:ascii="Arial" w:hAnsi="Arial" w:cs="Arial"/>
          <w:sz w:val="14"/>
          <w:szCs w:val="20"/>
        </w:rPr>
        <w:t>through out</w:t>
      </w:r>
      <w:proofErr w:type="spellEnd"/>
      <w:r>
        <w:rPr>
          <w:rFonts w:ascii="Arial" w:hAnsi="Arial" w:cs="Arial"/>
          <w:sz w:val="14"/>
          <w:szCs w:val="20"/>
        </w:rPr>
        <w:t xml:space="preserve"> the trimesters of pregnancy.</w:t>
      </w:r>
    </w:p>
    <w:p w14:paraId="6464010E" w14:textId="77777777" w:rsidR="00C640BF" w:rsidRDefault="00000000">
      <w:pPr>
        <w:spacing w:after="0" w:line="360" w:lineRule="auto"/>
        <w:rPr>
          <w:rFonts w:ascii="Arial" w:eastAsia="Microsoft YaHei" w:hAnsi="Arial" w:cs="Arial"/>
          <w:iCs/>
          <w:sz w:val="15"/>
          <w:szCs w:val="15"/>
        </w:rPr>
      </w:pPr>
      <w:r>
        <w:rPr>
          <w:rFonts w:ascii="Arial" w:hAnsi="Arial" w:cs="Arial"/>
          <w:sz w:val="14"/>
          <w:szCs w:val="20"/>
        </w:rPr>
        <w:t>3. Healthcare providers should provide education to pregnant women on the importance of maintaining a healthy diet and lifestyle to prevent dilutional anemia.</w:t>
      </w:r>
    </w:p>
    <w:p w14:paraId="6B8953AB" w14:textId="77777777" w:rsidR="00C640BF" w:rsidRDefault="00000000">
      <w:pPr>
        <w:spacing w:after="0" w:line="360" w:lineRule="auto"/>
        <w:jc w:val="both"/>
        <w:rPr>
          <w:rFonts w:ascii="Arial" w:eastAsia="Microsoft YaHei" w:hAnsi="Arial" w:cs="Arial"/>
          <w:b/>
          <w:bCs/>
          <w:iCs/>
          <w:sz w:val="15"/>
          <w:szCs w:val="15"/>
        </w:rPr>
      </w:pPr>
      <w:r>
        <w:rPr>
          <w:rFonts w:ascii="Arial" w:hAnsi="Arial" w:cs="Arial"/>
          <w:sz w:val="14"/>
          <w:szCs w:val="20"/>
        </w:rPr>
        <w:t>4. Future research should focus on validating the diagnostic criteria established in this study and exploring the use of other biomarkers for diagnosing dilutional anemia.</w:t>
      </w:r>
    </w:p>
    <w:p w14:paraId="0E5BC24E" w14:textId="77777777" w:rsidR="00C640BF" w:rsidRDefault="00000000">
      <w:pPr>
        <w:spacing w:line="360" w:lineRule="auto"/>
        <w:rPr>
          <w:rFonts w:ascii="Arial" w:hAnsi="Arial" w:cs="Arial"/>
          <w:b/>
          <w:bCs/>
          <w:sz w:val="14"/>
          <w:szCs w:val="20"/>
        </w:rPr>
      </w:pPr>
      <w:r>
        <w:rPr>
          <w:rFonts w:ascii="Arial" w:hAnsi="Arial" w:cs="Arial"/>
          <w:b/>
          <w:bCs/>
          <w:sz w:val="14"/>
          <w:szCs w:val="20"/>
        </w:rPr>
        <w:t>LIMITATIONS :</w:t>
      </w:r>
    </w:p>
    <w:p w14:paraId="7139F57D" w14:textId="77777777" w:rsidR="00C640BF" w:rsidRDefault="00000000">
      <w:pPr>
        <w:spacing w:line="360" w:lineRule="auto"/>
        <w:rPr>
          <w:rFonts w:ascii="Arial" w:eastAsia="Microsoft YaHei" w:hAnsi="Arial" w:cs="Arial"/>
          <w:b/>
          <w:bCs/>
          <w:iCs/>
          <w:sz w:val="15"/>
          <w:szCs w:val="15"/>
        </w:rPr>
      </w:pPr>
      <w:r>
        <w:rPr>
          <w:rFonts w:ascii="Arial" w:hAnsi="Arial" w:cs="Arial"/>
          <w:sz w:val="14"/>
          <w:szCs w:val="20"/>
        </w:rPr>
        <w:t xml:space="preserve">This study had several limitations. Firstly, the study was conducted in a single tertiary hospital, which may not be representative of all pregnant women. Secondly, the study did not control for other factors that may affect hemoglobin concentration, such as iron deficiency </w:t>
      </w:r>
      <w:proofErr w:type="spellStart"/>
      <w:r>
        <w:rPr>
          <w:rFonts w:ascii="Arial" w:hAnsi="Arial" w:cs="Arial"/>
          <w:sz w:val="14"/>
          <w:szCs w:val="20"/>
        </w:rPr>
        <w:t>anemia.Future</w:t>
      </w:r>
      <w:proofErr w:type="spellEnd"/>
      <w:r>
        <w:rPr>
          <w:rFonts w:ascii="Arial" w:hAnsi="Arial" w:cs="Arial"/>
          <w:sz w:val="14"/>
          <w:szCs w:val="20"/>
        </w:rPr>
        <w:t xml:space="preserve"> Research </w:t>
      </w:r>
      <w:r>
        <w:rPr>
          <w:rFonts w:ascii="Arial" w:hAnsi="Arial" w:cs="Arial"/>
          <w:sz w:val="14"/>
          <w:szCs w:val="20"/>
        </w:rPr>
        <w:lastRenderedPageBreak/>
        <w:t>Directions, Future research should focus on validating the diagnostic criteria established in this study and exploring the use of other biomarkers for diagnosing dilutional anemia. Additionally, studies should investigate the effectiveness of interventions aimed at preventing dilutional anemia in pregnancy.</w:t>
      </w:r>
    </w:p>
    <w:p w14:paraId="578B9D5E" w14:textId="77777777" w:rsidR="00C640BF" w:rsidRDefault="00000000">
      <w:pPr>
        <w:rPr>
          <w:rFonts w:eastAsia="Microsoft YaHei" w:cs="Calibri"/>
          <w:bCs/>
          <w:iCs/>
          <w:sz w:val="20"/>
          <w:szCs w:val="20"/>
        </w:rPr>
      </w:pPr>
      <w:r>
        <w:rPr>
          <w:rFonts w:eastAsia="Microsoft YaHei" w:cs="Calibri"/>
          <w:b/>
          <w:bCs/>
          <w:iCs/>
          <w:sz w:val="20"/>
          <w:szCs w:val="20"/>
        </w:rPr>
        <w:t>8.AVAILABILITY OF DATA AND MATERIALS</w:t>
      </w:r>
    </w:p>
    <w:p w14:paraId="2220FACA" w14:textId="77777777" w:rsidR="00C640BF" w:rsidRDefault="00000000">
      <w:pPr>
        <w:rPr>
          <w:rFonts w:eastAsia="Microsoft YaHei" w:cs="Calibri"/>
          <w:bCs/>
          <w:iCs/>
          <w:sz w:val="20"/>
          <w:szCs w:val="20"/>
        </w:rPr>
      </w:pPr>
      <w:r>
        <w:rPr>
          <w:rFonts w:eastAsia="Microsoft YaHei" w:cs="Calibri"/>
          <w:bCs/>
          <w:iCs/>
          <w:sz w:val="20"/>
          <w:szCs w:val="20"/>
        </w:rPr>
        <w:t>Datasets generated and analyzed in this study are available from the corresponding author on request.</w:t>
      </w:r>
    </w:p>
    <w:p w14:paraId="6641D07A" w14:textId="77777777" w:rsidR="00C640BF" w:rsidRDefault="00000000">
      <w:pPr>
        <w:rPr>
          <w:rFonts w:eastAsia="Microsoft YaHei" w:cs="Calibri"/>
          <w:b/>
          <w:bCs/>
          <w:iCs/>
          <w:sz w:val="20"/>
          <w:szCs w:val="20"/>
        </w:rPr>
      </w:pPr>
      <w:r>
        <w:rPr>
          <w:rFonts w:eastAsia="Microsoft YaHei" w:cs="Calibri"/>
          <w:b/>
          <w:bCs/>
          <w:iCs/>
          <w:sz w:val="20"/>
          <w:szCs w:val="20"/>
        </w:rPr>
        <w:t>9.CONSENT AND ETHICAL APPROVAL</w:t>
      </w:r>
    </w:p>
    <w:p w14:paraId="05E7C1E6" w14:textId="77777777" w:rsidR="00C640BF" w:rsidRDefault="00000000">
      <w:pPr>
        <w:rPr>
          <w:rFonts w:eastAsia="Microsoft YaHei" w:cs="Calibri"/>
          <w:bCs/>
          <w:iCs/>
          <w:sz w:val="20"/>
          <w:szCs w:val="20"/>
        </w:rPr>
      </w:pPr>
      <w:r>
        <w:rPr>
          <w:rFonts w:eastAsia="Microsoft YaHei" w:cs="Calibri"/>
          <w:iCs/>
          <w:sz w:val="20"/>
          <w:szCs w:val="20"/>
        </w:rPr>
        <w:t>It is not applicable.</w:t>
      </w:r>
    </w:p>
    <w:p w14:paraId="27064569" w14:textId="77777777" w:rsidR="00C640BF" w:rsidRDefault="00000000">
      <w:pPr>
        <w:rPr>
          <w:rFonts w:eastAsia="Microsoft YaHei" w:cs="Calibri"/>
          <w:b/>
          <w:bCs/>
          <w:iCs/>
          <w:sz w:val="20"/>
          <w:szCs w:val="20"/>
        </w:rPr>
      </w:pPr>
      <w:r>
        <w:rPr>
          <w:rFonts w:eastAsia="Microsoft YaHei" w:cs="Calibri"/>
          <w:b/>
          <w:bCs/>
          <w:iCs/>
          <w:sz w:val="20"/>
          <w:szCs w:val="20"/>
        </w:rPr>
        <w:t xml:space="preserve">10.DISCLAIMER (ARTICIAL INTELLIGENCE) </w:t>
      </w:r>
    </w:p>
    <w:p w14:paraId="36A1911B" w14:textId="77777777" w:rsidR="00C640BF" w:rsidRDefault="00000000">
      <w:pPr>
        <w:rPr>
          <w:rFonts w:eastAsia="Microsoft YaHei" w:cs="Calibri"/>
          <w:bCs/>
          <w:iCs/>
          <w:sz w:val="20"/>
          <w:szCs w:val="20"/>
        </w:rPr>
      </w:pPr>
      <w:r>
        <w:rPr>
          <w:rFonts w:eastAsia="Microsoft YaHei" w:cs="Calibri"/>
          <w:bCs/>
          <w:iCs/>
          <w:sz w:val="20"/>
          <w:szCs w:val="20"/>
        </w:rPr>
        <w:t xml:space="preserve">Author(s) hereby declare that No generative AI technologies such as Large Language Models, Chat GPT, COPILOT etc.) and text-to-image generators have been used during the writing or editing of this manuscript . </w:t>
      </w:r>
    </w:p>
    <w:p w14:paraId="6F4888FB" w14:textId="77777777" w:rsidR="00C640BF" w:rsidRDefault="00000000">
      <w:pPr>
        <w:rPr>
          <w:rFonts w:eastAsia="Times New Roman" w:cs="Calibri"/>
          <w:b/>
          <w:bCs/>
          <w:caps/>
          <w:sz w:val="20"/>
          <w:szCs w:val="20"/>
        </w:rPr>
      </w:pPr>
      <w:bookmarkStart w:id="35" w:name="_Hlk186306416"/>
      <w:r>
        <w:rPr>
          <w:rFonts w:eastAsia="Times New Roman" w:cs="Calibri"/>
          <w:b/>
          <w:bCs/>
          <w:caps/>
          <w:sz w:val="20"/>
          <w:szCs w:val="20"/>
        </w:rPr>
        <w:t>11. Competing interests</w:t>
      </w:r>
      <w:r>
        <w:rPr>
          <w:rFonts w:eastAsia="Times New Roman" w:cs="Calibri"/>
          <w:b/>
          <w:caps/>
          <w:sz w:val="20"/>
          <w:szCs w:val="20"/>
        </w:rPr>
        <w:t xml:space="preserve">                                                                                                                                                  </w:t>
      </w:r>
    </w:p>
    <w:bookmarkEnd w:id="35"/>
    <w:p w14:paraId="4CBBECA9" w14:textId="77777777" w:rsidR="00C640BF" w:rsidRDefault="00000000">
      <w:pPr>
        <w:rPr>
          <w:rFonts w:eastAsia="Times New Roman" w:cs="Calibri"/>
          <w:sz w:val="20"/>
          <w:szCs w:val="20"/>
        </w:rPr>
      </w:pPr>
      <w:r>
        <w:rPr>
          <w:rFonts w:eastAsia="Times New Roman" w:cs="Calibri"/>
          <w:sz w:val="20"/>
          <w:szCs w:val="20"/>
        </w:rPr>
        <w:t>Authors have declared that no competing interests exist.</w:t>
      </w:r>
    </w:p>
    <w:p w14:paraId="6072E363" w14:textId="77777777" w:rsidR="00C640BF" w:rsidRDefault="00000000">
      <w:pPr>
        <w:rPr>
          <w:rFonts w:eastAsia="Times New Roman" w:cs="Calibri"/>
          <w:b/>
          <w:bCs/>
          <w:caps/>
          <w:sz w:val="20"/>
          <w:szCs w:val="20"/>
        </w:rPr>
      </w:pPr>
      <w:r>
        <w:rPr>
          <w:rFonts w:eastAsia="Times New Roman" w:cs="Calibri"/>
          <w:b/>
          <w:bCs/>
          <w:caps/>
          <w:sz w:val="20"/>
          <w:szCs w:val="20"/>
        </w:rPr>
        <w:t xml:space="preserve">12. reference </w:t>
      </w:r>
      <w:r>
        <w:rPr>
          <w:rFonts w:eastAsia="Times New Roman" w:cs="Calibri"/>
          <w:b/>
          <w:caps/>
          <w:sz w:val="20"/>
          <w:szCs w:val="20"/>
        </w:rPr>
        <w:t xml:space="preserve">                                                                                                                                                                                                                                                                                                  </w:t>
      </w:r>
    </w:p>
    <w:p w14:paraId="328A3E8F" w14:textId="77777777" w:rsidR="00C640BF" w:rsidRDefault="00000000">
      <w:pPr>
        <w:spacing w:after="0" w:line="360" w:lineRule="auto"/>
        <w:rPr>
          <w:rFonts w:cs="Calibri"/>
          <w:iCs/>
          <w:sz w:val="16"/>
          <w:szCs w:val="20"/>
        </w:rPr>
      </w:pPr>
      <w:r>
        <w:rPr>
          <w:rFonts w:cs="Calibri"/>
          <w:iCs/>
          <w:sz w:val="16"/>
          <w:szCs w:val="20"/>
        </w:rPr>
        <w:t>1)</w:t>
      </w:r>
      <w:r>
        <w:rPr>
          <w:rFonts w:cs="Calibri"/>
          <w:iCs/>
          <w:sz w:val="16"/>
          <w:szCs w:val="20"/>
        </w:rPr>
        <w:tab/>
        <w:t xml:space="preserve">Huffman, J. W.. "pregnancy." Encyclopedia Britannica, December 6, 2024. https://www.britannica.com/science/pregnancy </w:t>
      </w:r>
    </w:p>
    <w:p w14:paraId="7C8EB582" w14:textId="77777777" w:rsidR="00C640BF" w:rsidRDefault="00000000">
      <w:pPr>
        <w:spacing w:after="0" w:line="360" w:lineRule="auto"/>
        <w:rPr>
          <w:rFonts w:cs="Calibri"/>
          <w:iCs/>
          <w:sz w:val="16"/>
          <w:szCs w:val="20"/>
        </w:rPr>
      </w:pPr>
      <w:r>
        <w:rPr>
          <w:rFonts w:cs="Calibri"/>
          <w:iCs/>
          <w:sz w:val="16"/>
          <w:szCs w:val="20"/>
        </w:rPr>
        <w:t>2)</w:t>
      </w:r>
      <w:r>
        <w:rPr>
          <w:rFonts w:cs="Calibri"/>
          <w:iCs/>
          <w:sz w:val="16"/>
          <w:szCs w:val="20"/>
        </w:rPr>
        <w:tab/>
        <w:t>Chung, Grace S. et al. Obstetrician-</w:t>
      </w:r>
      <w:proofErr w:type="spellStart"/>
      <w:r>
        <w:rPr>
          <w:rFonts w:cs="Calibri"/>
          <w:iCs/>
          <w:sz w:val="16"/>
          <w:szCs w:val="20"/>
        </w:rPr>
        <w:t>gynecologist’s</w:t>
      </w:r>
      <w:proofErr w:type="spellEnd"/>
      <w:r>
        <w:rPr>
          <w:rFonts w:cs="Calibri"/>
          <w:iCs/>
          <w:sz w:val="16"/>
          <w:szCs w:val="20"/>
        </w:rPr>
        <w:t xml:space="preserve"> beliefs about when pregnancy begins American Journal of Obstetrics &amp; Gynecology, Volume 206, Issue 2, 132.e1 - 132.e https://www.ajog.org/action/showCitFormats?doi=10.1016%2Fj.ajog.2011.10.877&amp;pii=S0002-9378%2811%2902223-X.</w:t>
      </w:r>
    </w:p>
    <w:p w14:paraId="09D639F6" w14:textId="77777777" w:rsidR="00C640BF" w:rsidRDefault="00000000">
      <w:pPr>
        <w:spacing w:after="0" w:line="360" w:lineRule="auto"/>
        <w:rPr>
          <w:rFonts w:cs="Calibri"/>
          <w:iCs/>
          <w:sz w:val="16"/>
          <w:szCs w:val="20"/>
        </w:rPr>
      </w:pPr>
      <w:r>
        <w:rPr>
          <w:rFonts w:cs="Calibri"/>
          <w:iCs/>
          <w:sz w:val="16"/>
          <w:szCs w:val="20"/>
        </w:rPr>
        <w:t>3)</w:t>
      </w:r>
      <w:r>
        <w:rPr>
          <w:rFonts w:cs="Calibri"/>
          <w:iCs/>
          <w:sz w:val="16"/>
          <w:szCs w:val="20"/>
        </w:rPr>
        <w:tab/>
        <w:t>American College of Obstetricians and Gynecologists Terminology bulletin no. 1: terms used in reference to the fetus, The College, Chicago, 1965Google Scholar.</w:t>
      </w:r>
    </w:p>
    <w:p w14:paraId="7A7A3E0C" w14:textId="77777777" w:rsidR="00C640BF" w:rsidRDefault="00000000">
      <w:pPr>
        <w:spacing w:after="0" w:line="360" w:lineRule="auto"/>
        <w:rPr>
          <w:rFonts w:cs="Calibri"/>
          <w:iCs/>
          <w:sz w:val="16"/>
          <w:szCs w:val="20"/>
        </w:rPr>
      </w:pPr>
      <w:r>
        <w:rPr>
          <w:rFonts w:cs="Calibri"/>
          <w:iCs/>
          <w:sz w:val="16"/>
          <w:szCs w:val="20"/>
        </w:rPr>
        <w:t>4)</w:t>
      </w:r>
      <w:r>
        <w:rPr>
          <w:rFonts w:cs="Calibri"/>
          <w:iCs/>
          <w:sz w:val="16"/>
          <w:szCs w:val="20"/>
        </w:rPr>
        <w:tab/>
        <w:t xml:space="preserve">Hughes, </w:t>
      </w:r>
      <w:proofErr w:type="spellStart"/>
      <w:r>
        <w:rPr>
          <w:rFonts w:cs="Calibri"/>
          <w:iCs/>
          <w:sz w:val="16"/>
          <w:szCs w:val="20"/>
        </w:rPr>
        <w:t>E.C.Obstetric</w:t>
      </w:r>
      <w:proofErr w:type="spellEnd"/>
      <w:r>
        <w:rPr>
          <w:rFonts w:cs="Calibri"/>
          <w:iCs/>
          <w:sz w:val="16"/>
          <w:szCs w:val="20"/>
        </w:rPr>
        <w:t>-gynecologic terminology with section on neonatology and glossary of congenital anomalies F.A. Davis, Philadelphia, 1972; 299-327Google Scholar.</w:t>
      </w:r>
    </w:p>
    <w:p w14:paraId="3EAB4E97" w14:textId="77777777" w:rsidR="00C640BF" w:rsidRDefault="00000000">
      <w:pPr>
        <w:spacing w:after="0" w:line="360" w:lineRule="auto"/>
        <w:rPr>
          <w:rFonts w:cs="Calibri"/>
          <w:iCs/>
          <w:sz w:val="16"/>
          <w:szCs w:val="20"/>
        </w:rPr>
      </w:pPr>
      <w:r>
        <w:rPr>
          <w:rFonts w:cs="Calibri"/>
          <w:iCs/>
          <w:sz w:val="16"/>
          <w:szCs w:val="20"/>
        </w:rPr>
        <w:t>5)</w:t>
      </w:r>
      <w:r>
        <w:rPr>
          <w:rFonts w:cs="Calibri"/>
          <w:iCs/>
          <w:sz w:val="16"/>
          <w:szCs w:val="20"/>
        </w:rPr>
        <w:tab/>
        <w:t>American College of Obstetricians and Gynecologists, Statement on contraceptive methods The College, Washington, DC, 1998, Google Scholar.</w:t>
      </w:r>
    </w:p>
    <w:p w14:paraId="4CF2D6FD" w14:textId="77777777" w:rsidR="00C640BF" w:rsidRDefault="00000000">
      <w:pPr>
        <w:spacing w:after="0" w:line="360" w:lineRule="auto"/>
        <w:rPr>
          <w:rFonts w:cs="Calibri"/>
          <w:iCs/>
          <w:sz w:val="16"/>
          <w:szCs w:val="20"/>
        </w:rPr>
      </w:pPr>
      <w:r>
        <w:rPr>
          <w:rFonts w:cs="Calibri"/>
          <w:iCs/>
          <w:sz w:val="16"/>
          <w:szCs w:val="20"/>
        </w:rPr>
        <w:t>6)</w:t>
      </w:r>
      <w:r>
        <w:rPr>
          <w:rFonts w:cs="Calibri"/>
          <w:iCs/>
          <w:sz w:val="16"/>
          <w:szCs w:val="20"/>
        </w:rPr>
        <w:tab/>
        <w:t>Guttmacher Institute Anti-abortion activists in their own words: contraception is abortion, 2008.http://www.guttmacher.org/media/nr/AntiabortionActivistsInTheirOwnWords.pdf. Accessed Nov. 3, 2010.Google Scholar.</w:t>
      </w:r>
    </w:p>
    <w:p w14:paraId="1B2E837A" w14:textId="77777777" w:rsidR="00C640BF" w:rsidRDefault="00000000">
      <w:pPr>
        <w:spacing w:after="0" w:line="360" w:lineRule="auto"/>
        <w:rPr>
          <w:rFonts w:cs="Calibri"/>
          <w:iCs/>
          <w:sz w:val="16"/>
          <w:szCs w:val="20"/>
        </w:rPr>
      </w:pPr>
      <w:r>
        <w:rPr>
          <w:rFonts w:cs="Calibri"/>
          <w:iCs/>
          <w:sz w:val="16"/>
          <w:szCs w:val="20"/>
        </w:rPr>
        <w:t>7)</w:t>
      </w:r>
      <w:r>
        <w:rPr>
          <w:rFonts w:cs="Calibri"/>
          <w:iCs/>
          <w:sz w:val="16"/>
          <w:szCs w:val="20"/>
        </w:rPr>
        <w:tab/>
        <w:t>Planned Parenthood, Info for teens: how long does it take to get pregnant after having sex?. http://www.plannedparenthood.org/info-for-teens/pregnancy/am-pregnant-33831.htm. Accessed Nov. 5, 2010.Google Scholar.</w:t>
      </w:r>
    </w:p>
    <w:p w14:paraId="62769172" w14:textId="77777777" w:rsidR="00C640BF" w:rsidRDefault="00000000">
      <w:pPr>
        <w:spacing w:after="0" w:line="360" w:lineRule="auto"/>
        <w:rPr>
          <w:rFonts w:cs="Calibri"/>
          <w:iCs/>
          <w:sz w:val="16"/>
          <w:szCs w:val="20"/>
        </w:rPr>
      </w:pPr>
      <w:r>
        <w:rPr>
          <w:rFonts w:cs="Calibri"/>
          <w:iCs/>
          <w:sz w:val="16"/>
          <w:szCs w:val="20"/>
        </w:rPr>
        <w:t>8)</w:t>
      </w:r>
      <w:r>
        <w:rPr>
          <w:rFonts w:cs="Calibri"/>
          <w:iCs/>
          <w:sz w:val="16"/>
          <w:szCs w:val="20"/>
        </w:rPr>
        <w:tab/>
        <w:t xml:space="preserve">Gandhi MH, Gupta V. Physiology, Maternal Blood. [Updated 2023 Apr 24]. In: </w:t>
      </w:r>
      <w:proofErr w:type="spellStart"/>
      <w:r>
        <w:rPr>
          <w:rFonts w:cs="Calibri"/>
          <w:iCs/>
          <w:sz w:val="16"/>
          <w:szCs w:val="20"/>
        </w:rPr>
        <w:t>StatPearls</w:t>
      </w:r>
      <w:proofErr w:type="spellEnd"/>
      <w:r>
        <w:rPr>
          <w:rFonts w:cs="Calibri"/>
          <w:iCs/>
          <w:sz w:val="16"/>
          <w:szCs w:val="20"/>
        </w:rPr>
        <w:t xml:space="preserve"> [Internet]. Treasure Island (FL): </w:t>
      </w:r>
      <w:proofErr w:type="spellStart"/>
      <w:r>
        <w:rPr>
          <w:rFonts w:cs="Calibri"/>
          <w:iCs/>
          <w:sz w:val="16"/>
          <w:szCs w:val="20"/>
        </w:rPr>
        <w:t>StatPearls</w:t>
      </w:r>
      <w:proofErr w:type="spellEnd"/>
      <w:r>
        <w:rPr>
          <w:rFonts w:cs="Calibri"/>
          <w:iCs/>
          <w:sz w:val="16"/>
          <w:szCs w:val="20"/>
        </w:rPr>
        <w:t xml:space="preserve"> Publishing; 2024 Jan-. Available from: https://www.ncbi.nlm.nih.gov/books/NBK557783/.</w:t>
      </w:r>
    </w:p>
    <w:p w14:paraId="79B6B01B" w14:textId="77777777" w:rsidR="00C640BF" w:rsidRDefault="00000000">
      <w:pPr>
        <w:spacing w:after="0" w:line="360" w:lineRule="auto"/>
        <w:rPr>
          <w:rFonts w:cs="Calibri"/>
          <w:iCs/>
          <w:sz w:val="16"/>
          <w:szCs w:val="20"/>
        </w:rPr>
      </w:pPr>
      <w:r>
        <w:rPr>
          <w:rFonts w:cs="Calibri"/>
          <w:iCs/>
          <w:sz w:val="16"/>
          <w:szCs w:val="20"/>
        </w:rPr>
        <w:t>9)</w:t>
      </w:r>
      <w:r>
        <w:rPr>
          <w:rFonts w:cs="Calibri"/>
          <w:iCs/>
          <w:sz w:val="16"/>
          <w:szCs w:val="20"/>
        </w:rPr>
        <w:tab/>
        <w:t xml:space="preserve">Eke, A.C., </w:t>
      </w:r>
      <w:proofErr w:type="spellStart"/>
      <w:r>
        <w:rPr>
          <w:rFonts w:cs="Calibri"/>
          <w:iCs/>
          <w:sz w:val="16"/>
          <w:szCs w:val="20"/>
        </w:rPr>
        <w:t>Gebreyohannes</w:t>
      </w:r>
      <w:proofErr w:type="spellEnd"/>
      <w:r>
        <w:rPr>
          <w:rFonts w:cs="Calibri"/>
          <w:iCs/>
          <w:sz w:val="16"/>
          <w:szCs w:val="20"/>
        </w:rPr>
        <w:t>, R.D., Fernandes, M.F.S. and Pillai, V.C. Physiologic Changes During Pregnancy and Impact on Small-Molecule Drugs, Biologic (Monoclonal Antibody) Disposition, and Response. J Clin Pharm, (2023),  63: S34-S50. https://doi.org/10.1002/jcph.2227</w:t>
      </w:r>
    </w:p>
    <w:p w14:paraId="708EF903" w14:textId="77777777" w:rsidR="00C640BF" w:rsidRDefault="00000000">
      <w:pPr>
        <w:spacing w:after="0" w:line="360" w:lineRule="auto"/>
        <w:rPr>
          <w:rFonts w:cs="Calibri"/>
          <w:iCs/>
          <w:sz w:val="16"/>
          <w:szCs w:val="20"/>
        </w:rPr>
      </w:pPr>
      <w:r>
        <w:rPr>
          <w:rFonts w:cs="Calibri"/>
          <w:iCs/>
          <w:sz w:val="16"/>
          <w:szCs w:val="20"/>
        </w:rPr>
        <w:t>10)</w:t>
      </w:r>
      <w:r>
        <w:rPr>
          <w:rFonts w:cs="Calibri"/>
          <w:iCs/>
          <w:sz w:val="16"/>
          <w:szCs w:val="20"/>
        </w:rPr>
        <w:tab/>
        <w:t>Office on Women's Health. (2010). Stages of pregnancy. Retrieved May 20, 2016, from http://womenshealth.gov/pregnancy/you-are-pregnant/stages-of-pregnancy.html</w:t>
      </w:r>
    </w:p>
    <w:p w14:paraId="37F3D603" w14:textId="77777777" w:rsidR="00C640BF" w:rsidRDefault="00000000">
      <w:pPr>
        <w:spacing w:after="0" w:line="360" w:lineRule="auto"/>
        <w:rPr>
          <w:rFonts w:cs="Calibri"/>
          <w:iCs/>
          <w:sz w:val="16"/>
          <w:szCs w:val="20"/>
        </w:rPr>
      </w:pPr>
      <w:r>
        <w:rPr>
          <w:rFonts w:cs="Calibri"/>
          <w:iCs/>
          <w:sz w:val="16"/>
          <w:szCs w:val="20"/>
        </w:rPr>
        <w:t>11)</w:t>
      </w:r>
      <w:r>
        <w:rPr>
          <w:rFonts w:cs="Calibri"/>
          <w:iCs/>
          <w:sz w:val="16"/>
          <w:szCs w:val="20"/>
        </w:rPr>
        <w:tab/>
        <w:t xml:space="preserve">American College of Obstetricians and Gynecologists (ACOG). (2020). Patient education: How your fetus grows during pregnancy. Retrieved December 30, 2020, from https://www.acog.org/store/products/patient-education/pamphlets/pregnancy/how-your-fetus-grows-during-pregnancy </w:t>
      </w:r>
    </w:p>
    <w:p w14:paraId="2065F68D" w14:textId="77777777" w:rsidR="00C640BF" w:rsidRDefault="00000000">
      <w:pPr>
        <w:spacing w:after="0" w:line="360" w:lineRule="auto"/>
        <w:rPr>
          <w:rFonts w:cs="Calibri"/>
          <w:iCs/>
          <w:sz w:val="16"/>
          <w:szCs w:val="20"/>
        </w:rPr>
      </w:pPr>
      <w:r>
        <w:rPr>
          <w:rFonts w:cs="Calibri"/>
          <w:iCs/>
          <w:sz w:val="16"/>
          <w:szCs w:val="20"/>
        </w:rPr>
        <w:lastRenderedPageBreak/>
        <w:t>12)</w:t>
      </w:r>
      <w:r>
        <w:rPr>
          <w:rFonts w:cs="Calibri"/>
          <w:iCs/>
          <w:sz w:val="16"/>
          <w:szCs w:val="20"/>
        </w:rPr>
        <w:tab/>
        <w:t xml:space="preserve">Stoll, B. J., Hansen, N. I., Bell, E. F., Shankaran, S., </w:t>
      </w:r>
      <w:proofErr w:type="spellStart"/>
      <w:r>
        <w:rPr>
          <w:rFonts w:cs="Calibri"/>
          <w:iCs/>
          <w:sz w:val="16"/>
          <w:szCs w:val="20"/>
        </w:rPr>
        <w:t>Laptook</w:t>
      </w:r>
      <w:proofErr w:type="spellEnd"/>
      <w:r>
        <w:rPr>
          <w:rFonts w:cs="Calibri"/>
          <w:iCs/>
          <w:sz w:val="16"/>
          <w:szCs w:val="20"/>
        </w:rPr>
        <w:t>, A. R., Walsh, M. C., et al. (2010). Neonatal outcomes of extremely preterm infants from the NICHD Neonatal Research Network. Pediatrics, 126, 443–456. PMID: 20732945.</w:t>
      </w:r>
    </w:p>
    <w:p w14:paraId="02B04150" w14:textId="77777777" w:rsidR="00C640BF" w:rsidRDefault="00000000">
      <w:pPr>
        <w:spacing w:after="0" w:line="360" w:lineRule="auto"/>
        <w:rPr>
          <w:rFonts w:cs="Calibri"/>
          <w:iCs/>
          <w:sz w:val="16"/>
          <w:szCs w:val="20"/>
        </w:rPr>
      </w:pPr>
      <w:r>
        <w:rPr>
          <w:rFonts w:cs="Calibri"/>
          <w:iCs/>
          <w:sz w:val="16"/>
          <w:szCs w:val="20"/>
        </w:rPr>
        <w:t>13)</w:t>
      </w:r>
      <w:r>
        <w:rPr>
          <w:rFonts w:cs="Calibri"/>
          <w:iCs/>
          <w:sz w:val="16"/>
          <w:szCs w:val="20"/>
        </w:rPr>
        <w:tab/>
        <w:t xml:space="preserve">Spong, C. Y. Defining "term" pregnancy: Recommendations from the Defining "Term" Pregnancy Workgroup. JAMA, (2013),  309(13), 2445–2446. Retrieved October 28, 2013, from http://jama.jamanetwork.com/article.aspx?articleID=1685467 </w:t>
      </w:r>
    </w:p>
    <w:p w14:paraId="3EC6557B" w14:textId="77777777" w:rsidR="00C640BF" w:rsidRDefault="00000000">
      <w:pPr>
        <w:spacing w:after="0" w:line="360" w:lineRule="auto"/>
        <w:rPr>
          <w:rFonts w:cs="Calibri"/>
          <w:iCs/>
          <w:sz w:val="16"/>
          <w:szCs w:val="20"/>
        </w:rPr>
      </w:pPr>
      <w:r>
        <w:rPr>
          <w:rFonts w:cs="Calibri"/>
          <w:iCs/>
          <w:sz w:val="16"/>
          <w:szCs w:val="20"/>
        </w:rPr>
        <w:t>14)</w:t>
      </w:r>
      <w:r>
        <w:rPr>
          <w:rFonts w:cs="Calibri"/>
          <w:iCs/>
          <w:sz w:val="16"/>
          <w:szCs w:val="20"/>
        </w:rPr>
        <w:tab/>
        <w:t xml:space="preserve">Centers for Disease Control and Prevention. (n.d.). CDC WONDER: About natality, 2007-2014. Retrieved May 20, 2016, from http://wonder.cdc.gov/natality-current.html </w:t>
      </w:r>
    </w:p>
    <w:p w14:paraId="59CA2B19" w14:textId="77777777" w:rsidR="00C640BF" w:rsidRDefault="00000000">
      <w:pPr>
        <w:spacing w:after="0" w:line="360" w:lineRule="auto"/>
        <w:rPr>
          <w:rFonts w:cs="Calibri"/>
          <w:iCs/>
          <w:sz w:val="16"/>
          <w:szCs w:val="20"/>
        </w:rPr>
      </w:pPr>
      <w:r>
        <w:rPr>
          <w:rFonts w:cs="Calibri"/>
          <w:iCs/>
          <w:sz w:val="16"/>
          <w:szCs w:val="20"/>
        </w:rPr>
        <w:t>15)</w:t>
      </w:r>
      <w:r>
        <w:rPr>
          <w:rFonts w:cs="Calibri"/>
          <w:iCs/>
          <w:sz w:val="16"/>
          <w:szCs w:val="20"/>
        </w:rPr>
        <w:tab/>
        <w:t>ACOG Committee on Obstetric Practice and Society for Maternal-Fetal Medicine. (2013; Reaffirmed 2015). Committee Opinion No. 579. Definition of term pregnancy. Retrieved May 20, 2016, from https://www.acog.org/clinical/clinical-guidance/committee-opinion/articles/2013/11/definition-of-term-pregnancy .</w:t>
      </w:r>
    </w:p>
    <w:p w14:paraId="3BE43FA4" w14:textId="77777777" w:rsidR="00C640BF" w:rsidRDefault="00000000">
      <w:pPr>
        <w:spacing w:after="0" w:line="360" w:lineRule="auto"/>
        <w:rPr>
          <w:rFonts w:cs="Calibri"/>
          <w:iCs/>
          <w:sz w:val="16"/>
          <w:szCs w:val="20"/>
        </w:rPr>
      </w:pPr>
      <w:r>
        <w:rPr>
          <w:rFonts w:cs="Calibri"/>
          <w:iCs/>
          <w:sz w:val="16"/>
          <w:szCs w:val="20"/>
        </w:rPr>
        <w:t>16)</w:t>
      </w:r>
      <w:r>
        <w:rPr>
          <w:rFonts w:cs="Calibri"/>
          <w:iCs/>
          <w:sz w:val="16"/>
          <w:szCs w:val="20"/>
        </w:rPr>
        <w:tab/>
        <w:t>NICHD. (2013). Carrying pregnancy to 39 weeks: Is it worth it? Yes! Retrieved July 8, 2016, from https://www.nichd.nih.gov/news/resources/spotlight/Pages/013113-NCMHEP-videos.aspx .</w:t>
      </w:r>
    </w:p>
    <w:p w14:paraId="3E6A3D16" w14:textId="77777777" w:rsidR="00C640BF" w:rsidRDefault="00000000">
      <w:pPr>
        <w:spacing w:after="0" w:line="360" w:lineRule="auto"/>
        <w:rPr>
          <w:rFonts w:cs="Calibri"/>
          <w:iCs/>
          <w:sz w:val="16"/>
          <w:szCs w:val="20"/>
        </w:rPr>
      </w:pPr>
      <w:r>
        <w:rPr>
          <w:rFonts w:cs="Calibri"/>
          <w:iCs/>
          <w:sz w:val="16"/>
          <w:szCs w:val="20"/>
        </w:rPr>
        <w:t>17)</w:t>
      </w:r>
      <w:r>
        <w:rPr>
          <w:rFonts w:cs="Calibri"/>
          <w:iCs/>
          <w:sz w:val="16"/>
          <w:szCs w:val="20"/>
        </w:rPr>
        <w:tab/>
        <w:t xml:space="preserve"> NICHD. (2013). Redefining the term. Retrieved July 8, 2016, from https://www.nichd.nih.gov/news/resources/spotlight/Pages/102413-redefining-term.aspx</w:t>
      </w:r>
    </w:p>
    <w:p w14:paraId="0CB64BEA" w14:textId="77777777" w:rsidR="00C640BF" w:rsidRDefault="00000000">
      <w:pPr>
        <w:spacing w:after="0" w:line="360" w:lineRule="auto"/>
        <w:rPr>
          <w:rFonts w:cs="Calibri"/>
          <w:iCs/>
          <w:sz w:val="16"/>
          <w:szCs w:val="20"/>
        </w:rPr>
      </w:pPr>
      <w:r>
        <w:rPr>
          <w:rFonts w:cs="Calibri"/>
          <w:iCs/>
          <w:sz w:val="16"/>
          <w:szCs w:val="20"/>
        </w:rPr>
        <w:t>17)</w:t>
      </w:r>
      <w:proofErr w:type="spellStart"/>
      <w:r>
        <w:rPr>
          <w:rFonts w:cs="Calibri"/>
          <w:iCs/>
          <w:sz w:val="16"/>
          <w:szCs w:val="20"/>
        </w:rPr>
        <w:t>Sedgh</w:t>
      </w:r>
      <w:proofErr w:type="spellEnd"/>
      <w:r>
        <w:rPr>
          <w:rFonts w:cs="Calibri"/>
          <w:iCs/>
          <w:sz w:val="16"/>
          <w:szCs w:val="20"/>
        </w:rPr>
        <w:t xml:space="preserve"> G, Singh S, Hussain R (September 2014). </w:t>
      </w:r>
      <w:hyperlink r:id="rId15" w:history="1">
        <w:r w:rsidR="00C640BF">
          <w:rPr>
            <w:rStyle w:val="Hyperlink"/>
            <w:rFonts w:cs="Calibri"/>
            <w:iCs/>
            <w:sz w:val="16"/>
            <w:szCs w:val="20"/>
          </w:rPr>
          <w:t>"Intended and unintended pregnancies worldwide in 2012 and recent trends"</w:t>
        </w:r>
      </w:hyperlink>
      <w:r>
        <w:rPr>
          <w:rFonts w:cs="Calibri"/>
          <w:iCs/>
          <w:sz w:val="16"/>
          <w:szCs w:val="20"/>
        </w:rPr>
        <w:t xml:space="preserve">. Studies in Family Planning. </w:t>
      </w:r>
      <w:r>
        <w:rPr>
          <w:rFonts w:cs="Calibri"/>
          <w:bCs/>
          <w:iCs/>
          <w:sz w:val="16"/>
          <w:szCs w:val="20"/>
        </w:rPr>
        <w:t>45</w:t>
      </w:r>
      <w:r>
        <w:rPr>
          <w:rFonts w:cs="Calibri"/>
          <w:iCs/>
          <w:sz w:val="16"/>
          <w:szCs w:val="20"/>
        </w:rPr>
        <w:t xml:space="preserve"> (3): 301–314. </w:t>
      </w:r>
      <w:hyperlink r:id="rId16" w:tooltip="Doi (identifier)" w:history="1">
        <w:r w:rsidR="00C640BF">
          <w:rPr>
            <w:rStyle w:val="Hyperlink"/>
            <w:rFonts w:cs="Calibri"/>
            <w:iCs/>
            <w:sz w:val="16"/>
            <w:szCs w:val="20"/>
          </w:rPr>
          <w:t>doi</w:t>
        </w:r>
      </w:hyperlink>
      <w:r>
        <w:rPr>
          <w:rFonts w:cs="Calibri"/>
          <w:iCs/>
          <w:sz w:val="16"/>
          <w:szCs w:val="20"/>
        </w:rPr>
        <w:t>:</w:t>
      </w:r>
      <w:hyperlink r:id="rId17" w:history="1">
        <w:r w:rsidR="00C640BF">
          <w:rPr>
            <w:rStyle w:val="Hyperlink"/>
            <w:rFonts w:cs="Calibri"/>
            <w:iCs/>
            <w:sz w:val="16"/>
            <w:szCs w:val="20"/>
          </w:rPr>
          <w:t>10.1111/j.1728-4465.</w:t>
        </w:r>
        <w:proofErr w:type="gramStart"/>
        <w:r w:rsidR="00C640BF">
          <w:rPr>
            <w:rStyle w:val="Hyperlink"/>
            <w:rFonts w:cs="Calibri"/>
            <w:iCs/>
            <w:sz w:val="16"/>
            <w:szCs w:val="20"/>
          </w:rPr>
          <w:t>2014.00393.x</w:t>
        </w:r>
        <w:proofErr w:type="gramEnd"/>
      </w:hyperlink>
      <w:r>
        <w:rPr>
          <w:rFonts w:cs="Calibri"/>
          <w:iCs/>
          <w:sz w:val="16"/>
          <w:szCs w:val="20"/>
        </w:rPr>
        <w:t xml:space="preserve">. </w:t>
      </w:r>
      <w:hyperlink r:id="rId18" w:tooltip="PMC (identifier)" w:history="1">
        <w:r w:rsidR="00C640BF">
          <w:rPr>
            <w:rStyle w:val="Hyperlink"/>
            <w:rFonts w:cs="Calibri"/>
            <w:iCs/>
            <w:sz w:val="16"/>
            <w:szCs w:val="20"/>
          </w:rPr>
          <w:t>PMC</w:t>
        </w:r>
      </w:hyperlink>
      <w:r>
        <w:rPr>
          <w:rFonts w:cs="Calibri"/>
          <w:iCs/>
          <w:sz w:val="16"/>
          <w:szCs w:val="20"/>
        </w:rPr>
        <w:t> </w:t>
      </w:r>
      <w:hyperlink r:id="rId19" w:history="1">
        <w:r w:rsidR="00C640BF">
          <w:rPr>
            <w:rStyle w:val="Hyperlink"/>
            <w:rFonts w:cs="Calibri"/>
            <w:iCs/>
            <w:sz w:val="16"/>
            <w:szCs w:val="20"/>
          </w:rPr>
          <w:t>4727534</w:t>
        </w:r>
      </w:hyperlink>
      <w:r>
        <w:rPr>
          <w:rFonts w:cs="Calibri"/>
          <w:iCs/>
          <w:sz w:val="16"/>
          <w:szCs w:val="20"/>
        </w:rPr>
        <w:t xml:space="preserve">. </w:t>
      </w:r>
      <w:hyperlink r:id="rId20" w:tooltip="PMID (identifier)" w:history="1">
        <w:r w:rsidR="00C640BF">
          <w:rPr>
            <w:rStyle w:val="Hyperlink"/>
            <w:rFonts w:cs="Calibri"/>
            <w:iCs/>
            <w:sz w:val="16"/>
            <w:szCs w:val="20"/>
          </w:rPr>
          <w:t>PMID</w:t>
        </w:r>
      </w:hyperlink>
      <w:r>
        <w:rPr>
          <w:rFonts w:cs="Calibri"/>
          <w:iCs/>
          <w:sz w:val="16"/>
          <w:szCs w:val="20"/>
        </w:rPr>
        <w:t> </w:t>
      </w:r>
      <w:hyperlink r:id="rId21" w:history="1">
        <w:r w:rsidR="00C640BF">
          <w:rPr>
            <w:rStyle w:val="Hyperlink"/>
            <w:rFonts w:cs="Calibri"/>
            <w:iCs/>
            <w:sz w:val="16"/>
            <w:szCs w:val="20"/>
          </w:rPr>
          <w:t>25207494</w:t>
        </w:r>
      </w:hyperlink>
      <w:r>
        <w:rPr>
          <w:rFonts w:cs="Calibri"/>
          <w:iCs/>
          <w:sz w:val="16"/>
          <w:szCs w:val="20"/>
        </w:rPr>
        <w:t xml:space="preserve">. </w:t>
      </w:r>
    </w:p>
    <w:p w14:paraId="488AF818" w14:textId="77777777" w:rsidR="00C640BF" w:rsidRDefault="00000000">
      <w:pPr>
        <w:spacing w:after="0" w:line="360" w:lineRule="auto"/>
        <w:rPr>
          <w:rFonts w:cs="Calibri"/>
          <w:iCs/>
          <w:sz w:val="16"/>
          <w:szCs w:val="20"/>
        </w:rPr>
      </w:pPr>
      <w:r>
        <w:rPr>
          <w:rFonts w:cs="Calibri"/>
          <w:iCs/>
          <w:sz w:val="16"/>
          <w:szCs w:val="20"/>
        </w:rPr>
        <w:t xml:space="preserve">18) </w:t>
      </w:r>
      <w:proofErr w:type="spellStart"/>
      <w:r>
        <w:rPr>
          <w:rFonts w:cs="Calibri"/>
          <w:iCs/>
          <w:sz w:val="16"/>
          <w:szCs w:val="20"/>
        </w:rPr>
        <w:t>Naghavi</w:t>
      </w:r>
      <w:proofErr w:type="spellEnd"/>
      <w:r>
        <w:rPr>
          <w:rFonts w:cs="Calibri"/>
          <w:iCs/>
          <w:sz w:val="16"/>
          <w:szCs w:val="20"/>
        </w:rPr>
        <w:t xml:space="preserve"> M, Abajobir AA, </w:t>
      </w:r>
      <w:proofErr w:type="spellStart"/>
      <w:r>
        <w:rPr>
          <w:rFonts w:cs="Calibri"/>
          <w:iCs/>
          <w:sz w:val="16"/>
          <w:szCs w:val="20"/>
        </w:rPr>
        <w:t>Abbafati</w:t>
      </w:r>
      <w:proofErr w:type="spellEnd"/>
      <w:r>
        <w:rPr>
          <w:rFonts w:cs="Calibri"/>
          <w:iCs/>
          <w:sz w:val="16"/>
          <w:szCs w:val="20"/>
        </w:rPr>
        <w:t xml:space="preserve"> C, Abbas KM, Abd-Allah F, Abera SF, et al. (GBD 2016 Causes of Death Collaborators) (September 2017). </w:t>
      </w:r>
      <w:hyperlink r:id="rId22" w:history="1">
        <w:r w:rsidR="00C640BF">
          <w:rPr>
            <w:rStyle w:val="Hyperlink"/>
            <w:rFonts w:cs="Calibri"/>
            <w:iCs/>
            <w:sz w:val="16"/>
            <w:szCs w:val="20"/>
          </w:rPr>
          <w:t>"Global, regional, and national age-sex specific mortality for 264 causes of death, 1980-2016: a systematic analysis for the Global Burden of Disease Study 2016"</w:t>
        </w:r>
      </w:hyperlink>
      <w:r>
        <w:rPr>
          <w:rFonts w:cs="Calibri"/>
          <w:iCs/>
          <w:sz w:val="16"/>
          <w:szCs w:val="20"/>
        </w:rPr>
        <w:t xml:space="preserve">. Lancet. </w:t>
      </w:r>
      <w:r>
        <w:rPr>
          <w:rFonts w:cs="Calibri"/>
          <w:bCs/>
          <w:iCs/>
          <w:sz w:val="16"/>
          <w:szCs w:val="20"/>
        </w:rPr>
        <w:t>390</w:t>
      </w:r>
      <w:r>
        <w:rPr>
          <w:rFonts w:cs="Calibri"/>
          <w:iCs/>
          <w:sz w:val="16"/>
          <w:szCs w:val="20"/>
        </w:rPr>
        <w:t xml:space="preserve"> (10100): 1151–1210. </w:t>
      </w:r>
      <w:hyperlink r:id="rId23" w:tooltip="Doi (identifier)" w:history="1">
        <w:r w:rsidR="00C640BF">
          <w:rPr>
            <w:rStyle w:val="Hyperlink"/>
            <w:rFonts w:cs="Calibri"/>
            <w:iCs/>
            <w:sz w:val="16"/>
            <w:szCs w:val="20"/>
          </w:rPr>
          <w:t>doi</w:t>
        </w:r>
      </w:hyperlink>
      <w:r>
        <w:rPr>
          <w:rFonts w:cs="Calibri"/>
          <w:iCs/>
          <w:sz w:val="16"/>
          <w:szCs w:val="20"/>
        </w:rPr>
        <w:t>:</w:t>
      </w:r>
      <w:hyperlink r:id="rId24" w:history="1">
        <w:r w:rsidR="00C640BF">
          <w:rPr>
            <w:rStyle w:val="Hyperlink"/>
            <w:rFonts w:cs="Calibri"/>
            <w:iCs/>
            <w:sz w:val="16"/>
            <w:szCs w:val="20"/>
          </w:rPr>
          <w:t>10.1016/S0140-6736(17)32152-9</w:t>
        </w:r>
      </w:hyperlink>
      <w:r>
        <w:rPr>
          <w:rFonts w:cs="Calibri"/>
          <w:iCs/>
          <w:sz w:val="16"/>
          <w:szCs w:val="20"/>
        </w:rPr>
        <w:t xml:space="preserve">. </w:t>
      </w:r>
      <w:hyperlink r:id="rId25" w:tooltip="PMC (identifier)" w:history="1">
        <w:r w:rsidR="00C640BF">
          <w:rPr>
            <w:rStyle w:val="Hyperlink"/>
            <w:rFonts w:cs="Calibri"/>
            <w:iCs/>
            <w:sz w:val="16"/>
            <w:szCs w:val="20"/>
          </w:rPr>
          <w:t>PMC</w:t>
        </w:r>
      </w:hyperlink>
      <w:r>
        <w:rPr>
          <w:rFonts w:cs="Calibri"/>
          <w:iCs/>
          <w:sz w:val="16"/>
          <w:szCs w:val="20"/>
        </w:rPr>
        <w:t> </w:t>
      </w:r>
      <w:hyperlink r:id="rId26" w:history="1">
        <w:r w:rsidR="00C640BF">
          <w:rPr>
            <w:rStyle w:val="Hyperlink"/>
            <w:rFonts w:cs="Calibri"/>
            <w:iCs/>
            <w:sz w:val="16"/>
            <w:szCs w:val="20"/>
          </w:rPr>
          <w:t>5605883</w:t>
        </w:r>
      </w:hyperlink>
      <w:r>
        <w:rPr>
          <w:rFonts w:cs="Calibri"/>
          <w:iCs/>
          <w:sz w:val="16"/>
          <w:szCs w:val="20"/>
        </w:rPr>
        <w:t xml:space="preserve">. </w:t>
      </w:r>
      <w:hyperlink r:id="rId27" w:tooltip="PMID (identifier)" w:history="1">
        <w:r w:rsidR="00C640BF">
          <w:rPr>
            <w:rStyle w:val="Hyperlink"/>
            <w:rFonts w:cs="Calibri"/>
            <w:iCs/>
            <w:sz w:val="16"/>
            <w:szCs w:val="20"/>
          </w:rPr>
          <w:t>PMID</w:t>
        </w:r>
      </w:hyperlink>
      <w:r>
        <w:rPr>
          <w:rFonts w:cs="Calibri"/>
          <w:iCs/>
          <w:sz w:val="16"/>
          <w:szCs w:val="20"/>
        </w:rPr>
        <w:t> </w:t>
      </w:r>
      <w:hyperlink r:id="rId28" w:history="1">
        <w:r w:rsidR="00C640BF">
          <w:rPr>
            <w:rStyle w:val="Hyperlink"/>
            <w:rFonts w:cs="Calibri"/>
            <w:iCs/>
            <w:sz w:val="16"/>
            <w:szCs w:val="20"/>
          </w:rPr>
          <w:t>28919116</w:t>
        </w:r>
      </w:hyperlink>
    </w:p>
    <w:p w14:paraId="165C9161" w14:textId="77777777" w:rsidR="00C640BF" w:rsidRDefault="00000000">
      <w:pPr>
        <w:spacing w:after="0" w:line="360" w:lineRule="auto"/>
        <w:rPr>
          <w:rFonts w:cs="Calibri"/>
          <w:iCs/>
          <w:sz w:val="16"/>
          <w:szCs w:val="20"/>
        </w:rPr>
      </w:pPr>
      <w:r>
        <w:rPr>
          <w:rFonts w:cs="Calibri"/>
          <w:iCs/>
          <w:sz w:val="16"/>
          <w:szCs w:val="20"/>
        </w:rPr>
        <w:t>19)</w:t>
      </w:r>
      <w:proofErr w:type="spellStart"/>
      <w:r>
        <w:rPr>
          <w:rFonts w:cs="Calibri"/>
          <w:iCs/>
          <w:sz w:val="16"/>
          <w:szCs w:val="20"/>
        </w:rPr>
        <w:t>Aragaw</w:t>
      </w:r>
      <w:proofErr w:type="spellEnd"/>
      <w:r>
        <w:rPr>
          <w:rFonts w:cs="Calibri"/>
          <w:iCs/>
          <w:sz w:val="16"/>
          <w:szCs w:val="20"/>
        </w:rPr>
        <w:t xml:space="preserve"> FM, Amare T, Teklu RE, Tegegne BA, Alem AZ. Magnitude of unintended pregnancy and its determinants among childbearing age women in low and middle-income countries: evidence from 61 low and middle income countries. Front </w:t>
      </w:r>
      <w:proofErr w:type="spellStart"/>
      <w:r>
        <w:rPr>
          <w:rFonts w:cs="Calibri"/>
          <w:iCs/>
          <w:sz w:val="16"/>
          <w:szCs w:val="20"/>
        </w:rPr>
        <w:t>Reprod</w:t>
      </w:r>
      <w:proofErr w:type="spellEnd"/>
      <w:r>
        <w:rPr>
          <w:rFonts w:cs="Calibri"/>
          <w:iCs/>
          <w:sz w:val="16"/>
          <w:szCs w:val="20"/>
        </w:rPr>
        <w:t xml:space="preserve"> Health. 2023 Jul 17;5:1113926. </w:t>
      </w:r>
      <w:proofErr w:type="spellStart"/>
      <w:r>
        <w:rPr>
          <w:rFonts w:cs="Calibri"/>
          <w:iCs/>
          <w:sz w:val="16"/>
          <w:szCs w:val="20"/>
        </w:rPr>
        <w:t>doi</w:t>
      </w:r>
      <w:proofErr w:type="spellEnd"/>
      <w:r>
        <w:rPr>
          <w:rFonts w:cs="Calibri"/>
          <w:iCs/>
          <w:sz w:val="16"/>
          <w:szCs w:val="20"/>
        </w:rPr>
        <w:t>: 10.3389/frph.2023.1113926. PMID: 37533507</w:t>
      </w:r>
    </w:p>
    <w:p w14:paraId="7841F5D9" w14:textId="77777777" w:rsidR="00C640BF" w:rsidRDefault="00000000">
      <w:pPr>
        <w:spacing w:after="0" w:line="360" w:lineRule="auto"/>
        <w:rPr>
          <w:rFonts w:cs="Calibri"/>
          <w:iCs/>
          <w:sz w:val="16"/>
          <w:szCs w:val="20"/>
        </w:rPr>
      </w:pPr>
      <w:r>
        <w:rPr>
          <w:rFonts w:cs="Calibri"/>
          <w:iCs/>
          <w:sz w:val="16"/>
          <w:szCs w:val="20"/>
        </w:rPr>
        <w:t xml:space="preserve">20) Martin JA, Hamilton BE, Osterman MJK. Births in the United States, 2023. NCHS Data Brief, no 507. Hyattsville, MD: National Center for Health Statistics. 2024. DOI: </w:t>
      </w:r>
      <w:hyperlink r:id="rId29" w:tgtFrame="_blank" w:history="1">
        <w:r w:rsidR="00C640BF">
          <w:rPr>
            <w:rStyle w:val="Hyperlink"/>
            <w:rFonts w:cs="Calibri"/>
            <w:iCs/>
            <w:sz w:val="16"/>
            <w:szCs w:val="20"/>
          </w:rPr>
          <w:t>https://dx.doi.org/10.15620/cdc/158789</w:t>
        </w:r>
      </w:hyperlink>
      <w:r>
        <w:rPr>
          <w:rFonts w:cs="Calibri"/>
          <w:iCs/>
          <w:sz w:val="16"/>
          <w:szCs w:val="20"/>
        </w:rPr>
        <w:t>.</w:t>
      </w:r>
    </w:p>
    <w:p w14:paraId="15818E34" w14:textId="77777777" w:rsidR="00C640BF" w:rsidRDefault="00000000">
      <w:pPr>
        <w:spacing w:after="0" w:line="360" w:lineRule="auto"/>
        <w:rPr>
          <w:rFonts w:cs="Calibri"/>
          <w:iCs/>
          <w:sz w:val="16"/>
          <w:szCs w:val="20"/>
        </w:rPr>
      </w:pPr>
      <w:r>
        <w:rPr>
          <w:rFonts w:cs="Calibri"/>
          <w:iCs/>
          <w:sz w:val="16"/>
          <w:szCs w:val="20"/>
        </w:rPr>
        <w:t>21)T</w:t>
      </w:r>
      <w:hyperlink r:id="rId30" w:history="1">
        <w:r w:rsidR="00C640BF">
          <w:rPr>
            <w:rStyle w:val="Hyperlink"/>
            <w:rFonts w:cs="Calibri"/>
            <w:iCs/>
            <w:sz w:val="16"/>
            <w:szCs w:val="20"/>
          </w:rPr>
          <w:t>he Johns Hopkins Manual of Gynecology and Obstetrics</w:t>
        </w:r>
      </w:hyperlink>
      <w:r>
        <w:rPr>
          <w:rFonts w:cs="Calibri"/>
          <w:iCs/>
          <w:sz w:val="16"/>
          <w:szCs w:val="20"/>
        </w:rPr>
        <w:t xml:space="preserve"> (4 ed.). Lippincott Williams &amp; Wilkins. 2012. p. 438. </w:t>
      </w:r>
      <w:hyperlink r:id="rId31" w:tooltip="ISBN (identifier)" w:history="1">
        <w:r w:rsidR="00C640BF">
          <w:rPr>
            <w:rStyle w:val="Hyperlink"/>
            <w:rFonts w:cs="Calibri"/>
            <w:iCs/>
            <w:sz w:val="16"/>
            <w:szCs w:val="20"/>
          </w:rPr>
          <w:t>ISBN</w:t>
        </w:r>
      </w:hyperlink>
      <w:r>
        <w:rPr>
          <w:rFonts w:cs="Calibri"/>
          <w:iCs/>
          <w:sz w:val="16"/>
          <w:szCs w:val="20"/>
        </w:rPr>
        <w:t> </w:t>
      </w:r>
      <w:hyperlink r:id="rId32" w:tooltip="Special:BookSources/978-1-4511-4801-5" w:history="1">
        <w:r w:rsidR="00C640BF">
          <w:rPr>
            <w:rStyle w:val="Hyperlink"/>
            <w:rFonts w:cs="Calibri"/>
            <w:iCs/>
            <w:sz w:val="16"/>
            <w:szCs w:val="20"/>
          </w:rPr>
          <w:t>978-1-4511-4801-5</w:t>
        </w:r>
      </w:hyperlink>
      <w:r>
        <w:rPr>
          <w:rFonts w:cs="Calibri"/>
          <w:iCs/>
          <w:sz w:val="16"/>
          <w:szCs w:val="20"/>
        </w:rPr>
        <w:t xml:space="preserve">. </w:t>
      </w:r>
      <w:hyperlink r:id="rId33" w:history="1">
        <w:r w:rsidR="00C640BF">
          <w:rPr>
            <w:rStyle w:val="Hyperlink"/>
            <w:rFonts w:cs="Calibri"/>
            <w:iCs/>
            <w:sz w:val="16"/>
            <w:szCs w:val="20"/>
          </w:rPr>
          <w:t>Archived</w:t>
        </w:r>
      </w:hyperlink>
      <w:r>
        <w:rPr>
          <w:rFonts w:cs="Calibri"/>
          <w:iCs/>
          <w:sz w:val="16"/>
          <w:szCs w:val="20"/>
        </w:rPr>
        <w:t xml:space="preserve"> from the original on 10 September 2017.</w:t>
      </w:r>
    </w:p>
    <w:p w14:paraId="26392AD9" w14:textId="77777777" w:rsidR="00C640BF" w:rsidRDefault="00000000">
      <w:pPr>
        <w:spacing w:after="0" w:line="360" w:lineRule="auto"/>
        <w:rPr>
          <w:rFonts w:cs="Calibri"/>
          <w:iCs/>
          <w:sz w:val="16"/>
          <w:szCs w:val="20"/>
        </w:rPr>
      </w:pPr>
      <w:r>
        <w:rPr>
          <w:rFonts w:cs="Calibri"/>
          <w:iCs/>
          <w:sz w:val="16"/>
          <w:szCs w:val="20"/>
        </w:rPr>
        <w:t xml:space="preserve">22) </w:t>
      </w:r>
      <w:proofErr w:type="spellStart"/>
      <w:r>
        <w:rPr>
          <w:rFonts w:cs="Calibri"/>
          <w:iCs/>
          <w:sz w:val="16"/>
          <w:szCs w:val="20"/>
        </w:rPr>
        <w:t>Naghavi</w:t>
      </w:r>
      <w:proofErr w:type="spellEnd"/>
      <w:r>
        <w:rPr>
          <w:rFonts w:cs="Calibri"/>
          <w:iCs/>
          <w:sz w:val="16"/>
          <w:szCs w:val="20"/>
        </w:rPr>
        <w:t xml:space="preserve"> M, Abajobir AA, </w:t>
      </w:r>
      <w:proofErr w:type="spellStart"/>
      <w:r>
        <w:rPr>
          <w:rFonts w:cs="Calibri"/>
          <w:iCs/>
          <w:sz w:val="16"/>
          <w:szCs w:val="20"/>
        </w:rPr>
        <w:t>Abbafati</w:t>
      </w:r>
      <w:proofErr w:type="spellEnd"/>
      <w:r>
        <w:rPr>
          <w:rFonts w:cs="Calibri"/>
          <w:iCs/>
          <w:sz w:val="16"/>
          <w:szCs w:val="20"/>
        </w:rPr>
        <w:t xml:space="preserve"> C, Abbas KM, Abd-Allah F, Abera SF, et al. (GBD 2016 Causes of Death Collaborators) (September 2017). </w:t>
      </w:r>
      <w:hyperlink r:id="rId34" w:history="1">
        <w:r w:rsidR="00C640BF">
          <w:rPr>
            <w:rStyle w:val="Hyperlink"/>
            <w:rFonts w:cs="Calibri"/>
            <w:iCs/>
            <w:sz w:val="16"/>
            <w:szCs w:val="20"/>
          </w:rPr>
          <w:t>"Global, regional, and national age-sex specific mortality for 264 causes of death, 1980-2016: a systematic analysis for the Global Burden of Disease Study 2016"</w:t>
        </w:r>
      </w:hyperlink>
      <w:r>
        <w:rPr>
          <w:rFonts w:cs="Calibri"/>
          <w:iCs/>
          <w:sz w:val="16"/>
          <w:szCs w:val="20"/>
        </w:rPr>
        <w:t xml:space="preserve">. Lancet. </w:t>
      </w:r>
      <w:r>
        <w:rPr>
          <w:rFonts w:cs="Calibri"/>
          <w:b/>
          <w:bCs/>
          <w:iCs/>
          <w:sz w:val="16"/>
          <w:szCs w:val="20"/>
        </w:rPr>
        <w:t>390</w:t>
      </w:r>
      <w:r>
        <w:rPr>
          <w:rFonts w:cs="Calibri"/>
          <w:iCs/>
          <w:sz w:val="16"/>
          <w:szCs w:val="20"/>
        </w:rPr>
        <w:t xml:space="preserve"> (10100): 1151–1210. </w:t>
      </w:r>
      <w:hyperlink r:id="rId35" w:tooltip="Doi (identifier)" w:history="1">
        <w:r w:rsidR="00C640BF">
          <w:rPr>
            <w:rStyle w:val="Hyperlink"/>
            <w:rFonts w:cs="Calibri"/>
            <w:iCs/>
            <w:sz w:val="16"/>
            <w:szCs w:val="20"/>
          </w:rPr>
          <w:t>doi</w:t>
        </w:r>
      </w:hyperlink>
      <w:r>
        <w:rPr>
          <w:rFonts w:cs="Calibri"/>
          <w:iCs/>
          <w:sz w:val="16"/>
          <w:szCs w:val="20"/>
        </w:rPr>
        <w:t>:</w:t>
      </w:r>
      <w:hyperlink r:id="rId36" w:history="1">
        <w:r w:rsidR="00C640BF">
          <w:rPr>
            <w:rStyle w:val="Hyperlink"/>
            <w:rFonts w:cs="Calibri"/>
            <w:iCs/>
            <w:sz w:val="16"/>
            <w:szCs w:val="20"/>
          </w:rPr>
          <w:t>10.1016/S0140-6736(17)32152-9</w:t>
        </w:r>
      </w:hyperlink>
      <w:r>
        <w:rPr>
          <w:rFonts w:cs="Calibri"/>
          <w:iCs/>
          <w:sz w:val="16"/>
          <w:szCs w:val="20"/>
        </w:rPr>
        <w:t xml:space="preserve">. </w:t>
      </w:r>
      <w:hyperlink r:id="rId37" w:tooltip="PMC (identifier)" w:history="1">
        <w:r w:rsidR="00C640BF">
          <w:rPr>
            <w:rStyle w:val="Hyperlink"/>
            <w:rFonts w:cs="Calibri"/>
            <w:iCs/>
            <w:sz w:val="16"/>
            <w:szCs w:val="20"/>
          </w:rPr>
          <w:t>PMC</w:t>
        </w:r>
      </w:hyperlink>
      <w:r>
        <w:rPr>
          <w:rFonts w:cs="Calibri"/>
          <w:iCs/>
          <w:sz w:val="16"/>
          <w:szCs w:val="20"/>
        </w:rPr>
        <w:t> </w:t>
      </w:r>
      <w:hyperlink r:id="rId38" w:history="1">
        <w:r w:rsidR="00C640BF">
          <w:rPr>
            <w:rStyle w:val="Hyperlink"/>
            <w:rFonts w:cs="Calibri"/>
            <w:iCs/>
            <w:sz w:val="16"/>
            <w:szCs w:val="20"/>
          </w:rPr>
          <w:t>5605883</w:t>
        </w:r>
      </w:hyperlink>
      <w:r>
        <w:rPr>
          <w:rFonts w:cs="Calibri"/>
          <w:iCs/>
          <w:sz w:val="16"/>
          <w:szCs w:val="20"/>
        </w:rPr>
        <w:t xml:space="preserve">. </w:t>
      </w:r>
      <w:hyperlink r:id="rId39" w:tooltip="PMID (identifier)" w:history="1">
        <w:r w:rsidR="00C640BF">
          <w:rPr>
            <w:rStyle w:val="Hyperlink"/>
            <w:rFonts w:cs="Calibri"/>
            <w:iCs/>
            <w:sz w:val="16"/>
            <w:szCs w:val="20"/>
          </w:rPr>
          <w:t>PMID</w:t>
        </w:r>
      </w:hyperlink>
      <w:r>
        <w:rPr>
          <w:rFonts w:cs="Calibri"/>
          <w:iCs/>
          <w:sz w:val="16"/>
          <w:szCs w:val="20"/>
        </w:rPr>
        <w:t> </w:t>
      </w:r>
      <w:hyperlink r:id="rId40" w:history="1">
        <w:r w:rsidR="00C640BF">
          <w:rPr>
            <w:rStyle w:val="Hyperlink"/>
            <w:rFonts w:cs="Calibri"/>
            <w:iCs/>
            <w:sz w:val="16"/>
            <w:szCs w:val="20"/>
          </w:rPr>
          <w:t>28919116</w:t>
        </w:r>
      </w:hyperlink>
      <w:r>
        <w:rPr>
          <w:rFonts w:cs="Calibri"/>
          <w:iCs/>
          <w:sz w:val="16"/>
          <w:szCs w:val="20"/>
        </w:rPr>
        <w:t>.</w:t>
      </w:r>
    </w:p>
    <w:p w14:paraId="7A2D8505" w14:textId="77777777" w:rsidR="00C640BF" w:rsidRDefault="00000000">
      <w:pPr>
        <w:spacing w:after="0" w:line="360" w:lineRule="auto"/>
        <w:rPr>
          <w:rFonts w:cs="Calibri"/>
          <w:iCs/>
          <w:sz w:val="16"/>
          <w:szCs w:val="20"/>
        </w:rPr>
      </w:pPr>
      <w:r>
        <w:rPr>
          <w:rFonts w:cs="Calibri"/>
          <w:iCs/>
          <w:sz w:val="16"/>
          <w:szCs w:val="20"/>
        </w:rPr>
        <w:t xml:space="preserve">23) </w:t>
      </w:r>
      <w:proofErr w:type="spellStart"/>
      <w:r>
        <w:rPr>
          <w:rFonts w:cs="Calibri"/>
          <w:iCs/>
          <w:sz w:val="16"/>
          <w:szCs w:val="20"/>
        </w:rPr>
        <w:t>Bearak</w:t>
      </w:r>
      <w:proofErr w:type="spellEnd"/>
      <w:r>
        <w:rPr>
          <w:rFonts w:cs="Calibri"/>
          <w:iCs/>
          <w:sz w:val="16"/>
          <w:szCs w:val="20"/>
        </w:rPr>
        <w:t xml:space="preserve"> J, </w:t>
      </w:r>
      <w:proofErr w:type="spellStart"/>
      <w:r>
        <w:rPr>
          <w:rFonts w:cs="Calibri"/>
          <w:iCs/>
          <w:sz w:val="16"/>
          <w:szCs w:val="20"/>
        </w:rPr>
        <w:t>Popinchalk</w:t>
      </w:r>
      <w:proofErr w:type="spellEnd"/>
      <w:r>
        <w:rPr>
          <w:rFonts w:cs="Calibri"/>
          <w:iCs/>
          <w:sz w:val="16"/>
          <w:szCs w:val="20"/>
        </w:rPr>
        <w:t xml:space="preserve"> A, Alkema L, </w:t>
      </w:r>
      <w:proofErr w:type="spellStart"/>
      <w:r>
        <w:rPr>
          <w:rFonts w:cs="Calibri"/>
          <w:iCs/>
          <w:sz w:val="16"/>
          <w:szCs w:val="20"/>
        </w:rPr>
        <w:t>Sedgh</w:t>
      </w:r>
      <w:proofErr w:type="spellEnd"/>
      <w:r>
        <w:rPr>
          <w:rFonts w:cs="Calibri"/>
          <w:iCs/>
          <w:sz w:val="16"/>
          <w:szCs w:val="20"/>
        </w:rPr>
        <w:t xml:space="preserve"> G (April 2018). "Global, regional, and subregional trends in unintended pregnancy and its outcomes from 1990 to 2014: estimates from a Bayesian hierarchical model". The Lancet. Global Health. 6 (4): e380–e389. doi:10.1016/S2214-109X(18)30029-9. PMC 6055480. PMID 29519649.</w:t>
      </w:r>
    </w:p>
    <w:p w14:paraId="3F5507E1" w14:textId="77777777" w:rsidR="00C640BF" w:rsidRDefault="00000000">
      <w:pPr>
        <w:spacing w:after="0" w:line="360" w:lineRule="auto"/>
        <w:rPr>
          <w:rFonts w:cs="Calibri"/>
          <w:iCs/>
          <w:sz w:val="16"/>
          <w:szCs w:val="20"/>
        </w:rPr>
      </w:pPr>
      <w:r>
        <w:rPr>
          <w:rFonts w:cs="Calibri"/>
          <w:iCs/>
          <w:sz w:val="16"/>
          <w:szCs w:val="20"/>
        </w:rPr>
        <w:t>24) Hurt KJ, Guile MW, Bienstock JL, Fox HE, Wallach EE (28 March 2012). The Johns Hopkins manual of gynecology and obstetrics (4th ed.). Philadelphia: Wolters Kluwer Health / Lippincott Williams &amp; Wilkins. p. 382. ISBN 978-1-60547-433-5</w:t>
      </w:r>
    </w:p>
    <w:p w14:paraId="3C1C0E57" w14:textId="77777777" w:rsidR="00C640BF" w:rsidRDefault="00000000">
      <w:pPr>
        <w:spacing w:after="0" w:line="360" w:lineRule="auto"/>
        <w:rPr>
          <w:rFonts w:cs="Calibri"/>
          <w:iCs/>
          <w:sz w:val="16"/>
          <w:szCs w:val="20"/>
        </w:rPr>
      </w:pPr>
      <w:r>
        <w:rPr>
          <w:rFonts w:cs="Calibri"/>
          <w:iCs/>
          <w:sz w:val="16"/>
          <w:szCs w:val="20"/>
        </w:rPr>
        <w:t>25) American College of Obstetricians and Gynecologists. (2019). ACOG Practice Bulletin No. 233: Anemia in Pregnancy. Obstetrics &amp; Gynecology, 134(3), e56-e64.</w:t>
      </w:r>
    </w:p>
    <w:p w14:paraId="1B5F0403" w14:textId="77777777" w:rsidR="00C640BF" w:rsidRDefault="00000000">
      <w:pPr>
        <w:spacing w:after="0" w:line="360" w:lineRule="auto"/>
        <w:rPr>
          <w:rFonts w:cs="Calibri"/>
          <w:iCs/>
          <w:sz w:val="16"/>
          <w:szCs w:val="20"/>
        </w:rPr>
      </w:pPr>
      <w:r>
        <w:rPr>
          <w:rFonts w:cs="Calibri"/>
          <w:iCs/>
          <w:sz w:val="16"/>
          <w:szCs w:val="20"/>
        </w:rPr>
        <w:t>26)</w:t>
      </w:r>
      <w:r>
        <w:rPr>
          <w:rFonts w:cs="Calibri"/>
          <w:iCs/>
          <w:sz w:val="16"/>
          <w:szCs w:val="20"/>
        </w:rPr>
        <w:tab/>
        <w:t xml:space="preserve">Sifakis,  Stavros &amp;  </w:t>
      </w:r>
      <w:proofErr w:type="spellStart"/>
      <w:r>
        <w:rPr>
          <w:rFonts w:cs="Calibri"/>
          <w:iCs/>
          <w:sz w:val="16"/>
          <w:szCs w:val="20"/>
        </w:rPr>
        <w:t>Pharmakides</w:t>
      </w:r>
      <w:proofErr w:type="spellEnd"/>
      <w:r>
        <w:rPr>
          <w:rFonts w:cs="Calibri"/>
          <w:iCs/>
          <w:sz w:val="16"/>
          <w:szCs w:val="20"/>
        </w:rPr>
        <w:t xml:space="preserve"> G., Anemia in pregnancy, Annuals  New York  Academic  of Science , 2000 volume 900:125-36. PMID: 10818399 </w:t>
      </w:r>
      <w:proofErr w:type="spellStart"/>
      <w:r>
        <w:rPr>
          <w:rFonts w:cs="Calibri"/>
          <w:iCs/>
          <w:sz w:val="16"/>
          <w:szCs w:val="20"/>
        </w:rPr>
        <w:t>doi</w:t>
      </w:r>
      <w:proofErr w:type="spellEnd"/>
      <w:r>
        <w:rPr>
          <w:rFonts w:cs="Calibri"/>
          <w:iCs/>
          <w:sz w:val="16"/>
          <w:szCs w:val="20"/>
        </w:rPr>
        <w:t xml:space="preserve">: 10.1111/j.1749-6632.2000.tb06223.x. </w:t>
      </w:r>
    </w:p>
    <w:p w14:paraId="2729A9DA" w14:textId="77777777" w:rsidR="00C640BF" w:rsidRDefault="00000000">
      <w:pPr>
        <w:spacing w:after="0" w:line="360" w:lineRule="auto"/>
        <w:rPr>
          <w:rFonts w:cs="Calibri"/>
          <w:iCs/>
          <w:sz w:val="16"/>
          <w:szCs w:val="20"/>
        </w:rPr>
      </w:pPr>
      <w:r>
        <w:rPr>
          <w:rFonts w:cs="Calibri"/>
          <w:iCs/>
          <w:sz w:val="16"/>
          <w:szCs w:val="20"/>
        </w:rPr>
        <w:t>27)</w:t>
      </w:r>
      <w:r>
        <w:rPr>
          <w:rFonts w:cs="Calibri"/>
          <w:iCs/>
          <w:sz w:val="16"/>
          <w:szCs w:val="20"/>
        </w:rPr>
        <w:tab/>
        <w:t xml:space="preserve">Shiri Shinar, Sharon </w:t>
      </w:r>
      <w:proofErr w:type="spellStart"/>
      <w:r>
        <w:rPr>
          <w:rFonts w:cs="Calibri"/>
          <w:iCs/>
          <w:sz w:val="16"/>
          <w:szCs w:val="20"/>
        </w:rPr>
        <w:t>Maslovitz</w:t>
      </w:r>
      <w:proofErr w:type="spellEnd"/>
      <w:r>
        <w:rPr>
          <w:rFonts w:cs="Calibri"/>
          <w:iCs/>
          <w:sz w:val="16"/>
          <w:szCs w:val="20"/>
        </w:rPr>
        <w:t xml:space="preserve"> , 638: Is low hemoglobin consistent with anemia in pregnancy?, American Journal of Obstetrics and Gynecology, 2017, volume 216(1):S373, Doi 10.1016/j.ajog.2016.11.372.Accessed and retrieved on December 15, 2024 and available at: </w:t>
      </w:r>
      <w:hyperlink r:id="rId41" w:history="1">
        <w:r w:rsidR="00C640BF">
          <w:rPr>
            <w:rStyle w:val="Hyperlink"/>
            <w:rFonts w:cs="Calibri"/>
            <w:iCs/>
            <w:sz w:val="16"/>
            <w:szCs w:val="20"/>
          </w:rPr>
          <w:t>https://www.researchgate.net/publication/311943396_638_Is_low_hemoglobin_consistent_with_anemia_in_pregnancy/citations</w:t>
        </w:r>
      </w:hyperlink>
      <w:r>
        <w:rPr>
          <w:rFonts w:cs="Calibri"/>
          <w:iCs/>
          <w:sz w:val="16"/>
          <w:szCs w:val="20"/>
        </w:rPr>
        <w:t>.</w:t>
      </w:r>
    </w:p>
    <w:p w14:paraId="0465E3F8" w14:textId="77777777" w:rsidR="00C640BF" w:rsidRDefault="00000000">
      <w:pPr>
        <w:spacing w:after="0" w:line="360" w:lineRule="auto"/>
        <w:rPr>
          <w:rFonts w:cs="Calibri"/>
          <w:iCs/>
          <w:sz w:val="16"/>
          <w:szCs w:val="20"/>
        </w:rPr>
      </w:pPr>
      <w:r>
        <w:rPr>
          <w:rFonts w:cs="Calibri"/>
          <w:sz w:val="16"/>
          <w:szCs w:val="20"/>
        </w:rPr>
        <w:t xml:space="preserve">28) Fidelma B </w:t>
      </w:r>
      <w:proofErr w:type="gramStart"/>
      <w:r>
        <w:rPr>
          <w:rFonts w:cs="Calibri"/>
          <w:sz w:val="16"/>
          <w:szCs w:val="20"/>
        </w:rPr>
        <w:t>Rigby ,</w:t>
      </w:r>
      <w:proofErr w:type="gramEnd"/>
      <w:r>
        <w:rPr>
          <w:rFonts w:cs="Calibri"/>
          <w:bCs/>
          <w:sz w:val="16"/>
          <w:szCs w:val="20"/>
        </w:rPr>
        <w:t xml:space="preserve"> Anemia and Thrombocytopenia in Pregnancy,</w:t>
      </w:r>
      <w:r>
        <w:rPr>
          <w:rFonts w:cs="Calibri"/>
          <w:b/>
          <w:bCs/>
          <w:sz w:val="16"/>
          <w:szCs w:val="20"/>
        </w:rPr>
        <w:t xml:space="preserve"> </w:t>
      </w:r>
      <w:r>
        <w:rPr>
          <w:rFonts w:cs="Calibri"/>
          <w:bCs/>
          <w:sz w:val="16"/>
          <w:szCs w:val="20"/>
        </w:rPr>
        <w:t>Medscape.com</w:t>
      </w:r>
      <w:r>
        <w:rPr>
          <w:rFonts w:cs="Calibri"/>
          <w:b/>
          <w:bCs/>
          <w:sz w:val="16"/>
          <w:szCs w:val="20"/>
        </w:rPr>
        <w:t xml:space="preserve"> </w:t>
      </w:r>
      <w:r>
        <w:rPr>
          <w:rFonts w:cs="Calibri"/>
          <w:bCs/>
          <w:sz w:val="16"/>
          <w:szCs w:val="20"/>
        </w:rPr>
        <w:t xml:space="preserve"> 2024</w:t>
      </w:r>
      <w:r>
        <w:rPr>
          <w:rFonts w:cs="Calibri"/>
          <w:b/>
          <w:bCs/>
          <w:sz w:val="16"/>
          <w:szCs w:val="20"/>
        </w:rPr>
        <w:t xml:space="preserve"> </w:t>
      </w:r>
      <w:hyperlink r:id="rId42" w:history="1">
        <w:r w:rsidR="00C640BF">
          <w:rPr>
            <w:rStyle w:val="Hyperlink"/>
            <w:rFonts w:cs="Calibri"/>
            <w:sz w:val="16"/>
            <w:szCs w:val="20"/>
          </w:rPr>
          <w:t>https://emedicine.medscape.com/article/261586-overview</w:t>
        </w:r>
      </w:hyperlink>
    </w:p>
    <w:p w14:paraId="53E7576A" w14:textId="77777777" w:rsidR="00C640BF" w:rsidRDefault="00000000">
      <w:pPr>
        <w:spacing w:after="0" w:line="360" w:lineRule="auto"/>
        <w:rPr>
          <w:rFonts w:cs="Calibri"/>
          <w:sz w:val="16"/>
          <w:szCs w:val="20"/>
        </w:rPr>
      </w:pPr>
      <w:r>
        <w:rPr>
          <w:rFonts w:cs="Calibri"/>
          <w:sz w:val="16"/>
          <w:szCs w:val="20"/>
        </w:rPr>
        <w:t xml:space="preserve">29) </w:t>
      </w:r>
      <w:proofErr w:type="spellStart"/>
      <w:r>
        <w:rPr>
          <w:rFonts w:cs="Calibri"/>
          <w:sz w:val="16"/>
          <w:szCs w:val="20"/>
        </w:rPr>
        <w:t>Costantine</w:t>
      </w:r>
      <w:proofErr w:type="spellEnd"/>
      <w:r>
        <w:rPr>
          <w:rFonts w:cs="Calibri"/>
          <w:sz w:val="16"/>
          <w:szCs w:val="20"/>
        </w:rPr>
        <w:t xml:space="preserve"> MM. Physiologic and pharmacokinetic changes in pregnancy. Front </w:t>
      </w:r>
      <w:proofErr w:type="spellStart"/>
      <w:r>
        <w:rPr>
          <w:rFonts w:cs="Calibri"/>
          <w:sz w:val="16"/>
          <w:szCs w:val="20"/>
        </w:rPr>
        <w:t>Pharmacol</w:t>
      </w:r>
      <w:proofErr w:type="spellEnd"/>
      <w:r>
        <w:rPr>
          <w:rFonts w:cs="Calibri"/>
          <w:sz w:val="16"/>
          <w:szCs w:val="20"/>
        </w:rPr>
        <w:t xml:space="preserve">. 2014 Apr 3;5:65. </w:t>
      </w:r>
      <w:proofErr w:type="spellStart"/>
      <w:r>
        <w:rPr>
          <w:rFonts w:cs="Calibri"/>
          <w:sz w:val="16"/>
          <w:szCs w:val="20"/>
        </w:rPr>
        <w:t>doi</w:t>
      </w:r>
      <w:proofErr w:type="spellEnd"/>
      <w:r>
        <w:rPr>
          <w:rFonts w:cs="Calibri"/>
          <w:sz w:val="16"/>
          <w:szCs w:val="20"/>
        </w:rPr>
        <w:t>: 10.3389/fphar.2014.00065. PMID: 24772083; PMCID: PMC3982119.</w:t>
      </w:r>
    </w:p>
    <w:p w14:paraId="6D1171CB" w14:textId="77777777" w:rsidR="00C640BF" w:rsidRDefault="00000000">
      <w:pPr>
        <w:spacing w:after="0" w:line="360" w:lineRule="auto"/>
        <w:rPr>
          <w:rFonts w:cs="Calibri"/>
          <w:sz w:val="16"/>
          <w:szCs w:val="20"/>
        </w:rPr>
      </w:pPr>
      <w:r>
        <w:rPr>
          <w:rFonts w:cs="Calibri"/>
          <w:sz w:val="16"/>
          <w:szCs w:val="20"/>
        </w:rPr>
        <w:lastRenderedPageBreak/>
        <w:t xml:space="preserve">30) Adam I, Ahmed S, Mahmoud MH, Yassin MI. Comparison of </w:t>
      </w:r>
      <w:proofErr w:type="spellStart"/>
      <w:r>
        <w:rPr>
          <w:rFonts w:cs="Calibri"/>
          <w:sz w:val="16"/>
          <w:szCs w:val="20"/>
        </w:rPr>
        <w:t>HemoCue</w:t>
      </w:r>
      <w:proofErr w:type="spellEnd"/>
      <w:r>
        <w:rPr>
          <w:rFonts w:cs="Calibri"/>
          <w:sz w:val="16"/>
          <w:szCs w:val="20"/>
        </w:rPr>
        <w:t xml:space="preserve">® hemoglobin-meter and automated hematology analyzer in measurement of hemoglobin levels in pregnant women at Khartoum hospital, Sudan. </w:t>
      </w:r>
      <w:proofErr w:type="spellStart"/>
      <w:r>
        <w:rPr>
          <w:rFonts w:cs="Calibri"/>
          <w:sz w:val="16"/>
          <w:szCs w:val="20"/>
        </w:rPr>
        <w:t>Diagn</w:t>
      </w:r>
      <w:proofErr w:type="spellEnd"/>
      <w:r>
        <w:rPr>
          <w:rFonts w:cs="Calibri"/>
          <w:sz w:val="16"/>
          <w:szCs w:val="20"/>
        </w:rPr>
        <w:t xml:space="preserve"> </w:t>
      </w:r>
      <w:proofErr w:type="spellStart"/>
      <w:r>
        <w:rPr>
          <w:rFonts w:cs="Calibri"/>
          <w:sz w:val="16"/>
          <w:szCs w:val="20"/>
        </w:rPr>
        <w:t>Pathol</w:t>
      </w:r>
      <w:proofErr w:type="spellEnd"/>
      <w:r>
        <w:rPr>
          <w:rFonts w:cs="Calibri"/>
          <w:sz w:val="16"/>
          <w:szCs w:val="20"/>
        </w:rPr>
        <w:t xml:space="preserve">. 2012 Mar 21;7:30. </w:t>
      </w:r>
      <w:proofErr w:type="spellStart"/>
      <w:r>
        <w:rPr>
          <w:rFonts w:cs="Calibri"/>
          <w:sz w:val="16"/>
          <w:szCs w:val="20"/>
        </w:rPr>
        <w:t>doi</w:t>
      </w:r>
      <w:proofErr w:type="spellEnd"/>
      <w:r>
        <w:rPr>
          <w:rFonts w:cs="Calibri"/>
          <w:sz w:val="16"/>
          <w:szCs w:val="20"/>
        </w:rPr>
        <w:t>: 10.1186/1746-1596-7-30. PMID: 22436620; PMCID: MC3342090.</w:t>
      </w:r>
    </w:p>
    <w:p w14:paraId="5147755A" w14:textId="77777777" w:rsidR="00C640BF" w:rsidRDefault="00000000">
      <w:pPr>
        <w:spacing w:after="0" w:line="360" w:lineRule="auto"/>
        <w:rPr>
          <w:rFonts w:cs="Calibri"/>
          <w:sz w:val="16"/>
          <w:szCs w:val="20"/>
        </w:rPr>
      </w:pPr>
      <w:r>
        <w:rPr>
          <w:rFonts w:cs="Calibri"/>
          <w:sz w:val="16"/>
          <w:szCs w:val="20"/>
        </w:rPr>
        <w:t xml:space="preserve">31)Guideline] American College of Obstetricians and Gynecologists' Committee on Practice Bulletins—Obstetrics. Anemia in Pregnancy: ACOG Practice Bulletin, Number 233. </w:t>
      </w:r>
      <w:proofErr w:type="spellStart"/>
      <w:r>
        <w:rPr>
          <w:rFonts w:cs="Calibri"/>
          <w:i/>
          <w:iCs/>
          <w:sz w:val="16"/>
          <w:szCs w:val="20"/>
        </w:rPr>
        <w:t>Obstet</w:t>
      </w:r>
      <w:proofErr w:type="spellEnd"/>
      <w:r>
        <w:rPr>
          <w:rFonts w:cs="Calibri"/>
          <w:i/>
          <w:iCs/>
          <w:sz w:val="16"/>
          <w:szCs w:val="20"/>
        </w:rPr>
        <w:t xml:space="preserve"> Gynecol</w:t>
      </w:r>
      <w:r>
        <w:rPr>
          <w:rFonts w:cs="Calibri"/>
          <w:sz w:val="16"/>
          <w:szCs w:val="20"/>
        </w:rPr>
        <w:t xml:space="preserve">. 2021 Aug 1. 138 (2):e55-e64. </w:t>
      </w:r>
      <w:hyperlink r:id="rId43" w:history="1">
        <w:r w:rsidR="00C640BF">
          <w:rPr>
            <w:rStyle w:val="Hyperlink"/>
            <w:rFonts w:cs="Calibri"/>
            <w:sz w:val="16"/>
            <w:szCs w:val="20"/>
          </w:rPr>
          <w:t>[</w:t>
        </w:r>
        <w:proofErr w:type="spellStart"/>
        <w:r w:rsidR="00C640BF">
          <w:rPr>
            <w:rStyle w:val="Hyperlink"/>
            <w:rFonts w:cs="Calibri"/>
            <w:sz w:val="16"/>
            <w:szCs w:val="20"/>
          </w:rPr>
          <w:t>QxMD</w:t>
        </w:r>
        <w:proofErr w:type="spellEnd"/>
        <w:r w:rsidR="00C640BF">
          <w:rPr>
            <w:rStyle w:val="Hyperlink"/>
            <w:rFonts w:cs="Calibri"/>
            <w:sz w:val="16"/>
            <w:szCs w:val="20"/>
          </w:rPr>
          <w:t xml:space="preserve"> MEDLINE Link]</w:t>
        </w:r>
      </w:hyperlink>
    </w:p>
    <w:p w14:paraId="3D6DDA3B" w14:textId="77777777" w:rsidR="00C640BF" w:rsidRDefault="00000000">
      <w:pPr>
        <w:spacing w:after="0" w:line="360" w:lineRule="auto"/>
        <w:rPr>
          <w:rFonts w:cs="Calibri"/>
          <w:sz w:val="16"/>
          <w:szCs w:val="20"/>
        </w:rPr>
      </w:pPr>
      <w:r>
        <w:rPr>
          <w:rFonts w:cs="Calibri"/>
          <w:sz w:val="16"/>
          <w:szCs w:val="20"/>
        </w:rPr>
        <w:t>32)Hu H, Pasca I. Management of Complex Cardiac Issues in the Pregnant Patient. Crit Care Clin. 2016 Jan;32(1):97-107. [PubMed</w:t>
      </w:r>
    </w:p>
    <w:p w14:paraId="3A59EFC9" w14:textId="77777777" w:rsidR="00C640BF" w:rsidRDefault="00000000">
      <w:pPr>
        <w:spacing w:after="0" w:line="360" w:lineRule="auto"/>
        <w:rPr>
          <w:rFonts w:cs="Calibri"/>
          <w:sz w:val="16"/>
          <w:szCs w:val="20"/>
        </w:rPr>
      </w:pPr>
      <w:r>
        <w:rPr>
          <w:rFonts w:cs="Calibri"/>
          <w:sz w:val="16"/>
          <w:szCs w:val="20"/>
        </w:rPr>
        <w:t xml:space="preserve">33) University of Calabar Teaching Hospital (UCTH ). Accessed and Retrieved on 3 </w:t>
      </w:r>
      <w:proofErr w:type="gramStart"/>
      <w:r>
        <w:rPr>
          <w:rFonts w:cs="Calibri"/>
          <w:sz w:val="16"/>
          <w:szCs w:val="20"/>
        </w:rPr>
        <w:t>December  2024</w:t>
      </w:r>
      <w:proofErr w:type="gramEnd"/>
      <w:r>
        <w:rPr>
          <w:rFonts w:cs="Calibri"/>
          <w:sz w:val="16"/>
          <w:szCs w:val="20"/>
        </w:rPr>
        <w:t xml:space="preserve">,Available at : </w:t>
      </w:r>
      <w:bookmarkStart w:id="36" w:name="_Hlk186234969"/>
      <w:r>
        <w:rPr>
          <w:rFonts w:cs="Calibri"/>
          <w:sz w:val="16"/>
          <w:szCs w:val="20"/>
        </w:rPr>
        <w:fldChar w:fldCharType="begin"/>
      </w:r>
      <w:r>
        <w:rPr>
          <w:rFonts w:cs="Calibri"/>
          <w:sz w:val="16"/>
          <w:szCs w:val="20"/>
        </w:rPr>
        <w:instrText xml:space="preserve"> HYPERLINK "https://ucthcalabar.gov.ng/" </w:instrText>
      </w:r>
      <w:r>
        <w:rPr>
          <w:rFonts w:cs="Calibri"/>
          <w:sz w:val="16"/>
          <w:szCs w:val="20"/>
        </w:rPr>
      </w:r>
      <w:r>
        <w:rPr>
          <w:rFonts w:cs="Calibri"/>
          <w:sz w:val="16"/>
          <w:szCs w:val="20"/>
        </w:rPr>
        <w:fldChar w:fldCharType="separate"/>
      </w:r>
      <w:r>
        <w:rPr>
          <w:rStyle w:val="Hyperlink"/>
          <w:rFonts w:cs="Calibri"/>
          <w:sz w:val="16"/>
          <w:szCs w:val="20"/>
        </w:rPr>
        <w:t>https://ucthcalabar.gov.ng/</w:t>
      </w:r>
      <w:r>
        <w:rPr>
          <w:rFonts w:cs="Calibri"/>
          <w:sz w:val="16"/>
          <w:szCs w:val="20"/>
        </w:rPr>
        <w:fldChar w:fldCharType="end"/>
      </w:r>
      <w:r>
        <w:rPr>
          <w:rFonts w:cs="Calibri"/>
          <w:sz w:val="16"/>
          <w:szCs w:val="20"/>
        </w:rPr>
        <w:t xml:space="preserve"> </w:t>
      </w:r>
      <w:bookmarkEnd w:id="36"/>
    </w:p>
    <w:p w14:paraId="2750D082" w14:textId="77777777" w:rsidR="00C640BF" w:rsidRDefault="00000000">
      <w:pPr>
        <w:spacing w:after="0" w:line="360" w:lineRule="auto"/>
        <w:rPr>
          <w:rFonts w:cs="Calibri"/>
          <w:sz w:val="16"/>
          <w:szCs w:val="20"/>
        </w:rPr>
      </w:pPr>
      <w:r>
        <w:rPr>
          <w:rFonts w:cs="Calibri"/>
          <w:sz w:val="16"/>
          <w:szCs w:val="20"/>
        </w:rPr>
        <w:t xml:space="preserve">34)  Buhari appoints new CMD for troubled Calabar teaching hospital . accessed </w:t>
      </w:r>
      <w:proofErr w:type="gramStart"/>
      <w:r>
        <w:rPr>
          <w:rFonts w:cs="Calibri"/>
          <w:sz w:val="16"/>
          <w:szCs w:val="20"/>
        </w:rPr>
        <w:t>and  retrieved</w:t>
      </w:r>
      <w:proofErr w:type="gramEnd"/>
      <w:r>
        <w:rPr>
          <w:rFonts w:cs="Calibri"/>
          <w:sz w:val="16"/>
          <w:szCs w:val="20"/>
        </w:rPr>
        <w:t xml:space="preserve"> 10 December,  2019 and available at: </w:t>
      </w:r>
      <w:hyperlink r:id="rId44" w:history="1">
        <w:r w:rsidR="00C640BF">
          <w:rPr>
            <w:rStyle w:val="Hyperlink"/>
            <w:rFonts w:cs="Calibri"/>
            <w:sz w:val="16"/>
            <w:szCs w:val="20"/>
          </w:rPr>
          <w:t>https://www.premiumtimesng.com</w:t>
        </w:r>
      </w:hyperlink>
      <w:r>
        <w:rPr>
          <w:rFonts w:cs="Calibri"/>
          <w:sz w:val="16"/>
          <w:szCs w:val="20"/>
        </w:rPr>
        <w:t xml:space="preserve"> </w:t>
      </w:r>
    </w:p>
    <w:p w14:paraId="625BC093" w14:textId="77777777" w:rsidR="00C640BF" w:rsidRDefault="00000000">
      <w:pPr>
        <w:spacing w:after="0" w:line="360" w:lineRule="auto"/>
        <w:rPr>
          <w:rFonts w:cs="Calibri"/>
          <w:sz w:val="16"/>
          <w:szCs w:val="20"/>
        </w:rPr>
      </w:pPr>
      <w:r>
        <w:rPr>
          <w:rFonts w:cs="Calibri"/>
          <w:sz w:val="16"/>
          <w:szCs w:val="20"/>
        </w:rPr>
        <w:t xml:space="preserve">35) Britannica T, Editors of </w:t>
      </w:r>
      <w:proofErr w:type="spellStart"/>
      <w:r>
        <w:rPr>
          <w:rFonts w:cs="Calibri"/>
          <w:sz w:val="16"/>
          <w:szCs w:val="20"/>
        </w:rPr>
        <w:t>Encyclopaedia</w:t>
      </w:r>
      <w:proofErr w:type="spellEnd"/>
      <w:r>
        <w:rPr>
          <w:rFonts w:cs="Calibri"/>
          <w:sz w:val="16"/>
          <w:szCs w:val="20"/>
        </w:rPr>
        <w:t>. "Calabar." Encyclopedia Britannica;      2023.Available:https://www.britannica.com/place/Calabar</w:t>
      </w:r>
    </w:p>
    <w:p w14:paraId="74F7ADD4" w14:textId="77777777" w:rsidR="00C640BF" w:rsidRDefault="00000000">
      <w:pPr>
        <w:spacing w:after="0" w:line="360" w:lineRule="auto"/>
        <w:rPr>
          <w:rFonts w:cs="Calibri"/>
          <w:sz w:val="16"/>
          <w:szCs w:val="20"/>
        </w:rPr>
      </w:pPr>
      <w:r>
        <w:rPr>
          <w:rFonts w:cs="Calibri"/>
          <w:sz w:val="16"/>
          <w:szCs w:val="20"/>
        </w:rPr>
        <w:t>36) National Population Commission (NPC) [Nigeria] and ICF Macro. Nigeria demographic and health survey 2008. Abuja, Nigeria: National Population Commission and ICF Macro; 2009.</w:t>
      </w:r>
    </w:p>
    <w:p w14:paraId="5CD48378" w14:textId="77777777" w:rsidR="00C640BF" w:rsidRDefault="00000000">
      <w:pPr>
        <w:spacing w:after="0" w:line="360" w:lineRule="auto"/>
        <w:rPr>
          <w:rFonts w:cs="Calibri"/>
          <w:sz w:val="16"/>
          <w:szCs w:val="20"/>
        </w:rPr>
      </w:pPr>
      <w:r>
        <w:rPr>
          <w:rFonts w:ascii="Arial" w:hAnsi="Arial" w:cs="Arial"/>
          <w:sz w:val="14"/>
          <w:szCs w:val="20"/>
        </w:rPr>
        <w:t xml:space="preserve">37) </w:t>
      </w:r>
      <w:proofErr w:type="spellStart"/>
      <w:r>
        <w:rPr>
          <w:rFonts w:ascii="Arial" w:hAnsi="Arial" w:cs="Arial"/>
          <w:sz w:val="14"/>
          <w:szCs w:val="20"/>
        </w:rPr>
        <w:t>Ibor</w:t>
      </w:r>
      <w:proofErr w:type="spellEnd"/>
      <w:r>
        <w:rPr>
          <w:rFonts w:ascii="Arial" w:hAnsi="Arial" w:cs="Arial"/>
          <w:sz w:val="14"/>
          <w:szCs w:val="20"/>
        </w:rPr>
        <w:t xml:space="preserve"> U, </w:t>
      </w:r>
      <w:proofErr w:type="spellStart"/>
      <w:r>
        <w:rPr>
          <w:rFonts w:ascii="Arial" w:hAnsi="Arial" w:cs="Arial"/>
          <w:sz w:val="14"/>
          <w:szCs w:val="20"/>
        </w:rPr>
        <w:t>Atomode</w:t>
      </w:r>
      <w:proofErr w:type="spellEnd"/>
      <w:r>
        <w:rPr>
          <w:rFonts w:ascii="Arial" w:hAnsi="Arial" w:cs="Arial"/>
          <w:sz w:val="14"/>
          <w:szCs w:val="20"/>
        </w:rPr>
        <w:t xml:space="preserve"> T. Health service characteristics and utilization in Calabar metropolis, Cross River State, Nigeria. Academic Journal of Interdisciplinary Studies. 2014;3:265. DOI: 10.5901/ajis.2014.v3n1p265</w:t>
      </w:r>
    </w:p>
    <w:p w14:paraId="5FC46A55" w14:textId="77777777" w:rsidR="00C640BF" w:rsidRDefault="00000000">
      <w:pPr>
        <w:spacing w:after="0" w:line="360" w:lineRule="auto"/>
        <w:rPr>
          <w:rFonts w:ascii="Arial" w:hAnsi="Arial" w:cs="Arial"/>
          <w:sz w:val="14"/>
          <w:szCs w:val="20"/>
        </w:rPr>
      </w:pPr>
      <w:r>
        <w:rPr>
          <w:rFonts w:ascii="Arial" w:hAnsi="Arial" w:cs="Arial"/>
          <w:sz w:val="14"/>
          <w:szCs w:val="20"/>
        </w:rPr>
        <w:t>38) Cochran WG. Sampling techniques. 3rd ed. New York: Wiley and Sons Inc; 1977. ISBN 0-471-02939-1.</w:t>
      </w:r>
    </w:p>
    <w:p w14:paraId="0D30339F" w14:textId="77777777" w:rsidR="00C640BF" w:rsidRDefault="00000000">
      <w:pPr>
        <w:spacing w:after="0" w:line="360" w:lineRule="auto"/>
        <w:rPr>
          <w:rFonts w:ascii="Arial" w:hAnsi="Arial" w:cs="Arial"/>
          <w:sz w:val="14"/>
          <w:szCs w:val="20"/>
        </w:rPr>
      </w:pPr>
      <w:r>
        <w:rPr>
          <w:rFonts w:ascii="Arial" w:hAnsi="Arial" w:cs="Arial"/>
          <w:sz w:val="14"/>
          <w:szCs w:val="20"/>
        </w:rPr>
        <w:t>39.</w:t>
      </w:r>
      <w:r>
        <w:rPr>
          <w:rFonts w:ascii="Arial" w:hAnsi="Arial" w:cs="Arial"/>
          <w:sz w:val="14"/>
          <w:szCs w:val="20"/>
        </w:rPr>
        <w:tab/>
        <w:t>Charan J, Biswas T. How to calculate sample size for different study designs in medical research. Indian Journal of Psychological Medicine. 2013;35(2):121–126.</w:t>
      </w:r>
    </w:p>
    <w:p w14:paraId="0D390E17" w14:textId="77777777" w:rsidR="00C640BF" w:rsidRDefault="00000000">
      <w:pPr>
        <w:spacing w:after="0" w:line="360" w:lineRule="auto"/>
        <w:rPr>
          <w:rFonts w:ascii="Arial" w:hAnsi="Arial" w:cs="Arial"/>
          <w:sz w:val="14"/>
          <w:szCs w:val="20"/>
        </w:rPr>
      </w:pPr>
      <w:r>
        <w:rPr>
          <w:rFonts w:ascii="Arial" w:hAnsi="Arial" w:cs="Arial"/>
          <w:sz w:val="14"/>
          <w:szCs w:val="20"/>
        </w:rPr>
        <w:t>40.</w:t>
      </w:r>
      <w:r>
        <w:rPr>
          <w:rFonts w:ascii="Arial" w:hAnsi="Arial" w:cs="Arial"/>
          <w:sz w:val="14"/>
          <w:szCs w:val="20"/>
        </w:rPr>
        <w:tab/>
        <w:t>Glen S. Sample size in statistics              (how to find it): Excel, Cochran’s         formula, general tips. StatisticsHowTo.com: Elementary Statistics for the Rest of Us!Available:https://www.statisticshowto.com/probability-and-statistics/find-sample-size2022</w:t>
      </w:r>
    </w:p>
    <w:p w14:paraId="60DE4C17" w14:textId="77777777" w:rsidR="00C640BF" w:rsidRDefault="00000000">
      <w:pPr>
        <w:spacing w:after="0" w:line="360" w:lineRule="auto"/>
        <w:rPr>
          <w:rFonts w:ascii="Arial" w:hAnsi="Arial" w:cs="Arial"/>
          <w:sz w:val="14"/>
          <w:szCs w:val="20"/>
        </w:rPr>
      </w:pPr>
      <w:r>
        <w:rPr>
          <w:rFonts w:ascii="Arial" w:hAnsi="Arial" w:cs="Arial"/>
          <w:sz w:val="14"/>
          <w:szCs w:val="20"/>
        </w:rPr>
        <w:t>41.</w:t>
      </w:r>
      <w:r>
        <w:rPr>
          <w:rFonts w:ascii="Arial" w:hAnsi="Arial" w:cs="Arial"/>
          <w:sz w:val="14"/>
          <w:szCs w:val="20"/>
        </w:rPr>
        <w:tab/>
        <w:t>Rao JNK. Sample size calculation, by Rao soft, Inc; 2004.Available:http://www.raosoft.com/samplesize.html</w:t>
      </w:r>
    </w:p>
    <w:p w14:paraId="4B19EFFD" w14:textId="77777777" w:rsidR="00C640BF" w:rsidRDefault="00000000">
      <w:pPr>
        <w:spacing w:after="0" w:line="360" w:lineRule="auto"/>
        <w:rPr>
          <w:rFonts w:ascii="Arial" w:hAnsi="Arial" w:cs="Arial"/>
          <w:sz w:val="14"/>
          <w:szCs w:val="20"/>
        </w:rPr>
      </w:pPr>
      <w:r>
        <w:rPr>
          <w:rFonts w:ascii="Arial" w:hAnsi="Arial" w:cs="Arial"/>
          <w:sz w:val="14"/>
          <w:szCs w:val="20"/>
        </w:rPr>
        <w:t>42.</w:t>
      </w:r>
      <w:r>
        <w:rPr>
          <w:rFonts w:ascii="Arial" w:hAnsi="Arial" w:cs="Arial"/>
          <w:sz w:val="14"/>
          <w:szCs w:val="20"/>
        </w:rPr>
        <w:tab/>
        <w:t xml:space="preserve">Ary D, Jacobs LC, </w:t>
      </w:r>
      <w:proofErr w:type="spellStart"/>
      <w:r>
        <w:rPr>
          <w:rFonts w:ascii="Arial" w:hAnsi="Arial" w:cs="Arial"/>
          <w:sz w:val="14"/>
          <w:szCs w:val="20"/>
        </w:rPr>
        <w:t>Razavieh</w:t>
      </w:r>
      <w:proofErr w:type="spellEnd"/>
      <w:r>
        <w:rPr>
          <w:rFonts w:ascii="Arial" w:hAnsi="Arial" w:cs="Arial"/>
          <w:sz w:val="14"/>
          <w:szCs w:val="20"/>
        </w:rPr>
        <w:t xml:space="preserve"> A. Introduction to research in education. Fort Worth, TX: Harcourt Brace College Publishers; 1996.</w:t>
      </w:r>
    </w:p>
    <w:p w14:paraId="3D188A63" w14:textId="77777777" w:rsidR="00C640BF" w:rsidRDefault="00000000">
      <w:pPr>
        <w:spacing w:after="0" w:line="360" w:lineRule="auto"/>
        <w:rPr>
          <w:rFonts w:ascii="Arial" w:hAnsi="Arial" w:cs="Arial"/>
          <w:sz w:val="14"/>
          <w:szCs w:val="20"/>
        </w:rPr>
      </w:pPr>
      <w:r>
        <w:rPr>
          <w:rFonts w:ascii="Arial" w:hAnsi="Arial" w:cs="Arial"/>
          <w:sz w:val="14"/>
          <w:szCs w:val="20"/>
        </w:rPr>
        <w:t>Available:https://www.scirp.org/reference/ReferencesPapers.aspx?ReferenceID=2001550</w:t>
      </w:r>
    </w:p>
    <w:p w14:paraId="7181CAC2" w14:textId="77777777" w:rsidR="00C640BF" w:rsidRDefault="00000000">
      <w:pPr>
        <w:spacing w:after="0" w:line="360" w:lineRule="auto"/>
        <w:rPr>
          <w:rFonts w:ascii="Arial" w:hAnsi="Arial" w:cs="Arial"/>
          <w:sz w:val="14"/>
          <w:szCs w:val="20"/>
        </w:rPr>
      </w:pPr>
      <w:r>
        <w:rPr>
          <w:rFonts w:ascii="Arial" w:hAnsi="Arial" w:cs="Arial"/>
          <w:sz w:val="14"/>
          <w:szCs w:val="20"/>
        </w:rPr>
        <w:t>43.</w:t>
      </w:r>
      <w:r>
        <w:rPr>
          <w:rFonts w:ascii="Arial" w:hAnsi="Arial" w:cs="Arial"/>
          <w:sz w:val="14"/>
          <w:szCs w:val="20"/>
        </w:rPr>
        <w:tab/>
        <w:t>Bartlett JE II, Kortrijk JW, Higgins C. Organizational research determining appropriate sample size for survey research. Information Technology, Learning, and Performance Journal. 2001; 19(1):43–50.Available:http://citeseerx.ist.psu.edu/viewdoc/download?doi=10.1.1.486.8295&amp;rep=rep1&amp;type=pdf</w:t>
      </w:r>
    </w:p>
    <w:p w14:paraId="1B4C69AB" w14:textId="77777777" w:rsidR="00C640BF" w:rsidRDefault="00000000">
      <w:pPr>
        <w:spacing w:after="0" w:line="360" w:lineRule="auto"/>
        <w:rPr>
          <w:rFonts w:ascii="Arial" w:hAnsi="Arial" w:cs="Arial"/>
          <w:sz w:val="14"/>
          <w:szCs w:val="20"/>
        </w:rPr>
      </w:pPr>
      <w:r>
        <w:rPr>
          <w:rFonts w:ascii="Arial" w:hAnsi="Arial" w:cs="Arial"/>
          <w:sz w:val="14"/>
          <w:szCs w:val="20"/>
        </w:rPr>
        <w:t>44.</w:t>
      </w:r>
      <w:r>
        <w:rPr>
          <w:rFonts w:ascii="Arial" w:hAnsi="Arial" w:cs="Arial"/>
          <w:sz w:val="14"/>
          <w:szCs w:val="20"/>
        </w:rPr>
        <w:tab/>
        <w:t>Wayne IN. Non-respondent, sample size and the allocation of resources. The Public Opinion Quarterly. 1975;39(4):557–562.</w:t>
      </w:r>
    </w:p>
    <w:p w14:paraId="5D7E7BE4" w14:textId="77777777" w:rsidR="00C640BF" w:rsidRDefault="00000000">
      <w:pPr>
        <w:spacing w:after="0" w:line="360" w:lineRule="auto"/>
        <w:rPr>
          <w:rFonts w:ascii="Arial" w:hAnsi="Arial" w:cs="Arial"/>
          <w:sz w:val="14"/>
          <w:szCs w:val="20"/>
        </w:rPr>
      </w:pPr>
      <w:proofErr w:type="spellStart"/>
      <w:r>
        <w:rPr>
          <w:rFonts w:ascii="Arial" w:hAnsi="Arial" w:cs="Arial"/>
          <w:sz w:val="14"/>
          <w:szCs w:val="20"/>
        </w:rPr>
        <w:t>Available:http</w:t>
      </w:r>
      <w:proofErr w:type="spellEnd"/>
      <w:r>
        <w:rPr>
          <w:rFonts w:ascii="Arial" w:hAnsi="Arial" w:cs="Arial"/>
          <w:sz w:val="14"/>
          <w:szCs w:val="20"/>
        </w:rPr>
        <w:t>://www.jstor.org/stable/2748509</w:t>
      </w:r>
    </w:p>
    <w:p w14:paraId="5863D190" w14:textId="77777777" w:rsidR="00C640BF" w:rsidRDefault="00000000">
      <w:pPr>
        <w:spacing w:after="0" w:line="360" w:lineRule="auto"/>
        <w:rPr>
          <w:rFonts w:ascii="Arial" w:hAnsi="Arial" w:cs="Arial"/>
          <w:sz w:val="14"/>
          <w:szCs w:val="20"/>
        </w:rPr>
      </w:pPr>
      <w:r>
        <w:rPr>
          <w:rFonts w:ascii="Arial" w:hAnsi="Arial" w:cs="Arial"/>
          <w:sz w:val="14"/>
          <w:szCs w:val="20"/>
        </w:rPr>
        <w:t>45.</w:t>
      </w:r>
      <w:r>
        <w:rPr>
          <w:rFonts w:ascii="Arial" w:hAnsi="Arial" w:cs="Arial"/>
          <w:sz w:val="14"/>
          <w:szCs w:val="20"/>
        </w:rPr>
        <w:tab/>
        <w:t xml:space="preserve">Dacie JV, Lewis SM. Practical </w:t>
      </w:r>
      <w:proofErr w:type="spellStart"/>
      <w:r>
        <w:rPr>
          <w:rFonts w:ascii="Arial" w:hAnsi="Arial" w:cs="Arial"/>
          <w:sz w:val="14"/>
          <w:szCs w:val="20"/>
        </w:rPr>
        <w:t>haematology</w:t>
      </w:r>
      <w:proofErr w:type="spellEnd"/>
      <w:r>
        <w:rPr>
          <w:rFonts w:ascii="Arial" w:hAnsi="Arial" w:cs="Arial"/>
          <w:sz w:val="14"/>
          <w:szCs w:val="20"/>
        </w:rPr>
        <w:t>. 7th ed. Edinburgh, London, Melbourne, New York: Churchill Livingstone; 2006.</w:t>
      </w:r>
    </w:p>
    <w:p w14:paraId="086B6532" w14:textId="77777777" w:rsidR="00C640BF" w:rsidRDefault="00000000">
      <w:pPr>
        <w:spacing w:after="0" w:line="360" w:lineRule="auto"/>
        <w:rPr>
          <w:rFonts w:ascii="Arial" w:hAnsi="Arial" w:cs="Arial"/>
          <w:sz w:val="14"/>
          <w:szCs w:val="20"/>
        </w:rPr>
      </w:pPr>
      <w:r>
        <w:rPr>
          <w:rFonts w:ascii="Arial" w:hAnsi="Arial" w:cs="Arial"/>
          <w:sz w:val="14"/>
          <w:szCs w:val="20"/>
        </w:rPr>
        <w:t xml:space="preserve">46) Van der Heyden M, et al. Evaluation of a new point-of-care hemoglobin meter. Clin Chem Lab Med. 2006;44(11):1341-1345. </w:t>
      </w:r>
    </w:p>
    <w:p w14:paraId="1B15E783" w14:textId="77777777" w:rsidR="00C640BF" w:rsidRDefault="00000000">
      <w:pPr>
        <w:spacing w:after="0" w:line="360" w:lineRule="auto"/>
        <w:rPr>
          <w:rFonts w:ascii="Arial" w:hAnsi="Arial" w:cs="Arial"/>
          <w:sz w:val="14"/>
          <w:szCs w:val="20"/>
        </w:rPr>
      </w:pPr>
      <w:r>
        <w:rPr>
          <w:rFonts w:ascii="Arial" w:hAnsi="Arial" w:cs="Arial"/>
          <w:sz w:val="14"/>
          <w:szCs w:val="20"/>
        </w:rPr>
        <w:t xml:space="preserve">47) International Committee for Standardization in </w:t>
      </w:r>
      <w:proofErr w:type="spellStart"/>
      <w:r>
        <w:rPr>
          <w:rFonts w:ascii="Arial" w:hAnsi="Arial" w:cs="Arial"/>
          <w:sz w:val="14"/>
          <w:szCs w:val="20"/>
        </w:rPr>
        <w:t>Haematology</w:t>
      </w:r>
      <w:proofErr w:type="spellEnd"/>
      <w:r>
        <w:rPr>
          <w:rFonts w:ascii="Arial" w:hAnsi="Arial" w:cs="Arial"/>
          <w:sz w:val="14"/>
          <w:szCs w:val="20"/>
        </w:rPr>
        <w:t xml:space="preserve">. Recommendations for reference method for </w:t>
      </w:r>
      <w:proofErr w:type="spellStart"/>
      <w:r>
        <w:rPr>
          <w:rFonts w:ascii="Arial" w:hAnsi="Arial" w:cs="Arial"/>
          <w:sz w:val="14"/>
          <w:szCs w:val="20"/>
        </w:rPr>
        <w:t>haemoglobinometry</w:t>
      </w:r>
      <w:proofErr w:type="spellEnd"/>
      <w:r>
        <w:rPr>
          <w:rFonts w:ascii="Arial" w:hAnsi="Arial" w:cs="Arial"/>
          <w:sz w:val="14"/>
          <w:szCs w:val="20"/>
        </w:rPr>
        <w:t xml:space="preserve"> in human blood. Br J </w:t>
      </w:r>
      <w:proofErr w:type="spellStart"/>
      <w:r>
        <w:rPr>
          <w:rFonts w:ascii="Arial" w:hAnsi="Arial" w:cs="Arial"/>
          <w:sz w:val="14"/>
          <w:szCs w:val="20"/>
        </w:rPr>
        <w:t>Haematol</w:t>
      </w:r>
      <w:proofErr w:type="spellEnd"/>
      <w:r>
        <w:rPr>
          <w:rFonts w:ascii="Arial" w:hAnsi="Arial" w:cs="Arial"/>
          <w:sz w:val="14"/>
          <w:szCs w:val="20"/>
        </w:rPr>
        <w:t>. 1998;102(3):589-591.</w:t>
      </w:r>
    </w:p>
    <w:p w14:paraId="325F56D8" w14:textId="77777777" w:rsidR="00C640BF" w:rsidRDefault="00000000">
      <w:pPr>
        <w:spacing w:after="0" w:line="360" w:lineRule="auto"/>
        <w:rPr>
          <w:rFonts w:ascii="Arial" w:hAnsi="Arial" w:cs="Arial"/>
          <w:sz w:val="14"/>
          <w:szCs w:val="20"/>
        </w:rPr>
      </w:pPr>
      <w:r>
        <w:rPr>
          <w:rFonts w:ascii="Arial" w:hAnsi="Arial" w:cs="Arial"/>
          <w:sz w:val="14"/>
          <w:szCs w:val="20"/>
        </w:rPr>
        <w:t xml:space="preserve">48)  International Committee for Standardization in </w:t>
      </w:r>
      <w:proofErr w:type="spellStart"/>
      <w:r>
        <w:rPr>
          <w:rFonts w:ascii="Arial" w:hAnsi="Arial" w:cs="Arial"/>
          <w:sz w:val="14"/>
          <w:szCs w:val="20"/>
        </w:rPr>
        <w:t>Haematology</w:t>
      </w:r>
      <w:proofErr w:type="spellEnd"/>
      <w:r>
        <w:rPr>
          <w:rFonts w:ascii="Arial" w:hAnsi="Arial" w:cs="Arial"/>
          <w:sz w:val="14"/>
          <w:szCs w:val="20"/>
        </w:rPr>
        <w:t xml:space="preserve">. Recommendations for reference method for </w:t>
      </w:r>
      <w:proofErr w:type="spellStart"/>
      <w:r>
        <w:rPr>
          <w:rFonts w:ascii="Arial" w:hAnsi="Arial" w:cs="Arial"/>
          <w:sz w:val="14"/>
          <w:szCs w:val="20"/>
        </w:rPr>
        <w:t>haemoglobinometry</w:t>
      </w:r>
      <w:proofErr w:type="spellEnd"/>
      <w:r>
        <w:rPr>
          <w:rFonts w:ascii="Arial" w:hAnsi="Arial" w:cs="Arial"/>
          <w:sz w:val="14"/>
          <w:szCs w:val="20"/>
        </w:rPr>
        <w:t xml:space="preserve"> in human blood. Br J </w:t>
      </w:r>
      <w:proofErr w:type="spellStart"/>
      <w:r>
        <w:rPr>
          <w:rFonts w:ascii="Arial" w:hAnsi="Arial" w:cs="Arial"/>
          <w:sz w:val="14"/>
          <w:szCs w:val="20"/>
        </w:rPr>
        <w:t>Haematol</w:t>
      </w:r>
      <w:proofErr w:type="spellEnd"/>
      <w:r>
        <w:rPr>
          <w:rFonts w:ascii="Arial" w:hAnsi="Arial" w:cs="Arial"/>
          <w:sz w:val="14"/>
          <w:szCs w:val="20"/>
        </w:rPr>
        <w:t>. 1998;102(3):589-591.</w:t>
      </w:r>
    </w:p>
    <w:p w14:paraId="0E937689" w14:textId="77777777" w:rsidR="00C640BF" w:rsidRDefault="00000000">
      <w:pPr>
        <w:spacing w:after="0" w:line="360" w:lineRule="auto"/>
        <w:rPr>
          <w:rFonts w:ascii="Arial" w:hAnsi="Arial" w:cs="Arial"/>
          <w:sz w:val="14"/>
          <w:szCs w:val="20"/>
        </w:rPr>
      </w:pPr>
      <w:r>
        <w:rPr>
          <w:rFonts w:ascii="Arial" w:hAnsi="Arial" w:cs="Arial"/>
          <w:sz w:val="14"/>
          <w:szCs w:val="20"/>
        </w:rPr>
        <w:t xml:space="preserve">49)Sahli H. Eine </w:t>
      </w:r>
      <w:proofErr w:type="spellStart"/>
      <w:r>
        <w:rPr>
          <w:rFonts w:ascii="Arial" w:hAnsi="Arial" w:cs="Arial"/>
          <w:sz w:val="14"/>
          <w:szCs w:val="20"/>
        </w:rPr>
        <w:t>neue</w:t>
      </w:r>
      <w:proofErr w:type="spellEnd"/>
      <w:r>
        <w:rPr>
          <w:rFonts w:ascii="Arial" w:hAnsi="Arial" w:cs="Arial"/>
          <w:sz w:val="14"/>
          <w:szCs w:val="20"/>
        </w:rPr>
        <w:t xml:space="preserve"> Methode </w:t>
      </w:r>
      <w:proofErr w:type="spellStart"/>
      <w:r>
        <w:rPr>
          <w:rFonts w:ascii="Arial" w:hAnsi="Arial" w:cs="Arial"/>
          <w:sz w:val="14"/>
          <w:szCs w:val="20"/>
        </w:rPr>
        <w:t>zur</w:t>
      </w:r>
      <w:proofErr w:type="spellEnd"/>
      <w:r>
        <w:rPr>
          <w:rFonts w:ascii="Arial" w:hAnsi="Arial" w:cs="Arial"/>
          <w:sz w:val="14"/>
          <w:szCs w:val="20"/>
        </w:rPr>
        <w:t xml:space="preserve"> </w:t>
      </w:r>
      <w:proofErr w:type="spellStart"/>
      <w:r>
        <w:rPr>
          <w:rFonts w:ascii="Arial" w:hAnsi="Arial" w:cs="Arial"/>
          <w:sz w:val="14"/>
          <w:szCs w:val="20"/>
        </w:rPr>
        <w:t>Bestimmung</w:t>
      </w:r>
      <w:proofErr w:type="spellEnd"/>
      <w:r>
        <w:rPr>
          <w:rFonts w:ascii="Arial" w:hAnsi="Arial" w:cs="Arial"/>
          <w:sz w:val="14"/>
          <w:szCs w:val="20"/>
        </w:rPr>
        <w:t xml:space="preserve"> des </w:t>
      </w:r>
      <w:proofErr w:type="spellStart"/>
      <w:r>
        <w:rPr>
          <w:rFonts w:ascii="Arial" w:hAnsi="Arial" w:cs="Arial"/>
          <w:sz w:val="14"/>
          <w:szCs w:val="20"/>
        </w:rPr>
        <w:t>Hamoglobingehaltes</w:t>
      </w:r>
      <w:proofErr w:type="spellEnd"/>
      <w:r>
        <w:rPr>
          <w:rFonts w:ascii="Arial" w:hAnsi="Arial" w:cs="Arial"/>
          <w:sz w:val="14"/>
          <w:szCs w:val="20"/>
        </w:rPr>
        <w:t xml:space="preserve"> des </w:t>
      </w:r>
      <w:proofErr w:type="spellStart"/>
      <w:r>
        <w:rPr>
          <w:rFonts w:ascii="Arial" w:hAnsi="Arial" w:cs="Arial"/>
          <w:sz w:val="14"/>
          <w:szCs w:val="20"/>
        </w:rPr>
        <w:t>Blutes</w:t>
      </w:r>
      <w:proofErr w:type="spellEnd"/>
      <w:r>
        <w:rPr>
          <w:rFonts w:ascii="Arial" w:hAnsi="Arial" w:cs="Arial"/>
          <w:sz w:val="14"/>
          <w:szCs w:val="20"/>
        </w:rPr>
        <w:t xml:space="preserve">. </w:t>
      </w:r>
      <w:proofErr w:type="spellStart"/>
      <w:r>
        <w:rPr>
          <w:rFonts w:ascii="Arial" w:hAnsi="Arial" w:cs="Arial"/>
          <w:sz w:val="14"/>
          <w:szCs w:val="20"/>
        </w:rPr>
        <w:t>Deutsches</w:t>
      </w:r>
      <w:proofErr w:type="spellEnd"/>
      <w:r>
        <w:rPr>
          <w:rFonts w:ascii="Arial" w:hAnsi="Arial" w:cs="Arial"/>
          <w:sz w:val="14"/>
          <w:szCs w:val="20"/>
        </w:rPr>
        <w:t xml:space="preserve"> </w:t>
      </w:r>
      <w:proofErr w:type="spellStart"/>
      <w:r>
        <w:rPr>
          <w:rFonts w:ascii="Arial" w:hAnsi="Arial" w:cs="Arial"/>
          <w:sz w:val="14"/>
          <w:szCs w:val="20"/>
        </w:rPr>
        <w:t>Archiv</w:t>
      </w:r>
      <w:proofErr w:type="spellEnd"/>
      <w:r>
        <w:rPr>
          <w:rFonts w:ascii="Arial" w:hAnsi="Arial" w:cs="Arial"/>
          <w:sz w:val="14"/>
          <w:szCs w:val="20"/>
        </w:rPr>
        <w:t xml:space="preserve"> für </w:t>
      </w:r>
      <w:proofErr w:type="spellStart"/>
      <w:r>
        <w:rPr>
          <w:rFonts w:ascii="Arial" w:hAnsi="Arial" w:cs="Arial"/>
          <w:sz w:val="14"/>
          <w:szCs w:val="20"/>
        </w:rPr>
        <w:t>klinische</w:t>
      </w:r>
      <w:proofErr w:type="spellEnd"/>
      <w:r>
        <w:rPr>
          <w:rFonts w:ascii="Arial" w:hAnsi="Arial" w:cs="Arial"/>
          <w:sz w:val="14"/>
          <w:szCs w:val="20"/>
        </w:rPr>
        <w:t xml:space="preserve"> </w:t>
      </w:r>
      <w:proofErr w:type="spellStart"/>
      <w:r>
        <w:rPr>
          <w:rFonts w:ascii="Arial" w:hAnsi="Arial" w:cs="Arial"/>
          <w:sz w:val="14"/>
          <w:szCs w:val="20"/>
        </w:rPr>
        <w:t>Medizin</w:t>
      </w:r>
      <w:proofErr w:type="spellEnd"/>
      <w:r>
        <w:rPr>
          <w:rFonts w:ascii="Arial" w:hAnsi="Arial" w:cs="Arial"/>
          <w:sz w:val="14"/>
          <w:szCs w:val="20"/>
        </w:rPr>
        <w:t>. 1898;61:362-371.</w:t>
      </w:r>
    </w:p>
    <w:p w14:paraId="4A3725FC" w14:textId="77777777" w:rsidR="00C640BF" w:rsidRDefault="00000000">
      <w:pPr>
        <w:spacing w:after="0" w:line="360" w:lineRule="auto"/>
        <w:rPr>
          <w:rFonts w:ascii="Arial" w:hAnsi="Arial" w:cs="Arial"/>
          <w:sz w:val="14"/>
          <w:szCs w:val="20"/>
        </w:rPr>
      </w:pPr>
      <w:r>
        <w:rPr>
          <w:rFonts w:ascii="Arial" w:hAnsi="Arial" w:cs="Arial"/>
          <w:sz w:val="14"/>
          <w:szCs w:val="20"/>
        </w:rPr>
        <w:t>50)</w:t>
      </w:r>
      <w:proofErr w:type="spellStart"/>
      <w:r>
        <w:rPr>
          <w:rFonts w:ascii="Arial" w:hAnsi="Arial" w:cs="Arial"/>
          <w:sz w:val="14"/>
          <w:szCs w:val="20"/>
        </w:rPr>
        <w:t>Tallquist</w:t>
      </w:r>
      <w:proofErr w:type="spellEnd"/>
      <w:r>
        <w:rPr>
          <w:rFonts w:ascii="Arial" w:hAnsi="Arial" w:cs="Arial"/>
          <w:sz w:val="14"/>
          <w:szCs w:val="20"/>
        </w:rPr>
        <w:t xml:space="preserve"> TG. A new method for the determination of hemoglobin. Journal of Biological Chemistry. 1922;54:521-531</w:t>
      </w:r>
    </w:p>
    <w:p w14:paraId="40B90193" w14:textId="77777777" w:rsidR="00C640BF" w:rsidRDefault="00000000">
      <w:pPr>
        <w:spacing w:after="0"/>
        <w:jc w:val="both"/>
        <w:rPr>
          <w:rFonts w:ascii="Arial" w:hAnsi="Arial" w:cs="Arial"/>
          <w:sz w:val="14"/>
          <w:szCs w:val="16"/>
        </w:rPr>
      </w:pPr>
      <w:r>
        <w:rPr>
          <w:rFonts w:cs="Calibri"/>
          <w:sz w:val="18"/>
          <w:szCs w:val="16"/>
        </w:rPr>
        <w:t xml:space="preserve">51) </w:t>
      </w:r>
      <w:r>
        <w:rPr>
          <w:rFonts w:ascii="Arial" w:hAnsi="Arial" w:cs="Arial"/>
          <w:sz w:val="14"/>
          <w:szCs w:val="16"/>
        </w:rPr>
        <w:t>American College of Obstetricians and Gynecologists. (2019). ACOG Practice Bulletin No. 233: Anemia in Pregnancy. Obstetrics &amp; Gynecology, 134(3), e56-e64.</w:t>
      </w:r>
    </w:p>
    <w:p w14:paraId="147E33C1" w14:textId="77777777" w:rsidR="00C640BF" w:rsidRDefault="00000000">
      <w:pPr>
        <w:spacing w:after="0" w:line="360" w:lineRule="auto"/>
        <w:rPr>
          <w:rFonts w:ascii="Arial" w:hAnsi="Arial" w:cs="Arial"/>
          <w:sz w:val="14"/>
          <w:szCs w:val="20"/>
        </w:rPr>
      </w:pPr>
      <w:r>
        <w:rPr>
          <w:rFonts w:ascii="Arial" w:hAnsi="Arial" w:cs="Arial"/>
          <w:sz w:val="14"/>
          <w:szCs w:val="20"/>
        </w:rPr>
        <w:t xml:space="preserve">52) Britannica, The Editors of </w:t>
      </w:r>
      <w:proofErr w:type="spellStart"/>
      <w:r>
        <w:rPr>
          <w:rFonts w:ascii="Arial" w:hAnsi="Arial" w:cs="Arial"/>
          <w:sz w:val="14"/>
          <w:szCs w:val="20"/>
        </w:rPr>
        <w:t>Encyclopaedia</w:t>
      </w:r>
      <w:proofErr w:type="spellEnd"/>
      <w:r>
        <w:rPr>
          <w:rFonts w:ascii="Arial" w:hAnsi="Arial" w:cs="Arial"/>
          <w:sz w:val="14"/>
          <w:szCs w:val="20"/>
        </w:rPr>
        <w:t>. Hemoglobin. Encyclopedia Britannica; 2024.</w:t>
      </w:r>
    </w:p>
    <w:p w14:paraId="4894344D" w14:textId="77777777" w:rsidR="00C640BF" w:rsidRDefault="00000000">
      <w:pPr>
        <w:spacing w:after="0" w:line="360" w:lineRule="auto"/>
        <w:rPr>
          <w:rFonts w:ascii="Arial" w:hAnsi="Arial" w:cs="Arial"/>
          <w:sz w:val="14"/>
          <w:szCs w:val="20"/>
        </w:rPr>
      </w:pPr>
      <w:proofErr w:type="spellStart"/>
      <w:r>
        <w:rPr>
          <w:rFonts w:ascii="Arial" w:hAnsi="Arial" w:cs="Arial"/>
          <w:sz w:val="14"/>
          <w:szCs w:val="20"/>
        </w:rPr>
        <w:t>Available:https</w:t>
      </w:r>
      <w:proofErr w:type="spellEnd"/>
      <w:r>
        <w:rPr>
          <w:rFonts w:ascii="Arial" w:hAnsi="Arial" w:cs="Arial"/>
          <w:sz w:val="14"/>
          <w:szCs w:val="20"/>
        </w:rPr>
        <w:t>://www.britannica.com/science/hemoglobin</w:t>
      </w:r>
    </w:p>
    <w:p w14:paraId="78A748DC" w14:textId="77777777" w:rsidR="00C640BF" w:rsidRDefault="00000000">
      <w:pPr>
        <w:spacing w:after="0" w:line="360" w:lineRule="auto"/>
        <w:rPr>
          <w:rFonts w:ascii="Arial" w:hAnsi="Arial" w:cs="Arial"/>
          <w:sz w:val="14"/>
          <w:szCs w:val="20"/>
        </w:rPr>
      </w:pPr>
      <w:r>
        <w:rPr>
          <w:rFonts w:ascii="Arial" w:hAnsi="Arial" w:cs="Arial"/>
          <w:sz w:val="14"/>
          <w:szCs w:val="20"/>
        </w:rPr>
        <w:t xml:space="preserve">53)Chaudhary R, Dubey A, </w:t>
      </w:r>
      <w:proofErr w:type="spellStart"/>
      <w:r>
        <w:rPr>
          <w:rFonts w:ascii="Arial" w:hAnsi="Arial" w:cs="Arial"/>
          <w:sz w:val="14"/>
          <w:szCs w:val="20"/>
        </w:rPr>
        <w:t>Sonker</w:t>
      </w:r>
      <w:proofErr w:type="spellEnd"/>
      <w:r>
        <w:rPr>
          <w:rFonts w:ascii="Arial" w:hAnsi="Arial" w:cs="Arial"/>
          <w:sz w:val="14"/>
          <w:szCs w:val="20"/>
        </w:rPr>
        <w:t xml:space="preserve"> A. Techniques used for the screening of hemoglobin levels in blood donors: Current insights and future directions. </w:t>
      </w:r>
      <w:r>
        <w:rPr>
          <w:rFonts w:ascii="Arial" w:hAnsi="Arial" w:cs="Arial"/>
          <w:bCs/>
          <w:iCs/>
          <w:sz w:val="14"/>
          <w:szCs w:val="20"/>
        </w:rPr>
        <w:t>Journal of Blood Medicine</w:t>
      </w:r>
      <w:r>
        <w:rPr>
          <w:rFonts w:ascii="Arial" w:hAnsi="Arial" w:cs="Arial"/>
          <w:sz w:val="14"/>
          <w:szCs w:val="20"/>
        </w:rPr>
        <w:t>. 2017;8:75–88.Available:https://doi.org/10.2147/JBM.S103788</w:t>
      </w:r>
    </w:p>
    <w:p w14:paraId="44A3066C" w14:textId="77777777" w:rsidR="00C640BF" w:rsidRDefault="00000000">
      <w:pPr>
        <w:spacing w:after="0" w:line="360" w:lineRule="auto"/>
        <w:rPr>
          <w:rFonts w:ascii="Arial" w:hAnsi="Arial" w:cs="Arial"/>
          <w:sz w:val="14"/>
          <w:szCs w:val="20"/>
        </w:rPr>
      </w:pPr>
      <w:r>
        <w:rPr>
          <w:rFonts w:ascii="Arial" w:hAnsi="Arial" w:cs="Arial"/>
          <w:sz w:val="14"/>
          <w:szCs w:val="20"/>
        </w:rPr>
        <w:t xml:space="preserve">54) British Committee for Standards in </w:t>
      </w:r>
      <w:proofErr w:type="spellStart"/>
      <w:r>
        <w:rPr>
          <w:rFonts w:ascii="Arial" w:hAnsi="Arial" w:cs="Arial"/>
          <w:sz w:val="14"/>
          <w:szCs w:val="20"/>
        </w:rPr>
        <w:t>Haematology</w:t>
      </w:r>
      <w:proofErr w:type="spellEnd"/>
      <w:r>
        <w:rPr>
          <w:rFonts w:ascii="Arial" w:hAnsi="Arial" w:cs="Arial"/>
          <w:sz w:val="14"/>
          <w:szCs w:val="20"/>
        </w:rPr>
        <w:t xml:space="preserve"> (BCSH). Guidelines on hospital blood bank documentation and procedures. </w:t>
      </w:r>
      <w:r>
        <w:rPr>
          <w:rFonts w:ascii="Arial" w:hAnsi="Arial" w:cs="Arial"/>
          <w:bCs/>
          <w:iCs/>
          <w:sz w:val="14"/>
          <w:szCs w:val="20"/>
        </w:rPr>
        <w:t xml:space="preserve">Journal of Clinical and Laboratory </w:t>
      </w:r>
      <w:proofErr w:type="spellStart"/>
      <w:r>
        <w:rPr>
          <w:rFonts w:ascii="Arial" w:hAnsi="Arial" w:cs="Arial"/>
          <w:bCs/>
          <w:iCs/>
          <w:sz w:val="14"/>
          <w:szCs w:val="20"/>
        </w:rPr>
        <w:t>Haematology</w:t>
      </w:r>
      <w:proofErr w:type="spellEnd"/>
      <w:r>
        <w:rPr>
          <w:rFonts w:ascii="Arial" w:hAnsi="Arial" w:cs="Arial"/>
          <w:sz w:val="14"/>
          <w:szCs w:val="20"/>
        </w:rPr>
        <w:t>. 1990;12:209–20</w:t>
      </w:r>
    </w:p>
    <w:p w14:paraId="3D3A49A8" w14:textId="77777777" w:rsidR="00C640BF" w:rsidRDefault="00000000">
      <w:pPr>
        <w:spacing w:after="0" w:line="360" w:lineRule="auto"/>
        <w:rPr>
          <w:rFonts w:ascii="Arial" w:hAnsi="Arial" w:cs="Arial"/>
          <w:sz w:val="14"/>
          <w:szCs w:val="20"/>
        </w:rPr>
      </w:pPr>
      <w:r>
        <w:rPr>
          <w:rFonts w:ascii="Arial" w:hAnsi="Arial" w:cs="Arial"/>
          <w:sz w:val="14"/>
          <w:szCs w:val="20"/>
        </w:rPr>
        <w:t xml:space="preserve">55)  McCullough R, et al. Motivations for participating in pregnancy research: a qualitative study. BMC Pregnancy Childbirth. 2018;18(1):1-9. </w:t>
      </w:r>
      <w:proofErr w:type="spellStart"/>
      <w:r>
        <w:rPr>
          <w:rFonts w:ascii="Arial" w:hAnsi="Arial" w:cs="Arial"/>
          <w:sz w:val="14"/>
          <w:szCs w:val="20"/>
        </w:rPr>
        <w:t>doi</w:t>
      </w:r>
      <w:proofErr w:type="spellEnd"/>
      <w:r>
        <w:rPr>
          <w:rFonts w:ascii="Arial" w:hAnsi="Arial" w:cs="Arial"/>
          <w:sz w:val="14"/>
          <w:szCs w:val="20"/>
        </w:rPr>
        <w:t>: 10.1186/s12884-018-1663-6.</w:t>
      </w:r>
    </w:p>
    <w:p w14:paraId="00288581" w14:textId="77777777" w:rsidR="00C640BF" w:rsidRDefault="00000000">
      <w:pPr>
        <w:spacing w:after="0" w:line="360" w:lineRule="auto"/>
        <w:rPr>
          <w:rFonts w:ascii="Arial" w:hAnsi="Arial" w:cs="Arial"/>
          <w:sz w:val="14"/>
          <w:szCs w:val="20"/>
        </w:rPr>
      </w:pPr>
      <w:r>
        <w:rPr>
          <w:rFonts w:ascii="Arial" w:hAnsi="Arial" w:cs="Arial"/>
          <w:sz w:val="14"/>
          <w:szCs w:val="20"/>
        </w:rPr>
        <w:t xml:space="preserve">56)Hildingsson I, et al. Women's motivations for participating in research during pregnancy. J Pregnancy. 2013;2013:1-7. </w:t>
      </w:r>
      <w:proofErr w:type="spellStart"/>
      <w:r>
        <w:rPr>
          <w:rFonts w:ascii="Arial" w:hAnsi="Arial" w:cs="Arial"/>
          <w:sz w:val="14"/>
          <w:szCs w:val="20"/>
        </w:rPr>
        <w:t>doi</w:t>
      </w:r>
      <w:proofErr w:type="spellEnd"/>
      <w:r>
        <w:rPr>
          <w:rFonts w:ascii="Arial" w:hAnsi="Arial" w:cs="Arial"/>
          <w:sz w:val="14"/>
          <w:szCs w:val="20"/>
        </w:rPr>
        <w:t>: 10.1155/2013/436565.</w:t>
      </w:r>
    </w:p>
    <w:p w14:paraId="2D9666AD" w14:textId="77777777" w:rsidR="00C640BF" w:rsidRDefault="00000000">
      <w:pPr>
        <w:spacing w:after="0" w:line="360" w:lineRule="auto"/>
        <w:rPr>
          <w:rFonts w:ascii="Arial" w:hAnsi="Arial" w:cs="Arial"/>
          <w:sz w:val="14"/>
          <w:szCs w:val="20"/>
        </w:rPr>
      </w:pPr>
      <w:r>
        <w:rPr>
          <w:rFonts w:ascii="Arial" w:hAnsi="Arial" w:cs="Arial"/>
          <w:sz w:val="14"/>
          <w:szCs w:val="20"/>
        </w:rPr>
        <w:t xml:space="preserve">57)Kennedy HP, et al. Pregnant women's perceptions of risk and decision-making about research participation. Am J </w:t>
      </w:r>
      <w:proofErr w:type="spellStart"/>
      <w:r>
        <w:rPr>
          <w:rFonts w:ascii="Arial" w:hAnsi="Arial" w:cs="Arial"/>
          <w:sz w:val="14"/>
          <w:szCs w:val="20"/>
        </w:rPr>
        <w:t>Obstet</w:t>
      </w:r>
      <w:proofErr w:type="spellEnd"/>
      <w:r>
        <w:rPr>
          <w:rFonts w:ascii="Arial" w:hAnsi="Arial" w:cs="Arial"/>
          <w:sz w:val="14"/>
          <w:szCs w:val="20"/>
        </w:rPr>
        <w:t xml:space="preserve"> Gynecol. 2017;216(2):147.e1-147.e8. </w:t>
      </w:r>
      <w:proofErr w:type="spellStart"/>
      <w:r>
        <w:rPr>
          <w:rFonts w:ascii="Arial" w:hAnsi="Arial" w:cs="Arial"/>
          <w:sz w:val="14"/>
          <w:szCs w:val="20"/>
        </w:rPr>
        <w:t>doi</w:t>
      </w:r>
      <w:proofErr w:type="spellEnd"/>
      <w:r>
        <w:rPr>
          <w:rFonts w:ascii="Arial" w:hAnsi="Arial" w:cs="Arial"/>
          <w:sz w:val="14"/>
          <w:szCs w:val="20"/>
        </w:rPr>
        <w:t>: 10.1016/j.ajog.2016.10.003.</w:t>
      </w:r>
    </w:p>
    <w:p w14:paraId="7DEDD941" w14:textId="77777777" w:rsidR="00C640BF" w:rsidRDefault="00000000">
      <w:pPr>
        <w:spacing w:after="0" w:line="360" w:lineRule="auto"/>
        <w:rPr>
          <w:rFonts w:ascii="Arial" w:hAnsi="Arial" w:cs="Arial"/>
          <w:sz w:val="14"/>
          <w:szCs w:val="20"/>
        </w:rPr>
      </w:pPr>
      <w:r>
        <w:rPr>
          <w:rFonts w:ascii="Arial" w:hAnsi="Arial" w:cs="Arial"/>
          <w:sz w:val="14"/>
          <w:szCs w:val="20"/>
        </w:rPr>
        <w:t xml:space="preserve">58) Grobman WA, et al. Factors associated with participation in pregnancy research. Am J </w:t>
      </w:r>
      <w:proofErr w:type="spellStart"/>
      <w:r>
        <w:rPr>
          <w:rFonts w:ascii="Arial" w:hAnsi="Arial" w:cs="Arial"/>
          <w:sz w:val="14"/>
          <w:szCs w:val="20"/>
        </w:rPr>
        <w:t>Obstet</w:t>
      </w:r>
      <w:proofErr w:type="spellEnd"/>
      <w:r>
        <w:rPr>
          <w:rFonts w:ascii="Arial" w:hAnsi="Arial" w:cs="Arial"/>
          <w:sz w:val="14"/>
          <w:szCs w:val="20"/>
        </w:rPr>
        <w:t xml:space="preserve"> Gynecol. 2014;210(2):131.e1-131.e8. </w:t>
      </w:r>
      <w:proofErr w:type="spellStart"/>
      <w:r>
        <w:rPr>
          <w:rFonts w:ascii="Arial" w:hAnsi="Arial" w:cs="Arial"/>
          <w:sz w:val="14"/>
          <w:szCs w:val="20"/>
        </w:rPr>
        <w:t>doi</w:t>
      </w:r>
      <w:proofErr w:type="spellEnd"/>
      <w:r>
        <w:rPr>
          <w:rFonts w:ascii="Arial" w:hAnsi="Arial" w:cs="Arial"/>
          <w:sz w:val="14"/>
          <w:szCs w:val="20"/>
        </w:rPr>
        <w:t>: 10.1016/j.ajog.2013.09.048.</w:t>
      </w:r>
    </w:p>
    <w:p w14:paraId="28B49C1C" w14:textId="77777777" w:rsidR="00C640BF" w:rsidRDefault="00000000">
      <w:pPr>
        <w:spacing w:after="0" w:line="360" w:lineRule="auto"/>
        <w:rPr>
          <w:rFonts w:ascii="Arial" w:hAnsi="Arial" w:cs="Arial"/>
          <w:sz w:val="14"/>
          <w:szCs w:val="20"/>
        </w:rPr>
      </w:pPr>
      <w:r>
        <w:rPr>
          <w:rFonts w:ascii="Arial" w:hAnsi="Arial" w:cs="Arial"/>
          <w:sz w:val="14"/>
          <w:szCs w:val="20"/>
        </w:rPr>
        <w:lastRenderedPageBreak/>
        <w:t xml:space="preserve">59) </w:t>
      </w:r>
      <w:proofErr w:type="spellStart"/>
      <w:r>
        <w:rPr>
          <w:rFonts w:ascii="Arial" w:hAnsi="Arial" w:cs="Arial"/>
          <w:sz w:val="14"/>
          <w:szCs w:val="20"/>
        </w:rPr>
        <w:t>Bergvik</w:t>
      </w:r>
      <w:proofErr w:type="spellEnd"/>
      <w:r>
        <w:rPr>
          <w:rFonts w:ascii="Arial" w:hAnsi="Arial" w:cs="Arial"/>
          <w:sz w:val="14"/>
          <w:szCs w:val="20"/>
        </w:rPr>
        <w:t xml:space="preserve"> S, et al. Pregnant women's experiences of participating in a research study. J </w:t>
      </w:r>
      <w:proofErr w:type="spellStart"/>
      <w:r>
        <w:rPr>
          <w:rFonts w:ascii="Arial" w:hAnsi="Arial" w:cs="Arial"/>
          <w:sz w:val="14"/>
          <w:szCs w:val="20"/>
        </w:rPr>
        <w:t>Reprod</w:t>
      </w:r>
      <w:proofErr w:type="spellEnd"/>
      <w:r>
        <w:rPr>
          <w:rFonts w:ascii="Arial" w:hAnsi="Arial" w:cs="Arial"/>
          <w:sz w:val="14"/>
          <w:szCs w:val="20"/>
        </w:rPr>
        <w:t xml:space="preserve"> Infant Psychol. 2018;36(2):153-162. </w:t>
      </w:r>
      <w:proofErr w:type="spellStart"/>
      <w:r>
        <w:rPr>
          <w:rFonts w:ascii="Arial" w:hAnsi="Arial" w:cs="Arial"/>
          <w:sz w:val="14"/>
          <w:szCs w:val="20"/>
        </w:rPr>
        <w:t>doi</w:t>
      </w:r>
      <w:proofErr w:type="spellEnd"/>
      <w:r>
        <w:rPr>
          <w:rFonts w:ascii="Arial" w:hAnsi="Arial" w:cs="Arial"/>
          <w:sz w:val="14"/>
          <w:szCs w:val="20"/>
        </w:rPr>
        <w:t>: 10.1080/02646838.2017.1422348.</w:t>
      </w:r>
    </w:p>
    <w:p w14:paraId="33D59DA3" w14:textId="77777777" w:rsidR="00C640BF" w:rsidRDefault="00000000">
      <w:pPr>
        <w:spacing w:after="0" w:line="360" w:lineRule="auto"/>
        <w:rPr>
          <w:rFonts w:ascii="Arial" w:hAnsi="Arial" w:cs="Arial"/>
          <w:sz w:val="14"/>
          <w:szCs w:val="20"/>
        </w:rPr>
      </w:pPr>
      <w:r>
        <w:rPr>
          <w:rFonts w:ascii="Arial" w:hAnsi="Arial" w:cs="Arial"/>
          <w:sz w:val="14"/>
          <w:szCs w:val="20"/>
        </w:rPr>
        <w:t xml:space="preserve">60) Hildingsson I, et al. Women's experiences of participating in a research study during pregnancy. J </w:t>
      </w:r>
      <w:proofErr w:type="spellStart"/>
      <w:r>
        <w:rPr>
          <w:rFonts w:ascii="Arial" w:hAnsi="Arial" w:cs="Arial"/>
          <w:sz w:val="14"/>
          <w:szCs w:val="20"/>
        </w:rPr>
        <w:t>Reprod</w:t>
      </w:r>
      <w:proofErr w:type="spellEnd"/>
      <w:r>
        <w:rPr>
          <w:rFonts w:ascii="Arial" w:hAnsi="Arial" w:cs="Arial"/>
          <w:sz w:val="14"/>
          <w:szCs w:val="20"/>
        </w:rPr>
        <w:t xml:space="preserve"> Infant Psychol. 2015;33(2):143-151. </w:t>
      </w:r>
      <w:proofErr w:type="spellStart"/>
      <w:r>
        <w:rPr>
          <w:rFonts w:ascii="Arial" w:hAnsi="Arial" w:cs="Arial"/>
          <w:sz w:val="14"/>
          <w:szCs w:val="20"/>
        </w:rPr>
        <w:t>doi</w:t>
      </w:r>
      <w:proofErr w:type="spellEnd"/>
      <w:r>
        <w:rPr>
          <w:rFonts w:ascii="Arial" w:hAnsi="Arial" w:cs="Arial"/>
          <w:sz w:val="14"/>
          <w:szCs w:val="20"/>
        </w:rPr>
        <w:t>: 10.1002/jrip.1355.</w:t>
      </w:r>
    </w:p>
    <w:p w14:paraId="250D4A49" w14:textId="77777777" w:rsidR="00C640BF" w:rsidRDefault="00000000">
      <w:pPr>
        <w:spacing w:after="0" w:line="360" w:lineRule="auto"/>
        <w:rPr>
          <w:rFonts w:ascii="Arial" w:hAnsi="Arial" w:cs="Arial"/>
          <w:sz w:val="14"/>
          <w:szCs w:val="20"/>
        </w:rPr>
      </w:pPr>
      <w:r>
        <w:rPr>
          <w:rFonts w:ascii="Arial" w:hAnsi="Arial" w:cs="Arial"/>
          <w:sz w:val="14"/>
          <w:szCs w:val="20"/>
        </w:rPr>
        <w:t xml:space="preserve">61) Lee S, et al. Incentives for participation in pregnancy research: a systematic review. J Clin Epidemiol. 2019;109:128-136.e2. </w:t>
      </w:r>
      <w:proofErr w:type="spellStart"/>
      <w:r>
        <w:rPr>
          <w:rFonts w:ascii="Arial" w:hAnsi="Arial" w:cs="Arial"/>
          <w:sz w:val="14"/>
          <w:szCs w:val="20"/>
        </w:rPr>
        <w:t>doi</w:t>
      </w:r>
      <w:proofErr w:type="spellEnd"/>
      <w:r>
        <w:rPr>
          <w:rFonts w:ascii="Arial" w:hAnsi="Arial" w:cs="Arial"/>
          <w:sz w:val="14"/>
          <w:szCs w:val="20"/>
        </w:rPr>
        <w:t>: 10.1016/j.jclinepi.2019.02.003.</w:t>
      </w:r>
    </w:p>
    <w:p w14:paraId="09E7A4B8"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62)McCullough R, et al. The effect of incentives on participation in pregnancy research: a randomized controlled trial. J Clin Epidemiol. 2020;118:133-140.e2. </w:t>
      </w:r>
      <w:proofErr w:type="spellStart"/>
      <w:r>
        <w:rPr>
          <w:rFonts w:ascii="Arial" w:hAnsi="Arial" w:cs="Arial"/>
          <w:sz w:val="14"/>
          <w:szCs w:val="20"/>
        </w:rPr>
        <w:t>doi</w:t>
      </w:r>
      <w:proofErr w:type="spellEnd"/>
      <w:r>
        <w:rPr>
          <w:rFonts w:ascii="Arial" w:hAnsi="Arial" w:cs="Arial"/>
          <w:sz w:val="14"/>
          <w:szCs w:val="20"/>
        </w:rPr>
        <w:t>: 10.1016/j.jclinepi.2019.09.013.</w:t>
      </w:r>
    </w:p>
    <w:p w14:paraId="16A6E44A"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63)Pirani BB, et al. Plasma volume and protein changes during pregnancy. Br J </w:t>
      </w:r>
      <w:proofErr w:type="spellStart"/>
      <w:r>
        <w:rPr>
          <w:rFonts w:ascii="Arial" w:hAnsi="Arial" w:cs="Arial"/>
          <w:sz w:val="14"/>
          <w:szCs w:val="20"/>
        </w:rPr>
        <w:t>Obstet</w:t>
      </w:r>
      <w:proofErr w:type="spellEnd"/>
      <w:r>
        <w:rPr>
          <w:rFonts w:ascii="Arial" w:hAnsi="Arial" w:cs="Arial"/>
          <w:sz w:val="14"/>
          <w:szCs w:val="20"/>
        </w:rPr>
        <w:t xml:space="preserve"> </w:t>
      </w:r>
      <w:proofErr w:type="spellStart"/>
      <w:r>
        <w:rPr>
          <w:rFonts w:ascii="Arial" w:hAnsi="Arial" w:cs="Arial"/>
          <w:sz w:val="14"/>
          <w:szCs w:val="20"/>
        </w:rPr>
        <w:t>Gynaecol</w:t>
      </w:r>
      <w:proofErr w:type="spellEnd"/>
      <w:r>
        <w:rPr>
          <w:rFonts w:ascii="Arial" w:hAnsi="Arial" w:cs="Arial"/>
          <w:sz w:val="14"/>
          <w:szCs w:val="20"/>
        </w:rPr>
        <w:t xml:space="preserve">. 1977;84(10):776-781. </w:t>
      </w:r>
      <w:proofErr w:type="spellStart"/>
      <w:r>
        <w:rPr>
          <w:rFonts w:ascii="Arial" w:hAnsi="Arial" w:cs="Arial"/>
          <w:sz w:val="14"/>
          <w:szCs w:val="20"/>
        </w:rPr>
        <w:t>doi</w:t>
      </w:r>
      <w:proofErr w:type="spellEnd"/>
      <w:r>
        <w:rPr>
          <w:rFonts w:ascii="Arial" w:hAnsi="Arial" w:cs="Arial"/>
          <w:sz w:val="14"/>
          <w:szCs w:val="20"/>
        </w:rPr>
        <w:t>: 10.1111/j.1471-0528.1977.tb12663.x</w:t>
      </w:r>
    </w:p>
    <w:p w14:paraId="1B909C43"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64)Kavitha M, et al. Reference values for hemoglobin concentration during pregnancy using the </w:t>
      </w:r>
      <w:proofErr w:type="spellStart"/>
      <w:r>
        <w:rPr>
          <w:rFonts w:ascii="Arial" w:hAnsi="Arial" w:cs="Arial"/>
          <w:sz w:val="14"/>
          <w:szCs w:val="20"/>
        </w:rPr>
        <w:t>HemoCue</w:t>
      </w:r>
      <w:proofErr w:type="spellEnd"/>
      <w:r>
        <w:rPr>
          <w:rFonts w:ascii="Arial" w:hAnsi="Arial" w:cs="Arial"/>
          <w:sz w:val="14"/>
          <w:szCs w:val="20"/>
        </w:rPr>
        <w:t xml:space="preserve"> method. J Matern Fetal Neonatal Med. 2017;30(11):1335-1338. </w:t>
      </w:r>
      <w:proofErr w:type="spellStart"/>
      <w:r>
        <w:rPr>
          <w:rFonts w:ascii="Arial" w:hAnsi="Arial" w:cs="Arial"/>
          <w:sz w:val="14"/>
          <w:szCs w:val="20"/>
        </w:rPr>
        <w:t>doi</w:t>
      </w:r>
      <w:proofErr w:type="spellEnd"/>
      <w:r>
        <w:rPr>
          <w:rFonts w:ascii="Arial" w:hAnsi="Arial" w:cs="Arial"/>
          <w:sz w:val="14"/>
          <w:szCs w:val="20"/>
        </w:rPr>
        <w:t>: 10.1080/14767058.2016.1228056.</w:t>
      </w:r>
    </w:p>
    <w:p w14:paraId="15C784B8"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65) Ozdemir O, et al. Reference values for packed cell volume during pregnancy. </w:t>
      </w:r>
      <w:proofErr w:type="spellStart"/>
      <w:r>
        <w:rPr>
          <w:rFonts w:ascii="Arial" w:hAnsi="Arial" w:cs="Arial"/>
          <w:sz w:val="14"/>
          <w:szCs w:val="20"/>
        </w:rPr>
        <w:t>Eur</w:t>
      </w:r>
      <w:proofErr w:type="spellEnd"/>
      <w:r>
        <w:rPr>
          <w:rFonts w:ascii="Arial" w:hAnsi="Arial" w:cs="Arial"/>
          <w:sz w:val="14"/>
          <w:szCs w:val="20"/>
        </w:rPr>
        <w:t xml:space="preserve"> J </w:t>
      </w:r>
      <w:proofErr w:type="spellStart"/>
      <w:r>
        <w:rPr>
          <w:rFonts w:ascii="Arial" w:hAnsi="Arial" w:cs="Arial"/>
          <w:sz w:val="14"/>
          <w:szCs w:val="20"/>
        </w:rPr>
        <w:t>Obstet</w:t>
      </w:r>
      <w:proofErr w:type="spellEnd"/>
      <w:r>
        <w:rPr>
          <w:rFonts w:ascii="Arial" w:hAnsi="Arial" w:cs="Arial"/>
          <w:sz w:val="14"/>
          <w:szCs w:val="20"/>
        </w:rPr>
        <w:t xml:space="preserve"> </w:t>
      </w:r>
      <w:proofErr w:type="spellStart"/>
      <w:r>
        <w:rPr>
          <w:rFonts w:ascii="Arial" w:hAnsi="Arial" w:cs="Arial"/>
          <w:sz w:val="14"/>
          <w:szCs w:val="20"/>
        </w:rPr>
        <w:t>Gynecol</w:t>
      </w:r>
      <w:proofErr w:type="spellEnd"/>
      <w:r>
        <w:rPr>
          <w:rFonts w:ascii="Arial" w:hAnsi="Arial" w:cs="Arial"/>
          <w:sz w:val="14"/>
          <w:szCs w:val="20"/>
        </w:rPr>
        <w:t xml:space="preserve"> </w:t>
      </w:r>
      <w:proofErr w:type="spellStart"/>
      <w:r>
        <w:rPr>
          <w:rFonts w:ascii="Arial" w:hAnsi="Arial" w:cs="Arial"/>
          <w:sz w:val="14"/>
          <w:szCs w:val="20"/>
        </w:rPr>
        <w:t>Reprod</w:t>
      </w:r>
      <w:proofErr w:type="spellEnd"/>
      <w:r>
        <w:rPr>
          <w:rFonts w:ascii="Arial" w:hAnsi="Arial" w:cs="Arial"/>
          <w:sz w:val="14"/>
          <w:szCs w:val="20"/>
        </w:rPr>
        <w:t xml:space="preserve"> Biol. 2018;231:151-154. </w:t>
      </w:r>
      <w:proofErr w:type="spellStart"/>
      <w:r>
        <w:rPr>
          <w:rFonts w:ascii="Arial" w:hAnsi="Arial" w:cs="Arial"/>
          <w:sz w:val="14"/>
          <w:szCs w:val="20"/>
        </w:rPr>
        <w:t>doi</w:t>
      </w:r>
      <w:proofErr w:type="spellEnd"/>
      <w:r>
        <w:rPr>
          <w:rFonts w:ascii="Arial" w:hAnsi="Arial" w:cs="Arial"/>
          <w:sz w:val="14"/>
          <w:szCs w:val="20"/>
        </w:rPr>
        <w:t>: 10.1016/j.ejogrb.2018.10.033.</w:t>
      </w:r>
    </w:p>
    <w:p w14:paraId="223B3A2C"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66) Liu X, et al. Reference values for </w:t>
      </w:r>
      <w:proofErr w:type="spellStart"/>
      <w:r>
        <w:rPr>
          <w:rFonts w:ascii="Arial" w:hAnsi="Arial" w:cs="Arial"/>
          <w:sz w:val="14"/>
          <w:szCs w:val="20"/>
        </w:rPr>
        <w:t>microhaematocrit</w:t>
      </w:r>
      <w:proofErr w:type="spellEnd"/>
      <w:r>
        <w:rPr>
          <w:rFonts w:ascii="Arial" w:hAnsi="Arial" w:cs="Arial"/>
          <w:sz w:val="14"/>
          <w:szCs w:val="20"/>
        </w:rPr>
        <w:t xml:space="preserve"> during pregnancy. Nutrients. 2020;12(11):3332. </w:t>
      </w:r>
      <w:proofErr w:type="spellStart"/>
      <w:r>
        <w:rPr>
          <w:rFonts w:ascii="Arial" w:hAnsi="Arial" w:cs="Arial"/>
          <w:sz w:val="14"/>
          <w:szCs w:val="20"/>
        </w:rPr>
        <w:t>doi</w:t>
      </w:r>
      <w:proofErr w:type="spellEnd"/>
      <w:r>
        <w:rPr>
          <w:rFonts w:ascii="Arial" w:hAnsi="Arial" w:cs="Arial"/>
          <w:sz w:val="14"/>
          <w:szCs w:val="20"/>
        </w:rPr>
        <w:t>: 10.3390/nu12113332.</w:t>
      </w:r>
    </w:p>
    <w:p w14:paraId="55336DB8"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67) Hytten FE, et al. Plasma protein changes in pregnancy. J </w:t>
      </w:r>
      <w:proofErr w:type="spellStart"/>
      <w:r>
        <w:rPr>
          <w:rFonts w:ascii="Arial" w:hAnsi="Arial" w:cs="Arial"/>
          <w:sz w:val="14"/>
          <w:szCs w:val="20"/>
        </w:rPr>
        <w:t>Obstet</w:t>
      </w:r>
      <w:proofErr w:type="spellEnd"/>
      <w:r>
        <w:rPr>
          <w:rFonts w:ascii="Arial" w:hAnsi="Arial" w:cs="Arial"/>
          <w:sz w:val="14"/>
          <w:szCs w:val="20"/>
        </w:rPr>
        <w:t xml:space="preserve"> </w:t>
      </w:r>
      <w:proofErr w:type="spellStart"/>
      <w:r>
        <w:rPr>
          <w:rFonts w:ascii="Arial" w:hAnsi="Arial" w:cs="Arial"/>
          <w:sz w:val="14"/>
          <w:szCs w:val="20"/>
        </w:rPr>
        <w:t>Gynaecol</w:t>
      </w:r>
      <w:proofErr w:type="spellEnd"/>
      <w:r>
        <w:rPr>
          <w:rFonts w:ascii="Arial" w:hAnsi="Arial" w:cs="Arial"/>
          <w:sz w:val="14"/>
          <w:szCs w:val="20"/>
        </w:rPr>
        <w:t xml:space="preserve"> Br Emp. 1958;65(5):671-675. </w:t>
      </w:r>
      <w:proofErr w:type="spellStart"/>
      <w:r>
        <w:rPr>
          <w:rFonts w:ascii="Arial" w:hAnsi="Arial" w:cs="Arial"/>
          <w:sz w:val="14"/>
          <w:szCs w:val="20"/>
        </w:rPr>
        <w:t>doi</w:t>
      </w:r>
      <w:proofErr w:type="spellEnd"/>
      <w:r>
        <w:rPr>
          <w:rFonts w:ascii="Arial" w:hAnsi="Arial" w:cs="Arial"/>
          <w:sz w:val="14"/>
          <w:szCs w:val="20"/>
        </w:rPr>
        <w:t>: 10.1111/j.1471-0528.1958.tb08543.x.</w:t>
      </w:r>
    </w:p>
    <w:p w14:paraId="31050D7A" w14:textId="77777777" w:rsidR="00C640BF" w:rsidRDefault="00000000">
      <w:pPr>
        <w:spacing w:after="0" w:line="360" w:lineRule="auto"/>
        <w:jc w:val="both"/>
        <w:rPr>
          <w:rFonts w:ascii="Arial" w:hAnsi="Arial" w:cs="Arial"/>
          <w:sz w:val="14"/>
          <w:szCs w:val="20"/>
        </w:rPr>
      </w:pPr>
      <w:r>
        <w:rPr>
          <w:rFonts w:ascii="Arial" w:hAnsi="Arial" w:cs="Arial"/>
          <w:sz w:val="14"/>
          <w:szCs w:val="20"/>
        </w:rPr>
        <w:t xml:space="preserve">68) Sahli H. Eine </w:t>
      </w:r>
      <w:proofErr w:type="spellStart"/>
      <w:r>
        <w:rPr>
          <w:rFonts w:ascii="Arial" w:hAnsi="Arial" w:cs="Arial"/>
          <w:sz w:val="14"/>
          <w:szCs w:val="20"/>
        </w:rPr>
        <w:t>neue</w:t>
      </w:r>
      <w:proofErr w:type="spellEnd"/>
      <w:r>
        <w:rPr>
          <w:rFonts w:ascii="Arial" w:hAnsi="Arial" w:cs="Arial"/>
          <w:sz w:val="14"/>
          <w:szCs w:val="20"/>
        </w:rPr>
        <w:t xml:space="preserve"> Methode </w:t>
      </w:r>
      <w:proofErr w:type="spellStart"/>
      <w:r>
        <w:rPr>
          <w:rFonts w:ascii="Arial" w:hAnsi="Arial" w:cs="Arial"/>
          <w:sz w:val="14"/>
          <w:szCs w:val="20"/>
        </w:rPr>
        <w:t>zur</w:t>
      </w:r>
      <w:proofErr w:type="spellEnd"/>
      <w:r>
        <w:rPr>
          <w:rFonts w:ascii="Arial" w:hAnsi="Arial" w:cs="Arial"/>
          <w:sz w:val="14"/>
          <w:szCs w:val="20"/>
        </w:rPr>
        <w:t xml:space="preserve"> </w:t>
      </w:r>
      <w:proofErr w:type="spellStart"/>
      <w:r>
        <w:rPr>
          <w:rFonts w:ascii="Arial" w:hAnsi="Arial" w:cs="Arial"/>
          <w:sz w:val="14"/>
          <w:szCs w:val="20"/>
        </w:rPr>
        <w:t>Bestimmung</w:t>
      </w:r>
      <w:proofErr w:type="spellEnd"/>
      <w:r>
        <w:rPr>
          <w:rFonts w:ascii="Arial" w:hAnsi="Arial" w:cs="Arial"/>
          <w:sz w:val="14"/>
          <w:szCs w:val="20"/>
        </w:rPr>
        <w:t xml:space="preserve"> des </w:t>
      </w:r>
      <w:proofErr w:type="spellStart"/>
      <w:r>
        <w:rPr>
          <w:rFonts w:ascii="Arial" w:hAnsi="Arial" w:cs="Arial"/>
          <w:sz w:val="14"/>
          <w:szCs w:val="20"/>
        </w:rPr>
        <w:t>Hamoglobingehaltes</w:t>
      </w:r>
      <w:proofErr w:type="spellEnd"/>
      <w:r>
        <w:rPr>
          <w:rFonts w:ascii="Arial" w:hAnsi="Arial" w:cs="Arial"/>
          <w:sz w:val="14"/>
          <w:szCs w:val="20"/>
        </w:rPr>
        <w:t xml:space="preserve"> des </w:t>
      </w:r>
      <w:proofErr w:type="spellStart"/>
      <w:r>
        <w:rPr>
          <w:rFonts w:ascii="Arial" w:hAnsi="Arial" w:cs="Arial"/>
          <w:sz w:val="14"/>
          <w:szCs w:val="20"/>
        </w:rPr>
        <w:t>Blutes</w:t>
      </w:r>
      <w:proofErr w:type="spellEnd"/>
      <w:r>
        <w:rPr>
          <w:rFonts w:ascii="Arial" w:hAnsi="Arial" w:cs="Arial"/>
          <w:sz w:val="14"/>
          <w:szCs w:val="20"/>
        </w:rPr>
        <w:t xml:space="preserve">. </w:t>
      </w:r>
      <w:proofErr w:type="spellStart"/>
      <w:r>
        <w:rPr>
          <w:rFonts w:ascii="Arial" w:hAnsi="Arial" w:cs="Arial"/>
          <w:sz w:val="14"/>
          <w:szCs w:val="20"/>
        </w:rPr>
        <w:t>Deutsches</w:t>
      </w:r>
      <w:proofErr w:type="spellEnd"/>
      <w:r>
        <w:rPr>
          <w:rFonts w:ascii="Arial" w:hAnsi="Arial" w:cs="Arial"/>
          <w:sz w:val="14"/>
          <w:szCs w:val="20"/>
        </w:rPr>
        <w:t xml:space="preserve"> </w:t>
      </w:r>
      <w:proofErr w:type="spellStart"/>
      <w:r>
        <w:rPr>
          <w:rFonts w:ascii="Arial" w:hAnsi="Arial" w:cs="Arial"/>
          <w:sz w:val="14"/>
          <w:szCs w:val="20"/>
        </w:rPr>
        <w:t>Archiv</w:t>
      </w:r>
      <w:proofErr w:type="spellEnd"/>
      <w:r>
        <w:rPr>
          <w:rFonts w:ascii="Arial" w:hAnsi="Arial" w:cs="Arial"/>
          <w:sz w:val="14"/>
          <w:szCs w:val="20"/>
        </w:rPr>
        <w:t xml:space="preserve"> für </w:t>
      </w:r>
      <w:proofErr w:type="spellStart"/>
      <w:r>
        <w:rPr>
          <w:rFonts w:ascii="Arial" w:hAnsi="Arial" w:cs="Arial"/>
          <w:sz w:val="14"/>
          <w:szCs w:val="20"/>
        </w:rPr>
        <w:t>klinische</w:t>
      </w:r>
      <w:proofErr w:type="spellEnd"/>
      <w:r>
        <w:rPr>
          <w:rFonts w:ascii="Arial" w:hAnsi="Arial" w:cs="Arial"/>
          <w:sz w:val="14"/>
          <w:szCs w:val="20"/>
        </w:rPr>
        <w:t xml:space="preserve"> </w:t>
      </w:r>
      <w:proofErr w:type="spellStart"/>
      <w:r>
        <w:rPr>
          <w:rFonts w:ascii="Arial" w:hAnsi="Arial" w:cs="Arial"/>
          <w:sz w:val="14"/>
          <w:szCs w:val="20"/>
        </w:rPr>
        <w:t>Medizin</w:t>
      </w:r>
      <w:proofErr w:type="spellEnd"/>
      <w:r>
        <w:rPr>
          <w:rFonts w:ascii="Arial" w:hAnsi="Arial" w:cs="Arial"/>
          <w:sz w:val="14"/>
          <w:szCs w:val="20"/>
        </w:rPr>
        <w:t>. 1898;61:362-371.</w:t>
      </w:r>
    </w:p>
    <w:p w14:paraId="29E2CECC" w14:textId="77777777" w:rsidR="00C640BF" w:rsidRDefault="00000000">
      <w:pPr>
        <w:spacing w:after="0" w:line="360" w:lineRule="auto"/>
        <w:jc w:val="both"/>
        <w:rPr>
          <w:rFonts w:ascii="Arial" w:hAnsi="Arial" w:cs="Arial"/>
          <w:sz w:val="14"/>
          <w:szCs w:val="20"/>
        </w:rPr>
      </w:pPr>
      <w:r>
        <w:rPr>
          <w:rFonts w:ascii="Arial" w:hAnsi="Arial" w:cs="Arial"/>
          <w:sz w:val="14"/>
          <w:szCs w:val="20"/>
        </w:rPr>
        <w:t>69)</w:t>
      </w:r>
      <w:proofErr w:type="spellStart"/>
      <w:r>
        <w:rPr>
          <w:rFonts w:ascii="Arial" w:hAnsi="Arial" w:cs="Arial"/>
          <w:sz w:val="14"/>
          <w:szCs w:val="20"/>
        </w:rPr>
        <w:t>Tallquist</w:t>
      </w:r>
      <w:proofErr w:type="spellEnd"/>
      <w:r>
        <w:rPr>
          <w:rFonts w:ascii="Arial" w:hAnsi="Arial" w:cs="Arial"/>
          <w:sz w:val="14"/>
          <w:szCs w:val="20"/>
        </w:rPr>
        <w:t xml:space="preserve"> TG. A new method for the determination of hemoglobin. Journal of Biological Chemistry. 1922;54:521-531.</w:t>
      </w:r>
    </w:p>
    <w:p w14:paraId="7D243AE7" w14:textId="77777777" w:rsidR="00C640BF" w:rsidRDefault="00000000">
      <w:pPr>
        <w:spacing w:after="0" w:line="360" w:lineRule="auto"/>
        <w:jc w:val="both"/>
        <w:rPr>
          <w:rFonts w:ascii="Arial" w:hAnsi="Arial" w:cs="Arial"/>
          <w:sz w:val="14"/>
          <w:szCs w:val="20"/>
        </w:rPr>
      </w:pPr>
      <w:r>
        <w:rPr>
          <w:rFonts w:ascii="Arial" w:hAnsi="Arial" w:cs="Arial"/>
          <w:sz w:val="14"/>
          <w:szCs w:val="20"/>
        </w:rPr>
        <w:t>70 Everitt B. The Cambridge dictionary of statistics. Cambridge, UK, New York: Cambridge University Press; 1998. ISBN 978-0521593465.</w:t>
      </w:r>
    </w:p>
    <w:p w14:paraId="71F4A51A" w14:textId="77777777" w:rsidR="00C640BF" w:rsidRDefault="00000000">
      <w:pPr>
        <w:spacing w:after="0" w:line="360" w:lineRule="auto"/>
        <w:jc w:val="both"/>
        <w:rPr>
          <w:rFonts w:ascii="Arial" w:hAnsi="Arial" w:cs="Arial"/>
          <w:sz w:val="14"/>
          <w:szCs w:val="20"/>
        </w:rPr>
      </w:pPr>
      <w:r>
        <w:rPr>
          <w:rFonts w:ascii="Arial" w:hAnsi="Arial" w:cs="Arial"/>
          <w:sz w:val="14"/>
          <w:szCs w:val="20"/>
        </w:rPr>
        <w:t>71.</w:t>
      </w:r>
      <w:r>
        <w:rPr>
          <w:rFonts w:ascii="Arial" w:hAnsi="Arial" w:cs="Arial"/>
          <w:sz w:val="14"/>
          <w:szCs w:val="20"/>
        </w:rPr>
        <w:tab/>
        <w:t>Reed GF, Lynn F, Meade BD. Use of coefficient of variation in assessing variability of quantitative assays. Clinical and Diagnostic Laboratory Immunology. 2002;9(6):1235–1239.Available:https://doi.org/10.1128/cdli.9.6.1235-1239.2002</w:t>
      </w:r>
    </w:p>
    <w:p w14:paraId="516ED9F2" w14:textId="77777777" w:rsidR="00C640BF" w:rsidRDefault="00000000">
      <w:pPr>
        <w:spacing w:after="0" w:line="360" w:lineRule="auto"/>
        <w:jc w:val="both"/>
        <w:rPr>
          <w:rFonts w:ascii="Arial" w:hAnsi="Arial" w:cs="Arial"/>
          <w:sz w:val="14"/>
          <w:szCs w:val="20"/>
        </w:rPr>
      </w:pPr>
      <w:r>
        <w:rPr>
          <w:rFonts w:ascii="Arial" w:hAnsi="Arial" w:cs="Arial"/>
          <w:sz w:val="14"/>
          <w:szCs w:val="20"/>
        </w:rPr>
        <w:t>72.</w:t>
      </w:r>
      <w:r>
        <w:rPr>
          <w:rFonts w:ascii="Arial" w:hAnsi="Arial" w:cs="Arial"/>
          <w:sz w:val="14"/>
          <w:szCs w:val="20"/>
        </w:rPr>
        <w:tab/>
      </w:r>
      <w:proofErr w:type="spellStart"/>
      <w:r>
        <w:rPr>
          <w:rFonts w:ascii="Arial" w:hAnsi="Arial" w:cs="Arial"/>
          <w:sz w:val="14"/>
          <w:szCs w:val="20"/>
        </w:rPr>
        <w:t>Pélabon</w:t>
      </w:r>
      <w:proofErr w:type="spellEnd"/>
      <w:r>
        <w:rPr>
          <w:rFonts w:ascii="Arial" w:hAnsi="Arial" w:cs="Arial"/>
          <w:sz w:val="14"/>
          <w:szCs w:val="20"/>
        </w:rPr>
        <w:t xml:space="preserve"> C, Hilde CH, </w:t>
      </w:r>
      <w:proofErr w:type="spellStart"/>
      <w:r>
        <w:rPr>
          <w:rFonts w:ascii="Arial" w:hAnsi="Arial" w:cs="Arial"/>
          <w:sz w:val="14"/>
          <w:szCs w:val="20"/>
        </w:rPr>
        <w:t>Einum</w:t>
      </w:r>
      <w:proofErr w:type="spellEnd"/>
      <w:r>
        <w:rPr>
          <w:rFonts w:ascii="Arial" w:hAnsi="Arial" w:cs="Arial"/>
          <w:sz w:val="14"/>
          <w:szCs w:val="20"/>
        </w:rPr>
        <w:t xml:space="preserve"> S, </w:t>
      </w:r>
      <w:proofErr w:type="spellStart"/>
      <w:r>
        <w:rPr>
          <w:rFonts w:ascii="Arial" w:hAnsi="Arial" w:cs="Arial"/>
          <w:sz w:val="14"/>
          <w:szCs w:val="20"/>
        </w:rPr>
        <w:t>Gamelon</w:t>
      </w:r>
      <w:proofErr w:type="spellEnd"/>
      <w:r>
        <w:rPr>
          <w:rFonts w:ascii="Arial" w:hAnsi="Arial" w:cs="Arial"/>
          <w:sz w:val="14"/>
          <w:szCs w:val="20"/>
        </w:rPr>
        <w:t xml:space="preserve"> M. On the use of the coefficient of  variation to quantify and compare trait variation. Evolution Letters. 2020;4(3):180–188. </w:t>
      </w:r>
      <w:proofErr w:type="spellStart"/>
      <w:r>
        <w:rPr>
          <w:rFonts w:ascii="Arial" w:hAnsi="Arial" w:cs="Arial"/>
          <w:sz w:val="14"/>
          <w:szCs w:val="20"/>
        </w:rPr>
        <w:t>Available:https</w:t>
      </w:r>
      <w:proofErr w:type="spellEnd"/>
      <w:r>
        <w:rPr>
          <w:rFonts w:ascii="Arial" w:hAnsi="Arial" w:cs="Arial"/>
          <w:sz w:val="14"/>
          <w:szCs w:val="20"/>
        </w:rPr>
        <w:t>://doi.org/10.1002/evl3.171</w:t>
      </w:r>
    </w:p>
    <w:p w14:paraId="24ABEA5D" w14:textId="77777777" w:rsidR="00C640BF" w:rsidRDefault="00000000">
      <w:pPr>
        <w:spacing w:after="0" w:line="360" w:lineRule="auto"/>
        <w:jc w:val="both"/>
        <w:rPr>
          <w:rFonts w:ascii="Arial" w:hAnsi="Arial" w:cs="Arial"/>
          <w:sz w:val="14"/>
          <w:szCs w:val="20"/>
        </w:rPr>
      </w:pPr>
      <w:r>
        <w:rPr>
          <w:rFonts w:ascii="Arial" w:hAnsi="Arial" w:cs="Arial"/>
          <w:sz w:val="14"/>
          <w:szCs w:val="20"/>
        </w:rPr>
        <w:t>73.</w:t>
      </w:r>
      <w:r>
        <w:rPr>
          <w:rFonts w:ascii="Arial" w:hAnsi="Arial" w:cs="Arial"/>
          <w:sz w:val="14"/>
          <w:szCs w:val="20"/>
        </w:rPr>
        <w:tab/>
        <w:t xml:space="preserve">Santos C, Dias C. Note on the coefficient of variation properties. Brazilian electronic journal of mathematics (BEJOM). 2021;2:101–111. </w:t>
      </w:r>
    </w:p>
    <w:p w14:paraId="724AB644" w14:textId="77777777" w:rsidR="00C640BF" w:rsidRDefault="00000000">
      <w:pPr>
        <w:spacing w:after="0" w:line="360" w:lineRule="auto"/>
        <w:jc w:val="both"/>
        <w:rPr>
          <w:rFonts w:ascii="Arial" w:hAnsi="Arial" w:cs="Arial"/>
          <w:sz w:val="14"/>
          <w:szCs w:val="20"/>
        </w:rPr>
      </w:pPr>
      <w:proofErr w:type="spellStart"/>
      <w:r>
        <w:rPr>
          <w:rFonts w:ascii="Arial" w:hAnsi="Arial" w:cs="Arial"/>
          <w:sz w:val="14"/>
          <w:szCs w:val="20"/>
        </w:rPr>
        <w:t>Availale:https</w:t>
      </w:r>
      <w:proofErr w:type="spellEnd"/>
      <w:r>
        <w:rPr>
          <w:rFonts w:ascii="Arial" w:hAnsi="Arial" w:cs="Arial"/>
          <w:sz w:val="14"/>
          <w:szCs w:val="20"/>
        </w:rPr>
        <w:t>://doi.org/10.14393/BEJOM-v2-n4-2021-58062</w:t>
      </w:r>
    </w:p>
    <w:p w14:paraId="373F4FA8" w14:textId="77777777" w:rsidR="00C640BF" w:rsidRDefault="00C640BF">
      <w:pPr>
        <w:spacing w:after="0" w:line="360" w:lineRule="auto"/>
        <w:rPr>
          <w:rFonts w:ascii="Arial" w:hAnsi="Arial" w:cs="Arial"/>
          <w:sz w:val="14"/>
          <w:szCs w:val="20"/>
        </w:rPr>
      </w:pPr>
    </w:p>
    <w:sectPr w:rsidR="00C64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5FF1D" w14:textId="77777777" w:rsidR="00AC4484" w:rsidRDefault="00AC4484" w:rsidP="005F1520">
      <w:pPr>
        <w:spacing w:after="0" w:line="240" w:lineRule="auto"/>
      </w:pPr>
      <w:r>
        <w:separator/>
      </w:r>
    </w:p>
  </w:endnote>
  <w:endnote w:type="continuationSeparator" w:id="0">
    <w:p w14:paraId="7952F0B4" w14:textId="77777777" w:rsidR="00AC4484" w:rsidRDefault="00AC4484" w:rsidP="005F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2319" w14:textId="77777777" w:rsidR="005F1520" w:rsidRDefault="005F1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3FA3" w14:textId="77777777" w:rsidR="005F1520" w:rsidRDefault="005F1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FDD9" w14:textId="77777777" w:rsidR="005F1520" w:rsidRDefault="005F1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A4D3" w14:textId="77777777" w:rsidR="00AC4484" w:rsidRDefault="00AC4484" w:rsidP="005F1520">
      <w:pPr>
        <w:spacing w:after="0" w:line="240" w:lineRule="auto"/>
      </w:pPr>
      <w:r>
        <w:separator/>
      </w:r>
    </w:p>
  </w:footnote>
  <w:footnote w:type="continuationSeparator" w:id="0">
    <w:p w14:paraId="166DD66F" w14:textId="77777777" w:rsidR="00AC4484" w:rsidRDefault="00AC4484" w:rsidP="005F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B6ED" w14:textId="5575A428" w:rsidR="005F1520" w:rsidRDefault="005F1520">
    <w:pPr>
      <w:pStyle w:val="Header"/>
    </w:pPr>
    <w:r>
      <w:rPr>
        <w:noProof/>
      </w:rPr>
      <w:pict w14:anchorId="0CE20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98313"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C3B0" w14:textId="796393EA" w:rsidR="005F1520" w:rsidRDefault="005F1520">
    <w:pPr>
      <w:pStyle w:val="Header"/>
    </w:pPr>
    <w:r>
      <w:rPr>
        <w:noProof/>
      </w:rPr>
      <w:pict w14:anchorId="29569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98314"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5D63" w14:textId="7F110350" w:rsidR="005F1520" w:rsidRDefault="005F1520">
    <w:pPr>
      <w:pStyle w:val="Header"/>
    </w:pPr>
    <w:r>
      <w:rPr>
        <w:noProof/>
      </w:rPr>
      <w:pict w14:anchorId="0FEF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98312"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3264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ED0AF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3B6A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EDB854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FBD84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BEAC49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9C087E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9"/>
    <w:multiLevelType w:val="hybridMultilevel"/>
    <w:tmpl w:val="332C7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4A2A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0108F054"/>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Zero"/>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008"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1" w15:restartNumberingAfterBreak="0">
    <w:nsid w:val="0000000C"/>
    <w:multiLevelType w:val="hybridMultilevel"/>
    <w:tmpl w:val="33D6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BDF887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06E856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000000F"/>
    <w:multiLevelType w:val="multilevel"/>
    <w:tmpl w:val="D47E9A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4FFE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910C21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8A7408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hybridMultilevel"/>
    <w:tmpl w:val="66F89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043B7C"/>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73830">
    <w:abstractNumId w:val="8"/>
  </w:num>
  <w:num w:numId="2" w16cid:durableId="331879562">
    <w:abstractNumId w:val="6"/>
  </w:num>
  <w:num w:numId="3" w16cid:durableId="431170912">
    <w:abstractNumId w:val="17"/>
  </w:num>
  <w:num w:numId="4" w16cid:durableId="1083339152">
    <w:abstractNumId w:val="18"/>
  </w:num>
  <w:num w:numId="5" w16cid:durableId="76054460">
    <w:abstractNumId w:val="3"/>
  </w:num>
  <w:num w:numId="6" w16cid:durableId="1220629370">
    <w:abstractNumId w:val="12"/>
  </w:num>
  <w:num w:numId="7" w16cid:durableId="151021079">
    <w:abstractNumId w:val="16"/>
  </w:num>
  <w:num w:numId="8" w16cid:durableId="868184216">
    <w:abstractNumId w:val="14"/>
  </w:num>
  <w:num w:numId="9" w16cid:durableId="1757088366">
    <w:abstractNumId w:val="9"/>
  </w:num>
  <w:num w:numId="10" w16cid:durableId="1775055565">
    <w:abstractNumId w:val="0"/>
  </w:num>
  <w:num w:numId="11" w16cid:durableId="1663969556">
    <w:abstractNumId w:val="15"/>
  </w:num>
  <w:num w:numId="12" w16cid:durableId="1749619857">
    <w:abstractNumId w:val="13"/>
  </w:num>
  <w:num w:numId="13" w16cid:durableId="1493715314">
    <w:abstractNumId w:val="7"/>
  </w:num>
  <w:num w:numId="14" w16cid:durableId="932204801">
    <w:abstractNumId w:val="19"/>
  </w:num>
  <w:num w:numId="15" w16cid:durableId="1485394378">
    <w:abstractNumId w:val="5"/>
  </w:num>
  <w:num w:numId="16" w16cid:durableId="184439934">
    <w:abstractNumId w:val="4"/>
  </w:num>
  <w:num w:numId="17" w16cid:durableId="1960379754">
    <w:abstractNumId w:val="2"/>
  </w:num>
  <w:num w:numId="18" w16cid:durableId="2009284515">
    <w:abstractNumId w:val="10"/>
  </w:num>
  <w:num w:numId="19" w16cid:durableId="2108236361">
    <w:abstractNumId w:val="1"/>
  </w:num>
  <w:num w:numId="20" w16cid:durableId="55793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BF"/>
    <w:rsid w:val="00095F00"/>
    <w:rsid w:val="00215EF9"/>
    <w:rsid w:val="005F1520"/>
    <w:rsid w:val="00601F2D"/>
    <w:rsid w:val="00807086"/>
    <w:rsid w:val="00AC4484"/>
    <w:rsid w:val="00C640BF"/>
    <w:rsid w:val="00F2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920C"/>
  <w15:docId w15:val="{5E808382-96E0-4E8A-AC94-DB6EE5DC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rPr>
  </w:style>
  <w:style w:type="paragraph" w:styleId="Heading1">
    <w:name w:val="heading 1"/>
    <w:basedOn w:val="Normal"/>
    <w:next w:val="Normal"/>
    <w:link w:val="Heading1Char"/>
    <w:uiPriority w:val="9"/>
    <w:qFormat/>
    <w:pPr>
      <w:keepNext/>
      <w:keepLines/>
      <w:spacing w:after="0" w:line="240" w:lineRule="auto"/>
      <w:jc w:val="right"/>
      <w:outlineLvl w:val="0"/>
    </w:pPr>
    <w:rPr>
      <w:rFonts w:ascii="Arial" w:hAnsi="Arial"/>
      <w:b/>
      <w:bCs/>
      <w:sz w:val="36"/>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bCs/>
      <w:color w:val="4F81BD"/>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SimSun" w:hAnsi="Arial" w:cs="SimSun"/>
      <w:b/>
      <w:bCs/>
      <w:sz w:val="36"/>
      <w:szCs w:val="2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4Char">
    <w:name w:val="Heading 4 Char"/>
    <w:basedOn w:val="DefaultParagraphFont"/>
    <w:link w:val="Heading4"/>
    <w:uiPriority w:val="9"/>
    <w:rPr>
      <w:rFonts w:ascii="Calibri Light" w:eastAsia="SimSun" w:hAnsi="Calibri Light" w:cs="SimSun"/>
      <w:i/>
      <w:iCs/>
      <w:color w:val="2F5496"/>
    </w:rPr>
  </w:style>
  <w:style w:type="paragraph" w:styleId="NormalWeb">
    <w:name w:val="Normal (Web)"/>
    <w:basedOn w:val="Normal"/>
    <w:uiPriority w:val="99"/>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chakra-text">
    <w:name w:val="chakra-text"/>
    <w:basedOn w:val="DefaultParagraphFont"/>
  </w:style>
  <w:style w:type="table" w:styleId="TableGrid">
    <w:name w:val="Table Grid"/>
    <w:basedOn w:val="TableNormal"/>
    <w:uiPriority w:val="59"/>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Pr>
      <w:b/>
      <w:bCs/>
      <w:color w:val="4F81BD"/>
      <w:sz w:val="26"/>
      <w:szCs w:val="26"/>
    </w:rPr>
  </w:style>
  <w:style w:type="character" w:customStyle="1" w:styleId="Heading3Char">
    <w:name w:val="Heading 3 Char"/>
    <w:basedOn w:val="DefaultParagraphFont"/>
    <w:link w:val="Heading3"/>
    <w:uiPriority w:val="9"/>
    <w:rPr>
      <w:b/>
      <w:bCs/>
      <w:color w:val="4F81BD"/>
    </w:rPr>
  </w:style>
  <w:style w:type="character" w:styleId="SubtleEmphasis">
    <w:name w:val="Subtle Emphasis"/>
    <w:basedOn w:val="DefaultParagraphFont"/>
    <w:uiPriority w:val="19"/>
    <w:qFormat/>
    <w:rPr>
      <w:i/>
      <w:iCs/>
      <w:color w:val="808080"/>
    </w:rPr>
  </w:style>
  <w:style w:type="paragraph" w:styleId="Header">
    <w:name w:val="header"/>
    <w:basedOn w:val="Normal"/>
    <w:link w:val="HeaderChar"/>
    <w:uiPriority w:val="99"/>
    <w:unhideWhenUsed/>
    <w:rsid w:val="005F1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20"/>
    <w:rPr>
      <w:rFonts w:eastAsia="SimSun"/>
    </w:rPr>
  </w:style>
  <w:style w:type="paragraph" w:styleId="Footer">
    <w:name w:val="footer"/>
    <w:basedOn w:val="Normal"/>
    <w:link w:val="FooterChar"/>
    <w:uiPriority w:val="99"/>
    <w:unhideWhenUsed/>
    <w:rsid w:val="005F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20"/>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Postpartum_infections" TargetMode="External"/><Relationship Id="rId13" Type="http://schemas.openxmlformats.org/officeDocument/2006/relationships/header" Target="header3.xml"/><Relationship Id="rId18" Type="http://schemas.openxmlformats.org/officeDocument/2006/relationships/hyperlink" Target="https://en.wikipedia.org/wiki/PMC_(identifier)" TargetMode="External"/><Relationship Id="rId26" Type="http://schemas.openxmlformats.org/officeDocument/2006/relationships/hyperlink" Target="https://www.ncbi.nlm.nih.gov/pmc/articles/PMC5605883" TargetMode="External"/><Relationship Id="rId39" Type="http://schemas.openxmlformats.org/officeDocument/2006/relationships/hyperlink" Target="https://en.wikipedia.org/wiki/PMID_(identifier)" TargetMode="External"/><Relationship Id="rId3" Type="http://schemas.openxmlformats.org/officeDocument/2006/relationships/settings" Target="settings.xml"/><Relationship Id="rId21" Type="http://schemas.openxmlformats.org/officeDocument/2006/relationships/hyperlink" Target="https://pubmed.ncbi.nlm.nih.gov/25207494" TargetMode="External"/><Relationship Id="rId34" Type="http://schemas.openxmlformats.org/officeDocument/2006/relationships/hyperlink" Target="https://www.ncbi.nlm.nih.gov/pmc/articles/PMC5605883" TargetMode="External"/><Relationship Id="rId42" Type="http://schemas.openxmlformats.org/officeDocument/2006/relationships/hyperlink" Target="https://emedicine.medscape.com/article/261586-overview" TargetMode="External"/><Relationship Id="rId7" Type="http://schemas.openxmlformats.org/officeDocument/2006/relationships/hyperlink" Target="https://en.wikipedia.org/wiki/Miscarriage" TargetMode="External"/><Relationship Id="rId12" Type="http://schemas.openxmlformats.org/officeDocument/2006/relationships/footer" Target="footer2.xml"/><Relationship Id="rId17" Type="http://schemas.openxmlformats.org/officeDocument/2006/relationships/hyperlink" Target="https://doi.org/10.1111%2Fj.1728-4465.2014.00393.x" TargetMode="External"/><Relationship Id="rId25" Type="http://schemas.openxmlformats.org/officeDocument/2006/relationships/hyperlink" Target="https://en.wikipedia.org/wiki/PMC_(identifier)" TargetMode="External"/><Relationship Id="rId33" Type="http://schemas.openxmlformats.org/officeDocument/2006/relationships/hyperlink" Target="https://web.archive.org/web/20170910181311/https:/books.google.com/books?id=4Sg5sXyiBvkC&amp;pg=PA438" TargetMode="External"/><Relationship Id="rId38" Type="http://schemas.openxmlformats.org/officeDocument/2006/relationships/hyperlink" Target="https://www.ncbi.nlm.nih.gov/pmc/articles/PMC560588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Doi_(identifier)" TargetMode="External"/><Relationship Id="rId20" Type="http://schemas.openxmlformats.org/officeDocument/2006/relationships/hyperlink" Target="https://en.wikipedia.org/wiki/PMID_(identifier)" TargetMode="External"/><Relationship Id="rId29" Type="http://schemas.openxmlformats.org/officeDocument/2006/relationships/hyperlink" Target="https://dx.doi.org/10.15620/cdc/158789" TargetMode="External"/><Relationship Id="rId41" Type="http://schemas.openxmlformats.org/officeDocument/2006/relationships/hyperlink" Target="https://www.researchgate.net/publication/311943396_638_Is_low_hemoglobin_consistent_with_anemia_in_pregnancy/cit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2FS0140-6736%2817%2932152-9" TargetMode="External"/><Relationship Id="rId32" Type="http://schemas.openxmlformats.org/officeDocument/2006/relationships/hyperlink" Target="https://en.wikipedia.org/wiki/Special:BookSources/978-1-4511-4801-5" TargetMode="External"/><Relationship Id="rId37" Type="http://schemas.openxmlformats.org/officeDocument/2006/relationships/hyperlink" Target="https://en.wikipedia.org/wiki/PMC_(identifier)" TargetMode="External"/><Relationship Id="rId40" Type="http://schemas.openxmlformats.org/officeDocument/2006/relationships/hyperlink" Target="https://pubmed.ncbi.nlm.nih.gov/2891911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4727534" TargetMode="External"/><Relationship Id="rId23" Type="http://schemas.openxmlformats.org/officeDocument/2006/relationships/hyperlink" Target="https://en.wikipedia.org/wiki/Doi_(identifier)" TargetMode="External"/><Relationship Id="rId28" Type="http://schemas.openxmlformats.org/officeDocument/2006/relationships/hyperlink" Target="https://pubmed.ncbi.nlm.nih.gov/28919116" TargetMode="External"/><Relationship Id="rId36" Type="http://schemas.openxmlformats.org/officeDocument/2006/relationships/hyperlink" Target="https://doi.org/10.1016%2FS0140-6736%2817%2932152-9" TargetMode="External"/><Relationship Id="rId10" Type="http://schemas.openxmlformats.org/officeDocument/2006/relationships/header" Target="header2.xml"/><Relationship Id="rId19" Type="http://schemas.openxmlformats.org/officeDocument/2006/relationships/hyperlink" Target="https://www.ncbi.nlm.nih.gov/pmc/articles/PMC4727534" TargetMode="External"/><Relationship Id="rId31" Type="http://schemas.openxmlformats.org/officeDocument/2006/relationships/hyperlink" Target="https://en.wikipedia.org/wiki/ISBN_(identifier)" TargetMode="External"/><Relationship Id="rId44" Type="http://schemas.openxmlformats.org/officeDocument/2006/relationships/hyperlink" Target="https://www.premiumtimesng.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bi.nlm.nih.gov/pmc/articles/PMC5605883" TargetMode="External"/><Relationship Id="rId27" Type="http://schemas.openxmlformats.org/officeDocument/2006/relationships/hyperlink" Target="https://en.wikipedia.org/wiki/PMID_(identifier)" TargetMode="External"/><Relationship Id="rId30" Type="http://schemas.openxmlformats.org/officeDocument/2006/relationships/hyperlink" Target="https://books.google.com/books?id=4Sg5sXyiBvkC&amp;pg=PA438" TargetMode="External"/><Relationship Id="rId35" Type="http://schemas.openxmlformats.org/officeDocument/2006/relationships/hyperlink" Target="https://en.wikipedia.org/wiki/Doi_(identifier)" TargetMode="External"/><Relationship Id="rId43" Type="http://schemas.openxmlformats.org/officeDocument/2006/relationships/hyperlink" Target="https://www.qxmd.com/r/34293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9663</Words>
  <Characters>55083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Ndeh Bravo</dc:creator>
  <cp:lastModifiedBy>Editor-22</cp:lastModifiedBy>
  <cp:revision>5</cp:revision>
  <dcterms:created xsi:type="dcterms:W3CDTF">2024-12-29T20:54:00Z</dcterms:created>
  <dcterms:modified xsi:type="dcterms:W3CDTF">2025-01-01T11:02:00Z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928b8793d8bd4dfbb7545207402d6193</vt:lpwstr>
  </property>
</Properties>
</file>