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CFAC9" w14:textId="29CE47E6" w:rsidR="00B43853" w:rsidRDefault="00B43853" w:rsidP="008C7F3B">
      <w:pPr>
        <w:spacing w:line="360" w:lineRule="auto"/>
        <w:jc w:val="center"/>
        <w:rPr>
          <w:rFonts w:asciiTheme="majorBidi" w:hAnsiTheme="majorBidi" w:cstheme="majorBidi"/>
          <w:b/>
          <w:bCs/>
          <w:sz w:val="28"/>
          <w:szCs w:val="28"/>
        </w:rPr>
      </w:pPr>
      <w:bookmarkStart w:id="0" w:name="_Hlk189238591"/>
      <w:r w:rsidRPr="008C7F3B">
        <w:rPr>
          <w:rFonts w:asciiTheme="majorBidi" w:hAnsiTheme="majorBidi" w:cstheme="majorBidi"/>
          <w:b/>
          <w:bCs/>
          <w:sz w:val="28"/>
          <w:szCs w:val="28"/>
        </w:rPr>
        <w:t>Assessment of Cadmium Levels in Selected Local and Imported Fruits and Vegetables in Iraq: A Study on Environmental and Health Risks</w:t>
      </w:r>
    </w:p>
    <w:p w14:paraId="75883A30" w14:textId="77777777" w:rsidR="00B43853" w:rsidRPr="008C7F3B" w:rsidRDefault="00B43853" w:rsidP="008C7F3B">
      <w:pPr>
        <w:spacing w:line="360" w:lineRule="auto"/>
        <w:jc w:val="both"/>
        <w:rPr>
          <w:rFonts w:asciiTheme="majorBidi" w:hAnsiTheme="majorBidi" w:cstheme="majorBidi"/>
          <w:b/>
          <w:bCs/>
          <w:sz w:val="28"/>
          <w:szCs w:val="28"/>
          <w:rtl/>
        </w:rPr>
      </w:pPr>
    </w:p>
    <w:p w14:paraId="251D0567" w14:textId="09B4BB75" w:rsidR="00B43853" w:rsidRPr="008C7F3B" w:rsidRDefault="00B43853" w:rsidP="008C7F3B">
      <w:pPr>
        <w:spacing w:line="360" w:lineRule="auto"/>
        <w:ind w:left="720"/>
        <w:jc w:val="both"/>
        <w:rPr>
          <w:rFonts w:asciiTheme="majorBidi" w:hAnsiTheme="majorBidi" w:cstheme="majorBidi"/>
          <w:sz w:val="24"/>
          <w:szCs w:val="24"/>
        </w:rPr>
      </w:pPr>
      <w:r w:rsidRPr="008C7F3B">
        <w:rPr>
          <w:rFonts w:asciiTheme="majorBidi" w:hAnsiTheme="majorBidi" w:cstheme="majorBidi"/>
          <w:b/>
          <w:bCs/>
          <w:sz w:val="24"/>
          <w:szCs w:val="24"/>
        </w:rPr>
        <w:t>Abstract:</w:t>
      </w:r>
    </w:p>
    <w:p w14:paraId="6564FCA9" w14:textId="77777777" w:rsidR="00B43853" w:rsidRPr="008C7F3B" w:rsidRDefault="00B43853" w:rsidP="008C7F3B">
      <w:pPr>
        <w:spacing w:line="360" w:lineRule="auto"/>
        <w:ind w:left="720"/>
        <w:jc w:val="both"/>
        <w:rPr>
          <w:rFonts w:asciiTheme="majorBidi" w:hAnsiTheme="majorBidi" w:cstheme="majorBidi"/>
          <w:sz w:val="24"/>
          <w:szCs w:val="24"/>
        </w:rPr>
      </w:pPr>
      <w:r w:rsidRPr="008C7F3B">
        <w:rPr>
          <w:rFonts w:asciiTheme="majorBidi" w:hAnsiTheme="majorBidi" w:cstheme="majorBidi"/>
          <w:sz w:val="24"/>
          <w:szCs w:val="24"/>
        </w:rPr>
        <w:t>Heavy metals, such as cadmium, are among the most hazardous environmental pollutants that threaten the quality of agricultural products and human health. This study, conducted in Iraq, aimed to assess cadmium concentrations in the peels and pulp of 11 types of local and imported fruits and vegetables using precise analytical techniques, such as atomic absorption spectrophotometry. The results revealed significant variations in cadmium levels across different plant parts, with higher concentrations in the pulp compared to the peels in 10 out of 11 samples, except for Syrian potatoes, which recorded higher concentrations in the peels. This highlights the influence of soil and surrounding environmental conditions on cadmium uptake. Some samples, such as Syrian cucumbers (0.41 ppm in the pulp), exceeded the permissible limits set by the World Health Organization (0.1 ppm), reflecting the impact of contaminated phosphate fertilizers or irrigation with polluted water. The study analyzed 22 plant samples, examining both the peels and pulp of each type, emphasizing the need to monitor the quality of water and fertilizers used in agriculture. Adopting sustainable agricultural practices is crucial to minimizing heavy metal accumulation in crops and ensuring food safety for consumers in Iraq.</w:t>
      </w:r>
    </w:p>
    <w:p w14:paraId="6E3DBABB" w14:textId="3C80612D" w:rsidR="00B43853" w:rsidRPr="008C7F3B" w:rsidRDefault="00B43853" w:rsidP="008C7F3B">
      <w:pPr>
        <w:spacing w:line="360" w:lineRule="auto"/>
        <w:jc w:val="both"/>
        <w:rPr>
          <w:rFonts w:asciiTheme="majorBidi" w:hAnsiTheme="majorBidi" w:cstheme="majorBidi"/>
          <w:sz w:val="28"/>
          <w:szCs w:val="28"/>
          <w:rtl/>
        </w:rPr>
      </w:pPr>
      <w:r w:rsidRPr="008C7F3B">
        <w:rPr>
          <w:rFonts w:asciiTheme="majorBidi" w:hAnsiTheme="majorBidi" w:cstheme="majorBidi"/>
          <w:b/>
          <w:bCs/>
          <w:sz w:val="28"/>
          <w:szCs w:val="28"/>
        </w:rPr>
        <w:t>Keywords:</w:t>
      </w:r>
      <w:r w:rsidRPr="008C7F3B">
        <w:rPr>
          <w:rFonts w:asciiTheme="majorBidi" w:hAnsiTheme="majorBidi" w:cstheme="majorBidi"/>
          <w:sz w:val="28"/>
          <w:szCs w:val="28"/>
        </w:rPr>
        <w:t xml:space="preserve"> Cadmium, heavy metals, environmental pollution, food quality</w:t>
      </w:r>
      <w:r w:rsidRPr="008C7F3B">
        <w:rPr>
          <w:rFonts w:asciiTheme="majorBidi" w:hAnsiTheme="majorBidi" w:cstheme="majorBidi" w:hint="cs"/>
          <w:sz w:val="28"/>
          <w:szCs w:val="28"/>
          <w:rtl/>
        </w:rPr>
        <w:t>.</w:t>
      </w:r>
    </w:p>
    <w:bookmarkEnd w:id="0"/>
    <w:p w14:paraId="691587A7" w14:textId="7FA9479C"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1- Introduction</w:t>
      </w:r>
    </w:p>
    <w:p w14:paraId="7A01FF5C" w14:textId="0B78317C"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ab/>
        <w:t xml:space="preserve">Heavy metals are among the most dangerous environmental pollutants, posing significant threats to both human health and ecosystems. Heavy metals are defined as chemical elements with high density, such as lead (Pb), cadmium (Cd), mercury (Hg), arsenic (As), and nickel (Ni). These elements are characterized by their high toxicity and ability to bioaccumulate in living </w:t>
      </w:r>
      <w:r w:rsidRPr="008C7F3B">
        <w:rPr>
          <w:rFonts w:asciiTheme="majorBidi" w:hAnsiTheme="majorBidi" w:cstheme="majorBidi"/>
          <w:sz w:val="28"/>
          <w:szCs w:val="28"/>
        </w:rPr>
        <w:lastRenderedPageBreak/>
        <w:t>tissues (</w:t>
      </w:r>
      <w:r w:rsidR="00855473" w:rsidRPr="008C7F3B">
        <w:rPr>
          <w:rFonts w:asciiTheme="majorBidi" w:hAnsiTheme="majorBidi" w:cstheme="majorBidi"/>
          <w:sz w:val="28"/>
          <w:szCs w:val="28"/>
        </w:rPr>
        <w:t>1</w:t>
      </w:r>
      <w:r w:rsidRPr="008C7F3B">
        <w:rPr>
          <w:rFonts w:asciiTheme="majorBidi" w:hAnsiTheme="majorBidi" w:cstheme="majorBidi"/>
          <w:sz w:val="28"/>
          <w:szCs w:val="28"/>
        </w:rPr>
        <w:t>). They enter the environment through various anthropogenic activities, including heavy industries, mining, the use of fertilizers and pesticides, and vehicle emissions (</w:t>
      </w:r>
      <w:r w:rsidR="001C6D54" w:rsidRPr="008C7F3B">
        <w:rPr>
          <w:rFonts w:asciiTheme="majorBidi" w:hAnsiTheme="majorBidi" w:cstheme="majorBidi"/>
          <w:sz w:val="28"/>
          <w:szCs w:val="28"/>
        </w:rPr>
        <w:t>12</w:t>
      </w:r>
      <w:r w:rsidRPr="008C7F3B">
        <w:rPr>
          <w:rFonts w:asciiTheme="majorBidi" w:hAnsiTheme="majorBidi" w:cstheme="majorBidi"/>
          <w:sz w:val="28"/>
          <w:szCs w:val="28"/>
        </w:rPr>
        <w:t>). Additionally, untreated wastewater and industrial waste contribute to the increased concentrations of these elements in soil and groundwater, which in turn expose agricultural crops to contamination (</w:t>
      </w:r>
      <w:r w:rsidR="00B63114" w:rsidRPr="008C7F3B">
        <w:rPr>
          <w:rFonts w:asciiTheme="majorBidi" w:hAnsiTheme="majorBidi" w:cstheme="majorBidi"/>
          <w:sz w:val="28"/>
          <w:szCs w:val="28"/>
        </w:rPr>
        <w:t>2</w:t>
      </w:r>
      <w:r w:rsidRPr="008C7F3B">
        <w:rPr>
          <w:rFonts w:asciiTheme="majorBidi" w:hAnsiTheme="majorBidi" w:cstheme="majorBidi"/>
          <w:sz w:val="28"/>
          <w:szCs w:val="28"/>
        </w:rPr>
        <w:t>).</w:t>
      </w:r>
    </w:p>
    <w:p w14:paraId="39AE69A1" w14:textId="09B282E4"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Agricultural soil serves as a critical medium through which heavy metals enter the food chain. When soil is contaminated, plants absorb these elements through their roots and transfer them to edible parts such as leaves, fruits, and roots (</w:t>
      </w:r>
      <w:r w:rsidR="001C6D54" w:rsidRPr="008C7F3B">
        <w:rPr>
          <w:rFonts w:asciiTheme="majorBidi" w:hAnsiTheme="majorBidi" w:cstheme="majorBidi"/>
          <w:sz w:val="28"/>
          <w:szCs w:val="28"/>
        </w:rPr>
        <w:t>13</w:t>
      </w:r>
      <w:r w:rsidRPr="008C7F3B">
        <w:rPr>
          <w:rFonts w:asciiTheme="majorBidi" w:hAnsiTheme="majorBidi" w:cstheme="majorBidi"/>
          <w:sz w:val="28"/>
          <w:szCs w:val="28"/>
        </w:rPr>
        <w:t>). Studies have shown that heavy metals can accumulate in agricultural crops, including fruits and vegetables, which form a substantial part of the human diet (</w:t>
      </w:r>
      <w:r w:rsidR="001C6D54" w:rsidRPr="008C7F3B">
        <w:rPr>
          <w:rFonts w:asciiTheme="majorBidi" w:hAnsiTheme="majorBidi" w:cstheme="majorBidi"/>
          <w:sz w:val="28"/>
          <w:szCs w:val="28"/>
        </w:rPr>
        <w:t>14</w:t>
      </w:r>
      <w:r w:rsidRPr="008C7F3B">
        <w:rPr>
          <w:rFonts w:asciiTheme="majorBidi" w:hAnsiTheme="majorBidi" w:cstheme="majorBidi"/>
          <w:sz w:val="28"/>
          <w:szCs w:val="28"/>
        </w:rPr>
        <w:t>). For instance, recent research indicates that leafy vegetables such as spinach and lettuce can contain high levels of lead and cadmium, especially when grown near highways or industrial areas (</w:t>
      </w:r>
      <w:r w:rsidR="00B63114" w:rsidRPr="008C7F3B">
        <w:rPr>
          <w:rFonts w:asciiTheme="majorBidi" w:hAnsiTheme="majorBidi" w:cstheme="majorBidi"/>
          <w:sz w:val="28"/>
          <w:szCs w:val="28"/>
        </w:rPr>
        <w:t>7</w:t>
      </w:r>
      <w:r w:rsidRPr="008C7F3B">
        <w:rPr>
          <w:rFonts w:asciiTheme="majorBidi" w:hAnsiTheme="majorBidi" w:cstheme="majorBidi"/>
          <w:sz w:val="28"/>
          <w:szCs w:val="28"/>
        </w:rPr>
        <w:t>).</w:t>
      </w:r>
    </w:p>
    <w:p w14:paraId="73170D0B" w14:textId="481BDDC6"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Heavy metals reach humans primarily through the consumption of contaminated food, polluted water, and air (</w:t>
      </w:r>
      <w:r w:rsidR="00B63114" w:rsidRPr="008C7F3B">
        <w:rPr>
          <w:rFonts w:asciiTheme="majorBidi" w:hAnsiTheme="majorBidi" w:cstheme="majorBidi"/>
          <w:sz w:val="28"/>
          <w:szCs w:val="28"/>
        </w:rPr>
        <w:t>3</w:t>
      </w:r>
      <w:r w:rsidRPr="008C7F3B">
        <w:rPr>
          <w:rFonts w:asciiTheme="majorBidi" w:hAnsiTheme="majorBidi" w:cstheme="majorBidi"/>
          <w:sz w:val="28"/>
          <w:szCs w:val="28"/>
        </w:rPr>
        <w:t>). Once inside the body, these metals accumulate in vital organs such as the liver, kidneys, and bones, causing severe long-term health issues (</w:t>
      </w:r>
      <w:r w:rsidR="00B63114" w:rsidRPr="008C7F3B">
        <w:rPr>
          <w:rFonts w:asciiTheme="majorBidi" w:hAnsiTheme="majorBidi" w:cstheme="majorBidi"/>
          <w:sz w:val="28"/>
          <w:szCs w:val="28"/>
        </w:rPr>
        <w:t>5</w:t>
      </w:r>
      <w:r w:rsidRPr="008C7F3B">
        <w:rPr>
          <w:rFonts w:asciiTheme="majorBidi" w:hAnsiTheme="majorBidi" w:cstheme="majorBidi"/>
          <w:sz w:val="28"/>
          <w:szCs w:val="28"/>
        </w:rPr>
        <w:t>). For example, lead is a neurotoxic element that particularly affects children, leading to developmental delays and impaired cognitive functions (</w:t>
      </w:r>
      <w:r w:rsidR="00B63114" w:rsidRPr="008C7F3B">
        <w:rPr>
          <w:rFonts w:asciiTheme="majorBidi" w:hAnsiTheme="majorBidi" w:cstheme="majorBidi"/>
          <w:sz w:val="28"/>
          <w:szCs w:val="28"/>
        </w:rPr>
        <w:t>4</w:t>
      </w:r>
      <w:r w:rsidRPr="008C7F3B">
        <w:rPr>
          <w:rFonts w:asciiTheme="majorBidi" w:hAnsiTheme="majorBidi" w:cstheme="majorBidi"/>
          <w:sz w:val="28"/>
          <w:szCs w:val="28"/>
        </w:rPr>
        <w:t>). Similarly, cadmium is a known carcinogen that accumulates in the kidneys, causing kidney failure and osteoporosis (</w:t>
      </w:r>
      <w:r w:rsidR="00B63114" w:rsidRPr="008C7F3B">
        <w:rPr>
          <w:rFonts w:asciiTheme="majorBidi" w:hAnsiTheme="majorBidi" w:cstheme="majorBidi"/>
          <w:sz w:val="28"/>
          <w:szCs w:val="28"/>
        </w:rPr>
        <w:t>6</w:t>
      </w:r>
      <w:r w:rsidRPr="008C7F3B">
        <w:rPr>
          <w:rFonts w:asciiTheme="majorBidi" w:hAnsiTheme="majorBidi" w:cstheme="majorBidi"/>
          <w:sz w:val="28"/>
          <w:szCs w:val="28"/>
        </w:rPr>
        <w:t>).</w:t>
      </w:r>
    </w:p>
    <w:p w14:paraId="565C4ABE" w14:textId="65F0BF5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International organizations such as the World Health Organization (WHO) and the Food and Agriculture Organization (FAO) have established permissible limits for heavy metal concentrations in food and water. For instance, the maximum allowable level of lead in vegetables is 0.1 mg/kg, while the limit for cadmium is 0.05 mg/kg (</w:t>
      </w:r>
      <w:r w:rsidR="00B63114" w:rsidRPr="008C7F3B">
        <w:rPr>
          <w:rFonts w:asciiTheme="majorBidi" w:hAnsiTheme="majorBidi" w:cstheme="majorBidi"/>
          <w:sz w:val="28"/>
          <w:szCs w:val="28"/>
        </w:rPr>
        <w:t>8</w:t>
      </w:r>
      <w:r w:rsidRPr="008C7F3B">
        <w:rPr>
          <w:rFonts w:asciiTheme="majorBidi" w:hAnsiTheme="majorBidi" w:cstheme="majorBidi"/>
          <w:sz w:val="28"/>
          <w:szCs w:val="28"/>
        </w:rPr>
        <w:t xml:space="preserve">). However, numerous studies </w:t>
      </w:r>
      <w:r w:rsidRPr="008C7F3B">
        <w:rPr>
          <w:rFonts w:asciiTheme="majorBidi" w:hAnsiTheme="majorBidi" w:cstheme="majorBidi"/>
          <w:sz w:val="28"/>
          <w:szCs w:val="28"/>
        </w:rPr>
        <w:lastRenderedPageBreak/>
        <w:t>indicate that the concentration of these elements in some agricultural regions exceeds these limits, posing risks to consumer health (</w:t>
      </w:r>
      <w:r w:rsidR="001C6D54" w:rsidRPr="008C7F3B">
        <w:rPr>
          <w:rFonts w:asciiTheme="majorBidi" w:hAnsiTheme="majorBidi" w:cstheme="majorBidi"/>
          <w:sz w:val="28"/>
          <w:szCs w:val="28"/>
        </w:rPr>
        <w:t>15</w:t>
      </w:r>
      <w:r w:rsidRPr="008C7F3B">
        <w:rPr>
          <w:rFonts w:asciiTheme="majorBidi" w:hAnsiTheme="majorBidi" w:cstheme="majorBidi"/>
          <w:sz w:val="28"/>
          <w:szCs w:val="28"/>
        </w:rPr>
        <w:t>).</w:t>
      </w:r>
    </w:p>
    <w:p w14:paraId="2DAC3CA8" w14:textId="5C221AE8"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Heavy metals not only impact human health but also have adverse effects on the environment. High concentrations of these elements in soil can degrade soil fertility, reduce microbial diversity, and contaminate groundwater (Ali et al., 2020). Furthermore, these metals can bioaccumulate in the food chain, affecting other plants and animals (</w:t>
      </w:r>
      <w:r w:rsidR="001C6D54" w:rsidRPr="008C7F3B">
        <w:rPr>
          <w:rFonts w:asciiTheme="majorBidi" w:hAnsiTheme="majorBidi" w:cstheme="majorBidi"/>
          <w:sz w:val="28"/>
          <w:szCs w:val="28"/>
        </w:rPr>
        <w:t>16</w:t>
      </w:r>
      <w:r w:rsidRPr="008C7F3B">
        <w:rPr>
          <w:rFonts w:asciiTheme="majorBidi" w:hAnsiTheme="majorBidi" w:cstheme="majorBidi"/>
          <w:sz w:val="28"/>
          <w:szCs w:val="28"/>
        </w:rPr>
        <w:t>). For instance, recent studies have shown that fish living in water contaminated with lead and cadmium exhibit high concentrations of these elements, posing risks to human health when consumed (</w:t>
      </w:r>
      <w:r w:rsidR="00C95E8B" w:rsidRPr="008C7F3B">
        <w:rPr>
          <w:rFonts w:asciiTheme="majorBidi" w:hAnsiTheme="majorBidi" w:cstheme="majorBidi"/>
          <w:sz w:val="28"/>
          <w:szCs w:val="28"/>
        </w:rPr>
        <w:t>17</w:t>
      </w:r>
      <w:r w:rsidRPr="008C7F3B">
        <w:rPr>
          <w:rFonts w:asciiTheme="majorBidi" w:hAnsiTheme="majorBidi" w:cstheme="majorBidi"/>
          <w:sz w:val="28"/>
          <w:szCs w:val="28"/>
        </w:rPr>
        <w:t>).</w:t>
      </w:r>
    </w:p>
    <w:p w14:paraId="439FC682" w14:textId="3DDA6C24"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Chronic exposure to heavy metals can lead to severe health conditions, including cancer, cardiovascular diseases, neurological disorders, and kidney failure (</w:t>
      </w:r>
      <w:r w:rsidR="001C6D54" w:rsidRPr="008C7F3B">
        <w:rPr>
          <w:rFonts w:asciiTheme="majorBidi" w:hAnsiTheme="majorBidi" w:cstheme="majorBidi"/>
          <w:sz w:val="28"/>
          <w:szCs w:val="28"/>
        </w:rPr>
        <w:t>5</w:t>
      </w:r>
      <w:r w:rsidRPr="008C7F3B">
        <w:rPr>
          <w:rFonts w:asciiTheme="majorBidi" w:hAnsiTheme="majorBidi" w:cstheme="majorBidi"/>
          <w:sz w:val="28"/>
          <w:szCs w:val="28"/>
        </w:rPr>
        <w:t>). Research suggests that lead exposure increases the risk of cardiovascular diseases, particularly in adults (</w:t>
      </w:r>
      <w:r w:rsidR="00C95E8B" w:rsidRPr="008C7F3B">
        <w:rPr>
          <w:rFonts w:asciiTheme="majorBidi" w:hAnsiTheme="majorBidi" w:cstheme="majorBidi"/>
          <w:sz w:val="28"/>
          <w:szCs w:val="28"/>
        </w:rPr>
        <w:t>18</w:t>
      </w:r>
      <w:r w:rsidRPr="008C7F3B">
        <w:rPr>
          <w:rFonts w:asciiTheme="majorBidi" w:hAnsiTheme="majorBidi" w:cstheme="majorBidi"/>
          <w:sz w:val="28"/>
          <w:szCs w:val="28"/>
        </w:rPr>
        <w:t>), while cadmium exposure is associated with higher risks of lung and prostate cancers (</w:t>
      </w:r>
      <w:r w:rsidR="001C6D54" w:rsidRPr="008C7F3B">
        <w:rPr>
          <w:rFonts w:asciiTheme="majorBidi" w:hAnsiTheme="majorBidi" w:cstheme="majorBidi"/>
          <w:sz w:val="28"/>
          <w:szCs w:val="28"/>
        </w:rPr>
        <w:t>6</w:t>
      </w:r>
      <w:r w:rsidRPr="008C7F3B">
        <w:rPr>
          <w:rFonts w:asciiTheme="majorBidi" w:hAnsiTheme="majorBidi" w:cstheme="majorBidi"/>
          <w:sz w:val="28"/>
          <w:szCs w:val="28"/>
        </w:rPr>
        <w:t>).</w:t>
      </w:r>
    </w:p>
    <w:p w14:paraId="638F3C05" w14:textId="4845548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In Iraq, soil and water contamination with heavy metals is one of the major environmental challenges, especially in regions affected by wars or those relying on untreated wastewater for irrigation (</w:t>
      </w:r>
      <w:r w:rsidR="00C95E8B" w:rsidRPr="008C7F3B">
        <w:rPr>
          <w:rFonts w:asciiTheme="majorBidi" w:hAnsiTheme="majorBidi" w:cstheme="majorBidi"/>
          <w:sz w:val="28"/>
          <w:szCs w:val="28"/>
        </w:rPr>
        <w:t>19</w:t>
      </w:r>
      <w:r w:rsidRPr="008C7F3B">
        <w:rPr>
          <w:rFonts w:asciiTheme="majorBidi" w:hAnsiTheme="majorBidi" w:cstheme="majorBidi"/>
          <w:sz w:val="28"/>
          <w:szCs w:val="28"/>
        </w:rPr>
        <w:t>). Local studies have revealed that lead and cadmium concentrations in some agricultural crops exceed international permissible limits, posing threats to consumer health (</w:t>
      </w:r>
      <w:r w:rsidR="00C95E8B" w:rsidRPr="008C7F3B">
        <w:rPr>
          <w:rFonts w:asciiTheme="majorBidi" w:hAnsiTheme="majorBidi" w:cstheme="majorBidi"/>
          <w:sz w:val="28"/>
          <w:szCs w:val="28"/>
        </w:rPr>
        <w:t>20</w:t>
      </w:r>
      <w:r w:rsidRPr="008C7F3B">
        <w:rPr>
          <w:rFonts w:asciiTheme="majorBidi" w:hAnsiTheme="majorBidi" w:cstheme="majorBidi"/>
          <w:sz w:val="28"/>
          <w:szCs w:val="28"/>
        </w:rPr>
        <w:t>). Consequently, monitoring heavy metal concentrations in food has become essential to ensure food safety and protect public health.</w:t>
      </w:r>
    </w:p>
    <w:p w14:paraId="08FE8102" w14:textId="41CEC618"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In this context, the present study aims to analyze the concentrations of heavy metals, particularly lead and cadmium, in a selection of local and imported fruits and vegetables in Iraq. Advanced techniques, including acid digestion </w:t>
      </w:r>
      <w:r w:rsidRPr="008C7F3B">
        <w:rPr>
          <w:rFonts w:asciiTheme="majorBidi" w:hAnsiTheme="majorBidi" w:cstheme="majorBidi"/>
          <w:sz w:val="28"/>
          <w:szCs w:val="28"/>
        </w:rPr>
        <w:lastRenderedPageBreak/>
        <w:t>and spectrophotometry, were employed to accurately measure these concentrations. The significance of this study lies in its attempt to identify the sources of contamination and its impact on agricultural crops, while also providing practical recommendations to mitigate the issue</w:t>
      </w:r>
      <w:r w:rsidR="00C95E8B" w:rsidRPr="008C7F3B">
        <w:rPr>
          <w:rFonts w:asciiTheme="majorBidi" w:hAnsiTheme="majorBidi" w:cstheme="majorBidi"/>
          <w:sz w:val="28"/>
          <w:szCs w:val="28"/>
        </w:rPr>
        <w:t xml:space="preserve"> (21)</w:t>
      </w:r>
      <w:r w:rsidRPr="008C7F3B">
        <w:rPr>
          <w:rFonts w:asciiTheme="majorBidi" w:hAnsiTheme="majorBidi" w:cstheme="majorBidi"/>
          <w:sz w:val="28"/>
          <w:szCs w:val="28"/>
        </w:rPr>
        <w:t>. By utilizing up-to-date data and modern analytical methods, the study delivers precise findings that can support the development of effective environmental and health policies</w:t>
      </w:r>
      <w:r w:rsidR="00C95E8B" w:rsidRPr="008C7F3B">
        <w:rPr>
          <w:rFonts w:asciiTheme="majorBidi" w:hAnsiTheme="majorBidi" w:cstheme="majorBidi"/>
          <w:sz w:val="28"/>
          <w:szCs w:val="28"/>
        </w:rPr>
        <w:t xml:space="preserve"> (22)</w:t>
      </w:r>
      <w:r w:rsidRPr="008C7F3B">
        <w:rPr>
          <w:rFonts w:asciiTheme="majorBidi" w:hAnsiTheme="majorBidi" w:cstheme="majorBidi"/>
          <w:sz w:val="28"/>
          <w:szCs w:val="28"/>
        </w:rPr>
        <w:t>.</w:t>
      </w:r>
    </w:p>
    <w:p w14:paraId="15C7418B"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2. Materials and Methods</w:t>
      </w:r>
    </w:p>
    <w:p w14:paraId="182A38E8"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Samples of fruits and vegetables were collected, including apples (local, Chinese, and Turkish varieties), oranges (local, Egyptian, and Turkish varieties), cucumbers (Syrian, local, and Iranian varieties), and potatoes (local and Syrian). The samples were peeled, and each sample was divided into two parts: the pulp and the peel. The samples underwent drying, grinding, and digestion processes to prepare extracts for analysis. Heavy metal concentrations were determined using atomic absorption spectrophotometry.</w:t>
      </w:r>
    </w:p>
    <w:p w14:paraId="26D5D3BB" w14:textId="77777777" w:rsidR="00B43853" w:rsidRPr="008C7F3B" w:rsidRDefault="00B43853" w:rsidP="008C7F3B">
      <w:pPr>
        <w:spacing w:line="360" w:lineRule="auto"/>
        <w:jc w:val="both"/>
        <w:rPr>
          <w:rFonts w:asciiTheme="majorBidi" w:hAnsiTheme="majorBidi" w:cstheme="majorBidi"/>
          <w:b/>
          <w:bCs/>
          <w:sz w:val="28"/>
          <w:szCs w:val="28"/>
        </w:rPr>
      </w:pPr>
      <w:r w:rsidRPr="008C7F3B">
        <w:rPr>
          <w:rFonts w:asciiTheme="majorBidi" w:hAnsiTheme="majorBidi" w:cstheme="majorBidi"/>
          <w:b/>
          <w:bCs/>
          <w:sz w:val="28"/>
          <w:szCs w:val="28"/>
        </w:rPr>
        <w:t>2.1 Sample Preparation</w:t>
      </w:r>
    </w:p>
    <w:p w14:paraId="7428704B"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The waxy layer of apples, including local (Iraqi) and imported varieties (Turkish and Chinese), was removed. The peels were then separated from the pulp for all types of fruits and vegetables used in the experiment. The peels were placed on labeled metallic sheets to distinguish between fruit and vegetable samples. Similarly, the pulp of all samples was cut into pieces and distributed on metallic sheets with appropriate identification labels.</w:t>
      </w:r>
    </w:p>
    <w:p w14:paraId="4E68D266"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All samples were placed in a thermal oven set at 190°C for 24 hours until completely dried. Subsequently, the dried samples were ground using an electric grinder to obtain a fine powder. The powdered samples were then </w:t>
      </w:r>
      <w:r w:rsidRPr="008C7F3B">
        <w:rPr>
          <w:rFonts w:asciiTheme="majorBidi" w:hAnsiTheme="majorBidi" w:cstheme="majorBidi"/>
          <w:sz w:val="28"/>
          <w:szCs w:val="28"/>
        </w:rPr>
        <w:lastRenderedPageBreak/>
        <w:t>subjected to digestion to extract the target compounds and prepare them for analysis.</w:t>
      </w:r>
    </w:p>
    <w:p w14:paraId="265C754A" w14:textId="77777777" w:rsidR="00B43853" w:rsidRPr="008C7F3B" w:rsidRDefault="00B43853" w:rsidP="008C7F3B">
      <w:pPr>
        <w:spacing w:line="360" w:lineRule="auto"/>
        <w:jc w:val="both"/>
        <w:rPr>
          <w:rFonts w:asciiTheme="majorBidi" w:hAnsiTheme="majorBidi" w:cstheme="majorBidi"/>
          <w:b/>
          <w:bCs/>
          <w:sz w:val="28"/>
          <w:szCs w:val="28"/>
        </w:rPr>
      </w:pPr>
      <w:r w:rsidRPr="008C7F3B">
        <w:rPr>
          <w:rFonts w:asciiTheme="majorBidi" w:hAnsiTheme="majorBidi" w:cstheme="majorBidi"/>
          <w:b/>
          <w:bCs/>
          <w:sz w:val="28"/>
          <w:szCs w:val="28"/>
        </w:rPr>
        <w:t>2.2 Sample Digestion</w:t>
      </w:r>
    </w:p>
    <w:p w14:paraId="440C5061"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The dried and ground plant samples (both peels and pulp) were digested using an acid mixture composed of nitric acid (HNO₃) and perchloric acid (</w:t>
      </w:r>
      <w:proofErr w:type="spellStart"/>
      <w:r w:rsidRPr="008C7F3B">
        <w:rPr>
          <w:rFonts w:asciiTheme="majorBidi" w:hAnsiTheme="majorBidi" w:cstheme="majorBidi"/>
          <w:sz w:val="28"/>
          <w:szCs w:val="28"/>
        </w:rPr>
        <w:t>HClO</w:t>
      </w:r>
      <w:proofErr w:type="spellEnd"/>
      <w:r w:rsidRPr="008C7F3B">
        <w:rPr>
          <w:rFonts w:asciiTheme="majorBidi" w:hAnsiTheme="majorBidi" w:cstheme="majorBidi"/>
          <w:sz w:val="28"/>
          <w:szCs w:val="28"/>
        </w:rPr>
        <w:t>₄). For each sample, 1 g of the plant material was mixed with 5 mL of nitric acid, followed by the addition of 5 mL of perchloric acid. The mixture was left for 24 hours to allow initial digestion.</w:t>
      </w:r>
    </w:p>
    <w:p w14:paraId="39305AC9" w14:textId="7C58D0B4"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The samples were then heated on a hot plate at 80°C for one hour. After cooling at room temperature, the mixture transitioned from a dark brown color to a clear solution. The digested samples were filtered using Whatman No.42 filter paper, and the volume of the filtrate was adjusted to 10 mL with deionized water. Finally, the concentrations cadmium (Cd) were measured using an atomic absorption spectrophotometer.</w:t>
      </w:r>
    </w:p>
    <w:p w14:paraId="4C630F82"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3. Results and Discussion</w:t>
      </w:r>
    </w:p>
    <w:p w14:paraId="0F56DE3F" w14:textId="5CAF01E3"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Cadmium is a toxic heavy metal naturally present in the environment and is considered a major environmental pollutant that adversely impacts human health and plants. Cadmium accumulates in soil and water as a result of industrial and agricultural activities, such as the use of contaminated phosphate fertilizers and irrigation with polluted water containing industrial waste. When absorbed by plants, cadmium can accumulate in edible parts, posing a health risk to humans upon consumption (</w:t>
      </w:r>
      <w:r w:rsidR="001C6D54" w:rsidRPr="008C7F3B">
        <w:rPr>
          <w:rFonts w:asciiTheme="majorBidi" w:hAnsiTheme="majorBidi" w:cstheme="majorBidi"/>
          <w:sz w:val="28"/>
          <w:szCs w:val="28"/>
        </w:rPr>
        <w:t>9</w:t>
      </w:r>
      <w:r w:rsidRPr="008C7F3B">
        <w:rPr>
          <w:rFonts w:asciiTheme="majorBidi" w:hAnsiTheme="majorBidi" w:cstheme="majorBidi"/>
          <w:sz w:val="28"/>
          <w:szCs w:val="28"/>
        </w:rPr>
        <w:t>).</w:t>
      </w:r>
    </w:p>
    <w:p w14:paraId="1298DF92" w14:textId="43057A1F"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The results revealed significant variations in cadmium concentrations between the peels and the edible parts (pulp) of plants, as well as among the different types of fruits and vegetables and their countries of origin. The </w:t>
      </w:r>
      <w:r w:rsidRPr="008C7F3B">
        <w:rPr>
          <w:rFonts w:asciiTheme="majorBidi" w:hAnsiTheme="majorBidi" w:cstheme="majorBidi"/>
          <w:sz w:val="28"/>
          <w:szCs w:val="28"/>
        </w:rPr>
        <w:lastRenderedPageBreak/>
        <w:t xml:space="preserve">highest cadmium concentration was observed in Syrian cucumbers, with a pulp concentration of </w:t>
      </w:r>
      <w:r w:rsidRPr="008C7F3B">
        <w:rPr>
          <w:rFonts w:asciiTheme="majorBidi" w:hAnsiTheme="majorBidi" w:cstheme="majorBidi"/>
          <w:b/>
          <w:bCs/>
          <w:sz w:val="28"/>
          <w:szCs w:val="28"/>
        </w:rPr>
        <w:t>0.41 ppm</w:t>
      </w:r>
      <w:r w:rsidRPr="008C7F3B">
        <w:rPr>
          <w:rFonts w:asciiTheme="majorBidi" w:hAnsiTheme="majorBidi" w:cstheme="majorBidi"/>
          <w:sz w:val="28"/>
          <w:szCs w:val="28"/>
        </w:rPr>
        <w:t>, exceeding the safe limit set by the World Health Organization (WHO) (0.1 ppm). This elevated level can be attributed to the use of phosphate fertilizers contaminated with cadmium impurities or irrigation with wastewater polluted by industrial residues (</w:t>
      </w:r>
      <w:r w:rsidR="001C6D54" w:rsidRPr="008C7F3B">
        <w:rPr>
          <w:rFonts w:asciiTheme="majorBidi" w:hAnsiTheme="majorBidi" w:cstheme="majorBidi"/>
          <w:sz w:val="28"/>
          <w:szCs w:val="28"/>
        </w:rPr>
        <w:t>2</w:t>
      </w:r>
      <w:r w:rsidRPr="008C7F3B">
        <w:rPr>
          <w:rFonts w:asciiTheme="majorBidi" w:hAnsiTheme="majorBidi" w:cstheme="majorBidi"/>
          <w:sz w:val="28"/>
          <w:szCs w:val="28"/>
        </w:rPr>
        <w:t xml:space="preserve">). Conversely, the lowest concentrations were recorded in the peels of Turkish apples and Iraqi oranges, measuring </w:t>
      </w:r>
      <w:r w:rsidRPr="008C7F3B">
        <w:rPr>
          <w:rFonts w:asciiTheme="majorBidi" w:hAnsiTheme="majorBidi" w:cstheme="majorBidi"/>
          <w:b/>
          <w:bCs/>
          <w:sz w:val="28"/>
          <w:szCs w:val="28"/>
        </w:rPr>
        <w:t>0.0003 ppm</w:t>
      </w:r>
      <w:r w:rsidRPr="008C7F3B">
        <w:rPr>
          <w:rFonts w:asciiTheme="majorBidi" w:hAnsiTheme="majorBidi" w:cstheme="majorBidi"/>
          <w:sz w:val="28"/>
          <w:szCs w:val="28"/>
        </w:rPr>
        <w:t xml:space="preserve">, reflecting strict agricultural practices such as the use of high-quality fertilizers and the avoidance of contamination sources. These findings align with the study of </w:t>
      </w:r>
      <w:proofErr w:type="spellStart"/>
      <w:r w:rsidRPr="008C7F3B">
        <w:rPr>
          <w:rFonts w:asciiTheme="majorBidi" w:hAnsiTheme="majorBidi" w:cstheme="majorBidi"/>
          <w:sz w:val="28"/>
          <w:szCs w:val="28"/>
        </w:rPr>
        <w:t>Kabata-Pendias</w:t>
      </w:r>
      <w:proofErr w:type="spellEnd"/>
      <w:r w:rsidRPr="008C7F3B">
        <w:rPr>
          <w:rFonts w:asciiTheme="majorBidi" w:hAnsiTheme="majorBidi" w:cstheme="majorBidi"/>
          <w:sz w:val="28"/>
          <w:szCs w:val="28"/>
        </w:rPr>
        <w:t xml:space="preserve"> &amp; Mukherjee (2007).</w:t>
      </w:r>
    </w:p>
    <w:p w14:paraId="526F150A" w14:textId="0D25E637" w:rsidR="00794260" w:rsidRPr="008C7F3B" w:rsidRDefault="00794260" w:rsidP="008C7F3B">
      <w:pPr>
        <w:pStyle w:val="NormalWeb"/>
        <w:spacing w:line="360" w:lineRule="auto"/>
        <w:jc w:val="center"/>
      </w:pPr>
      <w:r w:rsidRPr="008C7F3B">
        <w:rPr>
          <w:rStyle w:val="Strong"/>
        </w:rPr>
        <w:t xml:space="preserve">Table 1: </w:t>
      </w:r>
      <w:r w:rsidRPr="008C7F3B">
        <w:rPr>
          <w:rStyle w:val="Strong"/>
          <w:b w:val="0"/>
          <w:bCs w:val="0"/>
        </w:rPr>
        <w:t>Cadmium Concentration in the Peel and Pulp of Selected Fruits and Vegetables from Different Countries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49"/>
        <w:gridCol w:w="1432"/>
        <w:gridCol w:w="1142"/>
        <w:gridCol w:w="2809"/>
        <w:gridCol w:w="2798"/>
      </w:tblGrid>
      <w:tr w:rsidR="00794260" w:rsidRPr="008C7F3B" w14:paraId="742196DE" w14:textId="77777777" w:rsidTr="00794260">
        <w:trPr>
          <w:tblHeader/>
          <w:tblCellSpacing w:w="15" w:type="dxa"/>
        </w:trPr>
        <w:tc>
          <w:tcPr>
            <w:tcW w:w="0" w:type="auto"/>
            <w:vAlign w:val="center"/>
            <w:hideMark/>
          </w:tcPr>
          <w:p w14:paraId="0A8700EB"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No.</w:t>
            </w:r>
          </w:p>
        </w:tc>
        <w:tc>
          <w:tcPr>
            <w:tcW w:w="0" w:type="auto"/>
            <w:vAlign w:val="center"/>
            <w:hideMark/>
          </w:tcPr>
          <w:p w14:paraId="783AFA81"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Country of Origin</w:t>
            </w:r>
          </w:p>
        </w:tc>
        <w:tc>
          <w:tcPr>
            <w:tcW w:w="0" w:type="auto"/>
            <w:vAlign w:val="center"/>
            <w:hideMark/>
          </w:tcPr>
          <w:p w14:paraId="09A91D7A"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Plant Type</w:t>
            </w:r>
          </w:p>
        </w:tc>
        <w:tc>
          <w:tcPr>
            <w:tcW w:w="0" w:type="auto"/>
            <w:vAlign w:val="center"/>
            <w:hideMark/>
          </w:tcPr>
          <w:p w14:paraId="37DC997A"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Cadmium Concentration in Pulp (ppm)</w:t>
            </w:r>
          </w:p>
        </w:tc>
        <w:tc>
          <w:tcPr>
            <w:tcW w:w="0" w:type="auto"/>
            <w:vAlign w:val="center"/>
            <w:hideMark/>
          </w:tcPr>
          <w:p w14:paraId="24F8B417" w14:textId="77777777" w:rsidR="00794260" w:rsidRPr="008C7F3B" w:rsidRDefault="00794260" w:rsidP="008C7F3B">
            <w:pPr>
              <w:spacing w:after="0" w:line="360" w:lineRule="auto"/>
              <w:jc w:val="center"/>
              <w:rPr>
                <w:rFonts w:ascii="Times New Roman" w:eastAsia="Times New Roman" w:hAnsi="Times New Roman" w:cs="Times New Roman"/>
                <w:b/>
                <w:bCs/>
                <w:sz w:val="24"/>
                <w:szCs w:val="24"/>
              </w:rPr>
            </w:pPr>
            <w:r w:rsidRPr="008C7F3B">
              <w:rPr>
                <w:rFonts w:ascii="Times New Roman" w:eastAsia="Times New Roman" w:hAnsi="Times New Roman" w:cs="Times New Roman"/>
                <w:b/>
                <w:bCs/>
                <w:sz w:val="24"/>
                <w:szCs w:val="24"/>
              </w:rPr>
              <w:t>Cadmium Concentration in Peel (ppm)</w:t>
            </w:r>
          </w:p>
        </w:tc>
      </w:tr>
      <w:tr w:rsidR="00794260" w:rsidRPr="008C7F3B" w14:paraId="42DA28EC" w14:textId="77777777" w:rsidTr="00794260">
        <w:trPr>
          <w:tblCellSpacing w:w="15" w:type="dxa"/>
        </w:trPr>
        <w:tc>
          <w:tcPr>
            <w:tcW w:w="0" w:type="auto"/>
            <w:vAlign w:val="center"/>
            <w:hideMark/>
          </w:tcPr>
          <w:p w14:paraId="47A5AB8C"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w:t>
            </w:r>
          </w:p>
        </w:tc>
        <w:tc>
          <w:tcPr>
            <w:tcW w:w="0" w:type="auto"/>
            <w:vMerge w:val="restart"/>
            <w:vAlign w:val="center"/>
            <w:hideMark/>
          </w:tcPr>
          <w:p w14:paraId="30DB068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Iraq</w:t>
            </w:r>
          </w:p>
          <w:p w14:paraId="39B2FF17" w14:textId="70AB71EC"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22F0D80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Cucumber</w:t>
            </w:r>
          </w:p>
        </w:tc>
        <w:tc>
          <w:tcPr>
            <w:tcW w:w="0" w:type="auto"/>
            <w:vAlign w:val="center"/>
            <w:hideMark/>
          </w:tcPr>
          <w:p w14:paraId="0C9CEACD"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0.021</w:t>
            </w:r>
          </w:p>
        </w:tc>
        <w:tc>
          <w:tcPr>
            <w:tcW w:w="0" w:type="auto"/>
            <w:vAlign w:val="center"/>
            <w:hideMark/>
          </w:tcPr>
          <w:p w14:paraId="7AE874E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0.0101</w:t>
            </w:r>
          </w:p>
        </w:tc>
      </w:tr>
      <w:tr w:rsidR="00794260" w:rsidRPr="008C7F3B" w14:paraId="1A874419" w14:textId="77777777" w:rsidTr="00794260">
        <w:trPr>
          <w:tblCellSpacing w:w="15" w:type="dxa"/>
        </w:trPr>
        <w:tc>
          <w:tcPr>
            <w:tcW w:w="0" w:type="auto"/>
            <w:vAlign w:val="center"/>
            <w:hideMark/>
          </w:tcPr>
          <w:p w14:paraId="4660BF9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2</w:t>
            </w:r>
          </w:p>
        </w:tc>
        <w:tc>
          <w:tcPr>
            <w:tcW w:w="0" w:type="auto"/>
            <w:vMerge/>
            <w:vAlign w:val="center"/>
            <w:hideMark/>
          </w:tcPr>
          <w:p w14:paraId="08A23C14" w14:textId="6EE70C9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52E77E4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Potato</w:t>
            </w:r>
          </w:p>
        </w:tc>
        <w:tc>
          <w:tcPr>
            <w:tcW w:w="0" w:type="auto"/>
            <w:vAlign w:val="center"/>
            <w:hideMark/>
          </w:tcPr>
          <w:p w14:paraId="15E4D179"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0.11</w:t>
            </w:r>
          </w:p>
        </w:tc>
        <w:tc>
          <w:tcPr>
            <w:tcW w:w="0" w:type="auto"/>
            <w:vAlign w:val="center"/>
            <w:hideMark/>
          </w:tcPr>
          <w:p w14:paraId="0644DAB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0.07</w:t>
            </w:r>
          </w:p>
        </w:tc>
      </w:tr>
      <w:tr w:rsidR="00794260" w:rsidRPr="008C7F3B" w14:paraId="13EB3C9A" w14:textId="77777777" w:rsidTr="00794260">
        <w:trPr>
          <w:tblCellSpacing w:w="15" w:type="dxa"/>
        </w:trPr>
        <w:tc>
          <w:tcPr>
            <w:tcW w:w="0" w:type="auto"/>
            <w:vAlign w:val="center"/>
            <w:hideMark/>
          </w:tcPr>
          <w:p w14:paraId="524C2D9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3</w:t>
            </w:r>
          </w:p>
        </w:tc>
        <w:tc>
          <w:tcPr>
            <w:tcW w:w="0" w:type="auto"/>
            <w:vMerge/>
            <w:vAlign w:val="center"/>
            <w:hideMark/>
          </w:tcPr>
          <w:p w14:paraId="4F7E4177" w14:textId="5417517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39A247E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Apple</w:t>
            </w:r>
          </w:p>
        </w:tc>
        <w:tc>
          <w:tcPr>
            <w:tcW w:w="0" w:type="auto"/>
            <w:vAlign w:val="center"/>
            <w:hideMark/>
          </w:tcPr>
          <w:p w14:paraId="21AC2775"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0.0077</w:t>
            </w:r>
          </w:p>
        </w:tc>
        <w:tc>
          <w:tcPr>
            <w:tcW w:w="0" w:type="auto"/>
            <w:vAlign w:val="center"/>
            <w:hideMark/>
          </w:tcPr>
          <w:p w14:paraId="6472672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0.0009</w:t>
            </w:r>
          </w:p>
        </w:tc>
      </w:tr>
      <w:tr w:rsidR="00794260" w:rsidRPr="008C7F3B" w14:paraId="2BB96ED8" w14:textId="77777777" w:rsidTr="00794260">
        <w:trPr>
          <w:tblCellSpacing w:w="15" w:type="dxa"/>
        </w:trPr>
        <w:tc>
          <w:tcPr>
            <w:tcW w:w="0" w:type="auto"/>
            <w:vAlign w:val="center"/>
            <w:hideMark/>
          </w:tcPr>
          <w:p w14:paraId="42808AB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4</w:t>
            </w:r>
          </w:p>
        </w:tc>
        <w:tc>
          <w:tcPr>
            <w:tcW w:w="0" w:type="auto"/>
            <w:vMerge/>
            <w:vAlign w:val="center"/>
            <w:hideMark/>
          </w:tcPr>
          <w:p w14:paraId="5856F6E8" w14:textId="420EA6E8"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1B4B0D5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Orange</w:t>
            </w:r>
          </w:p>
        </w:tc>
        <w:tc>
          <w:tcPr>
            <w:tcW w:w="0" w:type="auto"/>
            <w:vAlign w:val="center"/>
            <w:hideMark/>
          </w:tcPr>
          <w:p w14:paraId="294C253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0.0421</w:t>
            </w:r>
          </w:p>
        </w:tc>
        <w:tc>
          <w:tcPr>
            <w:tcW w:w="0" w:type="auto"/>
            <w:vAlign w:val="center"/>
            <w:hideMark/>
          </w:tcPr>
          <w:p w14:paraId="693B871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0.0003</w:t>
            </w:r>
          </w:p>
        </w:tc>
      </w:tr>
      <w:tr w:rsidR="00794260" w:rsidRPr="008C7F3B" w14:paraId="00C2F70D" w14:textId="77777777" w:rsidTr="00794260">
        <w:trPr>
          <w:tblCellSpacing w:w="15" w:type="dxa"/>
        </w:trPr>
        <w:tc>
          <w:tcPr>
            <w:tcW w:w="0" w:type="auto"/>
            <w:vAlign w:val="center"/>
            <w:hideMark/>
          </w:tcPr>
          <w:p w14:paraId="03DE1BE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5</w:t>
            </w:r>
          </w:p>
        </w:tc>
        <w:tc>
          <w:tcPr>
            <w:tcW w:w="0" w:type="auto"/>
            <w:vAlign w:val="center"/>
            <w:hideMark/>
          </w:tcPr>
          <w:p w14:paraId="7AE03E2F"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Iran</w:t>
            </w:r>
          </w:p>
        </w:tc>
        <w:tc>
          <w:tcPr>
            <w:tcW w:w="0" w:type="auto"/>
            <w:vAlign w:val="center"/>
            <w:hideMark/>
          </w:tcPr>
          <w:p w14:paraId="07BE7ACD"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Cucumber</w:t>
            </w:r>
          </w:p>
        </w:tc>
        <w:tc>
          <w:tcPr>
            <w:tcW w:w="0" w:type="auto"/>
            <w:vAlign w:val="center"/>
            <w:hideMark/>
          </w:tcPr>
          <w:p w14:paraId="3179C95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0.13</w:t>
            </w:r>
          </w:p>
        </w:tc>
        <w:tc>
          <w:tcPr>
            <w:tcW w:w="0" w:type="auto"/>
            <w:vAlign w:val="center"/>
            <w:hideMark/>
          </w:tcPr>
          <w:p w14:paraId="282DD14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0.0471</w:t>
            </w:r>
          </w:p>
        </w:tc>
      </w:tr>
      <w:tr w:rsidR="00794260" w:rsidRPr="008C7F3B" w14:paraId="18660C6F" w14:textId="77777777" w:rsidTr="00794260">
        <w:trPr>
          <w:tblCellSpacing w:w="15" w:type="dxa"/>
        </w:trPr>
        <w:tc>
          <w:tcPr>
            <w:tcW w:w="0" w:type="auto"/>
            <w:vAlign w:val="center"/>
            <w:hideMark/>
          </w:tcPr>
          <w:p w14:paraId="528C682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6</w:t>
            </w:r>
          </w:p>
        </w:tc>
        <w:tc>
          <w:tcPr>
            <w:tcW w:w="0" w:type="auto"/>
            <w:vMerge w:val="restart"/>
            <w:vAlign w:val="center"/>
            <w:hideMark/>
          </w:tcPr>
          <w:p w14:paraId="58220C3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Syria</w:t>
            </w:r>
          </w:p>
          <w:p w14:paraId="6F85072C" w14:textId="3CED819B"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5D710836"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Potato</w:t>
            </w:r>
          </w:p>
        </w:tc>
        <w:tc>
          <w:tcPr>
            <w:tcW w:w="0" w:type="auto"/>
            <w:vAlign w:val="center"/>
            <w:hideMark/>
          </w:tcPr>
          <w:p w14:paraId="5454E8BE"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0.03</w:t>
            </w:r>
          </w:p>
        </w:tc>
        <w:tc>
          <w:tcPr>
            <w:tcW w:w="0" w:type="auto"/>
            <w:vAlign w:val="center"/>
            <w:hideMark/>
          </w:tcPr>
          <w:p w14:paraId="587194C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0.15</w:t>
            </w:r>
          </w:p>
        </w:tc>
      </w:tr>
      <w:tr w:rsidR="00794260" w:rsidRPr="008C7F3B" w14:paraId="3D993DA2" w14:textId="77777777" w:rsidTr="00794260">
        <w:trPr>
          <w:tblCellSpacing w:w="15" w:type="dxa"/>
        </w:trPr>
        <w:tc>
          <w:tcPr>
            <w:tcW w:w="0" w:type="auto"/>
            <w:vAlign w:val="center"/>
            <w:hideMark/>
          </w:tcPr>
          <w:p w14:paraId="1DF7CC4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7</w:t>
            </w:r>
          </w:p>
        </w:tc>
        <w:tc>
          <w:tcPr>
            <w:tcW w:w="0" w:type="auto"/>
            <w:vMerge/>
            <w:vAlign w:val="center"/>
            <w:hideMark/>
          </w:tcPr>
          <w:p w14:paraId="4663897E" w14:textId="33337526"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739E833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Cucumber</w:t>
            </w:r>
          </w:p>
        </w:tc>
        <w:tc>
          <w:tcPr>
            <w:tcW w:w="0" w:type="auto"/>
            <w:vAlign w:val="center"/>
            <w:hideMark/>
          </w:tcPr>
          <w:p w14:paraId="231D742F"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0.41</w:t>
            </w:r>
          </w:p>
        </w:tc>
        <w:tc>
          <w:tcPr>
            <w:tcW w:w="0" w:type="auto"/>
            <w:vAlign w:val="center"/>
            <w:hideMark/>
          </w:tcPr>
          <w:p w14:paraId="3BFEEB64"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w:t>
            </w:r>
          </w:p>
        </w:tc>
      </w:tr>
      <w:tr w:rsidR="00794260" w:rsidRPr="008C7F3B" w14:paraId="50C264CA" w14:textId="77777777" w:rsidTr="00794260">
        <w:trPr>
          <w:tblCellSpacing w:w="15" w:type="dxa"/>
        </w:trPr>
        <w:tc>
          <w:tcPr>
            <w:tcW w:w="0" w:type="auto"/>
            <w:vAlign w:val="center"/>
            <w:hideMark/>
          </w:tcPr>
          <w:p w14:paraId="3ADE55AE"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8</w:t>
            </w:r>
          </w:p>
        </w:tc>
        <w:tc>
          <w:tcPr>
            <w:tcW w:w="0" w:type="auto"/>
            <w:vMerge w:val="restart"/>
            <w:vAlign w:val="center"/>
            <w:hideMark/>
          </w:tcPr>
          <w:p w14:paraId="5E5F0379"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Turkey</w:t>
            </w:r>
          </w:p>
          <w:p w14:paraId="7E89C847" w14:textId="7C66B8FE"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06D5445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Apple</w:t>
            </w:r>
          </w:p>
        </w:tc>
        <w:tc>
          <w:tcPr>
            <w:tcW w:w="0" w:type="auto"/>
            <w:vAlign w:val="center"/>
            <w:hideMark/>
          </w:tcPr>
          <w:p w14:paraId="3EAC149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0.0052</w:t>
            </w:r>
          </w:p>
        </w:tc>
        <w:tc>
          <w:tcPr>
            <w:tcW w:w="0" w:type="auto"/>
            <w:vAlign w:val="center"/>
            <w:hideMark/>
          </w:tcPr>
          <w:p w14:paraId="6A9E2A1C"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0.0003</w:t>
            </w:r>
          </w:p>
        </w:tc>
      </w:tr>
      <w:tr w:rsidR="00794260" w:rsidRPr="008C7F3B" w14:paraId="0262457F" w14:textId="77777777" w:rsidTr="00794260">
        <w:trPr>
          <w:tblCellSpacing w:w="15" w:type="dxa"/>
        </w:trPr>
        <w:tc>
          <w:tcPr>
            <w:tcW w:w="0" w:type="auto"/>
            <w:vAlign w:val="center"/>
            <w:hideMark/>
          </w:tcPr>
          <w:p w14:paraId="4CA17372"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9</w:t>
            </w:r>
          </w:p>
        </w:tc>
        <w:tc>
          <w:tcPr>
            <w:tcW w:w="0" w:type="auto"/>
            <w:vMerge/>
            <w:vAlign w:val="center"/>
            <w:hideMark/>
          </w:tcPr>
          <w:p w14:paraId="68D6C2FD" w14:textId="5AF0AE63" w:rsidR="00794260" w:rsidRPr="008C7F3B" w:rsidRDefault="00794260" w:rsidP="008C7F3B">
            <w:pPr>
              <w:spacing w:after="0" w:line="360" w:lineRule="auto"/>
              <w:jc w:val="center"/>
              <w:rPr>
                <w:rFonts w:ascii="Times New Roman" w:eastAsia="Times New Roman" w:hAnsi="Times New Roman" w:cs="Times New Roman"/>
                <w:sz w:val="24"/>
                <w:szCs w:val="24"/>
              </w:rPr>
            </w:pPr>
          </w:p>
        </w:tc>
        <w:tc>
          <w:tcPr>
            <w:tcW w:w="0" w:type="auto"/>
            <w:vAlign w:val="center"/>
            <w:hideMark/>
          </w:tcPr>
          <w:p w14:paraId="1203574E"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Orange</w:t>
            </w:r>
          </w:p>
        </w:tc>
        <w:tc>
          <w:tcPr>
            <w:tcW w:w="0" w:type="auto"/>
            <w:vAlign w:val="center"/>
            <w:hideMark/>
          </w:tcPr>
          <w:p w14:paraId="2538F453"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0.0179</w:t>
            </w:r>
          </w:p>
        </w:tc>
        <w:tc>
          <w:tcPr>
            <w:tcW w:w="0" w:type="auto"/>
            <w:vAlign w:val="center"/>
            <w:hideMark/>
          </w:tcPr>
          <w:p w14:paraId="1501D558"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0.0022</w:t>
            </w:r>
          </w:p>
        </w:tc>
      </w:tr>
      <w:tr w:rsidR="00794260" w:rsidRPr="008C7F3B" w14:paraId="55E907DD" w14:textId="77777777" w:rsidTr="00794260">
        <w:trPr>
          <w:tblCellSpacing w:w="15" w:type="dxa"/>
        </w:trPr>
        <w:tc>
          <w:tcPr>
            <w:tcW w:w="0" w:type="auto"/>
            <w:vAlign w:val="center"/>
            <w:hideMark/>
          </w:tcPr>
          <w:p w14:paraId="0F10D947"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10</w:t>
            </w:r>
          </w:p>
        </w:tc>
        <w:tc>
          <w:tcPr>
            <w:tcW w:w="0" w:type="auto"/>
            <w:vAlign w:val="center"/>
            <w:hideMark/>
          </w:tcPr>
          <w:p w14:paraId="146C3EDB"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China</w:t>
            </w:r>
          </w:p>
        </w:tc>
        <w:tc>
          <w:tcPr>
            <w:tcW w:w="0" w:type="auto"/>
            <w:vAlign w:val="center"/>
            <w:hideMark/>
          </w:tcPr>
          <w:p w14:paraId="17B41BAC"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Apple</w:t>
            </w:r>
          </w:p>
        </w:tc>
        <w:tc>
          <w:tcPr>
            <w:tcW w:w="0" w:type="auto"/>
            <w:vAlign w:val="center"/>
            <w:hideMark/>
          </w:tcPr>
          <w:p w14:paraId="73964D3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0.0711</w:t>
            </w:r>
          </w:p>
        </w:tc>
        <w:tc>
          <w:tcPr>
            <w:tcW w:w="0" w:type="auto"/>
            <w:vAlign w:val="center"/>
            <w:hideMark/>
          </w:tcPr>
          <w:p w14:paraId="681DAFAA"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0.0092</w:t>
            </w:r>
          </w:p>
        </w:tc>
      </w:tr>
      <w:tr w:rsidR="00794260" w:rsidRPr="008C7F3B" w14:paraId="7C6B01B5" w14:textId="77777777" w:rsidTr="00794260">
        <w:trPr>
          <w:tblCellSpacing w:w="15" w:type="dxa"/>
        </w:trPr>
        <w:tc>
          <w:tcPr>
            <w:tcW w:w="0" w:type="auto"/>
            <w:vAlign w:val="center"/>
            <w:hideMark/>
          </w:tcPr>
          <w:p w14:paraId="67DF93D5"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11</w:t>
            </w:r>
          </w:p>
        </w:tc>
        <w:tc>
          <w:tcPr>
            <w:tcW w:w="0" w:type="auto"/>
            <w:vAlign w:val="center"/>
            <w:hideMark/>
          </w:tcPr>
          <w:p w14:paraId="07373776"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Egypt</w:t>
            </w:r>
          </w:p>
        </w:tc>
        <w:tc>
          <w:tcPr>
            <w:tcW w:w="0" w:type="auto"/>
            <w:vAlign w:val="center"/>
            <w:hideMark/>
          </w:tcPr>
          <w:p w14:paraId="6C575E9D" w14:textId="0BD3D3E0"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Orange</w:t>
            </w:r>
          </w:p>
        </w:tc>
        <w:tc>
          <w:tcPr>
            <w:tcW w:w="0" w:type="auto"/>
            <w:vAlign w:val="center"/>
            <w:hideMark/>
          </w:tcPr>
          <w:p w14:paraId="6ED5A871"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0.115</w:t>
            </w:r>
          </w:p>
        </w:tc>
        <w:tc>
          <w:tcPr>
            <w:tcW w:w="0" w:type="auto"/>
            <w:vAlign w:val="center"/>
            <w:hideMark/>
          </w:tcPr>
          <w:p w14:paraId="15ABD730" w14:textId="77777777" w:rsidR="00794260" w:rsidRPr="008C7F3B" w:rsidRDefault="00794260" w:rsidP="008C7F3B">
            <w:pPr>
              <w:spacing w:after="0" w:line="360" w:lineRule="auto"/>
              <w:jc w:val="center"/>
              <w:rPr>
                <w:rFonts w:ascii="Times New Roman" w:eastAsia="Times New Roman" w:hAnsi="Times New Roman" w:cs="Times New Roman"/>
                <w:sz w:val="24"/>
                <w:szCs w:val="24"/>
              </w:rPr>
            </w:pPr>
            <w:r w:rsidRPr="008C7F3B">
              <w:rPr>
                <w:rFonts w:ascii="Times New Roman" w:eastAsia="Times New Roman" w:hAnsi="Times New Roman" w:cs="Times New Roman"/>
                <w:sz w:val="24"/>
                <w:szCs w:val="24"/>
              </w:rPr>
              <w:t>0.0024</w:t>
            </w:r>
          </w:p>
        </w:tc>
      </w:tr>
    </w:tbl>
    <w:p w14:paraId="35AAB25A" w14:textId="6CD6023C" w:rsidR="00794260" w:rsidRPr="008C7F3B" w:rsidRDefault="00794260" w:rsidP="008C7F3B">
      <w:pPr>
        <w:spacing w:line="360" w:lineRule="auto"/>
        <w:jc w:val="both"/>
        <w:rPr>
          <w:rFonts w:asciiTheme="majorBidi" w:hAnsiTheme="majorBidi" w:cstheme="majorBidi"/>
          <w:sz w:val="28"/>
          <w:szCs w:val="28"/>
        </w:rPr>
      </w:pPr>
    </w:p>
    <w:p w14:paraId="012CAA5D" w14:textId="6920B855" w:rsidR="00004DA2" w:rsidRPr="008C7F3B" w:rsidRDefault="008C7F3B" w:rsidP="008C7F3B">
      <w:pPr>
        <w:spacing w:line="360" w:lineRule="auto"/>
        <w:jc w:val="both"/>
        <w:rPr>
          <w:rFonts w:asciiTheme="majorBidi" w:hAnsiTheme="majorBidi" w:cstheme="majorBidi"/>
          <w:sz w:val="28"/>
          <w:szCs w:val="28"/>
        </w:rPr>
      </w:pPr>
      <w:r w:rsidRPr="008C7F3B">
        <w:rPr>
          <w:noProof/>
        </w:rPr>
        <w:lastRenderedPageBreak/>
        <w:drawing>
          <wp:anchor distT="0" distB="0" distL="114300" distR="114300" simplePos="0" relativeHeight="251659264" behindDoc="1" locked="0" layoutInCell="1" allowOverlap="1" wp14:anchorId="4F457352" wp14:editId="142BA22C">
            <wp:simplePos x="0" y="0"/>
            <wp:positionH relativeFrom="column">
              <wp:posOffset>1590675</wp:posOffset>
            </wp:positionH>
            <wp:positionV relativeFrom="paragraph">
              <wp:posOffset>-135255</wp:posOffset>
            </wp:positionV>
            <wp:extent cx="4076700" cy="2905125"/>
            <wp:effectExtent l="0" t="0" r="0" b="0"/>
            <wp:wrapNone/>
            <wp:docPr id="1" name="Chart 1">
              <a:extLst xmlns:a="http://schemas.openxmlformats.org/drawingml/2006/main">
                <a:ext uri="{FF2B5EF4-FFF2-40B4-BE49-F238E27FC236}">
                  <a16:creationId xmlns:a16="http://schemas.microsoft.com/office/drawing/2014/main" id="{335CEF97-2116-4794-8320-0E47964205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2EC79203" w14:textId="2162F0DC" w:rsidR="00004DA2" w:rsidRPr="008C7F3B" w:rsidRDefault="00004DA2" w:rsidP="008C7F3B">
      <w:pPr>
        <w:spacing w:line="360" w:lineRule="auto"/>
        <w:jc w:val="both"/>
        <w:rPr>
          <w:rFonts w:asciiTheme="majorBidi" w:hAnsiTheme="majorBidi" w:cstheme="majorBidi"/>
          <w:sz w:val="28"/>
          <w:szCs w:val="28"/>
        </w:rPr>
      </w:pPr>
    </w:p>
    <w:p w14:paraId="01AA12B3" w14:textId="534E36CF" w:rsidR="00004DA2" w:rsidRPr="008C7F3B" w:rsidRDefault="00004DA2" w:rsidP="008C7F3B">
      <w:pPr>
        <w:spacing w:line="360" w:lineRule="auto"/>
        <w:jc w:val="both"/>
        <w:rPr>
          <w:rFonts w:asciiTheme="majorBidi" w:hAnsiTheme="majorBidi" w:cstheme="majorBidi"/>
          <w:sz w:val="28"/>
          <w:szCs w:val="28"/>
        </w:rPr>
      </w:pPr>
    </w:p>
    <w:p w14:paraId="20158EDA" w14:textId="0D01A84E" w:rsidR="00004DA2" w:rsidRPr="008C7F3B" w:rsidRDefault="00004DA2" w:rsidP="008C7F3B">
      <w:pPr>
        <w:spacing w:line="360" w:lineRule="auto"/>
        <w:jc w:val="both"/>
        <w:rPr>
          <w:rFonts w:asciiTheme="majorBidi" w:hAnsiTheme="majorBidi" w:cstheme="majorBidi"/>
          <w:sz w:val="28"/>
          <w:szCs w:val="28"/>
        </w:rPr>
      </w:pPr>
    </w:p>
    <w:p w14:paraId="46211C15" w14:textId="11F2B47D" w:rsidR="00004DA2" w:rsidRPr="008C7F3B" w:rsidRDefault="00004DA2" w:rsidP="008C7F3B">
      <w:pPr>
        <w:spacing w:line="360" w:lineRule="auto"/>
        <w:jc w:val="both"/>
        <w:rPr>
          <w:rFonts w:asciiTheme="majorBidi" w:hAnsiTheme="majorBidi" w:cstheme="majorBidi"/>
          <w:sz w:val="28"/>
          <w:szCs w:val="28"/>
        </w:rPr>
      </w:pPr>
    </w:p>
    <w:p w14:paraId="3778D4FD" w14:textId="3F036493" w:rsidR="00004DA2" w:rsidRPr="008C7F3B" w:rsidRDefault="00004DA2" w:rsidP="008C7F3B">
      <w:pPr>
        <w:spacing w:line="360" w:lineRule="auto"/>
        <w:jc w:val="both"/>
        <w:rPr>
          <w:rFonts w:asciiTheme="majorBidi" w:hAnsiTheme="majorBidi" w:cstheme="majorBidi"/>
          <w:sz w:val="28"/>
          <w:szCs w:val="28"/>
        </w:rPr>
      </w:pPr>
    </w:p>
    <w:p w14:paraId="71F4F92E" w14:textId="426A440A" w:rsidR="00004DA2" w:rsidRPr="008C7F3B" w:rsidRDefault="00004DA2" w:rsidP="008C7F3B">
      <w:pPr>
        <w:spacing w:line="360" w:lineRule="auto"/>
        <w:jc w:val="both"/>
        <w:rPr>
          <w:rFonts w:asciiTheme="majorBidi" w:hAnsiTheme="majorBidi" w:cstheme="majorBidi"/>
          <w:sz w:val="28"/>
          <w:szCs w:val="28"/>
        </w:rPr>
      </w:pPr>
    </w:p>
    <w:p w14:paraId="71BD00F2" w14:textId="77777777" w:rsidR="005309B8" w:rsidRPr="001D5865" w:rsidRDefault="005309B8" w:rsidP="005309B8">
      <w:pPr>
        <w:rPr>
          <w:rFonts w:asciiTheme="majorBidi" w:hAnsiTheme="majorBidi" w:cstheme="majorBidi"/>
          <w:sz w:val="24"/>
          <w:szCs w:val="24"/>
        </w:rPr>
      </w:pPr>
      <w:r w:rsidRPr="001D5865">
        <w:rPr>
          <w:rFonts w:asciiTheme="majorBidi" w:hAnsiTheme="majorBidi" w:cstheme="majorBidi"/>
          <w:b/>
          <w:bCs/>
          <w:sz w:val="24"/>
          <w:szCs w:val="24"/>
        </w:rPr>
        <w:t>Figure 1</w:t>
      </w:r>
      <w:r w:rsidRPr="001D5865">
        <w:rPr>
          <w:rFonts w:asciiTheme="majorBidi" w:hAnsiTheme="majorBidi" w:cstheme="majorBidi"/>
          <w:sz w:val="24"/>
          <w:szCs w:val="24"/>
        </w:rPr>
        <w:t>: Cadmium concentration in the pulp of plants</w:t>
      </w:r>
    </w:p>
    <w:p w14:paraId="394314F7" w14:textId="195AC308" w:rsidR="001D5865" w:rsidRPr="008C7F3B" w:rsidRDefault="001D5865" w:rsidP="008C7F3B">
      <w:pPr>
        <w:spacing w:line="360" w:lineRule="auto"/>
        <w:jc w:val="both"/>
        <w:rPr>
          <w:rFonts w:asciiTheme="majorBidi" w:hAnsiTheme="majorBidi" w:cstheme="majorBidi"/>
          <w:sz w:val="28"/>
          <w:szCs w:val="28"/>
        </w:rPr>
      </w:pPr>
    </w:p>
    <w:p w14:paraId="0DC59EDC" w14:textId="6BBD34A9" w:rsidR="00B43853"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It was noted that cadmium concentrations in the pulp were higher than in the peels across all samples except for Syrian potatoes. This trend indicates that cadmium absorption occurs primarily through the roots from contaminated soil, particularly in areas where untreated wastewater or contaminated fertilizers are used, as highlighted by Alloway (201</w:t>
      </w:r>
      <w:r w:rsidR="001C6D54" w:rsidRPr="008C7F3B">
        <w:rPr>
          <w:rFonts w:asciiTheme="majorBidi" w:hAnsiTheme="majorBidi" w:cstheme="majorBidi"/>
          <w:sz w:val="28"/>
          <w:szCs w:val="28"/>
        </w:rPr>
        <w:t>2</w:t>
      </w:r>
      <w:r w:rsidRPr="008C7F3B">
        <w:rPr>
          <w:rFonts w:asciiTheme="majorBidi" w:hAnsiTheme="majorBidi" w:cstheme="majorBidi"/>
          <w:sz w:val="28"/>
          <w:szCs w:val="28"/>
        </w:rPr>
        <w:t xml:space="preserve">). In the case of Syrian potatoes, the cadmium concentration was higher in the peels, which can be attributed to the deposition of cadmium-containing dust from air pollution near highways or industrial zones, as confirmed by </w:t>
      </w:r>
      <w:proofErr w:type="spellStart"/>
      <w:r w:rsidR="00C95E8B" w:rsidRPr="00C95E8B">
        <w:rPr>
          <w:rFonts w:asciiTheme="majorBidi" w:hAnsiTheme="majorBidi" w:cstheme="majorBidi"/>
          <w:sz w:val="28"/>
          <w:szCs w:val="28"/>
        </w:rPr>
        <w:t>Oteef</w:t>
      </w:r>
      <w:proofErr w:type="spellEnd"/>
      <w:r w:rsidRPr="008C7F3B">
        <w:rPr>
          <w:rFonts w:asciiTheme="majorBidi" w:hAnsiTheme="majorBidi" w:cstheme="majorBidi"/>
          <w:sz w:val="28"/>
          <w:szCs w:val="28"/>
        </w:rPr>
        <w:t xml:space="preserve"> et al. (201</w:t>
      </w:r>
      <w:r w:rsidR="00C95E8B" w:rsidRPr="008C7F3B">
        <w:rPr>
          <w:rFonts w:asciiTheme="majorBidi" w:hAnsiTheme="majorBidi" w:cstheme="majorBidi"/>
          <w:sz w:val="28"/>
          <w:szCs w:val="28"/>
        </w:rPr>
        <w:t>5</w:t>
      </w:r>
      <w:r w:rsidRPr="008C7F3B">
        <w:rPr>
          <w:rFonts w:asciiTheme="majorBidi" w:hAnsiTheme="majorBidi" w:cstheme="majorBidi"/>
          <w:sz w:val="28"/>
          <w:szCs w:val="28"/>
        </w:rPr>
        <w:t>).</w:t>
      </w:r>
    </w:p>
    <w:p w14:paraId="549A2C5B" w14:textId="39A48DBA" w:rsidR="000208FE" w:rsidRDefault="000208FE" w:rsidP="008C7F3B">
      <w:pPr>
        <w:spacing w:line="360" w:lineRule="auto"/>
        <w:jc w:val="both"/>
        <w:rPr>
          <w:rFonts w:asciiTheme="majorBidi" w:hAnsiTheme="majorBidi" w:cstheme="majorBidi"/>
          <w:sz w:val="28"/>
          <w:szCs w:val="28"/>
        </w:rPr>
      </w:pPr>
    </w:p>
    <w:p w14:paraId="78DDFD45" w14:textId="774A4510" w:rsidR="000208FE" w:rsidRDefault="000208FE" w:rsidP="008C7F3B">
      <w:pPr>
        <w:spacing w:line="360" w:lineRule="auto"/>
        <w:jc w:val="both"/>
        <w:rPr>
          <w:rFonts w:asciiTheme="majorBidi" w:hAnsiTheme="majorBidi" w:cstheme="majorBidi"/>
          <w:sz w:val="28"/>
          <w:szCs w:val="28"/>
        </w:rPr>
      </w:pPr>
    </w:p>
    <w:p w14:paraId="77486089" w14:textId="2EAC4D00" w:rsidR="000208FE" w:rsidRDefault="000208FE" w:rsidP="008C7F3B">
      <w:pPr>
        <w:spacing w:line="360" w:lineRule="auto"/>
        <w:jc w:val="both"/>
        <w:rPr>
          <w:rFonts w:asciiTheme="majorBidi" w:hAnsiTheme="majorBidi" w:cstheme="majorBidi"/>
          <w:sz w:val="28"/>
          <w:szCs w:val="28"/>
        </w:rPr>
      </w:pPr>
    </w:p>
    <w:p w14:paraId="2312BBC3" w14:textId="20B9FB9D" w:rsidR="000208FE" w:rsidRDefault="000208FE" w:rsidP="008C7F3B">
      <w:pPr>
        <w:spacing w:line="360" w:lineRule="auto"/>
        <w:jc w:val="both"/>
        <w:rPr>
          <w:rFonts w:asciiTheme="majorBidi" w:hAnsiTheme="majorBidi" w:cstheme="majorBidi"/>
          <w:sz w:val="28"/>
          <w:szCs w:val="28"/>
        </w:rPr>
      </w:pPr>
    </w:p>
    <w:p w14:paraId="19F66C5C" w14:textId="77777777" w:rsidR="000208FE" w:rsidRPr="008C7F3B" w:rsidRDefault="000208FE" w:rsidP="008C7F3B">
      <w:pPr>
        <w:spacing w:line="360" w:lineRule="auto"/>
        <w:jc w:val="both"/>
        <w:rPr>
          <w:rFonts w:asciiTheme="majorBidi" w:hAnsiTheme="majorBidi" w:cstheme="majorBidi"/>
          <w:sz w:val="28"/>
          <w:szCs w:val="28"/>
        </w:rPr>
      </w:pPr>
      <w:bookmarkStart w:id="1" w:name="_GoBack"/>
      <w:bookmarkEnd w:id="1"/>
    </w:p>
    <w:p w14:paraId="251427E8" w14:textId="088767E7" w:rsidR="00004DA2" w:rsidRPr="008C7F3B" w:rsidRDefault="00004DA2" w:rsidP="008C7F3B">
      <w:pPr>
        <w:spacing w:line="360" w:lineRule="auto"/>
        <w:jc w:val="both"/>
        <w:rPr>
          <w:rFonts w:asciiTheme="majorBidi" w:hAnsiTheme="majorBidi" w:cstheme="majorBidi"/>
          <w:sz w:val="28"/>
          <w:szCs w:val="28"/>
        </w:rPr>
      </w:pPr>
    </w:p>
    <w:p w14:paraId="1DC99CFD" w14:textId="4DA9C2D6" w:rsidR="00004DA2" w:rsidRPr="008C7F3B" w:rsidRDefault="00E2710F" w:rsidP="008C7F3B">
      <w:pPr>
        <w:spacing w:line="360" w:lineRule="auto"/>
        <w:jc w:val="both"/>
        <w:rPr>
          <w:rFonts w:asciiTheme="majorBidi" w:hAnsiTheme="majorBidi" w:cstheme="majorBidi"/>
          <w:sz w:val="28"/>
          <w:szCs w:val="28"/>
        </w:rPr>
      </w:pPr>
      <w:r w:rsidRPr="008C7F3B">
        <w:rPr>
          <w:noProof/>
        </w:rPr>
        <w:drawing>
          <wp:anchor distT="0" distB="0" distL="114300" distR="114300" simplePos="0" relativeHeight="251661312" behindDoc="1" locked="0" layoutInCell="1" allowOverlap="1" wp14:anchorId="00D2FEBE" wp14:editId="4C433A61">
            <wp:simplePos x="0" y="0"/>
            <wp:positionH relativeFrom="column">
              <wp:posOffset>2028190</wp:posOffset>
            </wp:positionH>
            <wp:positionV relativeFrom="paragraph">
              <wp:posOffset>139700</wp:posOffset>
            </wp:positionV>
            <wp:extent cx="3476625" cy="2828925"/>
            <wp:effectExtent l="0" t="0" r="0" b="0"/>
            <wp:wrapNone/>
            <wp:docPr id="2" name="Chart 2">
              <a:extLst xmlns:a="http://schemas.openxmlformats.org/drawingml/2006/main">
                <a:ext uri="{FF2B5EF4-FFF2-40B4-BE49-F238E27FC236}">
                  <a16:creationId xmlns:a16="http://schemas.microsoft.com/office/drawing/2014/main" id="{A41464D3-50CB-481D-B58F-46B50F8A20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B96F3EC" w14:textId="7C819558" w:rsidR="00004DA2" w:rsidRPr="008C7F3B" w:rsidRDefault="00004DA2" w:rsidP="008C7F3B">
      <w:pPr>
        <w:spacing w:line="360" w:lineRule="auto"/>
        <w:jc w:val="both"/>
        <w:rPr>
          <w:rFonts w:asciiTheme="majorBidi" w:hAnsiTheme="majorBidi" w:cstheme="majorBidi"/>
          <w:sz w:val="28"/>
          <w:szCs w:val="28"/>
        </w:rPr>
      </w:pPr>
    </w:p>
    <w:p w14:paraId="1F63CB37" w14:textId="39F8CD43" w:rsidR="00004DA2" w:rsidRPr="008C7F3B" w:rsidRDefault="00004DA2" w:rsidP="008C7F3B">
      <w:pPr>
        <w:spacing w:line="360" w:lineRule="auto"/>
        <w:jc w:val="both"/>
        <w:rPr>
          <w:rFonts w:asciiTheme="majorBidi" w:hAnsiTheme="majorBidi" w:cstheme="majorBidi"/>
          <w:sz w:val="28"/>
          <w:szCs w:val="28"/>
        </w:rPr>
      </w:pPr>
    </w:p>
    <w:p w14:paraId="3BAB5FDA" w14:textId="19447B2E" w:rsidR="00004DA2" w:rsidRPr="008C7F3B" w:rsidRDefault="00004DA2" w:rsidP="008C7F3B">
      <w:pPr>
        <w:spacing w:line="360" w:lineRule="auto"/>
        <w:jc w:val="both"/>
        <w:rPr>
          <w:rFonts w:asciiTheme="majorBidi" w:hAnsiTheme="majorBidi" w:cstheme="majorBidi"/>
          <w:sz w:val="28"/>
          <w:szCs w:val="28"/>
        </w:rPr>
      </w:pPr>
    </w:p>
    <w:p w14:paraId="67D8905B" w14:textId="77777777" w:rsidR="001D5865" w:rsidRPr="008C7F3B" w:rsidRDefault="001D5865" w:rsidP="008C7F3B">
      <w:pPr>
        <w:spacing w:line="360" w:lineRule="auto"/>
        <w:jc w:val="both"/>
        <w:rPr>
          <w:rFonts w:asciiTheme="majorBidi" w:hAnsiTheme="majorBidi" w:cstheme="majorBidi"/>
          <w:sz w:val="28"/>
          <w:szCs w:val="28"/>
        </w:rPr>
      </w:pPr>
    </w:p>
    <w:p w14:paraId="66148A6D" w14:textId="77777777" w:rsidR="00E2710F" w:rsidRDefault="00E2710F" w:rsidP="008C7F3B">
      <w:pPr>
        <w:spacing w:line="360" w:lineRule="auto"/>
        <w:jc w:val="both"/>
        <w:rPr>
          <w:rFonts w:asciiTheme="majorBidi" w:hAnsiTheme="majorBidi" w:cstheme="majorBidi"/>
          <w:sz w:val="28"/>
          <w:szCs w:val="28"/>
        </w:rPr>
      </w:pPr>
    </w:p>
    <w:p w14:paraId="1299A5FF" w14:textId="77777777" w:rsidR="00E2710F" w:rsidRDefault="00E2710F" w:rsidP="008C7F3B">
      <w:pPr>
        <w:spacing w:line="360" w:lineRule="auto"/>
        <w:jc w:val="both"/>
        <w:rPr>
          <w:rFonts w:asciiTheme="majorBidi" w:hAnsiTheme="majorBidi" w:cstheme="majorBidi"/>
          <w:sz w:val="28"/>
          <w:szCs w:val="28"/>
        </w:rPr>
      </w:pPr>
    </w:p>
    <w:p w14:paraId="15131CCC" w14:textId="77777777" w:rsidR="005309B8" w:rsidRPr="001D5865" w:rsidRDefault="005309B8" w:rsidP="005309B8">
      <w:pPr>
        <w:rPr>
          <w:rFonts w:asciiTheme="majorBidi" w:hAnsiTheme="majorBidi" w:cstheme="majorBidi"/>
          <w:b/>
          <w:bCs/>
          <w:sz w:val="24"/>
          <w:szCs w:val="24"/>
        </w:rPr>
      </w:pPr>
      <w:r w:rsidRPr="001D5865">
        <w:rPr>
          <w:rFonts w:asciiTheme="majorBidi" w:hAnsiTheme="majorBidi" w:cstheme="majorBidi"/>
          <w:b/>
          <w:bCs/>
          <w:sz w:val="24"/>
          <w:szCs w:val="24"/>
        </w:rPr>
        <w:t xml:space="preserve">Figure 2: </w:t>
      </w:r>
      <w:r w:rsidRPr="001D5865">
        <w:rPr>
          <w:rFonts w:asciiTheme="majorBidi" w:hAnsiTheme="majorBidi" w:cstheme="majorBidi"/>
          <w:sz w:val="24"/>
          <w:szCs w:val="24"/>
        </w:rPr>
        <w:t>Cadmium concentration in plant peels</w:t>
      </w:r>
    </w:p>
    <w:p w14:paraId="3152271A" w14:textId="77777777" w:rsidR="00E2710F" w:rsidRDefault="00E2710F" w:rsidP="008C7F3B">
      <w:pPr>
        <w:spacing w:line="360" w:lineRule="auto"/>
        <w:jc w:val="both"/>
        <w:rPr>
          <w:rFonts w:asciiTheme="majorBidi" w:hAnsiTheme="majorBidi" w:cstheme="majorBidi"/>
          <w:sz w:val="28"/>
          <w:szCs w:val="28"/>
        </w:rPr>
      </w:pPr>
    </w:p>
    <w:p w14:paraId="716C27F3" w14:textId="2B81E59B"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Soil properties also play a crucial role in cadmium accumulation. Acidic soils (pH &lt; 6.5) enhance cadmium solubility and uptake, while alkaline soils reduce its availability, as demonstrated by </w:t>
      </w:r>
      <w:proofErr w:type="spellStart"/>
      <w:r w:rsidR="00C95E8B" w:rsidRPr="00C95E8B">
        <w:rPr>
          <w:rFonts w:asciiTheme="majorBidi" w:hAnsiTheme="majorBidi" w:cstheme="majorBidi"/>
          <w:sz w:val="28"/>
          <w:szCs w:val="28"/>
        </w:rPr>
        <w:t>Sawut</w:t>
      </w:r>
      <w:proofErr w:type="spellEnd"/>
      <w:r w:rsidRPr="008C7F3B">
        <w:rPr>
          <w:rFonts w:asciiTheme="majorBidi" w:hAnsiTheme="majorBidi" w:cstheme="majorBidi"/>
          <w:sz w:val="28"/>
          <w:szCs w:val="28"/>
        </w:rPr>
        <w:t xml:space="preserve"> et al. (20</w:t>
      </w:r>
      <w:r w:rsidR="00C95E8B" w:rsidRPr="008C7F3B">
        <w:rPr>
          <w:rFonts w:asciiTheme="majorBidi" w:hAnsiTheme="majorBidi" w:cstheme="majorBidi"/>
          <w:sz w:val="28"/>
          <w:szCs w:val="28"/>
        </w:rPr>
        <w:t>18</w:t>
      </w:r>
      <w:r w:rsidRPr="008C7F3B">
        <w:rPr>
          <w:rFonts w:asciiTheme="majorBidi" w:hAnsiTheme="majorBidi" w:cstheme="majorBidi"/>
          <w:sz w:val="28"/>
          <w:szCs w:val="28"/>
        </w:rPr>
        <w:t>). For example, the elevated cadmium concentration in Egyptian oranges (</w:t>
      </w:r>
      <w:r w:rsidRPr="008C7F3B">
        <w:rPr>
          <w:rFonts w:asciiTheme="majorBidi" w:hAnsiTheme="majorBidi" w:cstheme="majorBidi"/>
          <w:b/>
          <w:bCs/>
          <w:sz w:val="28"/>
          <w:szCs w:val="28"/>
        </w:rPr>
        <w:t>0.115 ppm in the pulp</w:t>
      </w:r>
      <w:r w:rsidRPr="008C7F3B">
        <w:rPr>
          <w:rFonts w:asciiTheme="majorBidi" w:hAnsiTheme="majorBidi" w:cstheme="majorBidi"/>
          <w:sz w:val="28"/>
          <w:szCs w:val="28"/>
        </w:rPr>
        <w:t xml:space="preserve">) may be due to the use of acidic soil or nitrogen-based fertilizers that lower soil </w:t>
      </w:r>
      <w:proofErr w:type="spellStart"/>
      <w:r w:rsidRPr="008C7F3B">
        <w:rPr>
          <w:rFonts w:asciiTheme="majorBidi" w:hAnsiTheme="majorBidi" w:cstheme="majorBidi"/>
          <w:sz w:val="28"/>
          <w:szCs w:val="28"/>
        </w:rPr>
        <w:t>pH</w:t>
      </w:r>
      <w:r w:rsidR="00004DA2" w:rsidRPr="008C7F3B">
        <w:rPr>
          <w:rFonts w:asciiTheme="majorBidi" w:hAnsiTheme="majorBidi" w:cstheme="majorBidi"/>
          <w:sz w:val="28"/>
          <w:szCs w:val="28"/>
        </w:rPr>
        <w:t>.</w:t>
      </w:r>
      <w:proofErr w:type="spellEnd"/>
    </w:p>
    <w:p w14:paraId="135C95DF" w14:textId="77777777" w:rsidR="00B43853" w:rsidRPr="008C7F3B" w:rsidRDefault="00B43853" w:rsidP="008C7F3B">
      <w:pPr>
        <w:spacing w:line="360" w:lineRule="auto"/>
        <w:jc w:val="both"/>
        <w:rPr>
          <w:rFonts w:asciiTheme="majorBidi" w:hAnsiTheme="majorBidi" w:cstheme="majorBidi"/>
          <w:sz w:val="28"/>
          <w:szCs w:val="28"/>
        </w:rPr>
      </w:pPr>
      <w:r w:rsidRPr="008C7F3B">
        <w:rPr>
          <w:rFonts w:asciiTheme="majorBidi" w:hAnsiTheme="majorBidi" w:cstheme="majorBidi"/>
          <w:b/>
          <w:bCs/>
          <w:sz w:val="28"/>
          <w:szCs w:val="28"/>
        </w:rPr>
        <w:t>4. Recommendations</w:t>
      </w:r>
    </w:p>
    <w:p w14:paraId="26D90995" w14:textId="7DD4CC0E" w:rsidR="008C7F3B" w:rsidRPr="008C7F3B" w:rsidRDefault="00B43853" w:rsidP="00E2710F">
      <w:pPr>
        <w:spacing w:line="360" w:lineRule="auto"/>
        <w:jc w:val="both"/>
        <w:rPr>
          <w:rFonts w:asciiTheme="majorBidi" w:hAnsiTheme="majorBidi" w:cstheme="majorBidi"/>
          <w:sz w:val="28"/>
          <w:szCs w:val="28"/>
        </w:rPr>
      </w:pPr>
      <w:r w:rsidRPr="008C7F3B">
        <w:rPr>
          <w:rFonts w:asciiTheme="majorBidi" w:hAnsiTheme="majorBidi" w:cstheme="majorBidi"/>
          <w:sz w:val="28"/>
          <w:szCs w:val="28"/>
        </w:rPr>
        <w:t xml:space="preserve">Based on these findings, it is recommended to monitor the quality of fertilizers and irrigation water and to adjust soil acidity by adding lime to reduce cadmium solubility. Farmers should be educated on the importance of sustainable agricultural practices, such as relying on organic fertilizers instead of chemical ones. Periodic testing of agricultural products, especially those intended for export or import, is also advised to ensure their safety. This aligns </w:t>
      </w:r>
      <w:r w:rsidRPr="008C7F3B">
        <w:rPr>
          <w:rFonts w:asciiTheme="majorBidi" w:hAnsiTheme="majorBidi" w:cstheme="majorBidi"/>
          <w:sz w:val="28"/>
          <w:szCs w:val="28"/>
        </w:rPr>
        <w:lastRenderedPageBreak/>
        <w:t>with recent reports by the World Health Organization (WHO), which emphasize the need for stricter safety measures in agricultural production.</w:t>
      </w:r>
    </w:p>
    <w:p w14:paraId="317B18C3" w14:textId="69DA1A92" w:rsidR="00855473" w:rsidRPr="008C7F3B" w:rsidRDefault="00855473" w:rsidP="00B43853">
      <w:pPr>
        <w:jc w:val="both"/>
        <w:rPr>
          <w:rFonts w:asciiTheme="majorBidi" w:hAnsiTheme="majorBidi" w:cstheme="majorBidi"/>
          <w:b/>
          <w:bCs/>
          <w:sz w:val="28"/>
          <w:szCs w:val="28"/>
        </w:rPr>
      </w:pPr>
      <w:r w:rsidRPr="008C7F3B">
        <w:rPr>
          <w:rFonts w:asciiTheme="majorBidi" w:hAnsiTheme="majorBidi" w:cstheme="majorBidi"/>
          <w:b/>
          <w:bCs/>
          <w:sz w:val="28"/>
          <w:szCs w:val="28"/>
        </w:rPr>
        <w:t>References</w:t>
      </w:r>
    </w:p>
    <w:p w14:paraId="6F3A51AA" w14:textId="2B5BE5EA" w:rsidR="00C95E8B" w:rsidRPr="008C7F3B" w:rsidRDefault="00C95E8B" w:rsidP="00B43853">
      <w:pPr>
        <w:jc w:val="both"/>
        <w:rPr>
          <w:rFonts w:asciiTheme="majorBidi" w:hAnsiTheme="majorBidi" w:cstheme="majorBidi"/>
          <w:b/>
          <w:bCs/>
          <w:sz w:val="28"/>
          <w:szCs w:val="28"/>
        </w:rPr>
      </w:pPr>
    </w:p>
    <w:p w14:paraId="7E86C1F5"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Ali, Hazrat, Ezzat Khan, and Ikram Ilahi. "Environmental chemistry and ecotoxicology of hazardous heavy metals: environmental persistence, toxicity, and bioaccumulation." </w:t>
      </w:r>
      <w:r w:rsidRPr="00C95E8B">
        <w:rPr>
          <w:rFonts w:asciiTheme="majorBidi" w:hAnsiTheme="majorBidi" w:cstheme="majorBidi"/>
          <w:i/>
          <w:iCs/>
          <w:sz w:val="28"/>
          <w:szCs w:val="28"/>
        </w:rPr>
        <w:t>Journal of chemistry</w:t>
      </w:r>
      <w:r w:rsidRPr="00C95E8B">
        <w:rPr>
          <w:rFonts w:asciiTheme="majorBidi" w:hAnsiTheme="majorBidi" w:cstheme="majorBidi"/>
          <w:sz w:val="28"/>
          <w:szCs w:val="28"/>
        </w:rPr>
        <w:t xml:space="preserve"> 2019.1 (2019): 6730305.</w:t>
      </w:r>
      <w:r w:rsidRPr="00C95E8B">
        <w:rPr>
          <w:rFonts w:asciiTheme="majorBidi" w:hAnsiTheme="majorBidi" w:cstheme="majorBidi"/>
          <w:sz w:val="28"/>
          <w:szCs w:val="28"/>
          <w:rtl/>
        </w:rPr>
        <w:t>‏</w:t>
      </w:r>
    </w:p>
    <w:p w14:paraId="12CBD08A"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Zhang, Xiuying, et al. "Impact of soil heavy metal pollution on food safety in China." </w:t>
      </w:r>
      <w:proofErr w:type="spellStart"/>
      <w:r w:rsidRPr="00C95E8B">
        <w:rPr>
          <w:rFonts w:asciiTheme="majorBidi" w:hAnsiTheme="majorBidi" w:cstheme="majorBidi"/>
          <w:i/>
          <w:iCs/>
          <w:sz w:val="28"/>
          <w:szCs w:val="28"/>
        </w:rPr>
        <w:t>Plos</w:t>
      </w:r>
      <w:proofErr w:type="spellEnd"/>
      <w:r w:rsidRPr="00C95E8B">
        <w:rPr>
          <w:rFonts w:asciiTheme="majorBidi" w:hAnsiTheme="majorBidi" w:cstheme="majorBidi"/>
          <w:i/>
          <w:iCs/>
          <w:sz w:val="28"/>
          <w:szCs w:val="28"/>
        </w:rPr>
        <w:t xml:space="preserve"> one</w:t>
      </w:r>
      <w:r w:rsidRPr="00C95E8B">
        <w:rPr>
          <w:rFonts w:asciiTheme="majorBidi" w:hAnsiTheme="majorBidi" w:cstheme="majorBidi"/>
          <w:sz w:val="28"/>
          <w:szCs w:val="28"/>
        </w:rPr>
        <w:t xml:space="preserve"> 10.8 (2015): e0135182.</w:t>
      </w:r>
      <w:r w:rsidRPr="00C95E8B">
        <w:rPr>
          <w:rFonts w:asciiTheme="majorBidi" w:hAnsiTheme="majorBidi" w:cstheme="majorBidi"/>
          <w:sz w:val="28"/>
          <w:szCs w:val="28"/>
          <w:rtl/>
        </w:rPr>
        <w:t>‏</w:t>
      </w:r>
    </w:p>
    <w:p w14:paraId="300BED6A"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t>Järup</w:t>
      </w:r>
      <w:proofErr w:type="spellEnd"/>
      <w:r w:rsidRPr="00C95E8B">
        <w:rPr>
          <w:rFonts w:asciiTheme="majorBidi" w:hAnsiTheme="majorBidi" w:cstheme="majorBidi"/>
          <w:sz w:val="28"/>
          <w:szCs w:val="28"/>
        </w:rPr>
        <w:t xml:space="preserve">, Lars. "Hazards of heavy metal contamination." </w:t>
      </w:r>
      <w:r w:rsidRPr="00C95E8B">
        <w:rPr>
          <w:rFonts w:asciiTheme="majorBidi" w:hAnsiTheme="majorBidi" w:cstheme="majorBidi"/>
          <w:i/>
          <w:iCs/>
          <w:sz w:val="28"/>
          <w:szCs w:val="28"/>
        </w:rPr>
        <w:t>British medical bulletin</w:t>
      </w:r>
      <w:r w:rsidRPr="00C95E8B">
        <w:rPr>
          <w:rFonts w:asciiTheme="majorBidi" w:hAnsiTheme="majorBidi" w:cstheme="majorBidi"/>
          <w:sz w:val="28"/>
          <w:szCs w:val="28"/>
        </w:rPr>
        <w:t xml:space="preserve"> 68.1 (2003): 167-182.</w:t>
      </w:r>
      <w:r w:rsidRPr="00C95E8B">
        <w:rPr>
          <w:rFonts w:asciiTheme="majorBidi" w:hAnsiTheme="majorBidi" w:cstheme="majorBidi"/>
          <w:sz w:val="28"/>
          <w:szCs w:val="28"/>
          <w:rtl/>
        </w:rPr>
        <w:t>‏</w:t>
      </w:r>
    </w:p>
    <w:p w14:paraId="549FC696"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Lanphear, Bruce P., et al. "Low-level lead exposure and mortality in US adults: a population-based cohort study." </w:t>
      </w:r>
      <w:r w:rsidRPr="00C95E8B">
        <w:rPr>
          <w:rFonts w:asciiTheme="majorBidi" w:hAnsiTheme="majorBidi" w:cstheme="majorBidi"/>
          <w:i/>
          <w:iCs/>
          <w:sz w:val="28"/>
          <w:szCs w:val="28"/>
        </w:rPr>
        <w:t>The Lancet Public Health</w:t>
      </w:r>
      <w:r w:rsidRPr="00C95E8B">
        <w:rPr>
          <w:rFonts w:asciiTheme="majorBidi" w:hAnsiTheme="majorBidi" w:cstheme="majorBidi"/>
          <w:sz w:val="28"/>
          <w:szCs w:val="28"/>
        </w:rPr>
        <w:t xml:space="preserve"> 3.4 (2018): e177-e184.</w:t>
      </w:r>
      <w:r w:rsidRPr="00C95E8B">
        <w:rPr>
          <w:rFonts w:asciiTheme="majorBidi" w:hAnsiTheme="majorBidi" w:cstheme="majorBidi"/>
          <w:sz w:val="28"/>
          <w:szCs w:val="28"/>
          <w:rtl/>
        </w:rPr>
        <w:t>‏</w:t>
      </w:r>
    </w:p>
    <w:p w14:paraId="1092427C"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Rahimzadeh, Mehrdad Rafati, et al. "Cadmium toxicity and treatment: An update." </w:t>
      </w:r>
      <w:r w:rsidRPr="00C95E8B">
        <w:rPr>
          <w:rFonts w:asciiTheme="majorBidi" w:hAnsiTheme="majorBidi" w:cstheme="majorBidi"/>
          <w:i/>
          <w:iCs/>
          <w:sz w:val="28"/>
          <w:szCs w:val="28"/>
        </w:rPr>
        <w:t>Caspian journal of internal medicine</w:t>
      </w:r>
      <w:r w:rsidRPr="00C95E8B">
        <w:rPr>
          <w:rFonts w:asciiTheme="majorBidi" w:hAnsiTheme="majorBidi" w:cstheme="majorBidi"/>
          <w:sz w:val="28"/>
          <w:szCs w:val="28"/>
        </w:rPr>
        <w:t xml:space="preserve"> 8.3 (2017): 135.</w:t>
      </w:r>
      <w:r w:rsidRPr="00C95E8B">
        <w:rPr>
          <w:rFonts w:asciiTheme="majorBidi" w:hAnsiTheme="majorBidi" w:cstheme="majorBidi"/>
          <w:sz w:val="28"/>
          <w:szCs w:val="28"/>
          <w:rtl/>
        </w:rPr>
        <w:t>‏</w:t>
      </w:r>
    </w:p>
    <w:p w14:paraId="560D484B"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Tinkov, Alexey A., et al. "Cadmium and atherosclerosis: A review of toxicological mechanisms and a meta-analysis of epidemiologic studies." </w:t>
      </w:r>
      <w:r w:rsidRPr="00C95E8B">
        <w:rPr>
          <w:rFonts w:asciiTheme="majorBidi" w:hAnsiTheme="majorBidi" w:cstheme="majorBidi"/>
          <w:i/>
          <w:iCs/>
          <w:sz w:val="28"/>
          <w:szCs w:val="28"/>
        </w:rPr>
        <w:t>Environmental research</w:t>
      </w:r>
      <w:r w:rsidRPr="00C95E8B">
        <w:rPr>
          <w:rFonts w:asciiTheme="majorBidi" w:hAnsiTheme="majorBidi" w:cstheme="majorBidi"/>
          <w:sz w:val="28"/>
          <w:szCs w:val="28"/>
        </w:rPr>
        <w:t xml:space="preserve"> 162 (2018): 240-260.</w:t>
      </w:r>
      <w:r w:rsidRPr="00C95E8B">
        <w:rPr>
          <w:rFonts w:asciiTheme="majorBidi" w:hAnsiTheme="majorBidi" w:cstheme="majorBidi"/>
          <w:sz w:val="28"/>
          <w:szCs w:val="28"/>
          <w:rtl/>
        </w:rPr>
        <w:t>‏</w:t>
      </w:r>
    </w:p>
    <w:p w14:paraId="569B3664"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Kumar, Rakesh, et al. "Bioaccumulation of fluoride in plants and its microbially assisted remediation: a review of biological processes and technological performance." </w:t>
      </w:r>
      <w:r w:rsidRPr="00C95E8B">
        <w:rPr>
          <w:rFonts w:asciiTheme="majorBidi" w:hAnsiTheme="majorBidi" w:cstheme="majorBidi"/>
          <w:i/>
          <w:iCs/>
          <w:sz w:val="28"/>
          <w:szCs w:val="28"/>
        </w:rPr>
        <w:t>Processes</w:t>
      </w:r>
      <w:r w:rsidRPr="00C95E8B">
        <w:rPr>
          <w:rFonts w:asciiTheme="majorBidi" w:hAnsiTheme="majorBidi" w:cstheme="majorBidi"/>
          <w:sz w:val="28"/>
          <w:szCs w:val="28"/>
        </w:rPr>
        <w:t xml:space="preserve"> 9.12 (2021): 2154.</w:t>
      </w:r>
      <w:r w:rsidRPr="00C95E8B">
        <w:rPr>
          <w:rFonts w:asciiTheme="majorBidi" w:hAnsiTheme="majorBidi" w:cstheme="majorBidi"/>
          <w:sz w:val="28"/>
          <w:szCs w:val="28"/>
          <w:rtl/>
        </w:rPr>
        <w:t>‏</w:t>
      </w:r>
    </w:p>
    <w:p w14:paraId="1B828FAB"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Edition, Fourth. "Guidelines for drinking-water quality." </w:t>
      </w:r>
      <w:r w:rsidRPr="00C95E8B">
        <w:rPr>
          <w:rFonts w:asciiTheme="majorBidi" w:hAnsiTheme="majorBidi" w:cstheme="majorBidi"/>
          <w:i/>
          <w:iCs/>
          <w:sz w:val="28"/>
          <w:szCs w:val="28"/>
        </w:rPr>
        <w:t>WHO chronicle</w:t>
      </w:r>
      <w:r w:rsidRPr="00C95E8B">
        <w:rPr>
          <w:rFonts w:asciiTheme="majorBidi" w:hAnsiTheme="majorBidi" w:cstheme="majorBidi"/>
          <w:sz w:val="28"/>
          <w:szCs w:val="28"/>
        </w:rPr>
        <w:t xml:space="preserve"> 38.4 (2011): 104-8.</w:t>
      </w:r>
      <w:r w:rsidRPr="00C95E8B">
        <w:rPr>
          <w:rFonts w:asciiTheme="majorBidi" w:hAnsiTheme="majorBidi" w:cstheme="majorBidi"/>
          <w:sz w:val="28"/>
          <w:szCs w:val="28"/>
          <w:rtl/>
        </w:rPr>
        <w:t>‏</w:t>
      </w:r>
    </w:p>
    <w:p w14:paraId="7ACE57D4"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Alloway, Brian J., ed. </w:t>
      </w:r>
      <w:r w:rsidRPr="00C95E8B">
        <w:rPr>
          <w:rFonts w:asciiTheme="majorBidi" w:hAnsiTheme="majorBidi" w:cstheme="majorBidi"/>
          <w:i/>
          <w:iCs/>
          <w:sz w:val="28"/>
          <w:szCs w:val="28"/>
        </w:rPr>
        <w:t>Heavy metals in soils: trace metals and metalloids in soils and their bioavailability</w:t>
      </w:r>
      <w:r w:rsidRPr="00C95E8B">
        <w:rPr>
          <w:rFonts w:asciiTheme="majorBidi" w:hAnsiTheme="majorBidi" w:cstheme="majorBidi"/>
          <w:sz w:val="28"/>
          <w:szCs w:val="28"/>
        </w:rPr>
        <w:t>. Vol. 22. Springer Science &amp; Business Media, 2012.</w:t>
      </w:r>
      <w:r w:rsidRPr="00C95E8B">
        <w:rPr>
          <w:rFonts w:asciiTheme="majorBidi" w:hAnsiTheme="majorBidi" w:cstheme="majorBidi"/>
          <w:sz w:val="28"/>
          <w:szCs w:val="28"/>
          <w:rtl/>
        </w:rPr>
        <w:t>‏</w:t>
      </w:r>
    </w:p>
    <w:p w14:paraId="590C4F82"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Mukherjee, Arun B., and Alina </w:t>
      </w:r>
      <w:proofErr w:type="spellStart"/>
      <w:r w:rsidRPr="00C95E8B">
        <w:rPr>
          <w:rFonts w:asciiTheme="majorBidi" w:hAnsiTheme="majorBidi" w:cstheme="majorBidi"/>
          <w:sz w:val="28"/>
          <w:szCs w:val="28"/>
        </w:rPr>
        <w:t>Kabata</w:t>
      </w:r>
      <w:proofErr w:type="spellEnd"/>
      <w:r w:rsidRPr="00C95E8B">
        <w:rPr>
          <w:rFonts w:asciiTheme="majorBidi" w:hAnsiTheme="majorBidi" w:cstheme="majorBidi"/>
          <w:sz w:val="28"/>
          <w:szCs w:val="28"/>
        </w:rPr>
        <w:t xml:space="preserve"> </w:t>
      </w:r>
      <w:proofErr w:type="spellStart"/>
      <w:r w:rsidRPr="00C95E8B">
        <w:rPr>
          <w:rFonts w:asciiTheme="majorBidi" w:hAnsiTheme="majorBidi" w:cstheme="majorBidi"/>
          <w:sz w:val="28"/>
          <w:szCs w:val="28"/>
        </w:rPr>
        <w:t>Pendias</w:t>
      </w:r>
      <w:proofErr w:type="spellEnd"/>
      <w:r w:rsidRPr="00C95E8B">
        <w:rPr>
          <w:rFonts w:asciiTheme="majorBidi" w:hAnsiTheme="majorBidi" w:cstheme="majorBidi"/>
          <w:sz w:val="28"/>
          <w:szCs w:val="28"/>
        </w:rPr>
        <w:t>. "Trace elements from soil to human." (2007).</w:t>
      </w:r>
      <w:r w:rsidRPr="00C95E8B">
        <w:rPr>
          <w:rFonts w:asciiTheme="majorBidi" w:hAnsiTheme="majorBidi" w:cstheme="majorBidi"/>
          <w:sz w:val="28"/>
          <w:szCs w:val="28"/>
          <w:rtl/>
        </w:rPr>
        <w:t>‏</w:t>
      </w:r>
    </w:p>
    <w:p w14:paraId="485312DB"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lastRenderedPageBreak/>
        <w:t xml:space="preserve">Alloway, Brian J., ed. </w:t>
      </w:r>
      <w:r w:rsidRPr="00C95E8B">
        <w:rPr>
          <w:rFonts w:asciiTheme="majorBidi" w:hAnsiTheme="majorBidi" w:cstheme="majorBidi"/>
          <w:i/>
          <w:iCs/>
          <w:sz w:val="28"/>
          <w:szCs w:val="28"/>
        </w:rPr>
        <w:t>Heavy metals in soils: trace metals and metalloids in soils and their bioavailability</w:t>
      </w:r>
      <w:r w:rsidRPr="00C95E8B">
        <w:rPr>
          <w:rFonts w:asciiTheme="majorBidi" w:hAnsiTheme="majorBidi" w:cstheme="majorBidi"/>
          <w:sz w:val="28"/>
          <w:szCs w:val="28"/>
        </w:rPr>
        <w:t>. Vol. 22. Springer Science &amp; Business Media, 2012.</w:t>
      </w:r>
      <w:r w:rsidRPr="00C95E8B">
        <w:rPr>
          <w:rFonts w:asciiTheme="majorBidi" w:hAnsiTheme="majorBidi" w:cstheme="majorBidi"/>
          <w:sz w:val="28"/>
          <w:szCs w:val="28"/>
          <w:rtl/>
        </w:rPr>
        <w:t>‏</w:t>
      </w:r>
    </w:p>
    <w:p w14:paraId="3607333A"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Ismael, </w:t>
      </w:r>
      <w:proofErr w:type="spellStart"/>
      <w:r w:rsidRPr="00C95E8B">
        <w:rPr>
          <w:rFonts w:asciiTheme="majorBidi" w:hAnsiTheme="majorBidi" w:cstheme="majorBidi"/>
          <w:sz w:val="28"/>
          <w:szCs w:val="28"/>
        </w:rPr>
        <w:t>Dldar</w:t>
      </w:r>
      <w:proofErr w:type="spellEnd"/>
      <w:r w:rsidRPr="00C95E8B">
        <w:rPr>
          <w:rFonts w:asciiTheme="majorBidi" w:hAnsiTheme="majorBidi" w:cstheme="majorBidi"/>
          <w:sz w:val="28"/>
          <w:szCs w:val="28"/>
        </w:rPr>
        <w:t xml:space="preserve"> Saleh, and Siraj Muhammed Abdulla Goran. "Health risk assessment of heavy metals in some vegetables-Erbil City-Kurdistan Region of Iraq." </w:t>
      </w:r>
      <w:r w:rsidRPr="00C95E8B">
        <w:rPr>
          <w:rFonts w:asciiTheme="majorBidi" w:hAnsiTheme="majorBidi" w:cstheme="majorBidi"/>
          <w:i/>
          <w:iCs/>
          <w:sz w:val="28"/>
          <w:szCs w:val="28"/>
        </w:rPr>
        <w:t>Environmental Monitoring and Assessment</w:t>
      </w:r>
      <w:r w:rsidRPr="00C95E8B">
        <w:rPr>
          <w:rFonts w:asciiTheme="majorBidi" w:hAnsiTheme="majorBidi" w:cstheme="majorBidi"/>
          <w:sz w:val="28"/>
          <w:szCs w:val="28"/>
        </w:rPr>
        <w:t xml:space="preserve"> 196.5 (2024): 417.</w:t>
      </w:r>
      <w:r w:rsidRPr="00C95E8B">
        <w:rPr>
          <w:rFonts w:asciiTheme="majorBidi" w:hAnsiTheme="majorBidi" w:cstheme="majorBidi"/>
          <w:sz w:val="28"/>
          <w:szCs w:val="28"/>
          <w:rtl/>
        </w:rPr>
        <w:t>‏</w:t>
      </w:r>
    </w:p>
    <w:p w14:paraId="4D44FF7A"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Hussein, S. A., M. H. Rathi, and T. J. Kadhim. "Determination of the levels of lead and cadmium in canned fish and meat, imported to the local markets of Diyala Province, Iraq." </w:t>
      </w:r>
      <w:r w:rsidRPr="00C95E8B">
        <w:rPr>
          <w:rFonts w:asciiTheme="majorBidi" w:hAnsiTheme="majorBidi" w:cstheme="majorBidi"/>
          <w:i/>
          <w:iCs/>
          <w:sz w:val="28"/>
          <w:szCs w:val="28"/>
        </w:rPr>
        <w:t>IOP conference series: Earth and environmental science</w:t>
      </w:r>
      <w:r w:rsidRPr="00C95E8B">
        <w:rPr>
          <w:rFonts w:asciiTheme="majorBidi" w:hAnsiTheme="majorBidi" w:cstheme="majorBidi"/>
          <w:sz w:val="28"/>
          <w:szCs w:val="28"/>
        </w:rPr>
        <w:t>. Vol. 790. No. 1. IOP Publishing, 2021.</w:t>
      </w:r>
      <w:r w:rsidRPr="00C95E8B">
        <w:rPr>
          <w:rFonts w:asciiTheme="majorBidi" w:hAnsiTheme="majorBidi" w:cstheme="majorBidi"/>
          <w:sz w:val="28"/>
          <w:szCs w:val="28"/>
          <w:rtl/>
        </w:rPr>
        <w:t>‏</w:t>
      </w:r>
    </w:p>
    <w:p w14:paraId="6B09C921"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t>Einolghozati</w:t>
      </w:r>
      <w:proofErr w:type="spellEnd"/>
      <w:r w:rsidRPr="00C95E8B">
        <w:rPr>
          <w:rFonts w:asciiTheme="majorBidi" w:hAnsiTheme="majorBidi" w:cstheme="majorBidi"/>
          <w:sz w:val="28"/>
          <w:szCs w:val="28"/>
        </w:rPr>
        <w:t xml:space="preserve">, </w:t>
      </w:r>
      <w:proofErr w:type="spellStart"/>
      <w:r w:rsidRPr="00C95E8B">
        <w:rPr>
          <w:rFonts w:asciiTheme="majorBidi" w:hAnsiTheme="majorBidi" w:cstheme="majorBidi"/>
          <w:sz w:val="28"/>
          <w:szCs w:val="28"/>
        </w:rPr>
        <w:t>Mahtab</w:t>
      </w:r>
      <w:proofErr w:type="spellEnd"/>
      <w:r w:rsidRPr="00C95E8B">
        <w:rPr>
          <w:rFonts w:asciiTheme="majorBidi" w:hAnsiTheme="majorBidi" w:cstheme="majorBidi"/>
          <w:sz w:val="28"/>
          <w:szCs w:val="28"/>
        </w:rPr>
        <w:t xml:space="preserve">, et al. "The level of heavy metal in fresh and processed fruits: a study meta-analysis, systematic review, and health risk assessment." </w:t>
      </w:r>
      <w:r w:rsidRPr="00C95E8B">
        <w:rPr>
          <w:rFonts w:asciiTheme="majorBidi" w:hAnsiTheme="majorBidi" w:cstheme="majorBidi"/>
          <w:i/>
          <w:iCs/>
          <w:sz w:val="28"/>
          <w:szCs w:val="28"/>
        </w:rPr>
        <w:t>Biological trace element research</w:t>
      </w:r>
      <w:r w:rsidRPr="00C95E8B">
        <w:rPr>
          <w:rFonts w:asciiTheme="majorBidi" w:hAnsiTheme="majorBidi" w:cstheme="majorBidi"/>
          <w:sz w:val="28"/>
          <w:szCs w:val="28"/>
        </w:rPr>
        <w:t xml:space="preserve"> 201.5 (2023): 2582-2596.</w:t>
      </w:r>
      <w:r w:rsidRPr="00C95E8B">
        <w:rPr>
          <w:rFonts w:asciiTheme="majorBidi" w:hAnsiTheme="majorBidi" w:cstheme="majorBidi"/>
          <w:sz w:val="28"/>
          <w:szCs w:val="28"/>
          <w:rtl/>
        </w:rPr>
        <w:t>‏</w:t>
      </w:r>
    </w:p>
    <w:p w14:paraId="7175E0B6"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Afrin, Sadia, et al. "Determination and probabilistic health risk assessment of heavy metals in widely consumed market basket fruits from Dhaka city Bangladesh." </w:t>
      </w:r>
      <w:r w:rsidRPr="00C95E8B">
        <w:rPr>
          <w:rFonts w:asciiTheme="majorBidi" w:hAnsiTheme="majorBidi" w:cstheme="majorBidi"/>
          <w:i/>
          <w:iCs/>
          <w:sz w:val="28"/>
          <w:szCs w:val="28"/>
        </w:rPr>
        <w:t>International Journal of Environmental Analytical Chemistry</w:t>
      </w:r>
      <w:r w:rsidRPr="00C95E8B">
        <w:rPr>
          <w:rFonts w:asciiTheme="majorBidi" w:hAnsiTheme="majorBidi" w:cstheme="majorBidi"/>
          <w:sz w:val="28"/>
          <w:szCs w:val="28"/>
        </w:rPr>
        <w:t xml:space="preserve"> 104.1 (2024): 215-230.</w:t>
      </w:r>
      <w:r w:rsidRPr="00C95E8B">
        <w:rPr>
          <w:rFonts w:asciiTheme="majorBidi" w:hAnsiTheme="majorBidi" w:cstheme="majorBidi"/>
          <w:sz w:val="28"/>
          <w:szCs w:val="28"/>
          <w:rtl/>
        </w:rPr>
        <w:t>‏</w:t>
      </w:r>
    </w:p>
    <w:p w14:paraId="523A8B58" w14:textId="77777777" w:rsidR="00C95E8B" w:rsidRPr="00C95E8B" w:rsidRDefault="00C95E8B" w:rsidP="00C95E8B">
      <w:pPr>
        <w:numPr>
          <w:ilvl w:val="0"/>
          <w:numId w:val="1"/>
        </w:numPr>
        <w:jc w:val="both"/>
        <w:rPr>
          <w:rFonts w:asciiTheme="majorBidi" w:hAnsiTheme="majorBidi" w:cstheme="majorBidi"/>
          <w:sz w:val="28"/>
          <w:szCs w:val="28"/>
        </w:rPr>
      </w:pPr>
      <w:bookmarkStart w:id="2" w:name="_Hlk193922269"/>
      <w:proofErr w:type="spellStart"/>
      <w:r w:rsidRPr="00C95E8B">
        <w:rPr>
          <w:rFonts w:asciiTheme="majorBidi" w:hAnsiTheme="majorBidi" w:cstheme="majorBidi"/>
          <w:sz w:val="28"/>
          <w:szCs w:val="28"/>
        </w:rPr>
        <w:t>Oteef</w:t>
      </w:r>
      <w:bookmarkEnd w:id="2"/>
      <w:proofErr w:type="spellEnd"/>
      <w:r w:rsidRPr="00C95E8B">
        <w:rPr>
          <w:rFonts w:asciiTheme="majorBidi" w:hAnsiTheme="majorBidi" w:cstheme="majorBidi"/>
          <w:sz w:val="28"/>
          <w:szCs w:val="28"/>
        </w:rPr>
        <w:t xml:space="preserve">, Mohammed DY, et al. "Levels of zinc, copper, cadmium, and lead in fruits and vegetables grown and consumed in Aseer Region, Saudi Arabia." </w:t>
      </w:r>
      <w:r w:rsidRPr="00C95E8B">
        <w:rPr>
          <w:rFonts w:asciiTheme="majorBidi" w:hAnsiTheme="majorBidi" w:cstheme="majorBidi"/>
          <w:i/>
          <w:iCs/>
          <w:sz w:val="28"/>
          <w:szCs w:val="28"/>
        </w:rPr>
        <w:t>Environmental monitoring and assessment</w:t>
      </w:r>
      <w:r w:rsidRPr="00C95E8B">
        <w:rPr>
          <w:rFonts w:asciiTheme="majorBidi" w:hAnsiTheme="majorBidi" w:cstheme="majorBidi"/>
          <w:sz w:val="28"/>
          <w:szCs w:val="28"/>
        </w:rPr>
        <w:t xml:space="preserve"> 187 (2015): 1-11.</w:t>
      </w:r>
      <w:r w:rsidRPr="00C95E8B">
        <w:rPr>
          <w:rFonts w:asciiTheme="majorBidi" w:hAnsiTheme="majorBidi" w:cstheme="majorBidi"/>
          <w:sz w:val="28"/>
          <w:szCs w:val="28"/>
          <w:rtl/>
        </w:rPr>
        <w:t>‏</w:t>
      </w:r>
    </w:p>
    <w:p w14:paraId="2B009818" w14:textId="77777777" w:rsidR="00C95E8B" w:rsidRPr="00C95E8B" w:rsidRDefault="00C95E8B" w:rsidP="00C95E8B">
      <w:pPr>
        <w:numPr>
          <w:ilvl w:val="0"/>
          <w:numId w:val="1"/>
        </w:numPr>
        <w:jc w:val="both"/>
        <w:rPr>
          <w:rFonts w:asciiTheme="majorBidi" w:hAnsiTheme="majorBidi" w:cstheme="majorBidi"/>
          <w:sz w:val="28"/>
          <w:szCs w:val="28"/>
        </w:rPr>
      </w:pPr>
      <w:r w:rsidRPr="00C95E8B">
        <w:rPr>
          <w:rFonts w:asciiTheme="majorBidi" w:hAnsiTheme="majorBidi" w:cstheme="majorBidi"/>
          <w:sz w:val="28"/>
          <w:szCs w:val="28"/>
        </w:rPr>
        <w:t xml:space="preserve">Saha, Narottam, and M. R. Zaman. "Evaluation of possible health risks of heavy metals by consumption of foodstuffs available in the central market of </w:t>
      </w:r>
      <w:proofErr w:type="spellStart"/>
      <w:r w:rsidRPr="00C95E8B">
        <w:rPr>
          <w:rFonts w:asciiTheme="majorBidi" w:hAnsiTheme="majorBidi" w:cstheme="majorBidi"/>
          <w:sz w:val="28"/>
          <w:szCs w:val="28"/>
        </w:rPr>
        <w:t>Rajshahi</w:t>
      </w:r>
      <w:proofErr w:type="spellEnd"/>
      <w:r w:rsidRPr="00C95E8B">
        <w:rPr>
          <w:rFonts w:asciiTheme="majorBidi" w:hAnsiTheme="majorBidi" w:cstheme="majorBidi"/>
          <w:sz w:val="28"/>
          <w:szCs w:val="28"/>
        </w:rPr>
        <w:t xml:space="preserve"> City, Bangladesh." </w:t>
      </w:r>
      <w:r w:rsidRPr="00C95E8B">
        <w:rPr>
          <w:rFonts w:asciiTheme="majorBidi" w:hAnsiTheme="majorBidi" w:cstheme="majorBidi"/>
          <w:i/>
          <w:iCs/>
          <w:sz w:val="28"/>
          <w:szCs w:val="28"/>
        </w:rPr>
        <w:t>Environmental monitoring and assessment</w:t>
      </w:r>
      <w:r w:rsidRPr="00C95E8B">
        <w:rPr>
          <w:rFonts w:asciiTheme="majorBidi" w:hAnsiTheme="majorBidi" w:cstheme="majorBidi"/>
          <w:sz w:val="28"/>
          <w:szCs w:val="28"/>
        </w:rPr>
        <w:t xml:space="preserve"> 185 (2013): 3867-3878.</w:t>
      </w:r>
      <w:r w:rsidRPr="00C95E8B">
        <w:rPr>
          <w:rFonts w:asciiTheme="majorBidi" w:hAnsiTheme="majorBidi" w:cstheme="majorBidi"/>
          <w:sz w:val="28"/>
          <w:szCs w:val="28"/>
          <w:rtl/>
        </w:rPr>
        <w:t>‏</w:t>
      </w:r>
    </w:p>
    <w:p w14:paraId="50D7A47D" w14:textId="77777777" w:rsidR="00C95E8B" w:rsidRPr="00C95E8B" w:rsidRDefault="00C95E8B" w:rsidP="00C95E8B">
      <w:pPr>
        <w:numPr>
          <w:ilvl w:val="0"/>
          <w:numId w:val="1"/>
        </w:numPr>
        <w:jc w:val="both"/>
        <w:rPr>
          <w:rFonts w:asciiTheme="majorBidi" w:hAnsiTheme="majorBidi" w:cstheme="majorBidi"/>
          <w:sz w:val="28"/>
          <w:szCs w:val="28"/>
        </w:rPr>
      </w:pPr>
      <w:bookmarkStart w:id="3" w:name="_Hlk193922316"/>
      <w:proofErr w:type="spellStart"/>
      <w:r w:rsidRPr="00C95E8B">
        <w:rPr>
          <w:rFonts w:asciiTheme="majorBidi" w:hAnsiTheme="majorBidi" w:cstheme="majorBidi"/>
          <w:sz w:val="28"/>
          <w:szCs w:val="28"/>
        </w:rPr>
        <w:t>Sawut</w:t>
      </w:r>
      <w:bookmarkEnd w:id="3"/>
      <w:proofErr w:type="spellEnd"/>
      <w:r w:rsidRPr="00C95E8B">
        <w:rPr>
          <w:rFonts w:asciiTheme="majorBidi" w:hAnsiTheme="majorBidi" w:cstheme="majorBidi"/>
          <w:sz w:val="28"/>
          <w:szCs w:val="28"/>
        </w:rPr>
        <w:t xml:space="preserve">, </w:t>
      </w:r>
      <w:proofErr w:type="spellStart"/>
      <w:r w:rsidRPr="00C95E8B">
        <w:rPr>
          <w:rFonts w:asciiTheme="majorBidi" w:hAnsiTheme="majorBidi" w:cstheme="majorBidi"/>
          <w:sz w:val="28"/>
          <w:szCs w:val="28"/>
        </w:rPr>
        <w:t>Rukeya</w:t>
      </w:r>
      <w:proofErr w:type="spellEnd"/>
      <w:r w:rsidRPr="00C95E8B">
        <w:rPr>
          <w:rFonts w:asciiTheme="majorBidi" w:hAnsiTheme="majorBidi" w:cstheme="majorBidi"/>
          <w:sz w:val="28"/>
          <w:szCs w:val="28"/>
        </w:rPr>
        <w:t xml:space="preserve">, et al. "Pollution characteristics and health risk assessment of heavy metals in the vegetable bases of northwest China." </w:t>
      </w:r>
      <w:r w:rsidRPr="00C95E8B">
        <w:rPr>
          <w:rFonts w:asciiTheme="majorBidi" w:hAnsiTheme="majorBidi" w:cstheme="majorBidi"/>
          <w:i/>
          <w:iCs/>
          <w:sz w:val="28"/>
          <w:szCs w:val="28"/>
        </w:rPr>
        <w:t>Science of the total environment</w:t>
      </w:r>
      <w:r w:rsidRPr="00C95E8B">
        <w:rPr>
          <w:rFonts w:asciiTheme="majorBidi" w:hAnsiTheme="majorBidi" w:cstheme="majorBidi"/>
          <w:sz w:val="28"/>
          <w:szCs w:val="28"/>
        </w:rPr>
        <w:t xml:space="preserve"> 642 (2018): 864-878.</w:t>
      </w:r>
      <w:r w:rsidRPr="00C95E8B">
        <w:rPr>
          <w:rFonts w:asciiTheme="majorBidi" w:hAnsiTheme="majorBidi" w:cstheme="majorBidi"/>
          <w:sz w:val="28"/>
          <w:szCs w:val="28"/>
          <w:rtl/>
        </w:rPr>
        <w:t>‏</w:t>
      </w:r>
    </w:p>
    <w:p w14:paraId="7BCE2C18"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t>Sawut</w:t>
      </w:r>
      <w:proofErr w:type="spellEnd"/>
      <w:r w:rsidRPr="00C95E8B">
        <w:rPr>
          <w:rFonts w:asciiTheme="majorBidi" w:hAnsiTheme="majorBidi" w:cstheme="majorBidi"/>
          <w:sz w:val="28"/>
          <w:szCs w:val="28"/>
        </w:rPr>
        <w:t xml:space="preserve">, </w:t>
      </w:r>
      <w:proofErr w:type="spellStart"/>
      <w:r w:rsidRPr="00C95E8B">
        <w:rPr>
          <w:rFonts w:asciiTheme="majorBidi" w:hAnsiTheme="majorBidi" w:cstheme="majorBidi"/>
          <w:sz w:val="28"/>
          <w:szCs w:val="28"/>
        </w:rPr>
        <w:t>Rukeya</w:t>
      </w:r>
      <w:proofErr w:type="spellEnd"/>
      <w:r w:rsidRPr="00C95E8B">
        <w:rPr>
          <w:rFonts w:asciiTheme="majorBidi" w:hAnsiTheme="majorBidi" w:cstheme="majorBidi"/>
          <w:sz w:val="28"/>
          <w:szCs w:val="28"/>
        </w:rPr>
        <w:t xml:space="preserve">, et al. "Pollution characteristics and health risk assessment of heavy metals in the vegetable bases of northwest China." </w:t>
      </w:r>
      <w:r w:rsidRPr="00C95E8B">
        <w:rPr>
          <w:rFonts w:asciiTheme="majorBidi" w:hAnsiTheme="majorBidi" w:cstheme="majorBidi"/>
          <w:i/>
          <w:iCs/>
          <w:sz w:val="28"/>
          <w:szCs w:val="28"/>
        </w:rPr>
        <w:t>Science of the total environment</w:t>
      </w:r>
      <w:r w:rsidRPr="00C95E8B">
        <w:rPr>
          <w:rFonts w:asciiTheme="majorBidi" w:hAnsiTheme="majorBidi" w:cstheme="majorBidi"/>
          <w:sz w:val="28"/>
          <w:szCs w:val="28"/>
        </w:rPr>
        <w:t xml:space="preserve"> 642 (2018): 864-878.</w:t>
      </w:r>
      <w:r w:rsidRPr="00C95E8B">
        <w:rPr>
          <w:rFonts w:asciiTheme="majorBidi" w:hAnsiTheme="majorBidi" w:cstheme="majorBidi"/>
          <w:sz w:val="28"/>
          <w:szCs w:val="28"/>
          <w:rtl/>
        </w:rPr>
        <w:t>‏</w:t>
      </w:r>
    </w:p>
    <w:p w14:paraId="2F7E8902"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lastRenderedPageBreak/>
        <w:t>Mawari</w:t>
      </w:r>
      <w:proofErr w:type="spellEnd"/>
      <w:r w:rsidRPr="00C95E8B">
        <w:rPr>
          <w:rFonts w:asciiTheme="majorBidi" w:hAnsiTheme="majorBidi" w:cstheme="majorBidi"/>
          <w:sz w:val="28"/>
          <w:szCs w:val="28"/>
        </w:rPr>
        <w:t xml:space="preserve">, Govind, et al. "Heavy metal accumulation in fruits and vegetables and human health risk assessment: findings from Maharashtra, India." </w:t>
      </w:r>
      <w:r w:rsidRPr="00C95E8B">
        <w:rPr>
          <w:rFonts w:asciiTheme="majorBidi" w:hAnsiTheme="majorBidi" w:cstheme="majorBidi"/>
          <w:i/>
          <w:iCs/>
          <w:sz w:val="28"/>
          <w:szCs w:val="28"/>
        </w:rPr>
        <w:t>Environmental Health Insights</w:t>
      </w:r>
      <w:r w:rsidRPr="00C95E8B">
        <w:rPr>
          <w:rFonts w:asciiTheme="majorBidi" w:hAnsiTheme="majorBidi" w:cstheme="majorBidi"/>
          <w:sz w:val="28"/>
          <w:szCs w:val="28"/>
        </w:rPr>
        <w:t xml:space="preserve"> 16 (2022): 11786302221119151.</w:t>
      </w:r>
      <w:r w:rsidRPr="00C95E8B">
        <w:rPr>
          <w:rFonts w:asciiTheme="majorBidi" w:hAnsiTheme="majorBidi" w:cstheme="majorBidi"/>
          <w:sz w:val="28"/>
          <w:szCs w:val="28"/>
          <w:rtl/>
        </w:rPr>
        <w:t>‏</w:t>
      </w:r>
    </w:p>
    <w:p w14:paraId="245AE7F9"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t>Hoaghia</w:t>
      </w:r>
      <w:proofErr w:type="spellEnd"/>
      <w:r w:rsidRPr="00C95E8B">
        <w:rPr>
          <w:rFonts w:asciiTheme="majorBidi" w:hAnsiTheme="majorBidi" w:cstheme="majorBidi"/>
          <w:sz w:val="28"/>
          <w:szCs w:val="28"/>
        </w:rPr>
        <w:t xml:space="preserve">, Maria-Alexandra, et al. "Heavy metals and health risk assessment in vegetables grown in the vicinity of a former non-metallic facility located in Romania." </w:t>
      </w:r>
      <w:r w:rsidRPr="00C95E8B">
        <w:rPr>
          <w:rFonts w:asciiTheme="majorBidi" w:hAnsiTheme="majorBidi" w:cstheme="majorBidi"/>
          <w:i/>
          <w:iCs/>
          <w:sz w:val="28"/>
          <w:szCs w:val="28"/>
        </w:rPr>
        <w:t>Environmental Science and Pollution Research</w:t>
      </w:r>
      <w:r w:rsidRPr="00C95E8B">
        <w:rPr>
          <w:rFonts w:asciiTheme="majorBidi" w:hAnsiTheme="majorBidi" w:cstheme="majorBidi"/>
          <w:sz w:val="28"/>
          <w:szCs w:val="28"/>
        </w:rPr>
        <w:t xml:space="preserve"> 29.26 (2022): 40079-40093.</w:t>
      </w:r>
      <w:r w:rsidRPr="00C95E8B">
        <w:rPr>
          <w:rFonts w:asciiTheme="majorBidi" w:hAnsiTheme="majorBidi" w:cstheme="majorBidi"/>
          <w:sz w:val="28"/>
          <w:szCs w:val="28"/>
          <w:rtl/>
        </w:rPr>
        <w:t>‏</w:t>
      </w:r>
    </w:p>
    <w:p w14:paraId="4E81F18E" w14:textId="77777777" w:rsidR="00C95E8B" w:rsidRPr="00C95E8B" w:rsidRDefault="00C95E8B" w:rsidP="00C95E8B">
      <w:pPr>
        <w:numPr>
          <w:ilvl w:val="0"/>
          <w:numId w:val="1"/>
        </w:numPr>
        <w:jc w:val="both"/>
        <w:rPr>
          <w:rFonts w:asciiTheme="majorBidi" w:hAnsiTheme="majorBidi" w:cstheme="majorBidi"/>
          <w:sz w:val="28"/>
          <w:szCs w:val="28"/>
        </w:rPr>
      </w:pPr>
      <w:proofErr w:type="spellStart"/>
      <w:r w:rsidRPr="00C95E8B">
        <w:rPr>
          <w:rFonts w:asciiTheme="majorBidi" w:hAnsiTheme="majorBidi" w:cstheme="majorBidi"/>
          <w:sz w:val="28"/>
          <w:szCs w:val="28"/>
        </w:rPr>
        <w:t>Ezeonyejiaku</w:t>
      </w:r>
      <w:proofErr w:type="spellEnd"/>
      <w:r w:rsidRPr="00C95E8B">
        <w:rPr>
          <w:rFonts w:asciiTheme="majorBidi" w:hAnsiTheme="majorBidi" w:cstheme="majorBidi"/>
          <w:sz w:val="28"/>
          <w:szCs w:val="28"/>
        </w:rPr>
        <w:t xml:space="preserve">, </w:t>
      </w:r>
      <w:proofErr w:type="spellStart"/>
      <w:r w:rsidRPr="00C95E8B">
        <w:rPr>
          <w:rFonts w:asciiTheme="majorBidi" w:hAnsiTheme="majorBidi" w:cstheme="majorBidi"/>
          <w:sz w:val="28"/>
          <w:szCs w:val="28"/>
        </w:rPr>
        <w:t>Chigozie</w:t>
      </w:r>
      <w:proofErr w:type="spellEnd"/>
      <w:r w:rsidRPr="00C95E8B">
        <w:rPr>
          <w:rFonts w:asciiTheme="majorBidi" w:hAnsiTheme="majorBidi" w:cstheme="majorBidi"/>
          <w:sz w:val="28"/>
          <w:szCs w:val="28"/>
        </w:rPr>
        <w:t xml:space="preserve"> Damian, and Maximilian Obinna </w:t>
      </w:r>
      <w:proofErr w:type="spellStart"/>
      <w:r w:rsidRPr="00C95E8B">
        <w:rPr>
          <w:rFonts w:asciiTheme="majorBidi" w:hAnsiTheme="majorBidi" w:cstheme="majorBidi"/>
          <w:sz w:val="28"/>
          <w:szCs w:val="28"/>
        </w:rPr>
        <w:t>Obiakor</w:t>
      </w:r>
      <w:proofErr w:type="spellEnd"/>
      <w:r w:rsidRPr="00C95E8B">
        <w:rPr>
          <w:rFonts w:asciiTheme="majorBidi" w:hAnsiTheme="majorBidi" w:cstheme="majorBidi"/>
          <w:sz w:val="28"/>
          <w:szCs w:val="28"/>
        </w:rPr>
        <w:t xml:space="preserve">. "A market basket survey of horticultural fruits for arsenic and trace metal contamination in southeast Nigeria and potential health risk implications." </w:t>
      </w:r>
      <w:r w:rsidRPr="00C95E8B">
        <w:rPr>
          <w:rFonts w:asciiTheme="majorBidi" w:hAnsiTheme="majorBidi" w:cstheme="majorBidi"/>
          <w:i/>
          <w:iCs/>
          <w:sz w:val="28"/>
          <w:szCs w:val="28"/>
        </w:rPr>
        <w:t>Journal of Health and Pollution</w:t>
      </w:r>
      <w:r w:rsidRPr="00C95E8B">
        <w:rPr>
          <w:rFonts w:asciiTheme="majorBidi" w:hAnsiTheme="majorBidi" w:cstheme="majorBidi"/>
          <w:sz w:val="28"/>
          <w:szCs w:val="28"/>
        </w:rPr>
        <w:t xml:space="preserve"> 7.15 (2017): 40-50.</w:t>
      </w:r>
      <w:r w:rsidRPr="00C95E8B">
        <w:rPr>
          <w:rFonts w:asciiTheme="majorBidi" w:hAnsiTheme="majorBidi" w:cstheme="majorBidi"/>
          <w:sz w:val="28"/>
          <w:szCs w:val="28"/>
          <w:rtl/>
        </w:rPr>
        <w:t>‏</w:t>
      </w:r>
    </w:p>
    <w:p w14:paraId="7F8FFEEC" w14:textId="77777777" w:rsidR="00C95E8B" w:rsidRPr="00B43853" w:rsidRDefault="00C95E8B" w:rsidP="00B43853">
      <w:pPr>
        <w:jc w:val="both"/>
        <w:rPr>
          <w:rFonts w:asciiTheme="majorBidi" w:hAnsiTheme="majorBidi" w:cstheme="majorBidi"/>
          <w:b/>
          <w:bCs/>
          <w:sz w:val="28"/>
          <w:szCs w:val="28"/>
        </w:rPr>
      </w:pPr>
    </w:p>
    <w:p w14:paraId="764B80D3" w14:textId="77777777" w:rsidR="00B43853" w:rsidRPr="00B43853" w:rsidRDefault="00B43853" w:rsidP="00B43853">
      <w:pPr>
        <w:jc w:val="both"/>
        <w:rPr>
          <w:rFonts w:asciiTheme="majorBidi" w:hAnsiTheme="majorBidi" w:cstheme="majorBidi"/>
          <w:sz w:val="28"/>
          <w:szCs w:val="28"/>
        </w:rPr>
      </w:pPr>
    </w:p>
    <w:p w14:paraId="25A1C8D9" w14:textId="77777777" w:rsidR="00B43853" w:rsidRPr="00B43853" w:rsidRDefault="00B43853" w:rsidP="00B43853">
      <w:pPr>
        <w:jc w:val="both"/>
        <w:rPr>
          <w:rFonts w:asciiTheme="majorBidi" w:hAnsiTheme="majorBidi" w:cstheme="majorBidi"/>
          <w:sz w:val="28"/>
          <w:szCs w:val="28"/>
        </w:rPr>
      </w:pPr>
    </w:p>
    <w:p w14:paraId="371F4AAC" w14:textId="77777777" w:rsidR="007F4978" w:rsidRPr="00B43853" w:rsidRDefault="007F4978">
      <w:pPr>
        <w:rPr>
          <w:rFonts w:asciiTheme="majorBidi" w:hAnsiTheme="majorBidi" w:cstheme="majorBidi"/>
          <w:sz w:val="28"/>
          <w:szCs w:val="28"/>
        </w:rPr>
      </w:pPr>
    </w:p>
    <w:sectPr w:rsidR="007F4978" w:rsidRPr="00B43853">
      <w:headerReference w:type="even" r:id="rId10"/>
      <w:headerReference w:type="default" r:id="rId11"/>
      <w:footerReference w:type="even" r:id="rId12"/>
      <w:footerReference w:type="default" r:id="rId13"/>
      <w:headerReference w:type="first" r:id="rId14"/>
      <w:footerReference w:type="first" r:id="rId15"/>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0C67A" w14:textId="77777777" w:rsidR="007315BA" w:rsidRDefault="007315BA" w:rsidP="000208FE">
      <w:pPr>
        <w:spacing w:after="0" w:line="240" w:lineRule="auto"/>
      </w:pPr>
      <w:r>
        <w:separator/>
      </w:r>
    </w:p>
  </w:endnote>
  <w:endnote w:type="continuationSeparator" w:id="0">
    <w:p w14:paraId="17FDD914" w14:textId="77777777" w:rsidR="007315BA" w:rsidRDefault="007315BA" w:rsidP="000208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BF103" w14:textId="77777777" w:rsidR="000208FE" w:rsidRDefault="000208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0EEAC" w14:textId="77777777" w:rsidR="000208FE" w:rsidRDefault="000208F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A3556F" w14:textId="77777777" w:rsidR="000208FE" w:rsidRDefault="000208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874C1" w14:textId="77777777" w:rsidR="007315BA" w:rsidRDefault="007315BA" w:rsidP="000208FE">
      <w:pPr>
        <w:spacing w:after="0" w:line="240" w:lineRule="auto"/>
      </w:pPr>
      <w:r>
        <w:separator/>
      </w:r>
    </w:p>
  </w:footnote>
  <w:footnote w:type="continuationSeparator" w:id="0">
    <w:p w14:paraId="0AC14BB7" w14:textId="77777777" w:rsidR="007315BA" w:rsidRDefault="007315BA" w:rsidP="000208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1C71E5" w14:textId="5CBC0F72" w:rsidR="000208FE" w:rsidRDefault="000208FE">
    <w:pPr>
      <w:pStyle w:val="Header"/>
    </w:pPr>
    <w:r>
      <w:rPr>
        <w:noProof/>
      </w:rPr>
      <w:pict w14:anchorId="7226F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04594" o:spid="_x0000_s2050" type="#_x0000_t136" style="position:absolute;margin-left:0;margin-top:0;width:512.85pt;height:96.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82DD09" w14:textId="048D5597" w:rsidR="000208FE" w:rsidRDefault="000208FE">
    <w:pPr>
      <w:pStyle w:val="Header"/>
    </w:pPr>
    <w:r>
      <w:rPr>
        <w:noProof/>
      </w:rPr>
      <w:pict w14:anchorId="57737C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04595" o:spid="_x0000_s2051" type="#_x0000_t136" style="position:absolute;margin-left:0;margin-top:0;width:512.85pt;height:96.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34611B" w14:textId="52828B96" w:rsidR="000208FE" w:rsidRDefault="000208FE">
    <w:pPr>
      <w:pStyle w:val="Header"/>
    </w:pPr>
    <w:r>
      <w:rPr>
        <w:noProof/>
      </w:rPr>
      <w:pict w14:anchorId="0635A1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61204593" o:spid="_x0000_s2049" type="#_x0000_t136" style="position:absolute;margin-left:0;margin-top:0;width:512.85pt;height:96.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124B62"/>
    <w:multiLevelType w:val="hybridMultilevel"/>
    <w:tmpl w:val="693478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978"/>
    <w:rsid w:val="00004DA2"/>
    <w:rsid w:val="000208FE"/>
    <w:rsid w:val="0010618F"/>
    <w:rsid w:val="001C6D54"/>
    <w:rsid w:val="001D5865"/>
    <w:rsid w:val="004829B8"/>
    <w:rsid w:val="005309B8"/>
    <w:rsid w:val="00645A74"/>
    <w:rsid w:val="007315BA"/>
    <w:rsid w:val="00736125"/>
    <w:rsid w:val="00794260"/>
    <w:rsid w:val="007F4978"/>
    <w:rsid w:val="008261B5"/>
    <w:rsid w:val="00855473"/>
    <w:rsid w:val="008C7F3B"/>
    <w:rsid w:val="00B43853"/>
    <w:rsid w:val="00B63114"/>
    <w:rsid w:val="00C95E8B"/>
    <w:rsid w:val="00E2710F"/>
    <w:rsid w:val="00F3097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52F29EC"/>
  <w15:chartTrackingRefBased/>
  <w15:docId w15:val="{3877450E-10AA-4A95-BED3-61ADC9A200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9426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94260"/>
    <w:rPr>
      <w:b/>
      <w:bCs/>
    </w:rPr>
  </w:style>
  <w:style w:type="character" w:styleId="Hyperlink">
    <w:name w:val="Hyperlink"/>
    <w:basedOn w:val="DefaultParagraphFont"/>
    <w:uiPriority w:val="99"/>
    <w:unhideWhenUsed/>
    <w:rsid w:val="0010618F"/>
    <w:rPr>
      <w:color w:val="0563C1" w:themeColor="hyperlink"/>
      <w:u w:val="single"/>
    </w:rPr>
  </w:style>
  <w:style w:type="character" w:styleId="UnresolvedMention">
    <w:name w:val="Unresolved Mention"/>
    <w:basedOn w:val="DefaultParagraphFont"/>
    <w:uiPriority w:val="99"/>
    <w:semiHidden/>
    <w:unhideWhenUsed/>
    <w:rsid w:val="0010618F"/>
    <w:rPr>
      <w:color w:val="605E5C"/>
      <w:shd w:val="clear" w:color="auto" w:fill="E1DFDD"/>
    </w:rPr>
  </w:style>
  <w:style w:type="paragraph" w:styleId="Header">
    <w:name w:val="header"/>
    <w:basedOn w:val="Normal"/>
    <w:link w:val="HeaderChar"/>
    <w:uiPriority w:val="99"/>
    <w:unhideWhenUsed/>
    <w:rsid w:val="000208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08FE"/>
  </w:style>
  <w:style w:type="paragraph" w:styleId="Footer">
    <w:name w:val="footer"/>
    <w:basedOn w:val="Normal"/>
    <w:link w:val="FooterChar"/>
    <w:uiPriority w:val="99"/>
    <w:unhideWhenUsed/>
    <w:rsid w:val="000208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08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75513">
      <w:bodyDiv w:val="1"/>
      <w:marLeft w:val="0"/>
      <w:marRight w:val="0"/>
      <w:marTop w:val="0"/>
      <w:marBottom w:val="0"/>
      <w:divBdr>
        <w:top w:val="none" w:sz="0" w:space="0" w:color="auto"/>
        <w:left w:val="none" w:sz="0" w:space="0" w:color="auto"/>
        <w:bottom w:val="none" w:sz="0" w:space="0" w:color="auto"/>
        <w:right w:val="none" w:sz="0" w:space="0" w:color="auto"/>
      </w:divBdr>
    </w:div>
    <w:div w:id="203179192">
      <w:bodyDiv w:val="1"/>
      <w:marLeft w:val="0"/>
      <w:marRight w:val="0"/>
      <w:marTop w:val="0"/>
      <w:marBottom w:val="0"/>
      <w:divBdr>
        <w:top w:val="none" w:sz="0" w:space="0" w:color="auto"/>
        <w:left w:val="none" w:sz="0" w:space="0" w:color="auto"/>
        <w:bottom w:val="none" w:sz="0" w:space="0" w:color="auto"/>
        <w:right w:val="none" w:sz="0" w:space="0" w:color="auto"/>
      </w:divBdr>
    </w:div>
    <w:div w:id="218831648">
      <w:bodyDiv w:val="1"/>
      <w:marLeft w:val="0"/>
      <w:marRight w:val="0"/>
      <w:marTop w:val="0"/>
      <w:marBottom w:val="0"/>
      <w:divBdr>
        <w:top w:val="none" w:sz="0" w:space="0" w:color="auto"/>
        <w:left w:val="none" w:sz="0" w:space="0" w:color="auto"/>
        <w:bottom w:val="none" w:sz="0" w:space="0" w:color="auto"/>
        <w:right w:val="none" w:sz="0" w:space="0" w:color="auto"/>
      </w:divBdr>
    </w:div>
    <w:div w:id="240260021">
      <w:bodyDiv w:val="1"/>
      <w:marLeft w:val="0"/>
      <w:marRight w:val="0"/>
      <w:marTop w:val="0"/>
      <w:marBottom w:val="0"/>
      <w:divBdr>
        <w:top w:val="none" w:sz="0" w:space="0" w:color="auto"/>
        <w:left w:val="none" w:sz="0" w:space="0" w:color="auto"/>
        <w:bottom w:val="none" w:sz="0" w:space="0" w:color="auto"/>
        <w:right w:val="none" w:sz="0" w:space="0" w:color="auto"/>
      </w:divBdr>
    </w:div>
    <w:div w:id="386611215">
      <w:bodyDiv w:val="1"/>
      <w:marLeft w:val="0"/>
      <w:marRight w:val="0"/>
      <w:marTop w:val="0"/>
      <w:marBottom w:val="0"/>
      <w:divBdr>
        <w:top w:val="none" w:sz="0" w:space="0" w:color="auto"/>
        <w:left w:val="none" w:sz="0" w:space="0" w:color="auto"/>
        <w:bottom w:val="none" w:sz="0" w:space="0" w:color="auto"/>
        <w:right w:val="none" w:sz="0" w:space="0" w:color="auto"/>
      </w:divBdr>
    </w:div>
    <w:div w:id="427971319">
      <w:bodyDiv w:val="1"/>
      <w:marLeft w:val="0"/>
      <w:marRight w:val="0"/>
      <w:marTop w:val="0"/>
      <w:marBottom w:val="0"/>
      <w:divBdr>
        <w:top w:val="none" w:sz="0" w:space="0" w:color="auto"/>
        <w:left w:val="none" w:sz="0" w:space="0" w:color="auto"/>
        <w:bottom w:val="none" w:sz="0" w:space="0" w:color="auto"/>
        <w:right w:val="none" w:sz="0" w:space="0" w:color="auto"/>
      </w:divBdr>
    </w:div>
    <w:div w:id="569387443">
      <w:bodyDiv w:val="1"/>
      <w:marLeft w:val="0"/>
      <w:marRight w:val="0"/>
      <w:marTop w:val="0"/>
      <w:marBottom w:val="0"/>
      <w:divBdr>
        <w:top w:val="none" w:sz="0" w:space="0" w:color="auto"/>
        <w:left w:val="none" w:sz="0" w:space="0" w:color="auto"/>
        <w:bottom w:val="none" w:sz="0" w:space="0" w:color="auto"/>
        <w:right w:val="none" w:sz="0" w:space="0" w:color="auto"/>
      </w:divBdr>
    </w:div>
    <w:div w:id="869152011">
      <w:bodyDiv w:val="1"/>
      <w:marLeft w:val="0"/>
      <w:marRight w:val="0"/>
      <w:marTop w:val="0"/>
      <w:marBottom w:val="0"/>
      <w:divBdr>
        <w:top w:val="none" w:sz="0" w:space="0" w:color="auto"/>
        <w:left w:val="none" w:sz="0" w:space="0" w:color="auto"/>
        <w:bottom w:val="none" w:sz="0" w:space="0" w:color="auto"/>
        <w:right w:val="none" w:sz="0" w:space="0" w:color="auto"/>
      </w:divBdr>
    </w:div>
    <w:div w:id="1294288125">
      <w:bodyDiv w:val="1"/>
      <w:marLeft w:val="0"/>
      <w:marRight w:val="0"/>
      <w:marTop w:val="0"/>
      <w:marBottom w:val="0"/>
      <w:divBdr>
        <w:top w:val="none" w:sz="0" w:space="0" w:color="auto"/>
        <w:left w:val="none" w:sz="0" w:space="0" w:color="auto"/>
        <w:bottom w:val="none" w:sz="0" w:space="0" w:color="auto"/>
        <w:right w:val="none" w:sz="0" w:space="0" w:color="auto"/>
      </w:divBdr>
    </w:div>
    <w:div w:id="1380320112">
      <w:bodyDiv w:val="1"/>
      <w:marLeft w:val="0"/>
      <w:marRight w:val="0"/>
      <w:marTop w:val="0"/>
      <w:marBottom w:val="0"/>
      <w:divBdr>
        <w:top w:val="none" w:sz="0" w:space="0" w:color="auto"/>
        <w:left w:val="none" w:sz="0" w:space="0" w:color="auto"/>
        <w:bottom w:val="none" w:sz="0" w:space="0" w:color="auto"/>
        <w:right w:val="none" w:sz="0" w:space="0" w:color="auto"/>
      </w:divBdr>
    </w:div>
    <w:div w:id="1388870147">
      <w:bodyDiv w:val="1"/>
      <w:marLeft w:val="0"/>
      <w:marRight w:val="0"/>
      <w:marTop w:val="0"/>
      <w:marBottom w:val="0"/>
      <w:divBdr>
        <w:top w:val="none" w:sz="0" w:space="0" w:color="auto"/>
        <w:left w:val="none" w:sz="0" w:space="0" w:color="auto"/>
        <w:bottom w:val="none" w:sz="0" w:space="0" w:color="auto"/>
        <w:right w:val="none" w:sz="0" w:space="0" w:color="auto"/>
      </w:divBdr>
    </w:div>
    <w:div w:id="1625187389">
      <w:bodyDiv w:val="1"/>
      <w:marLeft w:val="0"/>
      <w:marRight w:val="0"/>
      <w:marTop w:val="0"/>
      <w:marBottom w:val="0"/>
      <w:divBdr>
        <w:top w:val="none" w:sz="0" w:space="0" w:color="auto"/>
        <w:left w:val="none" w:sz="0" w:space="0" w:color="auto"/>
        <w:bottom w:val="none" w:sz="0" w:space="0" w:color="auto"/>
        <w:right w:val="none" w:sz="0" w:space="0" w:color="auto"/>
      </w:divBdr>
    </w:div>
    <w:div w:id="1714305203">
      <w:bodyDiv w:val="1"/>
      <w:marLeft w:val="0"/>
      <w:marRight w:val="0"/>
      <w:marTop w:val="0"/>
      <w:marBottom w:val="0"/>
      <w:divBdr>
        <w:top w:val="none" w:sz="0" w:space="0" w:color="auto"/>
        <w:left w:val="none" w:sz="0" w:space="0" w:color="auto"/>
        <w:bottom w:val="none" w:sz="0" w:space="0" w:color="auto"/>
        <w:right w:val="none" w:sz="0" w:space="0" w:color="auto"/>
      </w:divBdr>
    </w:div>
    <w:div w:id="1753426007">
      <w:bodyDiv w:val="1"/>
      <w:marLeft w:val="0"/>
      <w:marRight w:val="0"/>
      <w:marTop w:val="0"/>
      <w:marBottom w:val="0"/>
      <w:divBdr>
        <w:top w:val="none" w:sz="0" w:space="0" w:color="auto"/>
        <w:left w:val="none" w:sz="0" w:space="0" w:color="auto"/>
        <w:bottom w:val="none" w:sz="0" w:space="0" w:color="auto"/>
        <w:right w:val="none" w:sz="0" w:space="0" w:color="auto"/>
      </w:divBdr>
    </w:div>
    <w:div w:id="2038003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3.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ali\OneDrive\Desktop\&#1576;&#1610;&#1576;&#1585;%20&#1575;&#1604;&#1601;&#1608;&#1575;&#1603;&#1607;%20&#1608;&#1575;&#1604;&#1582;&#1590;&#1585;&#1608;&#1575;&#1578;\New%20Microsoft%20Excel%20Worksheet.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li\OneDrive\Desktop\&#1576;&#1610;&#1576;&#1585;%20&#1575;&#1604;&#1601;&#1608;&#1575;&#1603;&#1607;%20&#1608;&#1575;&#1604;&#1582;&#1590;&#1585;&#1608;&#1575;&#1578;\New%20Microsoft%20Excel%20Worksheet.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ورقة1!$L$10</c:f>
              <c:strCache>
                <c:ptCount val="1"/>
                <c:pt idx="0">
                  <c:v>concenatration</c:v>
                </c:pt>
              </c:strCache>
            </c:strRef>
          </c:tx>
          <c:spPr>
            <a:solidFill>
              <a:schemeClr val="accent1"/>
            </a:solidFill>
            <a:ln>
              <a:noFill/>
            </a:ln>
            <a:effectLst/>
          </c:spPr>
          <c:invertIfNegative val="0"/>
          <c:cat>
            <c:numRef>
              <c:f>ورقة1!$K$11:$K$21</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ورقة1!$L$11:$L$21</c:f>
              <c:numCache>
                <c:formatCode>General</c:formatCode>
                <c:ptCount val="11"/>
                <c:pt idx="0">
                  <c:v>2.1000000000000001E-2</c:v>
                </c:pt>
                <c:pt idx="1">
                  <c:v>0.11</c:v>
                </c:pt>
                <c:pt idx="2">
                  <c:v>7.7000000000000002E-3</c:v>
                </c:pt>
                <c:pt idx="3">
                  <c:v>4.2099999999999999E-2</c:v>
                </c:pt>
                <c:pt idx="4">
                  <c:v>0.13</c:v>
                </c:pt>
                <c:pt idx="5">
                  <c:v>0.03</c:v>
                </c:pt>
                <c:pt idx="6">
                  <c:v>0.41</c:v>
                </c:pt>
                <c:pt idx="7">
                  <c:v>5.1999999999999998E-3</c:v>
                </c:pt>
                <c:pt idx="8">
                  <c:v>1.7899999999999999E-2</c:v>
                </c:pt>
                <c:pt idx="9">
                  <c:v>7.1099999999999997E-2</c:v>
                </c:pt>
                <c:pt idx="10">
                  <c:v>0.115</c:v>
                </c:pt>
              </c:numCache>
            </c:numRef>
          </c:val>
          <c:extLst>
            <c:ext xmlns:c16="http://schemas.microsoft.com/office/drawing/2014/chart" uri="{C3380CC4-5D6E-409C-BE32-E72D297353CC}">
              <c16:uniqueId val="{00000000-DE25-40C9-9DFD-61DEB0BEA771}"/>
            </c:ext>
          </c:extLst>
        </c:ser>
        <c:dLbls>
          <c:showLegendKey val="0"/>
          <c:showVal val="0"/>
          <c:showCatName val="0"/>
          <c:showSerName val="0"/>
          <c:showPercent val="0"/>
          <c:showBubbleSize val="0"/>
        </c:dLbls>
        <c:gapWidth val="219"/>
        <c:overlap val="-27"/>
        <c:axId val="500138800"/>
        <c:axId val="500136304"/>
      </c:barChart>
      <c:catAx>
        <c:axId val="5001388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0" i="0" u="none" strike="noStrike" baseline="0">
                    <a:latin typeface="Times New Roman" panose="02020603050405020304" pitchFamily="18" charset="0"/>
                    <a:cs typeface="Times New Roman" panose="02020603050405020304" pitchFamily="18" charset="0"/>
                  </a:rPr>
                  <a:t>Plants</a:t>
                </a:r>
                <a:endParaRPr lang="en-US">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0136304"/>
        <c:crosses val="autoZero"/>
        <c:auto val="1"/>
        <c:lblAlgn val="ctr"/>
        <c:lblOffset val="100"/>
        <c:noMultiLvlLbl val="0"/>
      </c:catAx>
      <c:valAx>
        <c:axId val="5001363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000" b="1" i="0" u="none" strike="noStrike" baseline="0">
                    <a:latin typeface="Times New Roman" panose="02020603050405020304" pitchFamily="18" charset="0"/>
                    <a:cs typeface="Times New Roman" panose="02020603050405020304" pitchFamily="18" charset="0"/>
                  </a:rPr>
                  <a:t>ppm</a:t>
                </a:r>
                <a:endParaRPr lang="en-US" b="1">
                  <a:latin typeface="Times New Roman" panose="02020603050405020304" pitchFamily="18" charset="0"/>
                  <a:cs typeface="Times New Roman" panose="02020603050405020304" pitchFamily="18" charset="0"/>
                </a:endParaRPr>
              </a:p>
            </c:rich>
          </c:tx>
          <c:layout>
            <c:manualLayout>
              <c:xMode val="edge"/>
              <c:yMode val="edge"/>
              <c:x val="0.11088807376938249"/>
              <c:y val="0.39320975709492401"/>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6350" cap="flat" cmpd="sng" algn="ctr">
            <a:solidFill>
              <a:schemeClr val="dk1"/>
            </a:solidFill>
            <a:prstDash val="solid"/>
            <a:miter lim="800000"/>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5001388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ورقة1!$E$22</c:f>
              <c:strCache>
                <c:ptCount val="1"/>
                <c:pt idx="0">
                  <c:v>concenatration</c:v>
                </c:pt>
              </c:strCache>
            </c:strRef>
          </c:tx>
          <c:spPr>
            <a:solidFill>
              <a:schemeClr val="accent1"/>
            </a:solidFill>
            <a:ln>
              <a:noFill/>
            </a:ln>
            <a:effectLst/>
          </c:spPr>
          <c:invertIfNegative val="0"/>
          <c:cat>
            <c:numRef>
              <c:f>ورقة1!$D$23:$D$33</c:f>
              <c:numCache>
                <c:formatCode>General</c:formatCode>
                <c:ptCount val="11"/>
                <c:pt idx="0">
                  <c:v>1</c:v>
                </c:pt>
                <c:pt idx="1">
                  <c:v>2</c:v>
                </c:pt>
                <c:pt idx="2">
                  <c:v>3</c:v>
                </c:pt>
                <c:pt idx="3">
                  <c:v>4</c:v>
                </c:pt>
                <c:pt idx="4">
                  <c:v>5</c:v>
                </c:pt>
                <c:pt idx="5">
                  <c:v>6</c:v>
                </c:pt>
                <c:pt idx="6">
                  <c:v>7</c:v>
                </c:pt>
                <c:pt idx="7">
                  <c:v>8</c:v>
                </c:pt>
                <c:pt idx="8">
                  <c:v>9</c:v>
                </c:pt>
                <c:pt idx="9">
                  <c:v>10</c:v>
                </c:pt>
                <c:pt idx="10">
                  <c:v>11</c:v>
                </c:pt>
              </c:numCache>
            </c:numRef>
          </c:cat>
          <c:val>
            <c:numRef>
              <c:f>ورقة1!$E$23:$E$33</c:f>
              <c:numCache>
                <c:formatCode>General</c:formatCode>
                <c:ptCount val="11"/>
                <c:pt idx="0">
                  <c:v>1.01E-2</c:v>
                </c:pt>
                <c:pt idx="1">
                  <c:v>7.0000000000000007E-2</c:v>
                </c:pt>
                <c:pt idx="2">
                  <c:v>8.9999999999999998E-4</c:v>
                </c:pt>
                <c:pt idx="3">
                  <c:v>2.9999999999999997E-4</c:v>
                </c:pt>
                <c:pt idx="4">
                  <c:v>4.7100000000000003E-2</c:v>
                </c:pt>
                <c:pt idx="5">
                  <c:v>0.15</c:v>
                </c:pt>
                <c:pt idx="6">
                  <c:v>2E-3</c:v>
                </c:pt>
                <c:pt idx="7">
                  <c:v>2.9999999999999997E-4</c:v>
                </c:pt>
                <c:pt idx="8">
                  <c:v>2.2000000000000001E-3</c:v>
                </c:pt>
                <c:pt idx="9">
                  <c:v>9.1999999999999998E-3</c:v>
                </c:pt>
                <c:pt idx="10">
                  <c:v>2.3999999999999998E-3</c:v>
                </c:pt>
              </c:numCache>
            </c:numRef>
          </c:val>
          <c:extLst>
            <c:ext xmlns:c16="http://schemas.microsoft.com/office/drawing/2014/chart" uri="{C3380CC4-5D6E-409C-BE32-E72D297353CC}">
              <c16:uniqueId val="{00000000-56ED-42D6-B833-DC8442C1994A}"/>
            </c:ext>
          </c:extLst>
        </c:ser>
        <c:dLbls>
          <c:showLegendKey val="0"/>
          <c:showVal val="0"/>
          <c:showCatName val="0"/>
          <c:showSerName val="0"/>
          <c:showPercent val="0"/>
          <c:showBubbleSize val="0"/>
        </c:dLbls>
        <c:gapWidth val="219"/>
        <c:overlap val="-27"/>
        <c:axId val="568966608"/>
        <c:axId val="568959120"/>
      </c:barChart>
      <c:catAx>
        <c:axId val="56896660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0" i="0" baseline="0">
                    <a:effectLst/>
                    <a:latin typeface="Times New Roman" panose="02020603050405020304" pitchFamily="18" charset="0"/>
                    <a:cs typeface="Times New Roman" panose="02020603050405020304" pitchFamily="18" charset="0"/>
                  </a:rPr>
                  <a:t>Plants</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0.52447462817147861"/>
              <c:y val="0.89979148439778356"/>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959120"/>
        <c:crosses val="autoZero"/>
        <c:auto val="1"/>
        <c:lblAlgn val="ctr"/>
        <c:lblOffset val="100"/>
        <c:noMultiLvlLbl val="0"/>
      </c:catAx>
      <c:valAx>
        <c:axId val="5689591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US" sz="1100" b="1" i="0" baseline="0">
                    <a:effectLst/>
                    <a:latin typeface="Times New Roman" panose="02020603050405020304" pitchFamily="18" charset="0"/>
                    <a:cs typeface="Times New Roman" panose="02020603050405020304" pitchFamily="18" charset="0"/>
                  </a:rPr>
                  <a:t>ppm</a:t>
                </a:r>
                <a:endParaRPr lang="en-US" sz="1100">
                  <a:effectLst/>
                  <a:latin typeface="Times New Roman" panose="02020603050405020304" pitchFamily="18" charset="0"/>
                  <a:cs typeface="Times New Roman" panose="02020603050405020304" pitchFamily="18" charset="0"/>
                </a:endParaRPr>
              </a:p>
            </c:rich>
          </c:tx>
          <c:layout>
            <c:manualLayout>
              <c:xMode val="edge"/>
              <c:yMode val="edge"/>
              <c:x val="7.2222222222222215E-2"/>
              <c:y val="0.40008894721493149"/>
            </c:manualLayout>
          </c:layout>
          <c:overlay val="0"/>
          <c:spPr>
            <a:noFill/>
            <a:ln>
              <a:noFill/>
            </a:ln>
            <a:effectLst/>
          </c:spPr>
          <c:txPr>
            <a:bodyPr rot="-5400000" spcFirstLastPara="1" vertOverflow="ellipsis" vert="horz" wrap="square" anchor="ctr" anchorCtr="1"/>
            <a:lstStyle/>
            <a:p>
              <a:pPr>
                <a:defRPr sz="11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68966608"/>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CFED6-3CC0-46A5-974E-3359322FE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1316</TotalTime>
  <Pages>11</Pages>
  <Words>2380</Words>
  <Characters>13569</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 HMOD</dc:creator>
  <cp:keywords/>
  <dc:description/>
  <cp:lastModifiedBy>SDI 1084</cp:lastModifiedBy>
  <cp:revision>6</cp:revision>
  <dcterms:created xsi:type="dcterms:W3CDTF">2025-01-31T14:15:00Z</dcterms:created>
  <dcterms:modified xsi:type="dcterms:W3CDTF">2025-03-27T05:10:00Z</dcterms:modified>
</cp:coreProperties>
</file>