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1C36B" w14:textId="20BAA887" w:rsidR="007E2AFA" w:rsidRPr="001C44C7" w:rsidRDefault="00344EFA" w:rsidP="00344EFA">
      <w:pPr>
        <w:spacing w:before="100" w:beforeAutospacing="1" w:after="100" w:afterAutospacing="1" w:line="240" w:lineRule="auto"/>
        <w:jc w:val="center"/>
        <w:rPr>
          <w:rFonts w:ascii="Times New Roman" w:hAnsi="Times New Roman" w:cs="Times New Roman"/>
          <w:b/>
          <w:bCs/>
          <w:sz w:val="24"/>
          <w:szCs w:val="24"/>
        </w:rPr>
      </w:pPr>
      <w:r w:rsidRPr="001C44C7">
        <w:rPr>
          <w:rFonts w:ascii="Times New Roman" w:hAnsi="Times New Roman" w:cs="Times New Roman"/>
          <w:b/>
          <w:bCs/>
          <w:sz w:val="24"/>
          <w:szCs w:val="24"/>
        </w:rPr>
        <w:t>Comparative Assessment of Liver Toxicity Induced by Sodium Benzoate, Ascorbic Acid, and their Co-administration in Albino Rats</w:t>
      </w:r>
    </w:p>
    <w:p w14:paraId="33EF87BF" w14:textId="77777777" w:rsidR="00344EFA" w:rsidRPr="001C44C7" w:rsidRDefault="00344EFA" w:rsidP="00C72164">
      <w:pPr>
        <w:rPr>
          <w:rFonts w:ascii="Times New Roman" w:hAnsi="Times New Roman" w:cs="Times New Roman"/>
          <w:b/>
          <w:bCs/>
          <w:sz w:val="24"/>
          <w:szCs w:val="24"/>
        </w:rPr>
      </w:pPr>
    </w:p>
    <w:p w14:paraId="43400478" w14:textId="7B475E13" w:rsidR="00485D14" w:rsidRPr="001C44C7" w:rsidRDefault="00EA03C9"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1C44C7">
        <w:rPr>
          <w:rFonts w:ascii="Times New Roman" w:eastAsia="Times New Roman" w:hAnsi="Times New Roman" w:cs="Times New Roman"/>
          <w:b/>
          <w:bCs/>
          <w:sz w:val="24"/>
          <w:szCs w:val="24"/>
          <w14:ligatures w14:val="none"/>
        </w:rPr>
        <w:t>ABSTRACT</w:t>
      </w:r>
    </w:p>
    <w:p w14:paraId="05886237" w14:textId="736078B2" w:rsidR="00485D14" w:rsidRPr="001C44C7" w:rsidRDefault="00485D14"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1C44C7">
        <w:rPr>
          <w:rFonts w:ascii="Times New Roman" w:eastAsia="Times New Roman" w:hAnsi="Times New Roman" w:cs="Times New Roman"/>
          <w:b/>
          <w:bCs/>
          <w:sz w:val="24"/>
          <w:szCs w:val="24"/>
          <w14:ligatures w14:val="none"/>
        </w:rPr>
        <w:t>Background:</w:t>
      </w:r>
      <w:r w:rsidRPr="001C44C7">
        <w:rPr>
          <w:rFonts w:ascii="Times New Roman" w:eastAsia="Times New Roman" w:hAnsi="Times New Roman" w:cs="Times New Roman"/>
          <w:sz w:val="24"/>
          <w:szCs w:val="24"/>
          <w14:ligatures w14:val="none"/>
        </w:rPr>
        <w:t xml:space="preserve"> The widespread use of preservatives such as sodium benzoate and ascorbic acid in food and beverages has sparked concerns over potential health hazards, including the production of benzene, a known carcinogen. Therefore, this study aimed to evaluate the effects of sodium benzoate, ascorbic acid, and their combination on liver function parameters and histological integrity in albino rats.</w:t>
      </w:r>
    </w:p>
    <w:p w14:paraId="49F0ACF9" w14:textId="1CF1D2D2" w:rsidR="00485D14" w:rsidRPr="001C44C7" w:rsidRDefault="00485D14"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1C44C7">
        <w:rPr>
          <w:rFonts w:ascii="Times New Roman" w:eastAsia="Times New Roman" w:hAnsi="Times New Roman" w:cs="Times New Roman"/>
          <w:b/>
          <w:bCs/>
          <w:sz w:val="24"/>
          <w:szCs w:val="24"/>
          <w14:ligatures w14:val="none"/>
        </w:rPr>
        <w:t>Methodology:</w:t>
      </w:r>
      <w:r w:rsidRPr="001C44C7">
        <w:rPr>
          <w:rFonts w:ascii="Times New Roman" w:eastAsia="Times New Roman" w:hAnsi="Times New Roman" w:cs="Times New Roman"/>
          <w:sz w:val="24"/>
          <w:szCs w:val="24"/>
          <w14:ligatures w14:val="none"/>
        </w:rPr>
        <w:t xml:space="preserve"> Thirty-six albino rats were randomly divided into six groups. Group I (control) received distilled water; Group II received 120 mg/kg of sodium benzoate alone; Group III received 240 mg/kg of sodium benzoate alone; Group IV received 100 mg/kg of ascorbic acid (vitamin C) alone; Group V received a combination of 120 mg/kg sodium benzoate with 100 mg/kg ascorbic acid; and Group VI received a combination of 240 mg/kg sodium benzoate with 100 mg/kg ascorbic acid. Treatments were administered orally once daily for 28 days. Liver function was assessed using biochemical markers, including total bilirubin, direct bilirubin, total protein, albumin, AST, ALT, ALP, and GGT. Liver histology was also examined.</w:t>
      </w:r>
    </w:p>
    <w:p w14:paraId="7D63A793" w14:textId="77777777" w:rsidR="00485D14" w:rsidRPr="001C44C7" w:rsidRDefault="00485D14"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1C44C7">
        <w:rPr>
          <w:rFonts w:ascii="Times New Roman" w:eastAsia="Times New Roman" w:hAnsi="Times New Roman" w:cs="Times New Roman"/>
          <w:b/>
          <w:bCs/>
          <w:sz w:val="24"/>
          <w:szCs w:val="24"/>
          <w14:ligatures w14:val="none"/>
        </w:rPr>
        <w:t>Results:</w:t>
      </w:r>
      <w:r w:rsidRPr="001C44C7">
        <w:rPr>
          <w:rFonts w:ascii="Times New Roman" w:eastAsia="Times New Roman" w:hAnsi="Times New Roman" w:cs="Times New Roman"/>
          <w:sz w:val="24"/>
          <w:szCs w:val="24"/>
          <w14:ligatures w14:val="none"/>
        </w:rPr>
        <w:t xml:space="preserve"> Group III (240 mg/kg sodium benzoate) exhibited significantly higher total bilirubin (5.25 ± 0.59 mmol/L) and direct bilirubin (7.56 ± 0.35 mmol/L) levels compared to Group VI (2.94 ± 0.73 mmol/L and 2.79 ± 0.67 mmol/L, respectively; p &lt; 0.05). ALT levels were significantly elevated in Group VI (30.46 ± 6.31 U/L) compared to Group I (21.62 ± 0.97 U/L, p = 0.000), indicating severe hepatocyte injury. ALP levels were significantly higher in Group II (40.08 ± 3.47 U/L) compared to Group V (26.60 ± 8.48 U/L, p = 0.024), suggesting biliary dysfunction. Total protein and albumin levels did not differ significantly across groups (p = 0.555 and p = 0.451, respectively). Histological analysis revealed degenerating hepatocytes, sinusoidal congestion, and tissue distortion, particularly in Groups III and VI.</w:t>
      </w:r>
    </w:p>
    <w:p w14:paraId="7320B9B8" w14:textId="45B406A2" w:rsidR="00485D14" w:rsidRPr="001C44C7" w:rsidRDefault="00485D14"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1C44C7">
        <w:rPr>
          <w:rFonts w:ascii="Times New Roman" w:eastAsia="Times New Roman" w:hAnsi="Times New Roman" w:cs="Times New Roman"/>
          <w:b/>
          <w:bCs/>
          <w:sz w:val="24"/>
          <w:szCs w:val="24"/>
          <w14:ligatures w14:val="none"/>
        </w:rPr>
        <w:t>Conclusion:</w:t>
      </w:r>
      <w:r w:rsidRPr="001C44C7">
        <w:rPr>
          <w:rFonts w:ascii="Times New Roman" w:eastAsia="Times New Roman" w:hAnsi="Times New Roman" w:cs="Times New Roman"/>
          <w:sz w:val="24"/>
          <w:szCs w:val="24"/>
          <w14:ligatures w14:val="none"/>
        </w:rPr>
        <w:t xml:space="preserve"> High doses of sodium benzoate induce significant hepatotoxicity, and its combination with ascorbic acid exacerbates liver damage. These findings highlight the need for caution regarding the combined use of sodium benzoate and ascorbic acid in food products and emphasize the importance of further safety evaluations.</w:t>
      </w:r>
    </w:p>
    <w:p w14:paraId="15A3BF90" w14:textId="77777777" w:rsidR="00EA03C9" w:rsidRPr="001C44C7" w:rsidRDefault="00EA03C9" w:rsidP="00EA03C9">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b/>
          <w:bCs/>
          <w:sz w:val="24"/>
          <w:szCs w:val="24"/>
        </w:rPr>
        <w:t xml:space="preserve">Keywords: </w:t>
      </w:r>
      <w:r w:rsidRPr="001C44C7">
        <w:rPr>
          <w:rFonts w:ascii="Times New Roman" w:hAnsi="Times New Roman" w:cs="Times New Roman"/>
          <w:sz w:val="24"/>
          <w:szCs w:val="24"/>
        </w:rPr>
        <w:t>Sodium Benzoate, Vitamin C, Liver Function, Albino Rats, Benzene Formation, Histological Analysis, Biochemical Parameters, Preservatives</w:t>
      </w:r>
    </w:p>
    <w:p w14:paraId="266F4481" w14:textId="77777777" w:rsidR="00EA03C9" w:rsidRPr="001C44C7" w:rsidRDefault="00EA03C9" w:rsidP="00485D14">
      <w:pPr>
        <w:spacing w:before="100" w:beforeAutospacing="1" w:after="100" w:afterAutospacing="1" w:line="240" w:lineRule="auto"/>
        <w:jc w:val="both"/>
        <w:rPr>
          <w:rFonts w:ascii="Times New Roman" w:eastAsia="Times New Roman" w:hAnsi="Times New Roman" w:cs="Times New Roman"/>
          <w:sz w:val="24"/>
          <w:szCs w:val="24"/>
          <w14:ligatures w14:val="none"/>
        </w:rPr>
      </w:pPr>
    </w:p>
    <w:p w14:paraId="2FA2B72A" w14:textId="77777777"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p>
    <w:p w14:paraId="10599130" w14:textId="77777777"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p>
    <w:p w14:paraId="1BB5A31D" w14:textId="75A2688C" w:rsidR="007E2AFA" w:rsidRPr="001C44C7" w:rsidRDefault="00266C22" w:rsidP="007E2AFA">
      <w:pPr>
        <w:spacing w:before="100" w:beforeAutospacing="1" w:after="100" w:afterAutospacing="1" w:line="240" w:lineRule="auto"/>
        <w:jc w:val="both"/>
        <w:rPr>
          <w:rFonts w:ascii="Times New Roman" w:hAnsi="Times New Roman" w:cs="Times New Roman"/>
          <w:b/>
          <w:bCs/>
          <w:sz w:val="28"/>
          <w:szCs w:val="28"/>
        </w:rPr>
      </w:pPr>
      <w:bookmarkStart w:id="0" w:name="_GoBack"/>
      <w:bookmarkEnd w:id="0"/>
      <w:r w:rsidRPr="001C44C7">
        <w:rPr>
          <w:rFonts w:ascii="Times New Roman" w:hAnsi="Times New Roman" w:cs="Times New Roman"/>
          <w:b/>
          <w:bCs/>
          <w:sz w:val="28"/>
          <w:szCs w:val="28"/>
        </w:rPr>
        <w:lastRenderedPageBreak/>
        <w:t>Introduction</w:t>
      </w:r>
    </w:p>
    <w:p w14:paraId="47B625B5" w14:textId="77777777" w:rsidR="007E2AFA" w:rsidRPr="001C44C7" w:rsidRDefault="007E2AFA" w:rsidP="007E2AFA">
      <w:pPr>
        <w:spacing w:after="0" w:line="240" w:lineRule="auto"/>
        <w:jc w:val="both"/>
        <w:rPr>
          <w:rFonts w:ascii="Times New Roman" w:hAnsi="Times New Roman" w:cs="Times New Roman"/>
          <w:sz w:val="24"/>
          <w:szCs w:val="24"/>
        </w:rPr>
      </w:pPr>
      <w:r w:rsidRPr="001C44C7">
        <w:rPr>
          <w:rFonts w:ascii="Times New Roman" w:hAnsi="Times New Roman" w:cs="Times New Roman"/>
          <w:sz w:val="24"/>
          <w:szCs w:val="24"/>
        </w:rPr>
        <w:t>The growing demand for food and beverage preservation to extend shelf life has resulted in the extensive use of preservatives. These compounds are crucial for controlling enzymatic reactions and microbial growth during packaging, storage, distribution, retail, and consumption, thereby preventing spoilage [1]. Preservatives are broadly classified into two categories: antioxidants and antimicrobials [2]. Antioxidants slow down oxidative degradation, preserving the food's quality and nutritional value, while antimicrobial agents inhibit the growth of spoilage microorganisms and pathogens, ensuring safety and longevity [3]. Sodium benzoate and ascorbic acid are two widely used examples of these preservatives.</w:t>
      </w:r>
    </w:p>
    <w:p w14:paraId="31D17D2D" w14:textId="77777777" w:rsidR="007E2AFA" w:rsidRPr="001C44C7" w:rsidRDefault="007E2AFA" w:rsidP="007E2AFA">
      <w:pPr>
        <w:spacing w:after="0" w:line="240" w:lineRule="auto"/>
        <w:jc w:val="both"/>
        <w:rPr>
          <w:rFonts w:ascii="Times New Roman" w:hAnsi="Times New Roman" w:cs="Times New Roman"/>
          <w:sz w:val="24"/>
          <w:szCs w:val="24"/>
        </w:rPr>
      </w:pPr>
    </w:p>
    <w:p w14:paraId="4CBBFAD1" w14:textId="77777777" w:rsidR="007E2AFA" w:rsidRPr="001C44C7" w:rsidRDefault="007E2AFA" w:rsidP="007E2AFA">
      <w:pPr>
        <w:spacing w:after="0" w:line="240" w:lineRule="auto"/>
        <w:jc w:val="both"/>
        <w:rPr>
          <w:rFonts w:ascii="Times New Roman" w:hAnsi="Times New Roman" w:cs="Times New Roman"/>
          <w:sz w:val="24"/>
          <w:szCs w:val="24"/>
        </w:rPr>
      </w:pPr>
      <w:r w:rsidRPr="001C44C7">
        <w:rPr>
          <w:rFonts w:ascii="Times New Roman" w:hAnsi="Times New Roman" w:cs="Times New Roman"/>
          <w:sz w:val="24"/>
          <w:szCs w:val="24"/>
        </w:rPr>
        <w:t>Sodium benzoate (SB) is a commonly employed preservative known for its ability to inhibit microbial growth at low concentrations, earning it a reputation as an effective and safe food preservative [4]. Referred to as E211 in Europe, sodium benzoate is a tasteless, odorless, water-soluble compound with both antifungal and antibacterial properties [5]. It is FDA-approved and classified as generally recognized as safe (GRAS) at concentrations of up to 0.1%, and it is frequently added to carbonated beverages, sauces, and jams [6]. Ascorbic acid (vitamin C), on the other hand, is a natural antioxidant that prevents oxidative spoilage by inhibiting oxygen-related reactions in food, thus maintaining quality [7]. This compound extends shelf life by reducing harmful byproducts and is commonly used in the preservation of fruits, vegetables, and meats. Moreover, ascorbic acid supports collagen synthesis, immune function, and neutralizes reactive oxygen species (ROS), offering protection against oxidative stress [8].</w:t>
      </w:r>
    </w:p>
    <w:p w14:paraId="62920B1A" w14:textId="77777777" w:rsidR="007E2AFA" w:rsidRPr="001C44C7" w:rsidRDefault="007E2AFA" w:rsidP="007E2AFA">
      <w:pPr>
        <w:spacing w:after="0" w:line="240" w:lineRule="auto"/>
        <w:jc w:val="both"/>
        <w:rPr>
          <w:rFonts w:ascii="Times New Roman" w:hAnsi="Times New Roman" w:cs="Times New Roman"/>
          <w:sz w:val="24"/>
          <w:szCs w:val="24"/>
        </w:rPr>
      </w:pPr>
    </w:p>
    <w:p w14:paraId="17C0C2DC" w14:textId="7C5C0E43" w:rsidR="007E2AFA" w:rsidRPr="001C44C7" w:rsidRDefault="007E2AFA" w:rsidP="007E2AFA">
      <w:pPr>
        <w:spacing w:after="0" w:line="240" w:lineRule="auto"/>
        <w:jc w:val="both"/>
        <w:rPr>
          <w:rFonts w:ascii="Times New Roman" w:hAnsi="Times New Roman" w:cs="Times New Roman"/>
          <w:sz w:val="24"/>
          <w:szCs w:val="24"/>
        </w:rPr>
      </w:pPr>
      <w:r w:rsidRPr="001C44C7">
        <w:rPr>
          <w:rFonts w:ascii="Times New Roman" w:hAnsi="Times New Roman" w:cs="Times New Roman"/>
          <w:sz w:val="24"/>
          <w:szCs w:val="24"/>
        </w:rPr>
        <w:t xml:space="preserve">The use of sodium benzoate in processed foods and beverages has raised concerns over potential adverse effects. Metabolically, sodium benzoate is converted into benzoic acid, which undergoes glycine conjugation in the liver to form hippuric acid, subsequently excreted via the kidneys. </w:t>
      </w:r>
      <w:r w:rsidR="00B00F2C" w:rsidRPr="001C44C7">
        <w:rPr>
          <w:rFonts w:ascii="Times New Roman" w:hAnsi="Times New Roman" w:cs="Times New Roman"/>
          <w:sz w:val="24"/>
          <w:szCs w:val="24"/>
        </w:rPr>
        <w:t>This metabolic process may place a significant burden on the liver, especially with chronic or excessive consumption, as these substances undergo first-pass metabolism upon reaching the hepatic system</w:t>
      </w:r>
      <w:r w:rsidRPr="001C44C7">
        <w:rPr>
          <w:rFonts w:ascii="Times New Roman" w:hAnsi="Times New Roman" w:cs="Times New Roman"/>
          <w:sz w:val="24"/>
          <w:szCs w:val="24"/>
        </w:rPr>
        <w:t>. Additionally, sodium benzoate has been linked to cancer and genotoxic effects [9], with these risks amplified when consumed in high doses or in conjunction with other substances.</w:t>
      </w:r>
    </w:p>
    <w:p w14:paraId="5900204D" w14:textId="77777777" w:rsidR="007E2AFA" w:rsidRPr="001C44C7" w:rsidRDefault="007E2AFA" w:rsidP="007E2AFA">
      <w:pPr>
        <w:spacing w:after="0" w:line="240" w:lineRule="auto"/>
        <w:jc w:val="both"/>
        <w:rPr>
          <w:rFonts w:ascii="Times New Roman" w:hAnsi="Times New Roman" w:cs="Times New Roman"/>
          <w:sz w:val="24"/>
          <w:szCs w:val="24"/>
        </w:rPr>
      </w:pPr>
    </w:p>
    <w:p w14:paraId="6B3258E0" w14:textId="448F67CE" w:rsidR="007E2AFA" w:rsidRPr="001C44C7" w:rsidRDefault="007E2AFA" w:rsidP="007E2AFA">
      <w:pPr>
        <w:spacing w:after="0" w:line="240" w:lineRule="auto"/>
        <w:jc w:val="both"/>
        <w:rPr>
          <w:rFonts w:ascii="Times New Roman" w:hAnsi="Times New Roman" w:cs="Times New Roman"/>
          <w:sz w:val="24"/>
          <w:szCs w:val="24"/>
        </w:rPr>
      </w:pPr>
      <w:r w:rsidRPr="001C44C7">
        <w:rPr>
          <w:rFonts w:ascii="Times New Roman" w:hAnsi="Times New Roman" w:cs="Times New Roman"/>
          <w:sz w:val="24"/>
          <w:szCs w:val="24"/>
        </w:rPr>
        <w:t xml:space="preserve">Certain commercial foods and beverages contain both sodium benzoate and ascorbic acid as preservatives (illustrated in Figure 1), and their interaction has </w:t>
      </w:r>
      <w:r w:rsidR="00B00F2C" w:rsidRPr="001C44C7">
        <w:rPr>
          <w:rFonts w:ascii="Times New Roman" w:hAnsi="Times New Roman" w:cs="Times New Roman"/>
          <w:sz w:val="24"/>
          <w:szCs w:val="24"/>
        </w:rPr>
        <w:t>gained</w:t>
      </w:r>
      <w:r w:rsidRPr="001C44C7">
        <w:rPr>
          <w:rFonts w:ascii="Times New Roman" w:hAnsi="Times New Roman" w:cs="Times New Roman"/>
          <w:sz w:val="24"/>
          <w:szCs w:val="24"/>
        </w:rPr>
        <w:t xml:space="preserve"> attention due to the potential formation of benzene, a known carcinogen, under conditions of light or high temperatures [10]. This reaction poses a risk of organ damage, particularly to the </w:t>
      </w:r>
      <w:r w:rsidR="00B00F2C" w:rsidRPr="001C44C7">
        <w:rPr>
          <w:rFonts w:ascii="Times New Roman" w:hAnsi="Times New Roman" w:cs="Times New Roman"/>
          <w:sz w:val="24"/>
          <w:szCs w:val="24"/>
        </w:rPr>
        <w:t>liver</w:t>
      </w:r>
      <w:r w:rsidRPr="001C44C7">
        <w:rPr>
          <w:rFonts w:ascii="Times New Roman" w:hAnsi="Times New Roman" w:cs="Times New Roman"/>
          <w:sz w:val="24"/>
          <w:szCs w:val="24"/>
        </w:rPr>
        <w:t xml:space="preserve">, which </w:t>
      </w:r>
      <w:r w:rsidR="00B00F2C" w:rsidRPr="001C44C7">
        <w:rPr>
          <w:rFonts w:ascii="Times New Roman" w:hAnsi="Times New Roman" w:cs="Times New Roman"/>
          <w:sz w:val="24"/>
          <w:szCs w:val="24"/>
        </w:rPr>
        <w:t>is</w:t>
      </w:r>
      <w:r w:rsidRPr="001C44C7">
        <w:rPr>
          <w:rFonts w:ascii="Times New Roman" w:hAnsi="Times New Roman" w:cs="Times New Roman"/>
          <w:sz w:val="24"/>
          <w:szCs w:val="24"/>
        </w:rPr>
        <w:t xml:space="preserve"> responsible for </w:t>
      </w:r>
      <w:r w:rsidR="00B00F2C" w:rsidRPr="001C44C7">
        <w:rPr>
          <w:rFonts w:ascii="Times New Roman" w:hAnsi="Times New Roman" w:cs="Times New Roman"/>
          <w:sz w:val="24"/>
          <w:szCs w:val="24"/>
        </w:rPr>
        <w:t>metabolism and detoxification</w:t>
      </w:r>
      <w:r w:rsidRPr="001C44C7">
        <w:rPr>
          <w:rFonts w:ascii="Times New Roman" w:hAnsi="Times New Roman" w:cs="Times New Roman"/>
          <w:sz w:val="24"/>
          <w:szCs w:val="24"/>
        </w:rPr>
        <w:t xml:space="preserve">. Prolonged exposure to harmful compounds, including food additives and environmental toxins, </w:t>
      </w:r>
      <w:r w:rsidR="00B00F2C" w:rsidRPr="001C44C7">
        <w:rPr>
          <w:rFonts w:ascii="Times New Roman" w:hAnsi="Times New Roman" w:cs="Times New Roman"/>
          <w:sz w:val="24"/>
          <w:szCs w:val="24"/>
        </w:rPr>
        <w:t xml:space="preserve">could </w:t>
      </w:r>
      <w:r w:rsidRPr="001C44C7">
        <w:rPr>
          <w:rFonts w:ascii="Times New Roman" w:hAnsi="Times New Roman" w:cs="Times New Roman"/>
          <w:sz w:val="24"/>
          <w:szCs w:val="24"/>
        </w:rPr>
        <w:t>render the kidneys particularly susceptible to damage [11].</w:t>
      </w:r>
    </w:p>
    <w:p w14:paraId="626900A1" w14:textId="77777777" w:rsidR="007E2AFA" w:rsidRPr="001C44C7" w:rsidRDefault="007E2AFA" w:rsidP="007E2AFA">
      <w:pPr>
        <w:spacing w:after="0" w:line="240" w:lineRule="auto"/>
        <w:jc w:val="both"/>
        <w:rPr>
          <w:rFonts w:ascii="Times New Roman" w:hAnsi="Times New Roman" w:cs="Times New Roman"/>
          <w:sz w:val="24"/>
          <w:szCs w:val="24"/>
        </w:rPr>
      </w:pPr>
    </w:p>
    <w:p w14:paraId="43875B77" w14:textId="77777777" w:rsidR="007E2AFA" w:rsidRPr="001C44C7" w:rsidRDefault="007E2AFA" w:rsidP="007E2AFA">
      <w:pPr>
        <w:spacing w:after="0" w:line="240" w:lineRule="auto"/>
        <w:jc w:val="both"/>
        <w:rPr>
          <w:rFonts w:ascii="Times New Roman" w:hAnsi="Times New Roman" w:cs="Times New Roman"/>
          <w:sz w:val="24"/>
          <w:szCs w:val="24"/>
        </w:rPr>
      </w:pPr>
    </w:p>
    <w:p w14:paraId="789F31F7" w14:textId="171D3912" w:rsidR="007E2AFA" w:rsidRPr="001C44C7" w:rsidRDefault="007E2AFA" w:rsidP="007E2AFA">
      <w:pPr>
        <w:spacing w:after="0" w:line="240" w:lineRule="auto"/>
        <w:jc w:val="both"/>
        <w:rPr>
          <w:rFonts w:ascii="Times New Roman" w:hAnsi="Times New Roman" w:cs="Times New Roman"/>
          <w:b/>
          <w:bCs/>
          <w:sz w:val="24"/>
          <w:szCs w:val="24"/>
        </w:rPr>
      </w:pPr>
      <w:r w:rsidRPr="001C44C7">
        <w:rPr>
          <w:rFonts w:ascii="Times New Roman" w:hAnsi="Times New Roman" w:cs="Times New Roman"/>
          <w:b/>
          <w:bCs/>
          <w:noProof/>
          <w:sz w:val="24"/>
          <w:szCs w:val="24"/>
        </w:rPr>
        <w:lastRenderedPageBreak/>
        <w:drawing>
          <wp:inline distT="0" distB="0" distL="0" distR="0" wp14:anchorId="7F2604FC" wp14:editId="709A2BAF">
            <wp:extent cx="2942991" cy="2905125"/>
            <wp:effectExtent l="19050" t="19050" r="0" b="0"/>
            <wp:docPr id="223171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342" cy="2924227"/>
                    </a:xfrm>
                    <a:prstGeom prst="rect">
                      <a:avLst/>
                    </a:prstGeom>
                    <a:noFill/>
                    <a:ln>
                      <a:solidFill>
                        <a:schemeClr val="tx1"/>
                      </a:solidFill>
                    </a:ln>
                  </pic:spPr>
                </pic:pic>
              </a:graphicData>
            </a:graphic>
          </wp:inline>
        </w:drawing>
      </w:r>
      <w:r w:rsidRPr="001C44C7">
        <w:rPr>
          <w:rFonts w:ascii="Times New Roman" w:hAnsi="Times New Roman" w:cs="Times New Roman"/>
          <w:b/>
          <w:bCs/>
          <w:sz w:val="24"/>
          <w:szCs w:val="24"/>
        </w:rPr>
        <w:t xml:space="preserve">  </w:t>
      </w:r>
      <w:r w:rsidRPr="001C44C7">
        <w:rPr>
          <w:rFonts w:ascii="Times New Roman" w:hAnsi="Times New Roman" w:cs="Times New Roman"/>
          <w:b/>
          <w:bCs/>
          <w:noProof/>
          <w:sz w:val="24"/>
          <w:szCs w:val="24"/>
        </w:rPr>
        <w:drawing>
          <wp:inline distT="0" distB="0" distL="0" distR="0" wp14:anchorId="658AC764" wp14:editId="033EB64E">
            <wp:extent cx="2886075" cy="2898140"/>
            <wp:effectExtent l="0" t="0" r="0" b="0"/>
            <wp:docPr id="1491200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779" cy="2997257"/>
                    </a:xfrm>
                    <a:prstGeom prst="rect">
                      <a:avLst/>
                    </a:prstGeom>
                    <a:noFill/>
                  </pic:spPr>
                </pic:pic>
              </a:graphicData>
            </a:graphic>
          </wp:inline>
        </w:drawing>
      </w:r>
    </w:p>
    <w:p w14:paraId="0E4CD522" w14:textId="77777777" w:rsidR="007E2AFA" w:rsidRPr="001C44C7" w:rsidRDefault="007E2AFA" w:rsidP="007E2AFA">
      <w:pPr>
        <w:spacing w:after="0" w:line="240" w:lineRule="auto"/>
        <w:ind w:left="1440" w:firstLine="720"/>
        <w:jc w:val="both"/>
        <w:rPr>
          <w:rFonts w:ascii="Times New Roman" w:hAnsi="Times New Roman" w:cs="Times New Roman"/>
          <w:sz w:val="24"/>
          <w:szCs w:val="24"/>
        </w:rPr>
      </w:pPr>
      <w:r w:rsidRPr="001C44C7">
        <w:rPr>
          <w:rFonts w:ascii="Times New Roman" w:hAnsi="Times New Roman" w:cs="Times New Roman"/>
          <w:b/>
          <w:bCs/>
          <w:sz w:val="24"/>
          <w:szCs w:val="24"/>
        </w:rPr>
        <w:t>A</w:t>
      </w:r>
      <w:r w:rsidRPr="001C44C7">
        <w:rPr>
          <w:rFonts w:ascii="Times New Roman" w:hAnsi="Times New Roman" w:cs="Times New Roman"/>
          <w:b/>
          <w:bCs/>
          <w:sz w:val="24"/>
          <w:szCs w:val="24"/>
        </w:rPr>
        <w:tab/>
      </w:r>
      <w:r w:rsidRPr="001C44C7">
        <w:rPr>
          <w:rFonts w:ascii="Times New Roman" w:hAnsi="Times New Roman" w:cs="Times New Roman"/>
          <w:b/>
          <w:bCs/>
          <w:sz w:val="24"/>
          <w:szCs w:val="24"/>
        </w:rPr>
        <w:tab/>
      </w:r>
      <w:r w:rsidRPr="001C44C7">
        <w:rPr>
          <w:rFonts w:ascii="Times New Roman" w:hAnsi="Times New Roman" w:cs="Times New Roman"/>
          <w:b/>
          <w:bCs/>
          <w:sz w:val="24"/>
          <w:szCs w:val="24"/>
        </w:rPr>
        <w:tab/>
      </w:r>
      <w:r w:rsidRPr="001C44C7">
        <w:rPr>
          <w:rFonts w:ascii="Times New Roman" w:hAnsi="Times New Roman" w:cs="Times New Roman"/>
          <w:b/>
          <w:bCs/>
          <w:sz w:val="24"/>
          <w:szCs w:val="24"/>
        </w:rPr>
        <w:tab/>
      </w:r>
      <w:r w:rsidRPr="001C44C7">
        <w:rPr>
          <w:rFonts w:ascii="Times New Roman" w:hAnsi="Times New Roman" w:cs="Times New Roman"/>
          <w:b/>
          <w:bCs/>
          <w:sz w:val="24"/>
          <w:szCs w:val="24"/>
        </w:rPr>
        <w:tab/>
      </w:r>
      <w:r w:rsidRPr="001C44C7">
        <w:rPr>
          <w:rFonts w:ascii="Times New Roman" w:hAnsi="Times New Roman" w:cs="Times New Roman"/>
          <w:b/>
          <w:bCs/>
          <w:sz w:val="24"/>
          <w:szCs w:val="24"/>
        </w:rPr>
        <w:tab/>
      </w:r>
      <w:r w:rsidRPr="001C44C7">
        <w:rPr>
          <w:rFonts w:ascii="Times New Roman" w:hAnsi="Times New Roman" w:cs="Times New Roman"/>
          <w:b/>
          <w:bCs/>
          <w:sz w:val="24"/>
          <w:szCs w:val="24"/>
        </w:rPr>
        <w:tab/>
        <w:t>B</w:t>
      </w:r>
      <w:r w:rsidRPr="001C44C7">
        <w:rPr>
          <w:rFonts w:ascii="Times New Roman" w:hAnsi="Times New Roman" w:cs="Times New Roman"/>
          <w:b/>
          <w:bCs/>
          <w:sz w:val="24"/>
          <w:szCs w:val="24"/>
        </w:rPr>
        <w:tab/>
      </w:r>
      <w:r w:rsidRPr="001C44C7">
        <w:rPr>
          <w:rFonts w:ascii="Times New Roman" w:hAnsi="Times New Roman" w:cs="Times New Roman"/>
          <w:sz w:val="24"/>
          <w:szCs w:val="24"/>
        </w:rPr>
        <w:tab/>
      </w:r>
      <w:r w:rsidRPr="001C44C7">
        <w:rPr>
          <w:rFonts w:ascii="Times New Roman" w:hAnsi="Times New Roman" w:cs="Times New Roman"/>
          <w:sz w:val="24"/>
          <w:szCs w:val="24"/>
        </w:rPr>
        <w:tab/>
      </w:r>
    </w:p>
    <w:p w14:paraId="34992B54" w14:textId="77777777"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t>Figure 1A and 1B: Labels of Carbonated Drinks Indicating the Presence of Sodium Benzoate and Ascorbic Acid</w:t>
      </w:r>
    </w:p>
    <w:p w14:paraId="73201545"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p>
    <w:p w14:paraId="6C489E6A" w14:textId="38F2469D" w:rsidR="00D524E2" w:rsidRPr="001C44C7" w:rsidRDefault="007E2AFA" w:rsidP="00D524E2">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 xml:space="preserve">Research exploring the combined effects of sodium benzoate and ascorbic acid on </w:t>
      </w:r>
      <w:r w:rsidR="00D524E2" w:rsidRPr="001C44C7">
        <w:rPr>
          <w:rFonts w:ascii="Times New Roman" w:hAnsi="Times New Roman" w:cs="Times New Roman"/>
          <w:sz w:val="24"/>
          <w:szCs w:val="24"/>
        </w:rPr>
        <w:t>liver</w:t>
      </w:r>
      <w:r w:rsidRPr="001C44C7">
        <w:rPr>
          <w:rFonts w:ascii="Times New Roman" w:hAnsi="Times New Roman" w:cs="Times New Roman"/>
          <w:sz w:val="24"/>
          <w:szCs w:val="24"/>
        </w:rPr>
        <w:t xml:space="preserve"> remains scarce but is essential, considering the extensive use of these compounds in the food industry. Although the antioxidant properties of vitamin C are thought to mitigate oxidative stress, its interaction with sodium benzoate could produce varying effects based on factors such as dosage, exposure duration, and existing physiological conditions. Therefore, this study was designed to assess the </w:t>
      </w:r>
      <w:r w:rsidR="00D524E2" w:rsidRPr="001C44C7">
        <w:rPr>
          <w:rFonts w:ascii="Times New Roman" w:hAnsi="Times New Roman" w:cs="Times New Roman"/>
          <w:sz w:val="24"/>
          <w:szCs w:val="24"/>
        </w:rPr>
        <w:t>biochemical and histological effects of sodium benzoate, ascorbic acid, and their combined administration on liver function in albino rats.</w:t>
      </w:r>
    </w:p>
    <w:p w14:paraId="28F677C3" w14:textId="01329DAC" w:rsidR="007E2AFA" w:rsidRPr="001C44C7" w:rsidRDefault="00266C22" w:rsidP="007E2AFA">
      <w:pPr>
        <w:spacing w:before="100" w:beforeAutospacing="1" w:after="100" w:afterAutospacing="1" w:line="240" w:lineRule="auto"/>
        <w:jc w:val="both"/>
        <w:rPr>
          <w:rFonts w:ascii="Times New Roman" w:hAnsi="Times New Roman" w:cs="Times New Roman"/>
          <w:b/>
          <w:bCs/>
          <w:sz w:val="28"/>
          <w:szCs w:val="28"/>
        </w:rPr>
      </w:pPr>
      <w:r w:rsidRPr="001C44C7">
        <w:rPr>
          <w:rFonts w:ascii="Times New Roman" w:hAnsi="Times New Roman" w:cs="Times New Roman"/>
          <w:b/>
          <w:bCs/>
          <w:sz w:val="28"/>
          <w:szCs w:val="28"/>
        </w:rPr>
        <w:t xml:space="preserve">Materials </w:t>
      </w:r>
      <w:r w:rsidR="00CB33AA" w:rsidRPr="001C44C7">
        <w:rPr>
          <w:rFonts w:ascii="Times New Roman" w:hAnsi="Times New Roman" w:cs="Times New Roman"/>
          <w:b/>
          <w:bCs/>
          <w:sz w:val="28"/>
          <w:szCs w:val="28"/>
        </w:rPr>
        <w:t>a</w:t>
      </w:r>
      <w:r w:rsidRPr="001C44C7">
        <w:rPr>
          <w:rFonts w:ascii="Times New Roman" w:hAnsi="Times New Roman" w:cs="Times New Roman"/>
          <w:b/>
          <w:bCs/>
          <w:sz w:val="28"/>
          <w:szCs w:val="28"/>
        </w:rPr>
        <w:t>nd Methods</w:t>
      </w:r>
    </w:p>
    <w:p w14:paraId="125D4045" w14:textId="4A243A87"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t>Procurement of Materials</w:t>
      </w:r>
    </w:p>
    <w:p w14:paraId="1E775509"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 xml:space="preserve">Sodium benzoate, sterile bottles, lithium heparin, plain bottles, and filter paper were procured from </w:t>
      </w:r>
      <w:proofErr w:type="spellStart"/>
      <w:r w:rsidRPr="001C44C7">
        <w:rPr>
          <w:rFonts w:ascii="Times New Roman" w:hAnsi="Times New Roman" w:cs="Times New Roman"/>
          <w:sz w:val="24"/>
          <w:szCs w:val="24"/>
        </w:rPr>
        <w:t>Nexidon</w:t>
      </w:r>
      <w:proofErr w:type="spellEnd"/>
      <w:r w:rsidRPr="001C44C7">
        <w:rPr>
          <w:rFonts w:ascii="Times New Roman" w:hAnsi="Times New Roman" w:cs="Times New Roman"/>
          <w:sz w:val="24"/>
          <w:szCs w:val="24"/>
        </w:rPr>
        <w:t xml:space="preserve"> Nigeria Limited reagent store, while syringes, hand gloves, and cotton wool were obtained from Lloyd’s Pharmacy in Port Harcourt.</w:t>
      </w:r>
    </w:p>
    <w:p w14:paraId="6305F60F" w14:textId="6A4945F1"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t xml:space="preserve">Ethical Considerations </w:t>
      </w:r>
    </w:p>
    <w:p w14:paraId="76BD9BB3"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The internationally accepted National Institutes of Health (NIH) Guide for Care and Use of Laboratory Animals were observed.</w:t>
      </w:r>
    </w:p>
    <w:p w14:paraId="3D8BDED7"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p>
    <w:p w14:paraId="39F0A297" w14:textId="180D2BA5"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lastRenderedPageBreak/>
        <w:t>Experimental Animals</w:t>
      </w:r>
    </w:p>
    <w:p w14:paraId="5F9A5571"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Thirty-six (36) albino rats, weighing between 140-250 g, were randomly selected for the study. The animals were sourced from the Department of Anatomy, College of Medical Sciences, Rivers State University. They were transported in a well-ventilated wire cage to the animal house at the Department of Animal and Environmental Sciences, Rivers State University, Port Harcourt. The rats were housed under a 12-hour light/dark cycle with free access to solid poultry chow and water. Prior to the study, they were acclimatized for two weeks under standard conditions before being divided into six groups.</w:t>
      </w:r>
    </w:p>
    <w:p w14:paraId="3ECCC10B" w14:textId="4C50291D"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t>Acute Toxicity Study</w:t>
      </w:r>
    </w:p>
    <w:p w14:paraId="5016998A"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The Fixed Dose Procedure [12] was employed for the study, conducted in two phases. In the first phase, three rats were administered sodium benzoate at a dose of 700 mg/kg body weight via oral gavage and monitored for signs of toxicity over 14 days. In the second phase, another group of three rats received sodium benzoate at a lower dose of 300 mg/kg body weight via oral gavage, with observations for toxicity conducted over the same 14-day period.</w:t>
      </w:r>
    </w:p>
    <w:p w14:paraId="0E0D151C" w14:textId="3A462503"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t>Dose Determination</w:t>
      </w:r>
    </w:p>
    <w:p w14:paraId="26EF7BB6"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Following the results of the acute toxicity study, two doses of sodium benzoate were selected: a low dose (120 mg/kg) and a high dose (240 mg/kg). Both doses were below the threshold that caused observable acute toxicity.</w:t>
      </w:r>
    </w:p>
    <w:p w14:paraId="4C69B2DC" w14:textId="300BA849" w:rsidR="007E2AFA" w:rsidRPr="001C44C7" w:rsidRDefault="007E2AFA" w:rsidP="007E2AFA">
      <w:pPr>
        <w:spacing w:before="100" w:beforeAutospacing="1" w:after="100" w:afterAutospacing="1" w:line="240" w:lineRule="auto"/>
        <w:jc w:val="both"/>
        <w:rPr>
          <w:rFonts w:ascii="Times New Roman" w:hAnsi="Times New Roman" w:cs="Times New Roman"/>
          <w:b/>
          <w:bCs/>
          <w:i/>
          <w:iCs/>
          <w:sz w:val="24"/>
          <w:szCs w:val="24"/>
        </w:rPr>
      </w:pPr>
      <w:r w:rsidRPr="001C44C7">
        <w:rPr>
          <w:rFonts w:ascii="Times New Roman" w:hAnsi="Times New Roman" w:cs="Times New Roman"/>
          <w:b/>
          <w:bCs/>
          <w:i/>
          <w:iCs/>
          <w:sz w:val="24"/>
          <w:szCs w:val="24"/>
        </w:rPr>
        <w:t xml:space="preserve">Low </w:t>
      </w:r>
      <w:r w:rsidR="00CB33AA" w:rsidRPr="001C44C7">
        <w:rPr>
          <w:rFonts w:ascii="Times New Roman" w:hAnsi="Times New Roman" w:cs="Times New Roman"/>
          <w:b/>
          <w:bCs/>
          <w:i/>
          <w:iCs/>
          <w:sz w:val="24"/>
          <w:szCs w:val="24"/>
        </w:rPr>
        <w:t>d</w:t>
      </w:r>
      <w:r w:rsidRPr="001C44C7">
        <w:rPr>
          <w:rFonts w:ascii="Times New Roman" w:hAnsi="Times New Roman" w:cs="Times New Roman"/>
          <w:b/>
          <w:bCs/>
          <w:i/>
          <w:iCs/>
          <w:sz w:val="24"/>
          <w:szCs w:val="24"/>
        </w:rPr>
        <w:t xml:space="preserve">ose of </w:t>
      </w:r>
      <w:r w:rsidR="00CB33AA" w:rsidRPr="001C44C7">
        <w:rPr>
          <w:rFonts w:ascii="Times New Roman" w:hAnsi="Times New Roman" w:cs="Times New Roman"/>
          <w:b/>
          <w:bCs/>
          <w:i/>
          <w:iCs/>
          <w:sz w:val="24"/>
          <w:szCs w:val="24"/>
        </w:rPr>
        <w:t>s</w:t>
      </w:r>
      <w:r w:rsidRPr="001C44C7">
        <w:rPr>
          <w:rFonts w:ascii="Times New Roman" w:hAnsi="Times New Roman" w:cs="Times New Roman"/>
          <w:b/>
          <w:bCs/>
          <w:i/>
          <w:iCs/>
          <w:sz w:val="24"/>
          <w:szCs w:val="24"/>
        </w:rPr>
        <w:t xml:space="preserve">odium </w:t>
      </w:r>
      <w:r w:rsidR="00CB33AA" w:rsidRPr="001C44C7">
        <w:rPr>
          <w:rFonts w:ascii="Times New Roman" w:hAnsi="Times New Roman" w:cs="Times New Roman"/>
          <w:b/>
          <w:bCs/>
          <w:i/>
          <w:iCs/>
          <w:sz w:val="24"/>
          <w:szCs w:val="24"/>
        </w:rPr>
        <w:t>b</w:t>
      </w:r>
      <w:r w:rsidRPr="001C44C7">
        <w:rPr>
          <w:rFonts w:ascii="Times New Roman" w:hAnsi="Times New Roman" w:cs="Times New Roman"/>
          <w:b/>
          <w:bCs/>
          <w:i/>
          <w:iCs/>
          <w:sz w:val="24"/>
          <w:szCs w:val="24"/>
        </w:rPr>
        <w:t>enzoate</w:t>
      </w:r>
    </w:p>
    <w:p w14:paraId="0DFF6F2D"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To determine the low dose of sodium benzoate, a dosage of 120 mg/kg body weight was calculated. For instance, for a rat weighing 234 g, the calculation proceeded as follows:</w:t>
      </w:r>
    </w:p>
    <w:p w14:paraId="1B58CF3E"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Since 120 mg of sodium benzoate is required for a 1 kg (1000 g) rat, the dose for a 234 g rat was calculated using the formula:</w:t>
      </w:r>
    </w:p>
    <w:p w14:paraId="39133259"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 xml:space="preserve">Dose = </w:t>
      </w:r>
      <m:oMath>
        <m:f>
          <m:fPr>
            <m:ctrlPr>
              <w:rPr>
                <w:rFonts w:ascii="Cambria Math" w:hAnsi="Cambria Math" w:cs="Times New Roman"/>
                <w:i/>
                <w:sz w:val="24"/>
                <w:szCs w:val="24"/>
              </w:rPr>
            </m:ctrlPr>
          </m:fPr>
          <m:num>
            <m:r>
              <w:rPr>
                <w:rFonts w:ascii="Cambria Math" w:hAnsi="Cambria Math" w:cs="Times New Roman"/>
                <w:sz w:val="24"/>
                <w:szCs w:val="24"/>
              </w:rPr>
              <m:t>120mg</m:t>
            </m:r>
          </m:num>
          <m:den>
            <m:r>
              <w:rPr>
                <w:rFonts w:ascii="Cambria Math" w:hAnsi="Cambria Math" w:cs="Times New Roman"/>
                <w:sz w:val="24"/>
                <w:szCs w:val="24"/>
              </w:rPr>
              <m:t>1000g</m:t>
            </m:r>
          </m:den>
        </m:f>
        <m:r>
          <w:rPr>
            <w:rFonts w:ascii="Cambria Math" w:hAnsi="Cambria Math" w:cs="Times New Roman"/>
            <w:sz w:val="24"/>
            <w:szCs w:val="24"/>
          </w:rPr>
          <m:t>x 234g</m:t>
        </m:r>
      </m:oMath>
      <w:r w:rsidRPr="001C44C7">
        <w:rPr>
          <w:rFonts w:ascii="Times New Roman" w:eastAsiaTheme="minorEastAsia" w:hAnsi="Times New Roman" w:cs="Times New Roman"/>
          <w:sz w:val="24"/>
          <w:szCs w:val="24"/>
        </w:rPr>
        <w:t xml:space="preserve">  = </w:t>
      </w:r>
      <w:r w:rsidRPr="001C44C7">
        <w:rPr>
          <w:rFonts w:ascii="Times New Roman" w:eastAsiaTheme="minorEastAsia" w:hAnsi="Times New Roman" w:cs="Times New Roman"/>
          <w:b/>
          <w:bCs/>
          <w:sz w:val="24"/>
          <w:szCs w:val="24"/>
        </w:rPr>
        <w:t>28.08 mg</w:t>
      </w:r>
    </w:p>
    <w:p w14:paraId="307F5C58"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Following the OECD guidelines for volume selection [12], this 28.08 mg of sodium benzoate was dissolved in 2.34 ml of distilled water, ensuring accurate administration.</w:t>
      </w:r>
    </w:p>
    <w:p w14:paraId="210677E8" w14:textId="66595D1D" w:rsidR="007E2AFA" w:rsidRPr="001C44C7" w:rsidRDefault="007E2AFA" w:rsidP="007E2AFA">
      <w:pPr>
        <w:spacing w:before="100" w:beforeAutospacing="1" w:after="100" w:afterAutospacing="1" w:line="240" w:lineRule="auto"/>
        <w:jc w:val="both"/>
        <w:rPr>
          <w:rFonts w:ascii="Times New Roman" w:hAnsi="Times New Roman" w:cs="Times New Roman"/>
          <w:b/>
          <w:bCs/>
          <w:i/>
          <w:iCs/>
          <w:sz w:val="24"/>
          <w:szCs w:val="24"/>
        </w:rPr>
      </w:pPr>
      <w:r w:rsidRPr="001C44C7">
        <w:rPr>
          <w:rFonts w:ascii="Times New Roman" w:hAnsi="Times New Roman" w:cs="Times New Roman"/>
          <w:b/>
          <w:bCs/>
          <w:i/>
          <w:iCs/>
          <w:sz w:val="24"/>
          <w:szCs w:val="24"/>
        </w:rPr>
        <w:t xml:space="preserve">High </w:t>
      </w:r>
      <w:r w:rsidR="00CB33AA" w:rsidRPr="001C44C7">
        <w:rPr>
          <w:rFonts w:ascii="Times New Roman" w:hAnsi="Times New Roman" w:cs="Times New Roman"/>
          <w:b/>
          <w:bCs/>
          <w:i/>
          <w:iCs/>
          <w:sz w:val="24"/>
          <w:szCs w:val="24"/>
        </w:rPr>
        <w:t>d</w:t>
      </w:r>
      <w:r w:rsidRPr="001C44C7">
        <w:rPr>
          <w:rFonts w:ascii="Times New Roman" w:hAnsi="Times New Roman" w:cs="Times New Roman"/>
          <w:b/>
          <w:bCs/>
          <w:i/>
          <w:iCs/>
          <w:sz w:val="24"/>
          <w:szCs w:val="24"/>
        </w:rPr>
        <w:t xml:space="preserve">ose of </w:t>
      </w:r>
      <w:r w:rsidR="00CB33AA" w:rsidRPr="001C44C7">
        <w:rPr>
          <w:rFonts w:ascii="Times New Roman" w:hAnsi="Times New Roman" w:cs="Times New Roman"/>
          <w:b/>
          <w:bCs/>
          <w:i/>
          <w:iCs/>
          <w:sz w:val="24"/>
          <w:szCs w:val="24"/>
        </w:rPr>
        <w:t>s</w:t>
      </w:r>
      <w:r w:rsidRPr="001C44C7">
        <w:rPr>
          <w:rFonts w:ascii="Times New Roman" w:hAnsi="Times New Roman" w:cs="Times New Roman"/>
          <w:b/>
          <w:bCs/>
          <w:i/>
          <w:iCs/>
          <w:sz w:val="24"/>
          <w:szCs w:val="24"/>
        </w:rPr>
        <w:t xml:space="preserve">odium </w:t>
      </w:r>
      <w:r w:rsidR="00CB33AA" w:rsidRPr="001C44C7">
        <w:rPr>
          <w:rFonts w:ascii="Times New Roman" w:hAnsi="Times New Roman" w:cs="Times New Roman"/>
          <w:b/>
          <w:bCs/>
          <w:i/>
          <w:iCs/>
          <w:sz w:val="24"/>
          <w:szCs w:val="24"/>
        </w:rPr>
        <w:t>b</w:t>
      </w:r>
      <w:r w:rsidRPr="001C44C7">
        <w:rPr>
          <w:rFonts w:ascii="Times New Roman" w:hAnsi="Times New Roman" w:cs="Times New Roman"/>
          <w:b/>
          <w:bCs/>
          <w:i/>
          <w:iCs/>
          <w:sz w:val="24"/>
          <w:szCs w:val="24"/>
        </w:rPr>
        <w:t>enzoate</w:t>
      </w:r>
    </w:p>
    <w:p w14:paraId="1032D441"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To determine the low dose of sodium benzoate, a dosage of 240 mg/kg body weight was calculated. For instance, for a rat weighing 234 g, the calculation proceeded as follows:</w:t>
      </w:r>
    </w:p>
    <w:p w14:paraId="09057458" w14:textId="77777777" w:rsidR="007E2AFA" w:rsidRPr="001C44C7" w:rsidRDefault="007E2AFA" w:rsidP="007E2AFA">
      <w:pPr>
        <w:spacing w:before="100" w:beforeAutospacing="1" w:after="100" w:afterAutospacing="1" w:line="240" w:lineRule="auto"/>
        <w:jc w:val="both"/>
        <w:rPr>
          <w:rFonts w:ascii="Times New Roman" w:eastAsiaTheme="minorEastAsia" w:hAnsi="Times New Roman" w:cs="Times New Roman"/>
          <w:b/>
          <w:bCs/>
          <w:sz w:val="24"/>
          <w:szCs w:val="24"/>
        </w:rPr>
      </w:pPr>
      <w:r w:rsidRPr="001C44C7">
        <w:rPr>
          <w:rFonts w:ascii="Times New Roman" w:hAnsi="Times New Roman" w:cs="Times New Roman"/>
          <w:sz w:val="24"/>
          <w:szCs w:val="24"/>
        </w:rPr>
        <w:t xml:space="preserve">Dose = </w:t>
      </w:r>
      <m:oMath>
        <m:f>
          <m:fPr>
            <m:ctrlPr>
              <w:rPr>
                <w:rFonts w:ascii="Cambria Math" w:hAnsi="Cambria Math" w:cs="Times New Roman"/>
                <w:i/>
                <w:sz w:val="24"/>
                <w:szCs w:val="24"/>
              </w:rPr>
            </m:ctrlPr>
          </m:fPr>
          <m:num>
            <m:r>
              <w:rPr>
                <w:rFonts w:ascii="Cambria Math" w:hAnsi="Cambria Math" w:cs="Times New Roman"/>
                <w:sz w:val="24"/>
                <w:szCs w:val="24"/>
              </w:rPr>
              <m:t>240mg</m:t>
            </m:r>
          </m:num>
          <m:den>
            <m:r>
              <w:rPr>
                <w:rFonts w:ascii="Cambria Math" w:hAnsi="Cambria Math" w:cs="Times New Roman"/>
                <w:sz w:val="24"/>
                <w:szCs w:val="24"/>
              </w:rPr>
              <m:t>1000g</m:t>
            </m:r>
          </m:den>
        </m:f>
        <m:r>
          <w:rPr>
            <w:rFonts w:ascii="Cambria Math" w:hAnsi="Cambria Math" w:cs="Times New Roman"/>
            <w:sz w:val="24"/>
            <w:szCs w:val="24"/>
          </w:rPr>
          <m:t>x 234g</m:t>
        </m:r>
      </m:oMath>
      <w:r w:rsidRPr="001C44C7">
        <w:rPr>
          <w:rFonts w:ascii="Times New Roman" w:eastAsiaTheme="minorEastAsia" w:hAnsi="Times New Roman" w:cs="Times New Roman"/>
          <w:sz w:val="24"/>
          <w:szCs w:val="24"/>
        </w:rPr>
        <w:t xml:space="preserve">  = </w:t>
      </w:r>
      <w:r w:rsidRPr="001C44C7">
        <w:rPr>
          <w:rFonts w:ascii="Times New Roman" w:eastAsiaTheme="minorEastAsia" w:hAnsi="Times New Roman" w:cs="Times New Roman"/>
          <w:b/>
          <w:bCs/>
          <w:sz w:val="24"/>
          <w:szCs w:val="24"/>
        </w:rPr>
        <w:t>56.16 mg</w:t>
      </w:r>
    </w:p>
    <w:p w14:paraId="314D0652"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lastRenderedPageBreak/>
        <w:t>Following the OECD guidelines for volume selection [12], this 56.16 mg of sodium benzoate was dissolved in 2.34 ml of distilled water, ensuring accurate administration.</w:t>
      </w:r>
    </w:p>
    <w:p w14:paraId="72F85406" w14:textId="1E6473FC"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t>Dose Calculation for Vitamin C</w:t>
      </w:r>
    </w:p>
    <w:p w14:paraId="3BBC5B06"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The dosage of vitamin C used in this study was 100 mg/kg, as adopted from the methodology of Kumar et al. [13]. For a rat weighing 234 g, the dosage was calculated as follows:</w:t>
      </w:r>
    </w:p>
    <w:p w14:paraId="43FCBDEF"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Since 100 mg of vitamin C is required for a 1 kg (1000 g) rat, the dose for a 234 g rat was determined using the formula:</w:t>
      </w:r>
    </w:p>
    <w:p w14:paraId="520F61F9" w14:textId="77777777" w:rsidR="007E2AFA" w:rsidRPr="001C44C7" w:rsidRDefault="007E2AFA" w:rsidP="007E2AFA">
      <w:pPr>
        <w:spacing w:before="100" w:beforeAutospacing="1" w:after="100" w:afterAutospacing="1" w:line="240" w:lineRule="auto"/>
        <w:jc w:val="both"/>
        <w:rPr>
          <w:rFonts w:ascii="Times New Roman" w:eastAsiaTheme="minorEastAsia" w:hAnsi="Times New Roman" w:cs="Times New Roman"/>
          <w:b/>
          <w:bCs/>
          <w:sz w:val="24"/>
          <w:szCs w:val="24"/>
        </w:rPr>
      </w:pPr>
      <w:r w:rsidRPr="001C44C7">
        <w:rPr>
          <w:rFonts w:ascii="Times New Roman" w:hAnsi="Times New Roman" w:cs="Times New Roman"/>
          <w:b/>
          <w:bCs/>
          <w:sz w:val="24"/>
          <w:szCs w:val="24"/>
        </w:rPr>
        <w:t>Dose</w:t>
      </w:r>
      <w:r w:rsidRPr="001C44C7">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100mg</m:t>
            </m:r>
          </m:num>
          <m:den>
            <m:r>
              <w:rPr>
                <w:rFonts w:ascii="Cambria Math" w:hAnsi="Cambria Math" w:cs="Times New Roman"/>
                <w:sz w:val="24"/>
                <w:szCs w:val="24"/>
              </w:rPr>
              <m:t>1000g</m:t>
            </m:r>
          </m:den>
        </m:f>
        <m:r>
          <w:rPr>
            <w:rFonts w:ascii="Cambria Math" w:hAnsi="Cambria Math" w:cs="Times New Roman"/>
            <w:sz w:val="24"/>
            <w:szCs w:val="24"/>
          </w:rPr>
          <m:t>x 234g</m:t>
        </m:r>
      </m:oMath>
      <w:r w:rsidRPr="001C44C7">
        <w:rPr>
          <w:rFonts w:ascii="Times New Roman" w:eastAsiaTheme="minorEastAsia" w:hAnsi="Times New Roman" w:cs="Times New Roman"/>
          <w:sz w:val="24"/>
          <w:szCs w:val="24"/>
        </w:rPr>
        <w:t xml:space="preserve">  = </w:t>
      </w:r>
      <w:r w:rsidRPr="001C44C7">
        <w:rPr>
          <w:rFonts w:ascii="Times New Roman" w:eastAsiaTheme="minorEastAsia" w:hAnsi="Times New Roman" w:cs="Times New Roman"/>
          <w:b/>
          <w:bCs/>
          <w:sz w:val="24"/>
          <w:szCs w:val="24"/>
        </w:rPr>
        <w:t>23.4 mg</w:t>
      </w:r>
    </w:p>
    <w:p w14:paraId="332E79BB"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Following the OECD guidelines for volume selection [12], this 23.4 mg of vitamin C was dissolved in 2.34 ml of distilled water, ensuring accurate administration.</w:t>
      </w:r>
    </w:p>
    <w:p w14:paraId="1900C078" w14:textId="0EC2561E"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t>Experimental Study Design</w:t>
      </w:r>
    </w:p>
    <w:p w14:paraId="4CE484A6"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After a 14-day acclimatization period, 36 rats were divided into six groups of six rats each based on their body weight. Group 1 served as the control and received food, water, and 1.8 ml of distilled water orally once daily for 28 days. Group 2 received sodium benzoate at a low dose of 120 mg/kg body weight through oral administration daily for 28 days, while Group 3 was given a high dose of sodium benzoate at 240 mg/kg body weight under the same conditions. Group 4 received vitamin C at a dose of 100 mg/kg body weight orally once daily for 28 days. Group 5 was administered a combination of the low dose of sodium benzoate (120 mg/kg) and vitamin C (100 mg/kg) daily for 28 days, while Group 6 was treated with the high dose of sodium benzoate (240 mg/kg) combined with vitamin C (100 mg/kg) following the same daily regimen.</w:t>
      </w:r>
    </w:p>
    <w:p w14:paraId="75C1B1F6" w14:textId="506E6446"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t>Specimen Collection and Preparation</w:t>
      </w:r>
    </w:p>
    <w:p w14:paraId="22D52C85"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At the conclusion of the 28-day experimental period, the animals were fasted overnight and anesthetized in a jar containing chloroform-soaked cotton wool. Blood samples were then collected aseptically via cardiac puncture using 2 ml sterile syringes. A total of 2 ml of whole blood was drawn and transferred into lithium heparin bottles. The blood was centrifuged at 3000 rpm for 5 minutes to separate plasma, which was then transferred into plain bottles for kidney function analysis, including electrolytes (sodium, potassium, bicarbonate, and chloride ions), urea, and creatinine levels. Additionally, the kidneys were carefully excised and processed for histological examination.</w:t>
      </w:r>
    </w:p>
    <w:p w14:paraId="6719B16C" w14:textId="3609A96F"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t>Sample Analysis</w:t>
      </w:r>
    </w:p>
    <w:p w14:paraId="5FB86488"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 xml:space="preserve">The Spectrum and </w:t>
      </w:r>
      <w:proofErr w:type="spellStart"/>
      <w:r w:rsidRPr="001C44C7">
        <w:rPr>
          <w:rFonts w:ascii="Times New Roman" w:hAnsi="Times New Roman" w:cs="Times New Roman"/>
          <w:sz w:val="24"/>
          <w:szCs w:val="24"/>
        </w:rPr>
        <w:t>Biobase</w:t>
      </w:r>
      <w:proofErr w:type="spellEnd"/>
      <w:r w:rsidRPr="001C44C7">
        <w:rPr>
          <w:rFonts w:ascii="Times New Roman" w:hAnsi="Times New Roman" w:cs="Times New Roman"/>
          <w:sz w:val="24"/>
          <w:szCs w:val="24"/>
        </w:rPr>
        <w:t xml:space="preserve"> test kits were purchased and utilized for the analysis. The Spectrum test kit was employed for the measurement of sodium ion, potassium ion, chloride ion, urea, and creatinine, while the </w:t>
      </w:r>
      <w:proofErr w:type="spellStart"/>
      <w:r w:rsidRPr="001C44C7">
        <w:rPr>
          <w:rFonts w:ascii="Times New Roman" w:hAnsi="Times New Roman" w:cs="Times New Roman"/>
          <w:sz w:val="24"/>
          <w:szCs w:val="24"/>
        </w:rPr>
        <w:t>Biobase</w:t>
      </w:r>
      <w:proofErr w:type="spellEnd"/>
      <w:r w:rsidRPr="001C44C7">
        <w:rPr>
          <w:rFonts w:ascii="Times New Roman" w:hAnsi="Times New Roman" w:cs="Times New Roman"/>
          <w:sz w:val="24"/>
          <w:szCs w:val="24"/>
        </w:rPr>
        <w:t xml:space="preserve"> test kit was used for bicarbonate analysis. Additionally, the excised kidneys were prepared for histological examination using the hematoxylin and eosin (H &amp; E) staining technique.</w:t>
      </w:r>
    </w:p>
    <w:p w14:paraId="3FF5AF9D" w14:textId="2BB5DAF2"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lastRenderedPageBreak/>
        <w:t xml:space="preserve">Statistical Analysis </w:t>
      </w:r>
    </w:p>
    <w:p w14:paraId="4F5EFDB0" w14:textId="77777777"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 xml:space="preserve">The data generated from the analysis were expressed as Mean ± standard deviation, and </w:t>
      </w:r>
      <w:proofErr w:type="spellStart"/>
      <w:r w:rsidRPr="001C44C7">
        <w:rPr>
          <w:rFonts w:ascii="Times New Roman" w:hAnsi="Times New Roman" w:cs="Times New Roman"/>
          <w:sz w:val="24"/>
          <w:szCs w:val="24"/>
        </w:rPr>
        <w:t>analysed</w:t>
      </w:r>
      <w:proofErr w:type="spellEnd"/>
      <w:r w:rsidRPr="001C44C7">
        <w:rPr>
          <w:rFonts w:ascii="Times New Roman" w:hAnsi="Times New Roman" w:cs="Times New Roman"/>
          <w:sz w:val="24"/>
          <w:szCs w:val="24"/>
        </w:rPr>
        <w:t xml:space="preserve"> using the Statistical Package for Social Science (SPSS) version 24. Comparison of the mean and standard deviation values were made for the various parameters for the various groups using the one-way ANOVA and Tukey test. Results were considered statistically significant at 95% confidence interval (p≤0.05).</w:t>
      </w:r>
    </w:p>
    <w:p w14:paraId="0A37391C" w14:textId="448370BE" w:rsidR="007E2AFA" w:rsidRPr="001C44C7" w:rsidRDefault="00CB33AA" w:rsidP="007E2AFA">
      <w:pPr>
        <w:spacing w:before="100" w:beforeAutospacing="1" w:after="100" w:afterAutospacing="1" w:line="240" w:lineRule="auto"/>
        <w:jc w:val="both"/>
        <w:rPr>
          <w:rFonts w:ascii="Times New Roman" w:hAnsi="Times New Roman" w:cs="Times New Roman"/>
          <w:b/>
          <w:bCs/>
          <w:sz w:val="28"/>
          <w:szCs w:val="28"/>
        </w:rPr>
      </w:pPr>
      <w:r w:rsidRPr="001C44C7">
        <w:rPr>
          <w:rFonts w:ascii="Times New Roman" w:hAnsi="Times New Roman" w:cs="Times New Roman"/>
          <w:b/>
          <w:bCs/>
          <w:sz w:val="28"/>
          <w:szCs w:val="28"/>
        </w:rPr>
        <w:t>Results</w:t>
      </w:r>
    </w:p>
    <w:p w14:paraId="0396976E" w14:textId="0188F42E" w:rsidR="007E2AFA" w:rsidRPr="001C44C7" w:rsidRDefault="007E2AFA" w:rsidP="007E2AFA">
      <w:pPr>
        <w:spacing w:before="100" w:beforeAutospacing="1" w:after="100" w:afterAutospacing="1" w:line="240" w:lineRule="auto"/>
        <w:rPr>
          <w:rFonts w:ascii="Times New Roman" w:hAnsi="Times New Roman" w:cs="Times New Roman"/>
          <w:sz w:val="24"/>
          <w:szCs w:val="24"/>
        </w:rPr>
      </w:pPr>
      <w:r w:rsidRPr="001C44C7">
        <w:rPr>
          <w:rFonts w:ascii="Times New Roman" w:hAnsi="Times New Roman" w:cs="Times New Roman"/>
          <w:b/>
          <w:bCs/>
          <w:sz w:val="24"/>
          <w:szCs w:val="24"/>
        </w:rPr>
        <w:t>Acute Toxicity Study of Sodium Benzoate</w:t>
      </w:r>
    </w:p>
    <w:p w14:paraId="433C098A" w14:textId="2D42FF9B" w:rsidR="007E2AFA" w:rsidRPr="001C44C7" w:rsidRDefault="007E2AF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 xml:space="preserve">The acute toxicity study results for sodium benzoate are shown in Tables 1a and 1b. Table 1a demonstrates that administering 700 mg/kg of sodium benzoate to rats led to visible signs of toxicity, such as wounds, lesions, and decreased activity, although no fatalities were observed. In contrast, Table </w:t>
      </w:r>
      <w:r w:rsidR="005811F0">
        <w:rPr>
          <w:rFonts w:ascii="Times New Roman" w:hAnsi="Times New Roman" w:cs="Times New Roman"/>
          <w:sz w:val="24"/>
          <w:szCs w:val="24"/>
        </w:rPr>
        <w:t>1</w:t>
      </w:r>
      <w:r w:rsidR="005811F0" w:rsidRPr="001C44C7">
        <w:rPr>
          <w:rFonts w:ascii="Times New Roman" w:hAnsi="Times New Roman" w:cs="Times New Roman"/>
          <w:sz w:val="24"/>
          <w:szCs w:val="24"/>
        </w:rPr>
        <w:t xml:space="preserve"> </w:t>
      </w:r>
      <w:r w:rsidRPr="001C44C7">
        <w:rPr>
          <w:rFonts w:ascii="Times New Roman" w:hAnsi="Times New Roman" w:cs="Times New Roman"/>
          <w:sz w:val="24"/>
          <w:szCs w:val="24"/>
        </w:rPr>
        <w:t>b reveals that treatment with 300 mg/kg of sodium benzoate showed no signs of toxicity or mortality in the rats.</w:t>
      </w:r>
    </w:p>
    <w:p w14:paraId="41F07820" w14:textId="6B3F618F" w:rsidR="007E2AFA" w:rsidRPr="001C44C7" w:rsidRDefault="009F7776" w:rsidP="009F7776">
      <w:pPr>
        <w:pStyle w:val="ListParagraph"/>
        <w:rPr>
          <w:rFonts w:ascii="Times New Roman" w:hAnsi="Times New Roman" w:cs="Times New Roman"/>
          <w:b/>
          <w:bCs/>
          <w:sz w:val="24"/>
          <w:szCs w:val="24"/>
        </w:rPr>
      </w:pPr>
      <w:r w:rsidRPr="009F7776">
        <w:rPr>
          <w:rFonts w:ascii="Times New Roman" w:hAnsi="Times New Roman" w:cs="Times New Roman"/>
          <w:b/>
          <w:bCs/>
          <w:sz w:val="24"/>
          <w:szCs w:val="24"/>
        </w:rPr>
        <w:t>Table 1</w:t>
      </w:r>
      <w:r>
        <w:rPr>
          <w:rFonts w:ascii="Times New Roman" w:hAnsi="Times New Roman" w:cs="Times New Roman"/>
          <w:b/>
          <w:bCs/>
          <w:sz w:val="24"/>
          <w:szCs w:val="24"/>
        </w:rPr>
        <w:t xml:space="preserve"> a</w:t>
      </w:r>
      <w:r w:rsidRPr="009F7776">
        <w:rPr>
          <w:rFonts w:ascii="Times New Roman" w:hAnsi="Times New Roman" w:cs="Times New Roman"/>
          <w:b/>
          <w:bCs/>
          <w:sz w:val="24"/>
          <w:szCs w:val="24"/>
        </w:rPr>
        <w:t xml:space="preserve">: Results of Acute Toxicity Study </w:t>
      </w:r>
      <w:r w:rsidR="007E2AFA" w:rsidRPr="001C44C7">
        <w:rPr>
          <w:rFonts w:ascii="Times New Roman" w:hAnsi="Times New Roman" w:cs="Times New Roman"/>
          <w:b/>
          <w:bCs/>
          <w:sz w:val="24"/>
          <w:szCs w:val="24"/>
        </w:rPr>
        <w:t>Phase I</w:t>
      </w:r>
    </w:p>
    <w:tbl>
      <w:tblPr>
        <w:tblStyle w:val="TableGrid"/>
        <w:tblW w:w="0" w:type="auto"/>
        <w:tblLook w:val="04A0" w:firstRow="1" w:lastRow="0" w:firstColumn="1" w:lastColumn="0" w:noHBand="0" w:noVBand="1"/>
      </w:tblPr>
      <w:tblGrid>
        <w:gridCol w:w="2358"/>
        <w:gridCol w:w="6694"/>
      </w:tblGrid>
      <w:tr w:rsidR="001C44C7" w:rsidRPr="001C44C7" w14:paraId="453725B5" w14:textId="77777777" w:rsidTr="007122A3">
        <w:trPr>
          <w:trHeight w:val="277"/>
        </w:trPr>
        <w:tc>
          <w:tcPr>
            <w:tcW w:w="2358" w:type="dxa"/>
          </w:tcPr>
          <w:p w14:paraId="413D2D6E" w14:textId="77777777" w:rsidR="007E2AFA" w:rsidRPr="001C44C7" w:rsidRDefault="007E2AFA" w:rsidP="007122A3">
            <w:pPr>
              <w:spacing w:before="100" w:beforeAutospacing="1" w:after="100" w:afterAutospacing="1" w:line="48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t>Dose (mg/kg)</w:t>
            </w:r>
          </w:p>
        </w:tc>
        <w:tc>
          <w:tcPr>
            <w:tcW w:w="6694" w:type="dxa"/>
          </w:tcPr>
          <w:p w14:paraId="6304AB94" w14:textId="77777777" w:rsidR="007E2AFA" w:rsidRPr="001C44C7" w:rsidRDefault="007E2AFA" w:rsidP="007122A3">
            <w:pPr>
              <w:spacing w:before="100" w:beforeAutospacing="1" w:after="100" w:afterAutospacing="1" w:line="480" w:lineRule="auto"/>
              <w:jc w:val="center"/>
              <w:rPr>
                <w:rFonts w:ascii="Times New Roman" w:hAnsi="Times New Roman" w:cs="Times New Roman"/>
                <w:b/>
                <w:bCs/>
                <w:sz w:val="24"/>
                <w:szCs w:val="24"/>
              </w:rPr>
            </w:pPr>
            <w:r w:rsidRPr="001C44C7">
              <w:rPr>
                <w:rFonts w:ascii="Times New Roman" w:hAnsi="Times New Roman" w:cs="Times New Roman"/>
                <w:b/>
                <w:bCs/>
                <w:sz w:val="24"/>
                <w:szCs w:val="24"/>
              </w:rPr>
              <w:t>Observation</w:t>
            </w:r>
          </w:p>
        </w:tc>
      </w:tr>
      <w:tr w:rsidR="007E2AFA" w:rsidRPr="001C44C7" w14:paraId="34975245" w14:textId="77777777" w:rsidTr="007122A3">
        <w:trPr>
          <w:trHeight w:val="263"/>
        </w:trPr>
        <w:tc>
          <w:tcPr>
            <w:tcW w:w="2358" w:type="dxa"/>
          </w:tcPr>
          <w:p w14:paraId="6FAE5B88" w14:textId="77777777" w:rsidR="007E2AFA" w:rsidRPr="001C44C7" w:rsidRDefault="007E2AFA" w:rsidP="007122A3">
            <w:pPr>
              <w:spacing w:before="100" w:beforeAutospacing="1" w:after="100" w:afterAutospacing="1" w:line="480" w:lineRule="auto"/>
              <w:jc w:val="both"/>
              <w:rPr>
                <w:rFonts w:ascii="Times New Roman" w:hAnsi="Times New Roman" w:cs="Times New Roman"/>
                <w:sz w:val="24"/>
                <w:szCs w:val="24"/>
              </w:rPr>
            </w:pPr>
            <w:r w:rsidRPr="001C44C7">
              <w:rPr>
                <w:rFonts w:ascii="Times New Roman" w:hAnsi="Times New Roman" w:cs="Times New Roman"/>
                <w:sz w:val="24"/>
                <w:szCs w:val="24"/>
              </w:rPr>
              <w:t>700</w:t>
            </w:r>
          </w:p>
        </w:tc>
        <w:tc>
          <w:tcPr>
            <w:tcW w:w="6694" w:type="dxa"/>
          </w:tcPr>
          <w:p w14:paraId="0EFA54E3" w14:textId="77777777" w:rsidR="007E2AFA" w:rsidRPr="001C44C7" w:rsidRDefault="007E2AFA" w:rsidP="007122A3">
            <w:pPr>
              <w:spacing w:before="100" w:beforeAutospacing="1" w:after="100" w:afterAutospacing="1"/>
              <w:rPr>
                <w:rFonts w:ascii="Times New Roman" w:hAnsi="Times New Roman" w:cs="Times New Roman"/>
                <w:sz w:val="24"/>
                <w:szCs w:val="24"/>
              </w:rPr>
            </w:pPr>
            <w:r w:rsidRPr="001C44C7">
              <w:rPr>
                <w:rFonts w:ascii="Times New Roman" w:hAnsi="Times New Roman" w:cs="Times New Roman"/>
                <w:sz w:val="24"/>
                <w:szCs w:val="24"/>
              </w:rPr>
              <w:t>Presence of signs of toxicity such as wounds and lesions, and reduced activity. No mortality</w:t>
            </w:r>
          </w:p>
        </w:tc>
      </w:tr>
    </w:tbl>
    <w:p w14:paraId="2C3BF7AF" w14:textId="77777777" w:rsidR="007E2AFA" w:rsidRPr="001C44C7" w:rsidRDefault="007E2AFA" w:rsidP="007E2AFA">
      <w:pPr>
        <w:tabs>
          <w:tab w:val="left" w:pos="2605"/>
        </w:tabs>
        <w:rPr>
          <w:rFonts w:ascii="Times New Roman" w:hAnsi="Times New Roman" w:cs="Times New Roman"/>
          <w:b/>
          <w:bCs/>
          <w:sz w:val="24"/>
          <w:szCs w:val="24"/>
        </w:rPr>
      </w:pPr>
    </w:p>
    <w:p w14:paraId="1399CD84" w14:textId="77777777" w:rsidR="007E2AFA" w:rsidRPr="001C44C7" w:rsidRDefault="007E2AFA" w:rsidP="007E2AFA">
      <w:pPr>
        <w:rPr>
          <w:rFonts w:ascii="Times New Roman" w:hAnsi="Times New Roman" w:cs="Times New Roman"/>
          <w:b/>
          <w:bCs/>
          <w:sz w:val="24"/>
          <w:szCs w:val="24"/>
        </w:rPr>
      </w:pPr>
    </w:p>
    <w:p w14:paraId="0E6E0BBC" w14:textId="77777777" w:rsidR="007E2AFA" w:rsidRPr="001C44C7" w:rsidRDefault="007E2AFA" w:rsidP="007E2AFA">
      <w:pPr>
        <w:rPr>
          <w:rFonts w:ascii="Times New Roman" w:hAnsi="Times New Roman" w:cs="Times New Roman"/>
          <w:b/>
          <w:bCs/>
          <w:sz w:val="24"/>
          <w:szCs w:val="24"/>
        </w:rPr>
      </w:pPr>
      <w:r w:rsidRPr="001C44C7">
        <w:rPr>
          <w:rFonts w:ascii="Times New Roman" w:hAnsi="Times New Roman" w:cs="Times New Roman"/>
          <w:b/>
          <w:bCs/>
          <w:noProof/>
          <w:sz w:val="24"/>
          <w:szCs w:val="24"/>
        </w:rPr>
        <w:drawing>
          <wp:inline distT="0" distB="0" distL="0" distR="0" wp14:anchorId="418F955B" wp14:editId="3C61AA56">
            <wp:extent cx="2799715" cy="3216579"/>
            <wp:effectExtent l="0" t="0" r="0" b="0"/>
            <wp:docPr id="157901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205" cy="3273438"/>
                    </a:xfrm>
                    <a:prstGeom prst="rect">
                      <a:avLst/>
                    </a:prstGeom>
                    <a:noFill/>
                  </pic:spPr>
                </pic:pic>
              </a:graphicData>
            </a:graphic>
          </wp:inline>
        </w:drawing>
      </w:r>
      <w:r w:rsidRPr="001C44C7">
        <w:rPr>
          <w:rFonts w:ascii="Times New Roman" w:hAnsi="Times New Roman" w:cs="Times New Roman"/>
          <w:b/>
          <w:bCs/>
          <w:sz w:val="24"/>
          <w:szCs w:val="24"/>
        </w:rPr>
        <w:t xml:space="preserve">  </w:t>
      </w:r>
      <w:r w:rsidRPr="001C44C7">
        <w:rPr>
          <w:rFonts w:ascii="Times New Roman" w:hAnsi="Times New Roman" w:cs="Times New Roman"/>
          <w:b/>
          <w:bCs/>
          <w:noProof/>
          <w:sz w:val="24"/>
          <w:szCs w:val="24"/>
        </w:rPr>
        <w:drawing>
          <wp:inline distT="0" distB="0" distL="0" distR="0" wp14:anchorId="09D07CC3" wp14:editId="1E4EFE50">
            <wp:extent cx="3057525" cy="3218180"/>
            <wp:effectExtent l="0" t="0" r="0" b="0"/>
            <wp:docPr id="1820397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904" cy="3280679"/>
                    </a:xfrm>
                    <a:prstGeom prst="rect">
                      <a:avLst/>
                    </a:prstGeom>
                    <a:noFill/>
                  </pic:spPr>
                </pic:pic>
              </a:graphicData>
            </a:graphic>
          </wp:inline>
        </w:drawing>
      </w:r>
    </w:p>
    <w:p w14:paraId="2EC4E96A" w14:textId="581499E8" w:rsidR="007E2AFA" w:rsidRPr="001C44C7" w:rsidRDefault="007E2AFA" w:rsidP="007E2AFA">
      <w:pPr>
        <w:jc w:val="both"/>
        <w:rPr>
          <w:rFonts w:ascii="Times New Roman" w:hAnsi="Times New Roman" w:cs="Times New Roman"/>
          <w:b/>
          <w:bCs/>
          <w:sz w:val="24"/>
          <w:szCs w:val="24"/>
        </w:rPr>
      </w:pPr>
      <w:r w:rsidRPr="001C44C7">
        <w:rPr>
          <w:rFonts w:ascii="Times New Roman" w:hAnsi="Times New Roman" w:cs="Times New Roman"/>
          <w:b/>
          <w:bCs/>
          <w:sz w:val="24"/>
          <w:szCs w:val="24"/>
        </w:rPr>
        <w:lastRenderedPageBreak/>
        <w:t xml:space="preserve">Figure </w:t>
      </w:r>
      <w:r w:rsidR="00C37E56" w:rsidRPr="001C44C7">
        <w:rPr>
          <w:rFonts w:ascii="Times New Roman" w:hAnsi="Times New Roman" w:cs="Times New Roman"/>
          <w:b/>
          <w:bCs/>
          <w:sz w:val="24"/>
          <w:szCs w:val="24"/>
        </w:rPr>
        <w:t>2</w:t>
      </w:r>
      <w:r w:rsidRPr="001C44C7">
        <w:rPr>
          <w:rFonts w:ascii="Times New Roman" w:hAnsi="Times New Roman" w:cs="Times New Roman"/>
          <w:b/>
          <w:bCs/>
          <w:sz w:val="24"/>
          <w:szCs w:val="24"/>
        </w:rPr>
        <w:t>: Photographs Showing Wounds and Lesions on the Skin of Rats Administered 700 mg/kg of Sodium Benzoate During Phase I of the Acute Toxicity Study</w:t>
      </w:r>
    </w:p>
    <w:p w14:paraId="533B513D" w14:textId="77777777" w:rsidR="007E2AFA" w:rsidRPr="001C44C7" w:rsidRDefault="007E2AFA" w:rsidP="007E2AFA">
      <w:pPr>
        <w:rPr>
          <w:rFonts w:ascii="Times New Roman" w:hAnsi="Times New Roman" w:cs="Times New Roman"/>
          <w:sz w:val="24"/>
          <w:szCs w:val="24"/>
        </w:rPr>
      </w:pPr>
    </w:p>
    <w:p w14:paraId="25A860D0" w14:textId="56E9B2CD" w:rsidR="007E2AFA" w:rsidRPr="009F7776" w:rsidRDefault="009F7776" w:rsidP="009F7776">
      <w:pPr>
        <w:rPr>
          <w:rFonts w:ascii="Times New Roman" w:hAnsi="Times New Roman" w:cs="Times New Roman"/>
          <w:b/>
          <w:bCs/>
          <w:sz w:val="24"/>
          <w:szCs w:val="24"/>
        </w:rPr>
      </w:pPr>
      <w:r w:rsidRPr="009F7776">
        <w:rPr>
          <w:rFonts w:ascii="Times New Roman" w:hAnsi="Times New Roman" w:cs="Times New Roman"/>
          <w:b/>
          <w:bCs/>
          <w:sz w:val="24"/>
          <w:szCs w:val="24"/>
        </w:rPr>
        <w:t>Table 1 b: Results of Acute Toxicity Study</w:t>
      </w:r>
    </w:p>
    <w:tbl>
      <w:tblPr>
        <w:tblStyle w:val="TableGrid"/>
        <w:tblW w:w="0" w:type="auto"/>
        <w:tblLook w:val="04A0" w:firstRow="1" w:lastRow="0" w:firstColumn="1" w:lastColumn="0" w:noHBand="0" w:noVBand="1"/>
      </w:tblPr>
      <w:tblGrid>
        <w:gridCol w:w="2358"/>
        <w:gridCol w:w="6694"/>
      </w:tblGrid>
      <w:tr w:rsidR="001C44C7" w:rsidRPr="001C44C7" w14:paraId="1684B707" w14:textId="77777777" w:rsidTr="007122A3">
        <w:trPr>
          <w:trHeight w:val="277"/>
        </w:trPr>
        <w:tc>
          <w:tcPr>
            <w:tcW w:w="2358" w:type="dxa"/>
          </w:tcPr>
          <w:p w14:paraId="4796C243" w14:textId="77777777" w:rsidR="007E2AFA" w:rsidRPr="001C44C7" w:rsidRDefault="007E2AFA" w:rsidP="007122A3">
            <w:pPr>
              <w:spacing w:before="100" w:beforeAutospacing="1" w:after="100" w:afterAutospacing="1"/>
              <w:jc w:val="both"/>
              <w:rPr>
                <w:rFonts w:ascii="Times New Roman" w:hAnsi="Times New Roman" w:cs="Times New Roman"/>
                <w:b/>
                <w:bCs/>
                <w:sz w:val="24"/>
                <w:szCs w:val="24"/>
              </w:rPr>
            </w:pPr>
            <w:r w:rsidRPr="001C44C7">
              <w:rPr>
                <w:rFonts w:ascii="Times New Roman" w:hAnsi="Times New Roman" w:cs="Times New Roman"/>
                <w:b/>
                <w:bCs/>
                <w:sz w:val="24"/>
                <w:szCs w:val="24"/>
              </w:rPr>
              <w:t>Dose (mg/kg)</w:t>
            </w:r>
          </w:p>
        </w:tc>
        <w:tc>
          <w:tcPr>
            <w:tcW w:w="6694" w:type="dxa"/>
          </w:tcPr>
          <w:p w14:paraId="7DA74EBD" w14:textId="77777777" w:rsidR="007E2AFA" w:rsidRPr="001C44C7" w:rsidRDefault="007E2AFA" w:rsidP="007122A3">
            <w:pPr>
              <w:spacing w:before="100" w:beforeAutospacing="1" w:after="100" w:afterAutospacing="1"/>
              <w:jc w:val="center"/>
              <w:rPr>
                <w:rFonts w:ascii="Times New Roman" w:hAnsi="Times New Roman" w:cs="Times New Roman"/>
                <w:b/>
                <w:bCs/>
                <w:sz w:val="24"/>
                <w:szCs w:val="24"/>
              </w:rPr>
            </w:pPr>
            <w:r w:rsidRPr="001C44C7">
              <w:rPr>
                <w:rFonts w:ascii="Times New Roman" w:hAnsi="Times New Roman" w:cs="Times New Roman"/>
                <w:b/>
                <w:bCs/>
                <w:sz w:val="24"/>
                <w:szCs w:val="24"/>
              </w:rPr>
              <w:t>Observation</w:t>
            </w:r>
          </w:p>
        </w:tc>
      </w:tr>
      <w:tr w:rsidR="007E2AFA" w:rsidRPr="001C44C7" w14:paraId="642F6663" w14:textId="77777777" w:rsidTr="007122A3">
        <w:trPr>
          <w:trHeight w:val="263"/>
        </w:trPr>
        <w:tc>
          <w:tcPr>
            <w:tcW w:w="2358" w:type="dxa"/>
          </w:tcPr>
          <w:p w14:paraId="7C6E3F83" w14:textId="77777777" w:rsidR="007E2AFA" w:rsidRPr="001C44C7" w:rsidRDefault="007E2AFA" w:rsidP="007122A3">
            <w:pPr>
              <w:spacing w:before="100" w:beforeAutospacing="1" w:after="100" w:afterAutospacing="1"/>
              <w:jc w:val="both"/>
              <w:rPr>
                <w:rFonts w:ascii="Times New Roman" w:hAnsi="Times New Roman" w:cs="Times New Roman"/>
                <w:sz w:val="24"/>
                <w:szCs w:val="24"/>
              </w:rPr>
            </w:pPr>
            <w:r w:rsidRPr="001C44C7">
              <w:rPr>
                <w:rFonts w:ascii="Times New Roman" w:hAnsi="Times New Roman" w:cs="Times New Roman"/>
                <w:sz w:val="24"/>
                <w:szCs w:val="24"/>
              </w:rPr>
              <w:t>300</w:t>
            </w:r>
          </w:p>
        </w:tc>
        <w:tc>
          <w:tcPr>
            <w:tcW w:w="6694" w:type="dxa"/>
          </w:tcPr>
          <w:p w14:paraId="2C8778BB" w14:textId="77777777" w:rsidR="007E2AFA" w:rsidRPr="001C44C7" w:rsidRDefault="007E2AFA" w:rsidP="007122A3">
            <w:pPr>
              <w:spacing w:before="100" w:beforeAutospacing="1" w:after="100" w:afterAutospacing="1"/>
              <w:jc w:val="center"/>
              <w:rPr>
                <w:rFonts w:ascii="Times New Roman" w:hAnsi="Times New Roman" w:cs="Times New Roman"/>
                <w:sz w:val="24"/>
                <w:szCs w:val="24"/>
              </w:rPr>
            </w:pPr>
            <w:r w:rsidRPr="001C44C7">
              <w:rPr>
                <w:rFonts w:ascii="Times New Roman" w:hAnsi="Times New Roman" w:cs="Times New Roman"/>
                <w:sz w:val="24"/>
                <w:szCs w:val="24"/>
              </w:rPr>
              <w:t>No signs of toxicity. No mortality</w:t>
            </w:r>
          </w:p>
        </w:tc>
      </w:tr>
    </w:tbl>
    <w:p w14:paraId="0977D69C" w14:textId="77777777" w:rsidR="007E2AFA" w:rsidRPr="001C44C7" w:rsidRDefault="007E2AFA" w:rsidP="007E2AFA">
      <w:pPr>
        <w:spacing w:before="100" w:beforeAutospacing="1" w:after="100" w:afterAutospacing="1" w:line="240" w:lineRule="auto"/>
        <w:jc w:val="both"/>
        <w:rPr>
          <w:rFonts w:ascii="Times New Roman" w:hAnsi="Times New Roman" w:cs="Times New Roman"/>
          <w:b/>
          <w:bCs/>
          <w:sz w:val="24"/>
          <w:szCs w:val="24"/>
        </w:rPr>
      </w:pPr>
    </w:p>
    <w:p w14:paraId="52F9D9CA" w14:textId="7E0C434D" w:rsidR="009E1DF0" w:rsidRPr="001C44C7" w:rsidRDefault="009E1DF0" w:rsidP="00CB33AA">
      <w:pPr>
        <w:spacing w:before="100" w:beforeAutospacing="1" w:after="100" w:afterAutospacing="1" w:line="240" w:lineRule="auto"/>
        <w:jc w:val="both"/>
        <w:rPr>
          <w:rFonts w:ascii="Times New Roman" w:hAnsi="Times New Roman"/>
          <w:b/>
          <w:bCs/>
          <w:sz w:val="24"/>
          <w:szCs w:val="24"/>
        </w:rPr>
      </w:pPr>
      <w:r w:rsidRPr="001C44C7">
        <w:rPr>
          <w:rFonts w:ascii="Times New Roman" w:hAnsi="Times New Roman"/>
          <w:b/>
          <w:bCs/>
          <w:sz w:val="24"/>
          <w:szCs w:val="24"/>
        </w:rPr>
        <w:t>Comparison of Serum Total Bilirubin, Direct Bilirubin, Total Protein, and Albumin in Control and Test Groups</w:t>
      </w:r>
    </w:p>
    <w:p w14:paraId="0B2A9D05" w14:textId="707E0E54" w:rsidR="007E2AFA" w:rsidRPr="001C44C7" w:rsidRDefault="009E1DF0" w:rsidP="007E2AFA">
      <w:pPr>
        <w:jc w:val="both"/>
        <w:rPr>
          <w:rFonts w:ascii="Times New Roman" w:hAnsi="Times New Roman" w:cs="Times New Roman"/>
          <w:sz w:val="24"/>
          <w:szCs w:val="24"/>
        </w:rPr>
      </w:pPr>
      <w:r w:rsidRPr="001C44C7">
        <w:rPr>
          <w:rFonts w:ascii="Times New Roman" w:hAnsi="Times New Roman" w:cs="Times New Roman"/>
          <w:sz w:val="24"/>
          <w:szCs w:val="24"/>
        </w:rPr>
        <w:t xml:space="preserve">Table.2 </w:t>
      </w:r>
      <w:r w:rsidR="00767E72" w:rsidRPr="001C44C7">
        <w:rPr>
          <w:rFonts w:ascii="Times New Roman" w:hAnsi="Times New Roman" w:cs="Times New Roman"/>
          <w:sz w:val="24"/>
          <w:szCs w:val="24"/>
        </w:rPr>
        <w:t xml:space="preserve">compares total bilirubin, direct bilirubin, total protein, and albumin levels across six groups. Total bilirubin was highest in Group III (5.25 ± 0.59 mmol/L) and significantly higher than in Group VI (2.94 ± 0.73 mmol/L) with a p-value of 0.017. However, the total bilirubin levels in these groups did not significantly differ from the control group. Direct bilirubin levels were also highest in Group III (7.56 ± 0.35 mmol/L), significantly exceeding all other groups (p = 0.000). However, total protein and albumin levels showed no significant differences across the groups (p = 0.555 and p = 0.451, respectively). </w:t>
      </w:r>
    </w:p>
    <w:p w14:paraId="7CD676E5" w14:textId="112CF0C9" w:rsidR="007E2AFA" w:rsidRPr="001C44C7" w:rsidRDefault="007E2AFA" w:rsidP="007E2AFA">
      <w:pPr>
        <w:jc w:val="both"/>
        <w:rPr>
          <w:rFonts w:ascii="Times New Roman" w:hAnsi="Times New Roman" w:cs="Times New Roman"/>
          <w:b/>
          <w:bCs/>
          <w:sz w:val="24"/>
          <w:szCs w:val="24"/>
        </w:rPr>
      </w:pPr>
    </w:p>
    <w:p w14:paraId="041E1B13" w14:textId="12016965" w:rsidR="00767E72" w:rsidRPr="001C44C7" w:rsidRDefault="00767E72" w:rsidP="007E2AFA">
      <w:pPr>
        <w:jc w:val="both"/>
        <w:rPr>
          <w:rFonts w:ascii="Times New Roman" w:hAnsi="Times New Roman" w:cs="Times New Roman"/>
          <w:b/>
          <w:bCs/>
          <w:sz w:val="24"/>
          <w:szCs w:val="24"/>
        </w:rPr>
      </w:pPr>
    </w:p>
    <w:p w14:paraId="5B34F1BA" w14:textId="77777777" w:rsidR="00767E72" w:rsidRPr="001C44C7" w:rsidRDefault="00767E72" w:rsidP="007E2AFA">
      <w:pPr>
        <w:jc w:val="both"/>
        <w:rPr>
          <w:rFonts w:ascii="Times New Roman" w:hAnsi="Times New Roman" w:cs="Times New Roman"/>
          <w:b/>
          <w:bCs/>
          <w:sz w:val="24"/>
          <w:szCs w:val="24"/>
        </w:rPr>
      </w:pPr>
    </w:p>
    <w:p w14:paraId="07E6EE4E" w14:textId="2EF899FD" w:rsidR="000C670D" w:rsidRPr="001C44C7" w:rsidRDefault="000C670D" w:rsidP="00767E72">
      <w:pPr>
        <w:spacing w:line="240" w:lineRule="auto"/>
        <w:jc w:val="both"/>
        <w:rPr>
          <w:rFonts w:ascii="Times New Roman" w:hAnsi="Times New Roman"/>
          <w:b/>
          <w:bCs/>
          <w:sz w:val="24"/>
          <w:szCs w:val="24"/>
        </w:rPr>
      </w:pPr>
      <w:r w:rsidRPr="001C44C7">
        <w:rPr>
          <w:rFonts w:ascii="Times New Roman" w:hAnsi="Times New Roman"/>
          <w:b/>
          <w:bCs/>
          <w:sz w:val="24"/>
          <w:szCs w:val="24"/>
        </w:rPr>
        <w:t>Table 2: Comparison of Serum Total Bilirubin, Direct Bilirubin, Total Protein, and Albumin Across Groups I, II, III, IV, V, and VI</w:t>
      </w:r>
    </w:p>
    <w:tbl>
      <w:tblPr>
        <w:tblStyle w:val="TableGrid"/>
        <w:tblW w:w="93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677"/>
        <w:gridCol w:w="1910"/>
        <w:gridCol w:w="1926"/>
        <w:gridCol w:w="1906"/>
      </w:tblGrid>
      <w:tr w:rsidR="001C44C7" w:rsidRPr="001C44C7" w14:paraId="2E6404DD" w14:textId="77777777" w:rsidTr="0086197D">
        <w:trPr>
          <w:trHeight w:val="605"/>
        </w:trPr>
        <w:tc>
          <w:tcPr>
            <w:tcW w:w="1980" w:type="dxa"/>
            <w:tcBorders>
              <w:top w:val="single" w:sz="4" w:space="0" w:color="auto"/>
              <w:bottom w:val="single" w:sz="4" w:space="0" w:color="auto"/>
            </w:tcBorders>
          </w:tcPr>
          <w:p w14:paraId="4150E38E" w14:textId="77777777" w:rsidR="000C670D" w:rsidRPr="001C44C7" w:rsidRDefault="000C670D" w:rsidP="007122A3">
            <w:pPr>
              <w:ind w:left="360"/>
              <w:rPr>
                <w:rFonts w:ascii="Times New Roman" w:hAnsi="Times New Roman" w:cs="Times New Roman"/>
              </w:rPr>
            </w:pPr>
          </w:p>
        </w:tc>
        <w:tc>
          <w:tcPr>
            <w:tcW w:w="1677" w:type="dxa"/>
            <w:tcBorders>
              <w:top w:val="single" w:sz="4" w:space="0" w:color="auto"/>
              <w:bottom w:val="single" w:sz="4" w:space="0" w:color="auto"/>
            </w:tcBorders>
          </w:tcPr>
          <w:p w14:paraId="5736986A" w14:textId="77777777" w:rsidR="000C670D" w:rsidRPr="001C44C7" w:rsidRDefault="000C670D" w:rsidP="007122A3">
            <w:pPr>
              <w:ind w:left="360"/>
              <w:jc w:val="center"/>
              <w:rPr>
                <w:rFonts w:ascii="Times New Roman" w:hAnsi="Times New Roman" w:cs="Times New Roman"/>
                <w:b/>
                <w:bCs/>
              </w:rPr>
            </w:pPr>
            <w:r w:rsidRPr="001C44C7">
              <w:rPr>
                <w:rFonts w:ascii="Times New Roman" w:hAnsi="Times New Roman" w:cs="Times New Roman"/>
                <w:b/>
                <w:bCs/>
              </w:rPr>
              <w:t>Total Bilirubin (mmol/L)</w:t>
            </w:r>
          </w:p>
        </w:tc>
        <w:tc>
          <w:tcPr>
            <w:tcW w:w="1910" w:type="dxa"/>
            <w:tcBorders>
              <w:top w:val="single" w:sz="4" w:space="0" w:color="auto"/>
              <w:bottom w:val="single" w:sz="4" w:space="0" w:color="auto"/>
            </w:tcBorders>
          </w:tcPr>
          <w:p w14:paraId="64820341" w14:textId="77777777" w:rsidR="000C670D" w:rsidRPr="001C44C7" w:rsidRDefault="000C670D" w:rsidP="007122A3">
            <w:pPr>
              <w:ind w:left="360"/>
              <w:jc w:val="center"/>
              <w:rPr>
                <w:rFonts w:ascii="Times New Roman" w:hAnsi="Times New Roman" w:cs="Times New Roman"/>
                <w:b/>
                <w:bCs/>
              </w:rPr>
            </w:pPr>
            <w:r w:rsidRPr="001C44C7">
              <w:rPr>
                <w:rFonts w:ascii="Times New Roman" w:hAnsi="Times New Roman" w:cs="Times New Roman"/>
                <w:b/>
                <w:bCs/>
              </w:rPr>
              <w:t>Direct Bilirubin (mmol/L)</w:t>
            </w:r>
          </w:p>
        </w:tc>
        <w:tc>
          <w:tcPr>
            <w:tcW w:w="1926" w:type="dxa"/>
            <w:tcBorders>
              <w:top w:val="single" w:sz="4" w:space="0" w:color="auto"/>
              <w:bottom w:val="single" w:sz="4" w:space="0" w:color="auto"/>
            </w:tcBorders>
          </w:tcPr>
          <w:p w14:paraId="6AC3D244" w14:textId="77777777" w:rsidR="000C670D" w:rsidRPr="001C44C7" w:rsidRDefault="000C670D" w:rsidP="007122A3">
            <w:pPr>
              <w:ind w:left="360"/>
              <w:jc w:val="center"/>
              <w:rPr>
                <w:rFonts w:ascii="Times New Roman" w:hAnsi="Times New Roman" w:cs="Times New Roman"/>
                <w:b/>
                <w:bCs/>
              </w:rPr>
            </w:pPr>
            <w:r w:rsidRPr="001C44C7">
              <w:rPr>
                <w:rFonts w:ascii="Times New Roman" w:hAnsi="Times New Roman" w:cs="Times New Roman"/>
                <w:b/>
                <w:bCs/>
              </w:rPr>
              <w:t>Total Protein (g/dL)</w:t>
            </w:r>
          </w:p>
        </w:tc>
        <w:tc>
          <w:tcPr>
            <w:tcW w:w="1906" w:type="dxa"/>
            <w:tcBorders>
              <w:top w:val="single" w:sz="4" w:space="0" w:color="auto"/>
              <w:bottom w:val="single" w:sz="4" w:space="0" w:color="auto"/>
            </w:tcBorders>
          </w:tcPr>
          <w:p w14:paraId="75666BFE" w14:textId="77777777" w:rsidR="000C670D" w:rsidRPr="001C44C7" w:rsidRDefault="000C670D" w:rsidP="007122A3">
            <w:pPr>
              <w:ind w:left="360"/>
              <w:jc w:val="center"/>
              <w:rPr>
                <w:rFonts w:ascii="Times New Roman" w:hAnsi="Times New Roman" w:cs="Times New Roman"/>
                <w:b/>
                <w:bCs/>
              </w:rPr>
            </w:pPr>
            <w:r w:rsidRPr="001C44C7">
              <w:rPr>
                <w:rFonts w:ascii="Times New Roman" w:hAnsi="Times New Roman" w:cs="Times New Roman"/>
                <w:b/>
                <w:bCs/>
              </w:rPr>
              <w:t xml:space="preserve">Albumin </w:t>
            </w:r>
          </w:p>
          <w:p w14:paraId="7549E1B0" w14:textId="77777777" w:rsidR="000C670D" w:rsidRPr="001C44C7" w:rsidRDefault="000C670D" w:rsidP="007122A3">
            <w:pPr>
              <w:ind w:left="360"/>
              <w:jc w:val="center"/>
              <w:rPr>
                <w:rFonts w:ascii="Times New Roman" w:hAnsi="Times New Roman" w:cs="Times New Roman"/>
                <w:b/>
                <w:bCs/>
              </w:rPr>
            </w:pPr>
            <w:r w:rsidRPr="001C44C7">
              <w:rPr>
                <w:rFonts w:ascii="Times New Roman" w:hAnsi="Times New Roman" w:cs="Times New Roman"/>
                <w:b/>
                <w:bCs/>
              </w:rPr>
              <w:t>(g/L)</w:t>
            </w:r>
          </w:p>
        </w:tc>
      </w:tr>
      <w:tr w:rsidR="001C44C7" w:rsidRPr="001C44C7" w14:paraId="611E31B2" w14:textId="77777777" w:rsidTr="0086197D">
        <w:trPr>
          <w:trHeight w:val="522"/>
        </w:trPr>
        <w:tc>
          <w:tcPr>
            <w:tcW w:w="1980" w:type="dxa"/>
            <w:tcBorders>
              <w:top w:val="single" w:sz="4" w:space="0" w:color="auto"/>
            </w:tcBorders>
          </w:tcPr>
          <w:p w14:paraId="4E1B69BA" w14:textId="77777777" w:rsidR="000C670D" w:rsidRPr="001C44C7" w:rsidRDefault="000C670D" w:rsidP="007122A3">
            <w:pPr>
              <w:ind w:left="360"/>
              <w:rPr>
                <w:rFonts w:ascii="Times New Roman" w:hAnsi="Times New Roman" w:cs="Times New Roman"/>
                <w:b/>
                <w:bCs/>
              </w:rPr>
            </w:pPr>
            <w:r w:rsidRPr="001C44C7">
              <w:rPr>
                <w:rFonts w:ascii="Times New Roman" w:hAnsi="Times New Roman" w:cs="Times New Roman"/>
                <w:b/>
                <w:bCs/>
              </w:rPr>
              <w:t>GROUP I</w:t>
            </w:r>
          </w:p>
        </w:tc>
        <w:tc>
          <w:tcPr>
            <w:tcW w:w="1677" w:type="dxa"/>
            <w:tcBorders>
              <w:top w:val="single" w:sz="4" w:space="0" w:color="auto"/>
            </w:tcBorders>
          </w:tcPr>
          <w:p w14:paraId="0CB3DD70" w14:textId="68458B5E"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4.02 ± 1.65</w:t>
            </w:r>
          </w:p>
        </w:tc>
        <w:tc>
          <w:tcPr>
            <w:tcW w:w="1910" w:type="dxa"/>
            <w:tcBorders>
              <w:top w:val="single" w:sz="4" w:space="0" w:color="auto"/>
            </w:tcBorders>
          </w:tcPr>
          <w:p w14:paraId="6B42D57F"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1.79 ± 0.85a</w:t>
            </w:r>
          </w:p>
        </w:tc>
        <w:tc>
          <w:tcPr>
            <w:tcW w:w="1926" w:type="dxa"/>
            <w:tcBorders>
              <w:top w:val="single" w:sz="4" w:space="0" w:color="auto"/>
            </w:tcBorders>
          </w:tcPr>
          <w:p w14:paraId="7E0551BC"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57.88 ± 2.93</w:t>
            </w:r>
          </w:p>
        </w:tc>
        <w:tc>
          <w:tcPr>
            <w:tcW w:w="1906" w:type="dxa"/>
            <w:tcBorders>
              <w:top w:val="single" w:sz="4" w:space="0" w:color="auto"/>
            </w:tcBorders>
          </w:tcPr>
          <w:p w14:paraId="2D1D8904"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27.90 ± 5.12</w:t>
            </w:r>
          </w:p>
        </w:tc>
      </w:tr>
      <w:tr w:rsidR="001C44C7" w:rsidRPr="001C44C7" w14:paraId="695869FA" w14:textId="77777777" w:rsidTr="0086197D">
        <w:trPr>
          <w:trHeight w:val="504"/>
        </w:trPr>
        <w:tc>
          <w:tcPr>
            <w:tcW w:w="1980" w:type="dxa"/>
          </w:tcPr>
          <w:p w14:paraId="5E65724C" w14:textId="77777777" w:rsidR="000C670D" w:rsidRPr="001C44C7" w:rsidRDefault="000C670D" w:rsidP="007122A3">
            <w:pPr>
              <w:ind w:left="360"/>
              <w:rPr>
                <w:rFonts w:ascii="Times New Roman" w:hAnsi="Times New Roman" w:cs="Times New Roman"/>
                <w:b/>
                <w:bCs/>
              </w:rPr>
            </w:pPr>
            <w:r w:rsidRPr="001C44C7">
              <w:rPr>
                <w:rFonts w:ascii="Times New Roman" w:hAnsi="Times New Roman" w:cs="Times New Roman"/>
                <w:b/>
                <w:bCs/>
              </w:rPr>
              <w:t>GROUP II</w:t>
            </w:r>
          </w:p>
        </w:tc>
        <w:tc>
          <w:tcPr>
            <w:tcW w:w="1677" w:type="dxa"/>
          </w:tcPr>
          <w:p w14:paraId="74DEB861"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4.24 ± 1.23</w:t>
            </w:r>
          </w:p>
        </w:tc>
        <w:tc>
          <w:tcPr>
            <w:tcW w:w="1910" w:type="dxa"/>
          </w:tcPr>
          <w:p w14:paraId="1F545B39"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6.69 ± 0.82</w:t>
            </w:r>
            <w:r w:rsidRPr="001C44C7">
              <w:rPr>
                <w:rFonts w:ascii="Times New Roman" w:hAnsi="Times New Roman" w:cs="Times New Roman"/>
                <w:vertAlign w:val="superscript"/>
              </w:rPr>
              <w:t>b</w:t>
            </w:r>
          </w:p>
        </w:tc>
        <w:tc>
          <w:tcPr>
            <w:tcW w:w="1926" w:type="dxa"/>
          </w:tcPr>
          <w:p w14:paraId="023C6876"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59.78 ± 7.25</w:t>
            </w:r>
          </w:p>
        </w:tc>
        <w:tc>
          <w:tcPr>
            <w:tcW w:w="1906" w:type="dxa"/>
          </w:tcPr>
          <w:p w14:paraId="628026AB"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32.78 ± 5.93</w:t>
            </w:r>
          </w:p>
        </w:tc>
      </w:tr>
      <w:tr w:rsidR="001C44C7" w:rsidRPr="001C44C7" w14:paraId="3ABF9213" w14:textId="77777777" w:rsidTr="0086197D">
        <w:trPr>
          <w:trHeight w:val="504"/>
        </w:trPr>
        <w:tc>
          <w:tcPr>
            <w:tcW w:w="1980" w:type="dxa"/>
          </w:tcPr>
          <w:p w14:paraId="7FE69653" w14:textId="77777777" w:rsidR="000C670D" w:rsidRPr="001C44C7" w:rsidRDefault="000C670D" w:rsidP="007122A3">
            <w:pPr>
              <w:ind w:left="360"/>
              <w:rPr>
                <w:rFonts w:ascii="Times New Roman" w:hAnsi="Times New Roman" w:cs="Times New Roman"/>
                <w:b/>
                <w:bCs/>
              </w:rPr>
            </w:pPr>
            <w:r w:rsidRPr="001C44C7">
              <w:rPr>
                <w:rFonts w:ascii="Times New Roman" w:hAnsi="Times New Roman" w:cs="Times New Roman"/>
                <w:b/>
                <w:bCs/>
              </w:rPr>
              <w:t>GROUP III</w:t>
            </w:r>
          </w:p>
        </w:tc>
        <w:tc>
          <w:tcPr>
            <w:tcW w:w="1677" w:type="dxa"/>
          </w:tcPr>
          <w:p w14:paraId="4C21EDAE"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5.25 ± 0.59</w:t>
            </w:r>
            <w:r w:rsidRPr="001C44C7">
              <w:rPr>
                <w:rFonts w:ascii="Times New Roman" w:hAnsi="Times New Roman" w:cs="Times New Roman"/>
                <w:vertAlign w:val="superscript"/>
              </w:rPr>
              <w:t>a</w:t>
            </w:r>
          </w:p>
        </w:tc>
        <w:tc>
          <w:tcPr>
            <w:tcW w:w="1910" w:type="dxa"/>
          </w:tcPr>
          <w:p w14:paraId="4CA80C0B"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7.56 ± 0.35</w:t>
            </w:r>
            <w:r w:rsidRPr="001C44C7">
              <w:rPr>
                <w:rFonts w:ascii="Times New Roman" w:hAnsi="Times New Roman" w:cs="Times New Roman"/>
                <w:vertAlign w:val="superscript"/>
              </w:rPr>
              <w:t>b</w:t>
            </w:r>
          </w:p>
        </w:tc>
        <w:tc>
          <w:tcPr>
            <w:tcW w:w="1926" w:type="dxa"/>
          </w:tcPr>
          <w:p w14:paraId="65E2E80C"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60.88 ± 4.98</w:t>
            </w:r>
          </w:p>
        </w:tc>
        <w:tc>
          <w:tcPr>
            <w:tcW w:w="1906" w:type="dxa"/>
          </w:tcPr>
          <w:p w14:paraId="4CECFD55"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30.83 ± 5.16</w:t>
            </w:r>
          </w:p>
        </w:tc>
      </w:tr>
      <w:tr w:rsidR="001C44C7" w:rsidRPr="001C44C7" w14:paraId="45BFE70E" w14:textId="77777777" w:rsidTr="0086197D">
        <w:trPr>
          <w:trHeight w:val="504"/>
        </w:trPr>
        <w:tc>
          <w:tcPr>
            <w:tcW w:w="1980" w:type="dxa"/>
          </w:tcPr>
          <w:p w14:paraId="6253C7D4" w14:textId="77777777" w:rsidR="000C670D" w:rsidRPr="001C44C7" w:rsidRDefault="000C670D" w:rsidP="007122A3">
            <w:pPr>
              <w:ind w:left="360"/>
              <w:rPr>
                <w:rFonts w:ascii="Times New Roman" w:hAnsi="Times New Roman" w:cs="Times New Roman"/>
                <w:b/>
                <w:bCs/>
              </w:rPr>
            </w:pPr>
            <w:r w:rsidRPr="001C44C7">
              <w:rPr>
                <w:rFonts w:ascii="Times New Roman" w:hAnsi="Times New Roman" w:cs="Times New Roman"/>
                <w:b/>
                <w:bCs/>
              </w:rPr>
              <w:t>GROUP IV</w:t>
            </w:r>
          </w:p>
        </w:tc>
        <w:tc>
          <w:tcPr>
            <w:tcW w:w="1677" w:type="dxa"/>
          </w:tcPr>
          <w:p w14:paraId="4326038E"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5.15 ± 1.08</w:t>
            </w:r>
            <w:r w:rsidRPr="001C44C7">
              <w:rPr>
                <w:rFonts w:ascii="Times New Roman" w:hAnsi="Times New Roman" w:cs="Times New Roman"/>
                <w:vertAlign w:val="superscript"/>
              </w:rPr>
              <w:t>a</w:t>
            </w:r>
          </w:p>
        </w:tc>
        <w:tc>
          <w:tcPr>
            <w:tcW w:w="1910" w:type="dxa"/>
          </w:tcPr>
          <w:p w14:paraId="24633BE0"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5.27 ± 0.28</w:t>
            </w:r>
            <w:r w:rsidRPr="001C44C7">
              <w:rPr>
                <w:rFonts w:ascii="Times New Roman" w:hAnsi="Times New Roman" w:cs="Times New Roman"/>
                <w:vertAlign w:val="superscript"/>
              </w:rPr>
              <w:t>c</w:t>
            </w:r>
          </w:p>
        </w:tc>
        <w:tc>
          <w:tcPr>
            <w:tcW w:w="1926" w:type="dxa"/>
          </w:tcPr>
          <w:p w14:paraId="0DFCB953"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59.13 ± 3.31</w:t>
            </w:r>
          </w:p>
        </w:tc>
        <w:tc>
          <w:tcPr>
            <w:tcW w:w="1906" w:type="dxa"/>
          </w:tcPr>
          <w:p w14:paraId="335E5A6D"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33.53 ± 4.08</w:t>
            </w:r>
          </w:p>
        </w:tc>
      </w:tr>
      <w:tr w:rsidR="001C44C7" w:rsidRPr="001C44C7" w14:paraId="3F45C1A9" w14:textId="77777777" w:rsidTr="0086197D">
        <w:trPr>
          <w:trHeight w:val="504"/>
        </w:trPr>
        <w:tc>
          <w:tcPr>
            <w:tcW w:w="1980" w:type="dxa"/>
          </w:tcPr>
          <w:p w14:paraId="6E0FEDA8" w14:textId="77777777" w:rsidR="000C670D" w:rsidRPr="001C44C7" w:rsidRDefault="000C670D" w:rsidP="007122A3">
            <w:pPr>
              <w:ind w:left="360"/>
              <w:rPr>
                <w:rFonts w:ascii="Times New Roman" w:hAnsi="Times New Roman" w:cs="Times New Roman"/>
                <w:b/>
                <w:bCs/>
              </w:rPr>
            </w:pPr>
            <w:r w:rsidRPr="001C44C7">
              <w:rPr>
                <w:rFonts w:ascii="Times New Roman" w:hAnsi="Times New Roman" w:cs="Times New Roman"/>
                <w:b/>
                <w:bCs/>
              </w:rPr>
              <w:t>GROUP V</w:t>
            </w:r>
          </w:p>
        </w:tc>
        <w:tc>
          <w:tcPr>
            <w:tcW w:w="1677" w:type="dxa"/>
          </w:tcPr>
          <w:p w14:paraId="741D439C"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3.54 ± 0.88</w:t>
            </w:r>
          </w:p>
        </w:tc>
        <w:tc>
          <w:tcPr>
            <w:tcW w:w="1910" w:type="dxa"/>
          </w:tcPr>
          <w:p w14:paraId="21B7A1FF"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5.04 ± 0.80</w:t>
            </w:r>
            <w:r w:rsidRPr="001C44C7">
              <w:rPr>
                <w:rFonts w:ascii="Times New Roman" w:hAnsi="Times New Roman" w:cs="Times New Roman"/>
                <w:vertAlign w:val="superscript"/>
              </w:rPr>
              <w:t>c</w:t>
            </w:r>
          </w:p>
        </w:tc>
        <w:tc>
          <w:tcPr>
            <w:tcW w:w="1926" w:type="dxa"/>
          </w:tcPr>
          <w:p w14:paraId="1CCE83E3"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57.86 ± 3.38</w:t>
            </w:r>
          </w:p>
        </w:tc>
        <w:tc>
          <w:tcPr>
            <w:tcW w:w="1906" w:type="dxa"/>
          </w:tcPr>
          <w:p w14:paraId="39A6638C"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33.36 ± 5.45</w:t>
            </w:r>
          </w:p>
        </w:tc>
      </w:tr>
      <w:tr w:rsidR="001C44C7" w:rsidRPr="001C44C7" w14:paraId="1D94184F" w14:textId="77777777" w:rsidTr="0086197D">
        <w:trPr>
          <w:trHeight w:val="522"/>
        </w:trPr>
        <w:tc>
          <w:tcPr>
            <w:tcW w:w="1980" w:type="dxa"/>
          </w:tcPr>
          <w:p w14:paraId="72233507" w14:textId="77777777" w:rsidR="000C670D" w:rsidRPr="001C44C7" w:rsidRDefault="000C670D" w:rsidP="007122A3">
            <w:pPr>
              <w:ind w:left="360"/>
              <w:rPr>
                <w:rFonts w:ascii="Times New Roman" w:hAnsi="Times New Roman" w:cs="Times New Roman"/>
                <w:b/>
                <w:bCs/>
              </w:rPr>
            </w:pPr>
            <w:r w:rsidRPr="001C44C7">
              <w:rPr>
                <w:rFonts w:ascii="Times New Roman" w:hAnsi="Times New Roman" w:cs="Times New Roman"/>
                <w:b/>
                <w:bCs/>
              </w:rPr>
              <w:t>GROUP VI</w:t>
            </w:r>
          </w:p>
        </w:tc>
        <w:tc>
          <w:tcPr>
            <w:tcW w:w="1677" w:type="dxa"/>
          </w:tcPr>
          <w:p w14:paraId="4BB63611"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2.94 ± 0.73</w:t>
            </w:r>
            <w:r w:rsidRPr="001C44C7">
              <w:rPr>
                <w:rFonts w:ascii="Times New Roman" w:hAnsi="Times New Roman" w:cs="Times New Roman"/>
                <w:vertAlign w:val="superscript"/>
              </w:rPr>
              <w:t>b</w:t>
            </w:r>
          </w:p>
        </w:tc>
        <w:tc>
          <w:tcPr>
            <w:tcW w:w="1910" w:type="dxa"/>
          </w:tcPr>
          <w:p w14:paraId="28451301"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2.79 ± 0.67</w:t>
            </w:r>
            <w:r w:rsidRPr="001C44C7">
              <w:rPr>
                <w:rFonts w:ascii="Times New Roman" w:hAnsi="Times New Roman" w:cs="Times New Roman"/>
                <w:vertAlign w:val="superscript"/>
              </w:rPr>
              <w:t>a</w:t>
            </w:r>
          </w:p>
        </w:tc>
        <w:tc>
          <w:tcPr>
            <w:tcW w:w="1926" w:type="dxa"/>
          </w:tcPr>
          <w:p w14:paraId="7CF6C542"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55.73 ± 3.42</w:t>
            </w:r>
          </w:p>
        </w:tc>
        <w:tc>
          <w:tcPr>
            <w:tcW w:w="1906" w:type="dxa"/>
          </w:tcPr>
          <w:p w14:paraId="21FA6226"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30.15 ± 3.90</w:t>
            </w:r>
          </w:p>
        </w:tc>
      </w:tr>
      <w:tr w:rsidR="001C44C7" w:rsidRPr="001C44C7" w14:paraId="642C29DD" w14:textId="77777777" w:rsidTr="0086197D">
        <w:trPr>
          <w:trHeight w:val="302"/>
        </w:trPr>
        <w:tc>
          <w:tcPr>
            <w:tcW w:w="1980" w:type="dxa"/>
          </w:tcPr>
          <w:p w14:paraId="557553A2" w14:textId="77777777" w:rsidR="000C670D" w:rsidRPr="001C44C7" w:rsidRDefault="000C670D" w:rsidP="007122A3">
            <w:pPr>
              <w:ind w:left="360"/>
              <w:rPr>
                <w:rFonts w:ascii="Times New Roman" w:hAnsi="Times New Roman" w:cs="Times New Roman"/>
                <w:b/>
                <w:bCs/>
              </w:rPr>
            </w:pPr>
            <w:r w:rsidRPr="001C44C7">
              <w:rPr>
                <w:rFonts w:ascii="Times New Roman" w:hAnsi="Times New Roman" w:cs="Times New Roman"/>
                <w:b/>
                <w:bCs/>
              </w:rPr>
              <w:t>F-value</w:t>
            </w:r>
          </w:p>
        </w:tc>
        <w:tc>
          <w:tcPr>
            <w:tcW w:w="1677" w:type="dxa"/>
          </w:tcPr>
          <w:p w14:paraId="11164BE4"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3.469</w:t>
            </w:r>
          </w:p>
        </w:tc>
        <w:tc>
          <w:tcPr>
            <w:tcW w:w="1910" w:type="dxa"/>
          </w:tcPr>
          <w:p w14:paraId="1F6A1BBC"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54.982</w:t>
            </w:r>
          </w:p>
        </w:tc>
        <w:tc>
          <w:tcPr>
            <w:tcW w:w="1926" w:type="dxa"/>
          </w:tcPr>
          <w:p w14:paraId="44B6ADB9"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0.808</w:t>
            </w:r>
          </w:p>
        </w:tc>
        <w:tc>
          <w:tcPr>
            <w:tcW w:w="1906" w:type="dxa"/>
          </w:tcPr>
          <w:p w14:paraId="2F33756A"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0.979</w:t>
            </w:r>
          </w:p>
        </w:tc>
      </w:tr>
      <w:tr w:rsidR="001C44C7" w:rsidRPr="001C44C7" w14:paraId="6A140CB3" w14:textId="77777777" w:rsidTr="0086197D">
        <w:trPr>
          <w:trHeight w:val="504"/>
        </w:trPr>
        <w:tc>
          <w:tcPr>
            <w:tcW w:w="1980" w:type="dxa"/>
          </w:tcPr>
          <w:p w14:paraId="0D4EF2A2" w14:textId="77777777" w:rsidR="000C670D" w:rsidRPr="001C44C7" w:rsidRDefault="000C670D" w:rsidP="007122A3">
            <w:pPr>
              <w:ind w:left="360"/>
              <w:rPr>
                <w:rFonts w:ascii="Times New Roman" w:hAnsi="Times New Roman" w:cs="Times New Roman"/>
                <w:b/>
                <w:bCs/>
              </w:rPr>
            </w:pPr>
            <w:r w:rsidRPr="001C44C7">
              <w:rPr>
                <w:rFonts w:ascii="Times New Roman" w:hAnsi="Times New Roman" w:cs="Times New Roman"/>
                <w:b/>
                <w:bCs/>
                <w:i/>
                <w:iCs/>
              </w:rPr>
              <w:t>P</w:t>
            </w:r>
            <w:r w:rsidRPr="001C44C7">
              <w:rPr>
                <w:rFonts w:ascii="Times New Roman" w:hAnsi="Times New Roman" w:cs="Times New Roman"/>
                <w:b/>
                <w:bCs/>
              </w:rPr>
              <w:t>-value</w:t>
            </w:r>
          </w:p>
        </w:tc>
        <w:tc>
          <w:tcPr>
            <w:tcW w:w="1677" w:type="dxa"/>
          </w:tcPr>
          <w:p w14:paraId="28BEE12F"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0.017</w:t>
            </w:r>
          </w:p>
        </w:tc>
        <w:tc>
          <w:tcPr>
            <w:tcW w:w="1910" w:type="dxa"/>
          </w:tcPr>
          <w:p w14:paraId="3DD1819F"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0.000</w:t>
            </w:r>
          </w:p>
        </w:tc>
        <w:tc>
          <w:tcPr>
            <w:tcW w:w="1926" w:type="dxa"/>
          </w:tcPr>
          <w:p w14:paraId="2966776C"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0.555</w:t>
            </w:r>
          </w:p>
          <w:p w14:paraId="5B0028B9" w14:textId="77777777" w:rsidR="000C670D" w:rsidRPr="001C44C7" w:rsidRDefault="000C670D" w:rsidP="007122A3">
            <w:pPr>
              <w:jc w:val="center"/>
              <w:rPr>
                <w:rFonts w:ascii="Times New Roman" w:hAnsi="Times New Roman" w:cs="Times New Roman"/>
              </w:rPr>
            </w:pPr>
          </w:p>
        </w:tc>
        <w:tc>
          <w:tcPr>
            <w:tcW w:w="1906" w:type="dxa"/>
          </w:tcPr>
          <w:p w14:paraId="30272DC8"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0.451</w:t>
            </w:r>
          </w:p>
        </w:tc>
      </w:tr>
      <w:tr w:rsidR="001C44C7" w:rsidRPr="001C44C7" w14:paraId="1DCCF82B" w14:textId="77777777" w:rsidTr="0086197D">
        <w:trPr>
          <w:trHeight w:val="302"/>
        </w:trPr>
        <w:tc>
          <w:tcPr>
            <w:tcW w:w="1980" w:type="dxa"/>
          </w:tcPr>
          <w:p w14:paraId="1E380DF7" w14:textId="77777777" w:rsidR="000C670D" w:rsidRPr="001C44C7" w:rsidRDefault="000C670D" w:rsidP="007122A3">
            <w:pPr>
              <w:ind w:left="360"/>
              <w:rPr>
                <w:rFonts w:ascii="Times New Roman" w:hAnsi="Times New Roman" w:cs="Times New Roman"/>
                <w:b/>
                <w:bCs/>
              </w:rPr>
            </w:pPr>
            <w:r w:rsidRPr="001C44C7">
              <w:rPr>
                <w:rFonts w:ascii="Times New Roman" w:hAnsi="Times New Roman" w:cs="Times New Roman"/>
                <w:b/>
                <w:bCs/>
              </w:rPr>
              <w:lastRenderedPageBreak/>
              <w:t>Remark</w:t>
            </w:r>
          </w:p>
        </w:tc>
        <w:tc>
          <w:tcPr>
            <w:tcW w:w="1677" w:type="dxa"/>
          </w:tcPr>
          <w:p w14:paraId="677C7586"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S</w:t>
            </w:r>
          </w:p>
        </w:tc>
        <w:tc>
          <w:tcPr>
            <w:tcW w:w="1910" w:type="dxa"/>
          </w:tcPr>
          <w:p w14:paraId="2CB589BF" w14:textId="77777777" w:rsidR="000C670D" w:rsidRPr="001C44C7" w:rsidRDefault="000C670D" w:rsidP="007122A3">
            <w:pPr>
              <w:ind w:left="360"/>
              <w:jc w:val="center"/>
              <w:rPr>
                <w:rFonts w:ascii="Times New Roman" w:hAnsi="Times New Roman" w:cs="Times New Roman"/>
              </w:rPr>
            </w:pPr>
            <w:r w:rsidRPr="001C44C7">
              <w:rPr>
                <w:rFonts w:ascii="Times New Roman" w:hAnsi="Times New Roman" w:cs="Times New Roman"/>
              </w:rPr>
              <w:t>S</w:t>
            </w:r>
          </w:p>
        </w:tc>
        <w:tc>
          <w:tcPr>
            <w:tcW w:w="1926" w:type="dxa"/>
          </w:tcPr>
          <w:p w14:paraId="4B7225B9" w14:textId="77777777" w:rsidR="000C670D" w:rsidRPr="001C44C7" w:rsidRDefault="000C670D" w:rsidP="007122A3">
            <w:pPr>
              <w:ind w:left="360"/>
              <w:jc w:val="center"/>
              <w:rPr>
                <w:rFonts w:ascii="Times New Roman" w:hAnsi="Times New Roman" w:cs="Times New Roman"/>
                <w:b/>
                <w:bCs/>
              </w:rPr>
            </w:pPr>
            <w:r w:rsidRPr="001C44C7">
              <w:rPr>
                <w:rFonts w:ascii="Times New Roman" w:hAnsi="Times New Roman" w:cs="Times New Roman"/>
                <w:b/>
                <w:bCs/>
              </w:rPr>
              <w:t>NS</w:t>
            </w:r>
          </w:p>
        </w:tc>
        <w:tc>
          <w:tcPr>
            <w:tcW w:w="1906" w:type="dxa"/>
          </w:tcPr>
          <w:p w14:paraId="751E1307" w14:textId="77777777" w:rsidR="000C670D" w:rsidRPr="001C44C7" w:rsidRDefault="000C670D" w:rsidP="007122A3">
            <w:pPr>
              <w:ind w:left="360"/>
              <w:jc w:val="center"/>
              <w:rPr>
                <w:rFonts w:ascii="Times New Roman" w:hAnsi="Times New Roman" w:cs="Times New Roman"/>
                <w:b/>
                <w:bCs/>
              </w:rPr>
            </w:pPr>
            <w:r w:rsidRPr="001C44C7">
              <w:rPr>
                <w:rFonts w:ascii="Times New Roman" w:hAnsi="Times New Roman" w:cs="Times New Roman"/>
                <w:b/>
                <w:bCs/>
              </w:rPr>
              <w:t>NS</w:t>
            </w:r>
          </w:p>
        </w:tc>
      </w:tr>
    </w:tbl>
    <w:p w14:paraId="5B595094" w14:textId="4906174E" w:rsidR="000C670D" w:rsidRPr="001C44C7" w:rsidRDefault="000C670D" w:rsidP="000C670D">
      <w:pPr>
        <w:spacing w:line="240" w:lineRule="auto"/>
        <w:ind w:left="360"/>
        <w:jc w:val="both"/>
        <w:rPr>
          <w:rFonts w:ascii="Times New Roman" w:hAnsi="Times New Roman"/>
          <w:sz w:val="24"/>
          <w:szCs w:val="24"/>
        </w:rPr>
      </w:pPr>
      <w:r w:rsidRPr="001C44C7">
        <w:rPr>
          <w:rFonts w:ascii="Times New Roman" w:hAnsi="Times New Roman"/>
          <w:b/>
          <w:bCs/>
          <w:i/>
          <w:iCs/>
          <w:sz w:val="24"/>
          <w:szCs w:val="24"/>
        </w:rPr>
        <w:t>Key:</w:t>
      </w:r>
      <w:r w:rsidRPr="001C44C7">
        <w:rPr>
          <w:rFonts w:ascii="Times New Roman" w:hAnsi="Times New Roman"/>
          <w:i/>
          <w:iCs/>
          <w:sz w:val="24"/>
          <w:szCs w:val="24"/>
        </w:rPr>
        <w:t xml:space="preserve"> NS = not significant, S = significant. Values with different superscripts are significantly different (p&lt;0.05)</w:t>
      </w:r>
    </w:p>
    <w:p w14:paraId="752C8C0F" w14:textId="77777777" w:rsidR="000C670D" w:rsidRPr="001C44C7" w:rsidRDefault="000C670D" w:rsidP="007E2AFA">
      <w:pPr>
        <w:spacing w:before="100" w:beforeAutospacing="1" w:after="100" w:afterAutospacing="1" w:line="240" w:lineRule="auto"/>
        <w:ind w:left="720" w:hanging="720"/>
        <w:jc w:val="both"/>
        <w:rPr>
          <w:rFonts w:ascii="Times New Roman" w:hAnsi="Times New Roman" w:cs="Times New Roman"/>
          <w:sz w:val="24"/>
          <w:szCs w:val="24"/>
        </w:rPr>
      </w:pPr>
    </w:p>
    <w:p w14:paraId="1EAB11F4" w14:textId="314CDFD7" w:rsidR="00DD6B18" w:rsidRPr="001C44C7" w:rsidRDefault="00DD6B18" w:rsidP="00DD6B18">
      <w:pPr>
        <w:spacing w:before="100" w:beforeAutospacing="1" w:after="100" w:afterAutospacing="1" w:line="240" w:lineRule="auto"/>
        <w:ind w:left="720" w:hanging="720"/>
        <w:jc w:val="both"/>
        <w:rPr>
          <w:rFonts w:ascii="Times New Roman" w:hAnsi="Times New Roman" w:cs="Times New Roman"/>
          <w:b/>
          <w:bCs/>
          <w:sz w:val="24"/>
          <w:szCs w:val="24"/>
        </w:rPr>
      </w:pPr>
      <w:r w:rsidRPr="001C44C7">
        <w:rPr>
          <w:rFonts w:ascii="Times New Roman" w:hAnsi="Times New Roman" w:cs="Times New Roman"/>
          <w:b/>
          <w:bCs/>
          <w:sz w:val="24"/>
          <w:szCs w:val="24"/>
        </w:rPr>
        <w:t xml:space="preserve">Comparison of the Levels of Liver Enzymes of the Control and Test Groups </w:t>
      </w:r>
    </w:p>
    <w:p w14:paraId="3D7AD08B" w14:textId="123840ED" w:rsidR="00DD6B18" w:rsidRPr="001C44C7" w:rsidRDefault="00767E72" w:rsidP="00767E72">
      <w:pPr>
        <w:jc w:val="both"/>
        <w:rPr>
          <w:rFonts w:ascii="Times New Roman" w:hAnsi="Times New Roman" w:cs="Times New Roman"/>
          <w:sz w:val="24"/>
          <w:szCs w:val="24"/>
        </w:rPr>
      </w:pPr>
      <w:r w:rsidRPr="001C44C7">
        <w:rPr>
          <w:rFonts w:ascii="Times New Roman" w:hAnsi="Times New Roman" w:cs="Times New Roman"/>
          <w:sz w:val="24"/>
          <w:szCs w:val="24"/>
        </w:rPr>
        <w:t>Table 3shows the comparison of AST, ALT, ALP, and GGT levels across groups I to VI. AST levels did not differ significantly (p=0.089). ALT levels were significantly higher in Group VI (30.46 ± 6.31 U/L) compared to the other groups (p=0.000). ALP levels in Group II (40.08 ± 3.47 U/L) were significantly higher than in Group V (26.60 ± 8.48 U/L) and Group I (28.32 ± 8.22</w:t>
      </w:r>
      <w:r w:rsidRPr="001C44C7">
        <w:rPr>
          <w:rFonts w:ascii="Times New Roman" w:hAnsi="Times New Roman" w:cs="Times New Roman"/>
          <w:sz w:val="24"/>
          <w:szCs w:val="24"/>
          <w:vertAlign w:val="superscript"/>
        </w:rPr>
        <w:t xml:space="preserve"> </w:t>
      </w:r>
      <w:r w:rsidRPr="001C44C7">
        <w:rPr>
          <w:rFonts w:ascii="Times New Roman" w:hAnsi="Times New Roman" w:cs="Times New Roman"/>
          <w:sz w:val="24"/>
          <w:szCs w:val="24"/>
        </w:rPr>
        <w:t>U/L) at a p-value of 0.024. However, GGT levels did not show significant differences across all the groups (p=0.185).</w:t>
      </w:r>
    </w:p>
    <w:p w14:paraId="722C82D6" w14:textId="77777777" w:rsidR="00DD6B18" w:rsidRPr="001C44C7" w:rsidRDefault="00DD6B18" w:rsidP="00DD6B18">
      <w:pPr>
        <w:spacing w:line="240" w:lineRule="auto"/>
        <w:jc w:val="both"/>
        <w:rPr>
          <w:rFonts w:ascii="Times New Roman" w:hAnsi="Times New Roman"/>
          <w:b/>
          <w:bCs/>
          <w:sz w:val="24"/>
          <w:szCs w:val="24"/>
        </w:rPr>
      </w:pPr>
    </w:p>
    <w:p w14:paraId="261A01AB" w14:textId="77777777" w:rsidR="00DD6B18" w:rsidRPr="001C44C7" w:rsidRDefault="00DD6B18" w:rsidP="00DD6B18">
      <w:pPr>
        <w:spacing w:line="240" w:lineRule="auto"/>
        <w:jc w:val="both"/>
        <w:rPr>
          <w:rFonts w:ascii="Times New Roman" w:hAnsi="Times New Roman"/>
          <w:b/>
          <w:bCs/>
          <w:sz w:val="24"/>
          <w:szCs w:val="24"/>
        </w:rPr>
      </w:pPr>
    </w:p>
    <w:p w14:paraId="07B72AA9" w14:textId="77777777" w:rsidR="00DD6B18" w:rsidRPr="001C44C7" w:rsidRDefault="00DD6B18" w:rsidP="00DD6B18">
      <w:pPr>
        <w:spacing w:line="240" w:lineRule="auto"/>
        <w:jc w:val="both"/>
        <w:rPr>
          <w:rFonts w:ascii="Times New Roman" w:hAnsi="Times New Roman"/>
          <w:b/>
          <w:bCs/>
          <w:sz w:val="24"/>
          <w:szCs w:val="24"/>
        </w:rPr>
      </w:pPr>
    </w:p>
    <w:p w14:paraId="3955DFF9" w14:textId="7474967D" w:rsidR="00DD6B18" w:rsidRPr="001C44C7" w:rsidRDefault="00DD6B18" w:rsidP="00DD6B18">
      <w:pPr>
        <w:spacing w:line="240" w:lineRule="auto"/>
        <w:jc w:val="both"/>
        <w:rPr>
          <w:rFonts w:ascii="Times New Roman" w:hAnsi="Times New Roman"/>
          <w:b/>
          <w:bCs/>
          <w:sz w:val="24"/>
          <w:szCs w:val="24"/>
        </w:rPr>
      </w:pPr>
    </w:p>
    <w:p w14:paraId="37BE28D4" w14:textId="15312AC1" w:rsidR="00767E72" w:rsidRPr="001C44C7" w:rsidRDefault="00767E72" w:rsidP="00DD6B18">
      <w:pPr>
        <w:spacing w:line="240" w:lineRule="auto"/>
        <w:jc w:val="both"/>
        <w:rPr>
          <w:rFonts w:ascii="Times New Roman" w:hAnsi="Times New Roman"/>
          <w:b/>
          <w:bCs/>
          <w:sz w:val="24"/>
          <w:szCs w:val="24"/>
        </w:rPr>
      </w:pPr>
    </w:p>
    <w:p w14:paraId="1A41EA82" w14:textId="6DCE4023" w:rsidR="00767E72" w:rsidRPr="001C44C7" w:rsidRDefault="00767E72" w:rsidP="00DD6B18">
      <w:pPr>
        <w:spacing w:line="240" w:lineRule="auto"/>
        <w:jc w:val="both"/>
        <w:rPr>
          <w:rFonts w:ascii="Times New Roman" w:hAnsi="Times New Roman"/>
          <w:b/>
          <w:bCs/>
          <w:sz w:val="24"/>
          <w:szCs w:val="24"/>
        </w:rPr>
      </w:pPr>
    </w:p>
    <w:p w14:paraId="1C7F606D" w14:textId="77777777" w:rsidR="00767E72" w:rsidRPr="001C44C7" w:rsidRDefault="00767E72" w:rsidP="00DD6B18">
      <w:pPr>
        <w:spacing w:line="240" w:lineRule="auto"/>
        <w:jc w:val="both"/>
        <w:rPr>
          <w:rFonts w:ascii="Times New Roman" w:hAnsi="Times New Roman"/>
          <w:b/>
          <w:bCs/>
          <w:sz w:val="24"/>
          <w:szCs w:val="24"/>
        </w:rPr>
      </w:pPr>
    </w:p>
    <w:p w14:paraId="379FC52C" w14:textId="77777777" w:rsidR="00DD6B18" w:rsidRPr="001C44C7" w:rsidRDefault="00DD6B18" w:rsidP="00DD6B18">
      <w:pPr>
        <w:spacing w:line="240" w:lineRule="auto"/>
        <w:jc w:val="both"/>
        <w:rPr>
          <w:rFonts w:ascii="Times New Roman" w:hAnsi="Times New Roman"/>
          <w:b/>
          <w:bCs/>
          <w:sz w:val="24"/>
          <w:szCs w:val="24"/>
        </w:rPr>
      </w:pPr>
    </w:p>
    <w:p w14:paraId="294D7B7F" w14:textId="39607265" w:rsidR="00DD6B18" w:rsidRPr="001C44C7" w:rsidRDefault="00DD6B18" w:rsidP="00DD6B18">
      <w:pPr>
        <w:spacing w:line="240" w:lineRule="auto"/>
        <w:jc w:val="both"/>
        <w:rPr>
          <w:rFonts w:ascii="Times New Roman" w:hAnsi="Times New Roman"/>
          <w:b/>
          <w:bCs/>
          <w:sz w:val="24"/>
          <w:szCs w:val="24"/>
        </w:rPr>
      </w:pPr>
      <w:r w:rsidRPr="001C44C7">
        <w:rPr>
          <w:rFonts w:ascii="Times New Roman" w:hAnsi="Times New Roman"/>
          <w:b/>
          <w:bCs/>
          <w:sz w:val="24"/>
          <w:szCs w:val="24"/>
        </w:rPr>
        <w:t>Table 3: Comparison of AST, ALT, ALP, and GGT Across Groups I, II, III, IV, V, and VI</w:t>
      </w:r>
    </w:p>
    <w:tbl>
      <w:tblPr>
        <w:tblStyle w:val="TableGrid"/>
        <w:tblW w:w="1054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934"/>
        <w:gridCol w:w="2296"/>
        <w:gridCol w:w="2160"/>
        <w:gridCol w:w="2340"/>
      </w:tblGrid>
      <w:tr w:rsidR="001C44C7" w:rsidRPr="001C44C7" w14:paraId="5E7E5B38" w14:textId="77777777" w:rsidTr="007122A3">
        <w:trPr>
          <w:trHeight w:val="596"/>
          <w:jc w:val="center"/>
        </w:trPr>
        <w:tc>
          <w:tcPr>
            <w:tcW w:w="1818" w:type="dxa"/>
            <w:tcBorders>
              <w:top w:val="single" w:sz="4" w:space="0" w:color="auto"/>
              <w:bottom w:val="single" w:sz="4" w:space="0" w:color="auto"/>
            </w:tcBorders>
          </w:tcPr>
          <w:p w14:paraId="1C87910E" w14:textId="77777777" w:rsidR="00DD6B18" w:rsidRPr="001C44C7" w:rsidRDefault="00DD6B18" w:rsidP="007122A3">
            <w:pPr>
              <w:ind w:left="360"/>
              <w:rPr>
                <w:rFonts w:ascii="Times New Roman" w:hAnsi="Times New Roman" w:cs="Times New Roman"/>
                <w:sz w:val="24"/>
                <w:szCs w:val="24"/>
              </w:rPr>
            </w:pPr>
          </w:p>
        </w:tc>
        <w:tc>
          <w:tcPr>
            <w:tcW w:w="1934" w:type="dxa"/>
            <w:tcBorders>
              <w:top w:val="single" w:sz="4" w:space="0" w:color="auto"/>
              <w:bottom w:val="single" w:sz="4" w:space="0" w:color="auto"/>
            </w:tcBorders>
          </w:tcPr>
          <w:p w14:paraId="17D4785E" w14:textId="77777777" w:rsidR="00DD6B18" w:rsidRPr="001C44C7" w:rsidRDefault="00DD6B18" w:rsidP="007122A3">
            <w:pPr>
              <w:ind w:left="360"/>
              <w:jc w:val="center"/>
              <w:rPr>
                <w:rFonts w:ascii="Times New Roman" w:hAnsi="Times New Roman" w:cs="Times New Roman"/>
                <w:b/>
                <w:bCs/>
                <w:sz w:val="24"/>
                <w:szCs w:val="24"/>
              </w:rPr>
            </w:pPr>
            <w:r w:rsidRPr="001C44C7">
              <w:rPr>
                <w:rFonts w:ascii="Times New Roman" w:hAnsi="Times New Roman" w:cs="Times New Roman"/>
                <w:b/>
                <w:bCs/>
                <w:sz w:val="24"/>
                <w:szCs w:val="24"/>
              </w:rPr>
              <w:t xml:space="preserve">AST </w:t>
            </w:r>
          </w:p>
          <w:p w14:paraId="4D1A5D0E" w14:textId="77777777" w:rsidR="00DD6B18" w:rsidRPr="001C44C7" w:rsidRDefault="00DD6B18" w:rsidP="007122A3">
            <w:pPr>
              <w:ind w:left="360"/>
              <w:jc w:val="center"/>
              <w:rPr>
                <w:rFonts w:ascii="Times New Roman" w:hAnsi="Times New Roman" w:cs="Times New Roman"/>
                <w:b/>
                <w:bCs/>
                <w:sz w:val="24"/>
                <w:szCs w:val="24"/>
              </w:rPr>
            </w:pPr>
            <w:r w:rsidRPr="001C44C7">
              <w:rPr>
                <w:rFonts w:ascii="Times New Roman" w:hAnsi="Times New Roman" w:cs="Times New Roman"/>
                <w:b/>
                <w:bCs/>
                <w:sz w:val="24"/>
                <w:szCs w:val="24"/>
              </w:rPr>
              <w:t>(U/L)</w:t>
            </w:r>
          </w:p>
        </w:tc>
        <w:tc>
          <w:tcPr>
            <w:tcW w:w="2296" w:type="dxa"/>
            <w:tcBorders>
              <w:top w:val="single" w:sz="4" w:space="0" w:color="auto"/>
              <w:bottom w:val="single" w:sz="4" w:space="0" w:color="auto"/>
            </w:tcBorders>
          </w:tcPr>
          <w:p w14:paraId="0770B0B1" w14:textId="77777777" w:rsidR="00DD6B18" w:rsidRPr="001C44C7" w:rsidRDefault="00DD6B18" w:rsidP="007122A3">
            <w:pPr>
              <w:ind w:left="360"/>
              <w:jc w:val="center"/>
              <w:rPr>
                <w:rFonts w:ascii="Times New Roman" w:hAnsi="Times New Roman" w:cs="Times New Roman"/>
                <w:b/>
                <w:bCs/>
                <w:sz w:val="24"/>
                <w:szCs w:val="24"/>
              </w:rPr>
            </w:pPr>
            <w:r w:rsidRPr="001C44C7">
              <w:rPr>
                <w:rFonts w:ascii="Times New Roman" w:hAnsi="Times New Roman" w:cs="Times New Roman"/>
                <w:b/>
                <w:bCs/>
                <w:sz w:val="24"/>
                <w:szCs w:val="24"/>
              </w:rPr>
              <w:t xml:space="preserve">ALT </w:t>
            </w:r>
          </w:p>
          <w:p w14:paraId="0937182C" w14:textId="77777777" w:rsidR="00DD6B18" w:rsidRPr="001C44C7" w:rsidRDefault="00DD6B18" w:rsidP="007122A3">
            <w:pPr>
              <w:ind w:left="360"/>
              <w:jc w:val="center"/>
              <w:rPr>
                <w:rFonts w:ascii="Times New Roman" w:hAnsi="Times New Roman" w:cs="Times New Roman"/>
                <w:b/>
                <w:bCs/>
                <w:sz w:val="24"/>
                <w:szCs w:val="24"/>
              </w:rPr>
            </w:pPr>
            <w:r w:rsidRPr="001C44C7">
              <w:rPr>
                <w:rFonts w:ascii="Times New Roman" w:hAnsi="Times New Roman" w:cs="Times New Roman"/>
                <w:b/>
                <w:bCs/>
                <w:sz w:val="24"/>
                <w:szCs w:val="24"/>
              </w:rPr>
              <w:t>(U/L)</w:t>
            </w:r>
          </w:p>
        </w:tc>
        <w:tc>
          <w:tcPr>
            <w:tcW w:w="2160" w:type="dxa"/>
            <w:tcBorders>
              <w:top w:val="single" w:sz="4" w:space="0" w:color="auto"/>
              <w:bottom w:val="single" w:sz="4" w:space="0" w:color="auto"/>
            </w:tcBorders>
          </w:tcPr>
          <w:p w14:paraId="21A7075C" w14:textId="77777777" w:rsidR="00DD6B18" w:rsidRPr="001C44C7" w:rsidRDefault="00DD6B18" w:rsidP="007122A3">
            <w:pPr>
              <w:ind w:left="360"/>
              <w:jc w:val="center"/>
              <w:rPr>
                <w:rFonts w:ascii="Times New Roman" w:hAnsi="Times New Roman" w:cs="Times New Roman"/>
                <w:b/>
                <w:bCs/>
                <w:sz w:val="24"/>
                <w:szCs w:val="24"/>
              </w:rPr>
            </w:pPr>
            <w:r w:rsidRPr="001C44C7">
              <w:rPr>
                <w:rFonts w:ascii="Times New Roman" w:hAnsi="Times New Roman" w:cs="Times New Roman"/>
                <w:b/>
                <w:bCs/>
                <w:sz w:val="24"/>
                <w:szCs w:val="24"/>
              </w:rPr>
              <w:t>ALP</w:t>
            </w:r>
          </w:p>
          <w:p w14:paraId="1FD210D1" w14:textId="77777777" w:rsidR="00DD6B18" w:rsidRPr="001C44C7" w:rsidRDefault="00DD6B18" w:rsidP="007122A3">
            <w:pPr>
              <w:ind w:left="360"/>
              <w:jc w:val="center"/>
              <w:rPr>
                <w:rFonts w:ascii="Times New Roman" w:hAnsi="Times New Roman" w:cs="Times New Roman"/>
                <w:b/>
                <w:bCs/>
                <w:sz w:val="24"/>
                <w:szCs w:val="24"/>
              </w:rPr>
            </w:pPr>
            <w:r w:rsidRPr="001C44C7">
              <w:rPr>
                <w:rFonts w:ascii="Times New Roman" w:hAnsi="Times New Roman" w:cs="Times New Roman"/>
                <w:b/>
                <w:bCs/>
                <w:sz w:val="24"/>
                <w:szCs w:val="24"/>
              </w:rPr>
              <w:t>(U/L)</w:t>
            </w:r>
          </w:p>
        </w:tc>
        <w:tc>
          <w:tcPr>
            <w:tcW w:w="2340" w:type="dxa"/>
            <w:tcBorders>
              <w:top w:val="single" w:sz="4" w:space="0" w:color="auto"/>
              <w:bottom w:val="single" w:sz="4" w:space="0" w:color="auto"/>
            </w:tcBorders>
          </w:tcPr>
          <w:p w14:paraId="58DBE4D6" w14:textId="77777777" w:rsidR="00DD6B18" w:rsidRPr="001C44C7" w:rsidRDefault="00DD6B18" w:rsidP="007122A3">
            <w:pPr>
              <w:ind w:left="360"/>
              <w:jc w:val="center"/>
              <w:rPr>
                <w:rFonts w:ascii="Times New Roman" w:hAnsi="Times New Roman" w:cs="Times New Roman"/>
                <w:b/>
                <w:bCs/>
                <w:sz w:val="24"/>
                <w:szCs w:val="24"/>
              </w:rPr>
            </w:pPr>
            <w:r w:rsidRPr="001C44C7">
              <w:rPr>
                <w:rFonts w:ascii="Times New Roman" w:hAnsi="Times New Roman" w:cs="Times New Roman"/>
                <w:b/>
                <w:bCs/>
                <w:sz w:val="24"/>
                <w:szCs w:val="24"/>
              </w:rPr>
              <w:t>GGT</w:t>
            </w:r>
          </w:p>
          <w:p w14:paraId="06E6C774" w14:textId="77777777" w:rsidR="00DD6B18" w:rsidRPr="001C44C7" w:rsidRDefault="00DD6B18" w:rsidP="007122A3">
            <w:pPr>
              <w:ind w:left="360"/>
              <w:jc w:val="center"/>
              <w:rPr>
                <w:rFonts w:ascii="Times New Roman" w:hAnsi="Times New Roman" w:cs="Times New Roman"/>
                <w:b/>
                <w:bCs/>
                <w:sz w:val="24"/>
                <w:szCs w:val="24"/>
              </w:rPr>
            </w:pPr>
            <w:r w:rsidRPr="001C44C7">
              <w:rPr>
                <w:rFonts w:ascii="Times New Roman" w:hAnsi="Times New Roman" w:cs="Times New Roman"/>
                <w:b/>
                <w:bCs/>
                <w:sz w:val="24"/>
                <w:szCs w:val="24"/>
              </w:rPr>
              <w:t>(U/L)</w:t>
            </w:r>
          </w:p>
        </w:tc>
      </w:tr>
      <w:tr w:rsidR="001C44C7" w:rsidRPr="001C44C7" w14:paraId="10EACCB5" w14:textId="77777777" w:rsidTr="007122A3">
        <w:trPr>
          <w:trHeight w:val="514"/>
          <w:jc w:val="center"/>
        </w:trPr>
        <w:tc>
          <w:tcPr>
            <w:tcW w:w="1818" w:type="dxa"/>
            <w:tcBorders>
              <w:top w:val="single" w:sz="4" w:space="0" w:color="auto"/>
            </w:tcBorders>
          </w:tcPr>
          <w:p w14:paraId="307E6862" w14:textId="77777777" w:rsidR="00DD6B18" w:rsidRPr="001C44C7" w:rsidRDefault="00DD6B18" w:rsidP="007122A3">
            <w:pPr>
              <w:ind w:left="360"/>
              <w:rPr>
                <w:rFonts w:ascii="Times New Roman" w:hAnsi="Times New Roman" w:cs="Times New Roman"/>
                <w:b/>
                <w:bCs/>
                <w:sz w:val="24"/>
                <w:szCs w:val="24"/>
              </w:rPr>
            </w:pPr>
            <w:r w:rsidRPr="001C44C7">
              <w:rPr>
                <w:rFonts w:ascii="Times New Roman" w:hAnsi="Times New Roman" w:cs="Times New Roman"/>
                <w:b/>
                <w:bCs/>
                <w:sz w:val="24"/>
                <w:szCs w:val="24"/>
              </w:rPr>
              <w:t>GROUP I</w:t>
            </w:r>
          </w:p>
        </w:tc>
        <w:tc>
          <w:tcPr>
            <w:tcW w:w="1934" w:type="dxa"/>
            <w:tcBorders>
              <w:top w:val="single" w:sz="4" w:space="0" w:color="auto"/>
            </w:tcBorders>
          </w:tcPr>
          <w:p w14:paraId="7C7746CC"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14.20 ± 1.07</w:t>
            </w:r>
          </w:p>
        </w:tc>
        <w:tc>
          <w:tcPr>
            <w:tcW w:w="2296" w:type="dxa"/>
            <w:tcBorders>
              <w:top w:val="single" w:sz="4" w:space="0" w:color="auto"/>
            </w:tcBorders>
          </w:tcPr>
          <w:p w14:paraId="06E40017"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21.62 ± 0.97</w:t>
            </w:r>
            <w:r w:rsidRPr="001C44C7">
              <w:rPr>
                <w:rFonts w:ascii="Times New Roman" w:hAnsi="Times New Roman" w:cs="Times New Roman"/>
                <w:sz w:val="24"/>
                <w:szCs w:val="24"/>
                <w:vertAlign w:val="superscript"/>
              </w:rPr>
              <w:t>a</w:t>
            </w:r>
          </w:p>
        </w:tc>
        <w:tc>
          <w:tcPr>
            <w:tcW w:w="2160" w:type="dxa"/>
            <w:tcBorders>
              <w:top w:val="single" w:sz="4" w:space="0" w:color="auto"/>
            </w:tcBorders>
          </w:tcPr>
          <w:p w14:paraId="73E42F1F" w14:textId="5DA2E3AD"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28.32 ± 8.22</w:t>
            </w:r>
            <w:r w:rsidR="00767E72" w:rsidRPr="001C44C7">
              <w:rPr>
                <w:rFonts w:ascii="Times New Roman" w:hAnsi="Times New Roman" w:cs="Times New Roman"/>
                <w:sz w:val="24"/>
                <w:szCs w:val="24"/>
                <w:vertAlign w:val="superscript"/>
              </w:rPr>
              <w:t>b</w:t>
            </w:r>
          </w:p>
        </w:tc>
        <w:tc>
          <w:tcPr>
            <w:tcW w:w="2340" w:type="dxa"/>
            <w:tcBorders>
              <w:top w:val="single" w:sz="4" w:space="0" w:color="auto"/>
            </w:tcBorders>
          </w:tcPr>
          <w:p w14:paraId="13F09E04"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15.78 ± 2.59</w:t>
            </w:r>
          </w:p>
        </w:tc>
      </w:tr>
      <w:tr w:rsidR="001C44C7" w:rsidRPr="001C44C7" w14:paraId="05A816C6" w14:textId="77777777" w:rsidTr="007122A3">
        <w:trPr>
          <w:trHeight w:val="496"/>
          <w:jc w:val="center"/>
        </w:trPr>
        <w:tc>
          <w:tcPr>
            <w:tcW w:w="1818" w:type="dxa"/>
          </w:tcPr>
          <w:p w14:paraId="1ABBF9A6" w14:textId="77777777" w:rsidR="00DD6B18" w:rsidRPr="001C44C7" w:rsidRDefault="00DD6B18" w:rsidP="007122A3">
            <w:pPr>
              <w:ind w:left="360"/>
              <w:rPr>
                <w:rFonts w:ascii="Times New Roman" w:hAnsi="Times New Roman" w:cs="Times New Roman"/>
                <w:b/>
                <w:bCs/>
                <w:sz w:val="24"/>
                <w:szCs w:val="24"/>
              </w:rPr>
            </w:pPr>
            <w:r w:rsidRPr="001C44C7">
              <w:rPr>
                <w:rFonts w:ascii="Times New Roman" w:hAnsi="Times New Roman" w:cs="Times New Roman"/>
                <w:b/>
                <w:bCs/>
                <w:sz w:val="24"/>
                <w:szCs w:val="24"/>
              </w:rPr>
              <w:t>GROUP II</w:t>
            </w:r>
          </w:p>
        </w:tc>
        <w:tc>
          <w:tcPr>
            <w:tcW w:w="1934" w:type="dxa"/>
          </w:tcPr>
          <w:p w14:paraId="38650A21"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13.95 ± 2.29</w:t>
            </w:r>
          </w:p>
        </w:tc>
        <w:tc>
          <w:tcPr>
            <w:tcW w:w="2296" w:type="dxa"/>
          </w:tcPr>
          <w:p w14:paraId="17427001"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20.51 ± 1.69</w:t>
            </w:r>
            <w:r w:rsidRPr="001C44C7">
              <w:rPr>
                <w:rFonts w:ascii="Times New Roman" w:hAnsi="Times New Roman" w:cs="Times New Roman"/>
                <w:sz w:val="24"/>
                <w:szCs w:val="24"/>
                <w:vertAlign w:val="superscript"/>
              </w:rPr>
              <w:t>a</w:t>
            </w:r>
          </w:p>
        </w:tc>
        <w:tc>
          <w:tcPr>
            <w:tcW w:w="2160" w:type="dxa"/>
          </w:tcPr>
          <w:p w14:paraId="6ACF8BEF"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40.08 ± 3.47</w:t>
            </w:r>
            <w:r w:rsidRPr="001C44C7">
              <w:rPr>
                <w:rFonts w:ascii="Times New Roman" w:hAnsi="Times New Roman" w:cs="Times New Roman"/>
                <w:sz w:val="24"/>
                <w:szCs w:val="24"/>
                <w:vertAlign w:val="superscript"/>
              </w:rPr>
              <w:t>a</w:t>
            </w:r>
          </w:p>
        </w:tc>
        <w:tc>
          <w:tcPr>
            <w:tcW w:w="2340" w:type="dxa"/>
          </w:tcPr>
          <w:p w14:paraId="37384B28"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17.54 ± 3.85</w:t>
            </w:r>
          </w:p>
        </w:tc>
      </w:tr>
      <w:tr w:rsidR="001C44C7" w:rsidRPr="001C44C7" w14:paraId="4BEF7F49" w14:textId="77777777" w:rsidTr="007122A3">
        <w:trPr>
          <w:trHeight w:val="496"/>
          <w:jc w:val="center"/>
        </w:trPr>
        <w:tc>
          <w:tcPr>
            <w:tcW w:w="1818" w:type="dxa"/>
          </w:tcPr>
          <w:p w14:paraId="1C7E6A38" w14:textId="77777777" w:rsidR="00DD6B18" w:rsidRPr="001C44C7" w:rsidRDefault="00DD6B18" w:rsidP="007122A3">
            <w:pPr>
              <w:ind w:left="360"/>
              <w:rPr>
                <w:rFonts w:ascii="Times New Roman" w:hAnsi="Times New Roman" w:cs="Times New Roman"/>
                <w:b/>
                <w:bCs/>
                <w:sz w:val="24"/>
                <w:szCs w:val="24"/>
              </w:rPr>
            </w:pPr>
            <w:r w:rsidRPr="001C44C7">
              <w:rPr>
                <w:rFonts w:ascii="Times New Roman" w:hAnsi="Times New Roman" w:cs="Times New Roman"/>
                <w:b/>
                <w:bCs/>
                <w:sz w:val="24"/>
                <w:szCs w:val="24"/>
              </w:rPr>
              <w:t>GROUP III</w:t>
            </w:r>
          </w:p>
        </w:tc>
        <w:tc>
          <w:tcPr>
            <w:tcW w:w="1934" w:type="dxa"/>
          </w:tcPr>
          <w:p w14:paraId="38BDBA57"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11.42 ± 1.37</w:t>
            </w:r>
          </w:p>
        </w:tc>
        <w:tc>
          <w:tcPr>
            <w:tcW w:w="2296" w:type="dxa"/>
          </w:tcPr>
          <w:p w14:paraId="61A266D5"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27.17 ± 2.71</w:t>
            </w:r>
            <w:r w:rsidRPr="001C44C7">
              <w:rPr>
                <w:rFonts w:ascii="Times New Roman" w:hAnsi="Times New Roman" w:cs="Times New Roman"/>
                <w:sz w:val="24"/>
                <w:szCs w:val="24"/>
                <w:vertAlign w:val="superscript"/>
              </w:rPr>
              <w:t>b</w:t>
            </w:r>
          </w:p>
        </w:tc>
        <w:tc>
          <w:tcPr>
            <w:tcW w:w="2160" w:type="dxa"/>
          </w:tcPr>
          <w:p w14:paraId="2E4FE14E"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33.18 ± 5.54</w:t>
            </w:r>
          </w:p>
        </w:tc>
        <w:tc>
          <w:tcPr>
            <w:tcW w:w="2340" w:type="dxa"/>
          </w:tcPr>
          <w:p w14:paraId="498344B4"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17.97 ± 2.41</w:t>
            </w:r>
          </w:p>
        </w:tc>
      </w:tr>
      <w:tr w:rsidR="001C44C7" w:rsidRPr="001C44C7" w14:paraId="03269CA4" w14:textId="77777777" w:rsidTr="007122A3">
        <w:trPr>
          <w:trHeight w:val="496"/>
          <w:jc w:val="center"/>
        </w:trPr>
        <w:tc>
          <w:tcPr>
            <w:tcW w:w="1818" w:type="dxa"/>
          </w:tcPr>
          <w:p w14:paraId="3DF301D0" w14:textId="77777777" w:rsidR="00DD6B18" w:rsidRPr="001C44C7" w:rsidRDefault="00DD6B18" w:rsidP="007122A3">
            <w:pPr>
              <w:ind w:left="360"/>
              <w:rPr>
                <w:rFonts w:ascii="Times New Roman" w:hAnsi="Times New Roman" w:cs="Times New Roman"/>
                <w:b/>
                <w:bCs/>
                <w:sz w:val="24"/>
                <w:szCs w:val="24"/>
              </w:rPr>
            </w:pPr>
            <w:r w:rsidRPr="001C44C7">
              <w:rPr>
                <w:rFonts w:ascii="Times New Roman" w:hAnsi="Times New Roman" w:cs="Times New Roman"/>
                <w:b/>
                <w:bCs/>
                <w:sz w:val="24"/>
                <w:szCs w:val="24"/>
              </w:rPr>
              <w:t>GROUP IV</w:t>
            </w:r>
          </w:p>
        </w:tc>
        <w:tc>
          <w:tcPr>
            <w:tcW w:w="1934" w:type="dxa"/>
          </w:tcPr>
          <w:p w14:paraId="2E9970CA"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11.74 ± 1.93</w:t>
            </w:r>
          </w:p>
        </w:tc>
        <w:tc>
          <w:tcPr>
            <w:tcW w:w="2296" w:type="dxa"/>
          </w:tcPr>
          <w:p w14:paraId="4F88C242"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22.32 ± 1.81</w:t>
            </w:r>
          </w:p>
        </w:tc>
        <w:tc>
          <w:tcPr>
            <w:tcW w:w="2160" w:type="dxa"/>
          </w:tcPr>
          <w:p w14:paraId="4C9145C0"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35.38 ± 5.77</w:t>
            </w:r>
          </w:p>
        </w:tc>
        <w:tc>
          <w:tcPr>
            <w:tcW w:w="2340" w:type="dxa"/>
          </w:tcPr>
          <w:p w14:paraId="7C2DC68A"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18.90 ± 2.69</w:t>
            </w:r>
          </w:p>
        </w:tc>
      </w:tr>
      <w:tr w:rsidR="001C44C7" w:rsidRPr="001C44C7" w14:paraId="46D5EE9F" w14:textId="77777777" w:rsidTr="007122A3">
        <w:trPr>
          <w:trHeight w:val="496"/>
          <w:jc w:val="center"/>
        </w:trPr>
        <w:tc>
          <w:tcPr>
            <w:tcW w:w="1818" w:type="dxa"/>
          </w:tcPr>
          <w:p w14:paraId="7B53E078" w14:textId="77777777" w:rsidR="00DD6B18" w:rsidRPr="001C44C7" w:rsidRDefault="00DD6B18" w:rsidP="007122A3">
            <w:pPr>
              <w:ind w:left="360"/>
              <w:rPr>
                <w:rFonts w:ascii="Times New Roman" w:hAnsi="Times New Roman" w:cs="Times New Roman"/>
                <w:b/>
                <w:bCs/>
                <w:sz w:val="24"/>
                <w:szCs w:val="24"/>
              </w:rPr>
            </w:pPr>
            <w:r w:rsidRPr="001C44C7">
              <w:rPr>
                <w:rFonts w:ascii="Times New Roman" w:hAnsi="Times New Roman" w:cs="Times New Roman"/>
                <w:b/>
                <w:bCs/>
                <w:sz w:val="24"/>
                <w:szCs w:val="24"/>
              </w:rPr>
              <w:t>GROUP V</w:t>
            </w:r>
          </w:p>
        </w:tc>
        <w:tc>
          <w:tcPr>
            <w:tcW w:w="1934" w:type="dxa"/>
          </w:tcPr>
          <w:p w14:paraId="5BD751D5"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13.30 ± 0.95</w:t>
            </w:r>
          </w:p>
        </w:tc>
        <w:tc>
          <w:tcPr>
            <w:tcW w:w="2296" w:type="dxa"/>
          </w:tcPr>
          <w:p w14:paraId="6E6B3B0F"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22.46 ± 2.73</w:t>
            </w:r>
          </w:p>
        </w:tc>
        <w:tc>
          <w:tcPr>
            <w:tcW w:w="2160" w:type="dxa"/>
          </w:tcPr>
          <w:p w14:paraId="22C590C2"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26.60 ± 8.48</w:t>
            </w:r>
            <w:r w:rsidRPr="001C44C7">
              <w:rPr>
                <w:rFonts w:ascii="Times New Roman" w:hAnsi="Times New Roman" w:cs="Times New Roman"/>
                <w:sz w:val="24"/>
                <w:szCs w:val="24"/>
                <w:vertAlign w:val="superscript"/>
              </w:rPr>
              <w:t>b</w:t>
            </w:r>
          </w:p>
        </w:tc>
        <w:tc>
          <w:tcPr>
            <w:tcW w:w="2340" w:type="dxa"/>
          </w:tcPr>
          <w:p w14:paraId="104F21F2"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20.22 ± 1.90</w:t>
            </w:r>
          </w:p>
        </w:tc>
      </w:tr>
      <w:tr w:rsidR="001C44C7" w:rsidRPr="001C44C7" w14:paraId="100519DD" w14:textId="77777777" w:rsidTr="007122A3">
        <w:trPr>
          <w:trHeight w:val="514"/>
          <w:jc w:val="center"/>
        </w:trPr>
        <w:tc>
          <w:tcPr>
            <w:tcW w:w="1818" w:type="dxa"/>
          </w:tcPr>
          <w:p w14:paraId="18301BF6" w14:textId="77777777" w:rsidR="00DD6B18" w:rsidRPr="001C44C7" w:rsidRDefault="00DD6B18" w:rsidP="007122A3">
            <w:pPr>
              <w:ind w:left="360"/>
              <w:rPr>
                <w:rFonts w:ascii="Times New Roman" w:hAnsi="Times New Roman" w:cs="Times New Roman"/>
                <w:b/>
                <w:bCs/>
                <w:sz w:val="24"/>
                <w:szCs w:val="24"/>
              </w:rPr>
            </w:pPr>
            <w:r w:rsidRPr="001C44C7">
              <w:rPr>
                <w:rFonts w:ascii="Times New Roman" w:hAnsi="Times New Roman" w:cs="Times New Roman"/>
                <w:b/>
                <w:bCs/>
                <w:sz w:val="24"/>
                <w:szCs w:val="24"/>
              </w:rPr>
              <w:t>GROUP VI</w:t>
            </w:r>
          </w:p>
        </w:tc>
        <w:tc>
          <w:tcPr>
            <w:tcW w:w="1934" w:type="dxa"/>
          </w:tcPr>
          <w:p w14:paraId="08AD69D0"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12.98 ± 2.22</w:t>
            </w:r>
          </w:p>
        </w:tc>
        <w:tc>
          <w:tcPr>
            <w:tcW w:w="2296" w:type="dxa"/>
          </w:tcPr>
          <w:p w14:paraId="7FC101F0"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30.46 ± 6.31</w:t>
            </w:r>
            <w:r w:rsidRPr="001C44C7">
              <w:rPr>
                <w:rFonts w:ascii="Times New Roman" w:hAnsi="Times New Roman" w:cs="Times New Roman"/>
                <w:sz w:val="24"/>
                <w:szCs w:val="24"/>
                <w:vertAlign w:val="superscript"/>
              </w:rPr>
              <w:t>b</w:t>
            </w:r>
          </w:p>
        </w:tc>
        <w:tc>
          <w:tcPr>
            <w:tcW w:w="2160" w:type="dxa"/>
          </w:tcPr>
          <w:p w14:paraId="2A7448ED"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35.53 ± 4.30</w:t>
            </w:r>
          </w:p>
        </w:tc>
        <w:tc>
          <w:tcPr>
            <w:tcW w:w="2340" w:type="dxa"/>
          </w:tcPr>
          <w:p w14:paraId="4A1E85F0"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17.65 ± 1.40</w:t>
            </w:r>
          </w:p>
        </w:tc>
      </w:tr>
      <w:tr w:rsidR="001C44C7" w:rsidRPr="001C44C7" w14:paraId="41C63A18" w14:textId="77777777" w:rsidTr="007122A3">
        <w:trPr>
          <w:trHeight w:val="298"/>
          <w:jc w:val="center"/>
        </w:trPr>
        <w:tc>
          <w:tcPr>
            <w:tcW w:w="1818" w:type="dxa"/>
          </w:tcPr>
          <w:p w14:paraId="2EBDE650" w14:textId="77777777" w:rsidR="00DD6B18" w:rsidRPr="001C44C7" w:rsidRDefault="00DD6B18" w:rsidP="007122A3">
            <w:pPr>
              <w:ind w:left="360"/>
              <w:rPr>
                <w:rFonts w:ascii="Times New Roman" w:hAnsi="Times New Roman" w:cs="Times New Roman"/>
                <w:b/>
                <w:bCs/>
                <w:sz w:val="24"/>
                <w:szCs w:val="24"/>
              </w:rPr>
            </w:pPr>
            <w:r w:rsidRPr="001C44C7">
              <w:rPr>
                <w:rFonts w:ascii="Times New Roman" w:hAnsi="Times New Roman" w:cs="Times New Roman"/>
                <w:b/>
                <w:bCs/>
                <w:sz w:val="24"/>
                <w:szCs w:val="24"/>
              </w:rPr>
              <w:t>F-value</w:t>
            </w:r>
          </w:p>
        </w:tc>
        <w:tc>
          <w:tcPr>
            <w:tcW w:w="1934" w:type="dxa"/>
          </w:tcPr>
          <w:p w14:paraId="4639594A"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2.187</w:t>
            </w:r>
          </w:p>
        </w:tc>
        <w:tc>
          <w:tcPr>
            <w:tcW w:w="2296" w:type="dxa"/>
          </w:tcPr>
          <w:p w14:paraId="212337A3"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7.276</w:t>
            </w:r>
          </w:p>
        </w:tc>
        <w:tc>
          <w:tcPr>
            <w:tcW w:w="2160" w:type="dxa"/>
          </w:tcPr>
          <w:p w14:paraId="5F1A3431"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3.202</w:t>
            </w:r>
          </w:p>
        </w:tc>
        <w:tc>
          <w:tcPr>
            <w:tcW w:w="2340" w:type="dxa"/>
          </w:tcPr>
          <w:p w14:paraId="0B511CB0"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1.650</w:t>
            </w:r>
          </w:p>
        </w:tc>
      </w:tr>
      <w:tr w:rsidR="001C44C7" w:rsidRPr="001C44C7" w14:paraId="799EAF08" w14:textId="77777777" w:rsidTr="007122A3">
        <w:trPr>
          <w:trHeight w:val="496"/>
          <w:jc w:val="center"/>
        </w:trPr>
        <w:tc>
          <w:tcPr>
            <w:tcW w:w="1818" w:type="dxa"/>
          </w:tcPr>
          <w:p w14:paraId="6CAF805C" w14:textId="77777777" w:rsidR="00DD6B18" w:rsidRPr="001C44C7" w:rsidRDefault="00DD6B18" w:rsidP="007122A3">
            <w:pPr>
              <w:ind w:left="360"/>
              <w:rPr>
                <w:rFonts w:ascii="Times New Roman" w:hAnsi="Times New Roman" w:cs="Times New Roman"/>
                <w:b/>
                <w:bCs/>
                <w:sz w:val="24"/>
                <w:szCs w:val="24"/>
              </w:rPr>
            </w:pPr>
            <w:r w:rsidRPr="001C44C7">
              <w:rPr>
                <w:rFonts w:ascii="Times New Roman" w:hAnsi="Times New Roman" w:cs="Times New Roman"/>
                <w:b/>
                <w:bCs/>
                <w:i/>
                <w:iCs/>
                <w:sz w:val="24"/>
                <w:szCs w:val="24"/>
              </w:rPr>
              <w:t>P</w:t>
            </w:r>
            <w:r w:rsidRPr="001C44C7">
              <w:rPr>
                <w:rFonts w:ascii="Times New Roman" w:hAnsi="Times New Roman" w:cs="Times New Roman"/>
                <w:b/>
                <w:bCs/>
                <w:sz w:val="24"/>
                <w:szCs w:val="24"/>
              </w:rPr>
              <w:t>-value</w:t>
            </w:r>
          </w:p>
        </w:tc>
        <w:tc>
          <w:tcPr>
            <w:tcW w:w="1934" w:type="dxa"/>
          </w:tcPr>
          <w:p w14:paraId="23DC3ADE"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0.089</w:t>
            </w:r>
          </w:p>
        </w:tc>
        <w:tc>
          <w:tcPr>
            <w:tcW w:w="2296" w:type="dxa"/>
          </w:tcPr>
          <w:p w14:paraId="52CB0A6C"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0.000</w:t>
            </w:r>
          </w:p>
        </w:tc>
        <w:tc>
          <w:tcPr>
            <w:tcW w:w="2160" w:type="dxa"/>
          </w:tcPr>
          <w:p w14:paraId="525BBEC7"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0.024</w:t>
            </w:r>
          </w:p>
        </w:tc>
        <w:tc>
          <w:tcPr>
            <w:tcW w:w="2340" w:type="dxa"/>
          </w:tcPr>
          <w:p w14:paraId="24B2C790"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0.185</w:t>
            </w:r>
          </w:p>
        </w:tc>
      </w:tr>
      <w:tr w:rsidR="001C44C7" w:rsidRPr="001C44C7" w14:paraId="66B54F92" w14:textId="77777777" w:rsidTr="007122A3">
        <w:trPr>
          <w:trHeight w:val="298"/>
          <w:jc w:val="center"/>
        </w:trPr>
        <w:tc>
          <w:tcPr>
            <w:tcW w:w="1818" w:type="dxa"/>
          </w:tcPr>
          <w:p w14:paraId="57ADD04C" w14:textId="77777777" w:rsidR="00DD6B18" w:rsidRPr="001C44C7" w:rsidRDefault="00DD6B18" w:rsidP="007122A3">
            <w:pPr>
              <w:ind w:left="360"/>
              <w:rPr>
                <w:rFonts w:ascii="Times New Roman" w:hAnsi="Times New Roman" w:cs="Times New Roman"/>
                <w:b/>
                <w:bCs/>
                <w:sz w:val="24"/>
                <w:szCs w:val="24"/>
              </w:rPr>
            </w:pPr>
            <w:r w:rsidRPr="001C44C7">
              <w:rPr>
                <w:rFonts w:ascii="Times New Roman" w:hAnsi="Times New Roman" w:cs="Times New Roman"/>
                <w:b/>
                <w:bCs/>
                <w:sz w:val="24"/>
                <w:szCs w:val="24"/>
              </w:rPr>
              <w:t>Remark</w:t>
            </w:r>
          </w:p>
        </w:tc>
        <w:tc>
          <w:tcPr>
            <w:tcW w:w="1934" w:type="dxa"/>
          </w:tcPr>
          <w:p w14:paraId="421CE055" w14:textId="77777777" w:rsidR="00DD6B18" w:rsidRPr="001C44C7" w:rsidRDefault="00DD6B18" w:rsidP="007122A3">
            <w:pPr>
              <w:ind w:left="360"/>
              <w:jc w:val="center"/>
              <w:rPr>
                <w:rFonts w:ascii="Times New Roman" w:hAnsi="Times New Roman" w:cs="Times New Roman"/>
                <w:sz w:val="24"/>
                <w:szCs w:val="24"/>
              </w:rPr>
            </w:pPr>
            <w:r w:rsidRPr="001C44C7">
              <w:rPr>
                <w:rFonts w:ascii="Times New Roman" w:hAnsi="Times New Roman" w:cs="Times New Roman"/>
                <w:sz w:val="24"/>
                <w:szCs w:val="24"/>
              </w:rPr>
              <w:t>NS</w:t>
            </w:r>
          </w:p>
        </w:tc>
        <w:tc>
          <w:tcPr>
            <w:tcW w:w="2296" w:type="dxa"/>
          </w:tcPr>
          <w:p w14:paraId="68D6E5DB" w14:textId="77777777" w:rsidR="00DD6B18" w:rsidRPr="001C44C7" w:rsidRDefault="00DD6B18" w:rsidP="007122A3">
            <w:pPr>
              <w:ind w:left="360"/>
              <w:jc w:val="center"/>
              <w:rPr>
                <w:rFonts w:ascii="Times New Roman" w:hAnsi="Times New Roman" w:cs="Times New Roman"/>
                <w:b/>
                <w:bCs/>
                <w:sz w:val="24"/>
                <w:szCs w:val="24"/>
              </w:rPr>
            </w:pPr>
            <w:r w:rsidRPr="001C44C7">
              <w:rPr>
                <w:rFonts w:ascii="Times New Roman" w:hAnsi="Times New Roman" w:cs="Times New Roman"/>
                <w:b/>
                <w:bCs/>
                <w:sz w:val="24"/>
                <w:szCs w:val="24"/>
              </w:rPr>
              <w:t>S</w:t>
            </w:r>
          </w:p>
        </w:tc>
        <w:tc>
          <w:tcPr>
            <w:tcW w:w="2160" w:type="dxa"/>
          </w:tcPr>
          <w:p w14:paraId="173CFF9E" w14:textId="77777777" w:rsidR="00DD6B18" w:rsidRPr="001C44C7" w:rsidRDefault="00DD6B18" w:rsidP="007122A3">
            <w:pPr>
              <w:ind w:left="360"/>
              <w:jc w:val="center"/>
              <w:rPr>
                <w:rFonts w:ascii="Times New Roman" w:hAnsi="Times New Roman" w:cs="Times New Roman"/>
                <w:b/>
                <w:bCs/>
                <w:sz w:val="24"/>
                <w:szCs w:val="24"/>
              </w:rPr>
            </w:pPr>
            <w:r w:rsidRPr="001C44C7">
              <w:rPr>
                <w:rFonts w:ascii="Times New Roman" w:hAnsi="Times New Roman" w:cs="Times New Roman"/>
                <w:b/>
                <w:bCs/>
                <w:sz w:val="24"/>
                <w:szCs w:val="24"/>
              </w:rPr>
              <w:t>S</w:t>
            </w:r>
          </w:p>
        </w:tc>
        <w:tc>
          <w:tcPr>
            <w:tcW w:w="2340" w:type="dxa"/>
          </w:tcPr>
          <w:p w14:paraId="1A2709F2" w14:textId="77777777" w:rsidR="00DD6B18" w:rsidRPr="001C44C7" w:rsidRDefault="00DD6B18" w:rsidP="007122A3">
            <w:pPr>
              <w:ind w:left="360"/>
              <w:jc w:val="center"/>
              <w:rPr>
                <w:rFonts w:ascii="Times New Roman" w:hAnsi="Times New Roman" w:cs="Times New Roman"/>
                <w:b/>
                <w:bCs/>
                <w:sz w:val="24"/>
                <w:szCs w:val="24"/>
              </w:rPr>
            </w:pPr>
            <w:r w:rsidRPr="001C44C7">
              <w:rPr>
                <w:rFonts w:ascii="Times New Roman" w:hAnsi="Times New Roman" w:cs="Times New Roman"/>
                <w:b/>
                <w:bCs/>
                <w:sz w:val="24"/>
                <w:szCs w:val="24"/>
              </w:rPr>
              <w:t>NS</w:t>
            </w:r>
          </w:p>
        </w:tc>
      </w:tr>
    </w:tbl>
    <w:p w14:paraId="0C0B0847" w14:textId="1663DC84" w:rsidR="00DD6B18" w:rsidRPr="001C44C7" w:rsidRDefault="00DD6B18" w:rsidP="00DD6B18">
      <w:pPr>
        <w:spacing w:line="240" w:lineRule="auto"/>
        <w:jc w:val="both"/>
        <w:rPr>
          <w:rFonts w:ascii="Times New Roman" w:hAnsi="Times New Roman"/>
          <w:sz w:val="24"/>
          <w:szCs w:val="24"/>
        </w:rPr>
      </w:pPr>
      <w:r w:rsidRPr="001C44C7">
        <w:rPr>
          <w:rFonts w:ascii="Times New Roman" w:hAnsi="Times New Roman"/>
          <w:b/>
          <w:bCs/>
          <w:i/>
          <w:iCs/>
          <w:sz w:val="24"/>
          <w:szCs w:val="24"/>
        </w:rPr>
        <w:lastRenderedPageBreak/>
        <w:t>Key:</w:t>
      </w:r>
      <w:r w:rsidRPr="001C44C7">
        <w:rPr>
          <w:rFonts w:ascii="Times New Roman" w:hAnsi="Times New Roman"/>
          <w:i/>
          <w:iCs/>
          <w:sz w:val="24"/>
          <w:szCs w:val="24"/>
        </w:rPr>
        <w:t xml:space="preserve"> NS = not significant, S = significant, AST = Aspartate amino transferase, ALT = Alanine amino transferase, ALP = Alkaline phosphatase, GGT = Glutamyl transferase. Values with different superscripts are significantly different (p&lt;0.05)</w:t>
      </w:r>
    </w:p>
    <w:p w14:paraId="035338CF" w14:textId="77777777" w:rsidR="007E2AFA" w:rsidRPr="001C44C7" w:rsidRDefault="007E2AFA" w:rsidP="007E2AFA">
      <w:pPr>
        <w:spacing w:after="0" w:line="480" w:lineRule="auto"/>
        <w:jc w:val="both"/>
        <w:rPr>
          <w:rFonts w:ascii="Times New Roman" w:hAnsi="Times New Roman" w:cs="Times New Roman"/>
          <w:sz w:val="24"/>
          <w:szCs w:val="24"/>
        </w:rPr>
      </w:pPr>
    </w:p>
    <w:p w14:paraId="0BE92368" w14:textId="30B02DFC" w:rsidR="00A83A1C" w:rsidRPr="001C44C7" w:rsidRDefault="007E2AFA" w:rsidP="00A83A1C">
      <w:pPr>
        <w:spacing w:after="0" w:line="480" w:lineRule="auto"/>
        <w:jc w:val="both"/>
        <w:rPr>
          <w:rFonts w:ascii="Times New Roman" w:hAnsi="Times New Roman" w:cs="Times New Roman"/>
          <w:b/>
          <w:bCs/>
          <w:sz w:val="24"/>
          <w:szCs w:val="24"/>
        </w:rPr>
      </w:pPr>
      <w:r w:rsidRPr="001C44C7">
        <w:rPr>
          <w:rFonts w:ascii="Times New Roman" w:hAnsi="Times New Roman" w:cs="Times New Roman"/>
          <w:b/>
          <w:bCs/>
          <w:sz w:val="24"/>
          <w:szCs w:val="24"/>
        </w:rPr>
        <w:t>3.4</w:t>
      </w:r>
      <w:r w:rsidRPr="001C44C7">
        <w:rPr>
          <w:rFonts w:ascii="Times New Roman" w:hAnsi="Times New Roman" w:cs="Times New Roman"/>
          <w:b/>
          <w:bCs/>
          <w:sz w:val="24"/>
          <w:szCs w:val="24"/>
        </w:rPr>
        <w:tab/>
        <w:t xml:space="preserve">Histological Analysis Results of </w:t>
      </w:r>
      <w:r w:rsidR="00A83A1C" w:rsidRPr="001C44C7">
        <w:rPr>
          <w:rFonts w:ascii="Times New Roman" w:hAnsi="Times New Roman" w:cs="Times New Roman"/>
          <w:b/>
          <w:bCs/>
          <w:sz w:val="24"/>
          <w:szCs w:val="24"/>
        </w:rPr>
        <w:t>Liver</w:t>
      </w:r>
      <w:r w:rsidRPr="001C44C7">
        <w:rPr>
          <w:rFonts w:ascii="Times New Roman" w:hAnsi="Times New Roman" w:cs="Times New Roman"/>
          <w:b/>
          <w:bCs/>
          <w:sz w:val="24"/>
          <w:szCs w:val="24"/>
        </w:rPr>
        <w:t xml:space="preserve"> Tissues from the Different Rat Groups</w:t>
      </w:r>
    </w:p>
    <w:p w14:paraId="09FFF399" w14:textId="71E0DC75" w:rsidR="00A83A1C" w:rsidRPr="001C44C7" w:rsidRDefault="00A83A1C" w:rsidP="00915B45">
      <w:pPr>
        <w:spacing w:after="0" w:line="240" w:lineRule="auto"/>
        <w:rPr>
          <w:rFonts w:ascii="Times New Roman" w:hAnsi="Times New Roman"/>
          <w:b/>
          <w:bCs/>
          <w:sz w:val="24"/>
          <w:szCs w:val="24"/>
        </w:rPr>
      </w:pPr>
      <w:r w:rsidRPr="001C44C7">
        <w:rPr>
          <w:rFonts w:ascii="Times New Roman" w:hAnsi="Times New Roman"/>
          <w:b/>
          <w:bCs/>
          <w:noProof/>
          <w:sz w:val="24"/>
          <w:szCs w:val="24"/>
        </w:rPr>
        <w:drawing>
          <wp:inline distT="0" distB="0" distL="0" distR="0" wp14:anchorId="64984566" wp14:editId="08B46B92">
            <wp:extent cx="5419725" cy="305625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contrast="10000"/>
                      <a:extLst>
                        <a:ext uri="{28A0092B-C50C-407E-A947-70E740481C1C}">
                          <a14:useLocalDpi xmlns:a14="http://schemas.microsoft.com/office/drawing/2010/main" val="0"/>
                        </a:ext>
                      </a:extLst>
                    </a:blip>
                    <a:srcRect l="26923" t="33618" r="25321" b="12536"/>
                    <a:stretch>
                      <a:fillRect/>
                    </a:stretch>
                  </pic:blipFill>
                  <pic:spPr bwMode="auto">
                    <a:xfrm>
                      <a:off x="0" y="0"/>
                      <a:ext cx="5419725" cy="3056255"/>
                    </a:xfrm>
                    <a:prstGeom prst="rect">
                      <a:avLst/>
                    </a:prstGeom>
                    <a:noFill/>
                    <a:ln w="9525">
                      <a:noFill/>
                      <a:miter lim="800000"/>
                      <a:headEnd/>
                      <a:tailEnd/>
                    </a:ln>
                  </pic:spPr>
                </pic:pic>
              </a:graphicData>
            </a:graphic>
          </wp:inline>
        </w:drawing>
      </w:r>
    </w:p>
    <w:p w14:paraId="70CCE9FF" w14:textId="1B926002" w:rsidR="00915B45" w:rsidRPr="001C44C7" w:rsidRDefault="00467AFF" w:rsidP="00915B45">
      <w:pPr>
        <w:spacing w:after="0" w:line="240" w:lineRule="auto"/>
        <w:jc w:val="both"/>
        <w:rPr>
          <w:rFonts w:ascii="Times New Roman" w:hAnsi="Times New Roman"/>
          <w:b/>
          <w:bCs/>
          <w:sz w:val="24"/>
          <w:szCs w:val="24"/>
        </w:rPr>
      </w:pPr>
      <w:r>
        <w:rPr>
          <w:rFonts w:ascii="Times New Roman" w:hAnsi="Times New Roman"/>
          <w:b/>
          <w:bCs/>
          <w:sz w:val="24"/>
          <w:szCs w:val="24"/>
        </w:rPr>
        <w:t xml:space="preserve">Pic 1. </w:t>
      </w:r>
      <w:r w:rsidR="00915B45" w:rsidRPr="001C44C7">
        <w:rPr>
          <w:rFonts w:ascii="Times New Roman" w:hAnsi="Times New Roman"/>
          <w:b/>
          <w:bCs/>
          <w:sz w:val="24"/>
          <w:szCs w:val="24"/>
        </w:rPr>
        <w:t>Group I Photomicrograph of the liver tissue showing well delineated hepatocytes, sinusoid with deposit, and congested central vein. H &amp; E</w:t>
      </w:r>
      <w:r w:rsidR="00B87EB5" w:rsidRPr="001C44C7">
        <w:rPr>
          <w:rFonts w:ascii="Times New Roman" w:hAnsi="Times New Roman"/>
          <w:b/>
          <w:bCs/>
          <w:sz w:val="24"/>
          <w:szCs w:val="24"/>
        </w:rPr>
        <w:t>;</w:t>
      </w:r>
      <w:r w:rsidR="00915B45" w:rsidRPr="001C44C7">
        <w:rPr>
          <w:rFonts w:ascii="Times New Roman" w:hAnsi="Times New Roman"/>
          <w:b/>
          <w:bCs/>
          <w:sz w:val="24"/>
          <w:szCs w:val="24"/>
        </w:rPr>
        <w:t xml:space="preserve"> X400</w:t>
      </w:r>
    </w:p>
    <w:p w14:paraId="17A6B07A" w14:textId="77777777" w:rsidR="00915B45" w:rsidRPr="001C44C7" w:rsidRDefault="00915B45" w:rsidP="00A83A1C">
      <w:pPr>
        <w:spacing w:line="480" w:lineRule="auto"/>
        <w:rPr>
          <w:rFonts w:ascii="Times New Roman" w:hAnsi="Times New Roman"/>
          <w:b/>
          <w:bCs/>
          <w:sz w:val="24"/>
          <w:szCs w:val="24"/>
        </w:rPr>
      </w:pPr>
    </w:p>
    <w:p w14:paraId="27013101" w14:textId="64D34263" w:rsidR="00A83A1C" w:rsidRPr="001C44C7" w:rsidRDefault="00A83A1C" w:rsidP="00E5684D">
      <w:pPr>
        <w:spacing w:after="0" w:line="240" w:lineRule="auto"/>
        <w:rPr>
          <w:rFonts w:ascii="Times New Roman" w:hAnsi="Times New Roman"/>
          <w:b/>
          <w:bCs/>
          <w:sz w:val="24"/>
          <w:szCs w:val="24"/>
        </w:rPr>
      </w:pPr>
      <w:r w:rsidRPr="001C44C7">
        <w:rPr>
          <w:rFonts w:ascii="Times New Roman" w:hAnsi="Times New Roman"/>
          <w:b/>
          <w:bCs/>
          <w:noProof/>
          <w:sz w:val="24"/>
          <w:szCs w:val="24"/>
        </w:rPr>
        <w:lastRenderedPageBreak/>
        <w:drawing>
          <wp:inline distT="0" distB="0" distL="0" distR="0" wp14:anchorId="03010938" wp14:editId="40ED930C">
            <wp:extent cx="5324475" cy="332673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27564" t="26781" r="29167" b="22222"/>
                    <a:stretch>
                      <a:fillRect/>
                    </a:stretch>
                  </pic:blipFill>
                  <pic:spPr bwMode="auto">
                    <a:xfrm>
                      <a:off x="0" y="0"/>
                      <a:ext cx="5335080" cy="3333359"/>
                    </a:xfrm>
                    <a:prstGeom prst="rect">
                      <a:avLst/>
                    </a:prstGeom>
                    <a:noFill/>
                    <a:ln w="9525">
                      <a:noFill/>
                      <a:miter lim="800000"/>
                      <a:headEnd/>
                      <a:tailEnd/>
                    </a:ln>
                  </pic:spPr>
                </pic:pic>
              </a:graphicData>
            </a:graphic>
          </wp:inline>
        </w:drawing>
      </w:r>
    </w:p>
    <w:p w14:paraId="2178AE13" w14:textId="12CC82FD" w:rsidR="00E5684D" w:rsidRPr="001C44C7" w:rsidRDefault="00467AFF" w:rsidP="00E5684D">
      <w:pPr>
        <w:spacing w:after="0" w:line="240" w:lineRule="auto"/>
        <w:jc w:val="both"/>
        <w:rPr>
          <w:rFonts w:ascii="Times New Roman" w:hAnsi="Times New Roman"/>
          <w:b/>
          <w:bCs/>
          <w:sz w:val="24"/>
          <w:szCs w:val="24"/>
        </w:rPr>
      </w:pPr>
      <w:r>
        <w:rPr>
          <w:rFonts w:ascii="Times New Roman" w:hAnsi="Times New Roman"/>
          <w:b/>
          <w:bCs/>
          <w:sz w:val="24"/>
          <w:szCs w:val="24"/>
        </w:rPr>
        <w:t xml:space="preserve">Pic 2. </w:t>
      </w:r>
      <w:r w:rsidR="00E5684D" w:rsidRPr="001C44C7">
        <w:rPr>
          <w:rFonts w:ascii="Times New Roman" w:hAnsi="Times New Roman"/>
          <w:b/>
          <w:bCs/>
          <w:sz w:val="24"/>
          <w:szCs w:val="24"/>
        </w:rPr>
        <w:t xml:space="preserve">Group II Photomicrograph showing diffused sinusoidal congestion, hypertrophied hepatocyte with active nuclei, presence of </w:t>
      </w:r>
      <w:proofErr w:type="spellStart"/>
      <w:r w:rsidR="00E5684D" w:rsidRPr="001C44C7">
        <w:rPr>
          <w:rFonts w:ascii="Times New Roman" w:hAnsi="Times New Roman"/>
          <w:b/>
          <w:bCs/>
          <w:sz w:val="24"/>
          <w:szCs w:val="24"/>
        </w:rPr>
        <w:t>kupffer</w:t>
      </w:r>
      <w:proofErr w:type="spellEnd"/>
      <w:r w:rsidR="00E5684D" w:rsidRPr="001C44C7">
        <w:rPr>
          <w:rFonts w:ascii="Times New Roman" w:hAnsi="Times New Roman"/>
          <w:b/>
          <w:bCs/>
          <w:sz w:val="24"/>
          <w:szCs w:val="24"/>
        </w:rPr>
        <w:t xml:space="preserve"> cells and lymphoid cells. Tissue microstructure appears edematous. H &amp; E, X400</w:t>
      </w:r>
    </w:p>
    <w:p w14:paraId="00B71C4D" w14:textId="0770A5F6" w:rsidR="00A83A1C" w:rsidRPr="001C44C7" w:rsidRDefault="00A83A1C" w:rsidP="00A83A1C">
      <w:pPr>
        <w:spacing w:line="240" w:lineRule="auto"/>
        <w:rPr>
          <w:rFonts w:ascii="Times New Roman" w:hAnsi="Times New Roman"/>
          <w:b/>
          <w:bCs/>
          <w:sz w:val="24"/>
          <w:szCs w:val="24"/>
        </w:rPr>
      </w:pPr>
    </w:p>
    <w:p w14:paraId="54ED2790" w14:textId="6ACC8BDA" w:rsidR="00A83A1C" w:rsidRPr="001C44C7" w:rsidRDefault="00A83A1C" w:rsidP="00E5684D">
      <w:pPr>
        <w:spacing w:after="0" w:line="240" w:lineRule="auto"/>
        <w:rPr>
          <w:rFonts w:ascii="Times New Roman" w:hAnsi="Times New Roman"/>
          <w:b/>
          <w:bCs/>
          <w:sz w:val="24"/>
          <w:szCs w:val="24"/>
        </w:rPr>
      </w:pPr>
      <w:r w:rsidRPr="001C44C7">
        <w:rPr>
          <w:rFonts w:ascii="Times New Roman" w:hAnsi="Times New Roman"/>
          <w:b/>
          <w:bCs/>
          <w:noProof/>
          <w:sz w:val="24"/>
          <w:szCs w:val="24"/>
        </w:rPr>
        <w:drawing>
          <wp:inline distT="0" distB="0" distL="0" distR="0" wp14:anchorId="6C4CB816" wp14:editId="6C21C9E2">
            <wp:extent cx="5808980" cy="3095625"/>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l="26122" t="32194" r="23718" b="18803"/>
                    <a:stretch>
                      <a:fillRect/>
                    </a:stretch>
                  </pic:blipFill>
                  <pic:spPr bwMode="auto">
                    <a:xfrm>
                      <a:off x="0" y="0"/>
                      <a:ext cx="5809427" cy="3095863"/>
                    </a:xfrm>
                    <a:prstGeom prst="rect">
                      <a:avLst/>
                    </a:prstGeom>
                    <a:noFill/>
                    <a:ln w="9525">
                      <a:noFill/>
                      <a:miter lim="800000"/>
                      <a:headEnd/>
                      <a:tailEnd/>
                    </a:ln>
                  </pic:spPr>
                </pic:pic>
              </a:graphicData>
            </a:graphic>
          </wp:inline>
        </w:drawing>
      </w:r>
    </w:p>
    <w:p w14:paraId="3EF65965" w14:textId="0AE56352" w:rsidR="00E5684D" w:rsidRPr="001C44C7" w:rsidRDefault="00467AFF" w:rsidP="00E5684D">
      <w:pPr>
        <w:spacing w:after="0" w:line="240" w:lineRule="auto"/>
        <w:jc w:val="both"/>
        <w:rPr>
          <w:rFonts w:ascii="Times New Roman" w:hAnsi="Times New Roman"/>
          <w:b/>
          <w:bCs/>
          <w:sz w:val="24"/>
          <w:szCs w:val="24"/>
        </w:rPr>
      </w:pPr>
      <w:r w:rsidRPr="00467AFF">
        <w:rPr>
          <w:rFonts w:ascii="Times New Roman" w:hAnsi="Times New Roman"/>
          <w:b/>
          <w:bCs/>
          <w:sz w:val="24"/>
          <w:szCs w:val="24"/>
        </w:rPr>
        <w:t xml:space="preserve">Pic </w:t>
      </w:r>
      <w:r>
        <w:rPr>
          <w:rFonts w:ascii="Times New Roman" w:hAnsi="Times New Roman"/>
          <w:b/>
          <w:bCs/>
          <w:sz w:val="24"/>
          <w:szCs w:val="24"/>
        </w:rPr>
        <w:t>3</w:t>
      </w:r>
      <w:r w:rsidRPr="00467AFF">
        <w:rPr>
          <w:rFonts w:ascii="Times New Roman" w:hAnsi="Times New Roman"/>
          <w:b/>
          <w:bCs/>
          <w:sz w:val="24"/>
          <w:szCs w:val="24"/>
        </w:rPr>
        <w:t xml:space="preserve">. </w:t>
      </w:r>
      <w:r w:rsidR="00E5684D" w:rsidRPr="001C44C7">
        <w:rPr>
          <w:rFonts w:ascii="Times New Roman" w:hAnsi="Times New Roman"/>
          <w:b/>
          <w:bCs/>
          <w:sz w:val="24"/>
          <w:szCs w:val="24"/>
        </w:rPr>
        <w:t>Group III Photomicrograph of liver tissue showing degenerating hepatocytes in radiating core, lymphoid cells in sinusoids. There is mild deposit in central vein as well as perivascular distortion. Tissue shows distortion of microstructure. H &amp; E, X400</w:t>
      </w:r>
    </w:p>
    <w:p w14:paraId="2973CC4F" w14:textId="77777777" w:rsidR="00A83A1C" w:rsidRPr="001C44C7" w:rsidRDefault="00A83A1C" w:rsidP="00A83A1C">
      <w:pPr>
        <w:spacing w:after="0" w:line="240" w:lineRule="auto"/>
        <w:jc w:val="both"/>
        <w:rPr>
          <w:rFonts w:ascii="Times New Roman" w:hAnsi="Times New Roman"/>
          <w:b/>
          <w:bCs/>
          <w:sz w:val="24"/>
          <w:szCs w:val="24"/>
        </w:rPr>
      </w:pPr>
    </w:p>
    <w:p w14:paraId="64DC9269" w14:textId="77777777" w:rsidR="00E5684D" w:rsidRPr="001C44C7" w:rsidRDefault="00E5684D" w:rsidP="00915B45">
      <w:pPr>
        <w:spacing w:after="0" w:line="240" w:lineRule="auto"/>
        <w:jc w:val="both"/>
        <w:rPr>
          <w:rFonts w:ascii="Times New Roman" w:hAnsi="Times New Roman"/>
          <w:b/>
          <w:bCs/>
          <w:sz w:val="24"/>
          <w:szCs w:val="24"/>
        </w:rPr>
      </w:pPr>
    </w:p>
    <w:p w14:paraId="2E07F4EA" w14:textId="77777777" w:rsidR="00915B45" w:rsidRPr="001C44C7" w:rsidRDefault="00915B45" w:rsidP="00E5684D">
      <w:pPr>
        <w:spacing w:after="0" w:line="240" w:lineRule="auto"/>
        <w:jc w:val="both"/>
        <w:rPr>
          <w:rFonts w:ascii="Times New Roman" w:hAnsi="Times New Roman"/>
          <w:b/>
          <w:bCs/>
          <w:sz w:val="24"/>
          <w:szCs w:val="24"/>
        </w:rPr>
      </w:pPr>
      <w:r w:rsidRPr="001C44C7">
        <w:rPr>
          <w:rFonts w:ascii="Times New Roman" w:hAnsi="Times New Roman"/>
          <w:b/>
          <w:bCs/>
          <w:noProof/>
          <w:sz w:val="24"/>
          <w:szCs w:val="24"/>
        </w:rPr>
        <w:lastRenderedPageBreak/>
        <w:drawing>
          <wp:inline distT="0" distB="0" distL="0" distR="0" wp14:anchorId="4E0EF2E9" wp14:editId="402B5118">
            <wp:extent cx="5314950" cy="31248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l="25801" t="26496" r="25962" b="23077"/>
                    <a:stretch>
                      <a:fillRect/>
                    </a:stretch>
                  </pic:blipFill>
                  <pic:spPr bwMode="auto">
                    <a:xfrm>
                      <a:off x="0" y="0"/>
                      <a:ext cx="5314950" cy="3124835"/>
                    </a:xfrm>
                    <a:prstGeom prst="rect">
                      <a:avLst/>
                    </a:prstGeom>
                    <a:noFill/>
                    <a:ln w="9525">
                      <a:noFill/>
                      <a:miter lim="800000"/>
                      <a:headEnd/>
                      <a:tailEnd/>
                    </a:ln>
                  </pic:spPr>
                </pic:pic>
              </a:graphicData>
            </a:graphic>
          </wp:inline>
        </w:drawing>
      </w:r>
    </w:p>
    <w:p w14:paraId="0572AA69" w14:textId="65745BE6" w:rsidR="00A83A1C" w:rsidRPr="001C44C7" w:rsidRDefault="00467AFF" w:rsidP="00E5684D">
      <w:pPr>
        <w:spacing w:after="0" w:line="240" w:lineRule="auto"/>
        <w:jc w:val="both"/>
        <w:rPr>
          <w:rFonts w:ascii="Times New Roman" w:hAnsi="Times New Roman"/>
          <w:b/>
          <w:bCs/>
          <w:sz w:val="24"/>
          <w:szCs w:val="24"/>
        </w:rPr>
      </w:pPr>
      <w:r w:rsidRPr="00467AFF">
        <w:rPr>
          <w:rFonts w:ascii="Times New Roman" w:hAnsi="Times New Roman"/>
          <w:b/>
          <w:bCs/>
          <w:sz w:val="24"/>
          <w:szCs w:val="24"/>
        </w:rPr>
        <w:t xml:space="preserve">Pic </w:t>
      </w:r>
      <w:r>
        <w:rPr>
          <w:rFonts w:ascii="Times New Roman" w:hAnsi="Times New Roman"/>
          <w:b/>
          <w:bCs/>
          <w:sz w:val="24"/>
          <w:szCs w:val="24"/>
        </w:rPr>
        <w:t>4</w:t>
      </w:r>
      <w:r w:rsidRPr="00467AFF">
        <w:rPr>
          <w:rFonts w:ascii="Times New Roman" w:hAnsi="Times New Roman"/>
          <w:b/>
          <w:bCs/>
          <w:sz w:val="24"/>
          <w:szCs w:val="24"/>
        </w:rPr>
        <w:t xml:space="preserve">. </w:t>
      </w:r>
      <w:r w:rsidR="00915B45" w:rsidRPr="001C44C7">
        <w:rPr>
          <w:rFonts w:ascii="Times New Roman" w:hAnsi="Times New Roman"/>
          <w:b/>
          <w:bCs/>
          <w:sz w:val="24"/>
          <w:szCs w:val="24"/>
        </w:rPr>
        <w:t>Group IV</w:t>
      </w:r>
      <w:r w:rsidR="00A83A1C" w:rsidRPr="001C44C7">
        <w:rPr>
          <w:rFonts w:ascii="Times New Roman" w:hAnsi="Times New Roman"/>
          <w:b/>
          <w:bCs/>
          <w:sz w:val="24"/>
          <w:szCs w:val="24"/>
        </w:rPr>
        <w:t xml:space="preserve"> Photomicrograph of the liver tissue showing hypertrophied hepatocytes in radiating core, diffused congestion of sinusoid (edema) and congested central vein. Tissue distortion is indicated. H &amp; E, X400</w:t>
      </w:r>
    </w:p>
    <w:p w14:paraId="5062ECAE" w14:textId="77777777" w:rsidR="00E5684D" w:rsidRPr="001C44C7" w:rsidRDefault="00E5684D" w:rsidP="00A83A1C">
      <w:pPr>
        <w:spacing w:line="480" w:lineRule="auto"/>
        <w:rPr>
          <w:rFonts w:ascii="Times New Roman" w:hAnsi="Times New Roman"/>
          <w:b/>
          <w:bCs/>
          <w:sz w:val="24"/>
          <w:szCs w:val="24"/>
        </w:rPr>
      </w:pPr>
    </w:p>
    <w:p w14:paraId="79CD7944" w14:textId="088AD03A" w:rsidR="00A83A1C" w:rsidRPr="001C44C7" w:rsidRDefault="00A83A1C" w:rsidP="00E5684D">
      <w:pPr>
        <w:spacing w:after="0" w:line="240" w:lineRule="auto"/>
        <w:rPr>
          <w:rFonts w:ascii="Times New Roman" w:hAnsi="Times New Roman"/>
          <w:b/>
          <w:bCs/>
          <w:sz w:val="24"/>
          <w:szCs w:val="24"/>
        </w:rPr>
      </w:pPr>
      <w:r w:rsidRPr="001C44C7">
        <w:rPr>
          <w:rFonts w:ascii="Times New Roman" w:hAnsi="Times New Roman"/>
          <w:b/>
          <w:bCs/>
          <w:noProof/>
          <w:sz w:val="24"/>
          <w:szCs w:val="24"/>
        </w:rPr>
        <w:drawing>
          <wp:inline distT="0" distB="0" distL="0" distR="0" wp14:anchorId="769812F2" wp14:editId="7C407D0A">
            <wp:extent cx="5715000" cy="31711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l="25801" t="29630" r="21635" b="18518"/>
                    <a:stretch>
                      <a:fillRect/>
                    </a:stretch>
                  </pic:blipFill>
                  <pic:spPr bwMode="auto">
                    <a:xfrm>
                      <a:off x="0" y="0"/>
                      <a:ext cx="5722760" cy="3175435"/>
                    </a:xfrm>
                    <a:prstGeom prst="rect">
                      <a:avLst/>
                    </a:prstGeom>
                    <a:noFill/>
                    <a:ln w="9525">
                      <a:noFill/>
                      <a:miter lim="800000"/>
                      <a:headEnd/>
                      <a:tailEnd/>
                    </a:ln>
                  </pic:spPr>
                </pic:pic>
              </a:graphicData>
            </a:graphic>
          </wp:inline>
        </w:drawing>
      </w:r>
    </w:p>
    <w:p w14:paraId="05C89963" w14:textId="203B8472" w:rsidR="00E5684D" w:rsidRPr="001C44C7" w:rsidRDefault="00CF6FF8" w:rsidP="00E5684D">
      <w:pPr>
        <w:spacing w:after="0" w:line="240" w:lineRule="auto"/>
        <w:jc w:val="both"/>
        <w:rPr>
          <w:rFonts w:ascii="Times New Roman" w:hAnsi="Times New Roman"/>
          <w:b/>
          <w:bCs/>
          <w:sz w:val="24"/>
          <w:szCs w:val="24"/>
        </w:rPr>
      </w:pPr>
      <w:r w:rsidRPr="00CF6FF8">
        <w:rPr>
          <w:rFonts w:ascii="Times New Roman" w:hAnsi="Times New Roman"/>
          <w:b/>
          <w:bCs/>
          <w:sz w:val="24"/>
          <w:szCs w:val="24"/>
        </w:rPr>
        <w:t>Pic</w:t>
      </w:r>
      <w:r>
        <w:rPr>
          <w:rFonts w:ascii="Times New Roman" w:hAnsi="Times New Roman"/>
          <w:b/>
          <w:bCs/>
          <w:sz w:val="24"/>
          <w:szCs w:val="24"/>
        </w:rPr>
        <w:t xml:space="preserve"> 5</w:t>
      </w:r>
      <w:r w:rsidRPr="00CF6FF8">
        <w:rPr>
          <w:rFonts w:ascii="Times New Roman" w:hAnsi="Times New Roman"/>
          <w:b/>
          <w:bCs/>
          <w:sz w:val="24"/>
          <w:szCs w:val="24"/>
        </w:rPr>
        <w:t xml:space="preserve">. </w:t>
      </w:r>
      <w:r w:rsidR="00E5684D" w:rsidRPr="001C44C7">
        <w:rPr>
          <w:rFonts w:ascii="Times New Roman" w:hAnsi="Times New Roman"/>
          <w:b/>
          <w:bCs/>
          <w:sz w:val="24"/>
          <w:szCs w:val="24"/>
        </w:rPr>
        <w:t xml:space="preserve">Group V Photomicrograph showing diffused sinusoidal congestion (edema), degenerating hepatocyte with active nuclei, presence of </w:t>
      </w:r>
      <w:proofErr w:type="spellStart"/>
      <w:r w:rsidR="00E5684D" w:rsidRPr="001C44C7">
        <w:rPr>
          <w:rFonts w:ascii="Times New Roman" w:hAnsi="Times New Roman"/>
          <w:b/>
          <w:bCs/>
          <w:sz w:val="24"/>
          <w:szCs w:val="24"/>
        </w:rPr>
        <w:t>kupffer</w:t>
      </w:r>
      <w:proofErr w:type="spellEnd"/>
      <w:r w:rsidR="00E5684D" w:rsidRPr="001C44C7">
        <w:rPr>
          <w:rFonts w:ascii="Times New Roman" w:hAnsi="Times New Roman"/>
          <w:b/>
          <w:bCs/>
          <w:sz w:val="24"/>
          <w:szCs w:val="24"/>
        </w:rPr>
        <w:t xml:space="preserve"> cells and lymphoid cells. Tissue microstructure appears edematous. H &amp; E, X400</w:t>
      </w:r>
    </w:p>
    <w:p w14:paraId="37DE7AA1" w14:textId="77777777" w:rsidR="00E5684D" w:rsidRPr="001C44C7" w:rsidRDefault="00E5684D" w:rsidP="00A83A1C">
      <w:pPr>
        <w:spacing w:line="480" w:lineRule="auto"/>
        <w:rPr>
          <w:rFonts w:ascii="Times New Roman" w:hAnsi="Times New Roman"/>
          <w:b/>
          <w:bCs/>
          <w:sz w:val="24"/>
          <w:szCs w:val="24"/>
        </w:rPr>
      </w:pPr>
    </w:p>
    <w:p w14:paraId="1297E0F2" w14:textId="49CC2619" w:rsidR="00A83A1C" w:rsidRPr="001C44C7" w:rsidRDefault="00A83A1C" w:rsidP="00E5684D">
      <w:pPr>
        <w:spacing w:after="0" w:line="240" w:lineRule="auto"/>
        <w:rPr>
          <w:rFonts w:ascii="Times New Roman" w:hAnsi="Times New Roman"/>
          <w:b/>
          <w:bCs/>
          <w:sz w:val="24"/>
          <w:szCs w:val="24"/>
        </w:rPr>
      </w:pPr>
      <w:r w:rsidRPr="001C44C7">
        <w:rPr>
          <w:rFonts w:ascii="Times New Roman" w:hAnsi="Times New Roman"/>
          <w:b/>
          <w:bCs/>
          <w:noProof/>
          <w:sz w:val="24"/>
          <w:szCs w:val="24"/>
        </w:rPr>
        <w:lastRenderedPageBreak/>
        <w:drawing>
          <wp:inline distT="0" distB="0" distL="0" distR="0" wp14:anchorId="18ABB585" wp14:editId="75D80389">
            <wp:extent cx="5553075" cy="32260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l="25961" t="24501" r="23558" b="23362"/>
                    <a:stretch>
                      <a:fillRect/>
                    </a:stretch>
                  </pic:blipFill>
                  <pic:spPr bwMode="auto">
                    <a:xfrm>
                      <a:off x="0" y="0"/>
                      <a:ext cx="5578664" cy="3240939"/>
                    </a:xfrm>
                    <a:prstGeom prst="rect">
                      <a:avLst/>
                    </a:prstGeom>
                    <a:noFill/>
                    <a:ln w="9525">
                      <a:noFill/>
                      <a:miter lim="800000"/>
                      <a:headEnd/>
                      <a:tailEnd/>
                    </a:ln>
                  </pic:spPr>
                </pic:pic>
              </a:graphicData>
            </a:graphic>
          </wp:inline>
        </w:drawing>
      </w:r>
    </w:p>
    <w:p w14:paraId="2B4D4A09" w14:textId="7F01231A" w:rsidR="00E5684D" w:rsidRPr="001C44C7" w:rsidRDefault="00CF6FF8" w:rsidP="00E5684D">
      <w:pPr>
        <w:spacing w:after="0" w:line="240" w:lineRule="auto"/>
        <w:jc w:val="both"/>
        <w:rPr>
          <w:rFonts w:ascii="Times New Roman" w:hAnsi="Times New Roman"/>
          <w:b/>
          <w:bCs/>
          <w:sz w:val="24"/>
          <w:szCs w:val="24"/>
        </w:rPr>
      </w:pPr>
      <w:r w:rsidRPr="00CF6FF8">
        <w:rPr>
          <w:rFonts w:ascii="Times New Roman" w:hAnsi="Times New Roman"/>
          <w:b/>
          <w:bCs/>
          <w:sz w:val="24"/>
          <w:szCs w:val="24"/>
        </w:rPr>
        <w:t xml:space="preserve">Pic </w:t>
      </w:r>
      <w:r>
        <w:rPr>
          <w:rFonts w:ascii="Times New Roman" w:hAnsi="Times New Roman"/>
          <w:b/>
          <w:bCs/>
          <w:sz w:val="24"/>
          <w:szCs w:val="24"/>
        </w:rPr>
        <w:t xml:space="preserve">6. </w:t>
      </w:r>
      <w:r w:rsidR="00E5684D" w:rsidRPr="001C44C7">
        <w:rPr>
          <w:rFonts w:ascii="Times New Roman" w:hAnsi="Times New Roman"/>
          <w:b/>
          <w:bCs/>
          <w:sz w:val="24"/>
          <w:szCs w:val="24"/>
        </w:rPr>
        <w:t>Group VI: Photomicrograph of the liver tissue showing degenerating hepatocytes, lymphoid and blood cells deposit in dilated sinusoids. The central vein is also congested. Distortion of tissue microstructure is indicated. H &amp; E, X400</w:t>
      </w:r>
    </w:p>
    <w:p w14:paraId="5FF078E9" w14:textId="77777777" w:rsidR="00E5684D" w:rsidRPr="001C44C7" w:rsidRDefault="00E5684D" w:rsidP="007E2AFA">
      <w:pPr>
        <w:spacing w:before="100" w:beforeAutospacing="1" w:after="100" w:afterAutospacing="1" w:line="240" w:lineRule="auto"/>
        <w:jc w:val="both"/>
        <w:rPr>
          <w:rFonts w:ascii="Times New Roman" w:hAnsi="Times New Roman"/>
          <w:b/>
          <w:bCs/>
          <w:sz w:val="24"/>
          <w:szCs w:val="24"/>
        </w:rPr>
      </w:pPr>
    </w:p>
    <w:p w14:paraId="799C0C06" w14:textId="5FF0CF16" w:rsidR="007E2AFA" w:rsidRPr="001C44C7" w:rsidRDefault="00CB33AA" w:rsidP="007E2AFA">
      <w:pPr>
        <w:spacing w:before="100" w:beforeAutospacing="1" w:after="100" w:afterAutospacing="1" w:line="240" w:lineRule="auto"/>
        <w:jc w:val="both"/>
        <w:rPr>
          <w:rFonts w:ascii="Times New Roman" w:hAnsi="Times New Roman" w:cs="Times New Roman"/>
          <w:b/>
          <w:bCs/>
          <w:sz w:val="28"/>
          <w:szCs w:val="28"/>
        </w:rPr>
      </w:pPr>
      <w:r w:rsidRPr="001C44C7">
        <w:rPr>
          <w:rFonts w:ascii="Times New Roman" w:hAnsi="Times New Roman" w:cs="Times New Roman"/>
          <w:b/>
          <w:bCs/>
          <w:sz w:val="28"/>
          <w:szCs w:val="28"/>
        </w:rPr>
        <w:t>Discussion</w:t>
      </w:r>
    </w:p>
    <w:p w14:paraId="2249D01D" w14:textId="203416DB" w:rsidR="0094458E" w:rsidRPr="001C44C7" w:rsidRDefault="007E2AFA" w:rsidP="007E2AFA">
      <w:pPr>
        <w:pStyle w:val="NormalWeb"/>
        <w:jc w:val="both"/>
      </w:pPr>
      <w:r w:rsidRPr="001C44C7">
        <w:t xml:space="preserve">This study aimed to investigate </w:t>
      </w:r>
      <w:r w:rsidR="0094458E" w:rsidRPr="001C44C7">
        <w:t>assessment of the hepatotoxic effects of sodium benzoate, ascorbic acid, and their combined administration in albino rats</w:t>
      </w:r>
      <w:r w:rsidRPr="001C44C7">
        <w:t>.</w:t>
      </w:r>
      <w:r w:rsidR="0094458E" w:rsidRPr="001C44C7">
        <w:t xml:space="preserve"> </w:t>
      </w:r>
      <w:r w:rsidRPr="001C44C7">
        <w:t xml:space="preserve">The acute toxicity study results in this research reveal the effects of sodium benzoate on the health of albino rats at different doses. The administration of 700 mg/kg of sodium benzoate led to visible signs of toxicity, including wounds, lesions, and reduced activity in the rats, although no fatalities occurred. In contrast, a lower dose of 300 mg/kg did not result in any observable toxicity or mortality. The lesions and reduced activity observed in the higher dose group indicate that sodium benzoate may induce a stress response or organ-specific damage, such as skin and muscle toxicity, although the absence of fatalities suggests that the overall survival of the rats was not compromised at this dosage. </w:t>
      </w:r>
    </w:p>
    <w:p w14:paraId="3EBE198A" w14:textId="1E15C57B" w:rsidR="0070454B" w:rsidRPr="001C44C7"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1C44C7">
        <w:rPr>
          <w:rFonts w:ascii="Times New Roman" w:eastAsia="Times New Roman" w:hAnsi="Times New Roman" w:cs="Times New Roman"/>
          <w:sz w:val="24"/>
          <w:szCs w:val="24"/>
          <w14:ligatures w14:val="none"/>
        </w:rPr>
        <w:t>The total bilirubin level was highest in Group III (240 mg/kg sodium benzoate, high dose). This increase in bilirubin levels suggests possible hepatocellular injury or obstruction of bile flow, which is consistent with reports of liver toxicity caused by various substances</w:t>
      </w:r>
      <w:r w:rsidR="0010433F" w:rsidRPr="001C44C7">
        <w:rPr>
          <w:rFonts w:ascii="Times New Roman" w:eastAsia="Times New Roman" w:hAnsi="Times New Roman" w:cs="Times New Roman"/>
          <w:sz w:val="24"/>
          <w:szCs w:val="24"/>
          <w14:ligatures w14:val="none"/>
        </w:rPr>
        <w:t xml:space="preserve"> [13]</w:t>
      </w:r>
      <w:r w:rsidRPr="001C44C7">
        <w:rPr>
          <w:rFonts w:ascii="Times New Roman" w:eastAsia="Times New Roman" w:hAnsi="Times New Roman" w:cs="Times New Roman"/>
          <w:sz w:val="24"/>
          <w:szCs w:val="24"/>
          <w14:ligatures w14:val="none"/>
        </w:rPr>
        <w:t xml:space="preserve">. Bilirubin is a byproduct of </w:t>
      </w:r>
      <w:proofErr w:type="spellStart"/>
      <w:r w:rsidRPr="001C44C7">
        <w:rPr>
          <w:rFonts w:ascii="Times New Roman" w:eastAsia="Times New Roman" w:hAnsi="Times New Roman" w:cs="Times New Roman"/>
          <w:sz w:val="24"/>
          <w:szCs w:val="24"/>
          <w14:ligatures w14:val="none"/>
        </w:rPr>
        <w:t>haemoglobin</w:t>
      </w:r>
      <w:proofErr w:type="spellEnd"/>
      <w:r w:rsidRPr="001C44C7">
        <w:rPr>
          <w:rFonts w:ascii="Times New Roman" w:eastAsia="Times New Roman" w:hAnsi="Times New Roman" w:cs="Times New Roman"/>
          <w:sz w:val="24"/>
          <w:szCs w:val="24"/>
          <w14:ligatures w14:val="none"/>
        </w:rPr>
        <w:t xml:space="preserve"> degradation, and elevated levels often indicate liver dysfunction or bile duct obstruction </w:t>
      </w:r>
      <w:r w:rsidR="0010433F" w:rsidRPr="001C44C7">
        <w:rPr>
          <w:rFonts w:ascii="Times New Roman" w:eastAsia="Times New Roman" w:hAnsi="Times New Roman" w:cs="Times New Roman"/>
          <w:sz w:val="24"/>
          <w:szCs w:val="24"/>
          <w14:ligatures w14:val="none"/>
        </w:rPr>
        <w:t>[14].</w:t>
      </w:r>
      <w:r w:rsidRPr="001C44C7">
        <w:rPr>
          <w:rFonts w:ascii="Times New Roman" w:eastAsia="Times New Roman" w:hAnsi="Times New Roman" w:cs="Times New Roman"/>
          <w:sz w:val="24"/>
          <w:szCs w:val="24"/>
          <w14:ligatures w14:val="none"/>
        </w:rPr>
        <w:t xml:space="preserve"> The histological findings from Group III, showing degenerating hepatocytes and distortion of tissue microstructure, support these biochemical results, as liver damage typically correlates with elevated bilirubin levels. These findings align with those of </w:t>
      </w:r>
      <w:proofErr w:type="spellStart"/>
      <w:r w:rsidR="005A0844" w:rsidRPr="001C44C7">
        <w:rPr>
          <w:rFonts w:ascii="Times New Roman" w:hAnsi="Times New Roman" w:cs="Times New Roman"/>
          <w:sz w:val="24"/>
          <w:szCs w:val="24"/>
        </w:rPr>
        <w:t>Asejeje</w:t>
      </w:r>
      <w:proofErr w:type="spellEnd"/>
      <w:r w:rsidRPr="001C44C7">
        <w:rPr>
          <w:rFonts w:ascii="Times New Roman" w:eastAsia="Times New Roman" w:hAnsi="Times New Roman" w:cs="Times New Roman"/>
          <w:sz w:val="24"/>
          <w:szCs w:val="24"/>
          <w14:ligatures w14:val="none"/>
        </w:rPr>
        <w:t xml:space="preserve"> et al. </w:t>
      </w:r>
      <w:r w:rsidR="0010433F" w:rsidRPr="001C44C7">
        <w:rPr>
          <w:rFonts w:ascii="Times New Roman" w:eastAsia="Times New Roman" w:hAnsi="Times New Roman" w:cs="Times New Roman"/>
          <w:sz w:val="24"/>
          <w:szCs w:val="24"/>
          <w14:ligatures w14:val="none"/>
        </w:rPr>
        <w:t>[15]</w:t>
      </w:r>
      <w:r w:rsidRPr="001C44C7">
        <w:rPr>
          <w:rFonts w:ascii="Times New Roman" w:eastAsia="Times New Roman" w:hAnsi="Times New Roman" w:cs="Times New Roman"/>
          <w:sz w:val="24"/>
          <w:szCs w:val="24"/>
          <w14:ligatures w14:val="none"/>
        </w:rPr>
        <w:t>, who observed similar hepatotoxic effects from exposure to high doses of sodium benzoate</w:t>
      </w:r>
      <w:r w:rsidR="005A0844" w:rsidRPr="001C44C7">
        <w:rPr>
          <w:rFonts w:ascii="Times New Roman" w:eastAsia="Times New Roman" w:hAnsi="Times New Roman" w:cs="Times New Roman"/>
          <w:sz w:val="24"/>
          <w:szCs w:val="24"/>
          <w14:ligatures w14:val="none"/>
        </w:rPr>
        <w:t>.</w:t>
      </w:r>
    </w:p>
    <w:p w14:paraId="1DE68A8B" w14:textId="796DE0E5" w:rsidR="0070454B" w:rsidRPr="001C44C7"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1C44C7">
        <w:rPr>
          <w:rFonts w:ascii="Times New Roman" w:eastAsia="Times New Roman" w:hAnsi="Times New Roman" w:cs="Times New Roman"/>
          <w:sz w:val="24"/>
          <w:szCs w:val="24"/>
          <w14:ligatures w14:val="none"/>
        </w:rPr>
        <w:lastRenderedPageBreak/>
        <w:t xml:space="preserve">Direct bilirubin levels were also highest in Group III, significantly </w:t>
      </w:r>
      <w:r w:rsidR="005E2585" w:rsidRPr="001C44C7">
        <w:rPr>
          <w:rFonts w:ascii="Times New Roman" w:eastAsia="Times New Roman" w:hAnsi="Times New Roman" w:cs="Times New Roman"/>
          <w:sz w:val="24"/>
          <w:szCs w:val="24"/>
          <w14:ligatures w14:val="none"/>
        </w:rPr>
        <w:t>higher than</w:t>
      </w:r>
      <w:r w:rsidRPr="001C44C7">
        <w:rPr>
          <w:rFonts w:ascii="Times New Roman" w:eastAsia="Times New Roman" w:hAnsi="Times New Roman" w:cs="Times New Roman"/>
          <w:sz w:val="24"/>
          <w:szCs w:val="24"/>
          <w14:ligatures w14:val="none"/>
        </w:rPr>
        <w:t xml:space="preserve"> the values in all other groups. Direct bilirubin, which indicates conjugated bilirubin, is typically elevated in cases of obstructive or hepatocellular damage. The significant increase in direct bilirubin in Group III suggests that the hepatocytes in this group may have suffered from more severe injury, impairing their ability to process bilirubin effectively. The histopathological findings further confirm this, with Group III showing degenerating hepatocytes and perivascular distortion, which are signs of severe liver injury. These results are consistent with the study by </w:t>
      </w:r>
      <w:proofErr w:type="spellStart"/>
      <w:r w:rsidR="00CA5A22" w:rsidRPr="001C44C7">
        <w:rPr>
          <w:rFonts w:ascii="Times New Roman" w:hAnsi="Times New Roman" w:cs="Times New Roman"/>
          <w:sz w:val="24"/>
          <w:szCs w:val="24"/>
        </w:rPr>
        <w:t>Harb</w:t>
      </w:r>
      <w:proofErr w:type="spellEnd"/>
      <w:r w:rsidR="00CA5A22" w:rsidRPr="001C44C7">
        <w:rPr>
          <w:rFonts w:ascii="Times New Roman" w:hAnsi="Times New Roman" w:cs="Times New Roman"/>
          <w:sz w:val="24"/>
          <w:szCs w:val="24"/>
        </w:rPr>
        <w:t xml:space="preserve"> and Thomas</w:t>
      </w:r>
      <w:r w:rsidR="0010433F" w:rsidRPr="001C44C7">
        <w:rPr>
          <w:rFonts w:ascii="Times New Roman" w:eastAsia="Times New Roman" w:hAnsi="Times New Roman" w:cs="Times New Roman"/>
          <w:sz w:val="24"/>
          <w:szCs w:val="24"/>
          <w14:ligatures w14:val="none"/>
        </w:rPr>
        <w:t xml:space="preserve"> [16]</w:t>
      </w:r>
      <w:r w:rsidRPr="001C44C7">
        <w:rPr>
          <w:rFonts w:ascii="Times New Roman" w:eastAsia="Times New Roman" w:hAnsi="Times New Roman" w:cs="Times New Roman"/>
          <w:sz w:val="24"/>
          <w:szCs w:val="24"/>
          <w14:ligatures w14:val="none"/>
        </w:rPr>
        <w:t>, which demonstrated a direct correlation between hepatocellular damage and elevated direct bilirubin levels</w:t>
      </w:r>
      <w:r w:rsidR="00CA5A22" w:rsidRPr="001C44C7">
        <w:rPr>
          <w:rFonts w:ascii="Times New Roman" w:eastAsia="Times New Roman" w:hAnsi="Times New Roman" w:cs="Times New Roman"/>
          <w:sz w:val="24"/>
          <w:szCs w:val="24"/>
          <w14:ligatures w14:val="none"/>
        </w:rPr>
        <w:t>.</w:t>
      </w:r>
    </w:p>
    <w:p w14:paraId="305DADF2" w14:textId="10E6496D" w:rsidR="0070454B" w:rsidRPr="001C44C7"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1C44C7">
        <w:rPr>
          <w:rFonts w:ascii="Times New Roman" w:eastAsia="Times New Roman" w:hAnsi="Times New Roman" w:cs="Times New Roman"/>
          <w:sz w:val="24"/>
          <w:szCs w:val="24"/>
          <w14:ligatures w14:val="none"/>
        </w:rPr>
        <w:t>Interestingly, total protein and albumin levels did not show significant differences across the groups. These proteins are synthesized by the liver, and their levels often serve as indicators of liver function. The lack of significant changes suggests that while the liver was affected by the treatments, its ability to synthesize these proteins may not have been significantly impaired. This finding contrasts with some studies where liver dysfunction was accompanied by lower total protein and albumin levels</w:t>
      </w:r>
      <w:r w:rsidR="0010433F" w:rsidRPr="001C44C7">
        <w:rPr>
          <w:rFonts w:ascii="Times New Roman" w:eastAsia="Times New Roman" w:hAnsi="Times New Roman" w:cs="Times New Roman"/>
          <w:sz w:val="24"/>
          <w:szCs w:val="24"/>
          <w14:ligatures w14:val="none"/>
        </w:rPr>
        <w:t xml:space="preserve"> [17]</w:t>
      </w:r>
      <w:r w:rsidRPr="001C44C7">
        <w:rPr>
          <w:rFonts w:ascii="Times New Roman" w:eastAsia="Times New Roman" w:hAnsi="Times New Roman" w:cs="Times New Roman"/>
          <w:sz w:val="24"/>
          <w:szCs w:val="24"/>
          <w14:ligatures w14:val="none"/>
        </w:rPr>
        <w:t>. The absence of significant changes in these proteins may also reflect the compensatory mechanisms of the liver, where it might still produce proteins despite the damage, as shown in the relatively mild histological changes in some groups, such as Group IV and Group II, which showed less severe distortion of liver microstructure.</w:t>
      </w:r>
    </w:p>
    <w:p w14:paraId="14E6E047" w14:textId="0F9E49EF" w:rsidR="0070454B" w:rsidRPr="001C44C7"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1C44C7">
        <w:rPr>
          <w:rFonts w:ascii="Times New Roman" w:eastAsia="Times New Roman" w:hAnsi="Times New Roman" w:cs="Times New Roman"/>
          <w:sz w:val="24"/>
          <w:szCs w:val="24"/>
          <w14:ligatures w14:val="none"/>
        </w:rPr>
        <w:t xml:space="preserve">Turning to liver enzymes, AST levels did not show significant differences among the groups, suggesting that these treatments did not significantly impact the general liver integrity, at least in terms of AST release. AST is often used as an indicator of liver damage, but its level can also be influenced by other tissues, such as muscle. This could explain why AST levels did not significantly vary across the groups. However, ALT levels in Group VI (240 mg/kg sodium benzoate with 100 mg/kg vitamin C) were significantly higher compared to the other groups, indicating substantial liver cell injury since ALT is more liver-specific compared to AST. Elevated ALT levels in Group VI correspond to the histological observations of severe hepatocyte degeneration and distortion in this group, as shown by the photomicrographs where hepatocytes appear degenerated with congestion in the central vein. This finding supports the view that Group VI underwent significant liver damage, consistent with studies by </w:t>
      </w:r>
      <w:proofErr w:type="spellStart"/>
      <w:r w:rsidR="001172A1" w:rsidRPr="001C44C7">
        <w:rPr>
          <w:rFonts w:ascii="Times New Roman" w:hAnsi="Times New Roman" w:cs="Times New Roman"/>
          <w:sz w:val="24"/>
          <w:szCs w:val="24"/>
        </w:rPr>
        <w:t>Brauner</w:t>
      </w:r>
      <w:proofErr w:type="spellEnd"/>
      <w:r w:rsidRPr="001C44C7">
        <w:rPr>
          <w:rFonts w:ascii="Times New Roman" w:eastAsia="Times New Roman" w:hAnsi="Times New Roman" w:cs="Times New Roman"/>
          <w:sz w:val="24"/>
          <w:szCs w:val="24"/>
          <w14:ligatures w14:val="none"/>
        </w:rPr>
        <w:t xml:space="preserve"> et al.</w:t>
      </w:r>
      <w:r w:rsidR="001D7032" w:rsidRPr="001C44C7">
        <w:rPr>
          <w:rFonts w:ascii="Times New Roman" w:eastAsia="Times New Roman" w:hAnsi="Times New Roman" w:cs="Times New Roman"/>
          <w:sz w:val="24"/>
          <w:szCs w:val="24"/>
          <w14:ligatures w14:val="none"/>
        </w:rPr>
        <w:t xml:space="preserve"> </w:t>
      </w:r>
      <w:r w:rsidR="0010433F" w:rsidRPr="001C44C7">
        <w:rPr>
          <w:rFonts w:ascii="Times New Roman" w:eastAsia="Times New Roman" w:hAnsi="Times New Roman" w:cs="Times New Roman"/>
          <w:sz w:val="24"/>
          <w:szCs w:val="24"/>
          <w14:ligatures w14:val="none"/>
        </w:rPr>
        <w:t>[18]</w:t>
      </w:r>
      <w:r w:rsidRPr="001C44C7">
        <w:rPr>
          <w:rFonts w:ascii="Times New Roman" w:eastAsia="Times New Roman" w:hAnsi="Times New Roman" w:cs="Times New Roman"/>
          <w:sz w:val="24"/>
          <w:szCs w:val="24"/>
          <w14:ligatures w14:val="none"/>
        </w:rPr>
        <w:t>, who reported elevated ALT levels in rats exposed to hepatotoxic substances.</w:t>
      </w:r>
    </w:p>
    <w:p w14:paraId="7836C294" w14:textId="2DBFCC34" w:rsidR="0070454B" w:rsidRPr="001C44C7"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1C44C7">
        <w:rPr>
          <w:rFonts w:ascii="Times New Roman" w:eastAsia="Times New Roman" w:hAnsi="Times New Roman" w:cs="Times New Roman"/>
          <w:sz w:val="24"/>
          <w:szCs w:val="24"/>
          <w14:ligatures w14:val="none"/>
        </w:rPr>
        <w:t>ALP levels in Group II (120 mg/kg sodium benzoate, low dose) were significantly higher compared to Group V (120 mg/kg sodium benzoate with 100 mg/kg vitamin C). This suggests that Group II, exposed to the lower dose of sodium benzoate, may have experienced biliary tract or hepatobiliary dysfunction, as ALP is associated with bile duct activity. In contrast, the lower ALP levels in Group V may indicate less biliary involvement. The histological results from Group II, showing sinusoidal congestion, hypertrophied hepatocytes, and active nuclei, further suggest that liver damage in this group may be linked to cholestasis or bile duct obstruction, which often leads to an increase in ALP levels. These findings are consistent with research on bile duct-related hepatotoxicity</w:t>
      </w:r>
      <w:r w:rsidR="0010433F" w:rsidRPr="001C44C7">
        <w:rPr>
          <w:rFonts w:ascii="Times New Roman" w:eastAsia="Times New Roman" w:hAnsi="Times New Roman" w:cs="Times New Roman"/>
          <w:sz w:val="24"/>
          <w:szCs w:val="24"/>
          <w14:ligatures w14:val="none"/>
        </w:rPr>
        <w:t xml:space="preserve"> [19]</w:t>
      </w:r>
      <w:r w:rsidRPr="001C44C7">
        <w:rPr>
          <w:rFonts w:ascii="Times New Roman" w:eastAsia="Times New Roman" w:hAnsi="Times New Roman" w:cs="Times New Roman"/>
          <w:sz w:val="24"/>
          <w:szCs w:val="24"/>
          <w14:ligatures w14:val="none"/>
        </w:rPr>
        <w:t>.</w:t>
      </w:r>
    </w:p>
    <w:p w14:paraId="67D3B035" w14:textId="723788A6" w:rsidR="0070454B" w:rsidRPr="001C44C7" w:rsidRDefault="0070454B" w:rsidP="0070454B">
      <w:pPr>
        <w:spacing w:before="100" w:beforeAutospacing="1" w:after="100" w:afterAutospacing="1" w:line="240" w:lineRule="auto"/>
        <w:jc w:val="both"/>
        <w:rPr>
          <w:rFonts w:ascii="Times New Roman" w:eastAsia="Times New Roman" w:hAnsi="Times New Roman" w:cs="Times New Roman"/>
          <w:sz w:val="24"/>
          <w:szCs w:val="24"/>
          <w14:ligatures w14:val="none"/>
        </w:rPr>
      </w:pPr>
      <w:r w:rsidRPr="001C44C7">
        <w:rPr>
          <w:rFonts w:ascii="Times New Roman" w:eastAsia="Times New Roman" w:hAnsi="Times New Roman" w:cs="Times New Roman"/>
          <w:sz w:val="24"/>
          <w:szCs w:val="24"/>
          <w14:ligatures w14:val="none"/>
        </w:rPr>
        <w:t xml:space="preserve">Lastly, GGT levels did not differ significantly across the groups, suggesting that the treatments did not significantly impact liver function through mechanisms associated with GGT, which is primarily involved in the metabolism of glutathione and detoxification. The histological findings </w:t>
      </w:r>
      <w:r w:rsidRPr="001C44C7">
        <w:rPr>
          <w:rFonts w:ascii="Times New Roman" w:eastAsia="Times New Roman" w:hAnsi="Times New Roman" w:cs="Times New Roman"/>
          <w:sz w:val="24"/>
          <w:szCs w:val="24"/>
          <w14:ligatures w14:val="none"/>
        </w:rPr>
        <w:lastRenderedPageBreak/>
        <w:t>of sinusoidal congestion and hepatocyte degeneration in various groups, however, suggest that while GGT was not significantly altered, the liver cells may have still suffered from oxidative stress, which could affect glutathione metabolism indirectly.</w:t>
      </w:r>
    </w:p>
    <w:p w14:paraId="39B04EBB" w14:textId="0FDAD7D2" w:rsidR="007E2AFA" w:rsidRPr="001C44C7" w:rsidRDefault="00CB33AA" w:rsidP="00DF0C42">
      <w:pPr>
        <w:spacing w:before="100" w:beforeAutospacing="1" w:after="100" w:afterAutospacing="1" w:line="240" w:lineRule="auto"/>
        <w:jc w:val="both"/>
        <w:rPr>
          <w:rFonts w:ascii="Times New Roman" w:hAnsi="Times New Roman" w:cs="Times New Roman"/>
          <w:b/>
          <w:bCs/>
          <w:sz w:val="28"/>
          <w:szCs w:val="28"/>
        </w:rPr>
      </w:pPr>
      <w:r w:rsidRPr="001C44C7">
        <w:rPr>
          <w:rFonts w:ascii="Times New Roman" w:hAnsi="Times New Roman" w:cs="Times New Roman"/>
          <w:b/>
          <w:bCs/>
          <w:sz w:val="28"/>
          <w:szCs w:val="28"/>
        </w:rPr>
        <w:t xml:space="preserve">Conclusion </w:t>
      </w:r>
    </w:p>
    <w:p w14:paraId="1D58C0D1" w14:textId="59965C45" w:rsidR="00266C22" w:rsidRDefault="00953E6A" w:rsidP="007E2AFA">
      <w:pPr>
        <w:spacing w:before="100" w:beforeAutospacing="1" w:after="100" w:afterAutospacing="1" w:line="240" w:lineRule="auto"/>
        <w:jc w:val="both"/>
        <w:rPr>
          <w:rFonts w:ascii="Times New Roman" w:hAnsi="Times New Roman" w:cs="Times New Roman"/>
          <w:sz w:val="24"/>
          <w:szCs w:val="24"/>
        </w:rPr>
      </w:pPr>
      <w:r w:rsidRPr="001C44C7">
        <w:rPr>
          <w:rFonts w:ascii="Times New Roman" w:hAnsi="Times New Roman" w:cs="Times New Roman"/>
          <w:sz w:val="24"/>
          <w:szCs w:val="24"/>
        </w:rPr>
        <w:t xml:space="preserve">The biochemical and histological results reveal varying degrees of liver damage across the treatment conditions. High-dose sodium benzoate alone caused the most significant changes in bilirubin levels and severe hepatocellular injury. A combination of vitamin C and high-dose sodium benzoate also led to significant liver damage, as indicated by elevated ALT levels and histopathological changes. In contrast, the low dose of sodium benzoate alone resulted in biliary dysfunction, while the combination of low-dose sodium benzoate and vitamin C showed less severe liver damage. These findings suggest that preservatives like sodium benzoate, particularly at high doses, may worsen liver damage when combined with antioxidants like vitamin C. However, the lack of significant changes in total protein, albumin, and GGT levels suggests that while liver injury occurred, the overall synthetic and detoxifying functions </w:t>
      </w:r>
      <w:r w:rsidR="009426D0" w:rsidRPr="001C44C7">
        <w:rPr>
          <w:rFonts w:ascii="Times New Roman" w:hAnsi="Times New Roman" w:cs="Times New Roman"/>
          <w:sz w:val="24"/>
          <w:szCs w:val="24"/>
        </w:rPr>
        <w:t xml:space="preserve">of the liver </w:t>
      </w:r>
      <w:r w:rsidRPr="001C44C7">
        <w:rPr>
          <w:rFonts w:ascii="Times New Roman" w:hAnsi="Times New Roman" w:cs="Times New Roman"/>
          <w:sz w:val="24"/>
          <w:szCs w:val="24"/>
        </w:rPr>
        <w:t>may not have been entirely compromised.</w:t>
      </w:r>
    </w:p>
    <w:p w14:paraId="0B49CEA9" w14:textId="77777777" w:rsidR="00996AEE" w:rsidRDefault="00996AEE" w:rsidP="007E2AFA">
      <w:pPr>
        <w:spacing w:before="100" w:beforeAutospacing="1" w:after="100" w:afterAutospacing="1" w:line="240" w:lineRule="auto"/>
        <w:jc w:val="both"/>
        <w:rPr>
          <w:rFonts w:ascii="Times New Roman" w:hAnsi="Times New Roman" w:cs="Times New Roman"/>
          <w:sz w:val="24"/>
          <w:szCs w:val="24"/>
        </w:rPr>
      </w:pPr>
    </w:p>
    <w:p w14:paraId="6B21E648" w14:textId="77777777" w:rsidR="00996AEE" w:rsidRPr="00996AEE" w:rsidRDefault="00996AEE" w:rsidP="00996AEE">
      <w:pPr>
        <w:spacing w:before="100" w:beforeAutospacing="1" w:after="100" w:afterAutospacing="1" w:line="240" w:lineRule="auto"/>
        <w:jc w:val="both"/>
        <w:rPr>
          <w:rFonts w:ascii="Times New Roman" w:hAnsi="Times New Roman" w:cs="Times New Roman"/>
          <w:b/>
          <w:bCs/>
          <w:sz w:val="24"/>
          <w:szCs w:val="24"/>
        </w:rPr>
      </w:pPr>
      <w:r w:rsidRPr="00996AEE">
        <w:rPr>
          <w:rFonts w:ascii="Times New Roman" w:hAnsi="Times New Roman" w:cs="Times New Roman"/>
          <w:b/>
          <w:bCs/>
          <w:sz w:val="24"/>
          <w:szCs w:val="24"/>
        </w:rPr>
        <w:t>COMPETING INTERESTS DISCLAIMER:</w:t>
      </w:r>
    </w:p>
    <w:p w14:paraId="2BBF8818" w14:textId="0E8C40FC" w:rsidR="00996AEE" w:rsidRPr="001C44C7" w:rsidRDefault="00996AEE" w:rsidP="00996AEE">
      <w:pPr>
        <w:spacing w:before="100" w:beforeAutospacing="1" w:after="100" w:afterAutospacing="1" w:line="240" w:lineRule="auto"/>
        <w:jc w:val="both"/>
        <w:rPr>
          <w:rFonts w:ascii="Times New Roman" w:hAnsi="Times New Roman" w:cs="Times New Roman"/>
          <w:sz w:val="24"/>
          <w:szCs w:val="24"/>
        </w:rPr>
      </w:pPr>
      <w:r w:rsidRPr="00996AEE">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D18ED97" w14:textId="570CA6A3" w:rsidR="007E2AFA" w:rsidRPr="001C44C7" w:rsidRDefault="00266C22" w:rsidP="007E2AFA">
      <w:pPr>
        <w:spacing w:before="100" w:beforeAutospacing="1" w:after="100" w:afterAutospacing="1" w:line="240" w:lineRule="auto"/>
        <w:jc w:val="both"/>
        <w:rPr>
          <w:rFonts w:ascii="Times New Roman" w:hAnsi="Times New Roman" w:cs="Times New Roman"/>
          <w:b/>
          <w:bCs/>
          <w:sz w:val="28"/>
          <w:szCs w:val="28"/>
        </w:rPr>
      </w:pPr>
      <w:r w:rsidRPr="001C44C7">
        <w:rPr>
          <w:rFonts w:ascii="Times New Roman" w:hAnsi="Times New Roman" w:cs="Times New Roman"/>
          <w:b/>
          <w:bCs/>
          <w:sz w:val="28"/>
          <w:szCs w:val="28"/>
        </w:rPr>
        <w:t>References</w:t>
      </w:r>
    </w:p>
    <w:p w14:paraId="005F8CA8" w14:textId="77777777" w:rsidR="007E2AFA" w:rsidRPr="001C44C7"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1C44C7">
        <w:rPr>
          <w:rFonts w:ascii="Times New Roman" w:hAnsi="Times New Roman" w:cs="Times New Roman"/>
          <w:sz w:val="24"/>
          <w:szCs w:val="24"/>
        </w:rPr>
        <w:t>Femi-</w:t>
      </w:r>
      <w:proofErr w:type="spellStart"/>
      <w:r w:rsidRPr="001C44C7">
        <w:rPr>
          <w:rFonts w:ascii="Times New Roman" w:hAnsi="Times New Roman" w:cs="Times New Roman"/>
          <w:sz w:val="24"/>
          <w:szCs w:val="24"/>
        </w:rPr>
        <w:t>Oloye</w:t>
      </w:r>
      <w:proofErr w:type="spellEnd"/>
      <w:r w:rsidRPr="001C44C7">
        <w:rPr>
          <w:rFonts w:ascii="Times New Roman" w:hAnsi="Times New Roman" w:cs="Times New Roman"/>
          <w:sz w:val="24"/>
          <w:szCs w:val="24"/>
        </w:rPr>
        <w:t xml:space="preserve"> OP, Olatunji-</w:t>
      </w:r>
      <w:proofErr w:type="spellStart"/>
      <w:r w:rsidRPr="001C44C7">
        <w:rPr>
          <w:rFonts w:ascii="Times New Roman" w:hAnsi="Times New Roman" w:cs="Times New Roman"/>
          <w:sz w:val="24"/>
          <w:szCs w:val="24"/>
        </w:rPr>
        <w:t>Ojo</w:t>
      </w:r>
      <w:proofErr w:type="spellEnd"/>
      <w:r w:rsidRPr="001C44C7">
        <w:rPr>
          <w:rFonts w:ascii="Times New Roman" w:hAnsi="Times New Roman" w:cs="Times New Roman"/>
          <w:sz w:val="24"/>
          <w:szCs w:val="24"/>
        </w:rPr>
        <w:t xml:space="preserve"> AM, </w:t>
      </w:r>
      <w:proofErr w:type="spellStart"/>
      <w:r w:rsidRPr="001C44C7">
        <w:rPr>
          <w:rFonts w:ascii="Times New Roman" w:hAnsi="Times New Roman" w:cs="Times New Roman"/>
          <w:sz w:val="24"/>
          <w:szCs w:val="24"/>
        </w:rPr>
        <w:t>Owoloye</w:t>
      </w:r>
      <w:proofErr w:type="spellEnd"/>
      <w:r w:rsidRPr="001C44C7">
        <w:rPr>
          <w:rFonts w:ascii="Times New Roman" w:hAnsi="Times New Roman" w:cs="Times New Roman"/>
          <w:sz w:val="24"/>
          <w:szCs w:val="24"/>
        </w:rPr>
        <w:t xml:space="preserve"> A, </w:t>
      </w:r>
      <w:proofErr w:type="spellStart"/>
      <w:r w:rsidRPr="001C44C7">
        <w:rPr>
          <w:rFonts w:ascii="Times New Roman" w:hAnsi="Times New Roman" w:cs="Times New Roman"/>
          <w:sz w:val="24"/>
          <w:szCs w:val="24"/>
        </w:rPr>
        <w:t>Adewumi</w:t>
      </w:r>
      <w:proofErr w:type="spellEnd"/>
      <w:r w:rsidRPr="001C44C7">
        <w:rPr>
          <w:rFonts w:ascii="Times New Roman" w:hAnsi="Times New Roman" w:cs="Times New Roman"/>
          <w:sz w:val="24"/>
          <w:szCs w:val="24"/>
        </w:rPr>
        <w:t xml:space="preserve"> B, </w:t>
      </w:r>
      <w:proofErr w:type="spellStart"/>
      <w:r w:rsidRPr="001C44C7">
        <w:rPr>
          <w:rFonts w:ascii="Times New Roman" w:hAnsi="Times New Roman" w:cs="Times New Roman"/>
          <w:sz w:val="24"/>
          <w:szCs w:val="24"/>
        </w:rPr>
        <w:t>Ibitoye</w:t>
      </w:r>
      <w:proofErr w:type="spellEnd"/>
      <w:r w:rsidRPr="001C44C7">
        <w:rPr>
          <w:rFonts w:ascii="Times New Roman" w:hAnsi="Times New Roman" w:cs="Times New Roman"/>
          <w:sz w:val="24"/>
          <w:szCs w:val="24"/>
        </w:rPr>
        <w:t xml:space="preserve"> O, </w:t>
      </w:r>
      <w:proofErr w:type="spellStart"/>
      <w:r w:rsidRPr="001C44C7">
        <w:rPr>
          <w:rFonts w:ascii="Times New Roman" w:hAnsi="Times New Roman" w:cs="Times New Roman"/>
          <w:sz w:val="24"/>
          <w:szCs w:val="24"/>
        </w:rPr>
        <w:t>Oloye</w:t>
      </w:r>
      <w:proofErr w:type="spellEnd"/>
      <w:r w:rsidRPr="001C44C7">
        <w:rPr>
          <w:rFonts w:ascii="Times New Roman" w:hAnsi="Times New Roman" w:cs="Times New Roman"/>
          <w:sz w:val="24"/>
          <w:szCs w:val="24"/>
        </w:rPr>
        <w:t xml:space="preserve"> FF, et al. Studies on the effects of carbonated soft drink additives and simultaneous consumption of carbonated soft drink with ascorbic acid on histological parameters of male mice. Int J </w:t>
      </w:r>
      <w:proofErr w:type="spellStart"/>
      <w:r w:rsidRPr="001C44C7">
        <w:rPr>
          <w:rFonts w:ascii="Times New Roman" w:hAnsi="Times New Roman" w:cs="Times New Roman"/>
          <w:sz w:val="24"/>
          <w:szCs w:val="24"/>
        </w:rPr>
        <w:t>Biochem</w:t>
      </w:r>
      <w:proofErr w:type="spellEnd"/>
      <w:r w:rsidRPr="001C44C7">
        <w:rPr>
          <w:rFonts w:ascii="Times New Roman" w:hAnsi="Times New Roman" w:cs="Times New Roman"/>
          <w:sz w:val="24"/>
          <w:szCs w:val="24"/>
        </w:rPr>
        <w:t xml:space="preserve"> Res Rev. 2019;1(1):1–9.</w:t>
      </w:r>
    </w:p>
    <w:p w14:paraId="6CA3B17D" w14:textId="77777777" w:rsidR="007E2AFA" w:rsidRPr="001C44C7"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proofErr w:type="spellStart"/>
      <w:r w:rsidRPr="001C44C7">
        <w:rPr>
          <w:rFonts w:ascii="Times New Roman" w:hAnsi="Times New Roman" w:cs="Times New Roman"/>
          <w:sz w:val="24"/>
          <w:szCs w:val="24"/>
        </w:rPr>
        <w:t>Himani</w:t>
      </w:r>
      <w:proofErr w:type="spellEnd"/>
      <w:r w:rsidRPr="001C44C7">
        <w:rPr>
          <w:rFonts w:ascii="Times New Roman" w:hAnsi="Times New Roman" w:cs="Times New Roman"/>
          <w:sz w:val="24"/>
          <w:szCs w:val="24"/>
        </w:rPr>
        <w:t xml:space="preserve"> N, </w:t>
      </w:r>
      <w:proofErr w:type="spellStart"/>
      <w:r w:rsidRPr="001C44C7">
        <w:rPr>
          <w:rFonts w:ascii="Times New Roman" w:hAnsi="Times New Roman" w:cs="Times New Roman"/>
          <w:sz w:val="24"/>
          <w:szCs w:val="24"/>
        </w:rPr>
        <w:t>Mahawer</w:t>
      </w:r>
      <w:proofErr w:type="spellEnd"/>
      <w:r w:rsidRPr="001C44C7">
        <w:rPr>
          <w:rFonts w:ascii="Times New Roman" w:hAnsi="Times New Roman" w:cs="Times New Roman"/>
          <w:sz w:val="24"/>
          <w:szCs w:val="24"/>
        </w:rPr>
        <w:t xml:space="preserve"> SK, Arya S, Kumar R, Prakash O. Essential oil: Source of antioxidants and role in food preservation. Switzerland: Springer Nature; 2022.</w:t>
      </w:r>
    </w:p>
    <w:p w14:paraId="5EDD0BE9" w14:textId="77777777" w:rsidR="007E2AFA" w:rsidRPr="001C44C7"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proofErr w:type="spellStart"/>
      <w:r w:rsidRPr="001C44C7">
        <w:rPr>
          <w:rFonts w:ascii="Times New Roman" w:hAnsi="Times New Roman" w:cs="Times New Roman"/>
          <w:sz w:val="24"/>
          <w:szCs w:val="24"/>
        </w:rPr>
        <w:t>Bacak</w:t>
      </w:r>
      <w:proofErr w:type="spellEnd"/>
      <w:r w:rsidRPr="001C44C7">
        <w:rPr>
          <w:rFonts w:ascii="Times New Roman" w:hAnsi="Times New Roman" w:cs="Times New Roman"/>
          <w:sz w:val="24"/>
          <w:szCs w:val="24"/>
        </w:rPr>
        <w:t xml:space="preserve"> A. Acidity regulators, preservatives, and antioxidants. In: Advances in Dairy Products. New Jersey: Wiley; 2017. p. 117–31.</w:t>
      </w:r>
    </w:p>
    <w:p w14:paraId="611EC97A" w14:textId="77777777" w:rsidR="007E2AFA" w:rsidRPr="001C44C7"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proofErr w:type="spellStart"/>
      <w:r w:rsidRPr="001C44C7">
        <w:rPr>
          <w:rFonts w:ascii="Times New Roman" w:hAnsi="Times New Roman" w:cs="Times New Roman"/>
          <w:sz w:val="24"/>
          <w:szCs w:val="24"/>
        </w:rPr>
        <w:t>Heydaryinia</w:t>
      </w:r>
      <w:proofErr w:type="spellEnd"/>
      <w:r w:rsidRPr="001C44C7">
        <w:rPr>
          <w:rFonts w:ascii="Times New Roman" w:hAnsi="Times New Roman" w:cs="Times New Roman"/>
          <w:sz w:val="24"/>
          <w:szCs w:val="24"/>
        </w:rPr>
        <w:t xml:space="preserve"> A, </w:t>
      </w:r>
      <w:proofErr w:type="spellStart"/>
      <w:r w:rsidRPr="001C44C7">
        <w:rPr>
          <w:rFonts w:ascii="Times New Roman" w:hAnsi="Times New Roman" w:cs="Times New Roman"/>
          <w:sz w:val="24"/>
          <w:szCs w:val="24"/>
        </w:rPr>
        <w:t>Veissi</w:t>
      </w:r>
      <w:proofErr w:type="spellEnd"/>
      <w:r w:rsidRPr="001C44C7">
        <w:rPr>
          <w:rFonts w:ascii="Times New Roman" w:hAnsi="Times New Roman" w:cs="Times New Roman"/>
          <w:sz w:val="24"/>
          <w:szCs w:val="24"/>
        </w:rPr>
        <w:t xml:space="preserve"> M, </w:t>
      </w:r>
      <w:proofErr w:type="spellStart"/>
      <w:r w:rsidRPr="001C44C7">
        <w:rPr>
          <w:rFonts w:ascii="Times New Roman" w:hAnsi="Times New Roman" w:cs="Times New Roman"/>
          <w:sz w:val="24"/>
          <w:szCs w:val="24"/>
        </w:rPr>
        <w:t>Sadadi</w:t>
      </w:r>
      <w:proofErr w:type="spellEnd"/>
      <w:r w:rsidRPr="001C44C7">
        <w:rPr>
          <w:rFonts w:ascii="Times New Roman" w:hAnsi="Times New Roman" w:cs="Times New Roman"/>
          <w:sz w:val="24"/>
          <w:szCs w:val="24"/>
        </w:rPr>
        <w:t xml:space="preserve"> A. A comparative study of the effects of the two preservatives, sodium benzoate and potassium sorbate, on Aspergillus </w:t>
      </w:r>
      <w:proofErr w:type="spellStart"/>
      <w:r w:rsidRPr="001C44C7">
        <w:rPr>
          <w:rFonts w:ascii="Times New Roman" w:hAnsi="Times New Roman" w:cs="Times New Roman"/>
          <w:sz w:val="24"/>
          <w:szCs w:val="24"/>
        </w:rPr>
        <w:t>niger</w:t>
      </w:r>
      <w:proofErr w:type="spellEnd"/>
      <w:r w:rsidRPr="001C44C7">
        <w:rPr>
          <w:rFonts w:ascii="Times New Roman" w:hAnsi="Times New Roman" w:cs="Times New Roman"/>
          <w:sz w:val="24"/>
          <w:szCs w:val="24"/>
        </w:rPr>
        <w:t xml:space="preserve"> and Penicillium notatum. </w:t>
      </w:r>
      <w:proofErr w:type="spellStart"/>
      <w:r w:rsidRPr="001C44C7">
        <w:rPr>
          <w:rFonts w:ascii="Times New Roman" w:hAnsi="Times New Roman" w:cs="Times New Roman"/>
          <w:sz w:val="24"/>
          <w:szCs w:val="24"/>
        </w:rPr>
        <w:t>Jundishapur</w:t>
      </w:r>
      <w:proofErr w:type="spellEnd"/>
      <w:r w:rsidRPr="001C44C7">
        <w:rPr>
          <w:rFonts w:ascii="Times New Roman" w:hAnsi="Times New Roman" w:cs="Times New Roman"/>
          <w:sz w:val="24"/>
          <w:szCs w:val="24"/>
        </w:rPr>
        <w:t xml:space="preserve"> J Microbiol. 2011;4(4):301–7.</w:t>
      </w:r>
    </w:p>
    <w:p w14:paraId="7524335F" w14:textId="77777777" w:rsidR="007E2AFA" w:rsidRPr="001C44C7"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1C44C7">
        <w:rPr>
          <w:rFonts w:ascii="Times New Roman" w:hAnsi="Times New Roman" w:cs="Times New Roman"/>
          <w:sz w:val="24"/>
          <w:szCs w:val="24"/>
        </w:rPr>
        <w:t>Davidson PM, Taylor TM, David JR. Antimicrobials in food. Florida: CRC Press; 2021.</w:t>
      </w:r>
    </w:p>
    <w:p w14:paraId="08D3AC7D" w14:textId="77777777" w:rsidR="007E2AFA" w:rsidRPr="001C44C7"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1C44C7">
        <w:rPr>
          <w:rFonts w:ascii="Times New Roman" w:hAnsi="Times New Roman" w:cs="Times New Roman"/>
          <w:sz w:val="24"/>
          <w:szCs w:val="24"/>
        </w:rPr>
        <w:t>Walczak-</w:t>
      </w:r>
      <w:proofErr w:type="spellStart"/>
      <w:r w:rsidRPr="001C44C7">
        <w:rPr>
          <w:rFonts w:ascii="Times New Roman" w:hAnsi="Times New Roman" w:cs="Times New Roman"/>
          <w:sz w:val="24"/>
          <w:szCs w:val="24"/>
        </w:rPr>
        <w:t>Nowicka</w:t>
      </w:r>
      <w:proofErr w:type="spellEnd"/>
      <w:r w:rsidRPr="001C44C7">
        <w:rPr>
          <w:rFonts w:ascii="Times New Roman" w:hAnsi="Times New Roman" w:cs="Times New Roman"/>
          <w:sz w:val="24"/>
          <w:szCs w:val="24"/>
        </w:rPr>
        <w:t xml:space="preserve"> ŁJ, </w:t>
      </w:r>
      <w:proofErr w:type="spellStart"/>
      <w:r w:rsidRPr="001C44C7">
        <w:rPr>
          <w:rFonts w:ascii="Times New Roman" w:hAnsi="Times New Roman" w:cs="Times New Roman"/>
          <w:sz w:val="24"/>
          <w:szCs w:val="24"/>
        </w:rPr>
        <w:t>Herbet</w:t>
      </w:r>
      <w:proofErr w:type="spellEnd"/>
      <w:r w:rsidRPr="001C44C7">
        <w:rPr>
          <w:rFonts w:ascii="Times New Roman" w:hAnsi="Times New Roman" w:cs="Times New Roman"/>
          <w:sz w:val="24"/>
          <w:szCs w:val="24"/>
        </w:rPr>
        <w:t xml:space="preserve"> M. Sodium benzoate—harmfulness and potential use in therapies for disorders related to the nervous system: a review. Nutrients. 2022;14(7):1497–500.</w:t>
      </w:r>
    </w:p>
    <w:p w14:paraId="3B8CFD52" w14:textId="77777777" w:rsidR="007E2AFA" w:rsidRPr="001C44C7"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1C44C7">
        <w:rPr>
          <w:rFonts w:ascii="Times New Roman" w:hAnsi="Times New Roman" w:cs="Times New Roman"/>
          <w:sz w:val="24"/>
          <w:szCs w:val="24"/>
        </w:rPr>
        <w:t>Franco R, Navarro G, Martínez-Pinilla E. Antioxidants versus food antioxidant additives and food preservatives. Antioxidants (Basel). 2019;8(11):1–13.</w:t>
      </w:r>
    </w:p>
    <w:p w14:paraId="2ADEF853" w14:textId="77777777" w:rsidR="007E2AFA" w:rsidRPr="001C44C7"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1C44C7">
        <w:rPr>
          <w:rFonts w:ascii="Times New Roman" w:hAnsi="Times New Roman" w:cs="Times New Roman"/>
          <w:sz w:val="24"/>
          <w:szCs w:val="24"/>
        </w:rPr>
        <w:lastRenderedPageBreak/>
        <w:t xml:space="preserve">Yadav A, Kumar A, Das M, Tripathi A. Sodium benzoate, a food preservative, affects the functional and activation status of splenocytes at non-cytotoxic dose. Food Chem </w:t>
      </w:r>
      <w:proofErr w:type="spellStart"/>
      <w:r w:rsidRPr="001C44C7">
        <w:rPr>
          <w:rFonts w:ascii="Times New Roman" w:hAnsi="Times New Roman" w:cs="Times New Roman"/>
          <w:sz w:val="24"/>
          <w:szCs w:val="24"/>
        </w:rPr>
        <w:t>Toxicol</w:t>
      </w:r>
      <w:proofErr w:type="spellEnd"/>
      <w:r w:rsidRPr="001C44C7">
        <w:rPr>
          <w:rFonts w:ascii="Times New Roman" w:hAnsi="Times New Roman" w:cs="Times New Roman"/>
          <w:sz w:val="24"/>
          <w:szCs w:val="24"/>
        </w:rPr>
        <w:t xml:space="preserve">. </w:t>
      </w:r>
      <w:proofErr w:type="gramStart"/>
      <w:r w:rsidRPr="001C44C7">
        <w:rPr>
          <w:rFonts w:ascii="Times New Roman" w:hAnsi="Times New Roman" w:cs="Times New Roman"/>
          <w:sz w:val="24"/>
          <w:szCs w:val="24"/>
        </w:rPr>
        <w:t>2015;88:40</w:t>
      </w:r>
      <w:proofErr w:type="gramEnd"/>
      <w:r w:rsidRPr="001C44C7">
        <w:rPr>
          <w:rFonts w:ascii="Times New Roman" w:hAnsi="Times New Roman" w:cs="Times New Roman"/>
          <w:sz w:val="24"/>
          <w:szCs w:val="24"/>
        </w:rPr>
        <w:t>–7.</w:t>
      </w:r>
    </w:p>
    <w:p w14:paraId="46E95135" w14:textId="77777777" w:rsidR="007E2AFA" w:rsidRPr="001C44C7"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1C44C7">
        <w:rPr>
          <w:rFonts w:ascii="Times New Roman" w:hAnsi="Times New Roman" w:cs="Times New Roman"/>
          <w:sz w:val="24"/>
          <w:szCs w:val="24"/>
        </w:rPr>
        <w:t xml:space="preserve">Khan IS, Dar KB, </w:t>
      </w:r>
      <w:proofErr w:type="spellStart"/>
      <w:r w:rsidRPr="001C44C7">
        <w:rPr>
          <w:rFonts w:ascii="Times New Roman" w:hAnsi="Times New Roman" w:cs="Times New Roman"/>
          <w:sz w:val="24"/>
          <w:szCs w:val="24"/>
        </w:rPr>
        <w:t>Ganie</w:t>
      </w:r>
      <w:proofErr w:type="spellEnd"/>
      <w:r w:rsidRPr="001C44C7">
        <w:rPr>
          <w:rFonts w:ascii="Times New Roman" w:hAnsi="Times New Roman" w:cs="Times New Roman"/>
          <w:sz w:val="24"/>
          <w:szCs w:val="24"/>
        </w:rPr>
        <w:t xml:space="preserve"> SA, Ali MN. Toxicological impact of sodium benzoate on inflammatory cytokines, oxidative stress, and biochemical markers in male Wistar rats. Drug Chem </w:t>
      </w:r>
      <w:proofErr w:type="spellStart"/>
      <w:r w:rsidRPr="001C44C7">
        <w:rPr>
          <w:rFonts w:ascii="Times New Roman" w:hAnsi="Times New Roman" w:cs="Times New Roman"/>
          <w:sz w:val="24"/>
          <w:szCs w:val="24"/>
        </w:rPr>
        <w:t>Toxicol</w:t>
      </w:r>
      <w:proofErr w:type="spellEnd"/>
      <w:r w:rsidRPr="001C44C7">
        <w:rPr>
          <w:rFonts w:ascii="Times New Roman" w:hAnsi="Times New Roman" w:cs="Times New Roman"/>
          <w:sz w:val="24"/>
          <w:szCs w:val="24"/>
        </w:rPr>
        <w:t>. 2020;45(3):1345–50.</w:t>
      </w:r>
    </w:p>
    <w:p w14:paraId="7FDD3BE9" w14:textId="77777777" w:rsidR="007E2AFA" w:rsidRPr="001C44C7"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1C44C7">
        <w:rPr>
          <w:rFonts w:ascii="Times New Roman" w:hAnsi="Times New Roman" w:cs="Times New Roman"/>
          <w:sz w:val="24"/>
          <w:szCs w:val="24"/>
        </w:rPr>
        <w:t xml:space="preserve">Piper JD, Piper PW. Benzoate and sorbate salts: a systematic review of the potential hazards of these invaluable preservatives and the expanding spectrum of clinical uses for sodium benzoate. </w:t>
      </w:r>
      <w:proofErr w:type="spellStart"/>
      <w:r w:rsidRPr="001C44C7">
        <w:rPr>
          <w:rFonts w:ascii="Times New Roman" w:hAnsi="Times New Roman" w:cs="Times New Roman"/>
          <w:sz w:val="24"/>
          <w:szCs w:val="24"/>
        </w:rPr>
        <w:t>Compr</w:t>
      </w:r>
      <w:proofErr w:type="spellEnd"/>
      <w:r w:rsidRPr="001C44C7">
        <w:rPr>
          <w:rFonts w:ascii="Times New Roman" w:hAnsi="Times New Roman" w:cs="Times New Roman"/>
          <w:sz w:val="24"/>
          <w:szCs w:val="24"/>
        </w:rPr>
        <w:t xml:space="preserve"> Rev Food Sci Food </w:t>
      </w:r>
      <w:proofErr w:type="spellStart"/>
      <w:r w:rsidRPr="001C44C7">
        <w:rPr>
          <w:rFonts w:ascii="Times New Roman" w:hAnsi="Times New Roman" w:cs="Times New Roman"/>
          <w:sz w:val="24"/>
          <w:szCs w:val="24"/>
        </w:rPr>
        <w:t>Saf</w:t>
      </w:r>
      <w:proofErr w:type="spellEnd"/>
      <w:r w:rsidRPr="001C44C7">
        <w:rPr>
          <w:rFonts w:ascii="Times New Roman" w:hAnsi="Times New Roman" w:cs="Times New Roman"/>
          <w:sz w:val="24"/>
          <w:szCs w:val="24"/>
        </w:rPr>
        <w:t>. 2017;16(1):868–80.</w:t>
      </w:r>
    </w:p>
    <w:p w14:paraId="65505BCB" w14:textId="77777777" w:rsidR="007E2AFA" w:rsidRPr="001C44C7" w:rsidRDefault="007E2AFA" w:rsidP="007E2AFA">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proofErr w:type="spellStart"/>
      <w:r w:rsidRPr="001C44C7">
        <w:rPr>
          <w:rFonts w:ascii="Times New Roman" w:hAnsi="Times New Roman" w:cs="Times New Roman"/>
          <w:sz w:val="24"/>
          <w:szCs w:val="24"/>
        </w:rPr>
        <w:t>Pizzorno</w:t>
      </w:r>
      <w:proofErr w:type="spellEnd"/>
      <w:r w:rsidRPr="001C44C7">
        <w:rPr>
          <w:rFonts w:ascii="Times New Roman" w:hAnsi="Times New Roman" w:cs="Times New Roman"/>
          <w:sz w:val="24"/>
          <w:szCs w:val="24"/>
        </w:rPr>
        <w:t xml:space="preserve"> J. The kidney dysfunction epidemic, part 1: causes. </w:t>
      </w:r>
      <w:proofErr w:type="spellStart"/>
      <w:r w:rsidRPr="001C44C7">
        <w:rPr>
          <w:rFonts w:ascii="Times New Roman" w:hAnsi="Times New Roman" w:cs="Times New Roman"/>
          <w:sz w:val="24"/>
          <w:szCs w:val="24"/>
        </w:rPr>
        <w:t>Integr</w:t>
      </w:r>
      <w:proofErr w:type="spellEnd"/>
      <w:r w:rsidRPr="001C44C7">
        <w:rPr>
          <w:rFonts w:ascii="Times New Roman" w:hAnsi="Times New Roman" w:cs="Times New Roman"/>
          <w:sz w:val="24"/>
          <w:szCs w:val="24"/>
        </w:rPr>
        <w:t xml:space="preserve"> Med (Encinitas). 2015;14(6):8–13.</w:t>
      </w:r>
    </w:p>
    <w:p w14:paraId="56DE6837" w14:textId="77777777" w:rsidR="007E2AFA" w:rsidRPr="001C44C7" w:rsidRDefault="007E2AFA" w:rsidP="00F81277">
      <w:pPr>
        <w:pStyle w:val="ListParagraph"/>
        <w:numPr>
          <w:ilvl w:val="0"/>
          <w:numId w:val="2"/>
        </w:numPr>
        <w:spacing w:before="100" w:beforeAutospacing="1" w:after="100" w:afterAutospacing="1" w:line="240" w:lineRule="auto"/>
        <w:ind w:right="432"/>
        <w:jc w:val="both"/>
        <w:rPr>
          <w:rStyle w:val="Hyperlink"/>
          <w:rFonts w:ascii="Times New Roman" w:hAnsi="Times New Roman" w:cs="Times New Roman"/>
          <w:color w:val="auto"/>
          <w:sz w:val="24"/>
          <w:szCs w:val="24"/>
        </w:rPr>
      </w:pPr>
      <w:proofErr w:type="spellStart"/>
      <w:r w:rsidRPr="001C44C7">
        <w:rPr>
          <w:rFonts w:ascii="Times New Roman" w:hAnsi="Times New Roman" w:cs="Times New Roman"/>
          <w:sz w:val="24"/>
          <w:szCs w:val="24"/>
        </w:rPr>
        <w:t>Organisation</w:t>
      </w:r>
      <w:proofErr w:type="spellEnd"/>
      <w:r w:rsidRPr="001C44C7">
        <w:rPr>
          <w:rFonts w:ascii="Times New Roman" w:hAnsi="Times New Roman" w:cs="Times New Roman"/>
          <w:sz w:val="24"/>
          <w:szCs w:val="24"/>
        </w:rPr>
        <w:t xml:space="preserve"> for Economic Co-operation and Development (OECD) (2001). </w:t>
      </w:r>
      <w:r w:rsidRPr="001C44C7">
        <w:rPr>
          <w:rFonts w:ascii="Times New Roman" w:hAnsi="Times New Roman" w:cs="Times New Roman"/>
          <w:i/>
          <w:iCs/>
          <w:sz w:val="24"/>
          <w:szCs w:val="24"/>
        </w:rPr>
        <w:t>OECD Guideline for Testing of Chemicals Acute Oral Toxicity – Acute Toxic Class Method</w:t>
      </w:r>
      <w:r w:rsidRPr="001C44C7">
        <w:rPr>
          <w:rFonts w:ascii="Times New Roman" w:hAnsi="Times New Roman" w:cs="Times New Roman"/>
          <w:sz w:val="24"/>
          <w:szCs w:val="24"/>
        </w:rPr>
        <w:t xml:space="preserve">. Available from: </w:t>
      </w:r>
      <w:hyperlink r:id="rId17" w:history="1">
        <w:r w:rsidRPr="001C44C7">
          <w:rPr>
            <w:rStyle w:val="Hyperlink"/>
            <w:rFonts w:ascii="Times New Roman" w:hAnsi="Times New Roman" w:cs="Times New Roman"/>
            <w:color w:val="auto"/>
            <w:sz w:val="24"/>
            <w:szCs w:val="24"/>
          </w:rPr>
          <w:t>https://ntp.niehs.nih.gov/sites/default/files/iccvam/suppdocs/feddocs/oecd/oecd_gl423.pdf</w:t>
        </w:r>
      </w:hyperlink>
      <w:r w:rsidRPr="001C44C7">
        <w:rPr>
          <w:rStyle w:val="Hyperlink"/>
          <w:rFonts w:ascii="Times New Roman" w:hAnsi="Times New Roman" w:cs="Times New Roman"/>
          <w:color w:val="auto"/>
          <w:sz w:val="24"/>
          <w:szCs w:val="24"/>
        </w:rPr>
        <w:t xml:space="preserve">  </w:t>
      </w:r>
    </w:p>
    <w:p w14:paraId="79A5DD87" w14:textId="77777777" w:rsidR="00F81277" w:rsidRPr="001C44C7"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1C44C7">
        <w:rPr>
          <w:rFonts w:ascii="Times New Roman" w:hAnsi="Times New Roman" w:cs="Times New Roman"/>
          <w:sz w:val="24"/>
          <w:szCs w:val="24"/>
        </w:rPr>
        <w:t>Ramírez-</w:t>
      </w:r>
      <w:proofErr w:type="spellStart"/>
      <w:r w:rsidRPr="001C44C7">
        <w:rPr>
          <w:rFonts w:ascii="Times New Roman" w:hAnsi="Times New Roman" w:cs="Times New Roman"/>
          <w:sz w:val="24"/>
          <w:szCs w:val="24"/>
        </w:rPr>
        <w:t>Mejía</w:t>
      </w:r>
      <w:proofErr w:type="spellEnd"/>
      <w:r w:rsidRPr="001C44C7">
        <w:rPr>
          <w:rFonts w:ascii="Times New Roman" w:hAnsi="Times New Roman" w:cs="Times New Roman"/>
          <w:sz w:val="24"/>
          <w:szCs w:val="24"/>
        </w:rPr>
        <w:t xml:space="preserve"> MM, Castillo-</w:t>
      </w:r>
      <w:proofErr w:type="spellStart"/>
      <w:r w:rsidRPr="001C44C7">
        <w:rPr>
          <w:rFonts w:ascii="Times New Roman" w:hAnsi="Times New Roman" w:cs="Times New Roman"/>
          <w:sz w:val="24"/>
          <w:szCs w:val="24"/>
        </w:rPr>
        <w:t>Castañeda</w:t>
      </w:r>
      <w:proofErr w:type="spellEnd"/>
      <w:r w:rsidRPr="001C44C7">
        <w:rPr>
          <w:rFonts w:ascii="Times New Roman" w:hAnsi="Times New Roman" w:cs="Times New Roman"/>
          <w:sz w:val="24"/>
          <w:szCs w:val="24"/>
        </w:rPr>
        <w:t xml:space="preserve"> SM, Pal SC, Qi X, Méndez-Sánchez N. The multifaceted role of bilirubin in liver disease: A literature review. J Clin </w:t>
      </w:r>
      <w:proofErr w:type="spellStart"/>
      <w:r w:rsidRPr="001C44C7">
        <w:rPr>
          <w:rFonts w:ascii="Times New Roman" w:hAnsi="Times New Roman" w:cs="Times New Roman"/>
          <w:sz w:val="24"/>
          <w:szCs w:val="24"/>
        </w:rPr>
        <w:t>Transl</w:t>
      </w:r>
      <w:proofErr w:type="spellEnd"/>
      <w:r w:rsidRPr="001C44C7">
        <w:rPr>
          <w:rFonts w:ascii="Times New Roman" w:hAnsi="Times New Roman" w:cs="Times New Roman"/>
          <w:sz w:val="24"/>
          <w:szCs w:val="24"/>
        </w:rPr>
        <w:t xml:space="preserve"> </w:t>
      </w:r>
      <w:proofErr w:type="spellStart"/>
      <w:r w:rsidRPr="001C44C7">
        <w:rPr>
          <w:rFonts w:ascii="Times New Roman" w:hAnsi="Times New Roman" w:cs="Times New Roman"/>
          <w:sz w:val="24"/>
          <w:szCs w:val="24"/>
        </w:rPr>
        <w:t>Hepatol</w:t>
      </w:r>
      <w:proofErr w:type="spellEnd"/>
      <w:r w:rsidRPr="001C44C7">
        <w:rPr>
          <w:rFonts w:ascii="Times New Roman" w:hAnsi="Times New Roman" w:cs="Times New Roman"/>
          <w:sz w:val="24"/>
          <w:szCs w:val="24"/>
        </w:rPr>
        <w:t>. 2024;12(11):939-948.</w:t>
      </w:r>
    </w:p>
    <w:p w14:paraId="3CF85189" w14:textId="77777777" w:rsidR="00F81277" w:rsidRPr="001C44C7"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proofErr w:type="spellStart"/>
      <w:r w:rsidRPr="001C44C7">
        <w:rPr>
          <w:rFonts w:ascii="Times New Roman" w:hAnsi="Times New Roman" w:cs="Times New Roman"/>
          <w:sz w:val="24"/>
          <w:szCs w:val="24"/>
        </w:rPr>
        <w:t>Kalakonda</w:t>
      </w:r>
      <w:proofErr w:type="spellEnd"/>
      <w:r w:rsidRPr="001C44C7">
        <w:rPr>
          <w:rFonts w:ascii="Times New Roman" w:hAnsi="Times New Roman" w:cs="Times New Roman"/>
          <w:sz w:val="24"/>
          <w:szCs w:val="24"/>
        </w:rPr>
        <w:t xml:space="preserve"> A, Jenkins BA, John S. Physiology, bilirubin. In: </w:t>
      </w:r>
      <w:proofErr w:type="spellStart"/>
      <w:r w:rsidRPr="001C44C7">
        <w:rPr>
          <w:rFonts w:ascii="Times New Roman" w:hAnsi="Times New Roman" w:cs="Times New Roman"/>
          <w:sz w:val="24"/>
          <w:szCs w:val="24"/>
        </w:rPr>
        <w:t>StatPearls</w:t>
      </w:r>
      <w:proofErr w:type="spellEnd"/>
      <w:r w:rsidRPr="001C44C7">
        <w:rPr>
          <w:rFonts w:ascii="Times New Roman" w:hAnsi="Times New Roman" w:cs="Times New Roman"/>
          <w:sz w:val="24"/>
          <w:szCs w:val="24"/>
        </w:rPr>
        <w:t xml:space="preserve">. Treasure Island (FL): </w:t>
      </w:r>
      <w:proofErr w:type="spellStart"/>
      <w:r w:rsidRPr="001C44C7">
        <w:rPr>
          <w:rFonts w:ascii="Times New Roman" w:hAnsi="Times New Roman" w:cs="Times New Roman"/>
          <w:sz w:val="24"/>
          <w:szCs w:val="24"/>
        </w:rPr>
        <w:t>StatPearls</w:t>
      </w:r>
      <w:proofErr w:type="spellEnd"/>
      <w:r w:rsidRPr="001C44C7">
        <w:rPr>
          <w:rFonts w:ascii="Times New Roman" w:hAnsi="Times New Roman" w:cs="Times New Roman"/>
          <w:sz w:val="24"/>
          <w:szCs w:val="24"/>
        </w:rPr>
        <w:t xml:space="preserve"> Publishing; 2022.</w:t>
      </w:r>
    </w:p>
    <w:p w14:paraId="09A6286C" w14:textId="77777777" w:rsidR="00F81277" w:rsidRPr="001C44C7"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proofErr w:type="spellStart"/>
      <w:r w:rsidRPr="001C44C7">
        <w:rPr>
          <w:rFonts w:ascii="Times New Roman" w:hAnsi="Times New Roman" w:cs="Times New Roman"/>
          <w:sz w:val="24"/>
          <w:szCs w:val="24"/>
        </w:rPr>
        <w:t>Asejeje</w:t>
      </w:r>
      <w:proofErr w:type="spellEnd"/>
      <w:r w:rsidRPr="001C44C7">
        <w:rPr>
          <w:rFonts w:ascii="Times New Roman" w:hAnsi="Times New Roman" w:cs="Times New Roman"/>
          <w:sz w:val="24"/>
          <w:szCs w:val="24"/>
        </w:rPr>
        <w:t xml:space="preserve"> FO, Akinola KD, </w:t>
      </w:r>
      <w:proofErr w:type="spellStart"/>
      <w:r w:rsidRPr="001C44C7">
        <w:rPr>
          <w:rFonts w:ascii="Times New Roman" w:hAnsi="Times New Roman" w:cs="Times New Roman"/>
          <w:sz w:val="24"/>
          <w:szCs w:val="24"/>
        </w:rPr>
        <w:t>Abiola</w:t>
      </w:r>
      <w:proofErr w:type="spellEnd"/>
      <w:r w:rsidRPr="001C44C7">
        <w:rPr>
          <w:rFonts w:ascii="Times New Roman" w:hAnsi="Times New Roman" w:cs="Times New Roman"/>
          <w:sz w:val="24"/>
          <w:szCs w:val="24"/>
        </w:rPr>
        <w:t xml:space="preserve"> MA. Sodium benzoate exacerbates hepatic oxidative stress and inflammation in lipopolysaccharide-induced liver injury in rats. </w:t>
      </w:r>
      <w:proofErr w:type="spellStart"/>
      <w:r w:rsidRPr="001C44C7">
        <w:rPr>
          <w:rFonts w:ascii="Times New Roman" w:hAnsi="Times New Roman" w:cs="Times New Roman"/>
          <w:sz w:val="24"/>
          <w:szCs w:val="24"/>
        </w:rPr>
        <w:t>Immunopharmacol</w:t>
      </w:r>
      <w:proofErr w:type="spellEnd"/>
      <w:r w:rsidRPr="001C44C7">
        <w:rPr>
          <w:rFonts w:ascii="Times New Roman" w:hAnsi="Times New Roman" w:cs="Times New Roman"/>
          <w:sz w:val="24"/>
          <w:szCs w:val="24"/>
        </w:rPr>
        <w:t xml:space="preserve"> </w:t>
      </w:r>
      <w:proofErr w:type="spellStart"/>
      <w:r w:rsidRPr="001C44C7">
        <w:rPr>
          <w:rFonts w:ascii="Times New Roman" w:hAnsi="Times New Roman" w:cs="Times New Roman"/>
          <w:sz w:val="24"/>
          <w:szCs w:val="24"/>
        </w:rPr>
        <w:t>Immunotoxicol</w:t>
      </w:r>
      <w:proofErr w:type="spellEnd"/>
      <w:r w:rsidRPr="001C44C7">
        <w:rPr>
          <w:rFonts w:ascii="Times New Roman" w:hAnsi="Times New Roman" w:cs="Times New Roman"/>
          <w:sz w:val="24"/>
          <w:szCs w:val="24"/>
        </w:rPr>
        <w:t>. 2023;45(5):558-564.</w:t>
      </w:r>
    </w:p>
    <w:p w14:paraId="530D725C" w14:textId="77777777" w:rsidR="00F81277" w:rsidRPr="001C44C7"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proofErr w:type="spellStart"/>
      <w:r w:rsidRPr="001C44C7">
        <w:rPr>
          <w:rFonts w:ascii="Times New Roman" w:hAnsi="Times New Roman" w:cs="Times New Roman"/>
          <w:sz w:val="24"/>
          <w:szCs w:val="24"/>
        </w:rPr>
        <w:t>Harb</w:t>
      </w:r>
      <w:proofErr w:type="spellEnd"/>
      <w:r w:rsidRPr="001C44C7">
        <w:rPr>
          <w:rFonts w:ascii="Times New Roman" w:hAnsi="Times New Roman" w:cs="Times New Roman"/>
          <w:sz w:val="24"/>
          <w:szCs w:val="24"/>
        </w:rPr>
        <w:t xml:space="preserve"> R, Thomas DW. Conjugated hyperbilirubinemia: Screening and treatment in older infants and children. </w:t>
      </w:r>
      <w:proofErr w:type="spellStart"/>
      <w:r w:rsidRPr="001C44C7">
        <w:rPr>
          <w:rFonts w:ascii="Times New Roman" w:hAnsi="Times New Roman" w:cs="Times New Roman"/>
          <w:sz w:val="24"/>
          <w:szCs w:val="24"/>
        </w:rPr>
        <w:t>Pediatr</w:t>
      </w:r>
      <w:proofErr w:type="spellEnd"/>
      <w:r w:rsidRPr="001C44C7">
        <w:rPr>
          <w:rFonts w:ascii="Times New Roman" w:hAnsi="Times New Roman" w:cs="Times New Roman"/>
          <w:sz w:val="24"/>
          <w:szCs w:val="24"/>
        </w:rPr>
        <w:t xml:space="preserve"> Rev. 2007;28(3):83-91.</w:t>
      </w:r>
    </w:p>
    <w:p w14:paraId="1AF8FAA2" w14:textId="77777777" w:rsidR="00F81277" w:rsidRPr="001C44C7"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1C44C7">
        <w:rPr>
          <w:rFonts w:ascii="Times New Roman" w:hAnsi="Times New Roman" w:cs="Times New Roman"/>
          <w:sz w:val="24"/>
          <w:szCs w:val="24"/>
        </w:rPr>
        <w:t xml:space="preserve">Wen J, Chen X, Wei S, Ma X, Zhao Y. Research progress and treatment status of liver cirrhosis with hypoproteinemia. </w:t>
      </w:r>
      <w:proofErr w:type="spellStart"/>
      <w:r w:rsidRPr="001C44C7">
        <w:rPr>
          <w:rFonts w:ascii="Times New Roman" w:hAnsi="Times New Roman" w:cs="Times New Roman"/>
          <w:sz w:val="24"/>
          <w:szCs w:val="24"/>
        </w:rPr>
        <w:t>Evid</w:t>
      </w:r>
      <w:proofErr w:type="spellEnd"/>
      <w:r w:rsidRPr="001C44C7">
        <w:rPr>
          <w:rFonts w:ascii="Times New Roman" w:hAnsi="Times New Roman" w:cs="Times New Roman"/>
          <w:sz w:val="24"/>
          <w:szCs w:val="24"/>
        </w:rPr>
        <w:t xml:space="preserve"> Based Complement </w:t>
      </w:r>
      <w:proofErr w:type="spellStart"/>
      <w:r w:rsidRPr="001C44C7">
        <w:rPr>
          <w:rFonts w:ascii="Times New Roman" w:hAnsi="Times New Roman" w:cs="Times New Roman"/>
          <w:sz w:val="24"/>
          <w:szCs w:val="24"/>
        </w:rPr>
        <w:t>Alternat</w:t>
      </w:r>
      <w:proofErr w:type="spellEnd"/>
      <w:r w:rsidRPr="001C44C7">
        <w:rPr>
          <w:rFonts w:ascii="Times New Roman" w:hAnsi="Times New Roman" w:cs="Times New Roman"/>
          <w:sz w:val="24"/>
          <w:szCs w:val="24"/>
        </w:rPr>
        <w:t xml:space="preserve"> Med. </w:t>
      </w:r>
      <w:proofErr w:type="gramStart"/>
      <w:r w:rsidRPr="001C44C7">
        <w:rPr>
          <w:rFonts w:ascii="Times New Roman" w:hAnsi="Times New Roman" w:cs="Times New Roman"/>
          <w:sz w:val="24"/>
          <w:szCs w:val="24"/>
        </w:rPr>
        <w:t>2022;2022:1</w:t>
      </w:r>
      <w:proofErr w:type="gramEnd"/>
      <w:r w:rsidRPr="001C44C7">
        <w:rPr>
          <w:rFonts w:ascii="Times New Roman" w:hAnsi="Times New Roman" w:cs="Times New Roman"/>
          <w:sz w:val="24"/>
          <w:szCs w:val="24"/>
        </w:rPr>
        <w:t>-8.</w:t>
      </w:r>
    </w:p>
    <w:p w14:paraId="791FBF45" w14:textId="77777777" w:rsidR="00F81277" w:rsidRPr="001C44C7"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proofErr w:type="spellStart"/>
      <w:r w:rsidRPr="001C44C7">
        <w:rPr>
          <w:rFonts w:ascii="Times New Roman" w:hAnsi="Times New Roman" w:cs="Times New Roman"/>
          <w:sz w:val="24"/>
          <w:szCs w:val="24"/>
        </w:rPr>
        <w:t>Brauner</w:t>
      </w:r>
      <w:proofErr w:type="spellEnd"/>
      <w:r w:rsidRPr="001C44C7">
        <w:rPr>
          <w:rFonts w:ascii="Times New Roman" w:hAnsi="Times New Roman" w:cs="Times New Roman"/>
          <w:sz w:val="24"/>
          <w:szCs w:val="24"/>
        </w:rPr>
        <w:t xml:space="preserve"> C, </w:t>
      </w:r>
      <w:proofErr w:type="spellStart"/>
      <w:r w:rsidRPr="001C44C7">
        <w:rPr>
          <w:rFonts w:ascii="Times New Roman" w:hAnsi="Times New Roman" w:cs="Times New Roman"/>
          <w:sz w:val="24"/>
          <w:szCs w:val="24"/>
        </w:rPr>
        <w:t>Joveleviths</w:t>
      </w:r>
      <w:proofErr w:type="spellEnd"/>
      <w:r w:rsidRPr="001C44C7">
        <w:rPr>
          <w:rFonts w:ascii="Times New Roman" w:hAnsi="Times New Roman" w:cs="Times New Roman"/>
          <w:sz w:val="24"/>
          <w:szCs w:val="24"/>
        </w:rPr>
        <w:t xml:space="preserve"> D, </w:t>
      </w:r>
      <w:proofErr w:type="spellStart"/>
      <w:r w:rsidRPr="001C44C7">
        <w:rPr>
          <w:rFonts w:ascii="Times New Roman" w:hAnsi="Times New Roman" w:cs="Times New Roman"/>
          <w:sz w:val="24"/>
          <w:szCs w:val="24"/>
        </w:rPr>
        <w:t>Álvares</w:t>
      </w:r>
      <w:proofErr w:type="spellEnd"/>
      <w:r w:rsidRPr="001C44C7">
        <w:rPr>
          <w:rFonts w:ascii="Times New Roman" w:hAnsi="Times New Roman" w:cs="Times New Roman"/>
          <w:sz w:val="24"/>
          <w:szCs w:val="24"/>
        </w:rPr>
        <w:t xml:space="preserve">-da-Silva MR, </w:t>
      </w:r>
      <w:proofErr w:type="spellStart"/>
      <w:r w:rsidRPr="001C44C7">
        <w:rPr>
          <w:rFonts w:ascii="Times New Roman" w:hAnsi="Times New Roman" w:cs="Times New Roman"/>
          <w:sz w:val="24"/>
          <w:szCs w:val="24"/>
        </w:rPr>
        <w:t>Marroni</w:t>
      </w:r>
      <w:proofErr w:type="spellEnd"/>
      <w:r w:rsidRPr="001C44C7">
        <w:rPr>
          <w:rFonts w:ascii="Times New Roman" w:hAnsi="Times New Roman" w:cs="Times New Roman"/>
          <w:sz w:val="24"/>
          <w:szCs w:val="24"/>
        </w:rPr>
        <w:t xml:space="preserve"> N, Bona S, </w:t>
      </w:r>
      <w:proofErr w:type="spellStart"/>
      <w:r w:rsidRPr="001C44C7">
        <w:rPr>
          <w:rFonts w:ascii="Times New Roman" w:hAnsi="Times New Roman" w:cs="Times New Roman"/>
          <w:sz w:val="24"/>
          <w:szCs w:val="24"/>
        </w:rPr>
        <w:t>Schemitt</w:t>
      </w:r>
      <w:proofErr w:type="spellEnd"/>
      <w:r w:rsidRPr="001C44C7">
        <w:rPr>
          <w:rFonts w:ascii="Times New Roman" w:hAnsi="Times New Roman" w:cs="Times New Roman"/>
          <w:sz w:val="24"/>
          <w:szCs w:val="24"/>
        </w:rPr>
        <w:t xml:space="preserve"> E, et al. Exposure to organic solvents and hepatotoxicity. J Environ Sci Health </w:t>
      </w:r>
      <w:proofErr w:type="gramStart"/>
      <w:r w:rsidRPr="001C44C7">
        <w:rPr>
          <w:rFonts w:ascii="Times New Roman" w:hAnsi="Times New Roman" w:cs="Times New Roman"/>
          <w:sz w:val="24"/>
          <w:szCs w:val="24"/>
        </w:rPr>
        <w:t>A</w:t>
      </w:r>
      <w:proofErr w:type="gramEnd"/>
      <w:r w:rsidRPr="001C44C7">
        <w:rPr>
          <w:rFonts w:ascii="Times New Roman" w:hAnsi="Times New Roman" w:cs="Times New Roman"/>
          <w:sz w:val="24"/>
          <w:szCs w:val="24"/>
        </w:rPr>
        <w:t xml:space="preserve"> Tox Hazard </w:t>
      </w:r>
      <w:proofErr w:type="spellStart"/>
      <w:r w:rsidRPr="001C44C7">
        <w:rPr>
          <w:rFonts w:ascii="Times New Roman" w:hAnsi="Times New Roman" w:cs="Times New Roman"/>
          <w:sz w:val="24"/>
          <w:szCs w:val="24"/>
        </w:rPr>
        <w:t>Subst</w:t>
      </w:r>
      <w:proofErr w:type="spellEnd"/>
      <w:r w:rsidRPr="001C44C7">
        <w:rPr>
          <w:rFonts w:ascii="Times New Roman" w:hAnsi="Times New Roman" w:cs="Times New Roman"/>
          <w:sz w:val="24"/>
          <w:szCs w:val="24"/>
        </w:rPr>
        <w:t xml:space="preserve"> Environ Eng. 2020;55(10):1173-1178.</w:t>
      </w:r>
    </w:p>
    <w:p w14:paraId="6FC87C1E" w14:textId="73E1C105" w:rsidR="00AC4B1C" w:rsidRPr="001C44C7" w:rsidRDefault="00F81277" w:rsidP="00F81277">
      <w:pPr>
        <w:pStyle w:val="ListParagraph"/>
        <w:numPr>
          <w:ilvl w:val="0"/>
          <w:numId w:val="2"/>
        </w:numPr>
        <w:spacing w:before="100" w:beforeAutospacing="1" w:after="100" w:afterAutospacing="1" w:line="240" w:lineRule="auto"/>
        <w:ind w:right="432"/>
        <w:jc w:val="both"/>
        <w:rPr>
          <w:rFonts w:ascii="Times New Roman" w:hAnsi="Times New Roman" w:cs="Times New Roman"/>
          <w:sz w:val="24"/>
          <w:szCs w:val="24"/>
        </w:rPr>
      </w:pPr>
      <w:r w:rsidRPr="001C44C7">
        <w:rPr>
          <w:rFonts w:ascii="Times New Roman" w:hAnsi="Times New Roman" w:cs="Times New Roman"/>
          <w:sz w:val="24"/>
          <w:szCs w:val="24"/>
        </w:rPr>
        <w:t xml:space="preserve">Saran C, Brouwer KLR. Hepatic bile acid transporters and drug-induced hepatotoxicity. </w:t>
      </w:r>
      <w:proofErr w:type="spellStart"/>
      <w:r w:rsidRPr="001C44C7">
        <w:rPr>
          <w:rFonts w:ascii="Times New Roman" w:hAnsi="Times New Roman" w:cs="Times New Roman"/>
          <w:sz w:val="24"/>
          <w:szCs w:val="24"/>
        </w:rPr>
        <w:t>Toxicol</w:t>
      </w:r>
      <w:proofErr w:type="spellEnd"/>
      <w:r w:rsidRPr="001C44C7">
        <w:rPr>
          <w:rFonts w:ascii="Times New Roman" w:hAnsi="Times New Roman" w:cs="Times New Roman"/>
          <w:sz w:val="24"/>
          <w:szCs w:val="24"/>
        </w:rPr>
        <w:t xml:space="preserve"> </w:t>
      </w:r>
      <w:proofErr w:type="spellStart"/>
      <w:r w:rsidRPr="001C44C7">
        <w:rPr>
          <w:rFonts w:ascii="Times New Roman" w:hAnsi="Times New Roman" w:cs="Times New Roman"/>
          <w:sz w:val="24"/>
          <w:szCs w:val="24"/>
        </w:rPr>
        <w:t>Pathol</w:t>
      </w:r>
      <w:proofErr w:type="spellEnd"/>
      <w:r w:rsidRPr="001C44C7">
        <w:rPr>
          <w:rFonts w:ascii="Times New Roman" w:hAnsi="Times New Roman" w:cs="Times New Roman"/>
          <w:sz w:val="24"/>
          <w:szCs w:val="24"/>
        </w:rPr>
        <w:t>. 2023;51(7-8):405-413.</w:t>
      </w:r>
    </w:p>
    <w:sectPr w:rsidR="00AC4B1C" w:rsidRPr="001C44C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C7EA9" w14:textId="77777777" w:rsidR="00A5122C" w:rsidRDefault="00A5122C" w:rsidP="00A83A1C">
      <w:pPr>
        <w:spacing w:after="0" w:line="240" w:lineRule="auto"/>
      </w:pPr>
      <w:r>
        <w:separator/>
      </w:r>
    </w:p>
  </w:endnote>
  <w:endnote w:type="continuationSeparator" w:id="0">
    <w:p w14:paraId="30E2E293" w14:textId="77777777" w:rsidR="00A5122C" w:rsidRDefault="00A5122C" w:rsidP="00A83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44425" w14:textId="77777777" w:rsidR="008C25D8" w:rsidRDefault="008C2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14942" w14:textId="77777777" w:rsidR="008C25D8" w:rsidRDefault="008C25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B3607" w14:textId="77777777" w:rsidR="008C25D8" w:rsidRDefault="008C2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10158" w14:textId="77777777" w:rsidR="00A5122C" w:rsidRDefault="00A5122C" w:rsidP="00A83A1C">
      <w:pPr>
        <w:spacing w:after="0" w:line="240" w:lineRule="auto"/>
      </w:pPr>
      <w:r>
        <w:separator/>
      </w:r>
    </w:p>
  </w:footnote>
  <w:footnote w:type="continuationSeparator" w:id="0">
    <w:p w14:paraId="25ABCC19" w14:textId="77777777" w:rsidR="00A5122C" w:rsidRDefault="00A5122C" w:rsidP="00A83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5BB2E" w14:textId="79FBC41F" w:rsidR="008C25D8" w:rsidRDefault="008C25D8">
    <w:pPr>
      <w:pStyle w:val="Header"/>
    </w:pPr>
    <w:r>
      <w:rPr>
        <w:noProof/>
      </w:rPr>
      <w:pict w14:anchorId="14221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324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8F988" w14:textId="1F57B120" w:rsidR="008C25D8" w:rsidRDefault="008C25D8">
    <w:pPr>
      <w:pStyle w:val="Header"/>
    </w:pPr>
    <w:r>
      <w:rPr>
        <w:noProof/>
      </w:rPr>
      <w:pict w14:anchorId="5081D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324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0D80E" w14:textId="2848B546" w:rsidR="008C25D8" w:rsidRDefault="008C25D8">
    <w:pPr>
      <w:pStyle w:val="Header"/>
    </w:pPr>
    <w:r>
      <w:rPr>
        <w:noProof/>
      </w:rPr>
      <w:pict w14:anchorId="280D7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324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34683"/>
    <w:multiLevelType w:val="hybridMultilevel"/>
    <w:tmpl w:val="1CFA2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2424DC"/>
    <w:multiLevelType w:val="hybridMultilevel"/>
    <w:tmpl w:val="80329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AFA"/>
    <w:rsid w:val="00001E49"/>
    <w:rsid w:val="00036EFD"/>
    <w:rsid w:val="000A1C1B"/>
    <w:rsid w:val="000C670D"/>
    <w:rsid w:val="0010433F"/>
    <w:rsid w:val="001172A1"/>
    <w:rsid w:val="00142C43"/>
    <w:rsid w:val="0014737B"/>
    <w:rsid w:val="00184C7E"/>
    <w:rsid w:val="001C44C7"/>
    <w:rsid w:val="001D7032"/>
    <w:rsid w:val="002023B3"/>
    <w:rsid w:val="00266C22"/>
    <w:rsid w:val="0028684D"/>
    <w:rsid w:val="002E7DD3"/>
    <w:rsid w:val="00304FF8"/>
    <w:rsid w:val="00344EFA"/>
    <w:rsid w:val="003474C2"/>
    <w:rsid w:val="003B531B"/>
    <w:rsid w:val="003D0579"/>
    <w:rsid w:val="003F3863"/>
    <w:rsid w:val="00433804"/>
    <w:rsid w:val="00451935"/>
    <w:rsid w:val="00467AFF"/>
    <w:rsid w:val="0047598C"/>
    <w:rsid w:val="00485D14"/>
    <w:rsid w:val="004C47C9"/>
    <w:rsid w:val="00565FA5"/>
    <w:rsid w:val="005811F0"/>
    <w:rsid w:val="005A0844"/>
    <w:rsid w:val="005E2585"/>
    <w:rsid w:val="00601424"/>
    <w:rsid w:val="006104AF"/>
    <w:rsid w:val="00651E4C"/>
    <w:rsid w:val="0070454B"/>
    <w:rsid w:val="00767E72"/>
    <w:rsid w:val="00796213"/>
    <w:rsid w:val="007E2AFA"/>
    <w:rsid w:val="008135FD"/>
    <w:rsid w:val="0086197D"/>
    <w:rsid w:val="008C25D8"/>
    <w:rsid w:val="008C2754"/>
    <w:rsid w:val="00915B45"/>
    <w:rsid w:val="00923EED"/>
    <w:rsid w:val="009426D0"/>
    <w:rsid w:val="0094458E"/>
    <w:rsid w:val="00953E6A"/>
    <w:rsid w:val="009627F3"/>
    <w:rsid w:val="00996AEE"/>
    <w:rsid w:val="009E1DF0"/>
    <w:rsid w:val="009F7776"/>
    <w:rsid w:val="00A13164"/>
    <w:rsid w:val="00A5122C"/>
    <w:rsid w:val="00A522BD"/>
    <w:rsid w:val="00A64AB4"/>
    <w:rsid w:val="00A83A1C"/>
    <w:rsid w:val="00A92871"/>
    <w:rsid w:val="00AC4B1C"/>
    <w:rsid w:val="00AF68A8"/>
    <w:rsid w:val="00B00F2C"/>
    <w:rsid w:val="00B11364"/>
    <w:rsid w:val="00B87EB5"/>
    <w:rsid w:val="00BC48D7"/>
    <w:rsid w:val="00C37E56"/>
    <w:rsid w:val="00C72164"/>
    <w:rsid w:val="00CA5A22"/>
    <w:rsid w:val="00CB33AA"/>
    <w:rsid w:val="00CB4162"/>
    <w:rsid w:val="00CF6FF8"/>
    <w:rsid w:val="00D31971"/>
    <w:rsid w:val="00D524E2"/>
    <w:rsid w:val="00D53CEF"/>
    <w:rsid w:val="00DA040F"/>
    <w:rsid w:val="00DD6B18"/>
    <w:rsid w:val="00DF0C42"/>
    <w:rsid w:val="00E40933"/>
    <w:rsid w:val="00E41DA7"/>
    <w:rsid w:val="00E5684D"/>
    <w:rsid w:val="00EA03C9"/>
    <w:rsid w:val="00EA4F94"/>
    <w:rsid w:val="00F12553"/>
    <w:rsid w:val="00F81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833E78"/>
  <w15:chartTrackingRefBased/>
  <w15:docId w15:val="{20860EF3-39CE-4C5C-892C-13B989405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2AFA"/>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AFA"/>
    <w:pPr>
      <w:ind w:left="720"/>
      <w:contextualSpacing/>
    </w:pPr>
  </w:style>
  <w:style w:type="table" w:styleId="TableGrid">
    <w:name w:val="Table Grid"/>
    <w:basedOn w:val="TableNormal"/>
    <w:uiPriority w:val="39"/>
    <w:rsid w:val="007E2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2AF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2AFA"/>
    <w:rPr>
      <w:color w:val="0000FF"/>
      <w:u w:val="single"/>
    </w:rPr>
  </w:style>
  <w:style w:type="paragraph" w:styleId="Header">
    <w:name w:val="header"/>
    <w:basedOn w:val="Normal"/>
    <w:link w:val="HeaderChar"/>
    <w:uiPriority w:val="99"/>
    <w:unhideWhenUsed/>
    <w:rsid w:val="00A83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A1C"/>
    <w:rPr>
      <w:kern w:val="0"/>
    </w:rPr>
  </w:style>
  <w:style w:type="paragraph" w:styleId="Footer">
    <w:name w:val="footer"/>
    <w:basedOn w:val="Normal"/>
    <w:link w:val="FooterChar"/>
    <w:uiPriority w:val="99"/>
    <w:unhideWhenUsed/>
    <w:rsid w:val="00A83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A1C"/>
    <w:rPr>
      <w:kern w:val="0"/>
    </w:rPr>
  </w:style>
  <w:style w:type="character" w:styleId="Strong">
    <w:name w:val="Strong"/>
    <w:basedOn w:val="DefaultParagraphFont"/>
    <w:uiPriority w:val="22"/>
    <w:qFormat/>
    <w:rsid w:val="00485D14"/>
    <w:rPr>
      <w:b/>
      <w:bCs/>
    </w:rPr>
  </w:style>
  <w:style w:type="character" w:styleId="UnresolvedMention">
    <w:name w:val="Unresolved Mention"/>
    <w:basedOn w:val="DefaultParagraphFont"/>
    <w:uiPriority w:val="99"/>
    <w:semiHidden/>
    <w:unhideWhenUsed/>
    <w:rsid w:val="00813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68999">
      <w:bodyDiv w:val="1"/>
      <w:marLeft w:val="0"/>
      <w:marRight w:val="0"/>
      <w:marTop w:val="0"/>
      <w:marBottom w:val="0"/>
      <w:divBdr>
        <w:top w:val="none" w:sz="0" w:space="0" w:color="auto"/>
        <w:left w:val="none" w:sz="0" w:space="0" w:color="auto"/>
        <w:bottom w:val="none" w:sz="0" w:space="0" w:color="auto"/>
        <w:right w:val="none" w:sz="0" w:space="0" w:color="auto"/>
      </w:divBdr>
    </w:div>
    <w:div w:id="162668322">
      <w:bodyDiv w:val="1"/>
      <w:marLeft w:val="0"/>
      <w:marRight w:val="0"/>
      <w:marTop w:val="0"/>
      <w:marBottom w:val="0"/>
      <w:divBdr>
        <w:top w:val="none" w:sz="0" w:space="0" w:color="auto"/>
        <w:left w:val="none" w:sz="0" w:space="0" w:color="auto"/>
        <w:bottom w:val="none" w:sz="0" w:space="0" w:color="auto"/>
        <w:right w:val="none" w:sz="0" w:space="0" w:color="auto"/>
      </w:divBdr>
    </w:div>
    <w:div w:id="760224546">
      <w:bodyDiv w:val="1"/>
      <w:marLeft w:val="0"/>
      <w:marRight w:val="0"/>
      <w:marTop w:val="0"/>
      <w:marBottom w:val="0"/>
      <w:divBdr>
        <w:top w:val="none" w:sz="0" w:space="0" w:color="auto"/>
        <w:left w:val="none" w:sz="0" w:space="0" w:color="auto"/>
        <w:bottom w:val="none" w:sz="0" w:space="0" w:color="auto"/>
        <w:right w:val="none" w:sz="0" w:space="0" w:color="auto"/>
      </w:divBdr>
    </w:div>
    <w:div w:id="943265072">
      <w:bodyDiv w:val="1"/>
      <w:marLeft w:val="0"/>
      <w:marRight w:val="0"/>
      <w:marTop w:val="0"/>
      <w:marBottom w:val="0"/>
      <w:divBdr>
        <w:top w:val="none" w:sz="0" w:space="0" w:color="auto"/>
        <w:left w:val="none" w:sz="0" w:space="0" w:color="auto"/>
        <w:bottom w:val="none" w:sz="0" w:space="0" w:color="auto"/>
        <w:right w:val="none" w:sz="0" w:space="0" w:color="auto"/>
      </w:divBdr>
    </w:div>
    <w:div w:id="1504397353">
      <w:bodyDiv w:val="1"/>
      <w:marLeft w:val="0"/>
      <w:marRight w:val="0"/>
      <w:marTop w:val="0"/>
      <w:marBottom w:val="0"/>
      <w:divBdr>
        <w:top w:val="none" w:sz="0" w:space="0" w:color="auto"/>
        <w:left w:val="none" w:sz="0" w:space="0" w:color="auto"/>
        <w:bottom w:val="none" w:sz="0" w:space="0" w:color="auto"/>
        <w:right w:val="none" w:sz="0" w:space="0" w:color="auto"/>
      </w:divBdr>
    </w:div>
    <w:div w:id="203079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ntp.niehs.nih.gov/sites/default/files/iccvam/suppdocs/feddocs/oecd/oecd_gl423.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701</TotalTime>
  <Pages>15</Pages>
  <Words>4131</Words>
  <Characters>23549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onengs4u@yahoo.com</dc:creator>
  <cp:keywords/>
  <dc:description/>
  <cp:lastModifiedBy>SDI 1084</cp:lastModifiedBy>
  <cp:revision>79</cp:revision>
  <dcterms:created xsi:type="dcterms:W3CDTF">2025-01-24T13:07:00Z</dcterms:created>
  <dcterms:modified xsi:type="dcterms:W3CDTF">2025-04-10T07:48:00Z</dcterms:modified>
</cp:coreProperties>
</file>