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E003" w14:textId="77777777" w:rsidR="00980D6A" w:rsidRPr="00980D6A" w:rsidRDefault="00980D6A" w:rsidP="00980D6A">
      <w:pPr>
        <w:spacing w:before="20"/>
        <w:rPr>
          <w:b/>
          <w:bCs/>
          <w:i/>
          <w:iCs/>
          <w:u w:val="single"/>
        </w:rPr>
      </w:pPr>
      <w:r w:rsidRPr="00980D6A">
        <w:rPr>
          <w:b/>
          <w:bCs/>
          <w:i/>
          <w:iCs/>
          <w:u w:val="single"/>
        </w:rPr>
        <w:t xml:space="preserve">Case report </w:t>
      </w:r>
    </w:p>
    <w:p w14:paraId="44A679FE" w14:textId="77777777" w:rsidR="005A2E34" w:rsidRDefault="005A2E34" w:rsidP="00432FE9">
      <w:pPr>
        <w:spacing w:before="20"/>
      </w:pPr>
    </w:p>
    <w:p w14:paraId="37438F0D" w14:textId="0237BB64" w:rsidR="005A2E34" w:rsidRDefault="0099755F" w:rsidP="00432FE9">
      <w:pPr>
        <w:spacing w:before="20"/>
        <w:jc w:val="center"/>
        <w:rPr>
          <w:rFonts w:asciiTheme="minorBidi" w:hAnsiTheme="minorBidi" w:cstheme="minorBidi"/>
          <w:b/>
          <w:bCs/>
        </w:rPr>
      </w:pPr>
      <w:r w:rsidRPr="00D2582B">
        <w:rPr>
          <w:rFonts w:asciiTheme="minorBidi" w:hAnsiTheme="minorBidi" w:cstheme="minorBidi"/>
          <w:b/>
          <w:bCs/>
        </w:rPr>
        <w:t xml:space="preserve">Management of medical fitness in </w:t>
      </w:r>
      <w:r w:rsidR="0017483C" w:rsidRPr="00D2582B">
        <w:rPr>
          <w:rFonts w:asciiTheme="minorBidi" w:hAnsiTheme="minorBidi" w:cstheme="minorBidi"/>
          <w:b/>
          <w:bCs/>
        </w:rPr>
        <w:t>i</w:t>
      </w:r>
      <w:r w:rsidR="00F87C08" w:rsidRPr="00D2582B">
        <w:rPr>
          <w:rFonts w:asciiTheme="minorBidi" w:hAnsiTheme="minorBidi" w:cstheme="minorBidi"/>
          <w:b/>
          <w:bCs/>
        </w:rPr>
        <w:t xml:space="preserve">diopathic </w:t>
      </w:r>
      <w:r w:rsidR="0017483C" w:rsidRPr="00D2582B">
        <w:rPr>
          <w:rFonts w:asciiTheme="minorBidi" w:hAnsiTheme="minorBidi" w:cstheme="minorBidi"/>
          <w:b/>
          <w:bCs/>
        </w:rPr>
        <w:t>a</w:t>
      </w:r>
      <w:r w:rsidRPr="00D2582B">
        <w:rPr>
          <w:rFonts w:asciiTheme="minorBidi" w:hAnsiTheme="minorBidi" w:cstheme="minorBidi"/>
          <w:b/>
          <w:bCs/>
        </w:rPr>
        <w:t xml:space="preserve">dulthood </w:t>
      </w:r>
      <w:r w:rsidR="0017483C" w:rsidRPr="00D2582B">
        <w:rPr>
          <w:rFonts w:asciiTheme="minorBidi" w:hAnsiTheme="minorBidi" w:cstheme="minorBidi"/>
          <w:b/>
          <w:bCs/>
        </w:rPr>
        <w:t>d</w:t>
      </w:r>
      <w:r w:rsidRPr="00D2582B">
        <w:rPr>
          <w:rFonts w:asciiTheme="minorBidi" w:hAnsiTheme="minorBidi" w:cstheme="minorBidi"/>
          <w:b/>
          <w:bCs/>
        </w:rPr>
        <w:t>uctopenia</w:t>
      </w:r>
      <w:r w:rsidR="00F87C08" w:rsidRPr="00D2582B">
        <w:rPr>
          <w:rFonts w:asciiTheme="minorBidi" w:hAnsiTheme="minorBidi" w:cstheme="minorBidi"/>
          <w:b/>
          <w:bCs/>
        </w:rPr>
        <w:t xml:space="preserve"> in aviation medicine: a case report</w:t>
      </w:r>
    </w:p>
    <w:p w14:paraId="1F7C2001" w14:textId="77777777" w:rsidR="00980D6A" w:rsidRPr="00D2582B" w:rsidRDefault="00980D6A" w:rsidP="00432FE9">
      <w:pPr>
        <w:spacing w:before="20"/>
        <w:jc w:val="center"/>
        <w:rPr>
          <w:rFonts w:asciiTheme="minorBidi" w:hAnsiTheme="minorBidi" w:cstheme="minorBidi"/>
          <w:b/>
          <w:bCs/>
        </w:rPr>
      </w:pPr>
    </w:p>
    <w:p w14:paraId="22BEED0D" w14:textId="77777777" w:rsidR="003D70CD" w:rsidRDefault="003D70CD" w:rsidP="003D70CD">
      <w:pPr>
        <w:jc w:val="center"/>
        <w:rPr>
          <w:rFonts w:asciiTheme="minorBidi" w:hAnsiTheme="minorBidi" w:cstheme="minorBidi"/>
          <w:sz w:val="20"/>
          <w:szCs w:val="20"/>
          <w:vertAlign w:val="superscript"/>
        </w:rPr>
      </w:pPr>
    </w:p>
    <w:p w14:paraId="4AB704B3" w14:textId="77777777" w:rsidR="00455B76" w:rsidRDefault="00455B76" w:rsidP="003D70CD">
      <w:pPr>
        <w:jc w:val="center"/>
        <w:rPr>
          <w:rFonts w:asciiTheme="minorBidi" w:hAnsiTheme="minorBidi" w:cstheme="minorBidi"/>
          <w:sz w:val="20"/>
          <w:szCs w:val="20"/>
          <w:vertAlign w:val="superscript"/>
        </w:rPr>
      </w:pPr>
    </w:p>
    <w:p w14:paraId="21862226" w14:textId="77777777" w:rsidR="00455B76" w:rsidRPr="003D70CD" w:rsidRDefault="00455B76" w:rsidP="003D70CD">
      <w:pPr>
        <w:jc w:val="center"/>
        <w:rPr>
          <w:rFonts w:asciiTheme="minorBidi" w:hAnsiTheme="minorBidi" w:cstheme="minorBidi"/>
          <w:sz w:val="20"/>
          <w:szCs w:val="20"/>
          <w:vertAlign w:val="superscript"/>
        </w:rPr>
      </w:pPr>
    </w:p>
    <w:p w14:paraId="741011A3" w14:textId="77777777" w:rsidR="003D70CD" w:rsidRPr="00D2582B" w:rsidRDefault="003D70CD" w:rsidP="0017483C">
      <w:pPr>
        <w:jc w:val="center"/>
        <w:rPr>
          <w:rFonts w:asciiTheme="minorBidi" w:hAnsiTheme="minorBidi" w:cstheme="minorBidi"/>
          <w:sz w:val="20"/>
          <w:szCs w:val="20"/>
          <w:vertAlign w:val="superscript"/>
        </w:rPr>
      </w:pPr>
    </w:p>
    <w:p w14:paraId="264EDC15" w14:textId="39BF4085" w:rsidR="00CE6445" w:rsidRPr="00D2582B" w:rsidRDefault="00CE6445" w:rsidP="00432FE9">
      <w:pPr>
        <w:spacing w:before="20"/>
        <w:rPr>
          <w:rFonts w:asciiTheme="minorBidi" w:hAnsiTheme="minorBidi" w:cstheme="minorBidi"/>
          <w:sz w:val="20"/>
          <w:szCs w:val="20"/>
        </w:rPr>
      </w:pPr>
    </w:p>
    <w:p w14:paraId="3B456423" w14:textId="420CE057" w:rsidR="00CE6445" w:rsidRPr="00D2582B" w:rsidRDefault="00861D7F" w:rsidP="00D2582B">
      <w:pPr>
        <w:pStyle w:val="Heading1"/>
      </w:pPr>
      <w:r w:rsidRPr="00D2582B">
        <w:t>ABSTRACT</w:t>
      </w:r>
    </w:p>
    <w:p w14:paraId="196607B4" w14:textId="7A4236E4" w:rsidR="00B03DD6" w:rsidRPr="00D2582B" w:rsidRDefault="00B03DD6" w:rsidP="00432FE9">
      <w:pPr>
        <w:spacing w:before="20"/>
        <w:rPr>
          <w:rFonts w:asciiTheme="minorBidi" w:hAnsiTheme="minorBidi" w:cstheme="minorBidi"/>
          <w:sz w:val="20"/>
          <w:szCs w:val="20"/>
        </w:rPr>
      </w:pPr>
    </w:p>
    <w:p w14:paraId="3745143A" w14:textId="6ABFDCD0" w:rsidR="00861D7F" w:rsidRPr="00D2582B" w:rsidRDefault="00861D7F" w:rsidP="00432FE9">
      <w:pPr>
        <w:spacing w:before="20"/>
        <w:rPr>
          <w:rFonts w:asciiTheme="minorBidi" w:hAnsiTheme="minorBidi" w:cstheme="minorBidi"/>
          <w:sz w:val="20"/>
          <w:szCs w:val="20"/>
        </w:rPr>
      </w:pPr>
      <w:r w:rsidRPr="00D2582B">
        <w:rPr>
          <w:rFonts w:asciiTheme="minorBidi" w:hAnsiTheme="minorBidi" w:cstheme="minorBidi"/>
          <w:b/>
          <w:bCs/>
          <w:sz w:val="20"/>
          <w:szCs w:val="20"/>
        </w:rPr>
        <w:t>Aims:</w:t>
      </w:r>
      <w:r w:rsidRPr="00D2582B">
        <w:rPr>
          <w:rFonts w:asciiTheme="minorBidi" w:hAnsiTheme="minorBidi" w:cstheme="minorBidi"/>
          <w:sz w:val="20"/>
          <w:szCs w:val="20"/>
        </w:rPr>
        <w:t xml:space="preserve"> The case raises important considerations regarding aeronautical fitness especially in managing chronic diseases, as Moroccan regulations and International Civil Aviation Organization (ICAO) standards necessitate strict health evaluations for air traffic controllers (ATC) as they play a crucial role in flight safety.</w:t>
      </w:r>
    </w:p>
    <w:p w14:paraId="688AAAE3" w14:textId="198A0FF6" w:rsidR="00861D7F" w:rsidRPr="00D2582B" w:rsidRDefault="00861D7F" w:rsidP="00432FE9">
      <w:pPr>
        <w:spacing w:before="20"/>
        <w:rPr>
          <w:rFonts w:asciiTheme="minorBidi" w:hAnsiTheme="minorBidi" w:cstheme="minorBidi"/>
          <w:sz w:val="20"/>
          <w:szCs w:val="20"/>
        </w:rPr>
      </w:pPr>
      <w:r w:rsidRPr="00D2582B">
        <w:rPr>
          <w:rFonts w:asciiTheme="minorBidi" w:hAnsiTheme="minorBidi" w:cstheme="minorBidi"/>
          <w:b/>
          <w:bCs/>
          <w:sz w:val="20"/>
          <w:szCs w:val="20"/>
        </w:rPr>
        <w:t>Case presentation:</w:t>
      </w:r>
      <w:r w:rsidRPr="00D2582B">
        <w:rPr>
          <w:rFonts w:asciiTheme="minorBidi" w:hAnsiTheme="minorBidi" w:cstheme="minorBidi"/>
          <w:sz w:val="20"/>
          <w:szCs w:val="20"/>
        </w:rPr>
        <w:t xml:space="preserve"> We present the case of</w:t>
      </w:r>
      <w:r w:rsidR="008E5564" w:rsidRPr="00D2582B">
        <w:rPr>
          <w:rFonts w:asciiTheme="minorBidi" w:hAnsiTheme="minorBidi" w:cstheme="minorBidi"/>
          <w:sz w:val="20"/>
          <w:szCs w:val="20"/>
        </w:rPr>
        <w:t xml:space="preserve"> a 26-year-old female Moroccan air traffic controller</w:t>
      </w:r>
      <w:r w:rsidR="000C3C17" w:rsidRPr="00D2582B">
        <w:rPr>
          <w:rFonts w:asciiTheme="minorBidi" w:hAnsiTheme="minorBidi" w:cstheme="minorBidi"/>
          <w:sz w:val="20"/>
          <w:szCs w:val="20"/>
        </w:rPr>
        <w:t xml:space="preserve"> </w:t>
      </w:r>
      <w:r w:rsidR="008E5564" w:rsidRPr="00D2582B">
        <w:rPr>
          <w:rFonts w:asciiTheme="minorBidi" w:hAnsiTheme="minorBidi" w:cstheme="minorBidi"/>
          <w:sz w:val="20"/>
          <w:szCs w:val="20"/>
        </w:rPr>
        <w:t xml:space="preserve">who </w:t>
      </w:r>
      <w:r w:rsidRPr="00D2582B">
        <w:rPr>
          <w:rFonts w:asciiTheme="minorBidi" w:hAnsiTheme="minorBidi" w:cstheme="minorBidi"/>
          <w:sz w:val="20"/>
          <w:szCs w:val="20"/>
        </w:rPr>
        <w:t xml:space="preserve">was asymptomatic but </w:t>
      </w:r>
      <w:r w:rsidR="008E5564" w:rsidRPr="00D2582B">
        <w:rPr>
          <w:rFonts w:asciiTheme="minorBidi" w:hAnsiTheme="minorBidi" w:cstheme="minorBidi"/>
          <w:sz w:val="20"/>
          <w:szCs w:val="20"/>
        </w:rPr>
        <w:t xml:space="preserve">presented with abnormal liver function tests during </w:t>
      </w:r>
      <w:r w:rsidR="00915B38" w:rsidRPr="00D2582B">
        <w:rPr>
          <w:rFonts w:asciiTheme="minorBidi" w:hAnsiTheme="minorBidi" w:cstheme="minorBidi"/>
          <w:sz w:val="20"/>
          <w:szCs w:val="20"/>
        </w:rPr>
        <w:t xml:space="preserve">her periodic </w:t>
      </w:r>
      <w:r w:rsidR="008E5564" w:rsidRPr="00D2582B">
        <w:rPr>
          <w:rFonts w:asciiTheme="minorBidi" w:hAnsiTheme="minorBidi" w:cstheme="minorBidi"/>
          <w:sz w:val="20"/>
          <w:szCs w:val="20"/>
        </w:rPr>
        <w:t>medical assessment. Comprehensive investigations, led to a diagnosis of idiopathic adulthood ductopenia</w:t>
      </w:r>
      <w:r w:rsidRPr="00D2582B">
        <w:rPr>
          <w:rFonts w:asciiTheme="minorBidi" w:hAnsiTheme="minorBidi" w:cstheme="minorBidi"/>
          <w:sz w:val="20"/>
          <w:szCs w:val="20"/>
        </w:rPr>
        <w:t xml:space="preserve"> (IAD)</w:t>
      </w:r>
    </w:p>
    <w:p w14:paraId="4F220371" w14:textId="688A9ACD" w:rsidR="00861D7F" w:rsidRPr="00D2582B" w:rsidRDefault="00861D7F" w:rsidP="00861D7F">
      <w:pPr>
        <w:spacing w:before="20"/>
        <w:rPr>
          <w:rFonts w:asciiTheme="minorBidi" w:hAnsiTheme="minorBidi" w:cstheme="minorBidi"/>
          <w:sz w:val="20"/>
          <w:szCs w:val="20"/>
        </w:rPr>
      </w:pPr>
      <w:r w:rsidRPr="00D2582B">
        <w:rPr>
          <w:rFonts w:asciiTheme="minorBidi" w:hAnsiTheme="minorBidi" w:cstheme="minorBidi"/>
          <w:b/>
          <w:bCs/>
          <w:sz w:val="20"/>
          <w:szCs w:val="20"/>
        </w:rPr>
        <w:t>Discussion</w:t>
      </w:r>
      <w:r w:rsidRPr="00D2582B">
        <w:rPr>
          <w:rFonts w:asciiTheme="minorBidi" w:hAnsiTheme="minorBidi" w:cstheme="minorBidi"/>
          <w:color w:val="000000"/>
          <w:sz w:val="20"/>
          <w:szCs w:val="20"/>
        </w:rPr>
        <w:t xml:space="preserve">: </w:t>
      </w:r>
      <w:r w:rsidRPr="00D2582B">
        <w:rPr>
          <w:rFonts w:asciiTheme="minorBidi" w:hAnsiTheme="minorBidi" w:cstheme="minorBidi"/>
          <w:sz w:val="20"/>
          <w:szCs w:val="20"/>
        </w:rPr>
        <w:t>IAD is a rare cholestatic liver disease of unknown etiology, characterized by biopsy-confirmed ductopenia without an identifiable cause. It manifests in two forms: mild (Type 1), with limited bile duct loss and a favorable prognosis, and severe (Type 2), which often progresses to biliary cirrhosis. Ursodeoxycholic acid (UDCA) has shown efficacy in mild cases, although its long-term impact remains uncertain.</w:t>
      </w:r>
    </w:p>
    <w:p w14:paraId="66EAE030" w14:textId="77777777" w:rsidR="00861D7F" w:rsidRPr="00861D7F" w:rsidRDefault="00861D7F" w:rsidP="00861D7F">
      <w:pPr>
        <w:spacing w:before="20"/>
        <w:rPr>
          <w:rFonts w:asciiTheme="minorBidi" w:hAnsiTheme="minorBidi" w:cstheme="minorBidi"/>
          <w:sz w:val="20"/>
          <w:szCs w:val="20"/>
        </w:rPr>
      </w:pPr>
      <w:r w:rsidRPr="00861D7F">
        <w:rPr>
          <w:rFonts w:asciiTheme="minorBidi" w:hAnsiTheme="minorBidi" w:cstheme="minorBidi"/>
          <w:sz w:val="20"/>
          <w:szCs w:val="20"/>
        </w:rPr>
        <w:t>Moroccan aviation standards, in alignment with ICAO guidelines, generally deem serious gastrointestinal conditions disqualifying. However, exemptions may be granted based on medical stability, treatment response, and flight safety considerations. In this case, the mild nature of IAD, absence of complications, and positive response to UDCA warranted an exemption with regular monitoring.</w:t>
      </w:r>
    </w:p>
    <w:p w14:paraId="23353523" w14:textId="4046BB42" w:rsidR="008E5564" w:rsidRPr="00D2582B" w:rsidRDefault="00861D7F" w:rsidP="00861D7F">
      <w:pPr>
        <w:spacing w:before="20"/>
        <w:rPr>
          <w:rFonts w:asciiTheme="minorBidi" w:hAnsiTheme="minorBidi" w:cstheme="minorBidi"/>
          <w:sz w:val="20"/>
          <w:szCs w:val="20"/>
        </w:rPr>
      </w:pPr>
      <w:r w:rsidRPr="00D2582B">
        <w:rPr>
          <w:rFonts w:asciiTheme="minorBidi" w:hAnsiTheme="minorBidi" w:cstheme="minorBidi"/>
          <w:b/>
          <w:bCs/>
          <w:sz w:val="20"/>
          <w:szCs w:val="20"/>
        </w:rPr>
        <w:t>Conclusion:</w:t>
      </w:r>
      <w:r w:rsidRPr="00D2582B">
        <w:rPr>
          <w:rFonts w:asciiTheme="minorBidi" w:hAnsiTheme="minorBidi" w:cstheme="minorBidi"/>
          <w:sz w:val="20"/>
          <w:szCs w:val="20"/>
        </w:rPr>
        <w:t xml:space="preserve"> This case </w:t>
      </w:r>
      <w:r w:rsidR="008E5564" w:rsidRPr="00D2582B">
        <w:rPr>
          <w:rFonts w:asciiTheme="minorBidi" w:hAnsiTheme="minorBidi" w:cstheme="minorBidi"/>
          <w:sz w:val="20"/>
          <w:szCs w:val="20"/>
        </w:rPr>
        <w:t>emphasiz</w:t>
      </w:r>
      <w:r w:rsidRPr="00D2582B">
        <w:rPr>
          <w:rFonts w:asciiTheme="minorBidi" w:hAnsiTheme="minorBidi" w:cstheme="minorBidi"/>
          <w:sz w:val="20"/>
          <w:szCs w:val="20"/>
        </w:rPr>
        <w:t>es the importance of the systematic periodic medical assessment including liver function tests, for aircrew and by extension ATC. It also underscores</w:t>
      </w:r>
      <w:r w:rsidR="008E5564" w:rsidRPr="00D2582B">
        <w:rPr>
          <w:rFonts w:asciiTheme="minorBidi" w:hAnsiTheme="minorBidi" w:cstheme="minorBidi"/>
          <w:sz w:val="20"/>
          <w:szCs w:val="20"/>
        </w:rPr>
        <w:t xml:space="preserve"> the need for nuanced management of chronic conditions within the aviation </w:t>
      </w:r>
      <w:r w:rsidR="00C5692B" w:rsidRPr="00D2582B">
        <w:rPr>
          <w:rFonts w:asciiTheme="minorBidi" w:hAnsiTheme="minorBidi" w:cstheme="minorBidi"/>
          <w:sz w:val="20"/>
          <w:szCs w:val="20"/>
        </w:rPr>
        <w:t>field</w:t>
      </w:r>
      <w:r w:rsidR="008E5564" w:rsidRPr="00D2582B">
        <w:rPr>
          <w:rFonts w:asciiTheme="minorBidi" w:hAnsiTheme="minorBidi" w:cstheme="minorBidi"/>
          <w:sz w:val="20"/>
          <w:szCs w:val="20"/>
        </w:rPr>
        <w:t>.</w:t>
      </w:r>
    </w:p>
    <w:p w14:paraId="7FD8EFEB" w14:textId="40790541" w:rsidR="008E5564" w:rsidRPr="00D2582B" w:rsidRDefault="008E5564" w:rsidP="00432FE9">
      <w:pPr>
        <w:spacing w:before="20"/>
        <w:rPr>
          <w:rFonts w:asciiTheme="minorBidi" w:hAnsiTheme="minorBidi" w:cstheme="minorBidi"/>
          <w:sz w:val="20"/>
          <w:szCs w:val="20"/>
        </w:rPr>
      </w:pPr>
    </w:p>
    <w:p w14:paraId="7DCB6441" w14:textId="5C008FA3" w:rsidR="008E5564" w:rsidRPr="00D2582B" w:rsidRDefault="008E5564" w:rsidP="00432FE9">
      <w:pPr>
        <w:spacing w:before="20"/>
        <w:rPr>
          <w:rFonts w:asciiTheme="minorBidi" w:hAnsiTheme="minorBidi" w:cstheme="minorBidi"/>
          <w:sz w:val="20"/>
          <w:szCs w:val="20"/>
        </w:rPr>
      </w:pPr>
      <w:r w:rsidRPr="00D2582B">
        <w:rPr>
          <w:rFonts w:asciiTheme="minorBidi" w:hAnsiTheme="minorBidi" w:cstheme="minorBidi"/>
          <w:i/>
          <w:iCs/>
          <w:sz w:val="20"/>
          <w:szCs w:val="20"/>
        </w:rPr>
        <w:t>Keywords:</w:t>
      </w:r>
      <w:r w:rsidR="00F9524F" w:rsidRPr="00D2582B">
        <w:rPr>
          <w:rFonts w:asciiTheme="minorBidi" w:hAnsiTheme="minorBidi" w:cstheme="minorBidi"/>
          <w:i/>
          <w:iCs/>
          <w:sz w:val="20"/>
          <w:szCs w:val="20"/>
        </w:rPr>
        <w:t xml:space="preserve"> </w:t>
      </w:r>
      <w:r w:rsidR="000C3C17" w:rsidRPr="00D2582B">
        <w:rPr>
          <w:rFonts w:asciiTheme="minorBidi" w:hAnsiTheme="minorBidi" w:cstheme="minorBidi"/>
          <w:i/>
          <w:iCs/>
          <w:sz w:val="20"/>
          <w:szCs w:val="20"/>
        </w:rPr>
        <w:t>I</w:t>
      </w:r>
      <w:r w:rsidR="00027FDC" w:rsidRPr="00D2582B">
        <w:rPr>
          <w:rFonts w:asciiTheme="minorBidi" w:hAnsiTheme="minorBidi" w:cstheme="minorBidi"/>
          <w:i/>
          <w:iCs/>
          <w:sz w:val="20"/>
          <w:szCs w:val="20"/>
        </w:rPr>
        <w:t xml:space="preserve">diopathic adulthood ductopenia, </w:t>
      </w:r>
      <w:r w:rsidR="000C3C17" w:rsidRPr="00D2582B">
        <w:rPr>
          <w:rFonts w:asciiTheme="minorBidi" w:hAnsiTheme="minorBidi" w:cstheme="minorBidi"/>
          <w:i/>
          <w:iCs/>
          <w:sz w:val="20"/>
          <w:szCs w:val="20"/>
        </w:rPr>
        <w:t>A</w:t>
      </w:r>
      <w:r w:rsidR="00F279A2" w:rsidRPr="00D2582B">
        <w:rPr>
          <w:rFonts w:asciiTheme="minorBidi" w:hAnsiTheme="minorBidi" w:cstheme="minorBidi"/>
          <w:i/>
          <w:iCs/>
          <w:sz w:val="20"/>
          <w:szCs w:val="20"/>
        </w:rPr>
        <w:t>viation</w:t>
      </w:r>
      <w:r w:rsidR="00027FDC" w:rsidRPr="00D2582B">
        <w:rPr>
          <w:rFonts w:asciiTheme="minorBidi" w:hAnsiTheme="minorBidi" w:cstheme="minorBidi"/>
          <w:i/>
          <w:iCs/>
          <w:sz w:val="20"/>
          <w:szCs w:val="20"/>
        </w:rPr>
        <w:t xml:space="preserve"> medicine, </w:t>
      </w:r>
      <w:r w:rsidR="000C3C17" w:rsidRPr="00D2582B">
        <w:rPr>
          <w:rFonts w:asciiTheme="minorBidi" w:hAnsiTheme="minorBidi" w:cstheme="minorBidi"/>
          <w:i/>
          <w:iCs/>
          <w:sz w:val="20"/>
          <w:szCs w:val="20"/>
        </w:rPr>
        <w:t>M</w:t>
      </w:r>
      <w:r w:rsidR="002B52DD" w:rsidRPr="00D2582B">
        <w:rPr>
          <w:rFonts w:asciiTheme="minorBidi" w:hAnsiTheme="minorBidi" w:cstheme="minorBidi"/>
          <w:i/>
          <w:iCs/>
          <w:sz w:val="20"/>
          <w:szCs w:val="20"/>
        </w:rPr>
        <w:t>edical fitness</w:t>
      </w:r>
      <w:r w:rsidR="00861D7F" w:rsidRPr="00D2582B">
        <w:rPr>
          <w:rFonts w:asciiTheme="minorBidi" w:hAnsiTheme="minorBidi" w:cstheme="minorBidi"/>
          <w:i/>
          <w:iCs/>
          <w:sz w:val="20"/>
          <w:szCs w:val="20"/>
        </w:rPr>
        <w:t xml:space="preserve">, </w:t>
      </w:r>
    </w:p>
    <w:p w14:paraId="5940B300" w14:textId="77777777" w:rsidR="00B03DD6" w:rsidRPr="00D2582B" w:rsidRDefault="00B03DD6" w:rsidP="00432FE9">
      <w:pPr>
        <w:spacing w:before="20"/>
        <w:rPr>
          <w:rFonts w:asciiTheme="minorBidi" w:hAnsiTheme="minorBidi" w:cstheme="minorBidi"/>
          <w:sz w:val="20"/>
          <w:szCs w:val="20"/>
        </w:rPr>
      </w:pPr>
    </w:p>
    <w:p w14:paraId="65F08F00" w14:textId="1E83CBF1" w:rsidR="00941507" w:rsidRPr="00D2582B" w:rsidRDefault="00861D7F" w:rsidP="00D2582B">
      <w:pPr>
        <w:pStyle w:val="Heading1"/>
      </w:pPr>
      <w:r w:rsidRPr="00D2582B">
        <w:t>INTRODUCTION</w:t>
      </w:r>
    </w:p>
    <w:p w14:paraId="58AAEEA1" w14:textId="77777777" w:rsidR="00941507" w:rsidRPr="00D2582B" w:rsidRDefault="00941507" w:rsidP="00D2582B">
      <w:pPr>
        <w:pStyle w:val="Heading1"/>
      </w:pPr>
    </w:p>
    <w:p w14:paraId="30918B74" w14:textId="60AEA195"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sz w:val="20"/>
          <w:szCs w:val="20"/>
        </w:rPr>
        <w:t xml:space="preserve">In the demanding field of aeronautics, managing the health of aircrew, and by extension ATC, is </w:t>
      </w:r>
      <w:r w:rsidR="00BA450D" w:rsidRPr="00D2582B">
        <w:rPr>
          <w:rFonts w:asciiTheme="minorBidi" w:hAnsiTheme="minorBidi" w:cstheme="minorBidi"/>
          <w:sz w:val="20"/>
          <w:szCs w:val="20"/>
        </w:rPr>
        <w:t>critical</w:t>
      </w:r>
      <w:r w:rsidRPr="00D2582B">
        <w:rPr>
          <w:rFonts w:asciiTheme="minorBidi" w:hAnsiTheme="minorBidi" w:cstheme="minorBidi"/>
          <w:sz w:val="20"/>
          <w:szCs w:val="20"/>
        </w:rPr>
        <w:t xml:space="preserve"> for the safety of flights and passengers which is the ultimate purpose of aeronautical medicine. This case report examines a 26-year-old female air traffic controller, asymptomatic, who presented with abnormal liver function tests during her periodic medical assessment in February 2024. Extensive medical investigation, including imaging, serological tests and liver biopsy, led to a diagnosis of idiopathic adulthood ductopenia (IAD)—a rare chronic small duct cholestatic biliary disease of unknown origin characterized by the loss of interlobular bile ducts. </w:t>
      </w:r>
    </w:p>
    <w:p w14:paraId="3A317F3F" w14:textId="64B6EDFA" w:rsidR="00941507" w:rsidRPr="00D2582B" w:rsidRDefault="00941507" w:rsidP="00BA450D">
      <w:pPr>
        <w:spacing w:before="20"/>
        <w:rPr>
          <w:rFonts w:asciiTheme="minorBidi" w:hAnsiTheme="minorBidi" w:cstheme="minorBidi"/>
          <w:sz w:val="20"/>
          <w:szCs w:val="20"/>
        </w:rPr>
      </w:pPr>
      <w:r w:rsidRPr="00D2582B">
        <w:rPr>
          <w:rFonts w:asciiTheme="minorBidi" w:hAnsiTheme="minorBidi" w:cstheme="minorBidi"/>
          <w:sz w:val="20"/>
          <w:szCs w:val="20"/>
        </w:rPr>
        <w:t xml:space="preserve">The report not only details her clinical journey, from initial assessment to diagnosis and treatment, but also explores the importance of systematic liver function tests (LFT) and the implications of IAD, as a progressive condition, on aeronautical fitness. </w:t>
      </w:r>
    </w:p>
    <w:p w14:paraId="17EB76A5" w14:textId="1F2E57DB" w:rsidR="00941507" w:rsidRPr="00D2582B" w:rsidRDefault="00941507" w:rsidP="00941507">
      <w:pPr>
        <w:spacing w:before="20"/>
        <w:rPr>
          <w:rFonts w:asciiTheme="minorBidi" w:hAnsiTheme="minorBidi" w:cstheme="minorBidi"/>
          <w:sz w:val="20"/>
          <w:szCs w:val="20"/>
        </w:rPr>
      </w:pPr>
    </w:p>
    <w:p w14:paraId="4FED3FBA" w14:textId="5AEAF9B8" w:rsidR="00861D7F" w:rsidRPr="00D2582B" w:rsidRDefault="00861D7F" w:rsidP="00D2582B">
      <w:pPr>
        <w:pStyle w:val="Heading1"/>
      </w:pPr>
      <w:r w:rsidRPr="00D2582B">
        <w:t xml:space="preserve">CASE </w:t>
      </w:r>
      <w:r w:rsidR="004B6EEC">
        <w:t xml:space="preserve">PRESENTATION </w:t>
      </w:r>
    </w:p>
    <w:p w14:paraId="3F335ADA" w14:textId="77777777" w:rsidR="00941507" w:rsidRPr="00D2582B" w:rsidRDefault="00941507" w:rsidP="00941507">
      <w:pPr>
        <w:spacing w:before="20"/>
        <w:rPr>
          <w:rFonts w:asciiTheme="minorBidi" w:hAnsiTheme="minorBidi" w:cstheme="minorBidi"/>
          <w:sz w:val="20"/>
          <w:szCs w:val="20"/>
          <w:u w:val="single"/>
        </w:rPr>
      </w:pPr>
    </w:p>
    <w:p w14:paraId="30313EE7" w14:textId="48F96B21" w:rsidR="00941507" w:rsidRPr="00D2582B" w:rsidRDefault="00941507" w:rsidP="00941507">
      <w:pPr>
        <w:pStyle w:val="NormalWeb"/>
        <w:spacing w:before="20" w:beforeAutospacing="0" w:after="0" w:afterAutospacing="0"/>
        <w:rPr>
          <w:rFonts w:asciiTheme="minorBidi" w:hAnsiTheme="minorBidi" w:cstheme="minorBidi"/>
          <w:sz w:val="20"/>
          <w:szCs w:val="20"/>
        </w:rPr>
      </w:pPr>
      <w:r w:rsidRPr="00D2582B">
        <w:rPr>
          <w:rFonts w:asciiTheme="minorBidi" w:hAnsiTheme="minorBidi" w:cstheme="minorBidi"/>
          <w:sz w:val="20"/>
          <w:szCs w:val="20"/>
        </w:rPr>
        <w:t xml:space="preserve">A 26-years-old Moroccan </w:t>
      </w:r>
      <w:r w:rsidR="00BA450D" w:rsidRPr="00D2582B">
        <w:rPr>
          <w:rFonts w:asciiTheme="minorBidi" w:hAnsiTheme="minorBidi" w:cstheme="minorBidi"/>
          <w:sz w:val="20"/>
          <w:szCs w:val="20"/>
        </w:rPr>
        <w:t xml:space="preserve">female </w:t>
      </w:r>
      <w:r w:rsidRPr="00D2582B">
        <w:rPr>
          <w:rFonts w:asciiTheme="minorBidi" w:hAnsiTheme="minorBidi" w:cstheme="minorBidi"/>
          <w:sz w:val="20"/>
          <w:szCs w:val="20"/>
        </w:rPr>
        <w:t xml:space="preserve">ATC presented on her periodic medical assessment on February 2024, abnormal LFT with no symptoms. She had history of asymptomatic cholestasis attributed to use of paracetamol which was discovered during her last systematically conducted periodic medical assessment in 2022. The condition resolved after discontinuing the said treatment. </w:t>
      </w:r>
      <w:r w:rsidRPr="00D2582B">
        <w:rPr>
          <w:rFonts w:asciiTheme="minorBidi" w:hAnsiTheme="minorBidi" w:cstheme="minorBidi"/>
          <w:color w:val="000000" w:themeColor="text1"/>
          <w:sz w:val="20"/>
          <w:szCs w:val="20"/>
        </w:rPr>
        <w:t>She stated no other medical history on her declaration form.</w:t>
      </w:r>
      <w:r w:rsidRPr="00D2582B">
        <w:rPr>
          <w:rFonts w:asciiTheme="minorBidi" w:hAnsiTheme="minorBidi" w:cstheme="minorBidi"/>
          <w:color w:val="FF0000"/>
          <w:sz w:val="20"/>
          <w:szCs w:val="20"/>
        </w:rPr>
        <w:t xml:space="preserve"> </w:t>
      </w:r>
      <w:r w:rsidRPr="00D2582B">
        <w:rPr>
          <w:rFonts w:asciiTheme="minorBidi" w:hAnsiTheme="minorBidi" w:cstheme="minorBidi"/>
          <w:sz w:val="20"/>
          <w:szCs w:val="20"/>
        </w:rPr>
        <w:t xml:space="preserve">Physical examination showed no </w:t>
      </w:r>
      <w:r w:rsidR="00BA450D" w:rsidRPr="00D2582B">
        <w:rPr>
          <w:rFonts w:asciiTheme="minorBidi" w:hAnsiTheme="minorBidi" w:cstheme="minorBidi"/>
          <w:color w:val="000000"/>
          <w:sz w:val="20"/>
          <w:szCs w:val="20"/>
        </w:rPr>
        <w:t>signs of chronic liver disease such as jaundice, hepatomegaly, or signs of cirrhosis</w:t>
      </w:r>
      <w:r w:rsidRPr="00D2582B">
        <w:rPr>
          <w:rFonts w:asciiTheme="minorBidi" w:hAnsiTheme="minorBidi" w:cstheme="minorBidi"/>
          <w:sz w:val="20"/>
          <w:szCs w:val="20"/>
        </w:rPr>
        <w:t xml:space="preserve">. Her laboratory tests revealed </w:t>
      </w:r>
      <w:r w:rsidRPr="00D2582B">
        <w:rPr>
          <w:rFonts w:asciiTheme="minorBidi" w:hAnsiTheme="minorBidi" w:cstheme="minorBidi"/>
          <w:color w:val="000000" w:themeColor="text1"/>
          <w:sz w:val="20"/>
          <w:szCs w:val="20"/>
          <w:shd w:val="clear" w:color="auto" w:fill="FFFFFF"/>
        </w:rPr>
        <w:lastRenderedPageBreak/>
        <w:t>hemoglobin</w:t>
      </w:r>
      <w:r w:rsidR="00BA450D" w:rsidRPr="00D2582B">
        <w:rPr>
          <w:rFonts w:asciiTheme="minorBidi" w:hAnsiTheme="minorBidi" w:cstheme="minorBidi"/>
          <w:color w:val="000000" w:themeColor="text1"/>
          <w:sz w:val="20"/>
          <w:szCs w:val="20"/>
          <w:shd w:val="clear" w:color="auto" w:fill="FFFFFF"/>
        </w:rPr>
        <w:t xml:space="preserve"> </w:t>
      </w:r>
      <w:r w:rsidRPr="00D2582B">
        <w:rPr>
          <w:rFonts w:asciiTheme="minorBidi" w:hAnsiTheme="minorBidi" w:cstheme="minorBidi"/>
          <w:color w:val="000000" w:themeColor="text1"/>
          <w:sz w:val="20"/>
          <w:szCs w:val="20"/>
          <w:shd w:val="clear" w:color="auto" w:fill="FFFFFF"/>
        </w:rPr>
        <w:t>12.9 g/dL, white blood count 4500/mm</w:t>
      </w:r>
      <w:r w:rsidRPr="00D2582B">
        <w:rPr>
          <w:rFonts w:asciiTheme="minorBidi" w:hAnsiTheme="minorBidi" w:cstheme="minorBidi"/>
          <w:color w:val="000000" w:themeColor="text1"/>
          <w:sz w:val="20"/>
          <w:szCs w:val="20"/>
          <w:vertAlign w:val="superscript"/>
        </w:rPr>
        <w:t>3</w:t>
      </w:r>
      <w:r w:rsidRPr="00D2582B">
        <w:rPr>
          <w:rFonts w:asciiTheme="minorBidi" w:hAnsiTheme="minorBidi" w:cstheme="minorBidi"/>
          <w:color w:val="000000" w:themeColor="text1"/>
          <w:sz w:val="20"/>
          <w:szCs w:val="20"/>
          <w:shd w:val="clear" w:color="auto" w:fill="FFFFFF"/>
        </w:rPr>
        <w:t>, platelets 184,000/mm</w:t>
      </w:r>
      <w:r w:rsidRPr="00D2582B">
        <w:rPr>
          <w:rFonts w:asciiTheme="minorBidi" w:hAnsiTheme="minorBidi" w:cstheme="minorBidi"/>
          <w:color w:val="000000" w:themeColor="text1"/>
          <w:sz w:val="20"/>
          <w:szCs w:val="20"/>
          <w:vertAlign w:val="superscript"/>
        </w:rPr>
        <w:t>3</w:t>
      </w:r>
      <w:r w:rsidRPr="00D2582B">
        <w:rPr>
          <w:rFonts w:asciiTheme="minorBidi" w:hAnsiTheme="minorBidi" w:cstheme="minorBidi"/>
          <w:color w:val="000000" w:themeColor="text1"/>
          <w:sz w:val="20"/>
          <w:szCs w:val="20"/>
          <w:shd w:val="clear" w:color="auto" w:fill="FFFFFF"/>
        </w:rPr>
        <w:t xml:space="preserve">, alanine aminotransferase (ALT) 138 IU/L, aspartate aminotransferase (AST) 194 IU/L, alkaline phosphatase (ALP) 928 IU/L, γ-glutamyl transpeptidase (GGT) 539 IU/L, total bilirubin 1 mg/dL and total cholesterol of 353 mg/dL. In light of the detected abnormalities, a more thorough medical interview was conducted. Our ATC had </w:t>
      </w:r>
      <w:r w:rsidRPr="00D2582B">
        <w:rPr>
          <w:rFonts w:asciiTheme="minorBidi" w:hAnsiTheme="minorBidi" w:cstheme="minorBidi"/>
          <w:sz w:val="20"/>
          <w:szCs w:val="20"/>
        </w:rPr>
        <w:t>history of prematurity birth but no history of neonatal or childhood jaundice, nor of liver disease or auto-immune disease</w:t>
      </w:r>
      <w:r w:rsidRPr="00D2582B">
        <w:rPr>
          <w:rFonts w:asciiTheme="minorBidi" w:hAnsiTheme="minorBidi" w:cstheme="minorBidi"/>
          <w:sz w:val="20"/>
          <w:szCs w:val="20"/>
          <w:shd w:val="clear" w:color="auto" w:fill="FFFFFF"/>
        </w:rPr>
        <w:t xml:space="preserve">. </w:t>
      </w:r>
      <w:r w:rsidRPr="00D2582B">
        <w:rPr>
          <w:rFonts w:asciiTheme="minorBidi" w:hAnsiTheme="minorBidi" w:cstheme="minorBidi"/>
          <w:sz w:val="20"/>
          <w:szCs w:val="20"/>
        </w:rPr>
        <w:t>She denied any recent use of prescription medication, herbal medication, alcohol or illicit drugs. And there was no family history of recurrent cholestatic disorder or liver disease.</w:t>
      </w:r>
    </w:p>
    <w:p w14:paraId="6C46F85C" w14:textId="77777777" w:rsidR="00941507" w:rsidRPr="00D2582B" w:rsidRDefault="00941507" w:rsidP="00941507">
      <w:pPr>
        <w:pStyle w:val="NormalWeb"/>
        <w:spacing w:before="20" w:beforeAutospacing="0" w:after="0" w:afterAutospacing="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She was declared temporarily unfit for work and referred to a gastroenterologist for etiological assessment of the cholestasis.</w:t>
      </w:r>
    </w:p>
    <w:p w14:paraId="3EF99E01" w14:textId="77777777" w:rsidR="00BA450D" w:rsidRPr="00BA450D" w:rsidRDefault="00BA450D" w:rsidP="00BA450D">
      <w:pPr>
        <w:pStyle w:val="NormalWeb"/>
        <w:spacing w:before="20" w:beforeAutospacing="0" w:after="0" w:afterAutospacing="0"/>
        <w:rPr>
          <w:rFonts w:asciiTheme="minorBidi" w:hAnsiTheme="minorBidi" w:cstheme="minorBidi"/>
          <w:sz w:val="20"/>
          <w:szCs w:val="20"/>
        </w:rPr>
      </w:pPr>
      <w:r w:rsidRPr="00BA450D">
        <w:rPr>
          <w:rFonts w:asciiTheme="minorBidi" w:hAnsiTheme="minorBidi" w:cstheme="minorBidi"/>
          <w:sz w:val="20"/>
          <w:szCs w:val="20"/>
        </w:rPr>
        <w:t>The viral hepatitis panel for both hepatitis B and C was negative. Additional tests, including metabolic disease screening, revealed normal levels of copper in 24-hour urine, ceruloplasmin, alpha-1-antitrypsin, serum immunoglobulins, and protein electrophoresis. Autoimmune markers for anti-nuclear, anti-smooth muscle, anti-mitochondrial, anti-liver-kidney microsome, anti-liver cytosol, and anti-soluble liver antigen antibodies were all negative, effectively ruling out autoimmune diseases such as autoimmune hepatitis or primary biliary cholangitis (PBC).</w:t>
      </w:r>
    </w:p>
    <w:p w14:paraId="5CDA3C37" w14:textId="77777777" w:rsidR="00941507" w:rsidRPr="00D2582B" w:rsidRDefault="00941507" w:rsidP="00941507">
      <w:pPr>
        <w:pStyle w:val="NormalWeb"/>
        <w:spacing w:before="20" w:beforeAutospacing="0" w:after="0" w:afterAutospacing="0"/>
        <w:rPr>
          <w:rFonts w:asciiTheme="minorBidi" w:hAnsiTheme="minorBidi" w:cstheme="minorBidi"/>
          <w:color w:val="000000" w:themeColor="text1"/>
          <w:sz w:val="20"/>
          <w:szCs w:val="20"/>
        </w:rPr>
      </w:pPr>
      <w:r w:rsidRPr="00D2582B">
        <w:rPr>
          <w:rFonts w:asciiTheme="minorBidi" w:hAnsiTheme="minorBidi" w:cstheme="minorBidi"/>
          <w:sz w:val="20"/>
          <w:szCs w:val="20"/>
        </w:rPr>
        <w:t xml:space="preserve">Abdominal ultrasound showed no evidence of intra- or extrahepatic biliary dilation or cholelithiasis. Esophagogastroduodenoscopy and coloscopy </w:t>
      </w:r>
      <w:r w:rsidRPr="00D2582B">
        <w:rPr>
          <w:rFonts w:asciiTheme="minorBidi" w:hAnsiTheme="minorBidi" w:cstheme="minorBidi"/>
          <w:color w:val="000000" w:themeColor="text1"/>
          <w:sz w:val="20"/>
          <w:szCs w:val="20"/>
        </w:rPr>
        <w:t>did not show evidence of inflammatory bowel disease.</w:t>
      </w:r>
    </w:p>
    <w:p w14:paraId="3B44F19B" w14:textId="77777777" w:rsidR="00941507" w:rsidRPr="00D2582B" w:rsidRDefault="00941507" w:rsidP="00941507">
      <w:pPr>
        <w:spacing w:before="20"/>
        <w:rPr>
          <w:rFonts w:asciiTheme="minorBidi" w:hAnsiTheme="minorBidi" w:cstheme="minorBidi"/>
          <w:color w:val="FF0000"/>
          <w:sz w:val="20"/>
          <w:szCs w:val="20"/>
          <w:shd w:val="clear" w:color="auto" w:fill="FFFFFF"/>
        </w:rPr>
      </w:pPr>
      <w:r w:rsidRPr="00D2582B">
        <w:rPr>
          <w:rFonts w:asciiTheme="minorBidi" w:hAnsiTheme="minorBidi" w:cstheme="minorBidi"/>
          <w:color w:val="000000" w:themeColor="text1"/>
          <w:sz w:val="20"/>
          <w:szCs w:val="20"/>
          <w:shd w:val="clear" w:color="auto" w:fill="FFFFFF"/>
        </w:rPr>
        <w:t>Considering the absence of an evident etiology, a liver biopsy was conducted and had demonstrated a lack of interlobular bile ducts with bile ducts present in three out of five portal tracts (absence of bile ducts in 40% of the portal tracts), as well as chronic hepatitis with mild activity and portal fibrosis (</w:t>
      </w:r>
      <w:proofErr w:type="spellStart"/>
      <w:r w:rsidRPr="00D2582B">
        <w:rPr>
          <w:rFonts w:asciiTheme="minorBidi" w:hAnsiTheme="minorBidi" w:cstheme="minorBidi"/>
          <w:color w:val="000000" w:themeColor="text1"/>
          <w:sz w:val="20"/>
          <w:szCs w:val="20"/>
          <w:shd w:val="clear" w:color="auto" w:fill="FFFFFF"/>
        </w:rPr>
        <w:t>Metavir</w:t>
      </w:r>
      <w:proofErr w:type="spellEnd"/>
      <w:r w:rsidRPr="00D2582B">
        <w:rPr>
          <w:rFonts w:asciiTheme="minorBidi" w:hAnsiTheme="minorBidi" w:cstheme="minorBidi"/>
          <w:color w:val="000000" w:themeColor="text1"/>
          <w:sz w:val="20"/>
          <w:szCs w:val="20"/>
          <w:shd w:val="clear" w:color="auto" w:fill="FFFFFF"/>
        </w:rPr>
        <w:t xml:space="preserve"> score: A1F2) associated with minimal hepatocyte cholestasis. </w:t>
      </w:r>
    </w:p>
    <w:p w14:paraId="5EF5A92A" w14:textId="77777777" w:rsidR="00941507" w:rsidRPr="00D2582B" w:rsidRDefault="00941507" w:rsidP="00941507">
      <w:pPr>
        <w:spacing w:before="20"/>
        <w:rPr>
          <w:rFonts w:asciiTheme="minorBidi" w:hAnsiTheme="minorBidi" w:cstheme="minorBidi"/>
          <w:color w:val="000000" w:themeColor="text1"/>
          <w:sz w:val="20"/>
          <w:szCs w:val="20"/>
          <w:shd w:val="clear" w:color="auto" w:fill="FFFFFF"/>
        </w:rPr>
      </w:pPr>
    </w:p>
    <w:p w14:paraId="4D716403" w14:textId="0479F037" w:rsidR="00941507" w:rsidRPr="00D2582B" w:rsidRDefault="00941507" w:rsidP="00031A0F">
      <w:pPr>
        <w:keepNext/>
        <w:spacing w:before="20"/>
        <w:jc w:val="center"/>
        <w:rPr>
          <w:rFonts w:asciiTheme="minorBidi" w:hAnsiTheme="minorBidi" w:cstheme="minorBidi"/>
          <w:sz w:val="20"/>
          <w:szCs w:val="20"/>
        </w:rPr>
      </w:pPr>
      <w:r w:rsidRPr="00D2582B">
        <w:rPr>
          <w:rFonts w:asciiTheme="minorBidi" w:hAnsiTheme="minorBidi" w:cstheme="minorBidi"/>
          <w:noProof/>
          <w:color w:val="000000" w:themeColor="text1"/>
          <w:sz w:val="20"/>
          <w:szCs w:val="20"/>
          <w:shd w:val="clear" w:color="auto" w:fill="FFFFFF"/>
        </w:rPr>
        <w:drawing>
          <wp:inline distT="0" distB="0" distL="0" distR="0" wp14:anchorId="3B096579" wp14:editId="42A59AED">
            <wp:extent cx="3903525" cy="1913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1-13 at 15.37.25.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5001" cy="1963643"/>
                    </a:xfrm>
                    <a:prstGeom prst="rect">
                      <a:avLst/>
                    </a:prstGeom>
                  </pic:spPr>
                </pic:pic>
              </a:graphicData>
            </a:graphic>
          </wp:inline>
        </w:drawing>
      </w:r>
    </w:p>
    <w:p w14:paraId="1216970B" w14:textId="55012BF2" w:rsidR="00941507" w:rsidRPr="00D2582B" w:rsidRDefault="00941507" w:rsidP="00941507">
      <w:pPr>
        <w:pStyle w:val="Caption"/>
        <w:spacing w:before="20" w:after="0"/>
        <w:jc w:val="center"/>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 xml:space="preserve">Figure </w:t>
      </w:r>
      <w:r w:rsidRPr="00D2582B">
        <w:rPr>
          <w:rFonts w:asciiTheme="minorBidi" w:hAnsiTheme="minorBidi" w:cstheme="minorBidi"/>
          <w:noProof/>
          <w:color w:val="000000" w:themeColor="text1"/>
          <w:sz w:val="20"/>
          <w:szCs w:val="20"/>
        </w:rPr>
        <w:fldChar w:fldCharType="begin"/>
      </w:r>
      <w:r w:rsidRPr="00D2582B">
        <w:rPr>
          <w:rFonts w:asciiTheme="minorBidi" w:hAnsiTheme="minorBidi" w:cstheme="minorBidi"/>
          <w:noProof/>
          <w:color w:val="000000" w:themeColor="text1"/>
          <w:sz w:val="20"/>
          <w:szCs w:val="20"/>
        </w:rPr>
        <w:instrText xml:space="preserve"> SEQ Figure \* ARABIC </w:instrText>
      </w:r>
      <w:r w:rsidRPr="00D2582B">
        <w:rPr>
          <w:rFonts w:asciiTheme="minorBidi" w:hAnsiTheme="minorBidi" w:cstheme="minorBidi"/>
          <w:noProof/>
          <w:color w:val="000000" w:themeColor="text1"/>
          <w:sz w:val="20"/>
          <w:szCs w:val="20"/>
        </w:rPr>
        <w:fldChar w:fldCharType="separate"/>
      </w:r>
      <w:r w:rsidRPr="00D2582B">
        <w:rPr>
          <w:rFonts w:asciiTheme="minorBidi" w:hAnsiTheme="minorBidi" w:cstheme="minorBidi"/>
          <w:noProof/>
          <w:color w:val="000000" w:themeColor="text1"/>
          <w:sz w:val="20"/>
          <w:szCs w:val="20"/>
        </w:rPr>
        <w:t>1</w:t>
      </w:r>
      <w:r w:rsidRPr="00D2582B">
        <w:rPr>
          <w:rFonts w:asciiTheme="minorBidi" w:hAnsiTheme="minorBidi" w:cstheme="minorBidi"/>
          <w:noProof/>
          <w:color w:val="000000" w:themeColor="text1"/>
          <w:sz w:val="20"/>
          <w:szCs w:val="20"/>
        </w:rPr>
        <w:fldChar w:fldCharType="end"/>
      </w:r>
      <w:r w:rsidRPr="00D2582B">
        <w:rPr>
          <w:rFonts w:asciiTheme="minorBidi" w:hAnsiTheme="minorBidi" w:cstheme="minorBidi"/>
          <w:color w:val="000000" w:themeColor="text1"/>
          <w:sz w:val="20"/>
          <w:szCs w:val="20"/>
        </w:rPr>
        <w:t>: Histology findings of the liver biopsy specimen</w:t>
      </w:r>
    </w:p>
    <w:p w14:paraId="28FFC512" w14:textId="77777777" w:rsidR="00031A0F" w:rsidRPr="00D2582B" w:rsidRDefault="00031A0F" w:rsidP="00031A0F">
      <w:pPr>
        <w:rPr>
          <w:rFonts w:asciiTheme="minorBidi" w:hAnsiTheme="minorBidi" w:cstheme="minorBidi"/>
          <w:sz w:val="20"/>
          <w:szCs w:val="20"/>
        </w:rPr>
      </w:pPr>
    </w:p>
    <w:p w14:paraId="07AD2D35" w14:textId="161FFF3C" w:rsidR="00941507" w:rsidRPr="00D2582B" w:rsidRDefault="00941507" w:rsidP="00BA450D">
      <w:pPr>
        <w:pStyle w:val="NormalWeb"/>
        <w:spacing w:before="20" w:beforeAutospacing="0" w:after="0" w:afterAutospacing="0"/>
        <w:rPr>
          <w:rFonts w:asciiTheme="minorBidi" w:hAnsiTheme="minorBidi" w:cstheme="minorBidi"/>
          <w:color w:val="000000" w:themeColor="text1"/>
          <w:sz w:val="20"/>
          <w:szCs w:val="20"/>
          <w:shd w:val="clear" w:color="auto" w:fill="FFFFFF"/>
        </w:rPr>
      </w:pPr>
      <w:r w:rsidRPr="00D2582B">
        <w:rPr>
          <w:rFonts w:asciiTheme="minorBidi" w:hAnsiTheme="minorBidi" w:cstheme="minorBidi"/>
          <w:sz w:val="20"/>
          <w:szCs w:val="20"/>
        </w:rPr>
        <w:t xml:space="preserve">Our ATC was diagnosed with IAD. Treatment was started with Ursodeoxycholic Acid (UDCA) at doses of 200mg thrice daily. </w:t>
      </w:r>
      <w:r w:rsidR="00BA450D" w:rsidRPr="00D2582B">
        <w:rPr>
          <w:rFonts w:asciiTheme="minorBidi" w:hAnsiTheme="minorBidi" w:cstheme="minorBidi"/>
          <w:color w:val="000000" w:themeColor="text1"/>
          <w:sz w:val="20"/>
          <w:szCs w:val="20"/>
        </w:rPr>
        <w:t>After one month of treatment, the patient’s liver function tests showed significant improvement. The ALT dropped to 51 IU/L, AST to 81 IU/L, ALP to 766 IU/L, and GGT to 115 IU/L. Clinically, the patient remained asymptomatic.</w:t>
      </w:r>
    </w:p>
    <w:p w14:paraId="19AC042D" w14:textId="77777777" w:rsidR="00941507" w:rsidRPr="00D2582B" w:rsidRDefault="00941507" w:rsidP="00941507">
      <w:pPr>
        <w:pStyle w:val="NormalWeb"/>
        <w:spacing w:before="20" w:beforeAutospacing="0" w:after="0" w:afterAutospacing="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 xml:space="preserve">Given the relatively favorable evolution of the biological parameters, the good tolerance of the treatment and the absence of any psychological impact, her file was presented to the committee of experts in aeronautical medicine, which granted her an aptitude by exemption with regular trimestral monitoring. </w:t>
      </w:r>
    </w:p>
    <w:p w14:paraId="7728F57B" w14:textId="77777777" w:rsidR="00941507" w:rsidRPr="00D2582B" w:rsidRDefault="00941507" w:rsidP="00941507">
      <w:pPr>
        <w:pStyle w:val="NormalWeb"/>
        <w:spacing w:before="20" w:beforeAutospacing="0" w:after="0" w:afterAutospacing="0"/>
        <w:rPr>
          <w:rFonts w:asciiTheme="minorBidi" w:hAnsiTheme="minorBidi" w:cstheme="minorBidi"/>
          <w:color w:val="000000" w:themeColor="text1"/>
          <w:sz w:val="20"/>
          <w:szCs w:val="20"/>
        </w:rPr>
      </w:pPr>
    </w:p>
    <w:p w14:paraId="795E664B" w14:textId="4B9D10D5" w:rsidR="00941507" w:rsidRPr="00D2582B" w:rsidRDefault="00861D7F" w:rsidP="00D2582B">
      <w:pPr>
        <w:pStyle w:val="Heading1"/>
      </w:pPr>
      <w:r w:rsidRPr="00D2582B">
        <w:t>DISCUSSION</w:t>
      </w:r>
    </w:p>
    <w:p w14:paraId="358739C4" w14:textId="77777777" w:rsidR="00941507" w:rsidRPr="00D2582B" w:rsidRDefault="00941507" w:rsidP="00941507">
      <w:pPr>
        <w:pStyle w:val="NormalWeb"/>
        <w:spacing w:before="20" w:beforeAutospacing="0" w:after="0" w:afterAutospacing="0"/>
        <w:rPr>
          <w:rFonts w:asciiTheme="minorBidi" w:hAnsiTheme="minorBidi" w:cstheme="minorBidi"/>
          <w:sz w:val="20"/>
          <w:szCs w:val="20"/>
          <w:u w:val="single"/>
        </w:rPr>
      </w:pPr>
    </w:p>
    <w:p w14:paraId="1FBFEB0C" w14:textId="77777777" w:rsidR="00941507" w:rsidRPr="00D2582B" w:rsidRDefault="00941507" w:rsidP="00941507">
      <w:pPr>
        <w:pStyle w:val="NormalWeb"/>
        <w:spacing w:before="20" w:beforeAutospacing="0" w:after="0" w:afterAutospacing="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Perturbations in LFT, particularly cholestasis, are frequently encountered in aeronautical expertise. In most cases, the evaluation reveals a benign condition such as liver steatosis, which requires lifestyle and dietary modifications along with regular follow-up. However, the discovery of IAD in flying personnel remains an exceptional occurrence.</w:t>
      </w:r>
    </w:p>
    <w:p w14:paraId="20A8F2D8" w14:textId="774145BB"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sz w:val="20"/>
          <w:szCs w:val="20"/>
        </w:rPr>
        <w:t xml:space="preserve">Idiopathic adulthood ductopenia is a rare small-duct biliary disease that was first described by Ludwig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{"citationID":"iWiRkPKe","properties":{"formattedCitation":"(2)","plainCitation":"(2)","noteIndex":0},"citationItems":[{"id":366,"uris":["http://zotero.org/users/12151833/items/5CNHQ4C7"],"itemData":{"id":366,"type":"article-journal","container-title":"Journal of Hepatology","DOI":"10.1016/s0168-8278(88)80482-3","ISSN":"0168-8278","issue":"2","language":"en","license":"https://www.elsevier.com/tdm/userlicense/1.0/","note":"publisher: Elsevier BV","page":"193-199","source":"Crossref","title":"Idiopathic adulthood ductopenia","volume":"7","author":[{"family":"Ludwig","given":"Jurgen"},{"family":"Wiesner","given":"Russell H."},{"family":"LaRusso","given":"Nicholas F."}],"issued":{"date-parts":[["1988",1]]}}}],"schema":"https://github.com/citation-style-language/schema/raw/master/csl-citation.json"}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(2)</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in 1988. In a retrospective review of 2082 cases of small-duct biliary diseases, diagnosed between 1988 and 1994, IAD accounts for only 1.2%, while primary sclerosing cholangitis (PSC) and PBC</w:t>
      </w:r>
      <w:r w:rsidR="00AA77FC" w:rsidRPr="00D2582B">
        <w:rPr>
          <w:rFonts w:asciiTheme="minorBidi" w:hAnsiTheme="minorBidi" w:cstheme="minorBidi"/>
          <w:sz w:val="20"/>
          <w:szCs w:val="20"/>
        </w:rPr>
        <w:t xml:space="preserve"> </w:t>
      </w:r>
      <w:r w:rsidRPr="00D2582B">
        <w:rPr>
          <w:rFonts w:asciiTheme="minorBidi" w:hAnsiTheme="minorBidi" w:cstheme="minorBidi"/>
          <w:sz w:val="20"/>
          <w:szCs w:val="20"/>
        </w:rPr>
        <w:t xml:space="preserve">constitute 93%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{"citationID":"AJMU0YFp","properties":{"formattedCitation":"(3)","plainCitation":"(3)","noteIndex":0},"citationItems":[{"id":315,"uris":["http://zotero.org/users/12151833/items/9F9TFMF6"],"itemData":{"id":315,"type":"article-journal","container-title":"Mayo Clinic Proceedings","DOI":"10.4065/73.3.285","ISSN":"00256196","issue":"3","journalAbbreviation":"Mayo Clinic Proceedings","language":"en","license":"https://www.elsevier.com/tdm/userlicense/1.0/","page":"285-291","source":"DOI.org (Crossref)","title":"Idiopathic Adulthood Ductopenia: An Update","title-short":"Idiopathic Adulthood Ductopenia","volume":"73","author":[{"family":"Ludwig","given":"Jurgen"}],"issued":{"date-parts":[["1998",3]]}}}],"schema":"https://github.com/citation-style-language/schema/raw/master/csl-citation.json"}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(3)</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w:t>
      </w:r>
    </w:p>
    <w:p w14:paraId="0C7906E3" w14:textId="77777777"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sz w:val="20"/>
          <w:szCs w:val="20"/>
        </w:rPr>
        <w:lastRenderedPageBreak/>
        <w:t xml:space="preserve">Essentially, IAD constitutes a syndrome characterized by chronic cholestasis without inflammatory bowel disease, alongside biopsy-confirmed ductopenia, for which no discernible cause of bile duct loss can be ascertained through imaging, biopsy, or serology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{"citationID":"Se1TK9Ar","properties":{"formattedCitation":"(4)","plainCitation":"(4)","noteIndex":0},"citationItems":[{"id":342,"uris":["http://zotero.org/users/12151833/items/KPTYA3A4"],"itemData":{"id":342,"type":"article-journal","container-title":"Clinics in Liver Disease","DOI":"10.1016/j.cld.2007.11.007","ISSN":"10893261","issue":"1","journalAbbreviation":"Clinics in Liver Disease","language":"en","license":"https://www.elsevier.com/tdm/userlicense/1.0/","page":"203-217","source":"DOI.org (Crossref)","title":"Vanishing Bile Duct Syndrome","volume":"12","author":[{"family":"Reau","given":"Nancy S."},{"family":"Jensen","given":"Donald M."}],"issued":{"date-parts":[["2008",2]]}}}],"schema":"https://github.com/citation-style-language/schema/raw/master/csl-citation.json"}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(4)</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w:t>
      </w:r>
    </w:p>
    <w:p w14:paraId="1A09F1B5" w14:textId="56017174"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sz w:val="20"/>
          <w:szCs w:val="20"/>
        </w:rPr>
        <w:t>Although most cases are sporadic, which is the case of our ATC, familial cases do occur</w:t>
      </w:r>
      <w:r w:rsidR="00AA77FC" w:rsidRPr="00D2582B">
        <w:rPr>
          <w:rFonts w:asciiTheme="minorBidi" w:hAnsiTheme="minorBidi" w:cstheme="minorBidi"/>
          <w:sz w:val="20"/>
          <w:szCs w:val="20"/>
        </w:rPr>
        <w:t xml:space="preserve"> as reported by</w:t>
      </w:r>
      <w:r w:rsidRPr="00D2582B">
        <w:rPr>
          <w:rFonts w:asciiTheme="minorBidi" w:hAnsiTheme="minorBidi" w:cstheme="minorBidi"/>
          <w:sz w:val="20"/>
          <w:szCs w:val="20"/>
        </w:rPr>
        <w:t xml:space="preserve"> Zafrani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AIEUmOkF","properties":{"formattedCitation":"(5)","plainCitation":"(5)","noteIndex":0},"citationItems":[{"id":346,"uris":["http://zotero.org/users/12151833/items/R2E3P59W"],"itemData":{"id":346,"type":"article-journal","container-title":"Gastroenterology","DOI":"10.1016/0016-5085(90)90494-L","ISSN":"00165085","issue":"6","journalAbbreviation":"Gastroenterology","language":"en","license":"https://www.elsevier.com/tdm/userlicense/1.0/","page":"1823-1828","source":"DOI.org (Crossref)","title":"Idiopathic biliary ductopenia in adults: A report of five cases","title-short":"Idiopathic biliary ductopenia in adults","volume":"99","author":[{"family":"Zafrani","given":"Elie Serge"},{"family":"Metreau","given":"Jean-Michel"},{"family":"Douvin","given":"Catherine"},{"family":"Larrey","given":"Dominique"},{"family":"Massari","given":"René"},{"family":"Reynes","given":"Michel"},{"family":"Doffoel","given":"Michel"},{"family":"Benhamou","given":"Jean-Pierre"},{"family":"Dhumeaux","given":"Daniel"}],"issued":{"date-parts":[["1990",12]]}}}],"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(5)</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w:t>
      </w:r>
      <w:r w:rsidR="00AA77FC" w:rsidRPr="00D2582B">
        <w:rPr>
          <w:rFonts w:asciiTheme="minorBidi" w:hAnsiTheme="minorBidi" w:cstheme="minorBidi"/>
          <w:sz w:val="20"/>
          <w:szCs w:val="20"/>
        </w:rPr>
        <w:t>and</w:t>
      </w:r>
      <w:r w:rsidRPr="00D2582B">
        <w:rPr>
          <w:rFonts w:asciiTheme="minorBidi" w:hAnsiTheme="minorBidi" w:cstheme="minorBidi"/>
          <w:sz w:val="20"/>
          <w:szCs w:val="20"/>
        </w:rPr>
        <w:t xml:space="preserve"> Burak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{"citationID":"SqcIZt1W","properties":{"formattedCitation":"(6)","plainCitation":"(6)","noteIndex":0},"citationItems":[{"id":344,"uris":["http://zotero.org/users/12151833/items/IVDAJ6ZE"],"itemData":{"id":344,"type":"article-journal","container-title":"Journal of Hepatology","DOI":"10.1016/S0168-8278(00)80203-2","ISSN":"01688278","issue":"1","journalAbbreviation":"Journal of Hepatology","language":"en","license":"https://www.elsevier.com/tdm/userlicense/1.0/","page":"159-163","source":"DOI.org (Crossref)","title":"Familial idiopathic adulthood ductopenia: a report of five cases in three generations","title-short":"Familial idiopathic adulthood ductopenia","volume":"32","author":[{"family":"Burak","given":"Kelly W"},{"family":"Pearson","given":"David C"},{"family":"Swain","given":"Mark G"},{"family":"Kelly","given":"James"},{"family":"Urbanski","given":"Stefan J"},{"family":"Bridges","given":"Ronald J"}],"issued":{"date-parts":[["2000",1]]}}}],"schema":"https://github.com/citation-style-language/schema/raw/master/csl-citation.json"}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(6)</w:t>
      </w:r>
      <w:r w:rsidRPr="00D2582B">
        <w:rPr>
          <w:rFonts w:asciiTheme="minorBidi" w:hAnsiTheme="minorBidi" w:cstheme="minorBidi"/>
          <w:sz w:val="20"/>
          <w:szCs w:val="20"/>
        </w:rPr>
        <w:fldChar w:fldCharType="end"/>
      </w:r>
      <w:r w:rsidR="00AA77FC" w:rsidRPr="00D2582B">
        <w:rPr>
          <w:rFonts w:asciiTheme="minorBidi" w:hAnsiTheme="minorBidi" w:cstheme="minorBidi"/>
          <w:sz w:val="20"/>
          <w:szCs w:val="20"/>
        </w:rPr>
        <w:t>.</w:t>
      </w:r>
    </w:p>
    <w:p w14:paraId="0A8A6BEC" w14:textId="79573B84" w:rsidR="00941507" w:rsidRPr="00D2582B" w:rsidRDefault="00941507" w:rsidP="00941507">
      <w:pPr>
        <w:spacing w:before="20"/>
        <w:rPr>
          <w:rFonts w:asciiTheme="minorBidi" w:hAnsiTheme="minorBidi" w:cstheme="minorBidi"/>
          <w:color w:val="0D0D0D"/>
          <w:sz w:val="20"/>
          <w:szCs w:val="20"/>
          <w:shd w:val="clear" w:color="auto" w:fill="FFFFFF"/>
        </w:rPr>
      </w:pPr>
      <w:r w:rsidRPr="00D2582B">
        <w:rPr>
          <w:rFonts w:asciiTheme="minorBidi" w:hAnsiTheme="minorBidi" w:cstheme="minorBidi"/>
          <w:color w:val="0D0D0D"/>
          <w:sz w:val="20"/>
          <w:szCs w:val="20"/>
          <w:shd w:val="clear" w:color="auto" w:fill="FFFFFF"/>
        </w:rPr>
        <w:t xml:space="preserve">A literature review identified 39 reported cases of IAD. The median age at diagnosis was 27 years. Furthermore, there was an almost 2:1 ratio in favor of males compared to females </w:t>
      </w:r>
      <w:r w:rsidRPr="00D2582B">
        <w:rPr>
          <w:rFonts w:asciiTheme="minorBidi" w:hAnsiTheme="minorBidi" w:cstheme="minorBidi"/>
          <w:color w:val="0D0D0D"/>
          <w:sz w:val="20"/>
          <w:szCs w:val="20"/>
          <w:shd w:val="clear" w:color="auto" w:fill="FFFFFF"/>
        </w:rPr>
        <w:fldChar w:fldCharType="begin"/>
      </w:r>
      <w:r w:rsidRPr="00D2582B">
        <w:rPr>
          <w:rFonts w:asciiTheme="minorBidi" w:hAnsiTheme="minorBidi" w:cstheme="minorBidi"/>
          <w:color w:val="0D0D0D"/>
          <w:sz w:val="20"/>
          <w:szCs w:val="20"/>
          <w:shd w:val="clear" w:color="auto" w:fill="FFFFFF"/>
        </w:rPr>
        <w:instrText xml:space="preserve"> ADDIN ZOTERO_ITEM CSL_CITATION {"citationID":"ZXo2mYYc","properties":{"formattedCitation":"(1)","plainCitation":"(1)","noteIndex":0},"citationItems":[{"id":348,"uris":["http://zotero.org/users/12151833/items/H8S24JID"],"itemData":{"id":348,"type":"article-journal","abstract":"OBJECTIVE: Cholestasis may result from diverse etiologies. We review chronic cholestatic disorders involving small intrahepatic bile ducts in the adult ambulatory care setting. Speciﬁcally, we discuss variant forms of primary biliary cirrhosis (PBC) and primary sclerosing cholangitis (PSC) as well as other conditions that may present diagnostic and therapeutic difﬁculties.\nMETHODS: We conducted a MEDLINE search of the literature (1981–1997) and reviewed the experiences at the Mayo Clinic. All articles were selected that discussed antimitochondrial antibody (AMA)-negative PBC, small-duct PSC (formerly pericholangitis), and idiopathic adulthood ductopenia.\nRESULTS: The most common chronic cholestatic liver diseases affecting adults are PBC and PSC. Patients without the hallmarks of either syndrome are diagnosed according to their clinical and histological characteristics. Autoimmune cholangitis is diagnosed if clinical and histological features are compatible with PBC but autoantibodies other than AMA are present. Isolated small duct PSC is diagnosed if patients have inﬂammatory bowel disease, biopsy features compatible with PSC, but a normal cholangiogram. If ductopenia (absence of interlobular bile ducts in small portal tracts) is found histologically in the absence of PSC, inﬂammatory bowel disease, and other speciﬁc cholestatic syndromes such as drug reaction or sarcoidosis, the most likely diagnosis is idiopathic adulthood ductopenia.\nCONCLUSIONS: Based on these deﬁnitions, an algorithm for diagnosis and therapy in patients with laboratory evidence of chronic cholestasis may be constructed, pending results of further investigations into the etiopathogenesis of these syndromes. (Am J Gastroenterol 2000;95:1130 –1138. © 2000 by Am. Coll. of Gastroenterology)","issue":"5","language":"en","source":"Zotero","title":"Variant Forms of Cholestatic Diseases Involving Small Bile Ducts in Adults","volume":"95","author":[{"family":"Kim","given":"W Ray"}],"issued":{"date-parts":[["2000"]]}}}],"schema":"https://github.com/citation-style-language/schema/raw/master/csl-citation.json"} </w:instrText>
      </w:r>
      <w:r w:rsidRPr="00D2582B">
        <w:rPr>
          <w:rFonts w:asciiTheme="minorBidi" w:hAnsiTheme="minorBidi" w:cstheme="minorBidi"/>
          <w:color w:val="0D0D0D"/>
          <w:sz w:val="20"/>
          <w:szCs w:val="20"/>
          <w:shd w:val="clear" w:color="auto" w:fill="FFFFFF"/>
        </w:rPr>
        <w:fldChar w:fldCharType="separate"/>
      </w:r>
      <w:r w:rsidRPr="00D2582B">
        <w:rPr>
          <w:rFonts w:asciiTheme="minorBidi" w:hAnsiTheme="minorBidi" w:cstheme="minorBidi"/>
          <w:noProof/>
          <w:color w:val="0D0D0D"/>
          <w:sz w:val="20"/>
          <w:szCs w:val="20"/>
          <w:shd w:val="clear" w:color="auto" w:fill="FFFFFF"/>
        </w:rPr>
        <w:t>(1)</w:t>
      </w:r>
      <w:r w:rsidRPr="00D2582B">
        <w:rPr>
          <w:rFonts w:asciiTheme="minorBidi" w:hAnsiTheme="minorBidi" w:cstheme="minorBidi"/>
          <w:color w:val="0D0D0D"/>
          <w:sz w:val="20"/>
          <w:szCs w:val="20"/>
          <w:shd w:val="clear" w:color="auto" w:fill="FFFFFF"/>
        </w:rPr>
        <w:fldChar w:fldCharType="end"/>
      </w:r>
      <w:r w:rsidRPr="00D2582B">
        <w:rPr>
          <w:rFonts w:asciiTheme="minorBidi" w:hAnsiTheme="minorBidi" w:cstheme="minorBidi"/>
          <w:color w:val="0D0D0D"/>
          <w:sz w:val="20"/>
          <w:szCs w:val="20"/>
          <w:shd w:val="clear" w:color="auto" w:fill="FFFFFF"/>
        </w:rPr>
        <w:t>.</w:t>
      </w:r>
    </w:p>
    <w:p w14:paraId="7B5AF4ED" w14:textId="2293283F" w:rsidR="00941507" w:rsidRPr="00D2582B" w:rsidRDefault="00941507" w:rsidP="00941507">
      <w:pPr>
        <w:spacing w:before="20"/>
        <w:rPr>
          <w:rFonts w:asciiTheme="minorBidi" w:hAnsiTheme="minorBidi" w:cstheme="minorBidi"/>
          <w:color w:val="FF0000"/>
          <w:sz w:val="20"/>
          <w:szCs w:val="20"/>
        </w:rPr>
      </w:pPr>
      <w:r w:rsidRPr="00D2582B">
        <w:rPr>
          <w:rFonts w:asciiTheme="minorBidi" w:hAnsiTheme="minorBidi" w:cstheme="minorBidi"/>
          <w:sz w:val="20"/>
          <w:szCs w:val="20"/>
        </w:rPr>
        <w:t xml:space="preserve">As of now, the etiology is still unknown, nonetheless several causes have been suggested including late-onset non-syndromic paucity of intrahepatic bile ducts, small duct PSC without large duct involvement and without evidence of inflammatory bowel disease, non-suppurative viral cholangitis, and autoimmune disorders in the absence of the typical autoantibodies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5hAXznke","properties":{"formattedCitation":"(1\\uc0\\u8211{}3,7)","plainCitation":"(1–3,7)","noteIndex":0},"citationItems":[{"id":366,"uris":["http://zotero.org/users/12151833/items/5CNHQ4C7"],"itemData":{"id":366,"type":"article-journal","container-title":"Journal of Hepatology","DOI":"10.1016/s0168-8278(88)80482-3","ISSN":"0168-8278","issue":"2","language":"en","license":"https://www.elsevier.com/tdm/userlicense/1.0/","note":"publisher: Elsevier BV","page":"193-199","source":"Crossref","title":"Idiopathic adulthood ductopenia","volume":"7","author":[{"family":"Ludwig","given":"Jurgen"},{"family":"Wiesner","given":"Russell H."},{"family":"LaRusso","given":"Nicholas F."}],"issued":{"date-parts":[["1988",1]]}},"label":"page"},{"id":368,"uris":["http://zotero.org/users/12151833/items/P4UQ8CVY"],"itemData":{"id":368,"type":"article-journal","container-title":"Digestive Diseases and Sciences","DOI":"10.1023/a:1015891824465","ISSN":"0163-2116","issue":"7","journalAbbreviation":"Dig Dis Sci","language":"eng","note":"PMID: 12141826","page":"1625-1626","source":"PubMed","title":"Idiopathic adulthood ductopenia associated with hepatitis C virus","volume":"47","author":[{"family":"Dural","given":"Ali T."},{"family":"Genta","given":"Robert M."},{"family":"Goodman","given":"Zachary D."},{"family":"Yoffe","given":"Boris"}],"issued":{"date-parts":[["2002",7]]}},"label":"page"},{"id":315,"uris":["http://zotero.org/users/12151833/items/9F9TFMF6"],"itemData":{"id":315,"type":"article-journal","container-title":"Mayo Clinic Proceedings","DOI":"10.4065/73.3.285","ISSN":"00256196","issue":"3","journalAbbreviation":"Mayo Clinic Proceedings","language":"en","license":"https://www.elsevier.com/tdm/userlicense/1.0/","page":"285-291","source":"DOI.org (Crossref)","title":"Idiopathic Adulthood Ductopenia: An Update","title-short":"Idiopathic Adulthood Ductopenia","volume":"73","author":[{"family":"Ludwig","given":"Jurgen"}],"issued":{"date-parts":[["1998",3]]}},"label":"page"},{"id":348,"uris":["http://zotero.org/users/12151833/items/H8S24JID"],"itemData":{"id":348,"type":"article-journal","abstract":"OBJECTIVE: Cholestasis may result from diverse etiologies. We review chronic cholestatic disorders involving small intrahepatic bile ducts in the adult ambulatory care setting. Speciﬁcally, we discuss variant forms of primary biliary cirrhosis (PBC) and primary sclerosing cholangitis (PSC) as well as other conditions that may present diagnostic and therapeutic difﬁculties.\nMETHODS: We conducted a MEDLINE search of the literature (1981–1997) and reviewed the experiences at the Mayo Clinic. All articles were selected that discussed antimitochondrial antibody (AMA)-negative PBC, small-duct PSC (formerly pericholangitis), and idiopathic adulthood ductopenia.\nRESULTS: The most common chronic cholestatic liver diseases affecting adults are PBC and PSC. Patients without the hallmarks of either syndrome are diagnosed according to their clinical and histological characteristics. Autoimmune cholangitis is diagnosed if clinical and histological features are compatible with PBC but autoantibodies other than AMA are present. Isolated small duct PSC is diagnosed if patients have inﬂammatory bowel disease, biopsy features compatible with PSC, but a normal cholangiogram. If ductopenia (absence of interlobular bile ducts in small portal tracts) is found histologically in the absence of PSC, inﬂammatory bowel disease, and other speciﬁc cholestatic syndromes such as drug reaction or sarcoidosis, the most likely diagnosis is idiopathic adulthood ductopenia.\nCONCLUSIONS: Based on these deﬁnitions, an algorithm for diagnosis and therapy in patients with laboratory evidence of chronic cholestasis may be constructed, pending results of further investigations into the etiopathogenesis of these syndromes. (Am J Gastroenterol 2000;95:1130 –1138. © 2000 by Am. Coll. of Gastroenterology)","issue":"5","language":"en","source":"Zotero","title":"Variant Forms of Cholestatic Diseases Involving Small Bile Ducts in Adults","volume":"95","author":[{"family":"Kim","given":"W Ray"}],"issued":{"date-parts":[["2000"]]}},"label":"page"}],"schema":"https://github.com/citation-style-language/schema/raw/master/csl-citation.json"}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sz w:val="20"/>
          <w:szCs w:val="20"/>
        </w:rPr>
        <w:t>(1–3,7)</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w:t>
      </w:r>
    </w:p>
    <w:p w14:paraId="6B733124" w14:textId="7BF2884C" w:rsidR="00941507" w:rsidRDefault="00941507" w:rsidP="00F22A1F">
      <w:pPr>
        <w:spacing w:before="20"/>
        <w:rPr>
          <w:rFonts w:asciiTheme="minorBidi" w:hAnsiTheme="minorBidi" w:cstheme="minorBidi"/>
          <w:sz w:val="20"/>
          <w:szCs w:val="20"/>
        </w:rPr>
      </w:pPr>
      <w:r w:rsidRPr="00D2582B">
        <w:rPr>
          <w:rFonts w:asciiTheme="minorBidi" w:hAnsiTheme="minorBidi" w:cstheme="minorBidi"/>
          <w:sz w:val="20"/>
          <w:szCs w:val="20"/>
        </w:rPr>
        <w:t xml:space="preserve">The current diagnostic criteria of IAD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{"citationID":"BeRBodj7","properties":{"formattedCitation":"(2,3)","plainCitation":"(2,3)","noteIndex":0},"citationItems":[{"id":366,"uris":["http://zotero.org/users/12151833/items/5CNHQ4C7"],"itemData":{"id":366,"type":"article-journal","container-title":"Journal of Hepatology","DOI":"10.1016/s0168-8278(88)80482-3","ISSN":"0168-8278","issue":"2","language":"en","license":"https://www.elsevier.com/tdm/userlicense/1.0/","note":"publisher: Elsevier BV","page":"193-199","source":"Crossref","title":"Idiopathic adulthood ductopenia","volume":"7","author":[{"family":"Ludwig","given":"Jurgen"},{"family":"Wiesner","given":"Russell H."},{"family":"LaRusso","given":"Nicholas F."}],"issued":{"date-parts":[["1988",1]]}},"label":"page"},{"id":315,"uris":["http://zotero.org/users/12151833/items/9F9TFMF6"],"itemData":{"id":315,"type":"article-journal","container-title":"Mayo Clinic Proceedings","DOI":"10.4065/73.3.285","ISSN":"00256196","issue":"3","journalAbbreviation":"Mayo Clinic Proceedings","language":"en","license":"https://www.elsevier.com/tdm/userlicense/1.0/","page":"285-291","source":"DOI.org (Crossref)","title":"Idiopathic Adulthood Ductopenia: An Update","title-short":"Idiopathic Adulthood Ductopenia","volume":"73","author":[{"family":"Ludwig","given":"Jurgen"}],"issued":{"date-parts":[["1998",3]]}},"label":"page"}],"schema":"https://github.com/citation-style-language/schema/raw/master/csl-citation.json"}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(2,3)</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include chronic biochemical cholestasis, indicated by elevated </w:t>
      </w:r>
      <w:r w:rsidR="00AA77FC" w:rsidRPr="00D2582B">
        <w:rPr>
          <w:rFonts w:asciiTheme="minorBidi" w:hAnsiTheme="minorBidi" w:cstheme="minorBidi"/>
          <w:sz w:val="20"/>
          <w:szCs w:val="20"/>
        </w:rPr>
        <w:t>ALP</w:t>
      </w:r>
      <w:r w:rsidRPr="00D2582B">
        <w:rPr>
          <w:rFonts w:asciiTheme="minorBidi" w:hAnsiTheme="minorBidi" w:cstheme="minorBidi"/>
          <w:sz w:val="20"/>
          <w:szCs w:val="20"/>
        </w:rPr>
        <w:t xml:space="preserve"> values, along with biopsy findings of ductopenia, in the absence of PSC or inflammatory bowel disease. In the original description of the syndrome, ductopenia was histologically defined as the absence of interlobular bile ducts in at least 50% of small portal tracts</w:t>
      </w:r>
      <w:r w:rsidR="00F22A1F" w:rsidRPr="00D2582B">
        <w:rPr>
          <w:rFonts w:asciiTheme="minorBidi" w:hAnsiTheme="minorBidi" w:cstheme="minorBidi"/>
          <w:sz w:val="20"/>
          <w:szCs w:val="20"/>
        </w:rPr>
        <w:t xml:space="preserve">. </w:t>
      </w:r>
      <w:r w:rsidR="00F22A1F" w:rsidRPr="00D2582B">
        <w:rPr>
          <w:rFonts w:asciiTheme="minorBidi" w:hAnsiTheme="minorBidi" w:cstheme="minorBidi"/>
          <w:color w:val="000000" w:themeColor="text1"/>
          <w:sz w:val="20"/>
          <w:szCs w:val="20"/>
        </w:rPr>
        <w:t xml:space="preserve">However, there is a spectrum of bile duct loss, and minimal or early ductopenia can be diagnosed when over 20% of portal tracts lack bile ducts, which is significantly lower than the normal value </w:t>
      </w:r>
      <w:r w:rsidRPr="00D2582B">
        <w:rPr>
          <w:rFonts w:asciiTheme="minorBidi" w:hAnsiTheme="minorBidi" w:cstheme="minorBidi"/>
          <w:color w:val="000000" w:themeColor="text1"/>
          <w:sz w:val="20"/>
          <w:szCs w:val="20"/>
        </w:rPr>
        <w:fldChar w:fldCharType="begin"/>
      </w:r>
      <w:r w:rsidRPr="00D2582B">
        <w:rPr>
          <w:rFonts w:asciiTheme="minorBidi" w:hAnsiTheme="minorBidi" w:cstheme="minorBidi"/>
          <w:color w:val="000000" w:themeColor="text1"/>
          <w:sz w:val="20"/>
          <w:szCs w:val="20"/>
        </w:rPr>
        <w:instrText xml:space="preserve"> ADDIN ZOTERO_ITEM CSL_CITATION {"citationID":"32ZJAiro","properties":{"formattedCitation":"(8)","plainCitation":"(8)","noteIndex":0},"citationItems":[{"id":362,"uris":["http://zotero.org/users/12151833/items/R899LUD3"],"itemData":{"id":362,"type":"article-journal","container-title":"Gastroenterology","DOI":"10.1016/0016-5085(79)90396-2","ISSN":"00165085","issue":"6","journalAbbreviation":"Gastroenterology","language":"en","license":"https://www.elsevier.com/tdm/userlicense/1.0/","page":"1326-1332","source":"DOI.org (Crossref)","title":"Histometric and serial section observations of the intrahepatic bile ducts in primary biliary cirrhosis","volume":"76","author":[{"family":"Nakanuma","given":"Yasuni"},{"family":"Ohta","given":"Goroku"}],"issued":{"date-parts":[["1979",6]]}}}],"schema":"https://github.com/citation-style-language/schema/raw/master/csl-citation.json"} </w:instrText>
      </w:r>
      <w:r w:rsidRPr="00D2582B">
        <w:rPr>
          <w:rFonts w:asciiTheme="minorBidi" w:hAnsiTheme="minorBidi" w:cstheme="minorBidi"/>
          <w:color w:val="000000" w:themeColor="text1"/>
          <w:sz w:val="20"/>
          <w:szCs w:val="20"/>
        </w:rPr>
        <w:fldChar w:fldCharType="separate"/>
      </w:r>
      <w:r w:rsidRPr="00D2582B">
        <w:rPr>
          <w:rFonts w:asciiTheme="minorBidi" w:hAnsiTheme="minorBidi" w:cstheme="minorBidi"/>
          <w:noProof/>
          <w:color w:val="000000" w:themeColor="text1"/>
          <w:sz w:val="20"/>
          <w:szCs w:val="20"/>
        </w:rPr>
        <w:t>(8)</w:t>
      </w:r>
      <w:r w:rsidRPr="00D2582B">
        <w:rPr>
          <w:rFonts w:asciiTheme="minorBidi" w:hAnsiTheme="minorBidi" w:cstheme="minorBidi"/>
          <w:color w:val="000000" w:themeColor="text1"/>
          <w:sz w:val="20"/>
          <w:szCs w:val="20"/>
        </w:rPr>
        <w:fldChar w:fldCharType="end"/>
      </w:r>
      <w:r w:rsidRPr="00D2582B">
        <w:rPr>
          <w:rFonts w:asciiTheme="minorBidi" w:hAnsiTheme="minorBidi" w:cstheme="minorBidi"/>
          <w:sz w:val="20"/>
          <w:szCs w:val="20"/>
        </w:rPr>
        <w:t xml:space="preserve">. Patients typically present in adulthood or during their teenage years, but beyond the typical age range for syndromic or non-syndromic paucity of intrahepatic bile ducts. Other cholestatic syndromes such as PBC, drug reactions, and viral infections must also be excluded before a diagnosis of IAD can be established. It is, therefore, a diagnosis of exclusion. </w:t>
      </w:r>
    </w:p>
    <w:p w14:paraId="7C1A14EA" w14:textId="77777777" w:rsidR="009D3E2E" w:rsidRPr="00D2582B" w:rsidRDefault="009D3E2E" w:rsidP="00F22A1F">
      <w:pPr>
        <w:spacing w:before="20"/>
        <w:rPr>
          <w:rFonts w:asciiTheme="minorBidi" w:hAnsiTheme="minorBidi" w:cstheme="minorBidi"/>
          <w:sz w:val="20"/>
          <w:szCs w:val="20"/>
        </w:rPr>
      </w:pPr>
    </w:p>
    <w:p w14:paraId="1EEAB961" w14:textId="77777777" w:rsidR="00941507" w:rsidRPr="00D2582B" w:rsidRDefault="00941507" w:rsidP="00941507">
      <w:pPr>
        <w:spacing w:before="20"/>
        <w:rPr>
          <w:rFonts w:asciiTheme="minorBidi" w:hAnsiTheme="minorBidi" w:cstheme="minorBidi"/>
          <w:color w:val="FF0000"/>
          <w:sz w:val="20"/>
          <w:szCs w:val="20"/>
        </w:rPr>
      </w:pPr>
      <w:r w:rsidRPr="00D2582B">
        <w:rPr>
          <w:rFonts w:asciiTheme="minorBidi" w:hAnsiTheme="minorBidi" w:cstheme="minorBidi"/>
          <w:noProof/>
          <w:color w:val="FF0000"/>
          <w:sz w:val="20"/>
          <w:szCs w:val="20"/>
        </w:rPr>
        <w:drawing>
          <wp:inline distT="0" distB="0" distL="0" distR="0" wp14:anchorId="340D1ADE" wp14:editId="606FA5D2">
            <wp:extent cx="5727700" cy="2713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8-29 at 10.08.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2713990"/>
                    </a:xfrm>
                    <a:prstGeom prst="rect">
                      <a:avLst/>
                    </a:prstGeom>
                  </pic:spPr>
                </pic:pic>
              </a:graphicData>
            </a:graphic>
          </wp:inline>
        </w:drawing>
      </w:r>
    </w:p>
    <w:p w14:paraId="5CECAB24" w14:textId="74730AC2" w:rsidR="00031A0F" w:rsidRPr="00D2582B" w:rsidRDefault="009D3E2E" w:rsidP="00031A0F">
      <w:pPr>
        <w:spacing w:before="20"/>
        <w:jc w:val="center"/>
        <w:rPr>
          <w:rFonts w:asciiTheme="minorBidi" w:hAnsiTheme="minorBidi" w:cstheme="minorBidi"/>
          <w:i/>
          <w:iCs/>
          <w:sz w:val="20"/>
          <w:szCs w:val="20"/>
        </w:rPr>
      </w:pPr>
      <w:r>
        <w:rPr>
          <w:rFonts w:asciiTheme="minorBidi" w:hAnsiTheme="minorBidi" w:cstheme="minorBidi"/>
          <w:i/>
          <w:iCs/>
          <w:sz w:val="20"/>
          <w:szCs w:val="20"/>
        </w:rPr>
        <w:t>Table 1</w:t>
      </w:r>
      <w:r w:rsidR="00031A0F" w:rsidRPr="00D2582B">
        <w:rPr>
          <w:rFonts w:asciiTheme="minorBidi" w:hAnsiTheme="minorBidi" w:cstheme="minorBidi"/>
          <w:i/>
          <w:iCs/>
          <w:sz w:val="20"/>
          <w:szCs w:val="20"/>
        </w:rPr>
        <w:t>: Diagnostic features of IAD</w:t>
      </w:r>
    </w:p>
    <w:p w14:paraId="2DD66ECB" w14:textId="1D3387C7" w:rsidR="00941507" w:rsidRPr="00D2582B" w:rsidRDefault="00941507" w:rsidP="00941507">
      <w:pPr>
        <w:spacing w:before="20"/>
        <w:rPr>
          <w:rFonts w:asciiTheme="minorBidi" w:hAnsiTheme="minorBidi" w:cstheme="minorBidi"/>
          <w:color w:val="000000" w:themeColor="text1"/>
          <w:sz w:val="20"/>
          <w:szCs w:val="20"/>
        </w:rPr>
      </w:pPr>
      <w:r w:rsidRPr="00D2582B">
        <w:rPr>
          <w:rFonts w:asciiTheme="minorBidi" w:hAnsiTheme="minorBidi" w:cstheme="minorBidi"/>
          <w:sz w:val="20"/>
          <w:szCs w:val="20"/>
        </w:rPr>
        <w:t xml:space="preserve">Clinically, it presents with cholestatic pattern symptoms, including jaundice, pruritus, and fatigue; however, IAD has also been observed in patients without symptoms of liver disease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{"citationID":"DFEPh6SU","properties":{"formattedCitation":"(9)","plainCitation":"(9)","noteIndex":0},"citationItems":[{"id":352,"uris":["http://zotero.org/users/12151833/items/H4X3DAL2"],"itemData":{"id":352,"type":"article-journal","abstract":"Background Idiopathic adulthood ductopenia is a severe cholestatic liver disease of unknown cause characterized by loss of the interlobular bile ducts in more than 50 percent of the portal tracts. In most reported cases, cirrhosis and liver failure develop.\nMethods We studied 24 adults with abnormal results on liver-function tests but no symptoms of liver disease. All had liver biopsies that showed a lack of bile ducts in many of the portal tracts.\nResults The 17 women and 7 men had a mean age of 41 years (range, 27 to 57). All were asymptomatic and had high serum g-glutamyltransferase concentrations (mean [ϮSD], 179Ϯ84 U per liter); 75 percent also had abnormal serum alanine aminotransferase concentrations. The proportion of portal tracts that had bile ducts was 62Ϯ7 percent (range, 55 to 78 percent). Three patients had a second liver biopsy three to nine years after the first; there were no changes over time. In four of the five patients treated with 600 to 900 mg of ursodiol two to three times daily, results of liver-function tests returned to normal.\nConclusions Idiopathic biliary ductopenia, with an apparently nonprogressive clinical course, can occur in adults who have no symptoms of biliary disease. (N Engl J Med 1997;336:835-8.)","container-title":"New England Journal of Medicine","DOI":"10.1056/NEJM199703203361204","ISSN":"0028-4793, 1533-4406","issue":"12","journalAbbreviation":"N Engl J Med","language":"en","page":"835-838","source":"DOI.org (Crossref)","title":"Idiopathic Biliary Ductopenia in Adults without Symptoms of Liver Disease","volume":"336","author":[{"family":"Moreno","given":"Alberto"},{"family":"Vicente Carreño","given":"Vicente"},{"family":"Cano","given":"Ana"},{"family":"González","given":"Cecilia"}],"issued":{"date-parts":[["1997",3,20]]}}}],"schema":"https://github.com/citation-style-language/schema/raw/master/csl-citation.json"}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(9)</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w:t>
      </w:r>
      <w:r w:rsidRPr="00D2582B">
        <w:rPr>
          <w:rFonts w:asciiTheme="minorBidi" w:hAnsiTheme="minorBidi" w:cstheme="minorBidi"/>
          <w:color w:val="505050"/>
          <w:sz w:val="20"/>
          <w:szCs w:val="20"/>
        </w:rPr>
        <w:t> </w:t>
      </w:r>
      <w:r w:rsidRPr="00D2582B">
        <w:rPr>
          <w:rFonts w:asciiTheme="minorBidi" w:hAnsiTheme="minorBidi" w:cstheme="minorBidi"/>
          <w:color w:val="000000" w:themeColor="text1"/>
          <w:sz w:val="20"/>
          <w:szCs w:val="20"/>
          <w:shd w:val="clear" w:color="auto" w:fill="FFFFFF"/>
        </w:rPr>
        <w:t xml:space="preserve">Laboratory findings demonstrate the cholestatic profiles; </w:t>
      </w:r>
      <w:r w:rsidRPr="00D2582B">
        <w:rPr>
          <w:rFonts w:asciiTheme="minorBidi" w:hAnsiTheme="minorBidi" w:cstheme="minorBidi"/>
          <w:color w:val="000000" w:themeColor="text1"/>
          <w:sz w:val="20"/>
          <w:szCs w:val="20"/>
        </w:rPr>
        <w:t xml:space="preserve">bilirubin levels could be up to 26mg/dL, the ALP and GGT values ranged from 3 to 16 and 14 times the normal upper limit respectively, and </w:t>
      </w:r>
      <w:r w:rsidRPr="00D2582B">
        <w:rPr>
          <w:rFonts w:asciiTheme="minorBidi" w:hAnsiTheme="minorBidi" w:cstheme="minorBidi"/>
          <w:color w:val="000000" w:themeColor="text1"/>
          <w:sz w:val="20"/>
          <w:szCs w:val="20"/>
          <w:shd w:val="clear" w:color="auto" w:fill="FFFFFF"/>
        </w:rPr>
        <w:t xml:space="preserve">transaminase levels vary between normal and a 10-fold increases </w:t>
      </w:r>
      <w:r w:rsidRPr="00D2582B">
        <w:rPr>
          <w:rFonts w:asciiTheme="minorBidi" w:hAnsiTheme="minorBidi" w:cstheme="minorBidi"/>
          <w:color w:val="000000" w:themeColor="text1"/>
          <w:sz w:val="20"/>
          <w:szCs w:val="20"/>
          <w:shd w:val="clear" w:color="auto" w:fill="FFFFFF"/>
        </w:rPr>
        <w:fldChar w:fldCharType="begin"/>
      </w:r>
      <w:r w:rsidRPr="00D2582B">
        <w:rPr>
          <w:rFonts w:asciiTheme="minorBidi" w:hAnsiTheme="minorBidi" w:cstheme="minorBidi"/>
          <w:color w:val="000000" w:themeColor="text1"/>
          <w:sz w:val="20"/>
          <w:szCs w:val="20"/>
          <w:shd w:val="clear" w:color="auto" w:fill="FFFFFF"/>
        </w:rPr>
        <w:instrText xml:space="preserve"> ADDIN ZOTERO_ITEM CSL_CITATION {"citationID":"YztapxBq","properties":{"formattedCitation":"(1\\uc0\\u8211{}3)","plainCitation":"(1–3)","noteIndex":0},"citationItems":[{"id":348,"uris":["http://zotero.org/users/12151833/items/H8S24JID"],"itemData":{"id":348,"type":"article-journal","abstract":"OBJECTIVE: Cholestasis may result from diverse etiologies. We review chronic cholestatic disorders involving small intrahepatic bile ducts in the adult ambulatory care setting. Speciﬁcally, we discuss variant forms of primary biliary cirrhosis (PBC) and primary sclerosing cholangitis (PSC) as well as other conditions that may present diagnostic and therapeutic difﬁculties.\nMETHODS: We conducted a MEDLINE search of the literature (1981–1997) and reviewed the experiences at the Mayo Clinic. All articles were selected that discussed antimitochondrial antibody (AMA)-negative PBC, small-duct PSC (formerly pericholangitis), and idiopathic adulthood ductopenia.\nRESULTS: The most common chronic cholestatic liver diseases affecting adults are PBC and PSC. Patients without the hallmarks of either syndrome are diagnosed according to their clinical and histological characteristics. Autoimmune cholangitis is diagnosed if clinical and histological features are compatible with PBC but autoantibodies other than AMA are present. Isolated small duct PSC is diagnosed if patients have inﬂammatory bowel disease, biopsy features compatible with PSC, but a normal cholangiogram. If ductopenia (absence of interlobular bile ducts in small portal tracts) is found histologically in the absence of PSC, inﬂammatory bowel disease, and other speciﬁc cholestatic syndromes such as drug reaction or sarcoidosis, the most likely diagnosis is idiopathic adulthood ductopenia.\nCONCLUSIONS: Based on these deﬁnitions, an algorithm for diagnosis and therapy in patients with laboratory evidence of chronic cholestasis may be constructed, pending results of further investigations into the etiopathogenesis of these syndromes. (Am J Gastroenterol 2000;95:1130 –1138. © 2000 by Am. Coll. of Gastroenterology)","issue":"5","language":"en","source":"Zotero","title":"Variant Forms of Cholestatic Diseases Involving Small Bile Ducts in Adults","volume":"95","author":[{"family":"Kim","given":"W Ray"}],"issued":{"date-parts":[["2000"]]}},"label":"page"},{"id":366,"uris":["http://zotero.org/users/12151833/items/5CNHQ4C7"],"itemData":{"id":366,"type":"article-journal","container-title":"Journal of Hepatology","DOI":"10.1016/s0168-8278(88)80482-3","ISSN":"0168-8278","issue":"2","language":"en","license":"https://www.elsevier.com/tdm/userlicense/1.0/","note":"publisher: Elsevier BV","page":"193-199","source":"Crossref","title":"Idiopathic adulthood ductopenia","volume":"7","author":[{"family":"Ludwig","given":"Jurgen"},{"family":"Wiesner","given":"Russell H."},{"family":"LaRusso","given":"Nicholas F."}],"issued":{"date-parts":[["1988",1]]}},"label":"page"},{"id":315,"uris":["http://zotero.org/users/12151833/items/9F9TFMF6"],"itemData":{"id":315,"type":"article-journal","container-title":"Mayo Clinic Proceedings","DOI":"10.4065/73.3.285","ISSN":"00256196","issue":"3","journalAbbreviation":"Mayo Clinic Proceedings","language":"en","license":"https://www.elsevier.com/tdm/userlicense/1.0/","page":"285-291","source":"DOI.org (Crossref)","title":"Idiopathic Adulthood Ductopenia: An Update","title-short":"Idiopathic Adulthood Ductopenia","volume":"73","author":[{"family":"Ludwig","given":"Jurgen"}],"issued":{"date-parts":[["1998",3]]}},"label":"page"}],"schema":"https://github.com/citation-style-language/schema/raw/master/csl-citation.json"} </w:instrText>
      </w:r>
      <w:r w:rsidRPr="00D2582B">
        <w:rPr>
          <w:rFonts w:asciiTheme="minorBidi" w:hAnsiTheme="minorBidi" w:cstheme="minorBidi"/>
          <w:color w:val="000000" w:themeColor="text1"/>
          <w:sz w:val="20"/>
          <w:szCs w:val="20"/>
          <w:shd w:val="clear" w:color="auto" w:fill="FFFFFF"/>
        </w:rPr>
        <w:fldChar w:fldCharType="separate"/>
      </w:r>
      <w:r w:rsidRPr="00D2582B">
        <w:rPr>
          <w:rFonts w:asciiTheme="minorBidi" w:hAnsiTheme="minorBidi" w:cstheme="minorBidi"/>
          <w:color w:val="000000"/>
          <w:sz w:val="20"/>
          <w:szCs w:val="20"/>
        </w:rPr>
        <w:t>(1–3)</w:t>
      </w:r>
      <w:r w:rsidRPr="00D2582B">
        <w:rPr>
          <w:rFonts w:asciiTheme="minorBidi" w:hAnsiTheme="minorBidi" w:cstheme="minorBidi"/>
          <w:color w:val="000000" w:themeColor="text1"/>
          <w:sz w:val="20"/>
          <w:szCs w:val="20"/>
          <w:shd w:val="clear" w:color="auto" w:fill="FFFFFF"/>
        </w:rPr>
        <w:fldChar w:fldCharType="end"/>
      </w:r>
      <w:r w:rsidRPr="00D2582B">
        <w:rPr>
          <w:rFonts w:asciiTheme="minorBidi" w:hAnsiTheme="minorBidi" w:cstheme="minorBidi"/>
          <w:color w:val="000000" w:themeColor="text1"/>
          <w:sz w:val="20"/>
          <w:szCs w:val="20"/>
        </w:rPr>
        <w:t xml:space="preserve">. </w:t>
      </w:r>
    </w:p>
    <w:p w14:paraId="16653033" w14:textId="77777777" w:rsidR="00941507" w:rsidRPr="00D2582B" w:rsidRDefault="00941507" w:rsidP="00941507">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When assessing our flight crew member, she was asymptomatic but exhibited significantly elevated liver enzymes. ALP and GGT levels were 7 and 12 times the upper normal limit, respectively. AST and ALT levels were 6 and 4 times the upper normal limit, respectively.</w:t>
      </w:r>
    </w:p>
    <w:p w14:paraId="42F6CED2" w14:textId="77777777" w:rsidR="00941507" w:rsidRPr="00D2582B" w:rsidRDefault="00941507" w:rsidP="00941507">
      <w:pPr>
        <w:spacing w:before="20"/>
        <w:rPr>
          <w:rFonts w:asciiTheme="minorBidi" w:hAnsiTheme="minorBidi" w:cstheme="minorBidi"/>
          <w:color w:val="000000" w:themeColor="text1"/>
          <w:sz w:val="20"/>
          <w:szCs w:val="20"/>
        </w:rPr>
      </w:pPr>
    </w:p>
    <w:p w14:paraId="11693445" w14:textId="77777777" w:rsidR="00941507" w:rsidRPr="00D2582B" w:rsidRDefault="00941507" w:rsidP="00941507">
      <w:pPr>
        <w:spacing w:before="20"/>
        <w:rPr>
          <w:rFonts w:asciiTheme="minorBidi" w:hAnsiTheme="minorBidi" w:cstheme="minorBidi"/>
          <w:color w:val="000000" w:themeColor="text1"/>
          <w:sz w:val="20"/>
          <w:szCs w:val="20"/>
        </w:rPr>
      </w:pPr>
      <w:proofErr w:type="spellStart"/>
      <w:r w:rsidRPr="00D2582B">
        <w:rPr>
          <w:rFonts w:asciiTheme="minorBidi" w:hAnsiTheme="minorBidi" w:cstheme="minorBidi"/>
          <w:color w:val="000000" w:themeColor="text1"/>
          <w:sz w:val="20"/>
          <w:szCs w:val="20"/>
        </w:rPr>
        <w:t>Khanlou</w:t>
      </w:r>
      <w:proofErr w:type="spellEnd"/>
      <w:r w:rsidRPr="00D2582B">
        <w:rPr>
          <w:rFonts w:asciiTheme="minorBidi" w:hAnsiTheme="minorBidi" w:cstheme="minorBidi"/>
          <w:color w:val="000000" w:themeColor="text1"/>
          <w:sz w:val="20"/>
          <w:szCs w:val="20"/>
        </w:rPr>
        <w:t xml:space="preserve"> and al </w:t>
      </w:r>
      <w:r w:rsidRPr="00D2582B">
        <w:rPr>
          <w:rFonts w:asciiTheme="minorBidi" w:hAnsiTheme="minorBidi" w:cstheme="minorBidi"/>
          <w:color w:val="000000" w:themeColor="text1"/>
          <w:sz w:val="20"/>
          <w:szCs w:val="20"/>
        </w:rPr>
        <w:fldChar w:fldCharType="begin"/>
      </w:r>
      <w:r w:rsidRPr="00D2582B">
        <w:rPr>
          <w:rFonts w:asciiTheme="minorBidi" w:hAnsiTheme="minorBidi" w:cstheme="minorBidi"/>
          <w:color w:val="000000" w:themeColor="text1"/>
          <w:sz w:val="20"/>
          <w:szCs w:val="20"/>
        </w:rPr>
        <w:instrText xml:space="preserve"> ADDIN ZOTERO_ITEM CSL_CITATION {"citationID":"y0Vo0ih3","properties":{"formattedCitation":"(10)","plainCitation":"(10)","noteIndex":0},"citationItems":[{"id":370,"uris":["http://zotero.org/users/12151833/items/TFU26DTV"],"itemData":{"id":370,"type":"article-journal","container-title":"Archives of Internal Medicine","DOI":"10.1001/archinte.160.7.1033","ISSN":"0003-9926","issue":"7","journalAbbreviation":"Arch Intern Med","language":"en","page":"1033","source":"DOI.org (Crossref)","title":"Idiopathic Adulthood Ductopenia: Case Report and Review of the Literature","title-short":"Idiopathic Adulthood Ductopenia","volume":"160","author":[{"family":"Khanlou","given":"Homayoun"},{"family":"Sass","given":"David"},{"family":"Rothstein","given":"Kenneth"},{"family":"Manzarbeitia","given":"Cosme"},{"family":"Reich","given":"David"},{"family":"Jacobson","given":"Laura"},{"family":"Fleischer","given":"Deborah"},{"family":"Muñoz","given":"Santiago J."}],"issued":{"date-parts":[["2000",4,10]]}}}],"schema":"https://github.com/citation-style-language/schema/raw/master/csl-citation.json"} </w:instrText>
      </w:r>
      <w:r w:rsidRPr="00D2582B">
        <w:rPr>
          <w:rFonts w:asciiTheme="minorBidi" w:hAnsiTheme="minorBidi" w:cstheme="minorBidi"/>
          <w:color w:val="000000" w:themeColor="text1"/>
          <w:sz w:val="20"/>
          <w:szCs w:val="20"/>
        </w:rPr>
        <w:fldChar w:fldCharType="separate"/>
      </w:r>
      <w:r w:rsidRPr="00D2582B">
        <w:rPr>
          <w:rFonts w:asciiTheme="minorBidi" w:hAnsiTheme="minorBidi" w:cstheme="minorBidi"/>
          <w:noProof/>
          <w:color w:val="000000" w:themeColor="text1"/>
          <w:sz w:val="20"/>
          <w:szCs w:val="20"/>
        </w:rPr>
        <w:t>(10)</w:t>
      </w:r>
      <w:r w:rsidRPr="00D2582B">
        <w:rPr>
          <w:rFonts w:asciiTheme="minorBidi" w:hAnsiTheme="minorBidi" w:cstheme="minorBidi"/>
          <w:color w:val="000000" w:themeColor="text1"/>
          <w:sz w:val="20"/>
          <w:szCs w:val="20"/>
        </w:rPr>
        <w:fldChar w:fldCharType="end"/>
      </w:r>
      <w:r w:rsidRPr="00D2582B">
        <w:rPr>
          <w:rFonts w:asciiTheme="minorBidi" w:hAnsiTheme="minorBidi" w:cstheme="minorBidi"/>
          <w:color w:val="000000" w:themeColor="text1"/>
          <w:sz w:val="20"/>
          <w:szCs w:val="20"/>
        </w:rPr>
        <w:t xml:space="preserve"> have analyzed the data on IAD and concluded that two distinct courses of IAD are recognized which vary histologically and by prognosis. </w:t>
      </w:r>
    </w:p>
    <w:p w14:paraId="0C06F6B6" w14:textId="77777777"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color w:val="212121"/>
          <w:sz w:val="20"/>
          <w:szCs w:val="20"/>
          <w:shd w:val="clear" w:color="auto" w:fill="FFFFFF"/>
        </w:rPr>
        <w:t xml:space="preserve">Patients with Type 1 IAD also termed mild IAD have less than 50% loss of biliary ducts on liver biopsy specimens, have a more benign clinical course and better prognosis. </w:t>
      </w:r>
      <w:r w:rsidRPr="00D2582B">
        <w:rPr>
          <w:rFonts w:asciiTheme="minorBidi" w:hAnsiTheme="minorBidi" w:cstheme="minorBidi"/>
          <w:sz w:val="20"/>
          <w:szCs w:val="20"/>
        </w:rPr>
        <w:t xml:space="preserve">Type 2 IAD’s patients have more widespread ductopenia and usually progress to decompensated biliary cirrhosis. </w:t>
      </w:r>
    </w:p>
    <w:p w14:paraId="02336E13" w14:textId="77777777"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sz w:val="20"/>
          <w:szCs w:val="20"/>
        </w:rPr>
        <w:t xml:space="preserve">Although </w:t>
      </w:r>
      <w:r w:rsidRPr="00D2582B">
        <w:rPr>
          <w:rFonts w:asciiTheme="minorBidi" w:hAnsiTheme="minorBidi" w:cstheme="minorBidi"/>
          <w:color w:val="212121"/>
          <w:sz w:val="20"/>
          <w:szCs w:val="20"/>
          <w:shd w:val="clear" w:color="auto" w:fill="FFFFFF"/>
        </w:rPr>
        <w:t xml:space="preserve">mild IAD does not meet the current diagnostic criteria for IAD as they have ductopenia involving less than 50% of the portal tracts, they appear to have features consistent with this diagnosis as demonstrated by Moreno and Dominguez. </w:t>
      </w:r>
      <w:r w:rsidRPr="00D2582B">
        <w:rPr>
          <w:rFonts w:asciiTheme="minorBidi" w:hAnsiTheme="minorBidi" w:cstheme="minorBidi"/>
          <w:color w:val="212121"/>
          <w:sz w:val="20"/>
          <w:szCs w:val="20"/>
          <w:shd w:val="clear" w:color="auto" w:fill="FFFFFF"/>
        </w:rPr>
        <w:fldChar w:fldCharType="begin"/>
      </w:r>
      <w:r w:rsidRPr="00D2582B">
        <w:rPr>
          <w:rFonts w:asciiTheme="minorBidi" w:hAnsiTheme="minorBidi" w:cstheme="minorBidi"/>
          <w:color w:val="212121"/>
          <w:sz w:val="20"/>
          <w:szCs w:val="20"/>
          <w:shd w:val="clear" w:color="auto" w:fill="FFFFFF"/>
        </w:rPr>
        <w:instrText xml:space="preserve"> ADDIN ZOTERO_ITEM CSL_CITATION {"citationID":"k6KmahGV","properties":{"formattedCitation":"(9,11)","plainCitation":"(9,11)","noteIndex":0},"citationItems":[{"id":352,"uris":["http://zotero.org/users/12151833/items/H4X3DAL2"],"itemData":{"id":352,"type":"article-journal","abstract":"Background Idiopathic adulthood ductopenia is a severe cholestatic liver disease of unknown cause characterized by loss of the interlobular bile ducts in more than 50 percent of the portal tracts. In most reported cases, cirrhosis and liver failure develop.\nMethods We studied 24 adults with abnormal results on liver-function tests but no symptoms of liver disease. All had liver biopsies that showed a lack of bile ducts in many of the portal tracts.\nResults The 17 women and 7 men had a mean age of 41 years (range, 27 to 57). All were asymptomatic and had high serum g-glutamyltransferase concentrations (mean [ϮSD], 179Ϯ84 U per liter); 75 percent also had abnormal serum alanine aminotransferase concentrations. The proportion of portal tracts that had bile ducts was 62Ϯ7 percent (range, 55 to 78 percent). Three patients had a second liver biopsy three to nine years after the first; there were no changes over time. In four of the five patients treated with 600 to 900 mg of ursodiol two to three times daily, results of liver-function tests returned to normal.\nConclusions Idiopathic biliary ductopenia, with an apparently nonprogressive clinical course, can occur in adults who have no symptoms of biliary disease. (N Engl J Med 1997;336:835-8.)","container-title":"New England Journal of Medicine","DOI":"10.1056/NEJM199703203361204","ISSN":"0028-4793, 1533-4406","issue":"12","journalAbbreviation":"N Engl J Med","language":"en","page":"835-838","source":"DOI.org (Crossref)","title":"Idiopathic Biliary Ductopenia in Adults without Symptoms of Liver Disease","volume":"336","author":[{"family":"Moreno","given":"Alberto"},{"family":"Vicente Carreño","given":"Vicente"},{"family":"Cano","given":"Ana"},{"family":"González","given":"Cecilia"}],"issued":{"date-parts":[["1997",3,20]]}},"label":"page"},{"id":374,"uris":["http://zotero.org/users/12151833/items/FAIGM2V6"],"itemData":{"id":374,"type":"article-journal","container-title":"Journal of Clinical Gastroenterology","DOI":"10.1097/00004836-200003000-00018","ISSN":"0192-0790","issue":"2","journalAbbreviation":"Journal of Clinical Gastroenterology","language":"en","page":"210-212","source":"DOI.org (Crossref)","title":"Idiopathic Adulthood Ductopenia: A Diagnosis: Two Clinicopathologic Courses","title-short":"Idiopathic Adulthood Ductopenia","volume":"30","author":[{"family":"Domínguez-Antonaya","given":"Mercedes"},{"family":"Coba-Ceballos","given":"Jose María"},{"family":"Gómez-Rubio","given":"Mariano"},{"family":"De Cuenca","given":"Bentz"},{"family":"Ortega-Muñoz","given":"Pilar"},{"family":"García","given":"Jesús"}],"issued":{"date-parts":[["2000",3]]}},"label":"page"}],"schema":"https://github.com/citation-style-language/schema/raw/master/csl-citation.json"} </w:instrText>
      </w:r>
      <w:r w:rsidRPr="00D2582B">
        <w:rPr>
          <w:rFonts w:asciiTheme="minorBidi" w:hAnsiTheme="minorBidi" w:cstheme="minorBidi"/>
          <w:color w:val="212121"/>
          <w:sz w:val="20"/>
          <w:szCs w:val="20"/>
          <w:shd w:val="clear" w:color="auto" w:fill="FFFFFF"/>
        </w:rPr>
        <w:fldChar w:fldCharType="separate"/>
      </w:r>
      <w:r w:rsidRPr="00D2582B">
        <w:rPr>
          <w:rFonts w:asciiTheme="minorBidi" w:hAnsiTheme="minorBidi" w:cstheme="minorBidi"/>
          <w:noProof/>
          <w:color w:val="212121"/>
          <w:sz w:val="20"/>
          <w:szCs w:val="20"/>
          <w:shd w:val="clear" w:color="auto" w:fill="FFFFFF"/>
        </w:rPr>
        <w:t>(9,11)</w:t>
      </w:r>
      <w:r w:rsidRPr="00D2582B">
        <w:rPr>
          <w:rFonts w:asciiTheme="minorBidi" w:hAnsiTheme="minorBidi" w:cstheme="minorBidi"/>
          <w:color w:val="212121"/>
          <w:sz w:val="20"/>
          <w:szCs w:val="20"/>
          <w:shd w:val="clear" w:color="auto" w:fill="FFFFFF"/>
        </w:rPr>
        <w:fldChar w:fldCharType="end"/>
      </w:r>
    </w:p>
    <w:p w14:paraId="0A128D19" w14:textId="189E475E" w:rsidR="00941507" w:rsidRPr="00D2582B" w:rsidRDefault="00F22A1F" w:rsidP="00941507">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lastRenderedPageBreak/>
        <w:t xml:space="preserve">In mild </w:t>
      </w:r>
      <w:r w:rsidR="00941507" w:rsidRPr="00D2582B">
        <w:rPr>
          <w:rFonts w:asciiTheme="minorBidi" w:hAnsiTheme="minorBidi" w:cstheme="minorBidi"/>
          <w:color w:val="000000" w:themeColor="text1"/>
          <w:sz w:val="20"/>
          <w:szCs w:val="20"/>
        </w:rPr>
        <w:t xml:space="preserve">IAD, UDCA has been proven to be efficient though its effect on the disease’s progression is still unknown </w:t>
      </w:r>
      <w:r w:rsidR="00941507" w:rsidRPr="00D2582B">
        <w:rPr>
          <w:rFonts w:asciiTheme="minorBidi" w:hAnsiTheme="minorBidi" w:cstheme="minorBidi"/>
          <w:color w:val="000000" w:themeColor="text1"/>
          <w:sz w:val="20"/>
          <w:szCs w:val="20"/>
        </w:rPr>
        <w:fldChar w:fldCharType="begin"/>
      </w:r>
      <w:r w:rsidR="00941507" w:rsidRPr="00D2582B">
        <w:rPr>
          <w:rFonts w:asciiTheme="minorBidi" w:hAnsiTheme="minorBidi" w:cstheme="minorBidi"/>
          <w:color w:val="000000" w:themeColor="text1"/>
          <w:sz w:val="20"/>
          <w:szCs w:val="20"/>
        </w:rPr>
        <w:instrText xml:space="preserve"> ADDIN ZOTERO_ITEM CSL_CITATION {"citationID":"t5jOgh5J","properties":{"formattedCitation":"(6,9,11,12)","plainCitation":"(6,9,11,12)","noteIndex":0},"citationItems":[{"id":344,"uris":["http://zotero.org/users/12151833/items/IVDAJ6ZE"],"itemData":{"id":344,"type":"article-journal","container-title":"Journal of Hepatology","DOI":"10.1016/S0168-8278(00)80203-2","ISSN":"01688278","issue":"1","journalAbbreviation":"Journal of Hepatology","language":"en","license":"https://www.elsevier.com/tdm/userlicense/1.0/","page":"159-163","source":"DOI.org (Crossref)","title":"Familial idiopathic adulthood ductopenia: a report of five cases in three generations","title-short":"Familial idiopathic adulthood ductopenia","volume":"32","author":[{"family":"Burak","given":"Kelly W"},{"family":"Pearson","given":"David C"},{"family":"Swain","given":"Mark G"},{"family":"Kelly","given":"James"},{"family":"Urbanski","given":"Stefan J"},{"family":"Bridges","given":"Ronald J"}],"issued":{"date-parts":[["2000",1]]}},"label":"page"},{"id":352,"uris":["http://zotero.org/users/12151833/items/H4X3DAL2"],"itemData":{"id":352,"type":"article-journal","abstract":"Background Idiopathic adulthood ductopenia is a severe cholestatic liver disease of unknown cause characterized by loss of the interlobular bile ducts in more than 50 percent of the portal tracts. In most reported cases, cirrhosis and liver failure develop.\nMethods We studied 24 adults with abnormal results on liver-function tests but no symptoms of liver disease. All had liver biopsies that showed a lack of bile ducts in many of the portal tracts.\nResults The 17 women and 7 men had a mean age of 41 years (range, 27 to 57). All were asymptomatic and had high serum g-glutamyltransferase concentrations (mean [ϮSD], 179Ϯ84 U per liter); 75 percent also had abnormal serum alanine aminotransferase concentrations. The proportion of portal tracts that had bile ducts was 62Ϯ7 percent (range, 55 to 78 percent). Three patients had a second liver biopsy three to nine years after the first; there were no changes over time. In four of the five patients treated with 600 to 900 mg of ursodiol two to three times daily, results of liver-function tests returned to normal.\nConclusions Idiopathic biliary ductopenia, with an apparently nonprogressive clinical course, can occur in adults who have no symptoms of biliary disease. (N Engl J Med 1997;336:835-8.)","container-title":"New England Journal of Medicine","DOI":"10.1056/NEJM199703203361204","ISSN":"0028-4793, 1533-4406","issue":"12","journalAbbreviation":"N Engl J Med","language":"en","page":"835-838","source":"DOI.org (Crossref)","title":"Idiopathic Biliary Ductopenia in Adults without Symptoms of Liver Disease","volume":"336","author":[{"family":"Moreno","given":"Alberto"},{"family":"Vicente Carreño","given":"Vicente"},{"family":"Cano","given":"Ana"},{"family":"González","given":"Cecilia"}],"issued":{"date-parts":[["1997",3,20]]}},"label":"page"},{"id":374,"uris":["http://zotero.org/users/12151833/items/FAIGM2V6"],"itemData":{"id":374,"type":"article-journal","container-title":"Journal of Clinical Gastroenterology","DOI":"10.1097/00004836-200003000-00018","ISSN":"0192-0790","issue":"2","journalAbbreviation":"Journal of Clinical Gastroenterology","language":"en","page":"210-212","source":"DOI.org (Crossref)","title":"Idiopathic Adulthood Ductopenia: A Diagnosis: Two Clinicopathologic Courses","title-short":"Idiopathic Adulthood Ductopenia","volume":"30","author":[{"family":"Domínguez-Antonaya","given":"Mercedes"},{"family":"Coba-Ceballos","given":"Jose María"},{"family":"Gómez-Rubio","given":"Mariano"},{"family":"De Cuenca","given":"Bentz"},{"family":"Ortega-Muñoz","given":"Pilar"},{"family":"García","given":"Jesús"}],"issued":{"date-parts":[["2000",3]]}},"label":"page"},{"id":358,"uris":["http://zotero.org/users/12151833/items/GRX2X7LA"],"itemData":{"id":358,"type":"article-journal","abstract":"Abstract:\n              Idiopathic adulthood ductopenia is a chronic cholestasic liver disease of unknown etiology characterized by the loss of interlobular bile ducts. We describe three patients who fulfilled the diagnostic criteria of idiopathic adulthood ductopenia, but differed from the cases reported so far in late manifestation of the disease and a benign clinical course despite histologic evidence of ongoing cholangitis. Treatment with ursodeoxycholic acid in one patient resulted in improvement of biochemical markers of cholestasis, suggesting that chronic cholestasis in idiopathic adulthood ductopenia can be influenced beneficially.","container-title":"Liver","DOI":"10.1111/j.1600-0676.1995.tb00673.x","ISSN":"0106-9543, 1600-0676","issue":"4","journalAbbreviation":"Liver","language":"en","license":"http://onlinelibrary.wiley.com/termsAndConditions#vor","page":"213-218","source":"DOI.org (Crossref)","title":"Manifestation late in life of idiopathic adulthood ductopenia","volume":"15","author":[{"family":"Müller","given":"Christian"},{"family":"Ulrich","given":"Walter"},{"family":"Penner","given":"Edward"}],"issued":{"date-parts":[["1995",8]]}},"label":"page"}],"schema":"https://github.com/citation-style-language/schema/raw/master/csl-citation.json"} </w:instrText>
      </w:r>
      <w:r w:rsidR="00941507" w:rsidRPr="00D2582B">
        <w:rPr>
          <w:rFonts w:asciiTheme="minorBidi" w:hAnsiTheme="minorBidi" w:cstheme="minorBidi"/>
          <w:color w:val="000000" w:themeColor="text1"/>
          <w:sz w:val="20"/>
          <w:szCs w:val="20"/>
        </w:rPr>
        <w:fldChar w:fldCharType="separate"/>
      </w:r>
      <w:r w:rsidR="00941507" w:rsidRPr="00D2582B">
        <w:rPr>
          <w:rFonts w:asciiTheme="minorBidi" w:hAnsiTheme="minorBidi" w:cstheme="minorBidi"/>
          <w:color w:val="000000" w:themeColor="text1"/>
          <w:sz w:val="20"/>
          <w:szCs w:val="20"/>
        </w:rPr>
        <w:t>(6,9,11,12)</w:t>
      </w:r>
      <w:r w:rsidR="00941507" w:rsidRPr="00D2582B">
        <w:rPr>
          <w:rFonts w:asciiTheme="minorBidi" w:hAnsiTheme="minorBidi" w:cstheme="minorBidi"/>
          <w:color w:val="000000" w:themeColor="text1"/>
          <w:sz w:val="20"/>
          <w:szCs w:val="20"/>
        </w:rPr>
        <w:fldChar w:fldCharType="end"/>
      </w:r>
      <w:r w:rsidR="00941507" w:rsidRPr="00D2582B">
        <w:rPr>
          <w:rFonts w:asciiTheme="minorBidi" w:hAnsiTheme="minorBidi" w:cstheme="minorBidi"/>
          <w:color w:val="000000" w:themeColor="text1"/>
          <w:sz w:val="20"/>
          <w:szCs w:val="20"/>
        </w:rPr>
        <w:t xml:space="preserve">, whereas patients with type 2 IAD will ultimately require liver transplantation </w:t>
      </w:r>
      <w:r w:rsidR="00941507" w:rsidRPr="00D2582B">
        <w:rPr>
          <w:rFonts w:asciiTheme="minorBidi" w:hAnsiTheme="minorBidi" w:cstheme="minorBidi"/>
          <w:color w:val="000000" w:themeColor="text1"/>
          <w:sz w:val="20"/>
          <w:szCs w:val="20"/>
        </w:rPr>
        <w:fldChar w:fldCharType="begin"/>
      </w:r>
      <w:r w:rsidR="00941507" w:rsidRPr="00D2582B">
        <w:rPr>
          <w:rFonts w:asciiTheme="minorBidi" w:hAnsiTheme="minorBidi" w:cstheme="minorBidi"/>
          <w:color w:val="000000" w:themeColor="text1"/>
          <w:sz w:val="20"/>
          <w:szCs w:val="20"/>
        </w:rPr>
        <w:instrText xml:space="preserve"> ADDIN ZOTERO_ITEM CSL_CITATION {"citationID":"JVTy65J3","properties":{"formattedCitation":"(5,6,10,13)","plainCitation":"(5,6,10,13)","noteIndex":0},"citationItems":[{"id":346,"uris":["http://zotero.org/users/12151833/items/R2E3P59W"],"itemData":{"id":346,"type":"article-journal","container-title":"Gastroenterology","DOI":"10.1016/0016-5085(90)90494-L","ISSN":"00165085","issue":"6","journalAbbreviation":"Gastroenterology","language":"en","license":"https://www.elsevier.com/tdm/userlicense/1.0/","page":"1823-1828","source":"DOI.org (Crossref)","title":"Idiopathic biliary ductopenia in adults: A report of five cases","title-short":"Idiopathic biliary ductopenia in adults","volume":"99","author":[{"family":"Zafrani","given":"Elie Serge"},{"family":"Metreau","given":"Jean-Michel"},{"family":"Douvin","given":"Catherine"},{"family":"Larrey","given":"Dominique"},{"family":"Massari","given":"René"},{"family":"Reynes","given":"Michel"},{"family":"Doffoel","given":"Michel"},{"family":"Benhamou","given":"Jean-Pierre"},{"family":"Dhumeaux","given":"Daniel"}],"issued":{"date-parts":[["1990",12]]}},"label":"page"},{"id":344,"uris":["http://zotero.org/users/12151833/items/IVDAJ6ZE"],"itemData":{"id":344,"type":"article-journal","container-title":"Journal of Hepatology","DOI":"10.1016/S0168-8278(00)80203-2","ISSN":"01688278","issue":"1","journalAbbreviation":"Journal of Hepatology","language":"en","license":"https://www.elsevier.com/tdm/userlicense/1.0/","page":"159-163","source":"DOI.org (Crossref)","title":"Familial idiopathic adulthood ductopenia: a report of five cases in three generations","title-short":"Familial idiopathic adulthood ductopenia","volume":"32","author":[{"family":"Burak","given":"Kelly W"},{"family":"Pearson","given":"David C"},{"family":"Swain","given":"Mark G"},{"family":"Kelly","given":"James"},{"family":"Urbanski","given":"Stefan J"},{"family":"Bridges","given":"Ronald J"}],"issued":{"date-parts":[["2000",1]]}},"label":"page"},{"id":370,"uris":["http://zotero.org/users/12151833/items/TFU26DTV"],"itemData":{"id":370,"type":"article-journal","container-title":"Archives of Internal Medicine","DOI":"10.1001/archinte.160.7.1033","ISSN":"0003-9926","issue":"7","journalAbbreviation":"Arch Intern Med","language":"en","page":"1033","source":"DOI.org (Crossref)","title":"Idiopathic Adulthood Ductopenia: Case Report and Review of the Literature","title-short":"Idiopathic Adulthood Ductopenia","volume":"160","author":[{"family":"Khanlou","given":"Homayoun"},{"family":"Sass","given":"David"},{"family":"Rothstein","given":"Kenneth"},{"family":"Manzarbeitia","given":"Cosme"},{"family":"Reich","given":"David"},{"family":"Jacobson","given":"Laura"},{"family":"Fleischer","given":"Deborah"},{"family":"Muñoz","given":"Santiago J."}],"issued":{"date-parts":[["2000",4,10]]}},"label":"page"},{"id":372,"uris":["http://zotero.org/users/12151833/items/WZLCRQDK"],"itemData":{"id":372,"type":"article-journal","container-title":"Digestive Diseases and Sciences","DOI":"10.1023/a:1010679502324","ISSN":"0163-2116","issue":"7","journalAbbreviation":"Dig Dis Sci","language":"eng","note":"PMID: 11478493","page":"1420-1423","source":"PubMed","title":"Idiopathic adulthood ductopenia: long-term follow-up after liver transplantation","title-short":"Idiopathic adulthood ductopenia","volume":"46","author":[{"family":"Rios","given":"R."},{"family":"Herrero","given":"J. I."},{"family":"Quiroga","given":"J."},{"family":"Sangro","given":"B."},{"family":"Sola","given":"I."},{"family":"Pardo","given":"F."},{"family":"Cienfuegos","given":"J. A."},{"family":"Herraiz","given":"M."},{"family":"Prieto","given":"J."}],"issued":{"date-parts":[["2001",7]]}},"label":"page"}],"schema":"https://github.com/citation-style-language/schema/raw/master/csl-citation.json"} </w:instrText>
      </w:r>
      <w:r w:rsidR="00941507" w:rsidRPr="00D2582B">
        <w:rPr>
          <w:rFonts w:asciiTheme="minorBidi" w:hAnsiTheme="minorBidi" w:cstheme="minorBidi"/>
          <w:color w:val="000000" w:themeColor="text1"/>
          <w:sz w:val="20"/>
          <w:szCs w:val="20"/>
        </w:rPr>
        <w:fldChar w:fldCharType="separate"/>
      </w:r>
      <w:r w:rsidR="00941507" w:rsidRPr="00D2582B">
        <w:rPr>
          <w:rFonts w:asciiTheme="minorBidi" w:hAnsiTheme="minorBidi" w:cstheme="minorBidi"/>
          <w:noProof/>
          <w:color w:val="000000" w:themeColor="text1"/>
          <w:sz w:val="20"/>
          <w:szCs w:val="20"/>
        </w:rPr>
        <w:t>(5,6,10,13)</w:t>
      </w:r>
      <w:r w:rsidR="00941507" w:rsidRPr="00D2582B">
        <w:rPr>
          <w:rFonts w:asciiTheme="minorBidi" w:hAnsiTheme="minorBidi" w:cstheme="minorBidi"/>
          <w:color w:val="000000" w:themeColor="text1"/>
          <w:sz w:val="20"/>
          <w:szCs w:val="20"/>
        </w:rPr>
        <w:fldChar w:fldCharType="end"/>
      </w:r>
      <w:r w:rsidR="00941507" w:rsidRPr="00D2582B">
        <w:rPr>
          <w:rFonts w:asciiTheme="minorBidi" w:hAnsiTheme="minorBidi" w:cstheme="minorBidi"/>
          <w:color w:val="000000" w:themeColor="text1"/>
          <w:sz w:val="20"/>
          <w:szCs w:val="20"/>
        </w:rPr>
        <w:t xml:space="preserve">. </w:t>
      </w:r>
      <w:r w:rsidRPr="00D2582B">
        <w:rPr>
          <w:rFonts w:asciiTheme="minorBidi" w:hAnsiTheme="minorBidi" w:cstheme="minorBidi"/>
          <w:color w:val="000000" w:themeColor="text1"/>
          <w:sz w:val="20"/>
          <w:szCs w:val="20"/>
        </w:rPr>
        <w:t>A</w:t>
      </w:r>
      <w:r w:rsidR="00941507" w:rsidRPr="00D2582B">
        <w:rPr>
          <w:rFonts w:asciiTheme="minorBidi" w:hAnsiTheme="minorBidi" w:cstheme="minorBidi"/>
          <w:color w:val="000000" w:themeColor="text1"/>
          <w:sz w:val="20"/>
          <w:szCs w:val="20"/>
        </w:rPr>
        <w:t xml:space="preserve">lthough immunosuppressed states are associated with IAD, there have been anecdotal reports of improvement in IAD with immune suppression and controlled trials for immune modulation could be considered in the future. </w:t>
      </w:r>
      <w:r w:rsidR="00941507" w:rsidRPr="00D2582B">
        <w:rPr>
          <w:rFonts w:asciiTheme="minorBidi" w:hAnsiTheme="minorBidi" w:cstheme="minorBidi"/>
          <w:color w:val="000000" w:themeColor="text1"/>
          <w:sz w:val="20"/>
          <w:szCs w:val="20"/>
        </w:rPr>
        <w:fldChar w:fldCharType="begin"/>
      </w:r>
      <w:r w:rsidR="00941507" w:rsidRPr="00D2582B">
        <w:rPr>
          <w:rFonts w:asciiTheme="minorBidi" w:hAnsiTheme="minorBidi" w:cstheme="minorBidi"/>
          <w:color w:val="000000" w:themeColor="text1"/>
          <w:sz w:val="20"/>
          <w:szCs w:val="20"/>
        </w:rPr>
        <w:instrText xml:space="preserve"> ADDIN ZOTERO_ITEM CSL_CITATION {"citationID":"SyzVD6ru","properties":{"formattedCitation":"(4)","plainCitation":"(4)","noteIndex":0},"citationItems":[{"id":342,"uris":["http://zotero.org/users/12151833/items/KPTYA3A4"],"itemData":{"id":342,"type":"article-journal","container-title":"Clinics in Liver Disease","DOI":"10.1016/j.cld.2007.11.007","ISSN":"10893261","issue":"1","journalAbbreviation":"Clinics in Liver Disease","language":"en","license":"https://www.elsevier.com/tdm/userlicense/1.0/","page":"203-217","source":"DOI.org (Crossref)","title":"Vanishing Bile Duct Syndrome","volume":"12","author":[{"family":"Reau","given":"Nancy S."},{"family":"Jensen","given":"Donald M."}],"issued":{"date-parts":[["2008",2]]}}}],"schema":"https://github.com/citation-style-language/schema/raw/master/csl-citation.json"} </w:instrText>
      </w:r>
      <w:r w:rsidR="00941507" w:rsidRPr="00D2582B">
        <w:rPr>
          <w:rFonts w:asciiTheme="minorBidi" w:hAnsiTheme="minorBidi" w:cstheme="minorBidi"/>
          <w:color w:val="000000" w:themeColor="text1"/>
          <w:sz w:val="20"/>
          <w:szCs w:val="20"/>
        </w:rPr>
        <w:fldChar w:fldCharType="separate"/>
      </w:r>
      <w:r w:rsidR="00941507" w:rsidRPr="00D2582B">
        <w:rPr>
          <w:rFonts w:asciiTheme="minorBidi" w:hAnsiTheme="minorBidi" w:cstheme="minorBidi"/>
          <w:noProof/>
          <w:color w:val="000000" w:themeColor="text1"/>
          <w:sz w:val="20"/>
          <w:szCs w:val="20"/>
        </w:rPr>
        <w:t>(4)</w:t>
      </w:r>
      <w:r w:rsidR="00941507" w:rsidRPr="00D2582B">
        <w:rPr>
          <w:rFonts w:asciiTheme="minorBidi" w:hAnsiTheme="minorBidi" w:cstheme="minorBidi"/>
          <w:color w:val="000000" w:themeColor="text1"/>
          <w:sz w:val="20"/>
          <w:szCs w:val="20"/>
        </w:rPr>
        <w:fldChar w:fldCharType="end"/>
      </w:r>
    </w:p>
    <w:p w14:paraId="04BBA26C" w14:textId="58B2065B" w:rsidR="00941507" w:rsidRPr="00D2582B" w:rsidRDefault="00941507" w:rsidP="00941507">
      <w:pPr>
        <w:spacing w:before="20"/>
        <w:rPr>
          <w:rFonts w:asciiTheme="minorBidi" w:hAnsiTheme="minorBidi" w:cstheme="minorBidi"/>
          <w:color w:val="FF0000"/>
          <w:sz w:val="20"/>
          <w:szCs w:val="20"/>
        </w:rPr>
      </w:pPr>
      <w:r w:rsidRPr="00D2582B">
        <w:rPr>
          <w:rFonts w:asciiTheme="minorBidi" w:hAnsiTheme="minorBidi" w:cstheme="minorBidi"/>
          <w:color w:val="000000" w:themeColor="text1"/>
          <w:sz w:val="20"/>
          <w:szCs w:val="20"/>
        </w:rPr>
        <w:t xml:space="preserve">In this case, our </w:t>
      </w:r>
      <w:r w:rsidR="00F22A1F" w:rsidRPr="00D2582B">
        <w:rPr>
          <w:rFonts w:asciiTheme="minorBidi" w:hAnsiTheme="minorBidi" w:cstheme="minorBidi"/>
          <w:color w:val="000000" w:themeColor="text1"/>
          <w:sz w:val="20"/>
          <w:szCs w:val="20"/>
        </w:rPr>
        <w:t>ATC</w:t>
      </w:r>
      <w:r w:rsidRPr="00D2582B">
        <w:rPr>
          <w:rFonts w:asciiTheme="minorBidi" w:hAnsiTheme="minorBidi" w:cstheme="minorBidi"/>
          <w:color w:val="000000" w:themeColor="text1"/>
          <w:sz w:val="20"/>
          <w:szCs w:val="20"/>
        </w:rPr>
        <w:t xml:space="preserve"> probably had mild IAD considering the age of the disease onset, the ductopenia that affected less than 50% of the portal ducts as well as the absence of any other probable cause. She was put on UDCA 600 mg daily which improved her liver function tests.</w:t>
      </w:r>
    </w:p>
    <w:p w14:paraId="2D52C565" w14:textId="30B72117"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color w:val="000000" w:themeColor="text1"/>
          <w:sz w:val="20"/>
          <w:szCs w:val="20"/>
        </w:rPr>
        <w:t xml:space="preserve">Overall, UDCA is a well-tolerated treatment; in fact, no serious adverse effects of its administration were reported in early </w:t>
      </w:r>
      <w:r w:rsidRPr="00D2582B">
        <w:rPr>
          <w:rFonts w:asciiTheme="minorBidi" w:hAnsiTheme="minorBidi" w:cstheme="minorBidi"/>
          <w:sz w:val="20"/>
          <w:szCs w:val="20"/>
        </w:rPr>
        <w:t>controlled clinical trials in</w:t>
      </w:r>
      <w:r w:rsidR="00F22A1F" w:rsidRPr="00D2582B">
        <w:rPr>
          <w:rFonts w:asciiTheme="minorBidi" w:hAnsiTheme="minorBidi" w:cstheme="minorBidi"/>
          <w:sz w:val="20"/>
          <w:szCs w:val="20"/>
        </w:rPr>
        <w:t>cluding</w:t>
      </w:r>
      <w:r w:rsidRPr="00D2582B">
        <w:rPr>
          <w:rFonts w:asciiTheme="minorBidi" w:hAnsiTheme="minorBidi" w:cstheme="minorBidi"/>
          <w:sz w:val="20"/>
          <w:szCs w:val="20"/>
        </w:rPr>
        <w:t xml:space="preserve"> placebo-controlled trials in patients with cholestatic liver disease. Its adverse effects include gastrointestinal disorders mainly diarrhea, abdominal pain and nausea and vomiting, as well as the exacerbation of pruritus. (14) </w:t>
      </w:r>
    </w:p>
    <w:p w14:paraId="41EC5E5B" w14:textId="77777777" w:rsidR="00A276A5" w:rsidRPr="00D2582B" w:rsidRDefault="00A276A5" w:rsidP="00A276A5">
      <w:pPr>
        <w:spacing w:before="20"/>
        <w:rPr>
          <w:rFonts w:asciiTheme="minorBidi" w:hAnsiTheme="minorBidi" w:cstheme="minorBidi"/>
          <w:color w:val="FF0000"/>
          <w:sz w:val="20"/>
          <w:szCs w:val="20"/>
        </w:rPr>
      </w:pPr>
      <w:r w:rsidRPr="00D2582B">
        <w:rPr>
          <w:rFonts w:asciiTheme="minorBidi" w:hAnsiTheme="minorBidi" w:cstheme="minorBidi"/>
          <w:color w:val="000000" w:themeColor="text1"/>
          <w:sz w:val="20"/>
          <w:szCs w:val="20"/>
        </w:rPr>
        <w:t>Regarding aeromedical fitness, all aircrew, and by extension ATC, in aviation must meet medical fitness requirements, which are governed by regulatory standards. These standards vary according to the various categories of aircrew: civilian, military; and for civilians, they vary according to class. However, these standards all have the same objective: to guarantee the safety of flights and the people carried, as well as the accomplishment of missions. Every aircrew member must therefore be physically and mentally fit to accomplish all the tasks assigned to his or her job, and must not have any cause likely to render him or her incapable of performing his or her duties to the extent that flight safety could be jeopardized.</w:t>
      </w:r>
    </w:p>
    <w:p w14:paraId="23EC93D7" w14:textId="77777777" w:rsidR="00A276A5" w:rsidRPr="00D2582B" w:rsidRDefault="00A276A5" w:rsidP="00A276A5">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In Morocco, the aeronautical fitness standards are governed by the Ministerial Decree N°1209-09 in line with the standards set by the International Civil Aviation Organization (ICAO).</w:t>
      </w:r>
    </w:p>
    <w:p w14:paraId="564FF7B6" w14:textId="6810D5F4" w:rsidR="00A276A5" w:rsidRPr="00A276A5" w:rsidRDefault="00A276A5" w:rsidP="00A276A5">
      <w:pPr>
        <w:spacing w:before="20"/>
        <w:rPr>
          <w:rFonts w:asciiTheme="minorBidi" w:hAnsiTheme="minorBidi" w:cstheme="minorBidi"/>
          <w:color w:val="000000" w:themeColor="text1"/>
          <w:sz w:val="20"/>
          <w:szCs w:val="20"/>
        </w:rPr>
      </w:pPr>
      <w:r w:rsidRPr="00A276A5">
        <w:rPr>
          <w:rFonts w:asciiTheme="minorBidi" w:hAnsiTheme="minorBidi" w:cstheme="minorBidi"/>
          <w:color w:val="000000" w:themeColor="text1"/>
          <w:sz w:val="20"/>
          <w:szCs w:val="20"/>
        </w:rPr>
        <w:t>The ICAO manual</w:t>
      </w:r>
      <w:r w:rsidRPr="00D2582B">
        <w:rPr>
          <w:rFonts w:asciiTheme="minorBidi" w:hAnsiTheme="minorBidi" w:cstheme="minorBidi"/>
          <w:color w:val="000000" w:themeColor="text1"/>
          <w:sz w:val="20"/>
          <w:szCs w:val="20"/>
        </w:rPr>
        <w:t xml:space="preserve"> (15)</w:t>
      </w:r>
      <w:r w:rsidRPr="00A276A5">
        <w:rPr>
          <w:rFonts w:asciiTheme="minorBidi" w:hAnsiTheme="minorBidi" w:cstheme="minorBidi"/>
          <w:color w:val="000000" w:themeColor="text1"/>
          <w:sz w:val="20"/>
          <w:szCs w:val="20"/>
        </w:rPr>
        <w:t xml:space="preserve"> clearly specifies that applicants for medical assessments must be free from any abnormalities—whether congenital or acquired—or any active, latent, acute, or chronic disabilities. It also emphasizes that applicants must not have any injuries, surgical sequelae, or the side effects of prescribed or non-prescribed medications that could impair their ability to safely operate an aircraft or perform their duties.</w:t>
      </w:r>
    </w:p>
    <w:p w14:paraId="54DEE84B" w14:textId="7E30066D" w:rsidR="00A276A5" w:rsidRPr="00A276A5" w:rsidRDefault="00A276A5" w:rsidP="00A276A5">
      <w:pPr>
        <w:spacing w:before="20"/>
        <w:rPr>
          <w:rFonts w:asciiTheme="minorBidi" w:hAnsiTheme="minorBidi" w:cstheme="minorBidi"/>
          <w:color w:val="000000" w:themeColor="text1"/>
          <w:sz w:val="20"/>
          <w:szCs w:val="20"/>
        </w:rPr>
      </w:pPr>
      <w:r w:rsidRPr="00A276A5">
        <w:rPr>
          <w:rFonts w:asciiTheme="minorBidi" w:hAnsiTheme="minorBidi" w:cstheme="minorBidi"/>
          <w:color w:val="000000" w:themeColor="text1"/>
          <w:sz w:val="20"/>
          <w:szCs w:val="20"/>
        </w:rPr>
        <w:t xml:space="preserve">Moreover, the Moroccan standards manual outlines the medical requirements for aircrew, including periodic liver function tests, which are initially conducted and repeated every two years. The manual also states that </w:t>
      </w:r>
      <w:r w:rsidRPr="00D2582B">
        <w:rPr>
          <w:rFonts w:asciiTheme="minorBidi" w:hAnsiTheme="minorBidi" w:cstheme="minorBidi"/>
          <w:color w:val="000000" w:themeColor="text1"/>
          <w:sz w:val="20"/>
          <w:szCs w:val="20"/>
        </w:rPr>
        <w:t>ATC</w:t>
      </w:r>
      <w:r w:rsidRPr="00A276A5">
        <w:rPr>
          <w:rFonts w:asciiTheme="minorBidi" w:hAnsiTheme="minorBidi" w:cstheme="minorBidi"/>
          <w:color w:val="000000" w:themeColor="text1"/>
          <w:sz w:val="20"/>
          <w:szCs w:val="20"/>
        </w:rPr>
        <w:t xml:space="preserve"> candidates with significant gastrointestinal deficiencies or related conditions are considered unfit for duty.</w:t>
      </w:r>
    </w:p>
    <w:p w14:paraId="748BF7D2" w14:textId="77777777" w:rsidR="00A276A5" w:rsidRPr="00D2582B" w:rsidRDefault="00A276A5" w:rsidP="00A276A5">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This supports the conclusion that, any perturbation of liver function tests requires an etiological evaluation. If cholestasis results from a benign condition with no impact on flight safety, medical fitness may be granted with regular follow-up. However, if it stems from a progressive condition requiring long-term medication, unfitness is the rule.</w:t>
      </w:r>
    </w:p>
    <w:p w14:paraId="2C77DBDB" w14:textId="12918AF1" w:rsidR="00941507" w:rsidRPr="00D2582B" w:rsidRDefault="00941507" w:rsidP="00A276A5">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That being said, filing for an appeal request is always possible. An exemption may be granted if certain conditions are met, depending on the medical condition, the tolerance of the treatment, the flying personnel’s specialty and their experience.</w:t>
      </w:r>
    </w:p>
    <w:p w14:paraId="0D3A24BF" w14:textId="639B8EB3" w:rsidR="00941507" w:rsidRPr="00D2582B" w:rsidRDefault="007B7F02" w:rsidP="007B7F02">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In the case of our patient, despite the diagnosis of a chronic liver condition, its mild nature, the absence of complications and psychological impact, and</w:t>
      </w:r>
      <w:r w:rsidR="00A276A5" w:rsidRPr="00D2582B">
        <w:rPr>
          <w:rFonts w:asciiTheme="minorBidi" w:hAnsiTheme="minorBidi" w:cstheme="minorBidi"/>
          <w:color w:val="000000" w:themeColor="text1"/>
          <w:sz w:val="20"/>
          <w:szCs w:val="20"/>
        </w:rPr>
        <w:t xml:space="preserve"> the</w:t>
      </w:r>
      <w:r w:rsidRPr="00D2582B">
        <w:rPr>
          <w:rFonts w:asciiTheme="minorBidi" w:hAnsiTheme="minorBidi" w:cstheme="minorBidi"/>
          <w:color w:val="000000" w:themeColor="text1"/>
          <w:sz w:val="20"/>
          <w:szCs w:val="20"/>
        </w:rPr>
        <w:t xml:space="preserve"> good response to treatment allowed for the possibility of an exemption. </w:t>
      </w:r>
      <w:r w:rsidR="00941507" w:rsidRPr="00D2582B">
        <w:rPr>
          <w:rFonts w:asciiTheme="minorBidi" w:hAnsiTheme="minorBidi" w:cstheme="minorBidi"/>
          <w:color w:val="000000" w:themeColor="text1"/>
          <w:sz w:val="20"/>
          <w:szCs w:val="20"/>
        </w:rPr>
        <w:t>This exemption includes trimestral medical assessments and monitoring of LFT.</w:t>
      </w:r>
    </w:p>
    <w:p w14:paraId="61BE4244" w14:textId="77777777" w:rsidR="00861D7F" w:rsidRPr="00D2582B" w:rsidRDefault="00861D7F" w:rsidP="007B7F02">
      <w:pPr>
        <w:spacing w:before="20"/>
        <w:rPr>
          <w:rFonts w:asciiTheme="minorBidi" w:hAnsiTheme="minorBidi" w:cstheme="minorBidi"/>
          <w:color w:val="000000" w:themeColor="text1"/>
          <w:sz w:val="20"/>
          <w:szCs w:val="20"/>
        </w:rPr>
      </w:pPr>
    </w:p>
    <w:p w14:paraId="0AA0721B" w14:textId="69E665AD" w:rsidR="00941507" w:rsidRDefault="00D2582B" w:rsidP="00D2582B">
      <w:pPr>
        <w:pStyle w:val="Heading1"/>
      </w:pPr>
      <w:r>
        <w:t>CONCLUSION</w:t>
      </w:r>
    </w:p>
    <w:p w14:paraId="46D79E33" w14:textId="77777777" w:rsidR="00D2582B" w:rsidRPr="00D2582B" w:rsidRDefault="00D2582B" w:rsidP="00941507">
      <w:pPr>
        <w:spacing w:before="20"/>
        <w:rPr>
          <w:rFonts w:asciiTheme="minorBidi" w:hAnsiTheme="minorBidi" w:cstheme="minorBidi"/>
          <w:color w:val="000000" w:themeColor="text1"/>
          <w:sz w:val="20"/>
          <w:szCs w:val="20"/>
          <w:u w:val="single"/>
        </w:rPr>
      </w:pPr>
    </w:p>
    <w:p w14:paraId="48462A8F" w14:textId="77777777" w:rsidR="00941507" w:rsidRPr="00D2582B" w:rsidRDefault="00941507" w:rsidP="00941507">
      <w:pPr>
        <w:pStyle w:val="NormalWeb"/>
        <w:spacing w:before="20" w:beforeAutospacing="0" w:after="0" w:afterAutospacing="0"/>
        <w:rPr>
          <w:rFonts w:asciiTheme="minorBidi" w:hAnsiTheme="minorBidi" w:cstheme="minorBidi"/>
          <w:color w:val="000000"/>
          <w:sz w:val="20"/>
          <w:szCs w:val="20"/>
        </w:rPr>
      </w:pPr>
      <w:r w:rsidRPr="00D2582B">
        <w:rPr>
          <w:rFonts w:asciiTheme="minorBidi" w:hAnsiTheme="minorBidi" w:cstheme="minorBidi"/>
          <w:color w:val="000000"/>
          <w:sz w:val="20"/>
          <w:szCs w:val="20"/>
        </w:rPr>
        <w:t>Idiopathic adulthood ductopenia is a rare disease with an unknown etiology. It is a chronic cholestatic liver condition that manifests in adulthood, characterized by the loss of bile ducts and remains a diagnosis of exclusion.</w:t>
      </w:r>
    </w:p>
    <w:p w14:paraId="45A8FC8B" w14:textId="77777777" w:rsidR="00861D7F" w:rsidRPr="00D2582B" w:rsidRDefault="00941507" w:rsidP="00861D7F">
      <w:pPr>
        <w:pStyle w:val="NormalWeb"/>
        <w:spacing w:before="20" w:beforeAutospacing="0" w:after="0" w:afterAutospacing="0"/>
        <w:rPr>
          <w:rFonts w:asciiTheme="minorBidi" w:hAnsiTheme="minorBidi" w:cstheme="minorBidi"/>
          <w:color w:val="000000"/>
          <w:sz w:val="20"/>
          <w:szCs w:val="20"/>
        </w:rPr>
      </w:pPr>
      <w:r w:rsidRPr="00D2582B">
        <w:rPr>
          <w:rFonts w:asciiTheme="minorBidi" w:hAnsiTheme="minorBidi" w:cstheme="minorBidi"/>
          <w:color w:val="000000"/>
          <w:sz w:val="20"/>
          <w:szCs w:val="20"/>
        </w:rPr>
        <w:t>It is a condition that can be completely asymptomatic, highlighting the importance of systematic blood tests conducted by flight personnel. Given its progressive nature and the need for long term treatment, managing medical fitness becomes more complex. Ultimately, the goal is to ensure flight safety, which is the fundamental purpose of aeronautical medicine.</w:t>
      </w:r>
    </w:p>
    <w:p w14:paraId="6D4E4DA3" w14:textId="77777777" w:rsidR="00861D7F" w:rsidRPr="00D2582B" w:rsidRDefault="00861D7F" w:rsidP="00861D7F">
      <w:pPr>
        <w:pStyle w:val="NormalWeb"/>
        <w:spacing w:before="20" w:beforeAutospacing="0" w:after="0" w:afterAutospacing="0"/>
        <w:rPr>
          <w:rFonts w:asciiTheme="minorBidi" w:hAnsiTheme="minorBidi" w:cstheme="minorBidi"/>
          <w:b/>
          <w:bCs/>
          <w:color w:val="000000"/>
          <w:sz w:val="20"/>
          <w:szCs w:val="20"/>
        </w:rPr>
      </w:pPr>
    </w:p>
    <w:p w14:paraId="6FE3F327" w14:textId="16F417E1" w:rsidR="00D2582B" w:rsidRDefault="00D2582B" w:rsidP="00D2582B"/>
    <w:p w14:paraId="2D44DE31" w14:textId="1F7B5D46" w:rsidR="00D2582B" w:rsidRDefault="00D2582B" w:rsidP="00D2582B">
      <w:pPr>
        <w:pStyle w:val="Heading1"/>
      </w:pPr>
      <w:r w:rsidRPr="00D2582B">
        <w:t>C</w:t>
      </w:r>
      <w:r>
        <w:t>ONSENT</w:t>
      </w:r>
    </w:p>
    <w:p w14:paraId="5AB6018C" w14:textId="13663DC4" w:rsidR="00D2582B" w:rsidRDefault="00D2582B" w:rsidP="00D2582B"/>
    <w:p w14:paraId="545C3CE0" w14:textId="22745F9B" w:rsidR="00D2582B" w:rsidRPr="00D2582B" w:rsidRDefault="00D2582B" w:rsidP="00D2582B">
      <w:r w:rsidRPr="00D2582B">
        <w:rPr>
          <w:rFonts w:ascii="Arial" w:hAnsi="Arial" w:cs="Arial"/>
          <w:sz w:val="20"/>
        </w:rPr>
        <w:t>All authors declare that ‘written informed consent was obtained from the patient for publication of this case report and accompanying images.</w:t>
      </w:r>
    </w:p>
    <w:p w14:paraId="7DD7750F" w14:textId="4DB2C885" w:rsidR="00861D7F" w:rsidRPr="00D2582B" w:rsidRDefault="00861D7F" w:rsidP="00861D7F">
      <w:pPr>
        <w:pStyle w:val="NormalWeb"/>
        <w:spacing w:before="20" w:beforeAutospacing="0" w:after="0" w:afterAutospacing="0"/>
        <w:rPr>
          <w:rFonts w:asciiTheme="minorBidi" w:hAnsiTheme="minorBidi" w:cstheme="minorBidi"/>
          <w:color w:val="000000"/>
          <w:sz w:val="20"/>
          <w:szCs w:val="20"/>
        </w:rPr>
      </w:pPr>
    </w:p>
    <w:p w14:paraId="5EC36AC2" w14:textId="77777777" w:rsidR="00861D7F" w:rsidRPr="00861D7F" w:rsidRDefault="00861D7F" w:rsidP="00861D7F">
      <w:pPr>
        <w:pStyle w:val="NormalWeb"/>
        <w:spacing w:before="20" w:beforeAutospacing="0" w:after="0" w:afterAutospacing="0"/>
        <w:rPr>
          <w:rFonts w:asciiTheme="minorBidi" w:hAnsiTheme="minorBidi" w:cstheme="minorBidi"/>
          <w:color w:val="000000"/>
          <w:sz w:val="20"/>
          <w:szCs w:val="20"/>
        </w:rPr>
      </w:pPr>
    </w:p>
    <w:p w14:paraId="460D8214" w14:textId="77777777" w:rsidR="00861D7F" w:rsidRPr="00D2582B" w:rsidRDefault="00861D7F" w:rsidP="00941507">
      <w:pPr>
        <w:pStyle w:val="NormalWeb"/>
        <w:spacing w:before="20" w:beforeAutospacing="0" w:after="0" w:afterAutospacing="0"/>
        <w:rPr>
          <w:rFonts w:asciiTheme="minorBidi" w:hAnsiTheme="minorBidi" w:cstheme="minorBidi"/>
          <w:color w:val="000000"/>
          <w:sz w:val="20"/>
          <w:szCs w:val="20"/>
        </w:rPr>
      </w:pPr>
    </w:p>
    <w:p w14:paraId="304C7E72" w14:textId="77777777" w:rsidR="00F87C08" w:rsidRPr="00D2582B" w:rsidRDefault="00F87C08" w:rsidP="00432FE9">
      <w:pPr>
        <w:pStyle w:val="NormalWeb"/>
        <w:spacing w:before="20" w:beforeAutospacing="0" w:after="0" w:afterAutospacing="0"/>
        <w:rPr>
          <w:rFonts w:asciiTheme="minorBidi" w:hAnsiTheme="minorBidi" w:cstheme="minorBidi"/>
          <w:color w:val="000000"/>
          <w:sz w:val="20"/>
          <w:szCs w:val="20"/>
        </w:rPr>
      </w:pPr>
    </w:p>
    <w:p w14:paraId="60C17E53" w14:textId="3C8BD072" w:rsidR="005A2E34" w:rsidRPr="00D2582B" w:rsidRDefault="00F87C08" w:rsidP="00D2582B">
      <w:pPr>
        <w:pStyle w:val="Heading1"/>
      </w:pPr>
      <w:r w:rsidRPr="00D2582B">
        <w:t>R</w:t>
      </w:r>
      <w:r w:rsidR="00D2582B">
        <w:t>EFERENCES</w:t>
      </w:r>
    </w:p>
    <w:p w14:paraId="4026AF2B" w14:textId="277D29B1" w:rsidR="00854816" w:rsidRPr="00854816" w:rsidRDefault="00854816" w:rsidP="00854816">
      <w:pPr>
        <w:spacing w:before="20"/>
        <w:rPr>
          <w:rFonts w:asciiTheme="minorBidi" w:eastAsiaTheme="minorHAnsi" w:hAnsiTheme="minorBidi" w:cstheme="minorBidi"/>
          <w:sz w:val="20"/>
          <w:szCs w:val="20"/>
        </w:rPr>
      </w:pPr>
    </w:p>
    <w:p w14:paraId="271AE727" w14:textId="44A46EE0"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Kim, W. R. (2000). Variant forms of cholestatic diseases involving small bile ducts in adults. </w:t>
      </w:r>
      <w:r w:rsidRPr="00854816">
        <w:rPr>
          <w:rFonts w:asciiTheme="minorBidi" w:eastAsiaTheme="minorHAnsi" w:hAnsiTheme="minorBidi" w:cstheme="minorBidi"/>
          <w:i/>
          <w:iCs/>
          <w:sz w:val="20"/>
          <w:szCs w:val="20"/>
        </w:rPr>
        <w:t>American Journal of Gastroenterology, 95</w:t>
      </w:r>
      <w:r w:rsidRPr="00854816">
        <w:rPr>
          <w:rFonts w:asciiTheme="minorBidi" w:eastAsiaTheme="minorHAnsi" w:hAnsiTheme="minorBidi" w:cstheme="minorBidi"/>
          <w:sz w:val="20"/>
          <w:szCs w:val="20"/>
        </w:rPr>
        <w:t>(5</w:t>
      </w:r>
      <w:r>
        <w:rPr>
          <w:rFonts w:asciiTheme="minorBidi" w:eastAsiaTheme="minorHAnsi" w:hAnsiTheme="minorBidi" w:cstheme="minorBidi"/>
          <w:sz w:val="20"/>
          <w:szCs w:val="20"/>
        </w:rPr>
        <w:t>).</w:t>
      </w:r>
    </w:p>
    <w:p w14:paraId="4E229789"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Ludwig, J., Wiesner, R. H., &amp; LaRusso, N. F. (1988). Idiopathic adulthood ductopenia. </w:t>
      </w:r>
      <w:r w:rsidRPr="00854816">
        <w:rPr>
          <w:rFonts w:asciiTheme="minorBidi" w:eastAsiaTheme="minorHAnsi" w:hAnsiTheme="minorBidi" w:cstheme="minorBidi"/>
          <w:i/>
          <w:iCs/>
          <w:sz w:val="20"/>
          <w:szCs w:val="20"/>
        </w:rPr>
        <w:t>Journal of Hepatology, 7</w:t>
      </w:r>
      <w:r w:rsidRPr="00854816">
        <w:rPr>
          <w:rFonts w:asciiTheme="minorBidi" w:eastAsiaTheme="minorHAnsi" w:hAnsiTheme="minorBidi" w:cstheme="minorBidi"/>
          <w:sz w:val="20"/>
          <w:szCs w:val="20"/>
        </w:rPr>
        <w:t>(2), 193–199.</w:t>
      </w:r>
    </w:p>
    <w:p w14:paraId="201C50D7"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Ludwig, J. (1998). Idiopathic adulthood ductopenia: An update. </w:t>
      </w:r>
      <w:r w:rsidRPr="00854816">
        <w:rPr>
          <w:rFonts w:asciiTheme="minorBidi" w:eastAsiaTheme="minorHAnsi" w:hAnsiTheme="minorBidi" w:cstheme="minorBidi"/>
          <w:i/>
          <w:iCs/>
          <w:sz w:val="20"/>
          <w:szCs w:val="20"/>
        </w:rPr>
        <w:t>Mayo Clinic Proceedings, 73</w:t>
      </w:r>
      <w:r w:rsidRPr="00854816">
        <w:rPr>
          <w:rFonts w:asciiTheme="minorBidi" w:eastAsiaTheme="minorHAnsi" w:hAnsiTheme="minorBidi" w:cstheme="minorBidi"/>
          <w:sz w:val="20"/>
          <w:szCs w:val="20"/>
        </w:rPr>
        <w:t>(3), 285–291.</w:t>
      </w:r>
    </w:p>
    <w:p w14:paraId="79561B6C"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Reau, N. S., &amp; Jensen, D. M. (2008). Vanishing bile duct syndrome. </w:t>
      </w:r>
      <w:r w:rsidRPr="00854816">
        <w:rPr>
          <w:rFonts w:asciiTheme="minorBidi" w:eastAsiaTheme="minorHAnsi" w:hAnsiTheme="minorBidi" w:cstheme="minorBidi"/>
          <w:i/>
          <w:iCs/>
          <w:sz w:val="20"/>
          <w:szCs w:val="20"/>
        </w:rPr>
        <w:t>Clinics in Liver Disease, 12</w:t>
      </w:r>
      <w:r w:rsidRPr="00854816">
        <w:rPr>
          <w:rFonts w:asciiTheme="minorBidi" w:eastAsiaTheme="minorHAnsi" w:hAnsiTheme="minorBidi" w:cstheme="minorBidi"/>
          <w:sz w:val="20"/>
          <w:szCs w:val="20"/>
        </w:rPr>
        <w:t>(1), 203–217.</w:t>
      </w:r>
    </w:p>
    <w:p w14:paraId="7766FDD6"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proofErr w:type="spellStart"/>
      <w:r w:rsidRPr="00854816">
        <w:rPr>
          <w:rFonts w:asciiTheme="minorBidi" w:eastAsiaTheme="minorHAnsi" w:hAnsiTheme="minorBidi" w:cstheme="minorBidi"/>
          <w:sz w:val="20"/>
          <w:szCs w:val="20"/>
          <w:lang w:val="fr-FR"/>
        </w:rPr>
        <w:t>Zafrani</w:t>
      </w:r>
      <w:proofErr w:type="spellEnd"/>
      <w:r w:rsidRPr="00854816">
        <w:rPr>
          <w:rFonts w:asciiTheme="minorBidi" w:eastAsiaTheme="minorHAnsi" w:hAnsiTheme="minorBidi" w:cstheme="minorBidi"/>
          <w:sz w:val="20"/>
          <w:szCs w:val="20"/>
          <w:lang w:val="fr-FR"/>
        </w:rPr>
        <w:t xml:space="preserve">, E. S., </w:t>
      </w:r>
      <w:proofErr w:type="spellStart"/>
      <w:r w:rsidRPr="00854816">
        <w:rPr>
          <w:rFonts w:asciiTheme="minorBidi" w:eastAsiaTheme="minorHAnsi" w:hAnsiTheme="minorBidi" w:cstheme="minorBidi"/>
          <w:sz w:val="20"/>
          <w:szCs w:val="20"/>
          <w:lang w:val="fr-FR"/>
        </w:rPr>
        <w:t>Metreau</w:t>
      </w:r>
      <w:proofErr w:type="spellEnd"/>
      <w:r w:rsidRPr="00854816">
        <w:rPr>
          <w:rFonts w:asciiTheme="minorBidi" w:eastAsiaTheme="minorHAnsi" w:hAnsiTheme="minorBidi" w:cstheme="minorBidi"/>
          <w:sz w:val="20"/>
          <w:szCs w:val="20"/>
          <w:lang w:val="fr-FR"/>
        </w:rPr>
        <w:t xml:space="preserve">, J. M., </w:t>
      </w:r>
      <w:proofErr w:type="spellStart"/>
      <w:r w:rsidRPr="00854816">
        <w:rPr>
          <w:rFonts w:asciiTheme="minorBidi" w:eastAsiaTheme="minorHAnsi" w:hAnsiTheme="minorBidi" w:cstheme="minorBidi"/>
          <w:sz w:val="20"/>
          <w:szCs w:val="20"/>
          <w:lang w:val="fr-FR"/>
        </w:rPr>
        <w:t>Douvin</w:t>
      </w:r>
      <w:proofErr w:type="spellEnd"/>
      <w:r w:rsidRPr="00854816">
        <w:rPr>
          <w:rFonts w:asciiTheme="minorBidi" w:eastAsiaTheme="minorHAnsi" w:hAnsiTheme="minorBidi" w:cstheme="minorBidi"/>
          <w:sz w:val="20"/>
          <w:szCs w:val="20"/>
          <w:lang w:val="fr-FR"/>
        </w:rPr>
        <w:t xml:space="preserve">, C., Larrey, D., </w:t>
      </w:r>
      <w:proofErr w:type="spellStart"/>
      <w:r w:rsidRPr="00854816">
        <w:rPr>
          <w:rFonts w:asciiTheme="minorBidi" w:eastAsiaTheme="minorHAnsi" w:hAnsiTheme="minorBidi" w:cstheme="minorBidi"/>
          <w:sz w:val="20"/>
          <w:szCs w:val="20"/>
          <w:lang w:val="fr-FR"/>
        </w:rPr>
        <w:t>Massari</w:t>
      </w:r>
      <w:proofErr w:type="spellEnd"/>
      <w:r w:rsidRPr="00854816">
        <w:rPr>
          <w:rFonts w:asciiTheme="minorBidi" w:eastAsiaTheme="minorHAnsi" w:hAnsiTheme="minorBidi" w:cstheme="minorBidi"/>
          <w:sz w:val="20"/>
          <w:szCs w:val="20"/>
          <w:lang w:val="fr-FR"/>
        </w:rPr>
        <w:t xml:space="preserve">, R., </w:t>
      </w:r>
      <w:proofErr w:type="spellStart"/>
      <w:r w:rsidRPr="00854816">
        <w:rPr>
          <w:rFonts w:asciiTheme="minorBidi" w:eastAsiaTheme="minorHAnsi" w:hAnsiTheme="minorBidi" w:cstheme="minorBidi"/>
          <w:sz w:val="20"/>
          <w:szCs w:val="20"/>
          <w:lang w:val="fr-FR"/>
        </w:rPr>
        <w:t>Reynes</w:t>
      </w:r>
      <w:proofErr w:type="spellEnd"/>
      <w:r w:rsidRPr="00854816">
        <w:rPr>
          <w:rFonts w:asciiTheme="minorBidi" w:eastAsiaTheme="minorHAnsi" w:hAnsiTheme="minorBidi" w:cstheme="minorBidi"/>
          <w:sz w:val="20"/>
          <w:szCs w:val="20"/>
          <w:lang w:val="fr-FR"/>
        </w:rPr>
        <w:t xml:space="preserve">, M., et al. </w:t>
      </w:r>
      <w:r w:rsidRPr="00854816">
        <w:rPr>
          <w:rFonts w:asciiTheme="minorBidi" w:eastAsiaTheme="minorHAnsi" w:hAnsiTheme="minorBidi" w:cstheme="minorBidi"/>
          <w:sz w:val="20"/>
          <w:szCs w:val="20"/>
        </w:rPr>
        <w:t>(1990). Idiopathic biliary ductopenia in adults: A report of five cases. </w:t>
      </w:r>
      <w:r w:rsidRPr="00854816">
        <w:rPr>
          <w:rFonts w:asciiTheme="minorBidi" w:eastAsiaTheme="minorHAnsi" w:hAnsiTheme="minorBidi" w:cstheme="minorBidi"/>
          <w:i/>
          <w:iCs/>
          <w:sz w:val="20"/>
          <w:szCs w:val="20"/>
        </w:rPr>
        <w:t>Gastroenterology, 99</w:t>
      </w:r>
      <w:r w:rsidRPr="00854816">
        <w:rPr>
          <w:rFonts w:asciiTheme="minorBidi" w:eastAsiaTheme="minorHAnsi" w:hAnsiTheme="minorBidi" w:cstheme="minorBidi"/>
          <w:sz w:val="20"/>
          <w:szCs w:val="20"/>
        </w:rPr>
        <w:t>(6), 1823–1828.</w:t>
      </w:r>
    </w:p>
    <w:p w14:paraId="4524E178"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Burak, K. W., Pearson, D. C., Swain, M. G., Kelly, J., Urbanski, S. J., &amp; Bridges, R. J. (2000). Familial idiopathic adulthood ductopenia: A report of five cases in three generations. </w:t>
      </w:r>
      <w:r w:rsidRPr="00854816">
        <w:rPr>
          <w:rFonts w:asciiTheme="minorBidi" w:eastAsiaTheme="minorHAnsi" w:hAnsiTheme="minorBidi" w:cstheme="minorBidi"/>
          <w:i/>
          <w:iCs/>
          <w:sz w:val="20"/>
          <w:szCs w:val="20"/>
        </w:rPr>
        <w:t>Journal of Hepatology, 32</w:t>
      </w:r>
      <w:r w:rsidRPr="00854816">
        <w:rPr>
          <w:rFonts w:asciiTheme="minorBidi" w:eastAsiaTheme="minorHAnsi" w:hAnsiTheme="minorBidi" w:cstheme="minorBidi"/>
          <w:sz w:val="20"/>
          <w:szCs w:val="20"/>
        </w:rPr>
        <w:t>(1), 159–163.</w:t>
      </w:r>
    </w:p>
    <w:p w14:paraId="32EA93A2"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Dural, A. T., Genta, R. M., Goodman, Z. D., &amp; Yoffe, B. (2002). Idiopathic adulthood ductopenia associated with hepatitis C virus. </w:t>
      </w:r>
      <w:r w:rsidRPr="00854816">
        <w:rPr>
          <w:rFonts w:asciiTheme="minorBidi" w:eastAsiaTheme="minorHAnsi" w:hAnsiTheme="minorBidi" w:cstheme="minorBidi"/>
          <w:i/>
          <w:iCs/>
          <w:sz w:val="20"/>
          <w:szCs w:val="20"/>
        </w:rPr>
        <w:t>Digestive Diseases and Sciences, 47</w:t>
      </w:r>
      <w:r w:rsidRPr="00854816">
        <w:rPr>
          <w:rFonts w:asciiTheme="minorBidi" w:eastAsiaTheme="minorHAnsi" w:hAnsiTheme="minorBidi" w:cstheme="minorBidi"/>
          <w:sz w:val="20"/>
          <w:szCs w:val="20"/>
        </w:rPr>
        <w:t>(7), 1625–1626.</w:t>
      </w:r>
    </w:p>
    <w:p w14:paraId="6C2E7BED"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proofErr w:type="spellStart"/>
      <w:r w:rsidRPr="00854816">
        <w:rPr>
          <w:rFonts w:asciiTheme="minorBidi" w:eastAsiaTheme="minorHAnsi" w:hAnsiTheme="minorBidi" w:cstheme="minorBidi"/>
          <w:sz w:val="20"/>
          <w:szCs w:val="20"/>
        </w:rPr>
        <w:t>Nakanuma</w:t>
      </w:r>
      <w:proofErr w:type="spellEnd"/>
      <w:r w:rsidRPr="00854816">
        <w:rPr>
          <w:rFonts w:asciiTheme="minorBidi" w:eastAsiaTheme="minorHAnsi" w:hAnsiTheme="minorBidi" w:cstheme="minorBidi"/>
          <w:sz w:val="20"/>
          <w:szCs w:val="20"/>
        </w:rPr>
        <w:t>, Y., &amp; Ohta, G. (1979). Histometric and serial section observations of the intrahepatic bile ducts in primary biliary cirrhosis. </w:t>
      </w:r>
      <w:r w:rsidRPr="00854816">
        <w:rPr>
          <w:rFonts w:asciiTheme="minorBidi" w:eastAsiaTheme="minorHAnsi" w:hAnsiTheme="minorBidi" w:cstheme="minorBidi"/>
          <w:i/>
          <w:iCs/>
          <w:sz w:val="20"/>
          <w:szCs w:val="20"/>
        </w:rPr>
        <w:t>Gastroenterology, 76</w:t>
      </w:r>
      <w:r w:rsidRPr="00854816">
        <w:rPr>
          <w:rFonts w:asciiTheme="minorBidi" w:eastAsiaTheme="minorHAnsi" w:hAnsiTheme="minorBidi" w:cstheme="minorBidi"/>
          <w:sz w:val="20"/>
          <w:szCs w:val="20"/>
        </w:rPr>
        <w:t>(6), 1326–1332.</w:t>
      </w:r>
    </w:p>
    <w:p w14:paraId="4E551747"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Moreno, A., Vicente Carreño, V., Cano, A., &amp; González, C. (1997). Idiopathic biliary ductopenia in adults without symptoms of liver disease. </w:t>
      </w:r>
      <w:r w:rsidRPr="00854816">
        <w:rPr>
          <w:rFonts w:asciiTheme="minorBidi" w:eastAsiaTheme="minorHAnsi" w:hAnsiTheme="minorBidi" w:cstheme="minorBidi"/>
          <w:i/>
          <w:iCs/>
          <w:sz w:val="20"/>
          <w:szCs w:val="20"/>
        </w:rPr>
        <w:t>New England Journal of Medicine, 336</w:t>
      </w:r>
      <w:r w:rsidRPr="00854816">
        <w:rPr>
          <w:rFonts w:asciiTheme="minorBidi" w:eastAsiaTheme="minorHAnsi" w:hAnsiTheme="minorBidi" w:cstheme="minorBidi"/>
          <w:sz w:val="20"/>
          <w:szCs w:val="20"/>
        </w:rPr>
        <w:t>(12), 835–838.</w:t>
      </w:r>
    </w:p>
    <w:p w14:paraId="316AD317"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proofErr w:type="spellStart"/>
      <w:r w:rsidRPr="00854816">
        <w:rPr>
          <w:rFonts w:asciiTheme="minorBidi" w:eastAsiaTheme="minorHAnsi" w:hAnsiTheme="minorBidi" w:cstheme="minorBidi"/>
          <w:sz w:val="20"/>
          <w:szCs w:val="20"/>
        </w:rPr>
        <w:t>Khanlou</w:t>
      </w:r>
      <w:proofErr w:type="spellEnd"/>
      <w:r w:rsidRPr="00854816">
        <w:rPr>
          <w:rFonts w:asciiTheme="minorBidi" w:eastAsiaTheme="minorHAnsi" w:hAnsiTheme="minorBidi" w:cstheme="minorBidi"/>
          <w:sz w:val="20"/>
          <w:szCs w:val="20"/>
        </w:rPr>
        <w:t xml:space="preserve">, H., Sass, D., Rothstein, K., </w:t>
      </w:r>
      <w:proofErr w:type="spellStart"/>
      <w:r w:rsidRPr="00854816">
        <w:rPr>
          <w:rFonts w:asciiTheme="minorBidi" w:eastAsiaTheme="minorHAnsi" w:hAnsiTheme="minorBidi" w:cstheme="minorBidi"/>
          <w:sz w:val="20"/>
          <w:szCs w:val="20"/>
        </w:rPr>
        <w:t>Manzarbeitia</w:t>
      </w:r>
      <w:proofErr w:type="spellEnd"/>
      <w:r w:rsidRPr="00854816">
        <w:rPr>
          <w:rFonts w:asciiTheme="minorBidi" w:eastAsiaTheme="minorHAnsi" w:hAnsiTheme="minorBidi" w:cstheme="minorBidi"/>
          <w:sz w:val="20"/>
          <w:szCs w:val="20"/>
        </w:rPr>
        <w:t>, C., Reich, D., Jacobson, L., et al. (2000). Idiopathic adulthood ductopenia: Case report and review of the literature. </w:t>
      </w:r>
      <w:r w:rsidRPr="00854816">
        <w:rPr>
          <w:rFonts w:asciiTheme="minorBidi" w:eastAsiaTheme="minorHAnsi" w:hAnsiTheme="minorBidi" w:cstheme="minorBidi"/>
          <w:i/>
          <w:iCs/>
          <w:sz w:val="20"/>
          <w:szCs w:val="20"/>
        </w:rPr>
        <w:t>Archives of Internal Medicine, 160</w:t>
      </w:r>
      <w:r w:rsidRPr="00854816">
        <w:rPr>
          <w:rFonts w:asciiTheme="minorBidi" w:eastAsiaTheme="minorHAnsi" w:hAnsiTheme="minorBidi" w:cstheme="minorBidi"/>
          <w:sz w:val="20"/>
          <w:szCs w:val="20"/>
        </w:rPr>
        <w:t>(7), 1033.</w:t>
      </w:r>
    </w:p>
    <w:p w14:paraId="6A30DA17"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Domínguez-</w:t>
      </w:r>
      <w:proofErr w:type="spellStart"/>
      <w:r w:rsidRPr="00854816">
        <w:rPr>
          <w:rFonts w:asciiTheme="minorBidi" w:eastAsiaTheme="minorHAnsi" w:hAnsiTheme="minorBidi" w:cstheme="minorBidi"/>
          <w:sz w:val="20"/>
          <w:szCs w:val="20"/>
        </w:rPr>
        <w:t>Antonaya</w:t>
      </w:r>
      <w:proofErr w:type="spellEnd"/>
      <w:r w:rsidRPr="00854816">
        <w:rPr>
          <w:rFonts w:asciiTheme="minorBidi" w:eastAsiaTheme="minorHAnsi" w:hAnsiTheme="minorBidi" w:cstheme="minorBidi"/>
          <w:sz w:val="20"/>
          <w:szCs w:val="20"/>
        </w:rPr>
        <w:t>, M., Coba-Ceballos, J. M., Gómez-Rubio, M., De Cuenca, B., Ortega-Muñoz, P., &amp; García, J. (2000). Idiopathic adulthood ductopenia: A diagnosis—Two clinicopathologic courses. </w:t>
      </w:r>
      <w:r w:rsidRPr="00854816">
        <w:rPr>
          <w:rFonts w:asciiTheme="minorBidi" w:eastAsiaTheme="minorHAnsi" w:hAnsiTheme="minorBidi" w:cstheme="minorBidi"/>
          <w:i/>
          <w:iCs/>
          <w:sz w:val="20"/>
          <w:szCs w:val="20"/>
        </w:rPr>
        <w:t>Journal of Clinical Gastroenterology, 30</w:t>
      </w:r>
      <w:r w:rsidRPr="00854816">
        <w:rPr>
          <w:rFonts w:asciiTheme="minorBidi" w:eastAsiaTheme="minorHAnsi" w:hAnsiTheme="minorBidi" w:cstheme="minorBidi"/>
          <w:sz w:val="20"/>
          <w:szCs w:val="20"/>
        </w:rPr>
        <w:t>(2), 210–212.</w:t>
      </w:r>
    </w:p>
    <w:p w14:paraId="6F2BA228"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Müller, C., Ulrich, W., &amp; Penner, E. (1995). Manifestation late in life of idiopathic adulthood ductopenia. </w:t>
      </w:r>
      <w:r w:rsidRPr="00854816">
        <w:rPr>
          <w:rFonts w:asciiTheme="minorBidi" w:eastAsiaTheme="minorHAnsi" w:hAnsiTheme="minorBidi" w:cstheme="minorBidi"/>
          <w:i/>
          <w:iCs/>
          <w:sz w:val="20"/>
          <w:szCs w:val="20"/>
        </w:rPr>
        <w:t>Liver, 15</w:t>
      </w:r>
      <w:r w:rsidRPr="00854816">
        <w:rPr>
          <w:rFonts w:asciiTheme="minorBidi" w:eastAsiaTheme="minorHAnsi" w:hAnsiTheme="minorBidi" w:cstheme="minorBidi"/>
          <w:sz w:val="20"/>
          <w:szCs w:val="20"/>
        </w:rPr>
        <w:t>(4), 213–218.</w:t>
      </w:r>
    </w:p>
    <w:p w14:paraId="77F8D7C2"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lang w:val="fr-FR"/>
        </w:rPr>
        <w:t xml:space="preserve">Rios, R., </w:t>
      </w:r>
      <w:proofErr w:type="spellStart"/>
      <w:r w:rsidRPr="00854816">
        <w:rPr>
          <w:rFonts w:asciiTheme="minorBidi" w:eastAsiaTheme="minorHAnsi" w:hAnsiTheme="minorBidi" w:cstheme="minorBidi"/>
          <w:sz w:val="20"/>
          <w:szCs w:val="20"/>
          <w:lang w:val="fr-FR"/>
        </w:rPr>
        <w:t>Herrero</w:t>
      </w:r>
      <w:proofErr w:type="spellEnd"/>
      <w:r w:rsidRPr="00854816">
        <w:rPr>
          <w:rFonts w:asciiTheme="minorBidi" w:eastAsiaTheme="minorHAnsi" w:hAnsiTheme="minorBidi" w:cstheme="minorBidi"/>
          <w:sz w:val="20"/>
          <w:szCs w:val="20"/>
          <w:lang w:val="fr-FR"/>
        </w:rPr>
        <w:t xml:space="preserve">, J. I., </w:t>
      </w:r>
      <w:proofErr w:type="spellStart"/>
      <w:r w:rsidRPr="00854816">
        <w:rPr>
          <w:rFonts w:asciiTheme="minorBidi" w:eastAsiaTheme="minorHAnsi" w:hAnsiTheme="minorBidi" w:cstheme="minorBidi"/>
          <w:sz w:val="20"/>
          <w:szCs w:val="20"/>
          <w:lang w:val="fr-FR"/>
        </w:rPr>
        <w:t>Quiroga</w:t>
      </w:r>
      <w:proofErr w:type="spellEnd"/>
      <w:r w:rsidRPr="00854816">
        <w:rPr>
          <w:rFonts w:asciiTheme="minorBidi" w:eastAsiaTheme="minorHAnsi" w:hAnsiTheme="minorBidi" w:cstheme="minorBidi"/>
          <w:sz w:val="20"/>
          <w:szCs w:val="20"/>
          <w:lang w:val="fr-FR"/>
        </w:rPr>
        <w:t xml:space="preserve">, J., Sangro, B., Sola, I., Pardo, F., et al. </w:t>
      </w:r>
      <w:r w:rsidRPr="00854816">
        <w:rPr>
          <w:rFonts w:asciiTheme="minorBidi" w:eastAsiaTheme="minorHAnsi" w:hAnsiTheme="minorBidi" w:cstheme="minorBidi"/>
          <w:sz w:val="20"/>
          <w:szCs w:val="20"/>
        </w:rPr>
        <w:t>(2001). Idiopathic adulthood ductopenia: Long-term follow-up after liver transplantation. </w:t>
      </w:r>
      <w:r w:rsidRPr="00854816">
        <w:rPr>
          <w:rFonts w:asciiTheme="minorBidi" w:eastAsiaTheme="minorHAnsi" w:hAnsiTheme="minorBidi" w:cstheme="minorBidi"/>
          <w:i/>
          <w:iCs/>
          <w:sz w:val="20"/>
          <w:szCs w:val="20"/>
        </w:rPr>
        <w:t>Digestive Diseases and Sciences, 46</w:t>
      </w:r>
      <w:r w:rsidRPr="00854816">
        <w:rPr>
          <w:rFonts w:asciiTheme="minorBidi" w:eastAsiaTheme="minorHAnsi" w:hAnsiTheme="minorBidi" w:cstheme="minorBidi"/>
          <w:sz w:val="20"/>
          <w:szCs w:val="20"/>
        </w:rPr>
        <w:t>(7), 1420–1423.</w:t>
      </w:r>
    </w:p>
    <w:p w14:paraId="207A17CD"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 xml:space="preserve">Hempfling, W., Dilger, K., &amp; </w:t>
      </w:r>
      <w:proofErr w:type="spellStart"/>
      <w:r w:rsidRPr="00854816">
        <w:rPr>
          <w:rFonts w:asciiTheme="minorBidi" w:eastAsiaTheme="minorHAnsi" w:hAnsiTheme="minorBidi" w:cstheme="minorBidi"/>
          <w:sz w:val="20"/>
          <w:szCs w:val="20"/>
        </w:rPr>
        <w:t>Beuers</w:t>
      </w:r>
      <w:proofErr w:type="spellEnd"/>
      <w:r w:rsidRPr="00854816">
        <w:rPr>
          <w:rFonts w:asciiTheme="minorBidi" w:eastAsiaTheme="minorHAnsi" w:hAnsiTheme="minorBidi" w:cstheme="minorBidi"/>
          <w:sz w:val="20"/>
          <w:szCs w:val="20"/>
        </w:rPr>
        <w:t>, U. (2003). Systematic review: Ursodeoxycholic acid—Adverse effects and drug interactions. </w:t>
      </w:r>
      <w:r w:rsidRPr="00854816">
        <w:rPr>
          <w:rFonts w:asciiTheme="minorBidi" w:eastAsiaTheme="minorHAnsi" w:hAnsiTheme="minorBidi" w:cstheme="minorBidi"/>
          <w:i/>
          <w:iCs/>
          <w:sz w:val="20"/>
          <w:szCs w:val="20"/>
        </w:rPr>
        <w:t>Alimentary Pharmacology &amp; Therapeutics, 17</w:t>
      </w:r>
      <w:r w:rsidRPr="00854816">
        <w:rPr>
          <w:rFonts w:asciiTheme="minorBidi" w:eastAsiaTheme="minorHAnsi" w:hAnsiTheme="minorBidi" w:cstheme="minorBidi"/>
          <w:sz w:val="20"/>
          <w:szCs w:val="20"/>
        </w:rPr>
        <w:t>(9), 897–906.</w:t>
      </w:r>
    </w:p>
    <w:p w14:paraId="06EFE3BA"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International Civil Aviation Organization (ICAO). (2012). </w:t>
      </w:r>
      <w:r w:rsidRPr="00854816">
        <w:rPr>
          <w:rFonts w:asciiTheme="minorBidi" w:eastAsiaTheme="minorHAnsi" w:hAnsiTheme="minorBidi" w:cstheme="minorBidi"/>
          <w:i/>
          <w:iCs/>
          <w:sz w:val="20"/>
          <w:szCs w:val="20"/>
        </w:rPr>
        <w:t>Manual of Civil Aviation Medicine</w:t>
      </w:r>
      <w:r w:rsidRPr="00854816">
        <w:rPr>
          <w:rFonts w:asciiTheme="minorBidi" w:eastAsiaTheme="minorHAnsi" w:hAnsiTheme="minorBidi" w:cstheme="minorBidi"/>
          <w:sz w:val="20"/>
          <w:szCs w:val="20"/>
        </w:rPr>
        <w:t> (3rd ed.). Montreal: ICAO.</w:t>
      </w:r>
    </w:p>
    <w:p w14:paraId="3C79AB23" w14:textId="71936F6D" w:rsidR="006F7F75" w:rsidRPr="00D2582B" w:rsidRDefault="006F7F75" w:rsidP="00432FE9">
      <w:pPr>
        <w:spacing w:before="20"/>
        <w:rPr>
          <w:rFonts w:asciiTheme="minorBidi" w:hAnsiTheme="minorBidi" w:cstheme="minorBidi"/>
          <w:sz w:val="20"/>
          <w:szCs w:val="20"/>
        </w:rPr>
      </w:pPr>
    </w:p>
    <w:sectPr w:rsidR="006F7F75" w:rsidRPr="00D2582B" w:rsidSect="00432FE9">
      <w:headerReference w:type="even" r:id="rId9"/>
      <w:headerReference w:type="default" r:id="rId10"/>
      <w:footerReference w:type="even" r:id="rId11"/>
      <w:footerReference w:type="default" r:id="rId12"/>
      <w:headerReference w:type="first" r:id="rId13"/>
      <w:footerReference w:type="first" r:id="rId14"/>
      <w:pgSz w:w="11900"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63EB" w14:textId="77777777" w:rsidR="00E83654" w:rsidRDefault="00E83654" w:rsidP="00031A0F">
      <w:r>
        <w:separator/>
      </w:r>
    </w:p>
  </w:endnote>
  <w:endnote w:type="continuationSeparator" w:id="0">
    <w:p w14:paraId="24A55E1D" w14:textId="77777777" w:rsidR="00E83654" w:rsidRDefault="00E83654" w:rsidP="0003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9390026"/>
      <w:docPartObj>
        <w:docPartGallery w:val="Page Numbers (Bottom of Page)"/>
        <w:docPartUnique/>
      </w:docPartObj>
    </w:sdtPr>
    <w:sdtContent>
      <w:p w14:paraId="29468200" w14:textId="48FCCC74" w:rsidR="000B037B" w:rsidRDefault="000B037B" w:rsidP="008B69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63583224"/>
      <w:docPartObj>
        <w:docPartGallery w:val="Page Numbers (Bottom of Page)"/>
        <w:docPartUnique/>
      </w:docPartObj>
    </w:sdtPr>
    <w:sdtContent>
      <w:p w14:paraId="58B233F1" w14:textId="01FB0A2D" w:rsidR="000B037B" w:rsidRDefault="000B037B" w:rsidP="000B037B">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CB8F0A" w14:textId="77777777" w:rsidR="00031A0F" w:rsidRDefault="00031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205999"/>
      <w:docPartObj>
        <w:docPartGallery w:val="Page Numbers (Bottom of Page)"/>
        <w:docPartUnique/>
      </w:docPartObj>
    </w:sdtPr>
    <w:sdtContent>
      <w:p w14:paraId="2184C163" w14:textId="796800BD" w:rsidR="000B037B" w:rsidRDefault="000B037B" w:rsidP="000B0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698E1" w14:textId="72E31CBA" w:rsidR="00031A0F" w:rsidRPr="00FB1565" w:rsidRDefault="00031A0F" w:rsidP="00980D6A">
    <w:pPr>
      <w:pStyle w:val="Footer"/>
      <w:ind w:right="360"/>
      <w:rPr>
        <w:rFonts w:asciiTheme="majorBidi" w:hAnsiTheme="majorBidi" w:cstheme="majorBid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71C3" w14:textId="77777777" w:rsidR="00455B76" w:rsidRDefault="00455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E3DD5" w14:textId="77777777" w:rsidR="00E83654" w:rsidRDefault="00E83654" w:rsidP="00031A0F">
      <w:r>
        <w:separator/>
      </w:r>
    </w:p>
  </w:footnote>
  <w:footnote w:type="continuationSeparator" w:id="0">
    <w:p w14:paraId="4CE4A4FB" w14:textId="77777777" w:rsidR="00E83654" w:rsidRDefault="00E83654" w:rsidP="0003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A316" w14:textId="02F7A638" w:rsidR="00455B76" w:rsidRDefault="00455B76">
    <w:pPr>
      <w:pStyle w:val="Header"/>
    </w:pPr>
    <w:r>
      <w:rPr>
        <w:noProof/>
      </w:rPr>
      <w:pict w14:anchorId="3557C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91157" o:spid="_x0000_s1026" type="#_x0000_t136" style="position:absolute;margin-left:0;margin-top:0;width:572.25pt;height:63.5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73B6" w14:textId="7DEB3037" w:rsidR="00455B76" w:rsidRDefault="00455B76">
    <w:pPr>
      <w:pStyle w:val="Header"/>
    </w:pPr>
    <w:r>
      <w:rPr>
        <w:noProof/>
      </w:rPr>
      <w:pict w14:anchorId="195C1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91158" o:spid="_x0000_s1027" type="#_x0000_t136" style="position:absolute;margin-left:0;margin-top:0;width:572.25pt;height:63.5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2537" w14:textId="6BBE61DB" w:rsidR="00455B76" w:rsidRDefault="00455B76">
    <w:pPr>
      <w:pStyle w:val="Header"/>
    </w:pPr>
    <w:r>
      <w:rPr>
        <w:noProof/>
      </w:rPr>
      <w:pict w14:anchorId="648F6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91156" o:spid="_x0000_s1025" type="#_x0000_t136" style="position:absolute;margin-left:0;margin-top:0;width:572.25pt;height:63.5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470B"/>
    <w:multiLevelType w:val="multilevel"/>
    <w:tmpl w:val="8666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D1015"/>
    <w:multiLevelType w:val="hybridMultilevel"/>
    <w:tmpl w:val="5A5AA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C9163A"/>
    <w:multiLevelType w:val="hybridMultilevel"/>
    <w:tmpl w:val="B0F06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401F59"/>
    <w:multiLevelType w:val="hybridMultilevel"/>
    <w:tmpl w:val="8F2E7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95DE7"/>
    <w:multiLevelType w:val="multilevel"/>
    <w:tmpl w:val="633C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72AC6"/>
    <w:multiLevelType w:val="hybridMultilevel"/>
    <w:tmpl w:val="7828F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540329"/>
    <w:multiLevelType w:val="hybridMultilevel"/>
    <w:tmpl w:val="0C965864"/>
    <w:lvl w:ilvl="0" w:tplc="B920A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D02A08"/>
    <w:multiLevelType w:val="hybridMultilevel"/>
    <w:tmpl w:val="73FE6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400BD"/>
    <w:multiLevelType w:val="hybridMultilevel"/>
    <w:tmpl w:val="1AF46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683174">
    <w:abstractNumId w:val="0"/>
  </w:num>
  <w:num w:numId="2" w16cid:durableId="1296716130">
    <w:abstractNumId w:val="1"/>
  </w:num>
  <w:num w:numId="3" w16cid:durableId="1980307557">
    <w:abstractNumId w:val="2"/>
  </w:num>
  <w:num w:numId="4" w16cid:durableId="909534208">
    <w:abstractNumId w:val="5"/>
  </w:num>
  <w:num w:numId="5" w16cid:durableId="740444775">
    <w:abstractNumId w:val="6"/>
  </w:num>
  <w:num w:numId="6" w16cid:durableId="686716555">
    <w:abstractNumId w:val="7"/>
  </w:num>
  <w:num w:numId="7" w16cid:durableId="1540051072">
    <w:abstractNumId w:val="8"/>
  </w:num>
  <w:num w:numId="8" w16cid:durableId="998926189">
    <w:abstractNumId w:val="3"/>
  </w:num>
  <w:num w:numId="9" w16cid:durableId="1189757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34"/>
    <w:rsid w:val="00002CEA"/>
    <w:rsid w:val="00012EE8"/>
    <w:rsid w:val="00027FDC"/>
    <w:rsid w:val="00031A0F"/>
    <w:rsid w:val="000B037B"/>
    <w:rsid w:val="000B671D"/>
    <w:rsid w:val="000C0523"/>
    <w:rsid w:val="000C3C17"/>
    <w:rsid w:val="000D30E1"/>
    <w:rsid w:val="000E3B4F"/>
    <w:rsid w:val="0013693C"/>
    <w:rsid w:val="0014716C"/>
    <w:rsid w:val="001555B8"/>
    <w:rsid w:val="00156368"/>
    <w:rsid w:val="00157718"/>
    <w:rsid w:val="0017483C"/>
    <w:rsid w:val="00187998"/>
    <w:rsid w:val="001A0AB6"/>
    <w:rsid w:val="001C3601"/>
    <w:rsid w:val="001D5FF7"/>
    <w:rsid w:val="001D6268"/>
    <w:rsid w:val="001F1DB5"/>
    <w:rsid w:val="00233C17"/>
    <w:rsid w:val="00245A7E"/>
    <w:rsid w:val="00263CE4"/>
    <w:rsid w:val="00267AD8"/>
    <w:rsid w:val="00283268"/>
    <w:rsid w:val="002B4DA4"/>
    <w:rsid w:val="002B52DD"/>
    <w:rsid w:val="00310DF0"/>
    <w:rsid w:val="0037543A"/>
    <w:rsid w:val="003D70CD"/>
    <w:rsid w:val="00403D7B"/>
    <w:rsid w:val="00432FE9"/>
    <w:rsid w:val="00445DD8"/>
    <w:rsid w:val="00455B76"/>
    <w:rsid w:val="004A712A"/>
    <w:rsid w:val="004B499F"/>
    <w:rsid w:val="004B6EEC"/>
    <w:rsid w:val="004D0939"/>
    <w:rsid w:val="00506BFC"/>
    <w:rsid w:val="00523639"/>
    <w:rsid w:val="00563C85"/>
    <w:rsid w:val="0058232F"/>
    <w:rsid w:val="005935F4"/>
    <w:rsid w:val="005A2E34"/>
    <w:rsid w:val="005A76F8"/>
    <w:rsid w:val="005C15EE"/>
    <w:rsid w:val="005C20D5"/>
    <w:rsid w:val="005C6470"/>
    <w:rsid w:val="005E1D6E"/>
    <w:rsid w:val="005E74F8"/>
    <w:rsid w:val="00601463"/>
    <w:rsid w:val="00622729"/>
    <w:rsid w:val="0065673E"/>
    <w:rsid w:val="0066016B"/>
    <w:rsid w:val="00682A19"/>
    <w:rsid w:val="00683588"/>
    <w:rsid w:val="006905A2"/>
    <w:rsid w:val="006D1E02"/>
    <w:rsid w:val="006D1F29"/>
    <w:rsid w:val="006E01A5"/>
    <w:rsid w:val="006F7F75"/>
    <w:rsid w:val="00707BA8"/>
    <w:rsid w:val="00725809"/>
    <w:rsid w:val="00765CB9"/>
    <w:rsid w:val="007973CB"/>
    <w:rsid w:val="007B333D"/>
    <w:rsid w:val="007B7F02"/>
    <w:rsid w:val="007C30E7"/>
    <w:rsid w:val="007D4C06"/>
    <w:rsid w:val="00833989"/>
    <w:rsid w:val="00850117"/>
    <w:rsid w:val="00854816"/>
    <w:rsid w:val="00856C9C"/>
    <w:rsid w:val="00861D7F"/>
    <w:rsid w:val="008746E0"/>
    <w:rsid w:val="008C42BF"/>
    <w:rsid w:val="008E5564"/>
    <w:rsid w:val="009111C0"/>
    <w:rsid w:val="00915B38"/>
    <w:rsid w:val="00922211"/>
    <w:rsid w:val="00941507"/>
    <w:rsid w:val="00942FDD"/>
    <w:rsid w:val="00943256"/>
    <w:rsid w:val="0095249D"/>
    <w:rsid w:val="00980D6A"/>
    <w:rsid w:val="00991A14"/>
    <w:rsid w:val="0099202B"/>
    <w:rsid w:val="0099755F"/>
    <w:rsid w:val="009B670F"/>
    <w:rsid w:val="009D3E2E"/>
    <w:rsid w:val="00A24EA9"/>
    <w:rsid w:val="00A276A5"/>
    <w:rsid w:val="00AA77FC"/>
    <w:rsid w:val="00AB30F3"/>
    <w:rsid w:val="00B03DD6"/>
    <w:rsid w:val="00B357CB"/>
    <w:rsid w:val="00B44C1D"/>
    <w:rsid w:val="00B949FD"/>
    <w:rsid w:val="00BA450D"/>
    <w:rsid w:val="00BE7B0F"/>
    <w:rsid w:val="00BF7DDC"/>
    <w:rsid w:val="00C24CF1"/>
    <w:rsid w:val="00C5692B"/>
    <w:rsid w:val="00CA7D6E"/>
    <w:rsid w:val="00CC20AD"/>
    <w:rsid w:val="00CE6445"/>
    <w:rsid w:val="00D2582B"/>
    <w:rsid w:val="00D25AD8"/>
    <w:rsid w:val="00D35D59"/>
    <w:rsid w:val="00DA3D0F"/>
    <w:rsid w:val="00DB5419"/>
    <w:rsid w:val="00E0008F"/>
    <w:rsid w:val="00E120A0"/>
    <w:rsid w:val="00E54EAA"/>
    <w:rsid w:val="00E72FA9"/>
    <w:rsid w:val="00E83654"/>
    <w:rsid w:val="00ED6A4F"/>
    <w:rsid w:val="00F0034B"/>
    <w:rsid w:val="00F22A1F"/>
    <w:rsid w:val="00F279A2"/>
    <w:rsid w:val="00F312CB"/>
    <w:rsid w:val="00F33D1E"/>
    <w:rsid w:val="00F4731E"/>
    <w:rsid w:val="00F50276"/>
    <w:rsid w:val="00F76A4C"/>
    <w:rsid w:val="00F87C08"/>
    <w:rsid w:val="00F92DC1"/>
    <w:rsid w:val="00F943B7"/>
    <w:rsid w:val="00F9524F"/>
    <w:rsid w:val="00FB1565"/>
    <w:rsid w:val="00FB73B7"/>
    <w:rsid w:val="00FD6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F07D9"/>
  <w15:chartTrackingRefBased/>
  <w15:docId w15:val="{E41617CA-C307-1947-BFDD-05CBF24C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7B"/>
    <w:rPr>
      <w:rFonts w:ascii="Times New Roman" w:eastAsia="Times New Roman" w:hAnsi="Times New Roman" w:cs="Times New Roman"/>
    </w:rPr>
  </w:style>
  <w:style w:type="paragraph" w:styleId="Heading1">
    <w:name w:val="heading 1"/>
    <w:basedOn w:val="Normal"/>
    <w:next w:val="Normal"/>
    <w:link w:val="Heading1Char"/>
    <w:uiPriority w:val="9"/>
    <w:qFormat/>
    <w:rsid w:val="00D2582B"/>
    <w:pPr>
      <w:spacing w:before="20"/>
      <w:outlineLvl w:val="0"/>
    </w:pPr>
    <w:rPr>
      <w:rFonts w:asciiTheme="minorBidi" w:hAnsiTheme="minorBid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2E34"/>
    <w:pPr>
      <w:spacing w:before="100" w:beforeAutospacing="1" w:after="100" w:afterAutospacing="1"/>
    </w:pPr>
  </w:style>
  <w:style w:type="paragraph" w:styleId="Bibliography">
    <w:name w:val="Bibliography"/>
    <w:basedOn w:val="Normal"/>
    <w:next w:val="Normal"/>
    <w:uiPriority w:val="37"/>
    <w:unhideWhenUsed/>
    <w:rsid w:val="005A2E34"/>
    <w:pPr>
      <w:tabs>
        <w:tab w:val="left" w:pos="260"/>
        <w:tab w:val="left" w:pos="380"/>
      </w:tabs>
      <w:spacing w:after="240"/>
      <w:ind w:left="384" w:hanging="384"/>
    </w:pPr>
    <w:rPr>
      <w:rFonts w:asciiTheme="minorHAnsi" w:eastAsiaTheme="minorHAnsi" w:hAnsiTheme="minorHAnsi" w:cstheme="minorBidi"/>
    </w:rPr>
  </w:style>
  <w:style w:type="paragraph" w:styleId="ListParagraph">
    <w:name w:val="List Paragraph"/>
    <w:basedOn w:val="Normal"/>
    <w:uiPriority w:val="34"/>
    <w:qFormat/>
    <w:rsid w:val="009111C0"/>
    <w:pPr>
      <w:ind w:left="720"/>
      <w:contextualSpacing/>
    </w:pPr>
  </w:style>
  <w:style w:type="paragraph" w:styleId="Caption">
    <w:name w:val="caption"/>
    <w:basedOn w:val="Normal"/>
    <w:next w:val="Normal"/>
    <w:uiPriority w:val="35"/>
    <w:unhideWhenUsed/>
    <w:qFormat/>
    <w:rsid w:val="00B949FD"/>
    <w:pPr>
      <w:spacing w:after="200"/>
    </w:pPr>
    <w:rPr>
      <w:i/>
      <w:iCs/>
      <w:color w:val="44546A" w:themeColor="text2"/>
      <w:sz w:val="18"/>
      <w:szCs w:val="18"/>
    </w:rPr>
  </w:style>
  <w:style w:type="paragraph" w:styleId="Header">
    <w:name w:val="header"/>
    <w:basedOn w:val="Normal"/>
    <w:link w:val="HeaderChar"/>
    <w:uiPriority w:val="99"/>
    <w:unhideWhenUsed/>
    <w:rsid w:val="00031A0F"/>
    <w:pPr>
      <w:tabs>
        <w:tab w:val="center" w:pos="4680"/>
        <w:tab w:val="right" w:pos="9360"/>
      </w:tabs>
    </w:pPr>
  </w:style>
  <w:style w:type="character" w:customStyle="1" w:styleId="HeaderChar">
    <w:name w:val="Header Char"/>
    <w:basedOn w:val="DefaultParagraphFont"/>
    <w:link w:val="Header"/>
    <w:uiPriority w:val="99"/>
    <w:rsid w:val="00031A0F"/>
    <w:rPr>
      <w:rFonts w:ascii="Times New Roman" w:eastAsia="Times New Roman" w:hAnsi="Times New Roman" w:cs="Times New Roman"/>
    </w:rPr>
  </w:style>
  <w:style w:type="paragraph" w:styleId="Footer">
    <w:name w:val="footer"/>
    <w:basedOn w:val="Normal"/>
    <w:link w:val="FooterChar"/>
    <w:uiPriority w:val="99"/>
    <w:unhideWhenUsed/>
    <w:rsid w:val="00031A0F"/>
    <w:pPr>
      <w:tabs>
        <w:tab w:val="center" w:pos="4680"/>
        <w:tab w:val="right" w:pos="9360"/>
      </w:tabs>
    </w:pPr>
  </w:style>
  <w:style w:type="character" w:customStyle="1" w:styleId="FooterChar">
    <w:name w:val="Footer Char"/>
    <w:basedOn w:val="DefaultParagraphFont"/>
    <w:link w:val="Footer"/>
    <w:uiPriority w:val="99"/>
    <w:rsid w:val="00031A0F"/>
    <w:rPr>
      <w:rFonts w:ascii="Times New Roman" w:eastAsia="Times New Roman" w:hAnsi="Times New Roman" w:cs="Times New Roman"/>
    </w:rPr>
  </w:style>
  <w:style w:type="character" w:styleId="Hyperlink">
    <w:name w:val="Hyperlink"/>
    <w:basedOn w:val="DefaultParagraphFont"/>
    <w:uiPriority w:val="99"/>
    <w:unhideWhenUsed/>
    <w:rsid w:val="00031A0F"/>
    <w:rPr>
      <w:color w:val="0563C1" w:themeColor="hyperlink"/>
      <w:u w:val="single"/>
    </w:rPr>
  </w:style>
  <w:style w:type="character" w:styleId="UnresolvedMention">
    <w:name w:val="Unresolved Mention"/>
    <w:basedOn w:val="DefaultParagraphFont"/>
    <w:uiPriority w:val="99"/>
    <w:semiHidden/>
    <w:unhideWhenUsed/>
    <w:rsid w:val="00031A0F"/>
    <w:rPr>
      <w:color w:val="605E5C"/>
      <w:shd w:val="clear" w:color="auto" w:fill="E1DFDD"/>
    </w:rPr>
  </w:style>
  <w:style w:type="character" w:styleId="PageNumber">
    <w:name w:val="page number"/>
    <w:basedOn w:val="DefaultParagraphFont"/>
    <w:uiPriority w:val="99"/>
    <w:semiHidden/>
    <w:unhideWhenUsed/>
    <w:rsid w:val="000B037B"/>
  </w:style>
  <w:style w:type="character" w:customStyle="1" w:styleId="Heading1Char">
    <w:name w:val="Heading 1 Char"/>
    <w:basedOn w:val="DefaultParagraphFont"/>
    <w:link w:val="Heading1"/>
    <w:uiPriority w:val="9"/>
    <w:rsid w:val="00D2582B"/>
    <w:rPr>
      <w:rFonts w:asciiTheme="minorBidi" w:eastAsia="Times New Roman" w:hAnsiTheme="minorBidi"/>
      <w:b/>
      <w:bCs/>
      <w:sz w:val="22"/>
      <w:szCs w:val="22"/>
    </w:rPr>
  </w:style>
  <w:style w:type="paragraph" w:customStyle="1" w:styleId="ReferHead">
    <w:name w:val="Refer Head"/>
    <w:basedOn w:val="Normal"/>
    <w:rsid w:val="00D2582B"/>
    <w:pPr>
      <w:keepNext/>
      <w:spacing w:after="240"/>
    </w:pPr>
    <w:rPr>
      <w:rFonts w:ascii="Helvetica" w:hAnsi="Helvetica"/>
      <w:b/>
      <w:caps/>
      <w:sz w:val="22"/>
      <w:szCs w:val="20"/>
    </w:rPr>
  </w:style>
  <w:style w:type="character" w:styleId="FollowedHyperlink">
    <w:name w:val="FollowedHyperlink"/>
    <w:basedOn w:val="DefaultParagraphFont"/>
    <w:uiPriority w:val="99"/>
    <w:semiHidden/>
    <w:unhideWhenUsed/>
    <w:rsid w:val="00263C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1106">
      <w:bodyDiv w:val="1"/>
      <w:marLeft w:val="0"/>
      <w:marRight w:val="0"/>
      <w:marTop w:val="0"/>
      <w:marBottom w:val="0"/>
      <w:divBdr>
        <w:top w:val="none" w:sz="0" w:space="0" w:color="auto"/>
        <w:left w:val="none" w:sz="0" w:space="0" w:color="auto"/>
        <w:bottom w:val="none" w:sz="0" w:space="0" w:color="auto"/>
        <w:right w:val="none" w:sz="0" w:space="0" w:color="auto"/>
      </w:divBdr>
      <w:divsChild>
        <w:div w:id="1154878108">
          <w:marLeft w:val="0"/>
          <w:marRight w:val="0"/>
          <w:marTop w:val="0"/>
          <w:marBottom w:val="0"/>
          <w:divBdr>
            <w:top w:val="none" w:sz="0" w:space="0" w:color="auto"/>
            <w:left w:val="none" w:sz="0" w:space="0" w:color="auto"/>
            <w:bottom w:val="none" w:sz="0" w:space="0" w:color="auto"/>
            <w:right w:val="none" w:sz="0" w:space="0" w:color="auto"/>
          </w:divBdr>
          <w:divsChild>
            <w:div w:id="1526672269">
              <w:marLeft w:val="0"/>
              <w:marRight w:val="0"/>
              <w:marTop w:val="0"/>
              <w:marBottom w:val="0"/>
              <w:divBdr>
                <w:top w:val="none" w:sz="0" w:space="0" w:color="auto"/>
                <w:left w:val="none" w:sz="0" w:space="0" w:color="auto"/>
                <w:bottom w:val="none" w:sz="0" w:space="0" w:color="auto"/>
                <w:right w:val="none" w:sz="0" w:space="0" w:color="auto"/>
              </w:divBdr>
              <w:divsChild>
                <w:div w:id="393091039">
                  <w:marLeft w:val="0"/>
                  <w:marRight w:val="0"/>
                  <w:marTop w:val="0"/>
                  <w:marBottom w:val="0"/>
                  <w:divBdr>
                    <w:top w:val="none" w:sz="0" w:space="0" w:color="auto"/>
                    <w:left w:val="none" w:sz="0" w:space="0" w:color="auto"/>
                    <w:bottom w:val="none" w:sz="0" w:space="0" w:color="auto"/>
                    <w:right w:val="none" w:sz="0" w:space="0" w:color="auto"/>
                  </w:divBdr>
                  <w:divsChild>
                    <w:div w:id="1265578482">
                      <w:marLeft w:val="0"/>
                      <w:marRight w:val="0"/>
                      <w:marTop w:val="0"/>
                      <w:marBottom w:val="0"/>
                      <w:divBdr>
                        <w:top w:val="none" w:sz="0" w:space="0" w:color="auto"/>
                        <w:left w:val="none" w:sz="0" w:space="0" w:color="auto"/>
                        <w:bottom w:val="none" w:sz="0" w:space="0" w:color="auto"/>
                        <w:right w:val="none" w:sz="0" w:space="0" w:color="auto"/>
                      </w:divBdr>
                      <w:divsChild>
                        <w:div w:id="233854827">
                          <w:marLeft w:val="0"/>
                          <w:marRight w:val="0"/>
                          <w:marTop w:val="0"/>
                          <w:marBottom w:val="0"/>
                          <w:divBdr>
                            <w:top w:val="none" w:sz="0" w:space="0" w:color="auto"/>
                            <w:left w:val="none" w:sz="0" w:space="0" w:color="auto"/>
                            <w:bottom w:val="none" w:sz="0" w:space="0" w:color="auto"/>
                            <w:right w:val="none" w:sz="0" w:space="0" w:color="auto"/>
                          </w:divBdr>
                          <w:divsChild>
                            <w:div w:id="11801972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1460">
      <w:bodyDiv w:val="1"/>
      <w:marLeft w:val="0"/>
      <w:marRight w:val="0"/>
      <w:marTop w:val="0"/>
      <w:marBottom w:val="0"/>
      <w:divBdr>
        <w:top w:val="none" w:sz="0" w:space="0" w:color="auto"/>
        <w:left w:val="none" w:sz="0" w:space="0" w:color="auto"/>
        <w:bottom w:val="none" w:sz="0" w:space="0" w:color="auto"/>
        <w:right w:val="none" w:sz="0" w:space="0" w:color="auto"/>
      </w:divBdr>
    </w:div>
    <w:div w:id="351304838">
      <w:bodyDiv w:val="1"/>
      <w:marLeft w:val="0"/>
      <w:marRight w:val="0"/>
      <w:marTop w:val="0"/>
      <w:marBottom w:val="0"/>
      <w:divBdr>
        <w:top w:val="none" w:sz="0" w:space="0" w:color="auto"/>
        <w:left w:val="none" w:sz="0" w:space="0" w:color="auto"/>
        <w:bottom w:val="none" w:sz="0" w:space="0" w:color="auto"/>
        <w:right w:val="none" w:sz="0" w:space="0" w:color="auto"/>
      </w:divBdr>
    </w:div>
    <w:div w:id="357319080">
      <w:bodyDiv w:val="1"/>
      <w:marLeft w:val="0"/>
      <w:marRight w:val="0"/>
      <w:marTop w:val="0"/>
      <w:marBottom w:val="0"/>
      <w:divBdr>
        <w:top w:val="none" w:sz="0" w:space="0" w:color="auto"/>
        <w:left w:val="none" w:sz="0" w:space="0" w:color="auto"/>
        <w:bottom w:val="none" w:sz="0" w:space="0" w:color="auto"/>
        <w:right w:val="none" w:sz="0" w:space="0" w:color="auto"/>
      </w:divBdr>
    </w:div>
    <w:div w:id="452016773">
      <w:bodyDiv w:val="1"/>
      <w:marLeft w:val="0"/>
      <w:marRight w:val="0"/>
      <w:marTop w:val="0"/>
      <w:marBottom w:val="0"/>
      <w:divBdr>
        <w:top w:val="none" w:sz="0" w:space="0" w:color="auto"/>
        <w:left w:val="none" w:sz="0" w:space="0" w:color="auto"/>
        <w:bottom w:val="none" w:sz="0" w:space="0" w:color="auto"/>
        <w:right w:val="none" w:sz="0" w:space="0" w:color="auto"/>
      </w:divBdr>
    </w:div>
    <w:div w:id="483543200">
      <w:bodyDiv w:val="1"/>
      <w:marLeft w:val="0"/>
      <w:marRight w:val="0"/>
      <w:marTop w:val="0"/>
      <w:marBottom w:val="0"/>
      <w:divBdr>
        <w:top w:val="none" w:sz="0" w:space="0" w:color="auto"/>
        <w:left w:val="none" w:sz="0" w:space="0" w:color="auto"/>
        <w:bottom w:val="none" w:sz="0" w:space="0" w:color="auto"/>
        <w:right w:val="none" w:sz="0" w:space="0" w:color="auto"/>
      </w:divBdr>
      <w:divsChild>
        <w:div w:id="1310600149">
          <w:marLeft w:val="0"/>
          <w:marRight w:val="0"/>
          <w:marTop w:val="0"/>
          <w:marBottom w:val="0"/>
          <w:divBdr>
            <w:top w:val="none" w:sz="0" w:space="0" w:color="auto"/>
            <w:left w:val="none" w:sz="0" w:space="0" w:color="auto"/>
            <w:bottom w:val="none" w:sz="0" w:space="0" w:color="auto"/>
            <w:right w:val="none" w:sz="0" w:space="0" w:color="auto"/>
          </w:divBdr>
          <w:divsChild>
            <w:div w:id="1258710712">
              <w:marLeft w:val="0"/>
              <w:marRight w:val="0"/>
              <w:marTop w:val="0"/>
              <w:marBottom w:val="0"/>
              <w:divBdr>
                <w:top w:val="none" w:sz="0" w:space="0" w:color="auto"/>
                <w:left w:val="none" w:sz="0" w:space="0" w:color="auto"/>
                <w:bottom w:val="none" w:sz="0" w:space="0" w:color="auto"/>
                <w:right w:val="none" w:sz="0" w:space="0" w:color="auto"/>
              </w:divBdr>
              <w:divsChild>
                <w:div w:id="495612504">
                  <w:marLeft w:val="0"/>
                  <w:marRight w:val="0"/>
                  <w:marTop w:val="0"/>
                  <w:marBottom w:val="0"/>
                  <w:divBdr>
                    <w:top w:val="none" w:sz="0" w:space="0" w:color="auto"/>
                    <w:left w:val="none" w:sz="0" w:space="0" w:color="auto"/>
                    <w:bottom w:val="none" w:sz="0" w:space="0" w:color="auto"/>
                    <w:right w:val="none" w:sz="0" w:space="0" w:color="auto"/>
                  </w:divBdr>
                  <w:divsChild>
                    <w:div w:id="2134014238">
                      <w:marLeft w:val="0"/>
                      <w:marRight w:val="0"/>
                      <w:marTop w:val="0"/>
                      <w:marBottom w:val="0"/>
                      <w:divBdr>
                        <w:top w:val="none" w:sz="0" w:space="0" w:color="auto"/>
                        <w:left w:val="none" w:sz="0" w:space="0" w:color="auto"/>
                        <w:bottom w:val="none" w:sz="0" w:space="0" w:color="auto"/>
                        <w:right w:val="none" w:sz="0" w:space="0" w:color="auto"/>
                      </w:divBdr>
                      <w:divsChild>
                        <w:div w:id="1881553223">
                          <w:marLeft w:val="0"/>
                          <w:marRight w:val="0"/>
                          <w:marTop w:val="0"/>
                          <w:marBottom w:val="0"/>
                          <w:divBdr>
                            <w:top w:val="none" w:sz="0" w:space="0" w:color="auto"/>
                            <w:left w:val="none" w:sz="0" w:space="0" w:color="auto"/>
                            <w:bottom w:val="none" w:sz="0" w:space="0" w:color="auto"/>
                            <w:right w:val="none" w:sz="0" w:space="0" w:color="auto"/>
                          </w:divBdr>
                          <w:divsChild>
                            <w:div w:id="6102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230391">
      <w:bodyDiv w:val="1"/>
      <w:marLeft w:val="0"/>
      <w:marRight w:val="0"/>
      <w:marTop w:val="0"/>
      <w:marBottom w:val="0"/>
      <w:divBdr>
        <w:top w:val="none" w:sz="0" w:space="0" w:color="auto"/>
        <w:left w:val="none" w:sz="0" w:space="0" w:color="auto"/>
        <w:bottom w:val="none" w:sz="0" w:space="0" w:color="auto"/>
        <w:right w:val="none" w:sz="0" w:space="0" w:color="auto"/>
      </w:divBdr>
    </w:div>
    <w:div w:id="621691397">
      <w:bodyDiv w:val="1"/>
      <w:marLeft w:val="0"/>
      <w:marRight w:val="0"/>
      <w:marTop w:val="0"/>
      <w:marBottom w:val="0"/>
      <w:divBdr>
        <w:top w:val="none" w:sz="0" w:space="0" w:color="auto"/>
        <w:left w:val="none" w:sz="0" w:space="0" w:color="auto"/>
        <w:bottom w:val="none" w:sz="0" w:space="0" w:color="auto"/>
        <w:right w:val="none" w:sz="0" w:space="0" w:color="auto"/>
      </w:divBdr>
    </w:div>
    <w:div w:id="633756334">
      <w:bodyDiv w:val="1"/>
      <w:marLeft w:val="0"/>
      <w:marRight w:val="0"/>
      <w:marTop w:val="0"/>
      <w:marBottom w:val="0"/>
      <w:divBdr>
        <w:top w:val="none" w:sz="0" w:space="0" w:color="auto"/>
        <w:left w:val="none" w:sz="0" w:space="0" w:color="auto"/>
        <w:bottom w:val="none" w:sz="0" w:space="0" w:color="auto"/>
        <w:right w:val="none" w:sz="0" w:space="0" w:color="auto"/>
      </w:divBdr>
    </w:div>
    <w:div w:id="662926853">
      <w:bodyDiv w:val="1"/>
      <w:marLeft w:val="0"/>
      <w:marRight w:val="0"/>
      <w:marTop w:val="0"/>
      <w:marBottom w:val="0"/>
      <w:divBdr>
        <w:top w:val="none" w:sz="0" w:space="0" w:color="auto"/>
        <w:left w:val="none" w:sz="0" w:space="0" w:color="auto"/>
        <w:bottom w:val="none" w:sz="0" w:space="0" w:color="auto"/>
        <w:right w:val="none" w:sz="0" w:space="0" w:color="auto"/>
      </w:divBdr>
    </w:div>
    <w:div w:id="755590572">
      <w:bodyDiv w:val="1"/>
      <w:marLeft w:val="0"/>
      <w:marRight w:val="0"/>
      <w:marTop w:val="0"/>
      <w:marBottom w:val="0"/>
      <w:divBdr>
        <w:top w:val="none" w:sz="0" w:space="0" w:color="auto"/>
        <w:left w:val="none" w:sz="0" w:space="0" w:color="auto"/>
        <w:bottom w:val="none" w:sz="0" w:space="0" w:color="auto"/>
        <w:right w:val="none" w:sz="0" w:space="0" w:color="auto"/>
      </w:divBdr>
    </w:div>
    <w:div w:id="899705917">
      <w:bodyDiv w:val="1"/>
      <w:marLeft w:val="0"/>
      <w:marRight w:val="0"/>
      <w:marTop w:val="0"/>
      <w:marBottom w:val="0"/>
      <w:divBdr>
        <w:top w:val="none" w:sz="0" w:space="0" w:color="auto"/>
        <w:left w:val="none" w:sz="0" w:space="0" w:color="auto"/>
        <w:bottom w:val="none" w:sz="0" w:space="0" w:color="auto"/>
        <w:right w:val="none" w:sz="0" w:space="0" w:color="auto"/>
      </w:divBdr>
    </w:div>
    <w:div w:id="903223358">
      <w:bodyDiv w:val="1"/>
      <w:marLeft w:val="0"/>
      <w:marRight w:val="0"/>
      <w:marTop w:val="0"/>
      <w:marBottom w:val="0"/>
      <w:divBdr>
        <w:top w:val="none" w:sz="0" w:space="0" w:color="auto"/>
        <w:left w:val="none" w:sz="0" w:space="0" w:color="auto"/>
        <w:bottom w:val="none" w:sz="0" w:space="0" w:color="auto"/>
        <w:right w:val="none" w:sz="0" w:space="0" w:color="auto"/>
      </w:divBdr>
    </w:div>
    <w:div w:id="1043601344">
      <w:bodyDiv w:val="1"/>
      <w:marLeft w:val="0"/>
      <w:marRight w:val="0"/>
      <w:marTop w:val="0"/>
      <w:marBottom w:val="0"/>
      <w:divBdr>
        <w:top w:val="none" w:sz="0" w:space="0" w:color="auto"/>
        <w:left w:val="none" w:sz="0" w:space="0" w:color="auto"/>
        <w:bottom w:val="none" w:sz="0" w:space="0" w:color="auto"/>
        <w:right w:val="none" w:sz="0" w:space="0" w:color="auto"/>
      </w:divBdr>
    </w:div>
    <w:div w:id="1069964011">
      <w:bodyDiv w:val="1"/>
      <w:marLeft w:val="0"/>
      <w:marRight w:val="0"/>
      <w:marTop w:val="0"/>
      <w:marBottom w:val="0"/>
      <w:divBdr>
        <w:top w:val="none" w:sz="0" w:space="0" w:color="auto"/>
        <w:left w:val="none" w:sz="0" w:space="0" w:color="auto"/>
        <w:bottom w:val="none" w:sz="0" w:space="0" w:color="auto"/>
        <w:right w:val="none" w:sz="0" w:space="0" w:color="auto"/>
      </w:divBdr>
    </w:div>
    <w:div w:id="1106000864">
      <w:bodyDiv w:val="1"/>
      <w:marLeft w:val="0"/>
      <w:marRight w:val="0"/>
      <w:marTop w:val="0"/>
      <w:marBottom w:val="0"/>
      <w:divBdr>
        <w:top w:val="none" w:sz="0" w:space="0" w:color="auto"/>
        <w:left w:val="none" w:sz="0" w:space="0" w:color="auto"/>
        <w:bottom w:val="none" w:sz="0" w:space="0" w:color="auto"/>
        <w:right w:val="none" w:sz="0" w:space="0" w:color="auto"/>
      </w:divBdr>
    </w:div>
    <w:div w:id="1136680283">
      <w:bodyDiv w:val="1"/>
      <w:marLeft w:val="0"/>
      <w:marRight w:val="0"/>
      <w:marTop w:val="0"/>
      <w:marBottom w:val="0"/>
      <w:divBdr>
        <w:top w:val="none" w:sz="0" w:space="0" w:color="auto"/>
        <w:left w:val="none" w:sz="0" w:space="0" w:color="auto"/>
        <w:bottom w:val="none" w:sz="0" w:space="0" w:color="auto"/>
        <w:right w:val="none" w:sz="0" w:space="0" w:color="auto"/>
      </w:divBdr>
    </w:div>
    <w:div w:id="1161503861">
      <w:bodyDiv w:val="1"/>
      <w:marLeft w:val="0"/>
      <w:marRight w:val="0"/>
      <w:marTop w:val="0"/>
      <w:marBottom w:val="0"/>
      <w:divBdr>
        <w:top w:val="none" w:sz="0" w:space="0" w:color="auto"/>
        <w:left w:val="none" w:sz="0" w:space="0" w:color="auto"/>
        <w:bottom w:val="none" w:sz="0" w:space="0" w:color="auto"/>
        <w:right w:val="none" w:sz="0" w:space="0" w:color="auto"/>
      </w:divBdr>
    </w:div>
    <w:div w:id="1171335225">
      <w:bodyDiv w:val="1"/>
      <w:marLeft w:val="0"/>
      <w:marRight w:val="0"/>
      <w:marTop w:val="0"/>
      <w:marBottom w:val="0"/>
      <w:divBdr>
        <w:top w:val="none" w:sz="0" w:space="0" w:color="auto"/>
        <w:left w:val="none" w:sz="0" w:space="0" w:color="auto"/>
        <w:bottom w:val="none" w:sz="0" w:space="0" w:color="auto"/>
        <w:right w:val="none" w:sz="0" w:space="0" w:color="auto"/>
      </w:divBdr>
      <w:divsChild>
        <w:div w:id="1584099633">
          <w:marLeft w:val="0"/>
          <w:marRight w:val="0"/>
          <w:marTop w:val="0"/>
          <w:marBottom w:val="0"/>
          <w:divBdr>
            <w:top w:val="none" w:sz="0" w:space="0" w:color="auto"/>
            <w:left w:val="none" w:sz="0" w:space="0" w:color="auto"/>
            <w:bottom w:val="none" w:sz="0" w:space="0" w:color="auto"/>
            <w:right w:val="none" w:sz="0" w:space="0" w:color="auto"/>
          </w:divBdr>
          <w:divsChild>
            <w:div w:id="641469253">
              <w:marLeft w:val="0"/>
              <w:marRight w:val="0"/>
              <w:marTop w:val="0"/>
              <w:marBottom w:val="0"/>
              <w:divBdr>
                <w:top w:val="none" w:sz="0" w:space="0" w:color="auto"/>
                <w:left w:val="none" w:sz="0" w:space="0" w:color="auto"/>
                <w:bottom w:val="none" w:sz="0" w:space="0" w:color="auto"/>
                <w:right w:val="none" w:sz="0" w:space="0" w:color="auto"/>
              </w:divBdr>
              <w:divsChild>
                <w:div w:id="1650938003">
                  <w:marLeft w:val="0"/>
                  <w:marRight w:val="0"/>
                  <w:marTop w:val="0"/>
                  <w:marBottom w:val="0"/>
                  <w:divBdr>
                    <w:top w:val="none" w:sz="0" w:space="0" w:color="auto"/>
                    <w:left w:val="none" w:sz="0" w:space="0" w:color="auto"/>
                    <w:bottom w:val="none" w:sz="0" w:space="0" w:color="auto"/>
                    <w:right w:val="none" w:sz="0" w:space="0" w:color="auto"/>
                  </w:divBdr>
                  <w:divsChild>
                    <w:div w:id="104888167">
                      <w:marLeft w:val="0"/>
                      <w:marRight w:val="0"/>
                      <w:marTop w:val="0"/>
                      <w:marBottom w:val="0"/>
                      <w:divBdr>
                        <w:top w:val="none" w:sz="0" w:space="0" w:color="auto"/>
                        <w:left w:val="none" w:sz="0" w:space="0" w:color="auto"/>
                        <w:bottom w:val="none" w:sz="0" w:space="0" w:color="auto"/>
                        <w:right w:val="none" w:sz="0" w:space="0" w:color="auto"/>
                      </w:divBdr>
                      <w:divsChild>
                        <w:div w:id="1299798810">
                          <w:marLeft w:val="0"/>
                          <w:marRight w:val="0"/>
                          <w:marTop w:val="0"/>
                          <w:marBottom w:val="0"/>
                          <w:divBdr>
                            <w:top w:val="none" w:sz="0" w:space="0" w:color="auto"/>
                            <w:left w:val="none" w:sz="0" w:space="0" w:color="auto"/>
                            <w:bottom w:val="none" w:sz="0" w:space="0" w:color="auto"/>
                            <w:right w:val="none" w:sz="0" w:space="0" w:color="auto"/>
                          </w:divBdr>
                          <w:divsChild>
                            <w:div w:id="9286596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294708">
      <w:bodyDiv w:val="1"/>
      <w:marLeft w:val="0"/>
      <w:marRight w:val="0"/>
      <w:marTop w:val="0"/>
      <w:marBottom w:val="0"/>
      <w:divBdr>
        <w:top w:val="none" w:sz="0" w:space="0" w:color="auto"/>
        <w:left w:val="none" w:sz="0" w:space="0" w:color="auto"/>
        <w:bottom w:val="none" w:sz="0" w:space="0" w:color="auto"/>
        <w:right w:val="none" w:sz="0" w:space="0" w:color="auto"/>
      </w:divBdr>
    </w:div>
    <w:div w:id="1283924917">
      <w:bodyDiv w:val="1"/>
      <w:marLeft w:val="0"/>
      <w:marRight w:val="0"/>
      <w:marTop w:val="0"/>
      <w:marBottom w:val="0"/>
      <w:divBdr>
        <w:top w:val="none" w:sz="0" w:space="0" w:color="auto"/>
        <w:left w:val="none" w:sz="0" w:space="0" w:color="auto"/>
        <w:bottom w:val="none" w:sz="0" w:space="0" w:color="auto"/>
        <w:right w:val="none" w:sz="0" w:space="0" w:color="auto"/>
      </w:divBdr>
      <w:divsChild>
        <w:div w:id="413088646">
          <w:marLeft w:val="0"/>
          <w:marRight w:val="0"/>
          <w:marTop w:val="0"/>
          <w:marBottom w:val="0"/>
          <w:divBdr>
            <w:top w:val="none" w:sz="0" w:space="0" w:color="auto"/>
            <w:left w:val="none" w:sz="0" w:space="0" w:color="auto"/>
            <w:bottom w:val="none" w:sz="0" w:space="0" w:color="auto"/>
            <w:right w:val="none" w:sz="0" w:space="0" w:color="auto"/>
          </w:divBdr>
          <w:divsChild>
            <w:div w:id="1543710146">
              <w:marLeft w:val="0"/>
              <w:marRight w:val="0"/>
              <w:marTop w:val="0"/>
              <w:marBottom w:val="0"/>
              <w:divBdr>
                <w:top w:val="none" w:sz="0" w:space="0" w:color="auto"/>
                <w:left w:val="none" w:sz="0" w:space="0" w:color="auto"/>
                <w:bottom w:val="none" w:sz="0" w:space="0" w:color="auto"/>
                <w:right w:val="none" w:sz="0" w:space="0" w:color="auto"/>
              </w:divBdr>
              <w:divsChild>
                <w:div w:id="1814520097">
                  <w:marLeft w:val="0"/>
                  <w:marRight w:val="0"/>
                  <w:marTop w:val="0"/>
                  <w:marBottom w:val="0"/>
                  <w:divBdr>
                    <w:top w:val="none" w:sz="0" w:space="0" w:color="auto"/>
                    <w:left w:val="none" w:sz="0" w:space="0" w:color="auto"/>
                    <w:bottom w:val="none" w:sz="0" w:space="0" w:color="auto"/>
                    <w:right w:val="none" w:sz="0" w:space="0" w:color="auto"/>
                  </w:divBdr>
                  <w:divsChild>
                    <w:div w:id="1551965219">
                      <w:marLeft w:val="0"/>
                      <w:marRight w:val="0"/>
                      <w:marTop w:val="0"/>
                      <w:marBottom w:val="0"/>
                      <w:divBdr>
                        <w:top w:val="none" w:sz="0" w:space="0" w:color="auto"/>
                        <w:left w:val="none" w:sz="0" w:space="0" w:color="auto"/>
                        <w:bottom w:val="none" w:sz="0" w:space="0" w:color="auto"/>
                        <w:right w:val="none" w:sz="0" w:space="0" w:color="auto"/>
                      </w:divBdr>
                      <w:divsChild>
                        <w:div w:id="2083409988">
                          <w:marLeft w:val="0"/>
                          <w:marRight w:val="0"/>
                          <w:marTop w:val="0"/>
                          <w:marBottom w:val="0"/>
                          <w:divBdr>
                            <w:top w:val="none" w:sz="0" w:space="0" w:color="auto"/>
                            <w:left w:val="none" w:sz="0" w:space="0" w:color="auto"/>
                            <w:bottom w:val="none" w:sz="0" w:space="0" w:color="auto"/>
                            <w:right w:val="none" w:sz="0" w:space="0" w:color="auto"/>
                          </w:divBdr>
                          <w:divsChild>
                            <w:div w:id="2280742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43921">
      <w:bodyDiv w:val="1"/>
      <w:marLeft w:val="0"/>
      <w:marRight w:val="0"/>
      <w:marTop w:val="0"/>
      <w:marBottom w:val="0"/>
      <w:divBdr>
        <w:top w:val="none" w:sz="0" w:space="0" w:color="auto"/>
        <w:left w:val="none" w:sz="0" w:space="0" w:color="auto"/>
        <w:bottom w:val="none" w:sz="0" w:space="0" w:color="auto"/>
        <w:right w:val="none" w:sz="0" w:space="0" w:color="auto"/>
      </w:divBdr>
    </w:div>
    <w:div w:id="1331641384">
      <w:bodyDiv w:val="1"/>
      <w:marLeft w:val="0"/>
      <w:marRight w:val="0"/>
      <w:marTop w:val="0"/>
      <w:marBottom w:val="0"/>
      <w:divBdr>
        <w:top w:val="none" w:sz="0" w:space="0" w:color="auto"/>
        <w:left w:val="none" w:sz="0" w:space="0" w:color="auto"/>
        <w:bottom w:val="none" w:sz="0" w:space="0" w:color="auto"/>
        <w:right w:val="none" w:sz="0" w:space="0" w:color="auto"/>
      </w:divBdr>
      <w:divsChild>
        <w:div w:id="1822847212">
          <w:marLeft w:val="0"/>
          <w:marRight w:val="0"/>
          <w:marTop w:val="0"/>
          <w:marBottom w:val="0"/>
          <w:divBdr>
            <w:top w:val="none" w:sz="0" w:space="0" w:color="auto"/>
            <w:left w:val="none" w:sz="0" w:space="0" w:color="auto"/>
            <w:bottom w:val="none" w:sz="0" w:space="0" w:color="auto"/>
            <w:right w:val="none" w:sz="0" w:space="0" w:color="auto"/>
          </w:divBdr>
          <w:divsChild>
            <w:div w:id="73018264">
              <w:marLeft w:val="0"/>
              <w:marRight w:val="0"/>
              <w:marTop w:val="0"/>
              <w:marBottom w:val="0"/>
              <w:divBdr>
                <w:top w:val="none" w:sz="0" w:space="0" w:color="auto"/>
                <w:left w:val="none" w:sz="0" w:space="0" w:color="auto"/>
                <w:bottom w:val="none" w:sz="0" w:space="0" w:color="auto"/>
                <w:right w:val="none" w:sz="0" w:space="0" w:color="auto"/>
              </w:divBdr>
              <w:divsChild>
                <w:div w:id="413936486">
                  <w:marLeft w:val="0"/>
                  <w:marRight w:val="0"/>
                  <w:marTop w:val="0"/>
                  <w:marBottom w:val="0"/>
                  <w:divBdr>
                    <w:top w:val="none" w:sz="0" w:space="0" w:color="auto"/>
                    <w:left w:val="none" w:sz="0" w:space="0" w:color="auto"/>
                    <w:bottom w:val="none" w:sz="0" w:space="0" w:color="auto"/>
                    <w:right w:val="none" w:sz="0" w:space="0" w:color="auto"/>
                  </w:divBdr>
                  <w:divsChild>
                    <w:div w:id="598173183">
                      <w:marLeft w:val="0"/>
                      <w:marRight w:val="0"/>
                      <w:marTop w:val="0"/>
                      <w:marBottom w:val="0"/>
                      <w:divBdr>
                        <w:top w:val="none" w:sz="0" w:space="0" w:color="auto"/>
                        <w:left w:val="none" w:sz="0" w:space="0" w:color="auto"/>
                        <w:bottom w:val="none" w:sz="0" w:space="0" w:color="auto"/>
                        <w:right w:val="none" w:sz="0" w:space="0" w:color="auto"/>
                      </w:divBdr>
                      <w:divsChild>
                        <w:div w:id="153304232">
                          <w:marLeft w:val="0"/>
                          <w:marRight w:val="0"/>
                          <w:marTop w:val="0"/>
                          <w:marBottom w:val="0"/>
                          <w:divBdr>
                            <w:top w:val="none" w:sz="0" w:space="0" w:color="auto"/>
                            <w:left w:val="none" w:sz="0" w:space="0" w:color="auto"/>
                            <w:bottom w:val="none" w:sz="0" w:space="0" w:color="auto"/>
                            <w:right w:val="none" w:sz="0" w:space="0" w:color="auto"/>
                          </w:divBdr>
                          <w:divsChild>
                            <w:div w:id="2208705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80024">
      <w:bodyDiv w:val="1"/>
      <w:marLeft w:val="0"/>
      <w:marRight w:val="0"/>
      <w:marTop w:val="0"/>
      <w:marBottom w:val="0"/>
      <w:divBdr>
        <w:top w:val="none" w:sz="0" w:space="0" w:color="auto"/>
        <w:left w:val="none" w:sz="0" w:space="0" w:color="auto"/>
        <w:bottom w:val="none" w:sz="0" w:space="0" w:color="auto"/>
        <w:right w:val="none" w:sz="0" w:space="0" w:color="auto"/>
      </w:divBdr>
    </w:div>
    <w:div w:id="1409426502">
      <w:bodyDiv w:val="1"/>
      <w:marLeft w:val="0"/>
      <w:marRight w:val="0"/>
      <w:marTop w:val="0"/>
      <w:marBottom w:val="0"/>
      <w:divBdr>
        <w:top w:val="none" w:sz="0" w:space="0" w:color="auto"/>
        <w:left w:val="none" w:sz="0" w:space="0" w:color="auto"/>
        <w:bottom w:val="none" w:sz="0" w:space="0" w:color="auto"/>
        <w:right w:val="none" w:sz="0" w:space="0" w:color="auto"/>
      </w:divBdr>
    </w:div>
    <w:div w:id="1434861054">
      <w:bodyDiv w:val="1"/>
      <w:marLeft w:val="0"/>
      <w:marRight w:val="0"/>
      <w:marTop w:val="0"/>
      <w:marBottom w:val="0"/>
      <w:divBdr>
        <w:top w:val="none" w:sz="0" w:space="0" w:color="auto"/>
        <w:left w:val="none" w:sz="0" w:space="0" w:color="auto"/>
        <w:bottom w:val="none" w:sz="0" w:space="0" w:color="auto"/>
        <w:right w:val="none" w:sz="0" w:space="0" w:color="auto"/>
      </w:divBdr>
    </w:div>
    <w:div w:id="1459303234">
      <w:bodyDiv w:val="1"/>
      <w:marLeft w:val="0"/>
      <w:marRight w:val="0"/>
      <w:marTop w:val="0"/>
      <w:marBottom w:val="0"/>
      <w:divBdr>
        <w:top w:val="none" w:sz="0" w:space="0" w:color="auto"/>
        <w:left w:val="none" w:sz="0" w:space="0" w:color="auto"/>
        <w:bottom w:val="none" w:sz="0" w:space="0" w:color="auto"/>
        <w:right w:val="none" w:sz="0" w:space="0" w:color="auto"/>
      </w:divBdr>
    </w:div>
    <w:div w:id="1514145173">
      <w:bodyDiv w:val="1"/>
      <w:marLeft w:val="0"/>
      <w:marRight w:val="0"/>
      <w:marTop w:val="0"/>
      <w:marBottom w:val="0"/>
      <w:divBdr>
        <w:top w:val="none" w:sz="0" w:space="0" w:color="auto"/>
        <w:left w:val="none" w:sz="0" w:space="0" w:color="auto"/>
        <w:bottom w:val="none" w:sz="0" w:space="0" w:color="auto"/>
        <w:right w:val="none" w:sz="0" w:space="0" w:color="auto"/>
      </w:divBdr>
    </w:div>
    <w:div w:id="1529024639">
      <w:bodyDiv w:val="1"/>
      <w:marLeft w:val="0"/>
      <w:marRight w:val="0"/>
      <w:marTop w:val="0"/>
      <w:marBottom w:val="0"/>
      <w:divBdr>
        <w:top w:val="none" w:sz="0" w:space="0" w:color="auto"/>
        <w:left w:val="none" w:sz="0" w:space="0" w:color="auto"/>
        <w:bottom w:val="none" w:sz="0" w:space="0" w:color="auto"/>
        <w:right w:val="none" w:sz="0" w:space="0" w:color="auto"/>
      </w:divBdr>
    </w:div>
    <w:div w:id="1531143575">
      <w:bodyDiv w:val="1"/>
      <w:marLeft w:val="0"/>
      <w:marRight w:val="0"/>
      <w:marTop w:val="0"/>
      <w:marBottom w:val="0"/>
      <w:divBdr>
        <w:top w:val="none" w:sz="0" w:space="0" w:color="auto"/>
        <w:left w:val="none" w:sz="0" w:space="0" w:color="auto"/>
        <w:bottom w:val="none" w:sz="0" w:space="0" w:color="auto"/>
        <w:right w:val="none" w:sz="0" w:space="0" w:color="auto"/>
      </w:divBdr>
    </w:div>
    <w:div w:id="1590038959">
      <w:bodyDiv w:val="1"/>
      <w:marLeft w:val="0"/>
      <w:marRight w:val="0"/>
      <w:marTop w:val="0"/>
      <w:marBottom w:val="0"/>
      <w:divBdr>
        <w:top w:val="none" w:sz="0" w:space="0" w:color="auto"/>
        <w:left w:val="none" w:sz="0" w:space="0" w:color="auto"/>
        <w:bottom w:val="none" w:sz="0" w:space="0" w:color="auto"/>
        <w:right w:val="none" w:sz="0" w:space="0" w:color="auto"/>
      </w:divBdr>
    </w:div>
    <w:div w:id="1616867886">
      <w:bodyDiv w:val="1"/>
      <w:marLeft w:val="0"/>
      <w:marRight w:val="0"/>
      <w:marTop w:val="0"/>
      <w:marBottom w:val="0"/>
      <w:divBdr>
        <w:top w:val="none" w:sz="0" w:space="0" w:color="auto"/>
        <w:left w:val="none" w:sz="0" w:space="0" w:color="auto"/>
        <w:bottom w:val="none" w:sz="0" w:space="0" w:color="auto"/>
        <w:right w:val="none" w:sz="0" w:space="0" w:color="auto"/>
      </w:divBdr>
    </w:div>
    <w:div w:id="1645305750">
      <w:bodyDiv w:val="1"/>
      <w:marLeft w:val="0"/>
      <w:marRight w:val="0"/>
      <w:marTop w:val="0"/>
      <w:marBottom w:val="0"/>
      <w:divBdr>
        <w:top w:val="none" w:sz="0" w:space="0" w:color="auto"/>
        <w:left w:val="none" w:sz="0" w:space="0" w:color="auto"/>
        <w:bottom w:val="none" w:sz="0" w:space="0" w:color="auto"/>
        <w:right w:val="none" w:sz="0" w:space="0" w:color="auto"/>
      </w:divBdr>
    </w:div>
    <w:div w:id="1647785158">
      <w:bodyDiv w:val="1"/>
      <w:marLeft w:val="0"/>
      <w:marRight w:val="0"/>
      <w:marTop w:val="0"/>
      <w:marBottom w:val="0"/>
      <w:divBdr>
        <w:top w:val="none" w:sz="0" w:space="0" w:color="auto"/>
        <w:left w:val="none" w:sz="0" w:space="0" w:color="auto"/>
        <w:bottom w:val="none" w:sz="0" w:space="0" w:color="auto"/>
        <w:right w:val="none" w:sz="0" w:space="0" w:color="auto"/>
      </w:divBdr>
    </w:div>
    <w:div w:id="1648052002">
      <w:bodyDiv w:val="1"/>
      <w:marLeft w:val="0"/>
      <w:marRight w:val="0"/>
      <w:marTop w:val="0"/>
      <w:marBottom w:val="0"/>
      <w:divBdr>
        <w:top w:val="none" w:sz="0" w:space="0" w:color="auto"/>
        <w:left w:val="none" w:sz="0" w:space="0" w:color="auto"/>
        <w:bottom w:val="none" w:sz="0" w:space="0" w:color="auto"/>
        <w:right w:val="none" w:sz="0" w:space="0" w:color="auto"/>
      </w:divBdr>
      <w:divsChild>
        <w:div w:id="1263493403">
          <w:marLeft w:val="0"/>
          <w:marRight w:val="0"/>
          <w:marTop w:val="0"/>
          <w:marBottom w:val="0"/>
          <w:divBdr>
            <w:top w:val="none" w:sz="0" w:space="0" w:color="auto"/>
            <w:left w:val="none" w:sz="0" w:space="0" w:color="auto"/>
            <w:bottom w:val="none" w:sz="0" w:space="0" w:color="auto"/>
            <w:right w:val="none" w:sz="0" w:space="0" w:color="auto"/>
          </w:divBdr>
          <w:divsChild>
            <w:div w:id="282079127">
              <w:marLeft w:val="0"/>
              <w:marRight w:val="0"/>
              <w:marTop w:val="0"/>
              <w:marBottom w:val="0"/>
              <w:divBdr>
                <w:top w:val="none" w:sz="0" w:space="0" w:color="auto"/>
                <w:left w:val="none" w:sz="0" w:space="0" w:color="auto"/>
                <w:bottom w:val="none" w:sz="0" w:space="0" w:color="auto"/>
                <w:right w:val="none" w:sz="0" w:space="0" w:color="auto"/>
              </w:divBdr>
              <w:divsChild>
                <w:div w:id="243104560">
                  <w:marLeft w:val="0"/>
                  <w:marRight w:val="0"/>
                  <w:marTop w:val="0"/>
                  <w:marBottom w:val="0"/>
                  <w:divBdr>
                    <w:top w:val="none" w:sz="0" w:space="0" w:color="auto"/>
                    <w:left w:val="none" w:sz="0" w:space="0" w:color="auto"/>
                    <w:bottom w:val="none" w:sz="0" w:space="0" w:color="auto"/>
                    <w:right w:val="none" w:sz="0" w:space="0" w:color="auto"/>
                  </w:divBdr>
                  <w:divsChild>
                    <w:div w:id="1446995785">
                      <w:marLeft w:val="0"/>
                      <w:marRight w:val="0"/>
                      <w:marTop w:val="0"/>
                      <w:marBottom w:val="0"/>
                      <w:divBdr>
                        <w:top w:val="none" w:sz="0" w:space="0" w:color="auto"/>
                        <w:left w:val="none" w:sz="0" w:space="0" w:color="auto"/>
                        <w:bottom w:val="none" w:sz="0" w:space="0" w:color="auto"/>
                        <w:right w:val="none" w:sz="0" w:space="0" w:color="auto"/>
                      </w:divBdr>
                      <w:divsChild>
                        <w:div w:id="258374874">
                          <w:marLeft w:val="0"/>
                          <w:marRight w:val="0"/>
                          <w:marTop w:val="0"/>
                          <w:marBottom w:val="0"/>
                          <w:divBdr>
                            <w:top w:val="none" w:sz="0" w:space="0" w:color="auto"/>
                            <w:left w:val="none" w:sz="0" w:space="0" w:color="auto"/>
                            <w:bottom w:val="none" w:sz="0" w:space="0" w:color="auto"/>
                            <w:right w:val="none" w:sz="0" w:space="0" w:color="auto"/>
                          </w:divBdr>
                          <w:divsChild>
                            <w:div w:id="5660368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74961">
      <w:bodyDiv w:val="1"/>
      <w:marLeft w:val="0"/>
      <w:marRight w:val="0"/>
      <w:marTop w:val="0"/>
      <w:marBottom w:val="0"/>
      <w:divBdr>
        <w:top w:val="none" w:sz="0" w:space="0" w:color="auto"/>
        <w:left w:val="none" w:sz="0" w:space="0" w:color="auto"/>
        <w:bottom w:val="none" w:sz="0" w:space="0" w:color="auto"/>
        <w:right w:val="none" w:sz="0" w:space="0" w:color="auto"/>
      </w:divBdr>
    </w:div>
    <w:div w:id="1711103420">
      <w:bodyDiv w:val="1"/>
      <w:marLeft w:val="0"/>
      <w:marRight w:val="0"/>
      <w:marTop w:val="0"/>
      <w:marBottom w:val="0"/>
      <w:divBdr>
        <w:top w:val="none" w:sz="0" w:space="0" w:color="auto"/>
        <w:left w:val="none" w:sz="0" w:space="0" w:color="auto"/>
        <w:bottom w:val="none" w:sz="0" w:space="0" w:color="auto"/>
        <w:right w:val="none" w:sz="0" w:space="0" w:color="auto"/>
      </w:divBdr>
    </w:div>
    <w:div w:id="1744375752">
      <w:bodyDiv w:val="1"/>
      <w:marLeft w:val="0"/>
      <w:marRight w:val="0"/>
      <w:marTop w:val="0"/>
      <w:marBottom w:val="0"/>
      <w:divBdr>
        <w:top w:val="none" w:sz="0" w:space="0" w:color="auto"/>
        <w:left w:val="none" w:sz="0" w:space="0" w:color="auto"/>
        <w:bottom w:val="none" w:sz="0" w:space="0" w:color="auto"/>
        <w:right w:val="none" w:sz="0" w:space="0" w:color="auto"/>
      </w:divBdr>
    </w:div>
    <w:div w:id="1749841688">
      <w:bodyDiv w:val="1"/>
      <w:marLeft w:val="0"/>
      <w:marRight w:val="0"/>
      <w:marTop w:val="0"/>
      <w:marBottom w:val="0"/>
      <w:divBdr>
        <w:top w:val="none" w:sz="0" w:space="0" w:color="auto"/>
        <w:left w:val="none" w:sz="0" w:space="0" w:color="auto"/>
        <w:bottom w:val="none" w:sz="0" w:space="0" w:color="auto"/>
        <w:right w:val="none" w:sz="0" w:space="0" w:color="auto"/>
      </w:divBdr>
    </w:div>
    <w:div w:id="1832215205">
      <w:bodyDiv w:val="1"/>
      <w:marLeft w:val="0"/>
      <w:marRight w:val="0"/>
      <w:marTop w:val="0"/>
      <w:marBottom w:val="0"/>
      <w:divBdr>
        <w:top w:val="none" w:sz="0" w:space="0" w:color="auto"/>
        <w:left w:val="none" w:sz="0" w:space="0" w:color="auto"/>
        <w:bottom w:val="none" w:sz="0" w:space="0" w:color="auto"/>
        <w:right w:val="none" w:sz="0" w:space="0" w:color="auto"/>
      </w:divBdr>
    </w:div>
    <w:div w:id="1835222877">
      <w:bodyDiv w:val="1"/>
      <w:marLeft w:val="0"/>
      <w:marRight w:val="0"/>
      <w:marTop w:val="0"/>
      <w:marBottom w:val="0"/>
      <w:divBdr>
        <w:top w:val="none" w:sz="0" w:space="0" w:color="auto"/>
        <w:left w:val="none" w:sz="0" w:space="0" w:color="auto"/>
        <w:bottom w:val="none" w:sz="0" w:space="0" w:color="auto"/>
        <w:right w:val="none" w:sz="0" w:space="0" w:color="auto"/>
      </w:divBdr>
      <w:divsChild>
        <w:div w:id="759376269">
          <w:marLeft w:val="0"/>
          <w:marRight w:val="0"/>
          <w:marTop w:val="0"/>
          <w:marBottom w:val="0"/>
          <w:divBdr>
            <w:top w:val="none" w:sz="0" w:space="0" w:color="auto"/>
            <w:left w:val="none" w:sz="0" w:space="0" w:color="auto"/>
            <w:bottom w:val="none" w:sz="0" w:space="0" w:color="auto"/>
            <w:right w:val="none" w:sz="0" w:space="0" w:color="auto"/>
          </w:divBdr>
          <w:divsChild>
            <w:div w:id="240991284">
              <w:marLeft w:val="0"/>
              <w:marRight w:val="0"/>
              <w:marTop w:val="0"/>
              <w:marBottom w:val="0"/>
              <w:divBdr>
                <w:top w:val="none" w:sz="0" w:space="0" w:color="auto"/>
                <w:left w:val="none" w:sz="0" w:space="0" w:color="auto"/>
                <w:bottom w:val="none" w:sz="0" w:space="0" w:color="auto"/>
                <w:right w:val="none" w:sz="0" w:space="0" w:color="auto"/>
              </w:divBdr>
              <w:divsChild>
                <w:div w:id="2027906813">
                  <w:marLeft w:val="0"/>
                  <w:marRight w:val="0"/>
                  <w:marTop w:val="0"/>
                  <w:marBottom w:val="0"/>
                  <w:divBdr>
                    <w:top w:val="none" w:sz="0" w:space="0" w:color="auto"/>
                    <w:left w:val="none" w:sz="0" w:space="0" w:color="auto"/>
                    <w:bottom w:val="none" w:sz="0" w:space="0" w:color="auto"/>
                    <w:right w:val="none" w:sz="0" w:space="0" w:color="auto"/>
                  </w:divBdr>
                  <w:divsChild>
                    <w:div w:id="1504278446">
                      <w:marLeft w:val="0"/>
                      <w:marRight w:val="0"/>
                      <w:marTop w:val="0"/>
                      <w:marBottom w:val="0"/>
                      <w:divBdr>
                        <w:top w:val="none" w:sz="0" w:space="0" w:color="auto"/>
                        <w:left w:val="none" w:sz="0" w:space="0" w:color="auto"/>
                        <w:bottom w:val="none" w:sz="0" w:space="0" w:color="auto"/>
                        <w:right w:val="none" w:sz="0" w:space="0" w:color="auto"/>
                      </w:divBdr>
                      <w:divsChild>
                        <w:div w:id="955985325">
                          <w:marLeft w:val="0"/>
                          <w:marRight w:val="0"/>
                          <w:marTop w:val="0"/>
                          <w:marBottom w:val="0"/>
                          <w:divBdr>
                            <w:top w:val="none" w:sz="0" w:space="0" w:color="auto"/>
                            <w:left w:val="none" w:sz="0" w:space="0" w:color="auto"/>
                            <w:bottom w:val="none" w:sz="0" w:space="0" w:color="auto"/>
                            <w:right w:val="none" w:sz="0" w:space="0" w:color="auto"/>
                          </w:divBdr>
                          <w:divsChild>
                            <w:div w:id="9909057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810137">
      <w:bodyDiv w:val="1"/>
      <w:marLeft w:val="0"/>
      <w:marRight w:val="0"/>
      <w:marTop w:val="0"/>
      <w:marBottom w:val="0"/>
      <w:divBdr>
        <w:top w:val="none" w:sz="0" w:space="0" w:color="auto"/>
        <w:left w:val="none" w:sz="0" w:space="0" w:color="auto"/>
        <w:bottom w:val="none" w:sz="0" w:space="0" w:color="auto"/>
        <w:right w:val="none" w:sz="0" w:space="0" w:color="auto"/>
      </w:divBdr>
    </w:div>
    <w:div w:id="1844779747">
      <w:bodyDiv w:val="1"/>
      <w:marLeft w:val="0"/>
      <w:marRight w:val="0"/>
      <w:marTop w:val="0"/>
      <w:marBottom w:val="0"/>
      <w:divBdr>
        <w:top w:val="none" w:sz="0" w:space="0" w:color="auto"/>
        <w:left w:val="none" w:sz="0" w:space="0" w:color="auto"/>
        <w:bottom w:val="none" w:sz="0" w:space="0" w:color="auto"/>
        <w:right w:val="none" w:sz="0" w:space="0" w:color="auto"/>
      </w:divBdr>
    </w:div>
    <w:div w:id="1860853278">
      <w:bodyDiv w:val="1"/>
      <w:marLeft w:val="0"/>
      <w:marRight w:val="0"/>
      <w:marTop w:val="0"/>
      <w:marBottom w:val="0"/>
      <w:divBdr>
        <w:top w:val="none" w:sz="0" w:space="0" w:color="auto"/>
        <w:left w:val="none" w:sz="0" w:space="0" w:color="auto"/>
        <w:bottom w:val="none" w:sz="0" w:space="0" w:color="auto"/>
        <w:right w:val="none" w:sz="0" w:space="0" w:color="auto"/>
      </w:divBdr>
    </w:div>
    <w:div w:id="1861813940">
      <w:bodyDiv w:val="1"/>
      <w:marLeft w:val="0"/>
      <w:marRight w:val="0"/>
      <w:marTop w:val="0"/>
      <w:marBottom w:val="0"/>
      <w:divBdr>
        <w:top w:val="none" w:sz="0" w:space="0" w:color="auto"/>
        <w:left w:val="none" w:sz="0" w:space="0" w:color="auto"/>
        <w:bottom w:val="none" w:sz="0" w:space="0" w:color="auto"/>
        <w:right w:val="none" w:sz="0" w:space="0" w:color="auto"/>
      </w:divBdr>
      <w:divsChild>
        <w:div w:id="917247959">
          <w:marLeft w:val="0"/>
          <w:marRight w:val="0"/>
          <w:marTop w:val="0"/>
          <w:marBottom w:val="0"/>
          <w:divBdr>
            <w:top w:val="none" w:sz="0" w:space="0" w:color="auto"/>
            <w:left w:val="none" w:sz="0" w:space="0" w:color="auto"/>
            <w:bottom w:val="none" w:sz="0" w:space="0" w:color="auto"/>
            <w:right w:val="none" w:sz="0" w:space="0" w:color="auto"/>
          </w:divBdr>
          <w:divsChild>
            <w:div w:id="725300432">
              <w:marLeft w:val="0"/>
              <w:marRight w:val="0"/>
              <w:marTop w:val="0"/>
              <w:marBottom w:val="0"/>
              <w:divBdr>
                <w:top w:val="none" w:sz="0" w:space="0" w:color="auto"/>
                <w:left w:val="none" w:sz="0" w:space="0" w:color="auto"/>
                <w:bottom w:val="none" w:sz="0" w:space="0" w:color="auto"/>
                <w:right w:val="none" w:sz="0" w:space="0" w:color="auto"/>
              </w:divBdr>
              <w:divsChild>
                <w:div w:id="1365443385">
                  <w:marLeft w:val="0"/>
                  <w:marRight w:val="0"/>
                  <w:marTop w:val="0"/>
                  <w:marBottom w:val="0"/>
                  <w:divBdr>
                    <w:top w:val="none" w:sz="0" w:space="0" w:color="auto"/>
                    <w:left w:val="none" w:sz="0" w:space="0" w:color="auto"/>
                    <w:bottom w:val="none" w:sz="0" w:space="0" w:color="auto"/>
                    <w:right w:val="none" w:sz="0" w:space="0" w:color="auto"/>
                  </w:divBdr>
                  <w:divsChild>
                    <w:div w:id="1823695320">
                      <w:marLeft w:val="0"/>
                      <w:marRight w:val="0"/>
                      <w:marTop w:val="0"/>
                      <w:marBottom w:val="0"/>
                      <w:divBdr>
                        <w:top w:val="none" w:sz="0" w:space="0" w:color="auto"/>
                        <w:left w:val="none" w:sz="0" w:space="0" w:color="auto"/>
                        <w:bottom w:val="none" w:sz="0" w:space="0" w:color="auto"/>
                        <w:right w:val="none" w:sz="0" w:space="0" w:color="auto"/>
                      </w:divBdr>
                      <w:divsChild>
                        <w:div w:id="1817069039">
                          <w:marLeft w:val="0"/>
                          <w:marRight w:val="0"/>
                          <w:marTop w:val="0"/>
                          <w:marBottom w:val="0"/>
                          <w:divBdr>
                            <w:top w:val="none" w:sz="0" w:space="0" w:color="auto"/>
                            <w:left w:val="none" w:sz="0" w:space="0" w:color="auto"/>
                            <w:bottom w:val="none" w:sz="0" w:space="0" w:color="auto"/>
                            <w:right w:val="none" w:sz="0" w:space="0" w:color="auto"/>
                          </w:divBdr>
                          <w:divsChild>
                            <w:div w:id="488716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58201">
      <w:bodyDiv w:val="1"/>
      <w:marLeft w:val="0"/>
      <w:marRight w:val="0"/>
      <w:marTop w:val="0"/>
      <w:marBottom w:val="0"/>
      <w:divBdr>
        <w:top w:val="none" w:sz="0" w:space="0" w:color="auto"/>
        <w:left w:val="none" w:sz="0" w:space="0" w:color="auto"/>
        <w:bottom w:val="none" w:sz="0" w:space="0" w:color="auto"/>
        <w:right w:val="none" w:sz="0" w:space="0" w:color="auto"/>
      </w:divBdr>
      <w:divsChild>
        <w:div w:id="980966041">
          <w:marLeft w:val="0"/>
          <w:marRight w:val="0"/>
          <w:marTop w:val="0"/>
          <w:marBottom w:val="0"/>
          <w:divBdr>
            <w:top w:val="none" w:sz="0" w:space="0" w:color="auto"/>
            <w:left w:val="none" w:sz="0" w:space="0" w:color="auto"/>
            <w:bottom w:val="none" w:sz="0" w:space="0" w:color="auto"/>
            <w:right w:val="none" w:sz="0" w:space="0" w:color="auto"/>
          </w:divBdr>
          <w:divsChild>
            <w:div w:id="745565730">
              <w:marLeft w:val="0"/>
              <w:marRight w:val="0"/>
              <w:marTop w:val="0"/>
              <w:marBottom w:val="0"/>
              <w:divBdr>
                <w:top w:val="none" w:sz="0" w:space="0" w:color="auto"/>
                <w:left w:val="none" w:sz="0" w:space="0" w:color="auto"/>
                <w:bottom w:val="none" w:sz="0" w:space="0" w:color="auto"/>
                <w:right w:val="none" w:sz="0" w:space="0" w:color="auto"/>
              </w:divBdr>
              <w:divsChild>
                <w:div w:id="947539191">
                  <w:marLeft w:val="0"/>
                  <w:marRight w:val="0"/>
                  <w:marTop w:val="0"/>
                  <w:marBottom w:val="0"/>
                  <w:divBdr>
                    <w:top w:val="none" w:sz="0" w:space="0" w:color="auto"/>
                    <w:left w:val="none" w:sz="0" w:space="0" w:color="auto"/>
                    <w:bottom w:val="none" w:sz="0" w:space="0" w:color="auto"/>
                    <w:right w:val="none" w:sz="0" w:space="0" w:color="auto"/>
                  </w:divBdr>
                  <w:divsChild>
                    <w:div w:id="1530296713">
                      <w:marLeft w:val="0"/>
                      <w:marRight w:val="0"/>
                      <w:marTop w:val="0"/>
                      <w:marBottom w:val="0"/>
                      <w:divBdr>
                        <w:top w:val="none" w:sz="0" w:space="0" w:color="auto"/>
                        <w:left w:val="none" w:sz="0" w:space="0" w:color="auto"/>
                        <w:bottom w:val="none" w:sz="0" w:space="0" w:color="auto"/>
                        <w:right w:val="none" w:sz="0" w:space="0" w:color="auto"/>
                      </w:divBdr>
                      <w:divsChild>
                        <w:div w:id="1604415725">
                          <w:marLeft w:val="0"/>
                          <w:marRight w:val="0"/>
                          <w:marTop w:val="0"/>
                          <w:marBottom w:val="0"/>
                          <w:divBdr>
                            <w:top w:val="none" w:sz="0" w:space="0" w:color="auto"/>
                            <w:left w:val="none" w:sz="0" w:space="0" w:color="auto"/>
                            <w:bottom w:val="none" w:sz="0" w:space="0" w:color="auto"/>
                            <w:right w:val="none" w:sz="0" w:space="0" w:color="auto"/>
                          </w:divBdr>
                          <w:divsChild>
                            <w:div w:id="1382366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904059">
      <w:bodyDiv w:val="1"/>
      <w:marLeft w:val="0"/>
      <w:marRight w:val="0"/>
      <w:marTop w:val="0"/>
      <w:marBottom w:val="0"/>
      <w:divBdr>
        <w:top w:val="none" w:sz="0" w:space="0" w:color="auto"/>
        <w:left w:val="none" w:sz="0" w:space="0" w:color="auto"/>
        <w:bottom w:val="none" w:sz="0" w:space="0" w:color="auto"/>
        <w:right w:val="none" w:sz="0" w:space="0" w:color="auto"/>
      </w:divBdr>
      <w:divsChild>
        <w:div w:id="215822831">
          <w:marLeft w:val="0"/>
          <w:marRight w:val="0"/>
          <w:marTop w:val="0"/>
          <w:marBottom w:val="0"/>
          <w:divBdr>
            <w:top w:val="none" w:sz="0" w:space="0" w:color="auto"/>
            <w:left w:val="none" w:sz="0" w:space="0" w:color="auto"/>
            <w:bottom w:val="none" w:sz="0" w:space="0" w:color="auto"/>
            <w:right w:val="none" w:sz="0" w:space="0" w:color="auto"/>
          </w:divBdr>
          <w:divsChild>
            <w:div w:id="139923417">
              <w:marLeft w:val="0"/>
              <w:marRight w:val="0"/>
              <w:marTop w:val="0"/>
              <w:marBottom w:val="0"/>
              <w:divBdr>
                <w:top w:val="none" w:sz="0" w:space="0" w:color="auto"/>
                <w:left w:val="none" w:sz="0" w:space="0" w:color="auto"/>
                <w:bottom w:val="none" w:sz="0" w:space="0" w:color="auto"/>
                <w:right w:val="none" w:sz="0" w:space="0" w:color="auto"/>
              </w:divBdr>
              <w:divsChild>
                <w:div w:id="1719353509">
                  <w:marLeft w:val="0"/>
                  <w:marRight w:val="0"/>
                  <w:marTop w:val="0"/>
                  <w:marBottom w:val="0"/>
                  <w:divBdr>
                    <w:top w:val="none" w:sz="0" w:space="0" w:color="auto"/>
                    <w:left w:val="none" w:sz="0" w:space="0" w:color="auto"/>
                    <w:bottom w:val="none" w:sz="0" w:space="0" w:color="auto"/>
                    <w:right w:val="none" w:sz="0" w:space="0" w:color="auto"/>
                  </w:divBdr>
                  <w:divsChild>
                    <w:div w:id="1389962599">
                      <w:marLeft w:val="0"/>
                      <w:marRight w:val="0"/>
                      <w:marTop w:val="0"/>
                      <w:marBottom w:val="0"/>
                      <w:divBdr>
                        <w:top w:val="none" w:sz="0" w:space="0" w:color="auto"/>
                        <w:left w:val="none" w:sz="0" w:space="0" w:color="auto"/>
                        <w:bottom w:val="none" w:sz="0" w:space="0" w:color="auto"/>
                        <w:right w:val="none" w:sz="0" w:space="0" w:color="auto"/>
                      </w:divBdr>
                      <w:divsChild>
                        <w:div w:id="722367014">
                          <w:marLeft w:val="0"/>
                          <w:marRight w:val="0"/>
                          <w:marTop w:val="0"/>
                          <w:marBottom w:val="0"/>
                          <w:divBdr>
                            <w:top w:val="none" w:sz="0" w:space="0" w:color="auto"/>
                            <w:left w:val="none" w:sz="0" w:space="0" w:color="auto"/>
                            <w:bottom w:val="none" w:sz="0" w:space="0" w:color="auto"/>
                            <w:right w:val="none" w:sz="0" w:space="0" w:color="auto"/>
                          </w:divBdr>
                          <w:divsChild>
                            <w:div w:id="3824105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426650">
      <w:bodyDiv w:val="1"/>
      <w:marLeft w:val="0"/>
      <w:marRight w:val="0"/>
      <w:marTop w:val="0"/>
      <w:marBottom w:val="0"/>
      <w:divBdr>
        <w:top w:val="none" w:sz="0" w:space="0" w:color="auto"/>
        <w:left w:val="none" w:sz="0" w:space="0" w:color="auto"/>
        <w:bottom w:val="none" w:sz="0" w:space="0" w:color="auto"/>
        <w:right w:val="none" w:sz="0" w:space="0" w:color="auto"/>
      </w:divBdr>
    </w:div>
    <w:div w:id="2000889072">
      <w:bodyDiv w:val="1"/>
      <w:marLeft w:val="0"/>
      <w:marRight w:val="0"/>
      <w:marTop w:val="0"/>
      <w:marBottom w:val="0"/>
      <w:divBdr>
        <w:top w:val="none" w:sz="0" w:space="0" w:color="auto"/>
        <w:left w:val="none" w:sz="0" w:space="0" w:color="auto"/>
        <w:bottom w:val="none" w:sz="0" w:space="0" w:color="auto"/>
        <w:right w:val="none" w:sz="0" w:space="0" w:color="auto"/>
      </w:divBdr>
    </w:div>
    <w:div w:id="2087418726">
      <w:bodyDiv w:val="1"/>
      <w:marLeft w:val="0"/>
      <w:marRight w:val="0"/>
      <w:marTop w:val="0"/>
      <w:marBottom w:val="0"/>
      <w:divBdr>
        <w:top w:val="none" w:sz="0" w:space="0" w:color="auto"/>
        <w:left w:val="none" w:sz="0" w:space="0" w:color="auto"/>
        <w:bottom w:val="none" w:sz="0" w:space="0" w:color="auto"/>
        <w:right w:val="none" w:sz="0" w:space="0" w:color="auto"/>
      </w:divBdr>
    </w:div>
    <w:div w:id="2118213657">
      <w:bodyDiv w:val="1"/>
      <w:marLeft w:val="0"/>
      <w:marRight w:val="0"/>
      <w:marTop w:val="0"/>
      <w:marBottom w:val="0"/>
      <w:divBdr>
        <w:top w:val="none" w:sz="0" w:space="0" w:color="auto"/>
        <w:left w:val="none" w:sz="0" w:space="0" w:color="auto"/>
        <w:bottom w:val="none" w:sz="0" w:space="0" w:color="auto"/>
        <w:right w:val="none" w:sz="0" w:space="0" w:color="auto"/>
      </w:divBdr>
      <w:divsChild>
        <w:div w:id="1395853964">
          <w:marLeft w:val="0"/>
          <w:marRight w:val="0"/>
          <w:marTop w:val="0"/>
          <w:marBottom w:val="0"/>
          <w:divBdr>
            <w:top w:val="none" w:sz="0" w:space="0" w:color="auto"/>
            <w:left w:val="none" w:sz="0" w:space="0" w:color="auto"/>
            <w:bottom w:val="none" w:sz="0" w:space="0" w:color="auto"/>
            <w:right w:val="none" w:sz="0" w:space="0" w:color="auto"/>
          </w:divBdr>
          <w:divsChild>
            <w:div w:id="1124470534">
              <w:marLeft w:val="0"/>
              <w:marRight w:val="0"/>
              <w:marTop w:val="0"/>
              <w:marBottom w:val="0"/>
              <w:divBdr>
                <w:top w:val="none" w:sz="0" w:space="0" w:color="auto"/>
                <w:left w:val="none" w:sz="0" w:space="0" w:color="auto"/>
                <w:bottom w:val="none" w:sz="0" w:space="0" w:color="auto"/>
                <w:right w:val="none" w:sz="0" w:space="0" w:color="auto"/>
              </w:divBdr>
              <w:divsChild>
                <w:div w:id="1948459652">
                  <w:marLeft w:val="0"/>
                  <w:marRight w:val="0"/>
                  <w:marTop w:val="0"/>
                  <w:marBottom w:val="0"/>
                  <w:divBdr>
                    <w:top w:val="none" w:sz="0" w:space="0" w:color="auto"/>
                    <w:left w:val="none" w:sz="0" w:space="0" w:color="auto"/>
                    <w:bottom w:val="none" w:sz="0" w:space="0" w:color="auto"/>
                    <w:right w:val="none" w:sz="0" w:space="0" w:color="auto"/>
                  </w:divBdr>
                  <w:divsChild>
                    <w:div w:id="374890849">
                      <w:marLeft w:val="0"/>
                      <w:marRight w:val="0"/>
                      <w:marTop w:val="0"/>
                      <w:marBottom w:val="0"/>
                      <w:divBdr>
                        <w:top w:val="none" w:sz="0" w:space="0" w:color="auto"/>
                        <w:left w:val="none" w:sz="0" w:space="0" w:color="auto"/>
                        <w:bottom w:val="none" w:sz="0" w:space="0" w:color="auto"/>
                        <w:right w:val="none" w:sz="0" w:space="0" w:color="auto"/>
                      </w:divBdr>
                      <w:divsChild>
                        <w:div w:id="1090659217">
                          <w:marLeft w:val="0"/>
                          <w:marRight w:val="0"/>
                          <w:marTop w:val="0"/>
                          <w:marBottom w:val="0"/>
                          <w:divBdr>
                            <w:top w:val="none" w:sz="0" w:space="0" w:color="auto"/>
                            <w:left w:val="none" w:sz="0" w:space="0" w:color="auto"/>
                            <w:bottom w:val="none" w:sz="0" w:space="0" w:color="auto"/>
                            <w:right w:val="none" w:sz="0" w:space="0" w:color="auto"/>
                          </w:divBdr>
                          <w:divsChild>
                            <w:div w:id="7756418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1294</TotalTime>
  <Pages>5</Pages>
  <Words>7576</Words>
  <Characters>43184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Editor-22</cp:lastModifiedBy>
  <cp:revision>173</cp:revision>
  <dcterms:created xsi:type="dcterms:W3CDTF">2024-09-19T13:01:00Z</dcterms:created>
  <dcterms:modified xsi:type="dcterms:W3CDTF">2025-03-25T07:31:00Z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id="a8P7i7qY"/&gt;&lt;style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