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E991" w14:textId="77777777" w:rsidR="00431F58" w:rsidRDefault="00FC11D5" w:rsidP="00CA3FC4">
      <w:pPr>
        <w:rPr>
          <w:rFonts w:ascii="Times New Roman" w:hAnsi="Times New Roman" w:cs="Times New Roman"/>
          <w:b/>
          <w:bCs/>
          <w:sz w:val="24"/>
          <w:szCs w:val="24"/>
        </w:rPr>
      </w:pPr>
      <w:r w:rsidRPr="00E61331">
        <w:rPr>
          <w:rFonts w:ascii="Times New Roman" w:hAnsi="Times New Roman" w:cs="Times New Roman"/>
          <w:b/>
          <w:bCs/>
          <w:sz w:val="24"/>
          <w:szCs w:val="24"/>
        </w:rPr>
        <w:t>EFFECT OF SODIUM CYANIDE EXPOSURE ON RENAL PARAMETERS OF NEW ZEALAND WHITE RABBIT.</w:t>
      </w:r>
    </w:p>
    <w:p w14:paraId="3F007913" w14:textId="77777777" w:rsidR="00CA3FC4" w:rsidRDefault="00CA3FC4" w:rsidP="00FC11D5">
      <w:pPr>
        <w:jc w:val="center"/>
        <w:rPr>
          <w:rFonts w:ascii="Times New Roman" w:hAnsi="Times New Roman" w:cs="Times New Roman"/>
          <w:b/>
          <w:bCs/>
          <w:sz w:val="24"/>
          <w:szCs w:val="24"/>
        </w:rPr>
      </w:pPr>
    </w:p>
    <w:p w14:paraId="5A92C5FD" w14:textId="77777777" w:rsidR="00CA3FC4" w:rsidRDefault="00CA3FC4" w:rsidP="00FC11D5">
      <w:pPr>
        <w:jc w:val="center"/>
        <w:rPr>
          <w:rFonts w:ascii="Times New Roman" w:hAnsi="Times New Roman" w:cs="Times New Roman"/>
          <w:b/>
          <w:bCs/>
          <w:sz w:val="24"/>
          <w:szCs w:val="24"/>
        </w:rPr>
      </w:pPr>
    </w:p>
    <w:p w14:paraId="299C6316" w14:textId="77777777" w:rsidR="003A5EA5" w:rsidRDefault="003A5EA5" w:rsidP="00FC11D5">
      <w:pPr>
        <w:jc w:val="center"/>
        <w:rPr>
          <w:rFonts w:ascii="Times New Roman" w:hAnsi="Times New Roman" w:cs="Times New Roman"/>
          <w:b/>
          <w:bCs/>
          <w:sz w:val="24"/>
          <w:szCs w:val="24"/>
        </w:rPr>
      </w:pPr>
    </w:p>
    <w:p w14:paraId="5125B31C" w14:textId="77777777" w:rsidR="003A5EA5" w:rsidRDefault="003A5EA5" w:rsidP="00FC11D5">
      <w:pPr>
        <w:jc w:val="center"/>
        <w:rPr>
          <w:rFonts w:ascii="Times New Roman" w:hAnsi="Times New Roman" w:cs="Times New Roman"/>
          <w:b/>
          <w:bCs/>
          <w:sz w:val="24"/>
          <w:szCs w:val="24"/>
        </w:rPr>
      </w:pPr>
    </w:p>
    <w:p w14:paraId="3AEE38FE" w14:textId="77777777" w:rsidR="00431F58" w:rsidRPr="00E61331" w:rsidRDefault="00E61331" w:rsidP="00686B15">
      <w:pPr>
        <w:rPr>
          <w:rFonts w:ascii="Times New Roman" w:hAnsi="Times New Roman" w:cs="Times New Roman"/>
          <w:b/>
          <w:bCs/>
          <w:sz w:val="24"/>
          <w:szCs w:val="24"/>
        </w:rPr>
      </w:pPr>
      <w:r w:rsidRPr="00E61331">
        <w:rPr>
          <w:rFonts w:ascii="Times New Roman" w:hAnsi="Times New Roman" w:cs="Times New Roman"/>
          <w:b/>
          <w:bCs/>
          <w:sz w:val="24"/>
          <w:szCs w:val="24"/>
        </w:rPr>
        <w:t>ABSTRACT</w:t>
      </w:r>
    </w:p>
    <w:p w14:paraId="600D2F87" w14:textId="77777777" w:rsidR="00431F58" w:rsidRDefault="00431F58" w:rsidP="00431F58">
      <w:pPr>
        <w:rPr>
          <w:rFonts w:ascii="Times New Roman" w:hAnsi="Times New Roman" w:cs="Times New Roman"/>
          <w:sz w:val="24"/>
          <w:szCs w:val="24"/>
        </w:rPr>
      </w:pPr>
      <w:r w:rsidRPr="00E61331">
        <w:rPr>
          <w:rFonts w:ascii="Times New Roman" w:hAnsi="Times New Roman" w:cs="Times New Roman"/>
          <w:b/>
          <w:bCs/>
          <w:sz w:val="24"/>
          <w:szCs w:val="24"/>
        </w:rPr>
        <w:t>Aim</w:t>
      </w:r>
      <w:r>
        <w:rPr>
          <w:rFonts w:ascii="Times New Roman" w:hAnsi="Times New Roman" w:cs="Times New Roman"/>
          <w:sz w:val="24"/>
          <w:szCs w:val="24"/>
        </w:rPr>
        <w:t xml:space="preserve">: The aim of this study was to assess effect of chronic exposure of </w:t>
      </w:r>
      <w:r w:rsidR="00811A4B">
        <w:rPr>
          <w:rFonts w:ascii="Times New Roman" w:hAnsi="Times New Roman" w:cs="Times New Roman"/>
          <w:sz w:val="24"/>
          <w:szCs w:val="24"/>
        </w:rPr>
        <w:t>sodium cyanide on renal parameters</w:t>
      </w:r>
      <w:r>
        <w:rPr>
          <w:rFonts w:ascii="Times New Roman" w:hAnsi="Times New Roman" w:cs="Times New Roman"/>
          <w:sz w:val="24"/>
          <w:szCs w:val="24"/>
        </w:rPr>
        <w:t xml:space="preserve"> of New Zealand White Rabbit.</w:t>
      </w:r>
    </w:p>
    <w:p w14:paraId="74E54447" w14:textId="77777777" w:rsidR="00431F58" w:rsidRDefault="00431F58" w:rsidP="00431F58">
      <w:pPr>
        <w:rPr>
          <w:rFonts w:ascii="Times New Roman" w:hAnsi="Times New Roman" w:cs="Times New Roman"/>
          <w:sz w:val="24"/>
          <w:szCs w:val="24"/>
        </w:rPr>
      </w:pPr>
      <w:r w:rsidRPr="00E61331">
        <w:rPr>
          <w:rFonts w:ascii="Times New Roman" w:hAnsi="Times New Roman" w:cs="Times New Roman"/>
          <w:b/>
          <w:bCs/>
          <w:sz w:val="24"/>
          <w:szCs w:val="24"/>
        </w:rPr>
        <w:t>Place and Duration of Study</w:t>
      </w:r>
      <w:r>
        <w:rPr>
          <w:rFonts w:ascii="Times New Roman" w:hAnsi="Times New Roman" w:cs="Times New Roman"/>
          <w:sz w:val="24"/>
          <w:szCs w:val="24"/>
        </w:rPr>
        <w:t>: This study was carried out at Animal House, Applied and Environmental Biology Department, Rivers State University, Port Harcourt, Rivers State, Nigeria, between April</w:t>
      </w:r>
      <w:r w:rsidR="00D27E61">
        <w:rPr>
          <w:rFonts w:ascii="Times New Roman" w:hAnsi="Times New Roman" w:cs="Times New Roman"/>
          <w:sz w:val="24"/>
          <w:szCs w:val="24"/>
        </w:rPr>
        <w:t>,</w:t>
      </w:r>
      <w:r>
        <w:rPr>
          <w:rFonts w:ascii="Times New Roman" w:hAnsi="Times New Roman" w:cs="Times New Roman"/>
          <w:sz w:val="24"/>
          <w:szCs w:val="24"/>
        </w:rPr>
        <w:t xml:space="preserve"> 2020 and November 2020.</w:t>
      </w:r>
    </w:p>
    <w:p w14:paraId="1A7949C3" w14:textId="77777777" w:rsidR="00431F58" w:rsidRDefault="00955583" w:rsidP="00431F58">
      <w:pPr>
        <w:rPr>
          <w:rFonts w:ascii="Times New Roman" w:hAnsi="Times New Roman" w:cs="Times New Roman"/>
          <w:sz w:val="24"/>
          <w:szCs w:val="24"/>
        </w:rPr>
      </w:pPr>
      <w:r w:rsidRPr="00E61331">
        <w:rPr>
          <w:rFonts w:ascii="Times New Roman" w:hAnsi="Times New Roman" w:cs="Times New Roman"/>
          <w:b/>
          <w:bCs/>
          <w:sz w:val="24"/>
          <w:szCs w:val="24"/>
        </w:rPr>
        <w:t>Methodology</w:t>
      </w:r>
      <w:r w:rsidR="0078085D">
        <w:rPr>
          <w:rFonts w:ascii="Times New Roman" w:hAnsi="Times New Roman" w:cs="Times New Roman"/>
          <w:sz w:val="24"/>
          <w:szCs w:val="24"/>
        </w:rPr>
        <w:t>: Twenty</w:t>
      </w:r>
      <w:r>
        <w:rPr>
          <w:rFonts w:ascii="Times New Roman" w:hAnsi="Times New Roman" w:cs="Times New Roman"/>
          <w:sz w:val="24"/>
          <w:szCs w:val="24"/>
        </w:rPr>
        <w:t xml:space="preserve">-four (24) rabbits used for this study were divided into two major groups (control and experiment) with four rabbits in each group. The animals in control group were given water and feed only while others in experiment group were given 10ml of 0.05mg sodium cyanide daily for 30, 60 and 90 days respectively. </w:t>
      </w:r>
      <w:r w:rsidR="00431F58">
        <w:rPr>
          <w:rFonts w:ascii="Times New Roman" w:hAnsi="Times New Roman" w:cs="Times New Roman"/>
          <w:sz w:val="24"/>
          <w:szCs w:val="24"/>
        </w:rPr>
        <w:t xml:space="preserve">Cardiac blood samples were extracted from the rabbits using standard procedure. </w:t>
      </w:r>
      <w:r w:rsidR="002927C5">
        <w:rPr>
          <w:rFonts w:ascii="Times New Roman" w:hAnsi="Times New Roman" w:cs="Times New Roman"/>
          <w:sz w:val="24"/>
          <w:szCs w:val="24"/>
        </w:rPr>
        <w:t>The following renal function parameters were determined; electrolytes (Na</w:t>
      </w:r>
      <w:r w:rsidR="002927C5" w:rsidRPr="002927C5">
        <w:rPr>
          <w:rFonts w:ascii="Times New Roman" w:hAnsi="Times New Roman" w:cs="Times New Roman"/>
          <w:sz w:val="24"/>
          <w:szCs w:val="24"/>
          <w:vertAlign w:val="superscript"/>
        </w:rPr>
        <w:t>+</w:t>
      </w:r>
      <w:r w:rsidR="002927C5">
        <w:rPr>
          <w:rFonts w:ascii="Times New Roman" w:hAnsi="Times New Roman" w:cs="Times New Roman"/>
          <w:sz w:val="24"/>
          <w:szCs w:val="24"/>
        </w:rPr>
        <w:t>, K</w:t>
      </w:r>
      <w:r w:rsidR="002927C5" w:rsidRPr="002927C5">
        <w:rPr>
          <w:rFonts w:ascii="Times New Roman" w:hAnsi="Times New Roman" w:cs="Times New Roman"/>
          <w:sz w:val="24"/>
          <w:szCs w:val="24"/>
          <w:vertAlign w:val="superscript"/>
        </w:rPr>
        <w:t>+</w:t>
      </w:r>
      <w:r w:rsidR="00B628ED">
        <w:rPr>
          <w:rFonts w:ascii="Times New Roman" w:hAnsi="Times New Roman" w:cs="Times New Roman"/>
          <w:sz w:val="24"/>
          <w:szCs w:val="24"/>
        </w:rPr>
        <w:t>,</w:t>
      </w:r>
      <w:r w:rsidR="00D6004D">
        <w:rPr>
          <w:rFonts w:ascii="Times New Roman" w:hAnsi="Times New Roman" w:cs="Times New Roman"/>
          <w:sz w:val="24"/>
          <w:szCs w:val="24"/>
        </w:rPr>
        <w:t xml:space="preserve"> Cl</w:t>
      </w:r>
      <w:r w:rsidR="002927C5" w:rsidRPr="002927C5">
        <w:rPr>
          <w:rFonts w:ascii="Times New Roman" w:hAnsi="Times New Roman" w:cs="Times New Roman"/>
          <w:sz w:val="24"/>
          <w:szCs w:val="24"/>
          <w:vertAlign w:val="superscript"/>
        </w:rPr>
        <w:t>-</w:t>
      </w:r>
      <w:r w:rsidR="002927C5">
        <w:rPr>
          <w:rFonts w:ascii="Times New Roman" w:hAnsi="Times New Roman" w:cs="Times New Roman"/>
          <w:sz w:val="24"/>
          <w:szCs w:val="24"/>
        </w:rPr>
        <w:t>), urea, creatinine and</w:t>
      </w:r>
      <w:r w:rsidR="00F6510E" w:rsidRPr="00F6510E">
        <w:rPr>
          <w:rFonts w:ascii="Times New Roman" w:eastAsia="Times New Roman" w:hAnsi="Times New Roman" w:cs="Times New Roman"/>
          <w:sz w:val="24"/>
          <w:szCs w:val="24"/>
        </w:rPr>
        <w:t xml:space="preserve"> Kidney InjuryMolecule</w:t>
      </w:r>
      <w:r w:rsidR="00F6510E">
        <w:rPr>
          <w:rFonts w:ascii="Times New Roman" w:hAnsi="Times New Roman" w:cs="Times New Roman"/>
          <w:sz w:val="24"/>
          <w:szCs w:val="24"/>
        </w:rPr>
        <w:t>-1(KIM-</w:t>
      </w:r>
      <w:r w:rsidR="002927C5">
        <w:rPr>
          <w:rFonts w:ascii="Times New Roman" w:hAnsi="Times New Roman" w:cs="Times New Roman"/>
          <w:sz w:val="24"/>
          <w:szCs w:val="24"/>
        </w:rPr>
        <w:t>1</w:t>
      </w:r>
      <w:proofErr w:type="gramStart"/>
      <w:r w:rsidR="00F6510E">
        <w:rPr>
          <w:rFonts w:ascii="Times New Roman" w:hAnsi="Times New Roman" w:cs="Times New Roman"/>
          <w:sz w:val="24"/>
          <w:szCs w:val="24"/>
        </w:rPr>
        <w:t>)</w:t>
      </w:r>
      <w:r w:rsidR="00524F7E">
        <w:rPr>
          <w:rFonts w:ascii="Times New Roman" w:hAnsi="Times New Roman" w:cs="Times New Roman"/>
          <w:sz w:val="24"/>
          <w:szCs w:val="24"/>
        </w:rPr>
        <w:t>.</w:t>
      </w:r>
      <w:r w:rsidR="008F2B96">
        <w:rPr>
          <w:rFonts w:ascii="Times New Roman" w:eastAsia="Times New Roman" w:hAnsi="Times New Roman" w:cs="Times New Roman"/>
          <w:sz w:val="24"/>
          <w:szCs w:val="24"/>
        </w:rPr>
        <w:t>Histological</w:t>
      </w:r>
      <w:proofErr w:type="gramEnd"/>
      <w:r w:rsidR="008F2B96">
        <w:rPr>
          <w:rFonts w:ascii="Times New Roman" w:eastAsia="Times New Roman" w:hAnsi="Times New Roman" w:cs="Times New Roman"/>
          <w:sz w:val="24"/>
          <w:szCs w:val="24"/>
        </w:rPr>
        <w:t xml:space="preserve"> examination of kidney tissue was also </w:t>
      </w:r>
      <w:r w:rsidR="00425C16">
        <w:rPr>
          <w:rFonts w:ascii="Times New Roman" w:eastAsia="Times New Roman" w:hAnsi="Times New Roman" w:cs="Times New Roman"/>
          <w:sz w:val="24"/>
          <w:szCs w:val="24"/>
        </w:rPr>
        <w:t>carried out</w:t>
      </w:r>
      <w:r w:rsidR="00431F58">
        <w:rPr>
          <w:rFonts w:ascii="Times New Roman" w:hAnsi="Times New Roman" w:cs="Times New Roman"/>
          <w:sz w:val="24"/>
          <w:szCs w:val="24"/>
        </w:rPr>
        <w:t>. Data were expressed as mean ± S</w:t>
      </w:r>
      <w:r w:rsidR="00803965">
        <w:rPr>
          <w:rFonts w:ascii="Times New Roman" w:hAnsi="Times New Roman" w:cs="Times New Roman"/>
          <w:sz w:val="24"/>
          <w:szCs w:val="24"/>
        </w:rPr>
        <w:t xml:space="preserve">tandard </w:t>
      </w:r>
      <w:r w:rsidR="00431F58">
        <w:rPr>
          <w:rFonts w:ascii="Times New Roman" w:hAnsi="Times New Roman" w:cs="Times New Roman"/>
          <w:sz w:val="24"/>
          <w:szCs w:val="24"/>
        </w:rPr>
        <w:t>D</w:t>
      </w:r>
      <w:r w:rsidR="00803965">
        <w:rPr>
          <w:rFonts w:ascii="Times New Roman" w:hAnsi="Times New Roman" w:cs="Times New Roman"/>
          <w:sz w:val="24"/>
          <w:szCs w:val="24"/>
        </w:rPr>
        <w:t>eviation</w:t>
      </w:r>
      <w:r w:rsidR="00431F58">
        <w:rPr>
          <w:rFonts w:ascii="Times New Roman" w:hAnsi="Times New Roman" w:cs="Times New Roman"/>
          <w:sz w:val="24"/>
          <w:szCs w:val="24"/>
        </w:rPr>
        <w:t xml:space="preserve">. Statistical differences between groups were computed using Graph pad prism 7.0 version. Results were analyzed using analysis of variance (ANOVA) and significance between groups was taken at p&lt; 0.05. </w:t>
      </w:r>
    </w:p>
    <w:p w14:paraId="3A0F7BF5" w14:textId="77777777" w:rsidR="005D2E13" w:rsidRDefault="00431F58" w:rsidP="00431F58">
      <w:pPr>
        <w:rPr>
          <w:rFonts w:ascii="Times New Roman" w:hAnsi="Times New Roman" w:cs="Times New Roman"/>
          <w:sz w:val="24"/>
          <w:szCs w:val="24"/>
        </w:rPr>
      </w:pPr>
      <w:r w:rsidRPr="00E61331">
        <w:rPr>
          <w:rFonts w:ascii="Times New Roman" w:hAnsi="Times New Roman" w:cs="Times New Roman"/>
          <w:b/>
          <w:bCs/>
          <w:sz w:val="24"/>
          <w:szCs w:val="24"/>
        </w:rPr>
        <w:t>Results</w:t>
      </w:r>
      <w:r>
        <w:rPr>
          <w:rFonts w:ascii="Times New Roman" w:hAnsi="Times New Roman" w:cs="Times New Roman"/>
          <w:sz w:val="24"/>
          <w:szCs w:val="24"/>
        </w:rPr>
        <w:t xml:space="preserve">: </w:t>
      </w:r>
      <w:r w:rsidR="00941190">
        <w:rPr>
          <w:rFonts w:ascii="Times New Roman" w:hAnsi="Times New Roman" w:cs="Times New Roman"/>
          <w:sz w:val="24"/>
          <w:szCs w:val="24"/>
        </w:rPr>
        <w:t>Renal</w:t>
      </w:r>
      <w:r>
        <w:rPr>
          <w:rFonts w:ascii="Times New Roman" w:hAnsi="Times New Roman" w:cs="Times New Roman"/>
          <w:sz w:val="24"/>
          <w:szCs w:val="24"/>
        </w:rPr>
        <w:t xml:space="preserve"> function parameters result</w:t>
      </w:r>
      <w:r w:rsidR="00D63CC1">
        <w:rPr>
          <w:rFonts w:ascii="Times New Roman" w:hAnsi="Times New Roman" w:cs="Times New Roman"/>
          <w:sz w:val="24"/>
          <w:szCs w:val="24"/>
        </w:rPr>
        <w:t>s showed significant (p&lt;0.05) in</w:t>
      </w:r>
      <w:r>
        <w:rPr>
          <w:rFonts w:ascii="Times New Roman" w:hAnsi="Times New Roman" w:cs="Times New Roman"/>
          <w:sz w:val="24"/>
          <w:szCs w:val="24"/>
        </w:rPr>
        <w:t xml:space="preserve">crease in levels </w:t>
      </w:r>
      <w:proofErr w:type="spellStart"/>
      <w:r>
        <w:rPr>
          <w:rFonts w:ascii="Times New Roman" w:hAnsi="Times New Roman" w:cs="Times New Roman"/>
          <w:sz w:val="24"/>
          <w:szCs w:val="24"/>
        </w:rPr>
        <w:t>of</w:t>
      </w:r>
      <w:r w:rsidR="00D63CC1">
        <w:rPr>
          <w:rFonts w:ascii="Times New Roman" w:hAnsi="Times New Roman" w:cs="Times New Roman"/>
          <w:sz w:val="24"/>
          <w:szCs w:val="24"/>
        </w:rPr>
        <w:t>electrolytes</w:t>
      </w:r>
      <w:proofErr w:type="spellEnd"/>
      <w:r w:rsidR="00D63CC1">
        <w:rPr>
          <w:rFonts w:ascii="Times New Roman" w:hAnsi="Times New Roman" w:cs="Times New Roman"/>
          <w:sz w:val="24"/>
          <w:szCs w:val="24"/>
        </w:rPr>
        <w:t xml:space="preserve"> (Na</w:t>
      </w:r>
      <w:r w:rsidR="00D63CC1" w:rsidRPr="002927C5">
        <w:rPr>
          <w:rFonts w:ascii="Times New Roman" w:hAnsi="Times New Roman" w:cs="Times New Roman"/>
          <w:sz w:val="24"/>
          <w:szCs w:val="24"/>
          <w:vertAlign w:val="superscript"/>
        </w:rPr>
        <w:t>+</w:t>
      </w:r>
      <w:r w:rsidR="00D63CC1">
        <w:rPr>
          <w:rFonts w:ascii="Times New Roman" w:hAnsi="Times New Roman" w:cs="Times New Roman"/>
          <w:sz w:val="24"/>
          <w:szCs w:val="24"/>
        </w:rPr>
        <w:t>, K</w:t>
      </w:r>
      <w:r w:rsidR="00D63CC1" w:rsidRPr="002927C5">
        <w:rPr>
          <w:rFonts w:ascii="Times New Roman" w:hAnsi="Times New Roman" w:cs="Times New Roman"/>
          <w:sz w:val="24"/>
          <w:szCs w:val="24"/>
          <w:vertAlign w:val="superscript"/>
        </w:rPr>
        <w:t>+</w:t>
      </w:r>
      <w:r w:rsidR="00D63CC1">
        <w:rPr>
          <w:rFonts w:ascii="Times New Roman" w:hAnsi="Times New Roman" w:cs="Times New Roman"/>
          <w:sz w:val="24"/>
          <w:szCs w:val="24"/>
        </w:rPr>
        <w:t>, Cl</w:t>
      </w:r>
      <w:r w:rsidR="00D63CC1" w:rsidRPr="002927C5">
        <w:rPr>
          <w:rFonts w:ascii="Times New Roman" w:hAnsi="Times New Roman" w:cs="Times New Roman"/>
          <w:sz w:val="24"/>
          <w:szCs w:val="24"/>
          <w:vertAlign w:val="superscript"/>
        </w:rPr>
        <w:t>-</w:t>
      </w:r>
      <w:r w:rsidR="00D63CC1">
        <w:rPr>
          <w:rFonts w:ascii="Times New Roman" w:hAnsi="Times New Roman" w:cs="Times New Roman"/>
          <w:sz w:val="24"/>
          <w:szCs w:val="24"/>
        </w:rPr>
        <w:t>), urea, creatinine and</w:t>
      </w:r>
      <w:r w:rsidR="00D63CC1" w:rsidRPr="00F6510E">
        <w:rPr>
          <w:rFonts w:ascii="Times New Roman" w:eastAsia="Times New Roman" w:hAnsi="Times New Roman" w:cs="Times New Roman"/>
          <w:sz w:val="24"/>
          <w:szCs w:val="24"/>
        </w:rPr>
        <w:t xml:space="preserve"> Kidney Injury Molecule</w:t>
      </w:r>
      <w:r w:rsidR="00D63CC1">
        <w:rPr>
          <w:rFonts w:ascii="Times New Roman" w:hAnsi="Times New Roman" w:cs="Times New Roman"/>
          <w:sz w:val="24"/>
          <w:szCs w:val="24"/>
        </w:rPr>
        <w:t xml:space="preserve">-1 (KIM-1) </w:t>
      </w:r>
      <w:r>
        <w:rPr>
          <w:rFonts w:ascii="Times New Roman" w:hAnsi="Times New Roman" w:cs="Times New Roman"/>
          <w:sz w:val="24"/>
          <w:szCs w:val="24"/>
        </w:rPr>
        <w:t xml:space="preserve">in 30 days, 60 days and 90 days respectively as compared to control. </w:t>
      </w:r>
      <w:r w:rsidR="00A740CE">
        <w:rPr>
          <w:rFonts w:ascii="Times New Roman" w:hAnsi="Times New Roman" w:cs="Times New Roman"/>
          <w:sz w:val="24"/>
        </w:rPr>
        <w:t xml:space="preserve">Histological examination revealed significant changes on </w:t>
      </w:r>
      <w:r w:rsidR="00F55F20">
        <w:rPr>
          <w:rFonts w:ascii="Times New Roman" w:hAnsi="Times New Roman" w:cs="Times New Roman"/>
          <w:sz w:val="24"/>
        </w:rPr>
        <w:t>30 days</w:t>
      </w:r>
      <w:r w:rsidR="00A740CE">
        <w:rPr>
          <w:rFonts w:ascii="Times New Roman" w:hAnsi="Times New Roman" w:cs="Times New Roman"/>
          <w:sz w:val="24"/>
        </w:rPr>
        <w:t xml:space="preserve">, </w:t>
      </w:r>
      <w:r w:rsidR="00F55F20">
        <w:rPr>
          <w:rFonts w:ascii="Times New Roman" w:hAnsi="Times New Roman" w:cs="Times New Roman"/>
          <w:sz w:val="24"/>
        </w:rPr>
        <w:t>60 days</w:t>
      </w:r>
      <w:r w:rsidR="00A740CE">
        <w:rPr>
          <w:rFonts w:ascii="Times New Roman" w:hAnsi="Times New Roman" w:cs="Times New Roman"/>
          <w:sz w:val="24"/>
        </w:rPr>
        <w:t xml:space="preserve"> and </w:t>
      </w:r>
      <w:r w:rsidR="00F55F20">
        <w:rPr>
          <w:rFonts w:ascii="Times New Roman" w:hAnsi="Times New Roman" w:cs="Times New Roman"/>
          <w:sz w:val="24"/>
        </w:rPr>
        <w:t>90</w:t>
      </w:r>
      <w:r w:rsidR="00A740CE">
        <w:rPr>
          <w:rFonts w:ascii="Times New Roman" w:hAnsi="Times New Roman" w:cs="Times New Roman"/>
          <w:sz w:val="24"/>
        </w:rPr>
        <w:t xml:space="preserve"> days respectively.</w:t>
      </w:r>
    </w:p>
    <w:p w14:paraId="7F132FBB" w14:textId="77777777" w:rsidR="00431F58" w:rsidRDefault="005D2E13" w:rsidP="00431F58">
      <w:r w:rsidRPr="00E61331">
        <w:rPr>
          <w:rFonts w:ascii="Times New Roman" w:hAnsi="Times New Roman" w:cs="Times New Roman"/>
          <w:b/>
          <w:bCs/>
          <w:sz w:val="24"/>
          <w:szCs w:val="24"/>
        </w:rPr>
        <w:t>Conclusion</w:t>
      </w:r>
      <w:r>
        <w:rPr>
          <w:rFonts w:ascii="Times New Roman" w:hAnsi="Times New Roman" w:cs="Times New Roman"/>
          <w:sz w:val="24"/>
          <w:szCs w:val="24"/>
        </w:rPr>
        <w:t xml:space="preserve">: </w:t>
      </w:r>
      <w:r w:rsidR="00431F58">
        <w:rPr>
          <w:rFonts w:ascii="Times New Roman" w:hAnsi="Times New Roman" w:cs="Times New Roman"/>
          <w:sz w:val="24"/>
          <w:szCs w:val="24"/>
        </w:rPr>
        <w:t>The findings of this study revealed</w:t>
      </w:r>
      <w:r w:rsidR="00D63CC1">
        <w:rPr>
          <w:rFonts w:ascii="Times New Roman" w:hAnsi="Times New Roman" w:cs="Times New Roman"/>
          <w:sz w:val="24"/>
          <w:szCs w:val="24"/>
        </w:rPr>
        <w:t xml:space="preserve"> that </w:t>
      </w:r>
      <w:r w:rsidR="00431F58">
        <w:rPr>
          <w:rFonts w:ascii="Times New Roman" w:hAnsi="Times New Roman" w:cs="Times New Roman"/>
          <w:sz w:val="24"/>
          <w:szCs w:val="24"/>
        </w:rPr>
        <w:t>exposure to 0.05 mg/kg sodium cyanide</w:t>
      </w:r>
      <w:r w:rsidR="00D63CC1">
        <w:rPr>
          <w:rFonts w:ascii="Times New Roman" w:hAnsi="Times New Roman" w:cs="Times New Roman"/>
          <w:sz w:val="24"/>
          <w:szCs w:val="24"/>
        </w:rPr>
        <w:t xml:space="preserve"> may cause alteration of renal</w:t>
      </w:r>
      <w:r w:rsidR="00431F58">
        <w:rPr>
          <w:rFonts w:ascii="Times New Roman" w:hAnsi="Times New Roman" w:cs="Times New Roman"/>
          <w:sz w:val="24"/>
          <w:szCs w:val="24"/>
        </w:rPr>
        <w:t xml:space="preserve"> function parameters due to its t</w:t>
      </w:r>
      <w:r w:rsidR="00D63CC1">
        <w:rPr>
          <w:rFonts w:ascii="Times New Roman" w:hAnsi="Times New Roman" w:cs="Times New Roman"/>
          <w:sz w:val="24"/>
          <w:szCs w:val="24"/>
        </w:rPr>
        <w:t>oxic effect on the kidney</w:t>
      </w:r>
      <w:r w:rsidR="0057636D">
        <w:rPr>
          <w:rFonts w:ascii="Times New Roman" w:hAnsi="Times New Roman" w:cs="Times New Roman"/>
          <w:sz w:val="24"/>
          <w:szCs w:val="24"/>
        </w:rPr>
        <w:t xml:space="preserve"> tissues as</w:t>
      </w:r>
      <w:r w:rsidR="00D44CC2">
        <w:rPr>
          <w:rFonts w:ascii="Times New Roman" w:hAnsi="Times New Roman" w:cs="Times New Roman"/>
          <w:sz w:val="24"/>
          <w:szCs w:val="24"/>
        </w:rPr>
        <w:t xml:space="preserve"> evidenced</w:t>
      </w:r>
      <w:r w:rsidR="0057636D">
        <w:rPr>
          <w:rFonts w:ascii="Times New Roman" w:hAnsi="Times New Roman" w:cs="Times New Roman"/>
          <w:sz w:val="24"/>
          <w:szCs w:val="24"/>
        </w:rPr>
        <w:t xml:space="preserve"> by the histological examination</w:t>
      </w:r>
      <w:r w:rsidR="00431F58">
        <w:rPr>
          <w:rFonts w:ascii="Times New Roman" w:hAnsi="Times New Roman" w:cs="Times New Roman"/>
          <w:sz w:val="24"/>
          <w:szCs w:val="24"/>
        </w:rPr>
        <w:t xml:space="preserve">.   </w:t>
      </w:r>
    </w:p>
    <w:p w14:paraId="1E1B0EF3" w14:textId="77777777" w:rsidR="00431F58" w:rsidRDefault="00431F58" w:rsidP="00431F58">
      <w:pPr>
        <w:spacing w:line="480" w:lineRule="auto"/>
        <w:rPr>
          <w:rFonts w:ascii="Times New Roman" w:hAnsi="Times New Roman" w:cs="Times New Roman"/>
          <w:sz w:val="24"/>
          <w:szCs w:val="24"/>
        </w:rPr>
      </w:pPr>
      <w:r>
        <w:rPr>
          <w:rFonts w:ascii="Times New Roman" w:hAnsi="Times New Roman" w:cs="Times New Roman"/>
          <w:b/>
          <w:sz w:val="24"/>
          <w:szCs w:val="24"/>
        </w:rPr>
        <w:t>Keywords:</w:t>
      </w:r>
      <w:r w:rsidR="006B2E15">
        <w:rPr>
          <w:rFonts w:ascii="Times New Roman" w:hAnsi="Times New Roman" w:cs="Times New Roman"/>
          <w:sz w:val="24"/>
          <w:szCs w:val="24"/>
        </w:rPr>
        <w:t xml:space="preserve"> Kidney</w:t>
      </w:r>
      <w:r w:rsidR="00B213BA">
        <w:rPr>
          <w:rFonts w:ascii="Times New Roman" w:hAnsi="Times New Roman" w:cs="Times New Roman"/>
          <w:sz w:val="24"/>
          <w:szCs w:val="24"/>
        </w:rPr>
        <w:t xml:space="preserve"> function parameters, </w:t>
      </w:r>
      <w:r>
        <w:rPr>
          <w:rFonts w:ascii="Times New Roman" w:hAnsi="Times New Roman" w:cs="Times New Roman"/>
          <w:sz w:val="24"/>
          <w:szCs w:val="24"/>
        </w:rPr>
        <w:t>sodium cyanide</w:t>
      </w:r>
      <w:r w:rsidR="005A5E4A">
        <w:rPr>
          <w:rFonts w:ascii="Times New Roman" w:hAnsi="Times New Roman" w:cs="Times New Roman"/>
          <w:sz w:val="24"/>
          <w:szCs w:val="24"/>
        </w:rPr>
        <w:t xml:space="preserve"> and N</w:t>
      </w:r>
      <w:r w:rsidR="00B213BA">
        <w:rPr>
          <w:rFonts w:ascii="Times New Roman" w:hAnsi="Times New Roman" w:cs="Times New Roman"/>
          <w:sz w:val="24"/>
          <w:szCs w:val="24"/>
        </w:rPr>
        <w:t>ew Zealand white rabbits</w:t>
      </w:r>
      <w:r>
        <w:rPr>
          <w:rFonts w:ascii="Times New Roman" w:hAnsi="Times New Roman" w:cs="Times New Roman"/>
          <w:sz w:val="24"/>
          <w:szCs w:val="24"/>
        </w:rPr>
        <w:t xml:space="preserve"> </w:t>
      </w:r>
    </w:p>
    <w:p w14:paraId="0F19370E" w14:textId="77777777" w:rsidR="00757F7A" w:rsidRDefault="00757F7A" w:rsidP="00AC3CD8">
      <w:pPr>
        <w:spacing w:line="480" w:lineRule="auto"/>
        <w:rPr>
          <w:rFonts w:ascii="Times New Roman" w:hAnsi="Times New Roman" w:cs="Times New Roman"/>
          <w:b/>
          <w:sz w:val="24"/>
          <w:szCs w:val="24"/>
        </w:rPr>
      </w:pPr>
    </w:p>
    <w:p w14:paraId="119062B6" w14:textId="77777777" w:rsidR="003A5EA5" w:rsidRDefault="003A5EA5" w:rsidP="00AC3CD8">
      <w:pPr>
        <w:spacing w:line="480" w:lineRule="auto"/>
        <w:rPr>
          <w:rFonts w:ascii="Times New Roman" w:hAnsi="Times New Roman" w:cs="Times New Roman"/>
          <w:b/>
          <w:sz w:val="24"/>
          <w:szCs w:val="24"/>
        </w:rPr>
      </w:pPr>
    </w:p>
    <w:p w14:paraId="6B07E0DA" w14:textId="77777777" w:rsidR="003A5EA5" w:rsidRDefault="003A5EA5" w:rsidP="00AC3CD8">
      <w:pPr>
        <w:spacing w:line="480" w:lineRule="auto"/>
        <w:rPr>
          <w:rFonts w:ascii="Times New Roman" w:hAnsi="Times New Roman" w:cs="Times New Roman"/>
          <w:b/>
          <w:sz w:val="24"/>
          <w:szCs w:val="24"/>
        </w:rPr>
      </w:pPr>
    </w:p>
    <w:p w14:paraId="5561BF18" w14:textId="77777777" w:rsidR="00AC3CD8" w:rsidRDefault="00431F58" w:rsidP="00AC3CD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21ECDF9A" w14:textId="77777777" w:rsidR="005575D0" w:rsidRPr="00CC5030" w:rsidRDefault="005575D0" w:rsidP="00AC3CD8">
      <w:pPr>
        <w:spacing w:line="480" w:lineRule="auto"/>
        <w:rPr>
          <w:rFonts w:ascii="Times New Roman" w:hAnsi="Times New Roman" w:cs="Times New Roman"/>
          <w:b/>
          <w:sz w:val="24"/>
          <w:szCs w:val="24"/>
        </w:rPr>
      </w:pPr>
      <w:r w:rsidRPr="00CC5030">
        <w:rPr>
          <w:rFonts w:ascii="Times New Roman" w:hAnsi="Times New Roman" w:cs="Times New Roman"/>
        </w:rPr>
        <w:t xml:space="preserve">Cyanide is a substance ubiquitous in the environment and has been associated with many intoxication episodes in humans and animals resulting from the ingestion of foods, environmental pollution, chemical war, suicide, </w:t>
      </w:r>
      <w:r w:rsidR="00757F7A" w:rsidRPr="00CC5030">
        <w:rPr>
          <w:rFonts w:ascii="Times New Roman" w:hAnsi="Times New Roman" w:cs="Times New Roman"/>
        </w:rPr>
        <w:t>homicide</w:t>
      </w:r>
      <w:r w:rsidR="00757F7A" w:rsidRPr="000D6A0B">
        <w:rPr>
          <w:rFonts w:ascii="Times New Roman" w:hAnsi="Times New Roman" w:cs="Times New Roman"/>
          <w:vertAlign w:val="superscript"/>
        </w:rPr>
        <w:t>1.</w:t>
      </w:r>
    </w:p>
    <w:p w14:paraId="174ACF4B" w14:textId="77777777" w:rsidR="00AC3CD8" w:rsidRDefault="00431F58" w:rsidP="00431F58">
      <w:pPr>
        <w:spacing w:line="480" w:lineRule="auto"/>
        <w:jc w:val="both"/>
      </w:pPr>
      <w:r>
        <w:rPr>
          <w:rFonts w:ascii="Times New Roman" w:hAnsi="Times New Roman" w:cs="Times New Roman"/>
          <w:sz w:val="24"/>
          <w:szCs w:val="24"/>
        </w:rPr>
        <w:t xml:space="preserve">Cyanide is viewed as a compound asphyxiant on the grounds that it hinders vigorous digestion without influencing oxygen conveyance to the tissues. It has a high proclivity for iron in the ferric state, bringing about restricting to and inactivation of tissue cytochrome C oxidase </w:t>
      </w:r>
      <w:r w:rsidR="000D6A0B" w:rsidRPr="000D6A0B">
        <w:rPr>
          <w:rFonts w:ascii="Times New Roman" w:hAnsi="Times New Roman" w:cs="Times New Roman"/>
          <w:sz w:val="24"/>
          <w:szCs w:val="24"/>
          <w:vertAlign w:val="superscript"/>
        </w:rPr>
        <w:t>2</w:t>
      </w:r>
      <w:r w:rsidR="001D7CEB">
        <w:rPr>
          <w:rFonts w:ascii="Times New Roman" w:hAnsi="Times New Roman" w:cs="Times New Roman"/>
          <w:sz w:val="24"/>
          <w:szCs w:val="24"/>
        </w:rPr>
        <w:t xml:space="preserve">. </w:t>
      </w:r>
      <w:r w:rsidR="00230D58">
        <w:rPr>
          <w:rFonts w:ascii="Times New Roman" w:hAnsi="Times New Roman" w:cs="Times New Roman"/>
          <w:sz w:val="24"/>
          <w:szCs w:val="24"/>
        </w:rPr>
        <w:t>Its</w:t>
      </w:r>
      <w:r>
        <w:rPr>
          <w:rFonts w:ascii="Times New Roman" w:hAnsi="Times New Roman" w:cs="Times New Roman"/>
          <w:sz w:val="24"/>
          <w:szCs w:val="24"/>
        </w:rPr>
        <w:t xml:space="preserve"> harming is a type of histotoxic hypoxia in light of the fact that the cells of a living being can</w:t>
      </w:r>
      <w:r w:rsidR="00540795">
        <w:rPr>
          <w:rFonts w:ascii="Times New Roman" w:hAnsi="Times New Roman" w:cs="Times New Roman"/>
          <w:sz w:val="24"/>
          <w:szCs w:val="24"/>
        </w:rPr>
        <w:t>not</w:t>
      </w:r>
      <w:r>
        <w:rPr>
          <w:rFonts w:ascii="Times New Roman" w:hAnsi="Times New Roman" w:cs="Times New Roman"/>
          <w:sz w:val="24"/>
          <w:szCs w:val="24"/>
        </w:rPr>
        <w:t xml:space="preserve"> make adenosine triphosphate (ATP), basically through the hindrance of the mitochondrial catalyst cytochrome oxidase </w:t>
      </w:r>
      <w:r w:rsidR="000D6A0B" w:rsidRPr="000D6A0B">
        <w:rPr>
          <w:rFonts w:ascii="Times New Roman" w:hAnsi="Times New Roman" w:cs="Times New Roman"/>
          <w:sz w:val="24"/>
          <w:szCs w:val="24"/>
          <w:vertAlign w:val="superscript"/>
        </w:rPr>
        <w:t>3</w:t>
      </w:r>
      <w:r w:rsidR="001D7CEB">
        <w:rPr>
          <w:rFonts w:ascii="Times New Roman" w:hAnsi="Times New Roman" w:cs="Times New Roman"/>
          <w:sz w:val="24"/>
          <w:szCs w:val="24"/>
        </w:rPr>
        <w:t xml:space="preserve">. </w:t>
      </w:r>
      <w:r>
        <w:rPr>
          <w:rFonts w:ascii="Times New Roman" w:hAnsi="Times New Roman" w:cs="Times New Roman"/>
          <w:sz w:val="24"/>
          <w:szCs w:val="24"/>
        </w:rPr>
        <w:t xml:space="preserve">The biochemical activity of cyanide is something similar after entering the body. Once in the circulation system, cyanide frames a steady intricate with cytochrome oxidase, a chemical that advances the exchange of electrons in the mitochondria of cells during the combination of ATP </w:t>
      </w:r>
      <w:r w:rsidR="000D6A0B" w:rsidRPr="000D6A0B">
        <w:rPr>
          <w:rFonts w:ascii="Times New Roman" w:hAnsi="Times New Roman" w:cs="Times New Roman"/>
          <w:sz w:val="24"/>
          <w:szCs w:val="24"/>
          <w:vertAlign w:val="superscript"/>
        </w:rPr>
        <w:t>4</w:t>
      </w:r>
      <w:r w:rsidR="001D7CEB">
        <w:rPr>
          <w:rFonts w:ascii="Times New Roman" w:hAnsi="Times New Roman" w:cs="Times New Roman"/>
          <w:sz w:val="24"/>
          <w:szCs w:val="24"/>
        </w:rPr>
        <w:t>.</w:t>
      </w:r>
    </w:p>
    <w:p w14:paraId="2BFF3A80" w14:textId="77777777" w:rsidR="00AC3CD8" w:rsidRDefault="00AC3CD8" w:rsidP="00AC3CD8">
      <w:pPr>
        <w:pStyle w:val="Body"/>
        <w:spacing w:after="0" w:line="480" w:lineRule="auto"/>
        <w:rPr>
          <w:rFonts w:ascii="Times New Roman" w:eastAsia="Calibri" w:hAnsi="Times New Roman"/>
          <w:sz w:val="24"/>
          <w:szCs w:val="24"/>
        </w:rPr>
      </w:pPr>
      <w:r>
        <w:rPr>
          <w:rFonts w:ascii="Times New Roman" w:eastAsia="Calibri" w:hAnsi="Times New Roman"/>
          <w:sz w:val="24"/>
          <w:szCs w:val="24"/>
        </w:rPr>
        <w:t>C</w:t>
      </w:r>
      <w:r w:rsidRPr="00CF1D8C">
        <w:rPr>
          <w:rFonts w:ascii="Times New Roman" w:eastAsia="Calibri" w:hAnsi="Times New Roman"/>
          <w:sz w:val="24"/>
          <w:szCs w:val="24"/>
        </w:rPr>
        <w:t xml:space="preserve">yanide intoxication </w:t>
      </w:r>
      <w:r w:rsidR="00350F49">
        <w:rPr>
          <w:rFonts w:ascii="Times New Roman" w:eastAsia="Calibri" w:hAnsi="Times New Roman"/>
          <w:sz w:val="24"/>
          <w:szCs w:val="24"/>
        </w:rPr>
        <w:t xml:space="preserve">may </w:t>
      </w:r>
      <w:r w:rsidRPr="00CF1D8C">
        <w:rPr>
          <w:rFonts w:ascii="Times New Roman" w:eastAsia="Calibri" w:hAnsi="Times New Roman"/>
          <w:sz w:val="24"/>
          <w:szCs w:val="24"/>
        </w:rPr>
        <w:t xml:space="preserve">produce some pathologic effects on different tissues that precede alterations in biochemical parameters. Consequently, certain types of cells are damaged and leak enzymes into the blood, where they can be measured as indicator of cell </w:t>
      </w:r>
      <w:r w:rsidR="0011106A" w:rsidRPr="00CF1D8C">
        <w:rPr>
          <w:rFonts w:ascii="Times New Roman" w:eastAsia="Calibri" w:hAnsi="Times New Roman"/>
          <w:sz w:val="24"/>
          <w:szCs w:val="24"/>
        </w:rPr>
        <w:t xml:space="preserve">damage </w:t>
      </w:r>
      <w:r w:rsidR="000D6A0B" w:rsidRPr="000D6A0B">
        <w:rPr>
          <w:rFonts w:ascii="Times New Roman" w:eastAsia="Calibri" w:hAnsi="Times New Roman"/>
          <w:sz w:val="24"/>
          <w:szCs w:val="24"/>
          <w:vertAlign w:val="superscript"/>
        </w:rPr>
        <w:t>5</w:t>
      </w:r>
      <w:r w:rsidR="003D484F">
        <w:rPr>
          <w:rFonts w:ascii="Times New Roman" w:eastAsia="Calibri" w:hAnsi="Times New Roman"/>
          <w:sz w:val="24"/>
          <w:szCs w:val="24"/>
        </w:rPr>
        <w:t xml:space="preserve">. </w:t>
      </w:r>
      <w:r w:rsidRPr="00CF1D8C">
        <w:rPr>
          <w:rFonts w:ascii="Times New Roman" w:eastAsia="Calibri" w:hAnsi="Times New Roman"/>
          <w:sz w:val="24"/>
          <w:szCs w:val="24"/>
        </w:rPr>
        <w:t xml:space="preserve">The most widespread problems arising from cyanide are from chronic /sub chronic exposures. Chronic cyanide toxicity is involved in the pathogenesis of some health problems. Moreover, chronic cyanide intoxication induces alteration in some biochemical, histological and oxidative stress parameters in experimental animal model </w:t>
      </w:r>
      <w:r w:rsidR="000D6A0B" w:rsidRPr="000D6A0B">
        <w:rPr>
          <w:rFonts w:ascii="Times New Roman" w:eastAsia="Calibri" w:hAnsi="Times New Roman"/>
          <w:sz w:val="24"/>
          <w:szCs w:val="24"/>
          <w:vertAlign w:val="superscript"/>
        </w:rPr>
        <w:t>6</w:t>
      </w:r>
      <w:r w:rsidR="003D484F">
        <w:rPr>
          <w:rFonts w:ascii="Times New Roman" w:eastAsia="Calibri" w:hAnsi="Times New Roman"/>
          <w:sz w:val="24"/>
          <w:szCs w:val="24"/>
        </w:rPr>
        <w:t>.</w:t>
      </w:r>
    </w:p>
    <w:p w14:paraId="79741A90" w14:textId="77777777" w:rsidR="00AC3CD8" w:rsidRDefault="00240C4D" w:rsidP="00980B26">
      <w:pPr>
        <w:pStyle w:val="Body"/>
        <w:spacing w:after="0" w:line="480" w:lineRule="auto"/>
      </w:pPr>
      <w:r w:rsidRPr="00240C4D">
        <w:rPr>
          <w:rFonts w:ascii="Times New Roman" w:hAnsi="Times New Roman"/>
          <w:sz w:val="24"/>
          <w:szCs w:val="24"/>
        </w:rPr>
        <w:t>Ren</w:t>
      </w:r>
      <w:r w:rsidR="00980B26">
        <w:rPr>
          <w:rFonts w:ascii="Times New Roman" w:hAnsi="Times New Roman"/>
          <w:sz w:val="24"/>
          <w:szCs w:val="24"/>
        </w:rPr>
        <w:t>al tubules and renal corpuscles</w:t>
      </w:r>
      <w:r w:rsidRPr="00240C4D">
        <w:rPr>
          <w:rFonts w:ascii="Times New Roman" w:hAnsi="Times New Roman"/>
          <w:sz w:val="24"/>
          <w:szCs w:val="24"/>
        </w:rPr>
        <w:t xml:space="preserve"> also known as glomeruli and renal corpuscles, comprise the functional units of the kidney, which are represented by the nephrons from a histological standpoint. Nephrons play a critical role in osmoregulation and excretion thro</w:t>
      </w:r>
      <w:r>
        <w:rPr>
          <w:rFonts w:ascii="Times New Roman" w:hAnsi="Times New Roman"/>
          <w:sz w:val="24"/>
          <w:szCs w:val="24"/>
        </w:rPr>
        <w:t xml:space="preserve">ugh the </w:t>
      </w:r>
      <w:r>
        <w:rPr>
          <w:rFonts w:ascii="Times New Roman" w:hAnsi="Times New Roman"/>
          <w:sz w:val="24"/>
          <w:szCs w:val="24"/>
        </w:rPr>
        <w:lastRenderedPageBreak/>
        <w:t xml:space="preserve">ultrafiltration process. </w:t>
      </w:r>
      <w:r w:rsidR="00980B26">
        <w:rPr>
          <w:rFonts w:ascii="Times New Roman" w:hAnsi="Times New Roman"/>
          <w:sz w:val="24"/>
          <w:szCs w:val="24"/>
        </w:rPr>
        <w:t>Therefore, any damage to the nephrons will cause renal failure and influence the regular excretion of metabolic waste</w:t>
      </w:r>
      <w:r w:rsidR="00EF43CF">
        <w:rPr>
          <w:rFonts w:ascii="Times New Roman" w:hAnsi="Times New Roman"/>
          <w:sz w:val="24"/>
          <w:szCs w:val="24"/>
        </w:rPr>
        <w:t xml:space="preserve"> </w:t>
      </w:r>
      <w:r w:rsidR="000D6A0B" w:rsidRPr="000D6A0B">
        <w:rPr>
          <w:rFonts w:ascii="Times New Roman" w:hAnsi="Times New Roman"/>
          <w:sz w:val="24"/>
          <w:szCs w:val="24"/>
          <w:vertAlign w:val="superscript"/>
        </w:rPr>
        <w:t>7</w:t>
      </w:r>
      <w:r w:rsidR="003D484F">
        <w:rPr>
          <w:rFonts w:ascii="Times New Roman" w:hAnsi="Times New Roman"/>
          <w:sz w:val="24"/>
          <w:szCs w:val="24"/>
        </w:rPr>
        <w:t>.</w:t>
      </w:r>
      <w:r w:rsidR="00980B26">
        <w:rPr>
          <w:rFonts w:ascii="Times New Roman" w:hAnsi="Times New Roman"/>
          <w:sz w:val="24"/>
          <w:szCs w:val="24"/>
        </w:rPr>
        <w:t xml:space="preserve"> </w:t>
      </w:r>
    </w:p>
    <w:p w14:paraId="762BECE3" w14:textId="77777777" w:rsidR="00431F58" w:rsidRDefault="00431F58" w:rsidP="00431F58">
      <w:pPr>
        <w:spacing w:line="480" w:lineRule="auto"/>
        <w:rPr>
          <w:rFonts w:ascii="Times New Roman" w:hAnsi="Times New Roman" w:cs="Times New Roman"/>
          <w:b/>
          <w:sz w:val="24"/>
          <w:szCs w:val="24"/>
        </w:rPr>
      </w:pPr>
      <w:r>
        <w:rPr>
          <w:rFonts w:ascii="Times New Roman" w:hAnsi="Times New Roman" w:cs="Times New Roman"/>
          <w:b/>
          <w:sz w:val="24"/>
          <w:szCs w:val="24"/>
        </w:rPr>
        <w:t>MATERIALS AND METHOD</w:t>
      </w:r>
    </w:p>
    <w:p w14:paraId="0E2BB3EF" w14:textId="77777777" w:rsidR="005A64A2" w:rsidRDefault="00DA4049" w:rsidP="00431F58">
      <w:pPr>
        <w:spacing w:line="480" w:lineRule="auto"/>
        <w:jc w:val="both"/>
        <w:rPr>
          <w:rFonts w:ascii="Times New Roman" w:hAnsi="Times New Roman" w:cs="Times New Roman"/>
          <w:sz w:val="24"/>
          <w:szCs w:val="24"/>
        </w:rPr>
      </w:pPr>
      <w:r w:rsidRPr="00DA4049">
        <w:rPr>
          <w:rFonts w:ascii="Times New Roman" w:hAnsi="Times New Roman" w:cs="Times New Roman"/>
          <w:b/>
          <w:sz w:val="24"/>
          <w:szCs w:val="24"/>
        </w:rPr>
        <w:t>PROCUREMENT OF MATERIALS</w:t>
      </w:r>
      <w:r>
        <w:rPr>
          <w:rFonts w:ascii="Times New Roman" w:hAnsi="Times New Roman" w:cs="Times New Roman"/>
          <w:sz w:val="24"/>
          <w:szCs w:val="24"/>
        </w:rPr>
        <w:t>:</w:t>
      </w:r>
      <w:r w:rsidR="005A64A2" w:rsidRPr="005A64A2">
        <w:rPr>
          <w:rFonts w:ascii="Times New Roman" w:hAnsi="Times New Roman" w:cs="Times New Roman"/>
          <w:sz w:val="24"/>
          <w:szCs w:val="24"/>
        </w:rPr>
        <w:t xml:space="preserve"> Sodium cyanide, 98% purity, produced by Changsha </w:t>
      </w:r>
      <w:proofErr w:type="spellStart"/>
      <w:r w:rsidR="005A64A2" w:rsidRPr="005A64A2">
        <w:rPr>
          <w:rFonts w:ascii="Times New Roman" w:hAnsi="Times New Roman" w:cs="Times New Roman"/>
          <w:sz w:val="24"/>
          <w:szCs w:val="24"/>
        </w:rPr>
        <w:t>Hekang</w:t>
      </w:r>
      <w:proofErr w:type="spellEnd"/>
      <w:r w:rsidR="005A64A2" w:rsidRPr="005A64A2">
        <w:rPr>
          <w:rFonts w:ascii="Times New Roman" w:hAnsi="Times New Roman" w:cs="Times New Roman"/>
          <w:sz w:val="24"/>
          <w:szCs w:val="24"/>
        </w:rPr>
        <w:t xml:space="preserve"> Chemical Co. Ltd was purchased at </w:t>
      </w:r>
      <w:proofErr w:type="spellStart"/>
      <w:r w:rsidR="005A64A2" w:rsidRPr="005A64A2">
        <w:rPr>
          <w:rFonts w:ascii="Times New Roman" w:hAnsi="Times New Roman" w:cs="Times New Roman"/>
          <w:sz w:val="24"/>
          <w:szCs w:val="24"/>
        </w:rPr>
        <w:t>Decosmiller</w:t>
      </w:r>
      <w:proofErr w:type="spellEnd"/>
      <w:r w:rsidR="005A64A2" w:rsidRPr="005A64A2">
        <w:rPr>
          <w:rFonts w:ascii="Times New Roman" w:hAnsi="Times New Roman" w:cs="Times New Roman"/>
          <w:sz w:val="24"/>
          <w:szCs w:val="24"/>
        </w:rPr>
        <w:t xml:space="preserve"> Vent</w:t>
      </w:r>
      <w:r w:rsidR="005A64A2">
        <w:rPr>
          <w:rFonts w:ascii="Times New Roman" w:hAnsi="Times New Roman" w:cs="Times New Roman"/>
          <w:sz w:val="24"/>
          <w:szCs w:val="24"/>
        </w:rPr>
        <w:t xml:space="preserve">ures, </w:t>
      </w:r>
      <w:proofErr w:type="spellStart"/>
      <w:r w:rsidR="005A64A2">
        <w:rPr>
          <w:rFonts w:ascii="Times New Roman" w:hAnsi="Times New Roman" w:cs="Times New Roman"/>
          <w:sz w:val="24"/>
          <w:szCs w:val="24"/>
        </w:rPr>
        <w:t>Ogbete</w:t>
      </w:r>
      <w:proofErr w:type="spellEnd"/>
      <w:r w:rsidR="005A64A2">
        <w:rPr>
          <w:rFonts w:ascii="Times New Roman" w:hAnsi="Times New Roman" w:cs="Times New Roman"/>
          <w:sz w:val="24"/>
          <w:szCs w:val="24"/>
        </w:rPr>
        <w:t xml:space="preserve">, Enugu, Nigeria </w:t>
      </w:r>
      <w:r w:rsidRPr="00DA4049">
        <w:rPr>
          <w:rFonts w:ascii="Times New Roman" w:hAnsi="Times New Roman" w:cs="Times New Roman"/>
          <w:b/>
          <w:sz w:val="24"/>
          <w:szCs w:val="24"/>
        </w:rPr>
        <w:t>EXPERIMENTAL ANIMALS</w:t>
      </w:r>
      <w:r>
        <w:rPr>
          <w:rFonts w:ascii="Times New Roman" w:hAnsi="Times New Roman" w:cs="Times New Roman"/>
          <w:sz w:val="24"/>
          <w:szCs w:val="24"/>
        </w:rPr>
        <w:t>: Twenty-four (24</w:t>
      </w:r>
      <w:r w:rsidR="005A64A2" w:rsidRPr="005A64A2">
        <w:rPr>
          <w:rFonts w:ascii="Times New Roman" w:hAnsi="Times New Roman" w:cs="Times New Roman"/>
          <w:sz w:val="24"/>
          <w:szCs w:val="24"/>
        </w:rPr>
        <w:t xml:space="preserve">) rabbits were used for the experiment. The animals were purchased at Sandra Farm, </w:t>
      </w:r>
      <w:proofErr w:type="spellStart"/>
      <w:r w:rsidR="005A64A2" w:rsidRPr="005A64A2">
        <w:rPr>
          <w:rFonts w:ascii="Times New Roman" w:hAnsi="Times New Roman" w:cs="Times New Roman"/>
          <w:sz w:val="24"/>
          <w:szCs w:val="24"/>
        </w:rPr>
        <w:t>Oyigbo</w:t>
      </w:r>
      <w:proofErr w:type="spellEnd"/>
      <w:r w:rsidR="005A64A2" w:rsidRPr="005A64A2">
        <w:rPr>
          <w:rFonts w:ascii="Times New Roman" w:hAnsi="Times New Roman" w:cs="Times New Roman"/>
          <w:sz w:val="24"/>
          <w:szCs w:val="24"/>
        </w:rPr>
        <w:t>, Rivers state, Nigeria.</w:t>
      </w:r>
    </w:p>
    <w:p w14:paraId="3DA287DB" w14:textId="77777777" w:rsidR="00E91AFE" w:rsidRDefault="00DA4049" w:rsidP="00E91AFE">
      <w:pPr>
        <w:spacing w:line="480" w:lineRule="auto"/>
        <w:jc w:val="both"/>
        <w:rPr>
          <w:rFonts w:ascii="Times New Roman" w:hAnsi="Times New Roman" w:cs="Times New Roman"/>
          <w:sz w:val="24"/>
          <w:szCs w:val="24"/>
        </w:rPr>
      </w:pPr>
      <w:r w:rsidRPr="00710171">
        <w:rPr>
          <w:rFonts w:ascii="Times New Roman" w:hAnsi="Times New Roman" w:cs="Times New Roman"/>
          <w:b/>
          <w:sz w:val="24"/>
          <w:szCs w:val="24"/>
        </w:rPr>
        <w:t>PLACE AND DURATION OF STUDY</w:t>
      </w:r>
      <w:r w:rsidR="005A64A2" w:rsidRPr="005A64A2">
        <w:rPr>
          <w:rFonts w:ascii="Times New Roman" w:hAnsi="Times New Roman" w:cs="Times New Roman"/>
          <w:sz w:val="24"/>
          <w:szCs w:val="24"/>
        </w:rPr>
        <w:t>: this study was carried out at Animal House, Applied and Environmental Biology Department, Rivers State University, Port Harcourt, Rivers State, Nigeria, between April</w:t>
      </w:r>
      <w:r w:rsidR="005A64A2">
        <w:rPr>
          <w:rFonts w:ascii="Times New Roman" w:hAnsi="Times New Roman" w:cs="Times New Roman"/>
          <w:sz w:val="24"/>
          <w:szCs w:val="24"/>
        </w:rPr>
        <w:t>,</w:t>
      </w:r>
      <w:r w:rsidR="005A64A2" w:rsidRPr="005A64A2">
        <w:rPr>
          <w:rFonts w:ascii="Times New Roman" w:hAnsi="Times New Roman" w:cs="Times New Roman"/>
          <w:sz w:val="24"/>
          <w:szCs w:val="24"/>
        </w:rPr>
        <w:t xml:space="preserve"> 2020 </w:t>
      </w:r>
      <w:r>
        <w:rPr>
          <w:rFonts w:ascii="Times New Roman" w:hAnsi="Times New Roman" w:cs="Times New Roman"/>
          <w:sz w:val="24"/>
          <w:szCs w:val="24"/>
        </w:rPr>
        <w:t>and</w:t>
      </w:r>
      <w:r w:rsidR="005A64A2">
        <w:rPr>
          <w:rFonts w:ascii="Times New Roman" w:hAnsi="Times New Roman" w:cs="Times New Roman"/>
          <w:sz w:val="24"/>
          <w:szCs w:val="24"/>
        </w:rPr>
        <w:t xml:space="preserve"> November, 2020.</w:t>
      </w:r>
    </w:p>
    <w:p w14:paraId="1F42A099" w14:textId="77777777" w:rsidR="00D6004D" w:rsidRPr="00E91AFE" w:rsidRDefault="00D6004D" w:rsidP="00E91AFE">
      <w:pPr>
        <w:spacing w:line="480" w:lineRule="auto"/>
        <w:jc w:val="both"/>
        <w:rPr>
          <w:rFonts w:ascii="Times New Roman" w:hAnsi="Times New Roman" w:cs="Times New Roman"/>
          <w:sz w:val="24"/>
          <w:szCs w:val="24"/>
        </w:rPr>
      </w:pPr>
      <w:r>
        <w:rPr>
          <w:rFonts w:ascii="Times New Roman" w:hAnsi="Times New Roman" w:cs="Times New Roman"/>
          <w:b/>
          <w:sz w:val="24"/>
          <w:szCs w:val="24"/>
        </w:rPr>
        <w:t>Ethical Approval</w:t>
      </w:r>
    </w:p>
    <w:p w14:paraId="5A17BE5C" w14:textId="77777777" w:rsidR="00D6004D" w:rsidRDefault="00D6004D" w:rsidP="00D6004D">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The Animal Welfare Act of 1985 of the United State of America for research and Institutional Animal Care and Use Committee (IACUC) protocol were strictly adhered to. All experiments have been examined and approved by the appropriate ethic committee.</w:t>
      </w:r>
    </w:p>
    <w:p w14:paraId="5BEEB2C7" w14:textId="77777777" w:rsidR="00AE6D28" w:rsidRDefault="00E52811" w:rsidP="00431F58">
      <w:pPr>
        <w:spacing w:line="480" w:lineRule="auto"/>
        <w:jc w:val="both"/>
        <w:rPr>
          <w:rFonts w:ascii="Times New Roman" w:hAnsi="Times New Roman" w:cs="Times New Roman"/>
          <w:sz w:val="24"/>
          <w:szCs w:val="24"/>
        </w:rPr>
      </w:pPr>
      <w:r w:rsidRPr="005D2F22">
        <w:rPr>
          <w:rFonts w:ascii="Times New Roman" w:hAnsi="Times New Roman" w:cs="Times New Roman"/>
          <w:b/>
          <w:sz w:val="24"/>
          <w:szCs w:val="24"/>
        </w:rPr>
        <w:t>STUDY DESIGN:</w:t>
      </w:r>
      <w:r w:rsidRPr="005D2F22">
        <w:rPr>
          <w:rFonts w:ascii="Times New Roman" w:hAnsi="Times New Roman" w:cs="Times New Roman"/>
          <w:sz w:val="24"/>
          <w:szCs w:val="24"/>
        </w:rPr>
        <w:t xml:space="preserve"> A total of twenty-four (24</w:t>
      </w:r>
      <w:r w:rsidR="003A282C" w:rsidRPr="005D2F22">
        <w:rPr>
          <w:rFonts w:ascii="Times New Roman" w:hAnsi="Times New Roman" w:cs="Times New Roman"/>
          <w:sz w:val="24"/>
          <w:szCs w:val="24"/>
        </w:rPr>
        <w:t>) rabbit</w:t>
      </w:r>
      <w:r w:rsidRPr="005D2F22">
        <w:rPr>
          <w:rFonts w:ascii="Times New Roman" w:hAnsi="Times New Roman" w:cs="Times New Roman"/>
          <w:sz w:val="24"/>
          <w:szCs w:val="24"/>
        </w:rPr>
        <w:t xml:space="preserve">s </w:t>
      </w:r>
      <w:proofErr w:type="gramStart"/>
      <w:r w:rsidRPr="005D2F22">
        <w:rPr>
          <w:rFonts w:ascii="Times New Roman" w:hAnsi="Times New Roman" w:cs="Times New Roman"/>
          <w:sz w:val="24"/>
          <w:szCs w:val="24"/>
        </w:rPr>
        <w:t>constitute</w:t>
      </w:r>
      <w:proofErr w:type="gramEnd"/>
      <w:r w:rsidR="003A282C" w:rsidRPr="005D2F22">
        <w:rPr>
          <w:rFonts w:ascii="Times New Roman" w:hAnsi="Times New Roman" w:cs="Times New Roman"/>
          <w:sz w:val="24"/>
          <w:szCs w:val="24"/>
        </w:rPr>
        <w:t xml:space="preserve"> the sample size. The rabbits used were divided into three groups with matched control, four rabbits were assigned to each group and the study lasted for 90 days as follows: Group one (0-30) days, Group two (0-60) days, Group three (0-90) days. With the exception of the control rabbits, others were treated daily with 0.05 mg/kg sodium cyanide for 30, 60 and 90 days respectively. The matched control and treated rabbits were given water ad-libitum and feed daily. Cardiac blood samples were extracted from the rabbits using standard proced</w:t>
      </w:r>
      <w:r w:rsidR="00373D8E">
        <w:rPr>
          <w:rFonts w:ascii="Times New Roman" w:hAnsi="Times New Roman" w:cs="Times New Roman"/>
          <w:sz w:val="24"/>
          <w:szCs w:val="24"/>
        </w:rPr>
        <w:t>ure. The blood samples and kidney</w:t>
      </w:r>
      <w:r w:rsidR="003A282C" w:rsidRPr="005D2F22">
        <w:rPr>
          <w:rFonts w:ascii="Times New Roman" w:hAnsi="Times New Roman" w:cs="Times New Roman"/>
          <w:sz w:val="24"/>
          <w:szCs w:val="24"/>
        </w:rPr>
        <w:t xml:space="preserve"> were taken for analysis and histological investigations at day 30, 60 and 90 respectively. Biochemical parameters investigated include </w:t>
      </w:r>
      <w:r w:rsidR="00373D8E">
        <w:rPr>
          <w:rFonts w:ascii="Times New Roman" w:hAnsi="Times New Roman" w:cs="Times New Roman"/>
          <w:sz w:val="24"/>
          <w:szCs w:val="24"/>
        </w:rPr>
        <w:t>electrolytes (Na</w:t>
      </w:r>
      <w:r w:rsidR="00373D8E" w:rsidRPr="002927C5">
        <w:rPr>
          <w:rFonts w:ascii="Times New Roman" w:hAnsi="Times New Roman" w:cs="Times New Roman"/>
          <w:sz w:val="24"/>
          <w:szCs w:val="24"/>
          <w:vertAlign w:val="superscript"/>
        </w:rPr>
        <w:t>+</w:t>
      </w:r>
      <w:r w:rsidR="00373D8E">
        <w:rPr>
          <w:rFonts w:ascii="Times New Roman" w:hAnsi="Times New Roman" w:cs="Times New Roman"/>
          <w:sz w:val="24"/>
          <w:szCs w:val="24"/>
        </w:rPr>
        <w:t>, K</w:t>
      </w:r>
      <w:r w:rsidR="00373D8E" w:rsidRPr="002927C5">
        <w:rPr>
          <w:rFonts w:ascii="Times New Roman" w:hAnsi="Times New Roman" w:cs="Times New Roman"/>
          <w:sz w:val="24"/>
          <w:szCs w:val="24"/>
          <w:vertAlign w:val="superscript"/>
        </w:rPr>
        <w:t>+</w:t>
      </w:r>
      <w:r w:rsidR="004355EA">
        <w:rPr>
          <w:rFonts w:ascii="Times New Roman" w:hAnsi="Times New Roman" w:cs="Times New Roman"/>
          <w:sz w:val="24"/>
          <w:szCs w:val="24"/>
        </w:rPr>
        <w:t>,</w:t>
      </w:r>
      <w:r w:rsidR="00373D8E">
        <w:rPr>
          <w:rFonts w:ascii="Times New Roman" w:hAnsi="Times New Roman" w:cs="Times New Roman"/>
          <w:sz w:val="24"/>
          <w:szCs w:val="24"/>
        </w:rPr>
        <w:t xml:space="preserve"> Cl</w:t>
      </w:r>
      <w:r w:rsidR="00373D8E" w:rsidRPr="002927C5">
        <w:rPr>
          <w:rFonts w:ascii="Times New Roman" w:hAnsi="Times New Roman" w:cs="Times New Roman"/>
          <w:sz w:val="24"/>
          <w:szCs w:val="24"/>
          <w:vertAlign w:val="superscript"/>
        </w:rPr>
        <w:t>-</w:t>
      </w:r>
      <w:r w:rsidR="00373D8E">
        <w:rPr>
          <w:rFonts w:ascii="Times New Roman" w:hAnsi="Times New Roman" w:cs="Times New Roman"/>
          <w:sz w:val="24"/>
          <w:szCs w:val="24"/>
        </w:rPr>
        <w:t>), urea, creatinine and</w:t>
      </w:r>
      <w:r w:rsidR="00373D8E" w:rsidRPr="00F6510E">
        <w:rPr>
          <w:rFonts w:ascii="Times New Roman" w:eastAsia="Times New Roman" w:hAnsi="Times New Roman" w:cs="Times New Roman"/>
          <w:sz w:val="24"/>
          <w:szCs w:val="24"/>
        </w:rPr>
        <w:t xml:space="preserve"> </w:t>
      </w:r>
      <w:r w:rsidR="00373D8E" w:rsidRPr="00F6510E">
        <w:rPr>
          <w:rFonts w:ascii="Times New Roman" w:eastAsia="Times New Roman" w:hAnsi="Times New Roman" w:cs="Times New Roman"/>
          <w:sz w:val="24"/>
          <w:szCs w:val="24"/>
        </w:rPr>
        <w:lastRenderedPageBreak/>
        <w:t>Kidney Injury Molecule</w:t>
      </w:r>
      <w:r w:rsidR="00373D8E">
        <w:rPr>
          <w:rFonts w:ascii="Times New Roman" w:hAnsi="Times New Roman" w:cs="Times New Roman"/>
          <w:sz w:val="24"/>
          <w:szCs w:val="24"/>
        </w:rPr>
        <w:t>-1 (KIM-1)</w:t>
      </w:r>
      <w:r w:rsidR="003A282C" w:rsidRPr="005D2F22">
        <w:rPr>
          <w:rFonts w:ascii="Times New Roman" w:hAnsi="Times New Roman" w:cs="Times New Roman"/>
          <w:sz w:val="24"/>
          <w:szCs w:val="24"/>
        </w:rPr>
        <w:t xml:space="preserve">. All animals used for the study were handled in compliance with the guide to the care and use of animals in research and teaching. </w:t>
      </w:r>
    </w:p>
    <w:p w14:paraId="6F4D5096" w14:textId="77777777" w:rsidR="00F97C04" w:rsidRDefault="00AE6D28" w:rsidP="00F97C04">
      <w:pPr>
        <w:spacing w:line="480" w:lineRule="auto"/>
        <w:jc w:val="both"/>
        <w:rPr>
          <w:rFonts w:ascii="Times New Roman" w:hAnsi="Times New Roman" w:cs="Times New Roman"/>
          <w:sz w:val="24"/>
          <w:szCs w:val="24"/>
        </w:rPr>
      </w:pPr>
      <w:r w:rsidRPr="00AE6D28">
        <w:rPr>
          <w:rFonts w:ascii="Times New Roman" w:hAnsi="Times New Roman" w:cs="Times New Roman"/>
          <w:b/>
          <w:sz w:val="24"/>
          <w:szCs w:val="24"/>
        </w:rPr>
        <w:t>BIOCHEMICAL ANALYSIS</w:t>
      </w:r>
      <w:r>
        <w:rPr>
          <w:rFonts w:ascii="Times New Roman" w:hAnsi="Times New Roman" w:cs="Times New Roman"/>
          <w:sz w:val="24"/>
          <w:szCs w:val="24"/>
        </w:rPr>
        <w:t>:</w:t>
      </w:r>
      <w:r w:rsidR="003A282C" w:rsidRPr="005D2F22">
        <w:rPr>
          <w:rFonts w:ascii="Times New Roman" w:hAnsi="Times New Roman" w:cs="Times New Roman"/>
          <w:sz w:val="24"/>
          <w:szCs w:val="24"/>
        </w:rPr>
        <w:t xml:space="preserve"> Blood samples for biochemical analyses were collected from the rabbits and serum separated by centrifugation at 3000 rpm for 5 minutes. Serum parameters were measured using </w:t>
      </w:r>
      <w:proofErr w:type="spellStart"/>
      <w:r w:rsidR="003A282C" w:rsidRPr="005D2F22">
        <w:rPr>
          <w:rFonts w:ascii="Times New Roman" w:hAnsi="Times New Roman" w:cs="Times New Roman"/>
          <w:sz w:val="24"/>
          <w:szCs w:val="24"/>
        </w:rPr>
        <w:t>Randox</w:t>
      </w:r>
      <w:proofErr w:type="spellEnd"/>
      <w:r w:rsidR="003A282C" w:rsidRPr="005D2F22">
        <w:rPr>
          <w:rFonts w:ascii="Times New Roman" w:hAnsi="Times New Roman" w:cs="Times New Roman"/>
          <w:sz w:val="24"/>
          <w:szCs w:val="24"/>
        </w:rPr>
        <w:t xml:space="preserve"> Laboratories UK reagent kits</w:t>
      </w:r>
      <w:r>
        <w:rPr>
          <w:rFonts w:ascii="Times New Roman" w:hAnsi="Times New Roman" w:cs="Times New Roman"/>
          <w:sz w:val="24"/>
          <w:szCs w:val="24"/>
        </w:rPr>
        <w:t xml:space="preserve"> and Ekrat-0201 kits</w:t>
      </w:r>
      <w:r w:rsidR="003A282C" w:rsidRPr="005D2F22">
        <w:rPr>
          <w:rFonts w:ascii="Times New Roman" w:hAnsi="Times New Roman" w:cs="Times New Roman"/>
          <w:sz w:val="24"/>
          <w:szCs w:val="24"/>
        </w:rPr>
        <w:t xml:space="preserve">. </w:t>
      </w:r>
      <w:r w:rsidR="009B115F">
        <w:rPr>
          <w:rFonts w:ascii="Times New Roman" w:hAnsi="Times New Roman" w:cs="Times New Roman"/>
          <w:sz w:val="24"/>
          <w:szCs w:val="24"/>
        </w:rPr>
        <w:t>Electrolytes (Na</w:t>
      </w:r>
      <w:r w:rsidR="009B115F" w:rsidRPr="002927C5">
        <w:rPr>
          <w:rFonts w:ascii="Times New Roman" w:hAnsi="Times New Roman" w:cs="Times New Roman"/>
          <w:sz w:val="24"/>
          <w:szCs w:val="24"/>
          <w:vertAlign w:val="superscript"/>
        </w:rPr>
        <w:t>+</w:t>
      </w:r>
      <w:r w:rsidR="009B115F">
        <w:rPr>
          <w:rFonts w:ascii="Times New Roman" w:hAnsi="Times New Roman" w:cs="Times New Roman"/>
          <w:sz w:val="24"/>
          <w:szCs w:val="24"/>
        </w:rPr>
        <w:t>, K</w:t>
      </w:r>
      <w:r w:rsidR="009B115F" w:rsidRPr="002927C5">
        <w:rPr>
          <w:rFonts w:ascii="Times New Roman" w:hAnsi="Times New Roman" w:cs="Times New Roman"/>
          <w:sz w:val="24"/>
          <w:szCs w:val="24"/>
          <w:vertAlign w:val="superscript"/>
        </w:rPr>
        <w:t>+</w:t>
      </w:r>
      <w:r w:rsidR="009B115F">
        <w:rPr>
          <w:rFonts w:ascii="Times New Roman" w:hAnsi="Times New Roman" w:cs="Times New Roman"/>
          <w:sz w:val="24"/>
          <w:szCs w:val="24"/>
        </w:rPr>
        <w:t>, Cl</w:t>
      </w:r>
      <w:r w:rsidR="009B115F" w:rsidRPr="002927C5">
        <w:rPr>
          <w:rFonts w:ascii="Times New Roman" w:hAnsi="Times New Roman" w:cs="Times New Roman"/>
          <w:sz w:val="24"/>
          <w:szCs w:val="24"/>
          <w:vertAlign w:val="superscript"/>
        </w:rPr>
        <w:t>-</w:t>
      </w:r>
      <w:r w:rsidR="00373D8E">
        <w:rPr>
          <w:rFonts w:ascii="Times New Roman" w:hAnsi="Times New Roman" w:cs="Times New Roman"/>
          <w:sz w:val="24"/>
          <w:szCs w:val="24"/>
        </w:rPr>
        <w:t xml:space="preserve">), urea, creatinine </w:t>
      </w:r>
      <w:r w:rsidR="009B115F">
        <w:rPr>
          <w:rFonts w:ascii="Times New Roman" w:hAnsi="Times New Roman" w:cs="Times New Roman"/>
          <w:sz w:val="24"/>
          <w:szCs w:val="24"/>
        </w:rPr>
        <w:t>concentrations were</w:t>
      </w:r>
      <w:r w:rsidR="003A282C" w:rsidRPr="005D2F22">
        <w:rPr>
          <w:rFonts w:ascii="Times New Roman" w:hAnsi="Times New Roman" w:cs="Times New Roman"/>
          <w:sz w:val="24"/>
          <w:szCs w:val="24"/>
        </w:rPr>
        <w:t xml:space="preserve"> measured using colorimetric method. </w:t>
      </w:r>
      <w:r w:rsidR="00373D8E" w:rsidRPr="00F6510E">
        <w:rPr>
          <w:rFonts w:ascii="Times New Roman" w:eastAsia="Times New Roman" w:hAnsi="Times New Roman" w:cs="Times New Roman"/>
          <w:sz w:val="24"/>
          <w:szCs w:val="24"/>
        </w:rPr>
        <w:t>Kidney InjuryMolecule</w:t>
      </w:r>
      <w:r w:rsidR="00373D8E">
        <w:rPr>
          <w:rFonts w:ascii="Times New Roman" w:hAnsi="Times New Roman" w:cs="Times New Roman"/>
          <w:sz w:val="24"/>
          <w:szCs w:val="24"/>
        </w:rPr>
        <w:t>-1(KIM-1) was</w:t>
      </w:r>
      <w:r w:rsidR="003A282C" w:rsidRPr="005D2F22">
        <w:rPr>
          <w:rFonts w:ascii="Times New Roman" w:hAnsi="Times New Roman" w:cs="Times New Roman"/>
          <w:sz w:val="24"/>
          <w:szCs w:val="24"/>
        </w:rPr>
        <w:t xml:space="preserve"> analyzed using Enzyme linked immunosorbent Assay (ELISA</w:t>
      </w:r>
      <w:r w:rsidR="009B115F">
        <w:rPr>
          <w:rFonts w:ascii="Times New Roman" w:hAnsi="Times New Roman" w:cs="Times New Roman"/>
          <w:sz w:val="24"/>
          <w:szCs w:val="24"/>
        </w:rPr>
        <w:t>) method.</w:t>
      </w:r>
    </w:p>
    <w:p w14:paraId="04197199" w14:textId="77777777" w:rsidR="002D289D" w:rsidRPr="00F97C04" w:rsidRDefault="002D289D" w:rsidP="00F97C04">
      <w:pPr>
        <w:spacing w:line="480" w:lineRule="auto"/>
        <w:jc w:val="both"/>
        <w:rPr>
          <w:rFonts w:ascii="Times New Roman" w:hAnsi="Times New Roman" w:cs="Times New Roman"/>
          <w:sz w:val="24"/>
          <w:szCs w:val="24"/>
        </w:rPr>
      </w:pPr>
      <w:r w:rsidRPr="00D65DF1">
        <w:rPr>
          <w:rFonts w:ascii="Times New Roman" w:hAnsi="Times New Roman" w:cs="Times New Roman"/>
          <w:b/>
          <w:sz w:val="24"/>
          <w:szCs w:val="24"/>
        </w:rPr>
        <w:t>Histological Analysis</w:t>
      </w:r>
    </w:p>
    <w:p w14:paraId="5F27ABA9" w14:textId="77777777" w:rsidR="00AB186E" w:rsidRPr="009171E9" w:rsidRDefault="002D289D" w:rsidP="00AB186E">
      <w:pPr>
        <w:autoSpaceDE w:val="0"/>
        <w:autoSpaceDN w:val="0"/>
        <w:adjustRightInd w:val="0"/>
        <w:spacing w:after="0" w:line="480" w:lineRule="auto"/>
        <w:jc w:val="both"/>
        <w:rPr>
          <w:rFonts w:ascii="Times New Roman" w:hAnsi="Times New Roman" w:cs="Times New Roman"/>
          <w:sz w:val="24"/>
          <w:szCs w:val="24"/>
          <w:lang w:val="en-GB"/>
        </w:rPr>
      </w:pPr>
      <w:r w:rsidRPr="00D65DF1">
        <w:rPr>
          <w:rFonts w:ascii="Times New Roman" w:hAnsi="Times New Roman" w:cs="Times New Roman"/>
          <w:color w:val="000000"/>
          <w:sz w:val="24"/>
          <w:szCs w:val="24"/>
          <w:shd w:val="clear" w:color="auto" w:fill="FFFFFF"/>
        </w:rPr>
        <w:t xml:space="preserve">The kidneys were harvested </w:t>
      </w:r>
      <w:r w:rsidR="00AB186E">
        <w:rPr>
          <w:rFonts w:ascii="Times New Roman" w:hAnsi="Times New Roman" w:cs="Times New Roman"/>
          <w:color w:val="000000"/>
          <w:sz w:val="24"/>
          <w:szCs w:val="24"/>
          <w:shd w:val="clear" w:color="auto" w:fill="FFFFFF"/>
        </w:rPr>
        <w:t>and processed for histological analysis.</w:t>
      </w:r>
      <w:r w:rsidRPr="00D65DF1">
        <w:rPr>
          <w:rFonts w:ascii="Times New Roman" w:hAnsi="Times New Roman" w:cs="Times New Roman"/>
          <w:color w:val="000000"/>
          <w:sz w:val="24"/>
          <w:szCs w:val="24"/>
          <w:shd w:val="clear" w:color="auto" w:fill="FFFFFF"/>
        </w:rPr>
        <w:t xml:space="preserve"> </w:t>
      </w:r>
      <w:r w:rsidR="00AB186E" w:rsidRPr="009171E9">
        <w:rPr>
          <w:rFonts w:ascii="Times New Roman" w:hAnsi="Times New Roman" w:cs="Times New Roman"/>
          <w:sz w:val="24"/>
          <w:szCs w:val="24"/>
          <w:lang w:val="en-GB"/>
        </w:rPr>
        <w:t xml:space="preserve">Sections on slide were examined and photomicrographs captured with X400 objective lens using the </w:t>
      </w:r>
      <w:proofErr w:type="spellStart"/>
      <w:r w:rsidR="00AB186E" w:rsidRPr="009171E9">
        <w:rPr>
          <w:rFonts w:ascii="Times New Roman" w:hAnsi="Times New Roman" w:cs="Times New Roman"/>
          <w:sz w:val="24"/>
          <w:szCs w:val="24"/>
          <w:lang w:val="en-GB"/>
        </w:rPr>
        <w:t>ScopeTek</w:t>
      </w:r>
      <w:proofErr w:type="spellEnd"/>
      <w:r w:rsidR="00AB186E" w:rsidRPr="009171E9">
        <w:rPr>
          <w:rFonts w:ascii="Times New Roman" w:hAnsi="Times New Roman" w:cs="Times New Roman"/>
          <w:sz w:val="24"/>
          <w:szCs w:val="24"/>
          <w:lang w:val="en-GB"/>
        </w:rPr>
        <w:t>™ device and software v</w:t>
      </w:r>
      <w:r w:rsidR="00AB186E">
        <w:rPr>
          <w:rFonts w:ascii="Times New Roman" w:hAnsi="Times New Roman" w:cs="Times New Roman"/>
          <w:sz w:val="24"/>
          <w:szCs w:val="24"/>
          <w:lang w:val="en-GB"/>
        </w:rPr>
        <w:t>i</w:t>
      </w:r>
      <w:r w:rsidR="00AB186E" w:rsidRPr="009171E9">
        <w:rPr>
          <w:rFonts w:ascii="Times New Roman" w:hAnsi="Times New Roman" w:cs="Times New Roman"/>
          <w:sz w:val="24"/>
          <w:szCs w:val="24"/>
          <w:lang w:val="en-GB"/>
        </w:rPr>
        <w:t>.3.</w:t>
      </w:r>
    </w:p>
    <w:p w14:paraId="0FF14B43" w14:textId="77777777" w:rsidR="00431F58" w:rsidRDefault="00431F58" w:rsidP="00431F5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Statistical analysis </w:t>
      </w:r>
    </w:p>
    <w:p w14:paraId="36E10D27" w14:textId="77777777" w:rsidR="00431F58" w:rsidRDefault="00431F58" w:rsidP="00431F5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are expressed as mean ± SD. Statistical differences between groups were computed using Graph pad prism 7.0 </w:t>
      </w:r>
      <w:r w:rsidR="00D6004D">
        <w:rPr>
          <w:rFonts w:ascii="Times New Roman" w:hAnsi="Times New Roman" w:cs="Times New Roman"/>
          <w:sz w:val="24"/>
          <w:szCs w:val="24"/>
        </w:rPr>
        <w:t>versions</w:t>
      </w:r>
      <w:r>
        <w:rPr>
          <w:rFonts w:ascii="Times New Roman" w:hAnsi="Times New Roman" w:cs="Times New Roman"/>
          <w:sz w:val="24"/>
          <w:szCs w:val="24"/>
        </w:rPr>
        <w:t>. Results were analyzed using one-way analysis of variance (ANOVA) and significance between groups was taken at p &lt; 0.05.</w:t>
      </w:r>
    </w:p>
    <w:p w14:paraId="72C25367" w14:textId="77777777" w:rsidR="00431F58" w:rsidRDefault="00431F58" w:rsidP="00431F58">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24068623" w14:textId="77777777" w:rsidR="00681837" w:rsidRPr="00681837" w:rsidRDefault="00681837" w:rsidP="00431F58">
      <w:pPr>
        <w:spacing w:line="480" w:lineRule="auto"/>
        <w:jc w:val="both"/>
        <w:rPr>
          <w:rFonts w:ascii="Times New Roman" w:hAnsi="Times New Roman" w:cs="Times New Roman"/>
          <w:sz w:val="24"/>
          <w:szCs w:val="24"/>
        </w:rPr>
      </w:pPr>
      <w:r>
        <w:rPr>
          <w:rFonts w:ascii="Times New Roman" w:hAnsi="Times New Roman" w:cs="Times New Roman"/>
          <w:sz w:val="24"/>
          <w:szCs w:val="24"/>
        </w:rPr>
        <w:t>Biochemical changes for kidney</w:t>
      </w:r>
      <w:r w:rsidRPr="00681837">
        <w:rPr>
          <w:rFonts w:ascii="Times New Roman" w:hAnsi="Times New Roman" w:cs="Times New Roman"/>
          <w:sz w:val="24"/>
          <w:szCs w:val="24"/>
        </w:rPr>
        <w:t xml:space="preserve"> parameters for rabbits given the daily oral of 0.05mg/kg sodium cyanide for thirty days, sixty days and ninety days are presented in table 1, 2 and 3.</w:t>
      </w:r>
      <w:r>
        <w:rPr>
          <w:rFonts w:ascii="Times New Roman" w:hAnsi="Times New Roman" w:cs="Times New Roman"/>
          <w:sz w:val="24"/>
          <w:szCs w:val="24"/>
        </w:rPr>
        <w:t xml:space="preserve"> The results showed that after the treatment period, the concentrations of electrolytes (Na</w:t>
      </w:r>
      <w:r w:rsidRPr="002927C5">
        <w:rPr>
          <w:rFonts w:ascii="Times New Roman" w:hAnsi="Times New Roman" w:cs="Times New Roman"/>
          <w:sz w:val="24"/>
          <w:szCs w:val="24"/>
          <w:vertAlign w:val="superscript"/>
        </w:rPr>
        <w:t>+</w:t>
      </w:r>
      <w:r>
        <w:rPr>
          <w:rFonts w:ascii="Times New Roman" w:hAnsi="Times New Roman" w:cs="Times New Roman"/>
          <w:sz w:val="24"/>
          <w:szCs w:val="24"/>
        </w:rPr>
        <w:t>, K</w:t>
      </w:r>
      <w:r w:rsidRPr="002927C5">
        <w:rPr>
          <w:rFonts w:ascii="Times New Roman" w:hAnsi="Times New Roman" w:cs="Times New Roman"/>
          <w:sz w:val="24"/>
          <w:szCs w:val="24"/>
          <w:vertAlign w:val="superscript"/>
        </w:rPr>
        <w:t>+</w:t>
      </w:r>
      <w:r>
        <w:rPr>
          <w:rFonts w:ascii="Times New Roman" w:hAnsi="Times New Roman" w:cs="Times New Roman"/>
          <w:sz w:val="24"/>
          <w:szCs w:val="24"/>
        </w:rPr>
        <w:t>, Cl</w:t>
      </w:r>
      <w:r w:rsidRPr="002927C5">
        <w:rPr>
          <w:rFonts w:ascii="Times New Roman" w:hAnsi="Times New Roman" w:cs="Times New Roman"/>
          <w:sz w:val="24"/>
          <w:szCs w:val="24"/>
          <w:vertAlign w:val="superscript"/>
        </w:rPr>
        <w:t>-</w:t>
      </w:r>
      <w:r>
        <w:rPr>
          <w:rFonts w:ascii="Times New Roman" w:hAnsi="Times New Roman" w:cs="Times New Roman"/>
          <w:sz w:val="24"/>
          <w:szCs w:val="24"/>
        </w:rPr>
        <w:t>), urea, creatinine and</w:t>
      </w:r>
      <w:r w:rsidRPr="00F6510E">
        <w:rPr>
          <w:rFonts w:ascii="Times New Roman" w:eastAsia="Times New Roman" w:hAnsi="Times New Roman" w:cs="Times New Roman"/>
          <w:sz w:val="24"/>
          <w:szCs w:val="24"/>
        </w:rPr>
        <w:t xml:space="preserve"> Kidney Injury Molecule</w:t>
      </w:r>
      <w:r>
        <w:rPr>
          <w:rFonts w:ascii="Times New Roman" w:hAnsi="Times New Roman" w:cs="Times New Roman"/>
          <w:sz w:val="24"/>
          <w:szCs w:val="24"/>
        </w:rPr>
        <w:t xml:space="preserve">-1 (KIM-1) significantly (p&lt; 0.05) increased compared to the control. </w:t>
      </w:r>
    </w:p>
    <w:p w14:paraId="2954BFF6" w14:textId="77777777" w:rsidR="0076292F" w:rsidRPr="00B23C6B" w:rsidRDefault="0076292F" w:rsidP="0076292F">
      <w:pPr>
        <w:ind w:left="360"/>
        <w:jc w:val="both"/>
        <w:rPr>
          <w:rFonts w:ascii="Times New Roman" w:hAnsi="Times New Roman" w:cs="Times New Roman"/>
          <w:b/>
          <w:sz w:val="24"/>
        </w:rPr>
      </w:pPr>
      <w:r w:rsidRPr="00B23C6B">
        <w:rPr>
          <w:rFonts w:ascii="Times New Roman" w:hAnsi="Times New Roman" w:cs="Times New Roman"/>
          <w:b/>
          <w:sz w:val="24"/>
        </w:rPr>
        <w:lastRenderedPageBreak/>
        <w:t xml:space="preserve">Table </w:t>
      </w:r>
      <w:proofErr w:type="gramStart"/>
      <w:r w:rsidR="00F43495">
        <w:rPr>
          <w:rFonts w:ascii="Times New Roman" w:hAnsi="Times New Roman" w:cs="Times New Roman"/>
          <w:b/>
          <w:sz w:val="24"/>
        </w:rPr>
        <w:t>1.</w:t>
      </w:r>
      <w:r w:rsidRPr="00B23C6B">
        <w:rPr>
          <w:rFonts w:ascii="Times New Roman" w:hAnsi="Times New Roman" w:cs="Times New Roman"/>
          <w:b/>
          <w:sz w:val="24"/>
        </w:rPr>
        <w:t>Mean</w:t>
      </w:r>
      <w:proofErr w:type="gramEnd"/>
      <w:r w:rsidRPr="00B23C6B">
        <w:rPr>
          <w:rFonts w:ascii="Times New Roman" w:hAnsi="Times New Roman" w:cs="Times New Roman"/>
          <w:b/>
          <w:sz w:val="24"/>
        </w:rPr>
        <w:t xml:space="preserve"> ±SD of Renal </w:t>
      </w:r>
      <w:r>
        <w:rPr>
          <w:rFonts w:ascii="Times New Roman" w:hAnsi="Times New Roman" w:cs="Times New Roman"/>
          <w:b/>
          <w:sz w:val="24"/>
        </w:rPr>
        <w:t>Parameters of Rabbits</w:t>
      </w:r>
      <w:r w:rsidRPr="00B23C6B">
        <w:rPr>
          <w:rFonts w:ascii="Times New Roman" w:hAnsi="Times New Roman" w:cs="Times New Roman"/>
          <w:b/>
          <w:sz w:val="24"/>
        </w:rPr>
        <w:t xml:space="preserve"> Treated with</w:t>
      </w:r>
      <w:r>
        <w:rPr>
          <w:rFonts w:ascii="Times New Roman" w:hAnsi="Times New Roman" w:cs="Times New Roman"/>
          <w:b/>
          <w:sz w:val="24"/>
        </w:rPr>
        <w:t xml:space="preserve"> 0.05 mg/kg sodium cyanide</w:t>
      </w:r>
      <w:r w:rsidRPr="00B23C6B">
        <w:rPr>
          <w:rFonts w:ascii="Times New Roman" w:hAnsi="Times New Roman" w:cs="Times New Roman"/>
          <w:b/>
          <w:sz w:val="24"/>
        </w:rPr>
        <w:t xml:space="preserve"> for 30 Days </w:t>
      </w:r>
    </w:p>
    <w:tbl>
      <w:tblPr>
        <w:tblStyle w:val="TableGrid"/>
        <w:tblW w:w="0" w:type="auto"/>
        <w:tblInd w:w="360" w:type="dxa"/>
        <w:tblLook w:val="04A0" w:firstRow="1" w:lastRow="0" w:firstColumn="1" w:lastColumn="0" w:noHBand="0" w:noVBand="1"/>
      </w:tblPr>
      <w:tblGrid>
        <w:gridCol w:w="536"/>
        <w:gridCol w:w="1325"/>
        <w:gridCol w:w="1256"/>
        <w:gridCol w:w="1050"/>
        <w:gridCol w:w="1256"/>
        <w:gridCol w:w="1153"/>
        <w:gridCol w:w="1050"/>
        <w:gridCol w:w="1256"/>
      </w:tblGrid>
      <w:tr w:rsidR="00247774" w14:paraId="0CC27A89" w14:textId="77777777" w:rsidTr="00247774">
        <w:trPr>
          <w:gridAfter w:val="6"/>
          <w:wAfter w:w="6267" w:type="dxa"/>
          <w:trHeight w:val="517"/>
        </w:trPr>
        <w:tc>
          <w:tcPr>
            <w:tcW w:w="496" w:type="dxa"/>
            <w:vMerge w:val="restart"/>
          </w:tcPr>
          <w:p w14:paraId="335512A4"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S/N</w:t>
            </w:r>
          </w:p>
        </w:tc>
        <w:tc>
          <w:tcPr>
            <w:tcW w:w="1179" w:type="dxa"/>
            <w:vMerge w:val="restart"/>
          </w:tcPr>
          <w:p w14:paraId="61B8E1FC"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Experimental Groups</w:t>
            </w:r>
          </w:p>
        </w:tc>
      </w:tr>
      <w:tr w:rsidR="00247774" w14:paraId="10682D54" w14:textId="77777777" w:rsidTr="00247774">
        <w:trPr>
          <w:trHeight w:val="767"/>
        </w:trPr>
        <w:tc>
          <w:tcPr>
            <w:tcW w:w="496" w:type="dxa"/>
            <w:vMerge/>
          </w:tcPr>
          <w:p w14:paraId="1BE38229" w14:textId="77777777" w:rsidR="00247774" w:rsidRDefault="00247774" w:rsidP="00047932">
            <w:pPr>
              <w:jc w:val="center"/>
              <w:rPr>
                <w:rFonts w:ascii="Times New Roman" w:hAnsi="Times New Roman" w:cs="Times New Roman"/>
                <w:sz w:val="24"/>
              </w:rPr>
            </w:pPr>
          </w:p>
        </w:tc>
        <w:tc>
          <w:tcPr>
            <w:tcW w:w="1179" w:type="dxa"/>
            <w:vMerge/>
          </w:tcPr>
          <w:p w14:paraId="02050EB4" w14:textId="77777777" w:rsidR="00247774" w:rsidRDefault="00247774" w:rsidP="00047932">
            <w:pPr>
              <w:jc w:val="center"/>
              <w:rPr>
                <w:rFonts w:ascii="Times New Roman" w:hAnsi="Times New Roman" w:cs="Times New Roman"/>
                <w:sz w:val="24"/>
              </w:rPr>
            </w:pPr>
          </w:p>
        </w:tc>
        <w:tc>
          <w:tcPr>
            <w:tcW w:w="1119" w:type="dxa"/>
          </w:tcPr>
          <w:p w14:paraId="1711BE86"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Na</w:t>
            </w:r>
            <w:r w:rsidRPr="00F02C2A">
              <w:rPr>
                <w:rFonts w:ascii="Times New Roman" w:hAnsi="Times New Roman" w:cs="Times New Roman"/>
                <w:sz w:val="24"/>
                <w:vertAlign w:val="superscript"/>
              </w:rPr>
              <w:t>+</w:t>
            </w:r>
            <w:r>
              <w:rPr>
                <w:rFonts w:ascii="Times New Roman" w:hAnsi="Times New Roman" w:cs="Times New Roman"/>
                <w:sz w:val="24"/>
              </w:rPr>
              <w:t xml:space="preserve"> (mmol/L)</w:t>
            </w:r>
          </w:p>
        </w:tc>
        <w:tc>
          <w:tcPr>
            <w:tcW w:w="940" w:type="dxa"/>
          </w:tcPr>
          <w:p w14:paraId="1EC6D7D3"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K</w:t>
            </w:r>
            <w:r w:rsidRPr="00F02C2A">
              <w:rPr>
                <w:rFonts w:ascii="Times New Roman" w:hAnsi="Times New Roman" w:cs="Times New Roman"/>
                <w:sz w:val="24"/>
                <w:vertAlign w:val="superscript"/>
              </w:rPr>
              <w:t>+</w:t>
            </w:r>
            <w:r>
              <w:rPr>
                <w:rFonts w:ascii="Times New Roman" w:hAnsi="Times New Roman" w:cs="Times New Roman"/>
                <w:sz w:val="24"/>
              </w:rPr>
              <w:t xml:space="preserve"> (mmol/L)</w:t>
            </w:r>
          </w:p>
        </w:tc>
        <w:tc>
          <w:tcPr>
            <w:tcW w:w="1119" w:type="dxa"/>
          </w:tcPr>
          <w:p w14:paraId="4D528C86"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Cl</w:t>
            </w:r>
            <w:r w:rsidRPr="00F02C2A">
              <w:rPr>
                <w:rFonts w:ascii="Times New Roman" w:hAnsi="Times New Roman" w:cs="Times New Roman"/>
                <w:sz w:val="24"/>
                <w:vertAlign w:val="superscript"/>
              </w:rPr>
              <w:t xml:space="preserve">- </w:t>
            </w:r>
            <w:r>
              <w:rPr>
                <w:rFonts w:ascii="Times New Roman" w:hAnsi="Times New Roman" w:cs="Times New Roman"/>
                <w:sz w:val="24"/>
              </w:rPr>
              <w:t>(mmol/L)</w:t>
            </w:r>
          </w:p>
        </w:tc>
        <w:tc>
          <w:tcPr>
            <w:tcW w:w="1030" w:type="dxa"/>
          </w:tcPr>
          <w:p w14:paraId="72E5C678"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KIM-1 (pg/L)</w:t>
            </w:r>
          </w:p>
        </w:tc>
        <w:tc>
          <w:tcPr>
            <w:tcW w:w="940" w:type="dxa"/>
          </w:tcPr>
          <w:p w14:paraId="73FBE8F8"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Urea (mmol/L)</w:t>
            </w:r>
          </w:p>
        </w:tc>
        <w:tc>
          <w:tcPr>
            <w:tcW w:w="1119" w:type="dxa"/>
          </w:tcPr>
          <w:p w14:paraId="22256A35"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Creatinine (µmol/L)</w:t>
            </w:r>
          </w:p>
        </w:tc>
      </w:tr>
      <w:tr w:rsidR="00247774" w14:paraId="3B68304D" w14:textId="77777777" w:rsidTr="00247774">
        <w:trPr>
          <w:trHeight w:val="359"/>
        </w:trPr>
        <w:tc>
          <w:tcPr>
            <w:tcW w:w="496" w:type="dxa"/>
          </w:tcPr>
          <w:p w14:paraId="079F9A3B"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w:t>
            </w:r>
          </w:p>
        </w:tc>
        <w:tc>
          <w:tcPr>
            <w:tcW w:w="1179" w:type="dxa"/>
          </w:tcPr>
          <w:p w14:paraId="10EC6B1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 xml:space="preserve">Control </w:t>
            </w:r>
          </w:p>
        </w:tc>
        <w:tc>
          <w:tcPr>
            <w:tcW w:w="1119" w:type="dxa"/>
          </w:tcPr>
          <w:p w14:paraId="58D4A718"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138.00±1.05</w:t>
            </w:r>
          </w:p>
        </w:tc>
        <w:tc>
          <w:tcPr>
            <w:tcW w:w="940" w:type="dxa"/>
          </w:tcPr>
          <w:p w14:paraId="711B32D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4.98±0.13</w:t>
            </w:r>
          </w:p>
        </w:tc>
        <w:tc>
          <w:tcPr>
            <w:tcW w:w="1119" w:type="dxa"/>
          </w:tcPr>
          <w:p w14:paraId="3B7A23E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104.00±2.16</w:t>
            </w:r>
          </w:p>
        </w:tc>
        <w:tc>
          <w:tcPr>
            <w:tcW w:w="1030" w:type="dxa"/>
          </w:tcPr>
          <w:p w14:paraId="57BFCE40"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7.89±0.63</w:t>
            </w:r>
          </w:p>
        </w:tc>
        <w:tc>
          <w:tcPr>
            <w:tcW w:w="940" w:type="dxa"/>
          </w:tcPr>
          <w:p w14:paraId="745840B8"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6.34±0.32</w:t>
            </w:r>
          </w:p>
        </w:tc>
        <w:tc>
          <w:tcPr>
            <w:tcW w:w="1119" w:type="dxa"/>
          </w:tcPr>
          <w:p w14:paraId="78B7BA0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124.80±1.36</w:t>
            </w:r>
          </w:p>
        </w:tc>
      </w:tr>
      <w:tr w:rsidR="00247774" w14:paraId="26BEEB42" w14:textId="77777777" w:rsidTr="00247774">
        <w:trPr>
          <w:trHeight w:val="375"/>
        </w:trPr>
        <w:tc>
          <w:tcPr>
            <w:tcW w:w="496" w:type="dxa"/>
          </w:tcPr>
          <w:p w14:paraId="2711D5C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2</w:t>
            </w:r>
          </w:p>
        </w:tc>
        <w:tc>
          <w:tcPr>
            <w:tcW w:w="1179" w:type="dxa"/>
          </w:tcPr>
          <w:p w14:paraId="724260DE"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Treated Group</w:t>
            </w:r>
          </w:p>
        </w:tc>
        <w:tc>
          <w:tcPr>
            <w:tcW w:w="1119" w:type="dxa"/>
          </w:tcPr>
          <w:p w14:paraId="778B2C5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149.60±1.62</w:t>
            </w:r>
          </w:p>
        </w:tc>
        <w:tc>
          <w:tcPr>
            <w:tcW w:w="940" w:type="dxa"/>
          </w:tcPr>
          <w:p w14:paraId="3131040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6.77±0.17</w:t>
            </w:r>
          </w:p>
        </w:tc>
        <w:tc>
          <w:tcPr>
            <w:tcW w:w="1119" w:type="dxa"/>
          </w:tcPr>
          <w:p w14:paraId="4073AB0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116.20±2.91</w:t>
            </w:r>
          </w:p>
        </w:tc>
        <w:tc>
          <w:tcPr>
            <w:tcW w:w="1030" w:type="dxa"/>
          </w:tcPr>
          <w:p w14:paraId="3075E1E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10.36±0.78</w:t>
            </w:r>
          </w:p>
        </w:tc>
        <w:tc>
          <w:tcPr>
            <w:tcW w:w="940" w:type="dxa"/>
          </w:tcPr>
          <w:p w14:paraId="3567F5AB"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7.86±0.07</w:t>
            </w:r>
          </w:p>
        </w:tc>
        <w:tc>
          <w:tcPr>
            <w:tcW w:w="1119" w:type="dxa"/>
          </w:tcPr>
          <w:p w14:paraId="7048750A"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137.00±1.85</w:t>
            </w:r>
          </w:p>
        </w:tc>
      </w:tr>
      <w:tr w:rsidR="00247774" w14:paraId="6F395DB2" w14:textId="77777777" w:rsidTr="00247774">
        <w:trPr>
          <w:trHeight w:val="375"/>
        </w:trPr>
        <w:tc>
          <w:tcPr>
            <w:tcW w:w="496" w:type="dxa"/>
          </w:tcPr>
          <w:p w14:paraId="055408B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3</w:t>
            </w:r>
          </w:p>
        </w:tc>
        <w:tc>
          <w:tcPr>
            <w:tcW w:w="1179" w:type="dxa"/>
          </w:tcPr>
          <w:p w14:paraId="03DFF24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T value</w:t>
            </w:r>
          </w:p>
        </w:tc>
        <w:tc>
          <w:tcPr>
            <w:tcW w:w="1119" w:type="dxa"/>
          </w:tcPr>
          <w:p w14:paraId="415D9F4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11.98</w:t>
            </w:r>
          </w:p>
        </w:tc>
        <w:tc>
          <w:tcPr>
            <w:tcW w:w="940" w:type="dxa"/>
          </w:tcPr>
          <w:p w14:paraId="3FB41D5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16.88</w:t>
            </w:r>
          </w:p>
        </w:tc>
        <w:tc>
          <w:tcPr>
            <w:tcW w:w="1119" w:type="dxa"/>
          </w:tcPr>
          <w:p w14:paraId="7BD6756F"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6.70</w:t>
            </w:r>
          </w:p>
        </w:tc>
        <w:tc>
          <w:tcPr>
            <w:tcW w:w="1030" w:type="dxa"/>
          </w:tcPr>
          <w:p w14:paraId="6D641390"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4.934</w:t>
            </w:r>
          </w:p>
        </w:tc>
        <w:tc>
          <w:tcPr>
            <w:tcW w:w="940" w:type="dxa"/>
          </w:tcPr>
          <w:p w14:paraId="334F7F6A"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9.24</w:t>
            </w:r>
          </w:p>
        </w:tc>
        <w:tc>
          <w:tcPr>
            <w:tcW w:w="1119" w:type="dxa"/>
          </w:tcPr>
          <w:p w14:paraId="0BD7C1FA"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10.65</w:t>
            </w:r>
          </w:p>
        </w:tc>
      </w:tr>
      <w:tr w:rsidR="00247774" w14:paraId="281A7B19" w14:textId="77777777" w:rsidTr="00247774">
        <w:trPr>
          <w:trHeight w:val="375"/>
        </w:trPr>
        <w:tc>
          <w:tcPr>
            <w:tcW w:w="496" w:type="dxa"/>
          </w:tcPr>
          <w:p w14:paraId="06CC799E"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4</w:t>
            </w:r>
          </w:p>
        </w:tc>
        <w:tc>
          <w:tcPr>
            <w:tcW w:w="1179" w:type="dxa"/>
          </w:tcPr>
          <w:p w14:paraId="6D6250E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P value</w:t>
            </w:r>
          </w:p>
        </w:tc>
        <w:tc>
          <w:tcPr>
            <w:tcW w:w="1119" w:type="dxa"/>
          </w:tcPr>
          <w:p w14:paraId="6FC78C9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40" w:type="dxa"/>
          </w:tcPr>
          <w:p w14:paraId="55690CF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19" w:type="dxa"/>
          </w:tcPr>
          <w:p w14:paraId="3A233BAB"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0.0005</w:t>
            </w:r>
          </w:p>
        </w:tc>
        <w:tc>
          <w:tcPr>
            <w:tcW w:w="1030" w:type="dxa"/>
          </w:tcPr>
          <w:p w14:paraId="74B4E41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0.0026</w:t>
            </w:r>
          </w:p>
        </w:tc>
        <w:tc>
          <w:tcPr>
            <w:tcW w:w="940" w:type="dxa"/>
          </w:tcPr>
          <w:p w14:paraId="5A9F1F72"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19" w:type="dxa"/>
          </w:tcPr>
          <w:p w14:paraId="2586313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r>
    </w:tbl>
    <w:p w14:paraId="1AF13471" w14:textId="77777777" w:rsidR="002B37BF" w:rsidRDefault="002B37BF" w:rsidP="0076292F">
      <w:pPr>
        <w:ind w:left="360"/>
        <w:jc w:val="both"/>
        <w:rPr>
          <w:rFonts w:ascii="Times New Roman" w:hAnsi="Times New Roman" w:cs="Times New Roman"/>
          <w:sz w:val="24"/>
        </w:rPr>
      </w:pPr>
    </w:p>
    <w:p w14:paraId="32759C08" w14:textId="77777777" w:rsidR="00EC4AC7" w:rsidRDefault="0076292F" w:rsidP="00EC4AC7">
      <w:pPr>
        <w:ind w:left="360"/>
        <w:jc w:val="both"/>
        <w:rPr>
          <w:rFonts w:ascii="Times New Roman" w:hAnsi="Times New Roman" w:cs="Times New Roman"/>
          <w:sz w:val="24"/>
        </w:rPr>
      </w:pPr>
      <w:r w:rsidRPr="002B37BF">
        <w:rPr>
          <w:rFonts w:ascii="Times New Roman" w:hAnsi="Times New Roman" w:cs="Times New Roman"/>
          <w:b/>
          <w:bCs/>
          <w:sz w:val="24"/>
        </w:rPr>
        <w:t>Keys:</w:t>
      </w:r>
      <w:r>
        <w:rPr>
          <w:rFonts w:ascii="Times New Roman" w:hAnsi="Times New Roman" w:cs="Times New Roman"/>
          <w:sz w:val="24"/>
        </w:rPr>
        <w:t xml:space="preserve"> Na</w:t>
      </w:r>
      <w:r w:rsidRPr="00B24AC5">
        <w:rPr>
          <w:rFonts w:ascii="Times New Roman" w:hAnsi="Times New Roman" w:cs="Times New Roman"/>
          <w:sz w:val="24"/>
          <w:vertAlign w:val="superscript"/>
        </w:rPr>
        <w:t>+</w:t>
      </w:r>
      <w:r>
        <w:rPr>
          <w:rFonts w:ascii="Times New Roman" w:hAnsi="Times New Roman" w:cs="Times New Roman"/>
          <w:sz w:val="24"/>
        </w:rPr>
        <w:t>= sodium ion, K</w:t>
      </w:r>
      <w:r w:rsidRPr="00B24AC5">
        <w:rPr>
          <w:rFonts w:ascii="Times New Roman" w:hAnsi="Times New Roman" w:cs="Times New Roman"/>
          <w:sz w:val="24"/>
          <w:vertAlign w:val="superscript"/>
        </w:rPr>
        <w:t>+</w:t>
      </w:r>
      <w:r>
        <w:rPr>
          <w:rFonts w:ascii="Times New Roman" w:hAnsi="Times New Roman" w:cs="Times New Roman"/>
          <w:sz w:val="24"/>
        </w:rPr>
        <w:t xml:space="preserve"> = potassium ion, Cl</w:t>
      </w:r>
      <w:r w:rsidRPr="00B24AC5">
        <w:rPr>
          <w:rFonts w:ascii="Times New Roman" w:hAnsi="Times New Roman" w:cs="Times New Roman"/>
          <w:sz w:val="24"/>
          <w:vertAlign w:val="superscript"/>
        </w:rPr>
        <w:t>-</w:t>
      </w:r>
      <w:r>
        <w:rPr>
          <w:rFonts w:ascii="Times New Roman" w:hAnsi="Times New Roman" w:cs="Times New Roman"/>
          <w:sz w:val="24"/>
        </w:rPr>
        <w:t>= chloride ion, Ca</w:t>
      </w:r>
      <w:r w:rsidRPr="00B24AC5">
        <w:rPr>
          <w:rFonts w:ascii="Times New Roman" w:hAnsi="Times New Roman" w:cs="Times New Roman"/>
          <w:sz w:val="24"/>
          <w:vertAlign w:val="superscript"/>
        </w:rPr>
        <w:t>2+</w:t>
      </w:r>
      <w:r>
        <w:rPr>
          <w:rFonts w:ascii="Times New Roman" w:hAnsi="Times New Roman" w:cs="Times New Roman"/>
          <w:sz w:val="24"/>
        </w:rPr>
        <w:t xml:space="preserve"> = ionized calcium, KIM-1 = kidney injury molecule-1. </w:t>
      </w:r>
    </w:p>
    <w:p w14:paraId="64EFB599" w14:textId="77777777" w:rsidR="00EC4AC7" w:rsidRDefault="00EC4AC7" w:rsidP="00EC4AC7">
      <w:pPr>
        <w:ind w:left="360"/>
        <w:jc w:val="both"/>
        <w:rPr>
          <w:rFonts w:ascii="Times New Roman" w:hAnsi="Times New Roman" w:cs="Times New Roman"/>
          <w:b/>
          <w:sz w:val="24"/>
        </w:rPr>
      </w:pPr>
    </w:p>
    <w:p w14:paraId="5B168E7D" w14:textId="77777777" w:rsidR="0076292F" w:rsidRPr="00EC4AC7" w:rsidRDefault="0076292F" w:rsidP="00EC4AC7">
      <w:pPr>
        <w:ind w:left="360"/>
        <w:jc w:val="both"/>
        <w:rPr>
          <w:rFonts w:ascii="Times New Roman" w:hAnsi="Times New Roman" w:cs="Times New Roman"/>
          <w:sz w:val="24"/>
        </w:rPr>
      </w:pPr>
      <w:r w:rsidRPr="00B23C6B">
        <w:rPr>
          <w:rFonts w:ascii="Times New Roman" w:hAnsi="Times New Roman" w:cs="Times New Roman"/>
          <w:b/>
          <w:sz w:val="24"/>
        </w:rPr>
        <w:t xml:space="preserve">Table </w:t>
      </w:r>
      <w:r w:rsidR="00BF5688">
        <w:rPr>
          <w:rFonts w:ascii="Times New Roman" w:hAnsi="Times New Roman" w:cs="Times New Roman"/>
          <w:b/>
          <w:sz w:val="24"/>
        </w:rPr>
        <w:t>2.</w:t>
      </w:r>
      <w:r w:rsidRPr="00B23C6B">
        <w:rPr>
          <w:rFonts w:ascii="Times New Roman" w:hAnsi="Times New Roman" w:cs="Times New Roman"/>
          <w:b/>
          <w:sz w:val="24"/>
        </w:rPr>
        <w:t xml:space="preserve"> Mean ±SD of Renal Parameters of Rabbits treated with 0.05 mg/kg sodium cyanide for 60 Days</w:t>
      </w:r>
    </w:p>
    <w:tbl>
      <w:tblPr>
        <w:tblStyle w:val="TableGrid"/>
        <w:tblW w:w="0" w:type="auto"/>
        <w:tblInd w:w="360" w:type="dxa"/>
        <w:tblLook w:val="04A0" w:firstRow="1" w:lastRow="0" w:firstColumn="1" w:lastColumn="0" w:noHBand="0" w:noVBand="1"/>
      </w:tblPr>
      <w:tblGrid>
        <w:gridCol w:w="536"/>
        <w:gridCol w:w="1325"/>
        <w:gridCol w:w="1256"/>
        <w:gridCol w:w="1050"/>
        <w:gridCol w:w="1256"/>
        <w:gridCol w:w="1153"/>
        <w:gridCol w:w="1050"/>
        <w:gridCol w:w="1256"/>
      </w:tblGrid>
      <w:tr w:rsidR="00247774" w14:paraId="445BA622" w14:textId="77777777" w:rsidTr="00247774">
        <w:trPr>
          <w:gridAfter w:val="6"/>
          <w:wAfter w:w="6267" w:type="dxa"/>
          <w:trHeight w:val="517"/>
        </w:trPr>
        <w:tc>
          <w:tcPr>
            <w:tcW w:w="496" w:type="dxa"/>
            <w:vMerge w:val="restart"/>
          </w:tcPr>
          <w:p w14:paraId="0B653E6F"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S/N</w:t>
            </w:r>
          </w:p>
        </w:tc>
        <w:tc>
          <w:tcPr>
            <w:tcW w:w="1179" w:type="dxa"/>
            <w:vMerge w:val="restart"/>
          </w:tcPr>
          <w:p w14:paraId="4618E6D0"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Experimental Groups</w:t>
            </w:r>
          </w:p>
        </w:tc>
      </w:tr>
      <w:tr w:rsidR="00247774" w14:paraId="32F38EB7" w14:textId="77777777" w:rsidTr="00247774">
        <w:trPr>
          <w:trHeight w:val="767"/>
        </w:trPr>
        <w:tc>
          <w:tcPr>
            <w:tcW w:w="496" w:type="dxa"/>
            <w:vMerge/>
          </w:tcPr>
          <w:p w14:paraId="0B0147C3" w14:textId="77777777" w:rsidR="00247774" w:rsidRDefault="00247774" w:rsidP="00047932">
            <w:pPr>
              <w:jc w:val="center"/>
              <w:rPr>
                <w:rFonts w:ascii="Times New Roman" w:hAnsi="Times New Roman" w:cs="Times New Roman"/>
                <w:sz w:val="24"/>
              </w:rPr>
            </w:pPr>
          </w:p>
        </w:tc>
        <w:tc>
          <w:tcPr>
            <w:tcW w:w="1179" w:type="dxa"/>
            <w:vMerge/>
          </w:tcPr>
          <w:p w14:paraId="4B2ABC69" w14:textId="77777777" w:rsidR="00247774" w:rsidRDefault="00247774" w:rsidP="00047932">
            <w:pPr>
              <w:jc w:val="center"/>
              <w:rPr>
                <w:rFonts w:ascii="Times New Roman" w:hAnsi="Times New Roman" w:cs="Times New Roman"/>
                <w:sz w:val="24"/>
              </w:rPr>
            </w:pPr>
          </w:p>
        </w:tc>
        <w:tc>
          <w:tcPr>
            <w:tcW w:w="1119" w:type="dxa"/>
          </w:tcPr>
          <w:p w14:paraId="418AE74E"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Na</w:t>
            </w:r>
            <w:r w:rsidRPr="004C0BCB">
              <w:rPr>
                <w:rFonts w:ascii="Times New Roman" w:hAnsi="Times New Roman" w:cs="Times New Roman"/>
                <w:sz w:val="24"/>
                <w:vertAlign w:val="superscript"/>
              </w:rPr>
              <w:t xml:space="preserve">+ </w:t>
            </w:r>
            <w:r>
              <w:rPr>
                <w:rFonts w:ascii="Times New Roman" w:hAnsi="Times New Roman" w:cs="Times New Roman"/>
                <w:sz w:val="24"/>
              </w:rPr>
              <w:t>(mmol/L)</w:t>
            </w:r>
          </w:p>
        </w:tc>
        <w:tc>
          <w:tcPr>
            <w:tcW w:w="940" w:type="dxa"/>
          </w:tcPr>
          <w:p w14:paraId="08D8690A"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K</w:t>
            </w:r>
            <w:r w:rsidRPr="004C0BCB">
              <w:rPr>
                <w:rFonts w:ascii="Times New Roman" w:hAnsi="Times New Roman" w:cs="Times New Roman"/>
                <w:sz w:val="24"/>
                <w:vertAlign w:val="superscript"/>
              </w:rPr>
              <w:t>+</w:t>
            </w:r>
            <w:r>
              <w:rPr>
                <w:rFonts w:ascii="Times New Roman" w:hAnsi="Times New Roman" w:cs="Times New Roman"/>
                <w:sz w:val="24"/>
              </w:rPr>
              <w:t xml:space="preserve"> (mmol/L)</w:t>
            </w:r>
          </w:p>
        </w:tc>
        <w:tc>
          <w:tcPr>
            <w:tcW w:w="1119" w:type="dxa"/>
          </w:tcPr>
          <w:p w14:paraId="714265F8"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Cl</w:t>
            </w:r>
            <w:r w:rsidRPr="004C0BCB">
              <w:rPr>
                <w:rFonts w:ascii="Times New Roman" w:hAnsi="Times New Roman" w:cs="Times New Roman"/>
                <w:sz w:val="24"/>
                <w:vertAlign w:val="superscript"/>
              </w:rPr>
              <w:t>-</w:t>
            </w:r>
            <w:r>
              <w:rPr>
                <w:rFonts w:ascii="Times New Roman" w:hAnsi="Times New Roman" w:cs="Times New Roman"/>
                <w:sz w:val="24"/>
              </w:rPr>
              <w:t xml:space="preserve"> (mmol/L)</w:t>
            </w:r>
          </w:p>
        </w:tc>
        <w:tc>
          <w:tcPr>
            <w:tcW w:w="1030" w:type="dxa"/>
          </w:tcPr>
          <w:p w14:paraId="1B4EC3EC"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KIM-1 (pg/L)</w:t>
            </w:r>
          </w:p>
        </w:tc>
        <w:tc>
          <w:tcPr>
            <w:tcW w:w="940" w:type="dxa"/>
          </w:tcPr>
          <w:p w14:paraId="37BEECB5"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Urea (mmol/L)</w:t>
            </w:r>
          </w:p>
        </w:tc>
        <w:tc>
          <w:tcPr>
            <w:tcW w:w="1119" w:type="dxa"/>
          </w:tcPr>
          <w:p w14:paraId="328BA988"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Creatinine (µmol/L)</w:t>
            </w:r>
          </w:p>
        </w:tc>
      </w:tr>
      <w:tr w:rsidR="00247774" w14:paraId="08451432" w14:textId="77777777" w:rsidTr="00247774">
        <w:trPr>
          <w:trHeight w:val="359"/>
        </w:trPr>
        <w:tc>
          <w:tcPr>
            <w:tcW w:w="496" w:type="dxa"/>
          </w:tcPr>
          <w:p w14:paraId="44B6C0D2"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w:t>
            </w:r>
          </w:p>
        </w:tc>
        <w:tc>
          <w:tcPr>
            <w:tcW w:w="1179" w:type="dxa"/>
          </w:tcPr>
          <w:p w14:paraId="321016E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 xml:space="preserve">Control </w:t>
            </w:r>
          </w:p>
        </w:tc>
        <w:tc>
          <w:tcPr>
            <w:tcW w:w="1119" w:type="dxa"/>
          </w:tcPr>
          <w:p w14:paraId="2E4C4562"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137.90±1.03</w:t>
            </w:r>
          </w:p>
        </w:tc>
        <w:tc>
          <w:tcPr>
            <w:tcW w:w="940" w:type="dxa"/>
          </w:tcPr>
          <w:p w14:paraId="3F0E9EC9"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5.04±0.29</w:t>
            </w:r>
          </w:p>
        </w:tc>
        <w:tc>
          <w:tcPr>
            <w:tcW w:w="1119" w:type="dxa"/>
          </w:tcPr>
          <w:p w14:paraId="2EEE6B39"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104.80±1.83</w:t>
            </w:r>
          </w:p>
        </w:tc>
        <w:tc>
          <w:tcPr>
            <w:tcW w:w="1030" w:type="dxa"/>
          </w:tcPr>
          <w:p w14:paraId="0B943A42"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7.84±0.64</w:t>
            </w:r>
          </w:p>
        </w:tc>
        <w:tc>
          <w:tcPr>
            <w:tcW w:w="940" w:type="dxa"/>
          </w:tcPr>
          <w:p w14:paraId="508BB391"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6.39±0.32</w:t>
            </w:r>
          </w:p>
        </w:tc>
        <w:tc>
          <w:tcPr>
            <w:tcW w:w="1119" w:type="dxa"/>
          </w:tcPr>
          <w:p w14:paraId="1A74A75B"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126.00±0.97</w:t>
            </w:r>
          </w:p>
        </w:tc>
      </w:tr>
      <w:tr w:rsidR="00247774" w14:paraId="26B322BB" w14:textId="77777777" w:rsidTr="00247774">
        <w:trPr>
          <w:trHeight w:val="375"/>
        </w:trPr>
        <w:tc>
          <w:tcPr>
            <w:tcW w:w="496" w:type="dxa"/>
          </w:tcPr>
          <w:p w14:paraId="5D24763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2</w:t>
            </w:r>
          </w:p>
        </w:tc>
        <w:tc>
          <w:tcPr>
            <w:tcW w:w="1179" w:type="dxa"/>
          </w:tcPr>
          <w:p w14:paraId="5AD8E53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Treated Group</w:t>
            </w:r>
          </w:p>
        </w:tc>
        <w:tc>
          <w:tcPr>
            <w:tcW w:w="1119" w:type="dxa"/>
          </w:tcPr>
          <w:p w14:paraId="4DDE4DC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159.80±1.17</w:t>
            </w:r>
          </w:p>
        </w:tc>
        <w:tc>
          <w:tcPr>
            <w:tcW w:w="940" w:type="dxa"/>
          </w:tcPr>
          <w:p w14:paraId="645A296C"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7.70±0.18</w:t>
            </w:r>
          </w:p>
        </w:tc>
        <w:tc>
          <w:tcPr>
            <w:tcW w:w="1119" w:type="dxa"/>
          </w:tcPr>
          <w:p w14:paraId="71F4108A"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126.40±2.92</w:t>
            </w:r>
          </w:p>
        </w:tc>
        <w:tc>
          <w:tcPr>
            <w:tcW w:w="1030" w:type="dxa"/>
          </w:tcPr>
          <w:p w14:paraId="3B2B651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12.46±0.62</w:t>
            </w:r>
          </w:p>
        </w:tc>
        <w:tc>
          <w:tcPr>
            <w:tcW w:w="940" w:type="dxa"/>
          </w:tcPr>
          <w:p w14:paraId="0AD1C6A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8.92±0.52</w:t>
            </w:r>
          </w:p>
        </w:tc>
        <w:tc>
          <w:tcPr>
            <w:tcW w:w="1119" w:type="dxa"/>
          </w:tcPr>
          <w:p w14:paraId="2CBE96F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147.40±1.67</w:t>
            </w:r>
          </w:p>
        </w:tc>
      </w:tr>
      <w:tr w:rsidR="00247774" w14:paraId="6F1B99FA" w14:textId="77777777" w:rsidTr="00247774">
        <w:trPr>
          <w:trHeight w:val="375"/>
        </w:trPr>
        <w:tc>
          <w:tcPr>
            <w:tcW w:w="496" w:type="dxa"/>
          </w:tcPr>
          <w:p w14:paraId="414829F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3</w:t>
            </w:r>
          </w:p>
        </w:tc>
        <w:tc>
          <w:tcPr>
            <w:tcW w:w="1179" w:type="dxa"/>
          </w:tcPr>
          <w:p w14:paraId="087EADE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T value</w:t>
            </w:r>
          </w:p>
        </w:tc>
        <w:tc>
          <w:tcPr>
            <w:tcW w:w="1119" w:type="dxa"/>
          </w:tcPr>
          <w:p w14:paraId="7EE1D06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28.13</w:t>
            </w:r>
          </w:p>
        </w:tc>
        <w:tc>
          <w:tcPr>
            <w:tcW w:w="940" w:type="dxa"/>
          </w:tcPr>
          <w:p w14:paraId="3804F1AF"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15.45</w:t>
            </w:r>
          </w:p>
        </w:tc>
        <w:tc>
          <w:tcPr>
            <w:tcW w:w="1119" w:type="dxa"/>
          </w:tcPr>
          <w:p w14:paraId="30B8A090"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12.55</w:t>
            </w:r>
          </w:p>
        </w:tc>
        <w:tc>
          <w:tcPr>
            <w:tcW w:w="1030" w:type="dxa"/>
          </w:tcPr>
          <w:p w14:paraId="35F493EC"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10.13</w:t>
            </w:r>
          </w:p>
        </w:tc>
        <w:tc>
          <w:tcPr>
            <w:tcW w:w="940" w:type="dxa"/>
          </w:tcPr>
          <w:p w14:paraId="02DB95E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8.194</w:t>
            </w:r>
          </w:p>
        </w:tc>
        <w:tc>
          <w:tcPr>
            <w:tcW w:w="1119" w:type="dxa"/>
          </w:tcPr>
          <w:p w14:paraId="3D11CE1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22.14</w:t>
            </w:r>
          </w:p>
        </w:tc>
      </w:tr>
      <w:tr w:rsidR="00247774" w14:paraId="3E5BDFA7" w14:textId="77777777" w:rsidTr="00247774">
        <w:trPr>
          <w:trHeight w:val="375"/>
        </w:trPr>
        <w:tc>
          <w:tcPr>
            <w:tcW w:w="496" w:type="dxa"/>
          </w:tcPr>
          <w:p w14:paraId="10EEEBF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4</w:t>
            </w:r>
          </w:p>
        </w:tc>
        <w:tc>
          <w:tcPr>
            <w:tcW w:w="1179" w:type="dxa"/>
          </w:tcPr>
          <w:p w14:paraId="38DECB4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P value</w:t>
            </w:r>
          </w:p>
        </w:tc>
        <w:tc>
          <w:tcPr>
            <w:tcW w:w="1119" w:type="dxa"/>
          </w:tcPr>
          <w:p w14:paraId="56294240"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40" w:type="dxa"/>
          </w:tcPr>
          <w:p w14:paraId="07DF7AD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19" w:type="dxa"/>
          </w:tcPr>
          <w:p w14:paraId="2377C7DF"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030" w:type="dxa"/>
          </w:tcPr>
          <w:p w14:paraId="453B79F9"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40" w:type="dxa"/>
          </w:tcPr>
          <w:p w14:paraId="15C315A2"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0.0002</w:t>
            </w:r>
          </w:p>
        </w:tc>
        <w:tc>
          <w:tcPr>
            <w:tcW w:w="1119" w:type="dxa"/>
          </w:tcPr>
          <w:p w14:paraId="7821A8F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r>
    </w:tbl>
    <w:p w14:paraId="659FCDED" w14:textId="77777777" w:rsidR="002B37BF" w:rsidRDefault="002B37BF" w:rsidP="0076292F">
      <w:pPr>
        <w:ind w:left="360"/>
        <w:jc w:val="both"/>
        <w:rPr>
          <w:rFonts w:ascii="Times New Roman" w:hAnsi="Times New Roman" w:cs="Times New Roman"/>
          <w:sz w:val="24"/>
        </w:rPr>
      </w:pPr>
    </w:p>
    <w:p w14:paraId="3EABE925" w14:textId="77777777" w:rsidR="00EC4AC7" w:rsidRDefault="0076292F" w:rsidP="00EC4AC7">
      <w:pPr>
        <w:ind w:left="360"/>
        <w:jc w:val="both"/>
        <w:rPr>
          <w:rFonts w:ascii="Times New Roman" w:hAnsi="Times New Roman" w:cs="Times New Roman"/>
          <w:sz w:val="24"/>
        </w:rPr>
      </w:pPr>
      <w:r w:rsidRPr="002B37BF">
        <w:rPr>
          <w:rFonts w:ascii="Times New Roman" w:hAnsi="Times New Roman" w:cs="Times New Roman"/>
          <w:b/>
          <w:bCs/>
          <w:sz w:val="24"/>
        </w:rPr>
        <w:t>Keys</w:t>
      </w:r>
      <w:r>
        <w:rPr>
          <w:rFonts w:ascii="Times New Roman" w:hAnsi="Times New Roman" w:cs="Times New Roman"/>
          <w:sz w:val="24"/>
        </w:rPr>
        <w:t>: Na</w:t>
      </w:r>
      <w:r w:rsidRPr="00B24AC5">
        <w:rPr>
          <w:rFonts w:ascii="Times New Roman" w:hAnsi="Times New Roman" w:cs="Times New Roman"/>
          <w:sz w:val="24"/>
          <w:vertAlign w:val="superscript"/>
        </w:rPr>
        <w:t>+</w:t>
      </w:r>
      <w:r>
        <w:rPr>
          <w:rFonts w:ascii="Times New Roman" w:hAnsi="Times New Roman" w:cs="Times New Roman"/>
          <w:sz w:val="24"/>
        </w:rPr>
        <w:t>= sodium ion, K</w:t>
      </w:r>
      <w:r w:rsidRPr="00B24AC5">
        <w:rPr>
          <w:rFonts w:ascii="Times New Roman" w:hAnsi="Times New Roman" w:cs="Times New Roman"/>
          <w:sz w:val="24"/>
          <w:vertAlign w:val="superscript"/>
        </w:rPr>
        <w:t>+</w:t>
      </w:r>
      <w:r>
        <w:rPr>
          <w:rFonts w:ascii="Times New Roman" w:hAnsi="Times New Roman" w:cs="Times New Roman"/>
          <w:sz w:val="24"/>
        </w:rPr>
        <w:t xml:space="preserve"> = potassium ion, Cl</w:t>
      </w:r>
      <w:r w:rsidRPr="00B24AC5">
        <w:rPr>
          <w:rFonts w:ascii="Times New Roman" w:hAnsi="Times New Roman" w:cs="Times New Roman"/>
          <w:sz w:val="24"/>
          <w:vertAlign w:val="superscript"/>
        </w:rPr>
        <w:t>-</w:t>
      </w:r>
      <w:r>
        <w:rPr>
          <w:rFonts w:ascii="Times New Roman" w:hAnsi="Times New Roman" w:cs="Times New Roman"/>
          <w:sz w:val="24"/>
        </w:rPr>
        <w:t>= chloride ion, Ca</w:t>
      </w:r>
      <w:r w:rsidRPr="00B24AC5">
        <w:rPr>
          <w:rFonts w:ascii="Times New Roman" w:hAnsi="Times New Roman" w:cs="Times New Roman"/>
          <w:sz w:val="24"/>
          <w:vertAlign w:val="superscript"/>
        </w:rPr>
        <w:t>2+</w:t>
      </w:r>
      <w:r>
        <w:rPr>
          <w:rFonts w:ascii="Times New Roman" w:hAnsi="Times New Roman" w:cs="Times New Roman"/>
          <w:sz w:val="24"/>
        </w:rPr>
        <w:t xml:space="preserve"> = ionized calcium, KIM-1 = kidney injury molecule-1. </w:t>
      </w:r>
    </w:p>
    <w:p w14:paraId="641C076E" w14:textId="77777777" w:rsidR="0076292F" w:rsidRPr="00EC4AC7" w:rsidRDefault="0076292F" w:rsidP="00EC4AC7">
      <w:pPr>
        <w:ind w:left="360"/>
        <w:jc w:val="both"/>
        <w:rPr>
          <w:rFonts w:ascii="Times New Roman" w:hAnsi="Times New Roman" w:cs="Times New Roman"/>
          <w:sz w:val="24"/>
        </w:rPr>
      </w:pPr>
      <w:r w:rsidRPr="00B23C6B">
        <w:rPr>
          <w:rFonts w:ascii="Times New Roman" w:hAnsi="Times New Roman" w:cs="Times New Roman"/>
          <w:b/>
          <w:sz w:val="24"/>
        </w:rPr>
        <w:lastRenderedPageBreak/>
        <w:t xml:space="preserve">Table </w:t>
      </w:r>
      <w:r w:rsidR="0086518C">
        <w:rPr>
          <w:rFonts w:ascii="Times New Roman" w:hAnsi="Times New Roman" w:cs="Times New Roman"/>
          <w:b/>
          <w:sz w:val="24"/>
        </w:rPr>
        <w:t>3.</w:t>
      </w:r>
      <w:r w:rsidRPr="00B23C6B">
        <w:rPr>
          <w:rFonts w:ascii="Times New Roman" w:hAnsi="Times New Roman" w:cs="Times New Roman"/>
          <w:b/>
          <w:sz w:val="24"/>
        </w:rPr>
        <w:t xml:space="preserve"> Mean ±SD of Renal Parameters of Rabbits treated with 0.05 mg/kg sodium cyanide for 90 Days </w:t>
      </w:r>
    </w:p>
    <w:tbl>
      <w:tblPr>
        <w:tblStyle w:val="TableGrid"/>
        <w:tblW w:w="0" w:type="auto"/>
        <w:tblInd w:w="360" w:type="dxa"/>
        <w:tblLook w:val="04A0" w:firstRow="1" w:lastRow="0" w:firstColumn="1" w:lastColumn="0" w:noHBand="0" w:noVBand="1"/>
      </w:tblPr>
      <w:tblGrid>
        <w:gridCol w:w="531"/>
        <w:gridCol w:w="1310"/>
        <w:gridCol w:w="1241"/>
        <w:gridCol w:w="1038"/>
        <w:gridCol w:w="1241"/>
        <w:gridCol w:w="1140"/>
        <w:gridCol w:w="1140"/>
        <w:gridCol w:w="1241"/>
      </w:tblGrid>
      <w:tr w:rsidR="00247774" w14:paraId="0EC5C74E" w14:textId="77777777" w:rsidTr="00247774">
        <w:trPr>
          <w:gridAfter w:val="6"/>
          <w:wAfter w:w="6293" w:type="dxa"/>
          <w:trHeight w:val="517"/>
        </w:trPr>
        <w:tc>
          <w:tcPr>
            <w:tcW w:w="491" w:type="dxa"/>
            <w:vMerge w:val="restart"/>
          </w:tcPr>
          <w:p w14:paraId="225602BF"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S/N</w:t>
            </w:r>
          </w:p>
        </w:tc>
        <w:tc>
          <w:tcPr>
            <w:tcW w:w="1167" w:type="dxa"/>
            <w:vMerge w:val="restart"/>
          </w:tcPr>
          <w:p w14:paraId="58B40F8F"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Experimental Groups</w:t>
            </w:r>
          </w:p>
        </w:tc>
      </w:tr>
      <w:tr w:rsidR="00247774" w14:paraId="4822DCB4" w14:textId="77777777" w:rsidTr="00247774">
        <w:trPr>
          <w:trHeight w:val="767"/>
        </w:trPr>
        <w:tc>
          <w:tcPr>
            <w:tcW w:w="491" w:type="dxa"/>
            <w:vMerge/>
          </w:tcPr>
          <w:p w14:paraId="547BB375" w14:textId="77777777" w:rsidR="00247774" w:rsidRDefault="00247774" w:rsidP="00047932">
            <w:pPr>
              <w:jc w:val="center"/>
              <w:rPr>
                <w:rFonts w:ascii="Times New Roman" w:hAnsi="Times New Roman" w:cs="Times New Roman"/>
                <w:sz w:val="24"/>
              </w:rPr>
            </w:pPr>
          </w:p>
        </w:tc>
        <w:tc>
          <w:tcPr>
            <w:tcW w:w="1167" w:type="dxa"/>
            <w:vMerge/>
          </w:tcPr>
          <w:p w14:paraId="28A06B38" w14:textId="77777777" w:rsidR="00247774" w:rsidRDefault="00247774" w:rsidP="00047932">
            <w:pPr>
              <w:jc w:val="center"/>
              <w:rPr>
                <w:rFonts w:ascii="Times New Roman" w:hAnsi="Times New Roman" w:cs="Times New Roman"/>
                <w:sz w:val="24"/>
              </w:rPr>
            </w:pPr>
          </w:p>
        </w:tc>
        <w:tc>
          <w:tcPr>
            <w:tcW w:w="1108" w:type="dxa"/>
          </w:tcPr>
          <w:p w14:paraId="2D3E0369"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Na</w:t>
            </w:r>
            <w:r w:rsidRPr="00E778E2">
              <w:rPr>
                <w:rFonts w:ascii="Times New Roman" w:hAnsi="Times New Roman" w:cs="Times New Roman"/>
                <w:sz w:val="24"/>
                <w:vertAlign w:val="superscript"/>
              </w:rPr>
              <w:t>+</w:t>
            </w:r>
            <w:r>
              <w:rPr>
                <w:rFonts w:ascii="Times New Roman" w:hAnsi="Times New Roman" w:cs="Times New Roman"/>
                <w:sz w:val="24"/>
              </w:rPr>
              <w:t xml:space="preserve"> (mmol/L)</w:t>
            </w:r>
          </w:p>
        </w:tc>
        <w:tc>
          <w:tcPr>
            <w:tcW w:w="931" w:type="dxa"/>
          </w:tcPr>
          <w:p w14:paraId="3F15923C"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K</w:t>
            </w:r>
            <w:r w:rsidRPr="00E778E2">
              <w:rPr>
                <w:rFonts w:ascii="Times New Roman" w:hAnsi="Times New Roman" w:cs="Times New Roman"/>
                <w:sz w:val="24"/>
                <w:vertAlign w:val="superscript"/>
              </w:rPr>
              <w:t>+</w:t>
            </w:r>
            <w:r>
              <w:rPr>
                <w:rFonts w:ascii="Times New Roman" w:hAnsi="Times New Roman" w:cs="Times New Roman"/>
                <w:sz w:val="24"/>
              </w:rPr>
              <w:t xml:space="preserve"> (mmol/L)</w:t>
            </w:r>
          </w:p>
        </w:tc>
        <w:tc>
          <w:tcPr>
            <w:tcW w:w="1108" w:type="dxa"/>
          </w:tcPr>
          <w:p w14:paraId="3997DF64"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Cl</w:t>
            </w:r>
            <w:r w:rsidRPr="00E778E2">
              <w:rPr>
                <w:rFonts w:ascii="Times New Roman" w:hAnsi="Times New Roman" w:cs="Times New Roman"/>
                <w:sz w:val="24"/>
                <w:vertAlign w:val="superscript"/>
              </w:rPr>
              <w:t xml:space="preserve">- </w:t>
            </w:r>
            <w:r>
              <w:rPr>
                <w:rFonts w:ascii="Times New Roman" w:hAnsi="Times New Roman" w:cs="Times New Roman"/>
                <w:sz w:val="24"/>
              </w:rPr>
              <w:t>(mmol/L)</w:t>
            </w:r>
          </w:p>
        </w:tc>
        <w:tc>
          <w:tcPr>
            <w:tcW w:w="1019" w:type="dxa"/>
          </w:tcPr>
          <w:p w14:paraId="1261BFC5"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KIM-1 (pg/L)</w:t>
            </w:r>
          </w:p>
        </w:tc>
        <w:tc>
          <w:tcPr>
            <w:tcW w:w="1019" w:type="dxa"/>
          </w:tcPr>
          <w:p w14:paraId="4B06A422"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Urea (mmol/L)</w:t>
            </w:r>
          </w:p>
        </w:tc>
        <w:tc>
          <w:tcPr>
            <w:tcW w:w="1108" w:type="dxa"/>
          </w:tcPr>
          <w:p w14:paraId="58D395B3" w14:textId="77777777" w:rsidR="00247774" w:rsidRDefault="00247774" w:rsidP="00047932">
            <w:pPr>
              <w:jc w:val="center"/>
              <w:rPr>
                <w:rFonts w:ascii="Times New Roman" w:hAnsi="Times New Roman" w:cs="Times New Roman"/>
                <w:sz w:val="24"/>
              </w:rPr>
            </w:pPr>
            <w:r>
              <w:rPr>
                <w:rFonts w:ascii="Times New Roman" w:hAnsi="Times New Roman" w:cs="Times New Roman"/>
                <w:sz w:val="24"/>
              </w:rPr>
              <w:t>Creatinine (µmol/L)</w:t>
            </w:r>
          </w:p>
        </w:tc>
      </w:tr>
      <w:tr w:rsidR="00247774" w14:paraId="7577905B" w14:textId="77777777" w:rsidTr="00247774">
        <w:trPr>
          <w:trHeight w:val="359"/>
        </w:trPr>
        <w:tc>
          <w:tcPr>
            <w:tcW w:w="491" w:type="dxa"/>
          </w:tcPr>
          <w:p w14:paraId="7C79B5B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w:t>
            </w:r>
          </w:p>
        </w:tc>
        <w:tc>
          <w:tcPr>
            <w:tcW w:w="1167" w:type="dxa"/>
          </w:tcPr>
          <w:p w14:paraId="643CFC8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 xml:space="preserve">Control </w:t>
            </w:r>
          </w:p>
        </w:tc>
        <w:tc>
          <w:tcPr>
            <w:tcW w:w="1108" w:type="dxa"/>
          </w:tcPr>
          <w:p w14:paraId="12B0B929"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137.90±1.02</w:t>
            </w:r>
          </w:p>
        </w:tc>
        <w:tc>
          <w:tcPr>
            <w:tcW w:w="931" w:type="dxa"/>
          </w:tcPr>
          <w:p w14:paraId="20BC25E0"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5.03±0.18</w:t>
            </w:r>
          </w:p>
        </w:tc>
        <w:tc>
          <w:tcPr>
            <w:tcW w:w="1108" w:type="dxa"/>
          </w:tcPr>
          <w:p w14:paraId="6D05BCE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104.00±1.59</w:t>
            </w:r>
          </w:p>
        </w:tc>
        <w:tc>
          <w:tcPr>
            <w:tcW w:w="1019" w:type="dxa"/>
          </w:tcPr>
          <w:p w14:paraId="102C71B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8.04±0.66</w:t>
            </w:r>
          </w:p>
        </w:tc>
        <w:tc>
          <w:tcPr>
            <w:tcW w:w="1019" w:type="dxa"/>
          </w:tcPr>
          <w:p w14:paraId="141328C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6.63±0.33</w:t>
            </w:r>
          </w:p>
        </w:tc>
        <w:tc>
          <w:tcPr>
            <w:tcW w:w="1108" w:type="dxa"/>
          </w:tcPr>
          <w:p w14:paraId="3E0F8BEB"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125.80±1.40</w:t>
            </w:r>
          </w:p>
        </w:tc>
      </w:tr>
      <w:tr w:rsidR="00247774" w14:paraId="364A3F5D" w14:textId="77777777" w:rsidTr="00247774">
        <w:trPr>
          <w:trHeight w:val="375"/>
        </w:trPr>
        <w:tc>
          <w:tcPr>
            <w:tcW w:w="491" w:type="dxa"/>
          </w:tcPr>
          <w:p w14:paraId="06E9F909"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2</w:t>
            </w:r>
          </w:p>
        </w:tc>
        <w:tc>
          <w:tcPr>
            <w:tcW w:w="1167" w:type="dxa"/>
          </w:tcPr>
          <w:p w14:paraId="5903790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Treated Group</w:t>
            </w:r>
          </w:p>
        </w:tc>
        <w:tc>
          <w:tcPr>
            <w:tcW w:w="1108" w:type="dxa"/>
          </w:tcPr>
          <w:p w14:paraId="7547DD0F"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165.70±1.45</w:t>
            </w:r>
          </w:p>
        </w:tc>
        <w:tc>
          <w:tcPr>
            <w:tcW w:w="931" w:type="dxa"/>
          </w:tcPr>
          <w:p w14:paraId="60F8738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8.41±0.38</w:t>
            </w:r>
          </w:p>
        </w:tc>
        <w:tc>
          <w:tcPr>
            <w:tcW w:w="1108" w:type="dxa"/>
          </w:tcPr>
          <w:p w14:paraId="3674A4E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130.30±0.60</w:t>
            </w:r>
          </w:p>
        </w:tc>
        <w:tc>
          <w:tcPr>
            <w:tcW w:w="1019" w:type="dxa"/>
          </w:tcPr>
          <w:p w14:paraId="33E65DB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14.86±0.24</w:t>
            </w:r>
          </w:p>
        </w:tc>
        <w:tc>
          <w:tcPr>
            <w:tcW w:w="1019" w:type="dxa"/>
          </w:tcPr>
          <w:p w14:paraId="27A56F9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11.22±0.51</w:t>
            </w:r>
          </w:p>
        </w:tc>
        <w:tc>
          <w:tcPr>
            <w:tcW w:w="1108" w:type="dxa"/>
          </w:tcPr>
          <w:p w14:paraId="10B62230"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155.00±2.56</w:t>
            </w:r>
          </w:p>
        </w:tc>
      </w:tr>
      <w:tr w:rsidR="00247774" w14:paraId="1A6EC7CA" w14:textId="77777777" w:rsidTr="00247774">
        <w:trPr>
          <w:trHeight w:val="375"/>
        </w:trPr>
        <w:tc>
          <w:tcPr>
            <w:tcW w:w="491" w:type="dxa"/>
          </w:tcPr>
          <w:p w14:paraId="596DA7E7"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3</w:t>
            </w:r>
          </w:p>
        </w:tc>
        <w:tc>
          <w:tcPr>
            <w:tcW w:w="1167" w:type="dxa"/>
          </w:tcPr>
          <w:p w14:paraId="5ECF2FF1"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T value</w:t>
            </w:r>
          </w:p>
        </w:tc>
        <w:tc>
          <w:tcPr>
            <w:tcW w:w="1108" w:type="dxa"/>
          </w:tcPr>
          <w:p w14:paraId="4D6F276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31.44</w:t>
            </w:r>
          </w:p>
        </w:tc>
        <w:tc>
          <w:tcPr>
            <w:tcW w:w="931" w:type="dxa"/>
          </w:tcPr>
          <w:p w14:paraId="3C46DDF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16.1</w:t>
            </w:r>
          </w:p>
        </w:tc>
        <w:tc>
          <w:tcPr>
            <w:tcW w:w="1108" w:type="dxa"/>
          </w:tcPr>
          <w:p w14:paraId="05BD9D14"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31.03</w:t>
            </w:r>
          </w:p>
        </w:tc>
        <w:tc>
          <w:tcPr>
            <w:tcW w:w="1019" w:type="dxa"/>
          </w:tcPr>
          <w:p w14:paraId="563FCE06"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19.36</w:t>
            </w:r>
          </w:p>
        </w:tc>
        <w:tc>
          <w:tcPr>
            <w:tcW w:w="1019" w:type="dxa"/>
          </w:tcPr>
          <w:p w14:paraId="68CF9A2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15.04</w:t>
            </w:r>
          </w:p>
        </w:tc>
        <w:tc>
          <w:tcPr>
            <w:tcW w:w="1108" w:type="dxa"/>
          </w:tcPr>
          <w:p w14:paraId="7F59285F"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19.95</w:t>
            </w:r>
          </w:p>
        </w:tc>
      </w:tr>
      <w:tr w:rsidR="00247774" w14:paraId="46E7637D" w14:textId="77777777" w:rsidTr="00247774">
        <w:trPr>
          <w:trHeight w:val="375"/>
        </w:trPr>
        <w:tc>
          <w:tcPr>
            <w:tcW w:w="491" w:type="dxa"/>
          </w:tcPr>
          <w:p w14:paraId="26F34CDA"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4</w:t>
            </w:r>
          </w:p>
        </w:tc>
        <w:tc>
          <w:tcPr>
            <w:tcW w:w="1167" w:type="dxa"/>
          </w:tcPr>
          <w:p w14:paraId="5ED81113"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P value</w:t>
            </w:r>
          </w:p>
        </w:tc>
        <w:tc>
          <w:tcPr>
            <w:tcW w:w="1108" w:type="dxa"/>
          </w:tcPr>
          <w:p w14:paraId="2213E37D"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31" w:type="dxa"/>
          </w:tcPr>
          <w:p w14:paraId="700B073A"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08" w:type="dxa"/>
          </w:tcPr>
          <w:p w14:paraId="72212D9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019" w:type="dxa"/>
          </w:tcPr>
          <w:p w14:paraId="7DDEB48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019" w:type="dxa"/>
          </w:tcPr>
          <w:p w14:paraId="63C05B35"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08" w:type="dxa"/>
          </w:tcPr>
          <w:p w14:paraId="6577FB0F" w14:textId="77777777"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r>
    </w:tbl>
    <w:p w14:paraId="35E0819C" w14:textId="77777777" w:rsidR="002B37BF" w:rsidRDefault="002B37BF" w:rsidP="0076292F">
      <w:pPr>
        <w:ind w:left="360"/>
        <w:jc w:val="both"/>
        <w:rPr>
          <w:rFonts w:ascii="Times New Roman" w:hAnsi="Times New Roman" w:cs="Times New Roman"/>
          <w:sz w:val="24"/>
        </w:rPr>
      </w:pPr>
    </w:p>
    <w:p w14:paraId="00D9174A" w14:textId="77777777" w:rsidR="0076292F" w:rsidRDefault="0076292F" w:rsidP="0076292F">
      <w:pPr>
        <w:ind w:left="360"/>
        <w:jc w:val="both"/>
        <w:rPr>
          <w:rFonts w:ascii="Times New Roman" w:hAnsi="Times New Roman" w:cs="Times New Roman"/>
          <w:sz w:val="24"/>
        </w:rPr>
      </w:pPr>
      <w:r w:rsidRPr="002B37BF">
        <w:rPr>
          <w:rFonts w:ascii="Times New Roman" w:hAnsi="Times New Roman" w:cs="Times New Roman"/>
          <w:b/>
          <w:bCs/>
          <w:sz w:val="24"/>
        </w:rPr>
        <w:t>Keys</w:t>
      </w:r>
      <w:r>
        <w:rPr>
          <w:rFonts w:ascii="Times New Roman" w:hAnsi="Times New Roman" w:cs="Times New Roman"/>
          <w:sz w:val="24"/>
        </w:rPr>
        <w:t>: Na</w:t>
      </w:r>
      <w:r w:rsidRPr="00B24AC5">
        <w:rPr>
          <w:rFonts w:ascii="Times New Roman" w:hAnsi="Times New Roman" w:cs="Times New Roman"/>
          <w:sz w:val="24"/>
          <w:vertAlign w:val="superscript"/>
        </w:rPr>
        <w:t>+</w:t>
      </w:r>
      <w:r>
        <w:rPr>
          <w:rFonts w:ascii="Times New Roman" w:hAnsi="Times New Roman" w:cs="Times New Roman"/>
          <w:sz w:val="24"/>
        </w:rPr>
        <w:t>= sodium ion, K</w:t>
      </w:r>
      <w:r w:rsidRPr="00B24AC5">
        <w:rPr>
          <w:rFonts w:ascii="Times New Roman" w:hAnsi="Times New Roman" w:cs="Times New Roman"/>
          <w:sz w:val="24"/>
          <w:vertAlign w:val="superscript"/>
        </w:rPr>
        <w:t>+</w:t>
      </w:r>
      <w:r>
        <w:rPr>
          <w:rFonts w:ascii="Times New Roman" w:hAnsi="Times New Roman" w:cs="Times New Roman"/>
          <w:sz w:val="24"/>
        </w:rPr>
        <w:t xml:space="preserve"> = potassium ion, Cl</w:t>
      </w:r>
      <w:r w:rsidRPr="00B24AC5">
        <w:rPr>
          <w:rFonts w:ascii="Times New Roman" w:hAnsi="Times New Roman" w:cs="Times New Roman"/>
          <w:sz w:val="24"/>
          <w:vertAlign w:val="superscript"/>
        </w:rPr>
        <w:t>-</w:t>
      </w:r>
      <w:r>
        <w:rPr>
          <w:rFonts w:ascii="Times New Roman" w:hAnsi="Times New Roman" w:cs="Times New Roman"/>
          <w:sz w:val="24"/>
        </w:rPr>
        <w:t>= chloride ion, Ca</w:t>
      </w:r>
      <w:r w:rsidRPr="00B24AC5">
        <w:rPr>
          <w:rFonts w:ascii="Times New Roman" w:hAnsi="Times New Roman" w:cs="Times New Roman"/>
          <w:sz w:val="24"/>
          <w:vertAlign w:val="superscript"/>
        </w:rPr>
        <w:t>2+</w:t>
      </w:r>
      <w:r>
        <w:rPr>
          <w:rFonts w:ascii="Times New Roman" w:hAnsi="Times New Roman" w:cs="Times New Roman"/>
          <w:sz w:val="24"/>
        </w:rPr>
        <w:t xml:space="preserve"> = ionized calcium, KIM-1 = kidney injury molecule-1. </w:t>
      </w:r>
    </w:p>
    <w:p w14:paraId="235F2EA7" w14:textId="77777777" w:rsidR="00AD5092" w:rsidRDefault="00AD5092" w:rsidP="0076292F">
      <w:pPr>
        <w:ind w:left="360"/>
        <w:jc w:val="both"/>
        <w:rPr>
          <w:rFonts w:ascii="Times New Roman" w:hAnsi="Times New Roman" w:cs="Times New Roman"/>
          <w:sz w:val="24"/>
        </w:rPr>
      </w:pPr>
    </w:p>
    <w:p w14:paraId="158D7C10" w14:textId="77777777" w:rsidR="00AD5092" w:rsidRPr="00AD5092" w:rsidRDefault="00AD5092" w:rsidP="00AD5092">
      <w:pPr>
        <w:spacing w:line="480" w:lineRule="auto"/>
        <w:ind w:left="360"/>
        <w:jc w:val="both"/>
        <w:rPr>
          <w:rFonts w:ascii="Times New Roman" w:hAnsi="Times New Roman" w:cs="Times New Roman"/>
          <w:sz w:val="24"/>
          <w:szCs w:val="24"/>
        </w:rPr>
      </w:pPr>
      <w:r w:rsidRPr="00AD5092">
        <w:rPr>
          <w:rFonts w:ascii="Times New Roman" w:hAnsi="Times New Roman" w:cs="Times New Roman"/>
          <w:sz w:val="24"/>
          <w:szCs w:val="24"/>
        </w:rPr>
        <w:t>P</w:t>
      </w:r>
      <w:r>
        <w:rPr>
          <w:rFonts w:ascii="Times New Roman" w:hAnsi="Times New Roman" w:cs="Times New Roman"/>
          <w:sz w:val="24"/>
          <w:szCs w:val="24"/>
        </w:rPr>
        <w:t>athological changes in the kidney</w:t>
      </w:r>
      <w:r w:rsidRPr="00AD5092">
        <w:rPr>
          <w:rFonts w:ascii="Times New Roman" w:hAnsi="Times New Roman" w:cs="Times New Roman"/>
          <w:sz w:val="24"/>
          <w:szCs w:val="24"/>
        </w:rPr>
        <w:t xml:space="preserve"> section were observed following treatment of the rabbits with 0.05 mg/kg sodium cyanide for the period of 30, 60 and 90 days respective</w:t>
      </w:r>
      <w:r>
        <w:rPr>
          <w:rFonts w:ascii="Times New Roman" w:hAnsi="Times New Roman" w:cs="Times New Roman"/>
          <w:sz w:val="24"/>
          <w:szCs w:val="24"/>
        </w:rPr>
        <w:t>ly. Figure 1 showed normal kidney</w:t>
      </w:r>
      <w:r w:rsidRPr="00AD5092">
        <w:rPr>
          <w:rFonts w:ascii="Times New Roman" w:hAnsi="Times New Roman" w:cs="Times New Roman"/>
          <w:sz w:val="24"/>
          <w:szCs w:val="24"/>
        </w:rPr>
        <w:t xml:space="preserve"> section of rabbits with no lesion while figure 2 (treated with 0.05 mg/kg sodium cyanide for 30 days) showed </w:t>
      </w:r>
      <w:r>
        <w:rPr>
          <w:rFonts w:ascii="Times New Roman" w:hAnsi="Times New Roman" w:cs="Times New Roman"/>
          <w:sz w:val="24"/>
          <w:szCs w:val="24"/>
        </w:rPr>
        <w:t>mononuclear cell infiltrate and tubular dege</w:t>
      </w:r>
      <w:r w:rsidR="003B16D0">
        <w:rPr>
          <w:rFonts w:ascii="Times New Roman" w:hAnsi="Times New Roman" w:cs="Times New Roman"/>
          <w:sz w:val="24"/>
          <w:szCs w:val="24"/>
        </w:rPr>
        <w:t>ne</w:t>
      </w:r>
      <w:r>
        <w:rPr>
          <w:rFonts w:ascii="Times New Roman" w:hAnsi="Times New Roman" w:cs="Times New Roman"/>
          <w:sz w:val="24"/>
          <w:szCs w:val="24"/>
        </w:rPr>
        <w:t>ration</w:t>
      </w:r>
      <w:r w:rsidRPr="00AD5092">
        <w:rPr>
          <w:rFonts w:ascii="Times New Roman" w:hAnsi="Times New Roman" w:cs="Times New Roman"/>
          <w:sz w:val="24"/>
          <w:szCs w:val="24"/>
        </w:rPr>
        <w:t xml:space="preserve">. Figure 3 (treated with 0.05 mg/kg sodium cyanide for 60 days) also showed </w:t>
      </w:r>
      <w:r w:rsidR="003B16D0">
        <w:rPr>
          <w:rFonts w:ascii="Times New Roman" w:hAnsi="Times New Roman" w:cs="Times New Roman"/>
          <w:sz w:val="24"/>
          <w:szCs w:val="24"/>
        </w:rPr>
        <w:t>infiltration areas and thickened renal capsule</w:t>
      </w:r>
      <w:r w:rsidRPr="00AD5092">
        <w:rPr>
          <w:rFonts w:ascii="Times New Roman" w:hAnsi="Times New Roman" w:cs="Times New Roman"/>
          <w:sz w:val="24"/>
          <w:szCs w:val="24"/>
        </w:rPr>
        <w:t>, while figure 4 (treated wit</w:t>
      </w:r>
      <w:r>
        <w:rPr>
          <w:rFonts w:ascii="Times New Roman" w:hAnsi="Times New Roman" w:cs="Times New Roman"/>
          <w:sz w:val="24"/>
          <w:szCs w:val="24"/>
        </w:rPr>
        <w:t>h 0.05 mg/kg sodium cyanide for 90 days) showed</w:t>
      </w:r>
      <w:r w:rsidR="003B16D0">
        <w:rPr>
          <w:rFonts w:ascii="Times New Roman" w:hAnsi="Times New Roman" w:cs="Times New Roman"/>
          <w:sz w:val="24"/>
          <w:szCs w:val="24"/>
        </w:rPr>
        <w:t xml:space="preserve"> tubular necrosis and renal papilla necrosis.</w:t>
      </w:r>
    </w:p>
    <w:p w14:paraId="6FDD240D" w14:textId="77777777" w:rsidR="0076292F" w:rsidRDefault="0076292F" w:rsidP="00AD5092">
      <w:pPr>
        <w:spacing w:line="480" w:lineRule="auto"/>
        <w:ind w:left="360"/>
        <w:jc w:val="both"/>
        <w:rPr>
          <w:rFonts w:ascii="Times New Roman" w:hAnsi="Times New Roman" w:cs="Times New Roman"/>
          <w:sz w:val="24"/>
        </w:rPr>
      </w:pPr>
    </w:p>
    <w:p w14:paraId="11BCEBB1" w14:textId="77777777" w:rsidR="0076292F" w:rsidRDefault="0076292F" w:rsidP="005977DE">
      <w:pPr>
        <w:spacing w:line="480" w:lineRule="auto"/>
        <w:ind w:left="360"/>
        <w:jc w:val="both"/>
        <w:rPr>
          <w:rFonts w:ascii="Times New Roman" w:hAnsi="Times New Roman" w:cs="Times New Roman"/>
          <w:sz w:val="24"/>
        </w:rPr>
      </w:pPr>
    </w:p>
    <w:p w14:paraId="17AAA2D2" w14:textId="77777777" w:rsidR="009C4303" w:rsidRDefault="009C4303" w:rsidP="0076292F">
      <w:pPr>
        <w:ind w:left="360"/>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008F83A6" wp14:editId="1CBA3220">
            <wp:extent cx="5687219" cy="3334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ENT 1.png"/>
                    <pic:cNvPicPr/>
                  </pic:nvPicPr>
                  <pic:blipFill>
                    <a:blip r:embed="rId7">
                      <a:extLst>
                        <a:ext uri="{28A0092B-C50C-407E-A947-70E740481C1C}">
                          <a14:useLocalDpi xmlns:a14="http://schemas.microsoft.com/office/drawing/2010/main" val="0"/>
                        </a:ext>
                      </a:extLst>
                    </a:blip>
                    <a:stretch>
                      <a:fillRect/>
                    </a:stretch>
                  </pic:blipFill>
                  <pic:spPr>
                    <a:xfrm>
                      <a:off x="0" y="0"/>
                      <a:ext cx="5687219" cy="3334215"/>
                    </a:xfrm>
                    <a:prstGeom prst="rect">
                      <a:avLst/>
                    </a:prstGeom>
                  </pic:spPr>
                </pic:pic>
              </a:graphicData>
            </a:graphic>
          </wp:inline>
        </w:drawing>
      </w:r>
    </w:p>
    <w:p w14:paraId="08350AA4" w14:textId="77777777" w:rsidR="0076292F" w:rsidRDefault="0076292F" w:rsidP="00431F58">
      <w:pPr>
        <w:spacing w:line="480" w:lineRule="auto"/>
        <w:jc w:val="both"/>
        <w:rPr>
          <w:rFonts w:ascii="Times New Roman" w:hAnsi="Times New Roman" w:cs="Times New Roman"/>
          <w:sz w:val="24"/>
          <w:szCs w:val="24"/>
        </w:rPr>
      </w:pPr>
    </w:p>
    <w:p w14:paraId="75E5D977" w14:textId="77777777" w:rsidR="007B48DD" w:rsidRDefault="009C4303" w:rsidP="00431F5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21BFA8" wp14:editId="5FC260B1">
            <wp:extent cx="5731510" cy="3097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NT 2.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097530"/>
                    </a:xfrm>
                    <a:prstGeom prst="rect">
                      <a:avLst/>
                    </a:prstGeom>
                  </pic:spPr>
                </pic:pic>
              </a:graphicData>
            </a:graphic>
          </wp:inline>
        </w:drawing>
      </w:r>
    </w:p>
    <w:p w14:paraId="0DD4AAA9" w14:textId="77777777" w:rsidR="007B48DD" w:rsidRDefault="009C4303" w:rsidP="00431F5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F044187" wp14:editId="2152A452">
            <wp:extent cx="5731510" cy="277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CENT 3.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778125"/>
                    </a:xfrm>
                    <a:prstGeom prst="rect">
                      <a:avLst/>
                    </a:prstGeom>
                  </pic:spPr>
                </pic:pic>
              </a:graphicData>
            </a:graphic>
          </wp:inline>
        </w:drawing>
      </w:r>
    </w:p>
    <w:p w14:paraId="32A3D5C2" w14:textId="77777777" w:rsidR="007B48DD" w:rsidRDefault="004A0896" w:rsidP="00431F58">
      <w:pPr>
        <w:spacing w:line="480" w:lineRule="auto"/>
        <w:jc w:val="both"/>
        <w:rPr>
          <w:rFonts w:ascii="Times New Roman" w:hAnsi="Times New Roman" w:cs="Times New Roman"/>
          <w:b/>
          <w:bCs/>
          <w:sz w:val="24"/>
          <w:szCs w:val="24"/>
        </w:rPr>
      </w:pPr>
      <w:r w:rsidRPr="004A0896">
        <w:rPr>
          <w:rFonts w:ascii="Times New Roman" w:hAnsi="Times New Roman" w:cs="Times New Roman"/>
          <w:b/>
          <w:bCs/>
          <w:sz w:val="24"/>
          <w:szCs w:val="24"/>
        </w:rPr>
        <w:t>DISCUSSION</w:t>
      </w:r>
    </w:p>
    <w:p w14:paraId="524C4E70" w14:textId="77777777" w:rsidR="008430DE" w:rsidRPr="008430DE" w:rsidRDefault="008430DE" w:rsidP="0068426B">
      <w:pPr>
        <w:tabs>
          <w:tab w:val="left" w:pos="7488"/>
        </w:tabs>
        <w:spacing w:after="0" w:line="480" w:lineRule="auto"/>
        <w:jc w:val="both"/>
        <w:rPr>
          <w:rFonts w:ascii="Times New Roman" w:hAnsi="Times New Roman" w:cs="Times New Roman"/>
          <w:sz w:val="24"/>
          <w:szCs w:val="24"/>
        </w:rPr>
      </w:pPr>
      <w:r w:rsidRPr="008430DE">
        <w:rPr>
          <w:rFonts w:ascii="Times New Roman" w:hAnsi="Times New Roman" w:cs="Times New Roman"/>
          <w:sz w:val="24"/>
          <w:szCs w:val="24"/>
        </w:rPr>
        <w:t>Cyanide poisoning may result from a variety of exposures, including structural fires, industrial exposures such as sodium nitroprusside and certain fo</w:t>
      </w:r>
      <w:r>
        <w:rPr>
          <w:rFonts w:ascii="Times New Roman" w:hAnsi="Times New Roman" w:cs="Times New Roman"/>
          <w:sz w:val="24"/>
          <w:szCs w:val="24"/>
        </w:rPr>
        <w:t xml:space="preserve">ods </w:t>
      </w:r>
      <w:r w:rsidR="001D7CEB" w:rsidRPr="001D7CEB">
        <w:rPr>
          <w:rFonts w:ascii="Times New Roman" w:hAnsi="Times New Roman" w:cs="Times New Roman"/>
          <w:sz w:val="24"/>
          <w:szCs w:val="24"/>
          <w:vertAlign w:val="superscript"/>
        </w:rPr>
        <w:t>8</w:t>
      </w:r>
      <w:r w:rsidR="00213DA3">
        <w:rPr>
          <w:rFonts w:ascii="Times New Roman" w:hAnsi="Times New Roman" w:cs="Times New Roman"/>
          <w:sz w:val="24"/>
          <w:szCs w:val="24"/>
        </w:rPr>
        <w:t>.</w:t>
      </w:r>
      <w:r w:rsidRPr="008430DE">
        <w:rPr>
          <w:rFonts w:ascii="Times New Roman" w:hAnsi="Times New Roman" w:cs="Times New Roman"/>
          <w:sz w:val="24"/>
          <w:szCs w:val="24"/>
        </w:rPr>
        <w:t xml:space="preserve"> </w:t>
      </w:r>
      <w:r w:rsidR="007A705A">
        <w:rPr>
          <w:rFonts w:ascii="Times New Roman" w:eastAsia="Calibri" w:hAnsi="Times New Roman"/>
          <w:sz w:val="24"/>
          <w:szCs w:val="24"/>
        </w:rPr>
        <w:t>C</w:t>
      </w:r>
      <w:r w:rsidR="007A705A" w:rsidRPr="00CF1D8C">
        <w:rPr>
          <w:rFonts w:ascii="Times New Roman" w:eastAsia="Calibri" w:hAnsi="Times New Roman"/>
          <w:sz w:val="24"/>
          <w:szCs w:val="24"/>
        </w:rPr>
        <w:t xml:space="preserve">yanide intoxication </w:t>
      </w:r>
      <w:r w:rsidR="007A705A">
        <w:rPr>
          <w:rFonts w:ascii="Times New Roman" w:eastAsia="Calibri" w:hAnsi="Times New Roman"/>
          <w:sz w:val="24"/>
          <w:szCs w:val="24"/>
        </w:rPr>
        <w:t xml:space="preserve">may </w:t>
      </w:r>
      <w:r w:rsidR="007A705A" w:rsidRPr="00CF1D8C">
        <w:rPr>
          <w:rFonts w:ascii="Times New Roman" w:eastAsia="Calibri" w:hAnsi="Times New Roman"/>
          <w:sz w:val="24"/>
          <w:szCs w:val="24"/>
        </w:rPr>
        <w:t xml:space="preserve">produce some pathologic effects on different tissues that precede alterations in biochemical parameters. Consequently, certain types of cells are damaged and leak enzymes into the blood, where they can be measured as indicator of cell damage </w:t>
      </w:r>
      <w:r w:rsidR="001D7CEB" w:rsidRPr="001D7CEB">
        <w:rPr>
          <w:rFonts w:ascii="Times New Roman" w:eastAsia="Calibri" w:hAnsi="Times New Roman"/>
          <w:sz w:val="24"/>
          <w:szCs w:val="24"/>
          <w:vertAlign w:val="superscript"/>
        </w:rPr>
        <w:t>5</w:t>
      </w:r>
      <w:r w:rsidR="00213DA3">
        <w:rPr>
          <w:rFonts w:ascii="Times New Roman" w:eastAsia="Calibri" w:hAnsi="Times New Roman"/>
          <w:sz w:val="24"/>
          <w:szCs w:val="24"/>
        </w:rPr>
        <w:t xml:space="preserve">. </w:t>
      </w:r>
      <w:r w:rsidRPr="008430DE">
        <w:rPr>
          <w:rFonts w:ascii="Times New Roman" w:hAnsi="Times New Roman" w:cs="Times New Roman"/>
          <w:sz w:val="24"/>
          <w:szCs w:val="24"/>
        </w:rPr>
        <w:t>Biochemical alterations are considered as sensitive indicators of toxicity before the expressio</w:t>
      </w:r>
      <w:r>
        <w:rPr>
          <w:rFonts w:ascii="Times New Roman" w:hAnsi="Times New Roman" w:cs="Times New Roman"/>
          <w:sz w:val="24"/>
          <w:szCs w:val="24"/>
        </w:rPr>
        <w:t>n of visible hazardous effects</w:t>
      </w:r>
      <w:r w:rsidR="007A705A" w:rsidRPr="00CF1D8C">
        <w:rPr>
          <w:rFonts w:ascii="Times New Roman" w:eastAsia="Calibri" w:hAnsi="Times New Roman"/>
          <w:sz w:val="24"/>
          <w:szCs w:val="24"/>
        </w:rPr>
        <w:t xml:space="preserve"> </w:t>
      </w:r>
      <w:r w:rsidR="001D7CEB" w:rsidRPr="001D7CEB">
        <w:rPr>
          <w:rFonts w:ascii="Times New Roman" w:eastAsia="Calibri" w:hAnsi="Times New Roman"/>
          <w:sz w:val="24"/>
          <w:szCs w:val="24"/>
          <w:vertAlign w:val="superscript"/>
        </w:rPr>
        <w:t>5</w:t>
      </w:r>
      <w:r w:rsidR="00213DA3">
        <w:rPr>
          <w:rFonts w:ascii="Times New Roman" w:eastAsia="Calibri" w:hAnsi="Times New Roman"/>
          <w:sz w:val="24"/>
          <w:szCs w:val="24"/>
        </w:rPr>
        <w:t>.</w:t>
      </w:r>
    </w:p>
    <w:p w14:paraId="546A0C28" w14:textId="77777777" w:rsidR="00047932" w:rsidRDefault="00047932"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 of this study showed s</w:t>
      </w:r>
      <w:r w:rsidR="0068426B">
        <w:rPr>
          <w:rFonts w:ascii="Times New Roman" w:hAnsi="Times New Roman" w:cs="Times New Roman"/>
          <w:sz w:val="24"/>
          <w:szCs w:val="24"/>
        </w:rPr>
        <w:t>ignificant</w:t>
      </w:r>
      <w:r w:rsidR="007E1BC8">
        <w:rPr>
          <w:rFonts w:ascii="Times New Roman" w:hAnsi="Times New Roman" w:cs="Times New Roman"/>
          <w:sz w:val="24"/>
          <w:szCs w:val="24"/>
        </w:rPr>
        <w:t xml:space="preserve"> </w:t>
      </w:r>
      <w:r w:rsidR="0068426B">
        <w:rPr>
          <w:rFonts w:ascii="Times New Roman" w:hAnsi="Times New Roman" w:cs="Times New Roman"/>
          <w:sz w:val="24"/>
          <w:szCs w:val="24"/>
        </w:rPr>
        <w:t xml:space="preserve">increase </w:t>
      </w:r>
      <w:r w:rsidR="0068426B" w:rsidRPr="00AE4236">
        <w:rPr>
          <w:rFonts w:ascii="Times New Roman" w:hAnsi="Times New Roman" w:cs="Times New Roman"/>
          <w:sz w:val="24"/>
          <w:szCs w:val="24"/>
        </w:rPr>
        <w:t>in</w:t>
      </w:r>
      <w:r w:rsidR="0068426B">
        <w:rPr>
          <w:rFonts w:ascii="Times New Roman" w:hAnsi="Times New Roman" w:cs="Times New Roman"/>
          <w:sz w:val="24"/>
          <w:szCs w:val="24"/>
        </w:rPr>
        <w:t xml:space="preserve"> serum concentration of</w:t>
      </w:r>
      <w:r>
        <w:rPr>
          <w:rFonts w:ascii="Times New Roman" w:hAnsi="Times New Roman" w:cs="Times New Roman"/>
          <w:sz w:val="24"/>
          <w:szCs w:val="24"/>
        </w:rPr>
        <w:t xml:space="preserve"> renal function parameters in thirty, sixty ninety days respectively. The </w:t>
      </w:r>
      <w:r w:rsidR="0068426B">
        <w:rPr>
          <w:rFonts w:ascii="Times New Roman" w:hAnsi="Times New Roman" w:cs="Times New Roman"/>
          <w:sz w:val="24"/>
          <w:szCs w:val="24"/>
        </w:rPr>
        <w:t>observed increase</w:t>
      </w:r>
      <w:r w:rsidR="0068426B" w:rsidRPr="00AE4236">
        <w:rPr>
          <w:rFonts w:ascii="Times New Roman" w:hAnsi="Times New Roman" w:cs="Times New Roman"/>
          <w:sz w:val="24"/>
          <w:szCs w:val="24"/>
        </w:rPr>
        <w:t xml:space="preserve"> in</w:t>
      </w:r>
      <w:r w:rsidR="0068426B">
        <w:rPr>
          <w:rFonts w:ascii="Times New Roman" w:hAnsi="Times New Roman" w:cs="Times New Roman"/>
          <w:sz w:val="24"/>
          <w:szCs w:val="24"/>
        </w:rPr>
        <w:t xml:space="preserve"> serum concentration of</w:t>
      </w:r>
      <w:r w:rsidR="0068426B" w:rsidRPr="00AE4236">
        <w:rPr>
          <w:rFonts w:ascii="Times New Roman" w:hAnsi="Times New Roman" w:cs="Times New Roman"/>
          <w:sz w:val="24"/>
          <w:szCs w:val="24"/>
        </w:rPr>
        <w:t xml:space="preserve"> the renal f</w:t>
      </w:r>
      <w:r w:rsidR="0068426B">
        <w:rPr>
          <w:rFonts w:ascii="Times New Roman" w:hAnsi="Times New Roman" w:cs="Times New Roman"/>
          <w:sz w:val="24"/>
          <w:szCs w:val="24"/>
        </w:rPr>
        <w:t>unction parameters</w:t>
      </w:r>
      <w:r w:rsidR="0068426B" w:rsidRPr="00AE4236">
        <w:rPr>
          <w:rFonts w:ascii="Times New Roman" w:hAnsi="Times New Roman" w:cs="Times New Roman"/>
          <w:sz w:val="24"/>
          <w:szCs w:val="24"/>
        </w:rPr>
        <w:t xml:space="preserve"> indicates long-term effect of cyanide toxicity on kidney</w:t>
      </w:r>
      <w:r w:rsidR="0068426B">
        <w:rPr>
          <w:rFonts w:ascii="Times New Roman" w:hAnsi="Times New Roman" w:cs="Times New Roman"/>
          <w:sz w:val="24"/>
          <w:szCs w:val="24"/>
        </w:rPr>
        <w:t xml:space="preserve">. </w:t>
      </w:r>
    </w:p>
    <w:p w14:paraId="036142D6" w14:textId="77777777"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Serum urea concentration has been used for many years as a parameter to assess renal function and this study observed significant increase in serum urea concentration in thirty, sixty and ninety days. The result of this study agreed with the work of </w:t>
      </w:r>
      <w:r w:rsidR="001D7CEB" w:rsidRPr="001D7CEB">
        <w:rPr>
          <w:rFonts w:ascii="Times New Roman" w:hAnsi="Times New Roman" w:cs="Times New Roman"/>
          <w:sz w:val="24"/>
          <w:szCs w:val="24"/>
          <w:vertAlign w:val="superscript"/>
        </w:rPr>
        <w:t>9</w:t>
      </w:r>
      <w:r w:rsidR="00047932">
        <w:rPr>
          <w:rFonts w:ascii="Times New Roman" w:hAnsi="Times New Roman" w:cs="Times New Roman"/>
          <w:sz w:val="24"/>
          <w:szCs w:val="24"/>
        </w:rPr>
        <w:t xml:space="preserve"> which reported</w:t>
      </w:r>
      <w:r>
        <w:rPr>
          <w:rFonts w:ascii="Times New Roman" w:hAnsi="Times New Roman" w:cs="Times New Roman"/>
          <w:sz w:val="24"/>
          <w:szCs w:val="24"/>
        </w:rPr>
        <w:t xml:space="preserve"> that cyanide poisoning is closely associated with </w:t>
      </w:r>
      <w:proofErr w:type="spellStart"/>
      <w:r>
        <w:rPr>
          <w:rFonts w:ascii="Times New Roman" w:hAnsi="Times New Roman" w:cs="Times New Roman"/>
          <w:sz w:val="24"/>
          <w:szCs w:val="24"/>
        </w:rPr>
        <w:t>ureamic</w:t>
      </w:r>
      <w:proofErr w:type="spellEnd"/>
      <w:r>
        <w:rPr>
          <w:rFonts w:ascii="Times New Roman" w:hAnsi="Times New Roman" w:cs="Times New Roman"/>
          <w:sz w:val="24"/>
          <w:szCs w:val="24"/>
        </w:rPr>
        <w:t xml:space="preserve"> complication, also </w:t>
      </w:r>
      <w:r w:rsidR="001D7CEB" w:rsidRPr="001D7CEB">
        <w:rPr>
          <w:rFonts w:ascii="Times New Roman" w:hAnsi="Times New Roman" w:cs="Times New Roman"/>
          <w:sz w:val="24"/>
          <w:szCs w:val="24"/>
          <w:vertAlign w:val="superscript"/>
        </w:rPr>
        <w:t>10</w:t>
      </w:r>
      <w:r>
        <w:rPr>
          <w:rFonts w:ascii="Times New Roman" w:hAnsi="Times New Roman" w:cs="Times New Roman"/>
          <w:sz w:val="24"/>
          <w:szCs w:val="24"/>
        </w:rPr>
        <w:t xml:space="preserve"> found significant </w:t>
      </w:r>
      <w:r>
        <w:rPr>
          <w:rFonts w:ascii="Times New Roman" w:hAnsi="Times New Roman" w:cs="Times New Roman"/>
          <w:sz w:val="24"/>
          <w:szCs w:val="24"/>
        </w:rPr>
        <w:lastRenderedPageBreak/>
        <w:t xml:space="preserve">increase in urea and creatinine levels from patients following ingestion of sodium cyanide. The increased serum urea concentration could be as a result of the histotoxic hypoxia effect of cyanide on the renal proximal tubular epithelium and glomeruli. </w:t>
      </w:r>
      <w:r w:rsidRPr="00676CF9">
        <w:rPr>
          <w:rFonts w:ascii="Times New Roman" w:hAnsi="Times New Roman" w:cs="Times New Roman"/>
          <w:sz w:val="24"/>
          <w:szCs w:val="24"/>
        </w:rPr>
        <w:t>Although kidney converts cyanide to thiocyanate, a less toxic substance, its long-term exposure could cause tubular necrosis</w:t>
      </w:r>
      <w:r w:rsidR="003D062A">
        <w:rPr>
          <w:rFonts w:ascii="Times New Roman" w:hAnsi="Times New Roman" w:cs="Times New Roman"/>
          <w:sz w:val="24"/>
          <w:szCs w:val="24"/>
        </w:rPr>
        <w:t xml:space="preserve"> as shown by the histology </w:t>
      </w:r>
      <w:r w:rsidR="000618C7">
        <w:rPr>
          <w:rFonts w:ascii="Times New Roman" w:hAnsi="Times New Roman" w:cs="Times New Roman"/>
          <w:sz w:val="24"/>
          <w:szCs w:val="24"/>
        </w:rPr>
        <w:t>report</w:t>
      </w:r>
      <w:r w:rsidR="005C2C1A">
        <w:rPr>
          <w:rFonts w:ascii="Times New Roman" w:hAnsi="Times New Roman" w:cs="Times New Roman"/>
          <w:sz w:val="24"/>
          <w:szCs w:val="24"/>
        </w:rPr>
        <w:t xml:space="preserve"> in Fig 2,</w:t>
      </w:r>
      <w:r w:rsidR="000618C7">
        <w:rPr>
          <w:rFonts w:ascii="Times New Roman" w:hAnsi="Times New Roman" w:cs="Times New Roman"/>
          <w:sz w:val="24"/>
          <w:szCs w:val="24"/>
        </w:rPr>
        <w:t xml:space="preserve"> </w:t>
      </w:r>
      <w:r w:rsidR="000618C7" w:rsidRPr="00676CF9">
        <w:rPr>
          <w:rFonts w:ascii="Times New Roman" w:hAnsi="Times New Roman" w:cs="Times New Roman"/>
          <w:sz w:val="24"/>
          <w:szCs w:val="24"/>
        </w:rPr>
        <w:t>which</w:t>
      </w:r>
      <w:r w:rsidRPr="00676CF9">
        <w:rPr>
          <w:rFonts w:ascii="Times New Roman" w:hAnsi="Times New Roman" w:cs="Times New Roman"/>
          <w:sz w:val="24"/>
          <w:szCs w:val="24"/>
        </w:rPr>
        <w:t xml:space="preserve"> could eventually lead to retention of nitrogenous waste (urea, creatinine)</w:t>
      </w:r>
      <w:r>
        <w:rPr>
          <w:rFonts w:ascii="Times New Roman" w:hAnsi="Times New Roman" w:cs="Times New Roman"/>
          <w:sz w:val="24"/>
          <w:szCs w:val="24"/>
        </w:rPr>
        <w:t>.</w:t>
      </w:r>
      <w:r w:rsidR="00047932">
        <w:rPr>
          <w:rFonts w:ascii="Times New Roman" w:hAnsi="Times New Roman" w:cs="Times New Roman"/>
          <w:sz w:val="24"/>
          <w:szCs w:val="24"/>
        </w:rPr>
        <w:t xml:space="preserve"> </w:t>
      </w:r>
    </w:p>
    <w:p w14:paraId="454DB939" w14:textId="77777777" w:rsidR="0068426B" w:rsidRDefault="0068426B" w:rsidP="0068426B">
      <w:pPr>
        <w:tabs>
          <w:tab w:val="left" w:pos="7488"/>
        </w:tabs>
        <w:spacing w:after="0" w:line="480" w:lineRule="auto"/>
        <w:jc w:val="both"/>
        <w:rPr>
          <w:rFonts w:ascii="Times New Roman" w:hAnsi="Times New Roman" w:cs="Times New Roman"/>
          <w:sz w:val="24"/>
          <w:szCs w:val="24"/>
        </w:rPr>
      </w:pPr>
    </w:p>
    <w:p w14:paraId="51C7A35C" w14:textId="77777777"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Serum creatinine concentration has been used as markers of glomerular filtration rate, because its concentration in plasma is maintained within narrow limits by glomerular filtration </w:t>
      </w:r>
      <w:r w:rsidR="001D7CEB" w:rsidRPr="001D7CEB">
        <w:rPr>
          <w:rFonts w:ascii="Times New Roman" w:hAnsi="Times New Roman" w:cs="Times New Roman"/>
          <w:sz w:val="24"/>
          <w:szCs w:val="24"/>
          <w:vertAlign w:val="superscript"/>
        </w:rPr>
        <w:t>1</w:t>
      </w:r>
      <w:r w:rsidR="00213DA3">
        <w:rPr>
          <w:rFonts w:ascii="Times New Roman" w:hAnsi="Times New Roman" w:cs="Times New Roman"/>
          <w:sz w:val="24"/>
          <w:szCs w:val="24"/>
        </w:rPr>
        <w:t xml:space="preserve">. </w:t>
      </w:r>
      <w:r>
        <w:rPr>
          <w:rFonts w:ascii="Times New Roman" w:hAnsi="Times New Roman" w:cs="Times New Roman"/>
          <w:sz w:val="24"/>
          <w:szCs w:val="24"/>
        </w:rPr>
        <w:t>This study found that the serum creatinine concentration was significantly increased in ascending order from thirty, sixty and ninety days respectively. The observed increased serum creatinine concentration indicates renal abnormalities, thus reflecting altered glomerular filtration function</w:t>
      </w:r>
      <w:r w:rsidR="005C2C1A">
        <w:rPr>
          <w:rFonts w:ascii="Times New Roman" w:hAnsi="Times New Roman" w:cs="Times New Roman"/>
          <w:sz w:val="24"/>
          <w:szCs w:val="24"/>
        </w:rPr>
        <w:t xml:space="preserve"> as shown by the histology report in Fig 3</w:t>
      </w:r>
      <w:r>
        <w:rPr>
          <w:rFonts w:ascii="Times New Roman" w:hAnsi="Times New Roman" w:cs="Times New Roman"/>
          <w:sz w:val="24"/>
          <w:szCs w:val="24"/>
        </w:rPr>
        <w:t xml:space="preserve">. The production of creatine and subsequently creatinine depends on muscle mass which fluctuates very little. Creatinine is excreted entirely by the kidneys and therefore is directly proportional to renal excretory function. With abnormal excretory function, the serum creatinine concentrations should be abnormal. The increase in concentration of creatinine and urea is a pointer to the fact that renal dysfunction is a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outcome of chronic exposure to cyanide. The result of this study agrees with the work of </w:t>
      </w:r>
      <w:r w:rsidR="001D7CEB" w:rsidRPr="001D7CEB">
        <w:rPr>
          <w:rFonts w:ascii="Times New Roman" w:hAnsi="Times New Roman" w:cs="Times New Roman"/>
          <w:sz w:val="24"/>
          <w:szCs w:val="24"/>
          <w:vertAlign w:val="superscript"/>
        </w:rPr>
        <w:t>11</w:t>
      </w:r>
      <w:r>
        <w:rPr>
          <w:rFonts w:ascii="Times New Roman" w:hAnsi="Times New Roman" w:cs="Times New Roman"/>
          <w:sz w:val="24"/>
          <w:szCs w:val="24"/>
        </w:rPr>
        <w:t xml:space="preserve"> that showed increase level of creatinine in rabbit following cyanide exposure.</w:t>
      </w:r>
    </w:p>
    <w:p w14:paraId="72D2F096" w14:textId="77777777"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Sodium (Na</w:t>
      </w:r>
      <w:r w:rsidRPr="00C36D72">
        <w:rPr>
          <w:rFonts w:ascii="Times New Roman" w:hAnsi="Times New Roman" w:cs="Times New Roman"/>
          <w:sz w:val="24"/>
          <w:szCs w:val="24"/>
          <w:vertAlign w:val="superscript"/>
        </w:rPr>
        <w:t>+</w:t>
      </w:r>
      <w:r>
        <w:rPr>
          <w:rFonts w:ascii="Times New Roman" w:hAnsi="Times New Roman" w:cs="Times New Roman"/>
          <w:sz w:val="24"/>
          <w:szCs w:val="24"/>
        </w:rPr>
        <w:t xml:space="preserve">) ion is the major cation of extracellular fluid. This study found that the serum concentration of sodium ion was significantly increased. The kidney regulates the amount of sodium ion in the body. It is therefore thought that kidney dysfunction would generally present with abnormality in sodium ion concentration and this could be due to the increasing periods of exposure to cyanide. The biochemical bases for this induced hypernatremia could </w:t>
      </w:r>
      <w:r>
        <w:rPr>
          <w:rFonts w:ascii="Times New Roman" w:hAnsi="Times New Roman" w:cs="Times New Roman"/>
          <w:sz w:val="24"/>
          <w:szCs w:val="24"/>
        </w:rPr>
        <w:lastRenderedPageBreak/>
        <w:t xml:space="preserve">be three-fold, that is, neurological, hypovolemia and </w:t>
      </w:r>
      <w:proofErr w:type="spellStart"/>
      <w:r>
        <w:rPr>
          <w:rFonts w:ascii="Times New Roman" w:hAnsi="Times New Roman" w:cs="Times New Roman"/>
          <w:sz w:val="24"/>
          <w:szCs w:val="24"/>
        </w:rPr>
        <w:t>normovolemia</w:t>
      </w:r>
      <w:proofErr w:type="spellEnd"/>
      <w:r>
        <w:rPr>
          <w:rFonts w:ascii="Times New Roman" w:hAnsi="Times New Roman" w:cs="Times New Roman"/>
          <w:sz w:val="24"/>
          <w:szCs w:val="24"/>
        </w:rPr>
        <w:t xml:space="preserve"> </w:t>
      </w:r>
      <w:r w:rsidR="001D7CEB" w:rsidRPr="001D7CEB">
        <w:rPr>
          <w:rFonts w:ascii="Times New Roman" w:hAnsi="Times New Roman" w:cs="Times New Roman"/>
          <w:sz w:val="24"/>
          <w:szCs w:val="24"/>
          <w:vertAlign w:val="superscript"/>
        </w:rPr>
        <w:t>12</w:t>
      </w:r>
      <w:r w:rsidR="00213DA3">
        <w:rPr>
          <w:rFonts w:ascii="Times New Roman" w:hAnsi="Times New Roman" w:cs="Times New Roman"/>
          <w:sz w:val="24"/>
          <w:szCs w:val="24"/>
        </w:rPr>
        <w:t xml:space="preserve">. </w:t>
      </w:r>
      <w:r>
        <w:rPr>
          <w:rFonts w:ascii="Times New Roman" w:hAnsi="Times New Roman" w:cs="Times New Roman"/>
          <w:sz w:val="24"/>
          <w:szCs w:val="24"/>
        </w:rPr>
        <w:t xml:space="preserve">The path utilized by sodium cyanide could be neurological as cyanide is associated with neurons. Also, cyanide could utilize the path of </w:t>
      </w:r>
      <w:proofErr w:type="spellStart"/>
      <w:r>
        <w:rPr>
          <w:rFonts w:ascii="Times New Roman" w:hAnsi="Times New Roman" w:cs="Times New Roman"/>
          <w:sz w:val="24"/>
          <w:szCs w:val="24"/>
        </w:rPr>
        <w:t>normovolemia</w:t>
      </w:r>
      <w:proofErr w:type="spellEnd"/>
      <w:r>
        <w:rPr>
          <w:rFonts w:ascii="Times New Roman" w:hAnsi="Times New Roman" w:cs="Times New Roman"/>
          <w:sz w:val="24"/>
          <w:szCs w:val="24"/>
        </w:rPr>
        <w:t xml:space="preserve"> by altering the capacity of anti-diuretic hormone (ADH) responsible for the regulation of extracellular water composition. It is an established fact that cyanide affects the brain, ADH being a product of the brain could be affected </w:t>
      </w:r>
      <w:r w:rsidR="001D7CEB" w:rsidRPr="001D7CEB">
        <w:rPr>
          <w:rFonts w:ascii="Times New Roman" w:hAnsi="Times New Roman" w:cs="Times New Roman"/>
          <w:sz w:val="24"/>
          <w:szCs w:val="24"/>
          <w:vertAlign w:val="superscript"/>
        </w:rPr>
        <w:t>12</w:t>
      </w:r>
      <w:r>
        <w:rPr>
          <w:rFonts w:ascii="Times New Roman" w:hAnsi="Times New Roman" w:cs="Times New Roman"/>
          <w:sz w:val="24"/>
          <w:szCs w:val="24"/>
        </w:rPr>
        <w:t xml:space="preserve">(Andrew 2003). This result agrees with the report of </w:t>
      </w:r>
      <w:r w:rsidR="001D7CEB" w:rsidRPr="001D7CEB">
        <w:rPr>
          <w:rFonts w:ascii="Times New Roman" w:hAnsi="Times New Roman" w:cs="Times New Roman"/>
          <w:sz w:val="24"/>
          <w:szCs w:val="24"/>
          <w:vertAlign w:val="superscript"/>
        </w:rPr>
        <w:t>13</w:t>
      </w:r>
      <w:r w:rsidR="00213DA3">
        <w:rPr>
          <w:rFonts w:ascii="Times New Roman" w:hAnsi="Times New Roman" w:cs="Times New Roman"/>
          <w:sz w:val="24"/>
          <w:szCs w:val="24"/>
        </w:rPr>
        <w:t xml:space="preserve"> </w:t>
      </w:r>
      <w:r>
        <w:rPr>
          <w:rFonts w:ascii="Times New Roman" w:hAnsi="Times New Roman" w:cs="Times New Roman"/>
          <w:sz w:val="24"/>
          <w:szCs w:val="24"/>
        </w:rPr>
        <w:t>that showed increase sodium ion level in rabbits exposed to cyanide</w:t>
      </w:r>
    </w:p>
    <w:p w14:paraId="2164A77A" w14:textId="77777777"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Chloride (Cl</w:t>
      </w:r>
      <w:r w:rsidRPr="00ED42D8">
        <w:rPr>
          <w:rFonts w:ascii="Times New Roman" w:hAnsi="Times New Roman" w:cs="Times New Roman"/>
          <w:sz w:val="24"/>
          <w:szCs w:val="24"/>
          <w:vertAlign w:val="superscript"/>
        </w:rPr>
        <w:t>+</w:t>
      </w:r>
      <w:r>
        <w:rPr>
          <w:rFonts w:ascii="Times New Roman" w:hAnsi="Times New Roman" w:cs="Times New Roman"/>
          <w:sz w:val="24"/>
          <w:szCs w:val="24"/>
        </w:rPr>
        <w:t xml:space="preserve">) is the major anion in the extracellular fluid. In this study, the chloride ion concentration was significantly increased. Like sodium ion, chloride ion is involved in the maintenance of water distribution, osmotic pressure and anion-cation homeostasis in the extracellular fluid. Chloride ion is an important driver of numerous homeostatic mechanisms including regulation of rennin secretion, </w:t>
      </w:r>
      <w:proofErr w:type="spellStart"/>
      <w:r>
        <w:rPr>
          <w:rFonts w:ascii="Times New Roman" w:hAnsi="Times New Roman" w:cs="Times New Roman"/>
          <w:sz w:val="24"/>
          <w:szCs w:val="24"/>
        </w:rPr>
        <w:t>tubuloglomerular</w:t>
      </w:r>
      <w:proofErr w:type="spellEnd"/>
      <w:r>
        <w:rPr>
          <w:rFonts w:ascii="Times New Roman" w:hAnsi="Times New Roman" w:cs="Times New Roman"/>
          <w:sz w:val="24"/>
          <w:szCs w:val="24"/>
        </w:rPr>
        <w:t xml:space="preserve"> feedback and renal sodium handling </w:t>
      </w:r>
      <w:r w:rsidR="001D7CEB" w:rsidRPr="001D7CEB">
        <w:rPr>
          <w:rFonts w:ascii="Times New Roman" w:hAnsi="Times New Roman" w:cs="Times New Roman"/>
          <w:sz w:val="24"/>
          <w:szCs w:val="24"/>
          <w:vertAlign w:val="superscript"/>
        </w:rPr>
        <w:t>14</w:t>
      </w:r>
      <w:r w:rsidR="00213DA3">
        <w:rPr>
          <w:rFonts w:ascii="Times New Roman" w:hAnsi="Times New Roman" w:cs="Times New Roman"/>
          <w:sz w:val="24"/>
          <w:szCs w:val="24"/>
        </w:rPr>
        <w:t xml:space="preserve">. </w:t>
      </w:r>
      <w:r>
        <w:rPr>
          <w:rFonts w:ascii="Times New Roman" w:hAnsi="Times New Roman" w:cs="Times New Roman"/>
          <w:sz w:val="24"/>
          <w:szCs w:val="24"/>
        </w:rPr>
        <w:t xml:space="preserve">It is excreted by the kidneys. The possible explanation for the observed increased serum chloride ion concentration is based on metabolic acidosis occasioned by long term cyanide exposure. Since higher serum chloride ion concentrations are often seen concurrently with metabolic acidosis, which is associated with increased risk of chronic kidney disease and metabolic acidosis results from cellular hypoxia occasioned by cyanide exposure </w:t>
      </w:r>
      <w:r w:rsidR="001D7CEB" w:rsidRPr="001D7CEB">
        <w:rPr>
          <w:rFonts w:ascii="Times New Roman" w:hAnsi="Times New Roman" w:cs="Times New Roman"/>
          <w:sz w:val="24"/>
          <w:szCs w:val="24"/>
          <w:vertAlign w:val="superscript"/>
        </w:rPr>
        <w:t>15</w:t>
      </w:r>
      <w:r w:rsidR="00213DA3">
        <w:rPr>
          <w:rFonts w:ascii="Times New Roman" w:hAnsi="Times New Roman" w:cs="Times New Roman"/>
          <w:sz w:val="24"/>
          <w:szCs w:val="24"/>
        </w:rPr>
        <w:t>.</w:t>
      </w:r>
      <w:r>
        <w:rPr>
          <w:rFonts w:ascii="Times New Roman" w:hAnsi="Times New Roman" w:cs="Times New Roman"/>
          <w:sz w:val="24"/>
          <w:szCs w:val="24"/>
        </w:rPr>
        <w:t xml:space="preserve"> The finding is in line with the work of </w:t>
      </w:r>
      <w:r w:rsidR="001D7CEB" w:rsidRPr="001D7CEB">
        <w:rPr>
          <w:rFonts w:ascii="Times New Roman" w:hAnsi="Times New Roman" w:cs="Times New Roman"/>
          <w:sz w:val="24"/>
          <w:szCs w:val="24"/>
          <w:vertAlign w:val="superscript"/>
        </w:rPr>
        <w:t>14</w:t>
      </w:r>
      <w:r w:rsidR="00213DA3">
        <w:rPr>
          <w:rFonts w:ascii="Times New Roman" w:hAnsi="Times New Roman" w:cs="Times New Roman"/>
          <w:sz w:val="24"/>
          <w:szCs w:val="24"/>
        </w:rPr>
        <w:t xml:space="preserve"> </w:t>
      </w:r>
      <w:r>
        <w:rPr>
          <w:rFonts w:ascii="Times New Roman" w:hAnsi="Times New Roman" w:cs="Times New Roman"/>
          <w:sz w:val="24"/>
          <w:szCs w:val="24"/>
        </w:rPr>
        <w:t>who reported that higher serum chloride ion is associated with an increased glomerular filtration rate.</w:t>
      </w:r>
    </w:p>
    <w:p w14:paraId="2D79A5E6" w14:textId="77777777" w:rsidR="0068426B" w:rsidRDefault="0068426B" w:rsidP="0068426B">
      <w:pPr>
        <w:tabs>
          <w:tab w:val="left" w:pos="7488"/>
        </w:tabs>
        <w:spacing w:after="0" w:line="480" w:lineRule="auto"/>
        <w:jc w:val="both"/>
        <w:rPr>
          <w:rFonts w:ascii="Times New Roman" w:hAnsi="Times New Roman" w:cs="Times New Roman"/>
          <w:sz w:val="24"/>
          <w:szCs w:val="24"/>
        </w:rPr>
      </w:pPr>
    </w:p>
    <w:p w14:paraId="2EDE3356" w14:textId="77777777" w:rsidR="0068426B" w:rsidRDefault="0068426B" w:rsidP="0068426B">
      <w:pPr>
        <w:tabs>
          <w:tab w:val="left" w:pos="7488"/>
        </w:tabs>
        <w:spacing w:after="0" w:line="480" w:lineRule="auto"/>
        <w:jc w:val="both"/>
        <w:rPr>
          <w:rFonts w:ascii="Times New Roman" w:hAnsi="Times New Roman" w:cs="Times New Roman"/>
          <w:sz w:val="24"/>
          <w:szCs w:val="24"/>
        </w:rPr>
      </w:pPr>
    </w:p>
    <w:p w14:paraId="1D64285C" w14:textId="77777777"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Kidney Injury Molecule 1(KIM-1) is a useful biomarker for renal proximal tubule injury </w:t>
      </w:r>
      <w:r w:rsidR="001D7CEB" w:rsidRPr="001D7CEB">
        <w:rPr>
          <w:rFonts w:ascii="Times New Roman" w:hAnsi="Times New Roman" w:cs="Times New Roman"/>
          <w:sz w:val="24"/>
          <w:szCs w:val="24"/>
          <w:vertAlign w:val="superscript"/>
        </w:rPr>
        <w:t>16</w:t>
      </w:r>
      <w:r>
        <w:rPr>
          <w:rFonts w:ascii="Times New Roman" w:hAnsi="Times New Roman" w:cs="Times New Roman"/>
          <w:sz w:val="24"/>
          <w:szCs w:val="24"/>
        </w:rPr>
        <w:t xml:space="preserve">. KIM-1 is not only an early biomarker of acute kidney injury, but also has a potential role in predicting the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renal outcome </w:t>
      </w:r>
      <w:r w:rsidR="001D7CEB" w:rsidRPr="001D7CEB">
        <w:rPr>
          <w:rFonts w:ascii="Times New Roman" w:hAnsi="Times New Roman" w:cs="Times New Roman"/>
          <w:sz w:val="24"/>
          <w:szCs w:val="24"/>
          <w:vertAlign w:val="superscript"/>
        </w:rPr>
        <w:t>16</w:t>
      </w:r>
      <w:r>
        <w:rPr>
          <w:rFonts w:ascii="Times New Roman" w:hAnsi="Times New Roman" w:cs="Times New Roman"/>
          <w:sz w:val="24"/>
          <w:szCs w:val="24"/>
        </w:rPr>
        <w:t xml:space="preserve">. This study found serum concentration of KIM-1 to be statistically significant. Based on the result of this study, the increased serum </w:t>
      </w:r>
      <w:r>
        <w:rPr>
          <w:rFonts w:ascii="Times New Roman" w:hAnsi="Times New Roman" w:cs="Times New Roman"/>
          <w:sz w:val="24"/>
          <w:szCs w:val="24"/>
        </w:rPr>
        <w:lastRenderedPageBreak/>
        <w:t xml:space="preserve">concentration of KIM-1 correlates highly with other renal biochemical parameters; therefore, KIM-1 is a sensitive and specific marker of kidney injury. The observed increased serum concentration of KIM-1 in thirty, sixty and ninety days is attributed to the loss of tubular cell polarity, increase in transepithelial permeability and the disruption of actin cytoskeletal architecture in renal microvascular cells. The result of this study agrees with the work of </w:t>
      </w:r>
      <w:r w:rsidR="001D7CEB" w:rsidRPr="001D7CEB">
        <w:rPr>
          <w:rFonts w:ascii="Times New Roman" w:hAnsi="Times New Roman" w:cs="Times New Roman"/>
          <w:sz w:val="24"/>
          <w:szCs w:val="24"/>
          <w:vertAlign w:val="superscript"/>
        </w:rPr>
        <w:t>17</w:t>
      </w:r>
      <w:r>
        <w:rPr>
          <w:rFonts w:ascii="Times New Roman" w:hAnsi="Times New Roman" w:cs="Times New Roman"/>
          <w:sz w:val="24"/>
          <w:szCs w:val="24"/>
        </w:rPr>
        <w:t xml:space="preserve"> which observed that the serum concentration of Kidney Injury Molecule 1 correlates highly with the incidence of progression of chronic kidney disease.</w:t>
      </w:r>
    </w:p>
    <w:p w14:paraId="266D1B27" w14:textId="77777777"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this study revealed that the chronic exposure to sodium cyanide could cause renal impairment; consequently, the biochemical parameters for renal function test would be abnormal. Based on this, the regulatory and homeostatic functions of the kidneys would be altered. </w:t>
      </w:r>
    </w:p>
    <w:p w14:paraId="42B776D1" w14:textId="77777777" w:rsidR="00806DE7" w:rsidRPr="000C2B7A" w:rsidRDefault="00806DE7" w:rsidP="0068426B">
      <w:pPr>
        <w:tabs>
          <w:tab w:val="left" w:pos="7488"/>
        </w:tabs>
        <w:spacing w:after="0" w:line="480" w:lineRule="auto"/>
        <w:jc w:val="both"/>
        <w:rPr>
          <w:rFonts w:ascii="Times New Roman" w:hAnsi="Times New Roman" w:cs="Times New Roman"/>
          <w:sz w:val="24"/>
          <w:szCs w:val="24"/>
        </w:rPr>
      </w:pPr>
      <w:r w:rsidRPr="000C2B7A">
        <w:rPr>
          <w:rFonts w:ascii="Times New Roman" w:hAnsi="Times New Roman" w:cs="Times New Roman"/>
          <w:sz w:val="24"/>
          <w:szCs w:val="24"/>
        </w:rPr>
        <w:t xml:space="preserve">The histological examination of </w:t>
      </w:r>
      <w:r w:rsidR="002B0EFC" w:rsidRPr="000C2B7A">
        <w:rPr>
          <w:rFonts w:ascii="Times New Roman" w:hAnsi="Times New Roman" w:cs="Times New Roman"/>
          <w:sz w:val="24"/>
          <w:szCs w:val="24"/>
        </w:rPr>
        <w:t>kidney</w:t>
      </w:r>
      <w:r w:rsidRPr="000C2B7A">
        <w:rPr>
          <w:rFonts w:ascii="Times New Roman" w:hAnsi="Times New Roman" w:cs="Times New Roman"/>
          <w:sz w:val="24"/>
          <w:szCs w:val="24"/>
        </w:rPr>
        <w:t xml:space="preserve"> tissue</w:t>
      </w:r>
      <w:r w:rsidR="002B0EFC" w:rsidRPr="000C2B7A">
        <w:rPr>
          <w:rFonts w:ascii="Times New Roman" w:hAnsi="Times New Roman" w:cs="Times New Roman"/>
          <w:sz w:val="24"/>
          <w:szCs w:val="24"/>
        </w:rPr>
        <w:t>s</w:t>
      </w:r>
      <w:r w:rsidRPr="000C2B7A">
        <w:rPr>
          <w:rFonts w:ascii="Times New Roman" w:hAnsi="Times New Roman" w:cs="Times New Roman"/>
          <w:sz w:val="24"/>
          <w:szCs w:val="24"/>
        </w:rPr>
        <w:t xml:space="preserve"> revealed the following features</w:t>
      </w:r>
      <w:r w:rsidR="002B0EFC" w:rsidRPr="000C2B7A">
        <w:rPr>
          <w:rFonts w:ascii="Times New Roman" w:hAnsi="Times New Roman" w:cs="Times New Roman"/>
          <w:sz w:val="24"/>
          <w:szCs w:val="24"/>
        </w:rPr>
        <w:t xml:space="preserve">; </w:t>
      </w:r>
      <w:r w:rsidR="002B0EFC" w:rsidRPr="000C2B7A">
        <w:rPr>
          <w:sz w:val="24"/>
          <w:szCs w:val="24"/>
        </w:rPr>
        <w:t xml:space="preserve">area of inflammation, glomerulosclerosis, tubular degeneration and tubular </w:t>
      </w:r>
      <w:proofErr w:type="spellStart"/>
      <w:proofErr w:type="gramStart"/>
      <w:r w:rsidR="002B0EFC" w:rsidRPr="000C2B7A">
        <w:rPr>
          <w:sz w:val="24"/>
          <w:szCs w:val="24"/>
        </w:rPr>
        <w:t>necrosis.</w:t>
      </w:r>
      <w:r w:rsidR="008629BA" w:rsidRPr="000C2B7A">
        <w:rPr>
          <w:rFonts w:ascii="Times New Roman" w:hAnsi="Times New Roman" w:cs="Times New Roman"/>
          <w:sz w:val="24"/>
          <w:szCs w:val="24"/>
        </w:rPr>
        <w:t>This</w:t>
      </w:r>
      <w:proofErr w:type="spellEnd"/>
      <w:proofErr w:type="gramEnd"/>
      <w:r w:rsidR="008629BA" w:rsidRPr="000C2B7A">
        <w:rPr>
          <w:rFonts w:ascii="Times New Roman" w:hAnsi="Times New Roman" w:cs="Times New Roman"/>
          <w:sz w:val="24"/>
          <w:szCs w:val="24"/>
        </w:rPr>
        <w:t xml:space="preserve"> result showed the scientific basis for the observed renal function parameters alteration and confirmed the impairment of kidney function detected by the biochemical </w:t>
      </w:r>
      <w:proofErr w:type="spellStart"/>
      <w:proofErr w:type="gramStart"/>
      <w:r w:rsidR="008629BA" w:rsidRPr="000C2B7A">
        <w:rPr>
          <w:rFonts w:ascii="Times New Roman" w:hAnsi="Times New Roman" w:cs="Times New Roman"/>
          <w:sz w:val="24"/>
          <w:szCs w:val="24"/>
        </w:rPr>
        <w:t>evaluation.</w:t>
      </w:r>
      <w:r w:rsidRPr="000C2B7A">
        <w:rPr>
          <w:rFonts w:ascii="Times New Roman" w:hAnsi="Times New Roman" w:cs="Times New Roman"/>
          <w:sz w:val="24"/>
          <w:szCs w:val="24"/>
        </w:rPr>
        <w:t>This</w:t>
      </w:r>
      <w:proofErr w:type="spellEnd"/>
      <w:proofErr w:type="gramEnd"/>
      <w:r w:rsidR="008629BA" w:rsidRPr="000C2B7A">
        <w:rPr>
          <w:rFonts w:ascii="Times New Roman" w:hAnsi="Times New Roman" w:cs="Times New Roman"/>
          <w:sz w:val="24"/>
          <w:szCs w:val="24"/>
        </w:rPr>
        <w:t xml:space="preserve"> result also</w:t>
      </w:r>
      <w:r w:rsidRPr="000C2B7A">
        <w:rPr>
          <w:rFonts w:ascii="Times New Roman" w:hAnsi="Times New Roman" w:cs="Times New Roman"/>
          <w:sz w:val="24"/>
          <w:szCs w:val="24"/>
        </w:rPr>
        <w:t xml:space="preserve"> shows that the </w:t>
      </w:r>
      <w:proofErr w:type="spellStart"/>
      <w:r w:rsidRPr="000C2B7A">
        <w:rPr>
          <w:rFonts w:ascii="Times New Roman" w:hAnsi="Times New Roman" w:cs="Times New Roman"/>
          <w:sz w:val="24"/>
          <w:szCs w:val="24"/>
        </w:rPr>
        <w:t>kidneytissues</w:t>
      </w:r>
      <w:proofErr w:type="spellEnd"/>
      <w:r w:rsidRPr="000C2B7A">
        <w:rPr>
          <w:rFonts w:ascii="Times New Roman" w:hAnsi="Times New Roman" w:cs="Times New Roman"/>
          <w:sz w:val="24"/>
          <w:szCs w:val="24"/>
        </w:rPr>
        <w:t xml:space="preserve"> were severely impacted by the chronic effect of cyanide</w:t>
      </w:r>
      <w:r w:rsidR="007B7912" w:rsidRPr="000C2B7A">
        <w:rPr>
          <w:rFonts w:ascii="Times New Roman" w:hAnsi="Times New Roman" w:cs="Times New Roman"/>
          <w:sz w:val="24"/>
          <w:szCs w:val="24"/>
        </w:rPr>
        <w:t xml:space="preserve"> (30, 60 and 90 days respectively)</w:t>
      </w:r>
      <w:r w:rsidRPr="000C2B7A">
        <w:rPr>
          <w:rFonts w:ascii="Times New Roman" w:hAnsi="Times New Roman" w:cs="Times New Roman"/>
          <w:sz w:val="24"/>
          <w:szCs w:val="24"/>
        </w:rPr>
        <w:t xml:space="preserve">. This result is consistent </w:t>
      </w:r>
      <w:proofErr w:type="spellStart"/>
      <w:r w:rsidRPr="000C2B7A">
        <w:rPr>
          <w:rFonts w:ascii="Times New Roman" w:hAnsi="Times New Roman" w:cs="Times New Roman"/>
          <w:sz w:val="24"/>
          <w:szCs w:val="24"/>
        </w:rPr>
        <w:t>with</w:t>
      </w:r>
      <w:r w:rsidR="00C5106B" w:rsidRPr="000C2B7A">
        <w:rPr>
          <w:rFonts w:ascii="Times New Roman" w:hAnsi="Times New Roman" w:cs="Times New Roman"/>
          <w:sz w:val="24"/>
          <w:szCs w:val="24"/>
        </w:rPr>
        <w:t>the</w:t>
      </w:r>
      <w:proofErr w:type="spellEnd"/>
      <w:r w:rsidR="00C5106B" w:rsidRPr="000C2B7A">
        <w:rPr>
          <w:rFonts w:ascii="Times New Roman" w:hAnsi="Times New Roman" w:cs="Times New Roman"/>
          <w:sz w:val="24"/>
          <w:szCs w:val="24"/>
        </w:rPr>
        <w:t xml:space="preserve"> work of </w:t>
      </w:r>
      <w:r w:rsidR="001D7CEB" w:rsidRPr="001D7CEB">
        <w:rPr>
          <w:rFonts w:ascii="Times New Roman" w:hAnsi="Times New Roman" w:cs="Times New Roman"/>
          <w:sz w:val="24"/>
          <w:szCs w:val="24"/>
          <w:vertAlign w:val="superscript"/>
        </w:rPr>
        <w:t>18</w:t>
      </w:r>
      <w:r w:rsidR="00C5106B" w:rsidRPr="000C2B7A">
        <w:rPr>
          <w:rFonts w:ascii="Times New Roman" w:hAnsi="Times New Roman" w:cs="Times New Roman"/>
          <w:sz w:val="24"/>
          <w:szCs w:val="24"/>
        </w:rPr>
        <w:t xml:space="preserve"> that reported severe glomerular and tubular necrosis in kidney tissue of rabbit exposed to cyanide.</w:t>
      </w:r>
    </w:p>
    <w:p w14:paraId="13560CFD" w14:textId="77777777" w:rsidR="00F23050" w:rsidRPr="000C2B7A" w:rsidRDefault="00F23050" w:rsidP="0068426B">
      <w:pPr>
        <w:tabs>
          <w:tab w:val="left" w:pos="7488"/>
        </w:tabs>
        <w:spacing w:after="0" w:line="480" w:lineRule="auto"/>
        <w:jc w:val="both"/>
        <w:rPr>
          <w:rFonts w:ascii="Times New Roman" w:hAnsi="Times New Roman" w:cs="Times New Roman"/>
          <w:b/>
          <w:sz w:val="24"/>
          <w:szCs w:val="24"/>
        </w:rPr>
      </w:pPr>
      <w:r w:rsidRPr="000C2B7A">
        <w:rPr>
          <w:rFonts w:ascii="Times New Roman" w:hAnsi="Times New Roman" w:cs="Times New Roman"/>
          <w:b/>
          <w:sz w:val="24"/>
          <w:szCs w:val="24"/>
        </w:rPr>
        <w:t>CONCLUSION</w:t>
      </w:r>
    </w:p>
    <w:p w14:paraId="673D1050" w14:textId="77777777" w:rsidR="0027483F" w:rsidRDefault="00F23050"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 of this study revealed that the chronic exposure to sodium cyanide could cause renal impairment; consequently, the biochemical parameters for renal function test would be abnormal as evidence in the histological examination.</w:t>
      </w:r>
      <w:r w:rsidRPr="00F23050">
        <w:rPr>
          <w:rFonts w:ascii="Times New Roman" w:hAnsi="Times New Roman" w:cs="Times New Roman"/>
          <w:sz w:val="24"/>
          <w:szCs w:val="24"/>
        </w:rPr>
        <w:t xml:space="preserve"> </w:t>
      </w:r>
    </w:p>
    <w:p w14:paraId="11B81A27" w14:textId="77777777" w:rsidR="00407B54" w:rsidRDefault="00407B54" w:rsidP="0068426B">
      <w:pPr>
        <w:tabs>
          <w:tab w:val="left" w:pos="7488"/>
        </w:tabs>
        <w:spacing w:after="0" w:line="480" w:lineRule="auto"/>
        <w:jc w:val="both"/>
        <w:rPr>
          <w:rFonts w:ascii="Times New Roman" w:hAnsi="Times New Roman" w:cs="Times New Roman"/>
          <w:sz w:val="24"/>
          <w:szCs w:val="24"/>
        </w:rPr>
      </w:pPr>
    </w:p>
    <w:p w14:paraId="785C9627" w14:textId="77777777" w:rsidR="002A71A9" w:rsidRDefault="002A71A9" w:rsidP="002A71A9">
      <w:pPr>
        <w:tabs>
          <w:tab w:val="left" w:pos="7488"/>
        </w:tabs>
        <w:spacing w:after="0" w:line="480" w:lineRule="auto"/>
        <w:jc w:val="both"/>
        <w:rPr>
          <w:rFonts w:ascii="Times New Roman" w:hAnsi="Times New Roman" w:cs="Times New Roman"/>
        </w:rPr>
      </w:pPr>
    </w:p>
    <w:p w14:paraId="009621BB" w14:textId="77777777" w:rsidR="002A71A9" w:rsidRDefault="002A71A9" w:rsidP="002A71A9">
      <w:pPr>
        <w:tabs>
          <w:tab w:val="left" w:pos="7488"/>
        </w:tabs>
        <w:spacing w:after="0" w:line="480" w:lineRule="auto"/>
        <w:jc w:val="both"/>
        <w:rPr>
          <w:rFonts w:ascii="Times New Roman" w:hAnsi="Times New Roman" w:cs="Times New Roman"/>
        </w:rPr>
      </w:pPr>
    </w:p>
    <w:p w14:paraId="79C50F2A" w14:textId="12F949EF" w:rsidR="002A71A9" w:rsidRPr="002A71A9" w:rsidRDefault="002A71A9" w:rsidP="002A71A9">
      <w:pPr>
        <w:tabs>
          <w:tab w:val="left" w:pos="7488"/>
        </w:tabs>
        <w:spacing w:after="0" w:line="480" w:lineRule="auto"/>
        <w:jc w:val="both"/>
        <w:rPr>
          <w:rFonts w:ascii="Times New Roman" w:hAnsi="Times New Roman" w:cs="Times New Roman"/>
          <w:b/>
          <w:bCs/>
        </w:rPr>
      </w:pPr>
      <w:r w:rsidRPr="002A71A9">
        <w:rPr>
          <w:rFonts w:ascii="Times New Roman" w:hAnsi="Times New Roman" w:cs="Times New Roman"/>
          <w:b/>
          <w:bCs/>
        </w:rPr>
        <w:lastRenderedPageBreak/>
        <w:t>COMPETING INTERESTS DISCLAIMER:</w:t>
      </w:r>
    </w:p>
    <w:p w14:paraId="6BE9589F" w14:textId="17E3AEF4" w:rsidR="00407B54" w:rsidRDefault="002A71A9" w:rsidP="002A71A9">
      <w:pPr>
        <w:tabs>
          <w:tab w:val="left" w:pos="7488"/>
        </w:tabs>
        <w:spacing w:after="0" w:line="480" w:lineRule="auto"/>
        <w:jc w:val="both"/>
        <w:rPr>
          <w:rFonts w:ascii="Times New Roman" w:hAnsi="Times New Roman" w:cs="Times New Roman"/>
        </w:rPr>
      </w:pPr>
      <w:r w:rsidRPr="002A71A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2CA7B511" w14:textId="77777777" w:rsidR="00A250FA" w:rsidRDefault="00A250FA" w:rsidP="0068426B">
      <w:pPr>
        <w:tabs>
          <w:tab w:val="left" w:pos="7488"/>
        </w:tabs>
        <w:spacing w:after="0" w:line="480" w:lineRule="auto"/>
        <w:jc w:val="both"/>
        <w:rPr>
          <w:rFonts w:ascii="Times New Roman" w:hAnsi="Times New Roman" w:cs="Times New Roman"/>
          <w:b/>
        </w:rPr>
      </w:pPr>
    </w:p>
    <w:p w14:paraId="38DA0526" w14:textId="77777777" w:rsidR="00A250FA" w:rsidRDefault="00A250FA" w:rsidP="0068426B">
      <w:pPr>
        <w:tabs>
          <w:tab w:val="left" w:pos="7488"/>
        </w:tabs>
        <w:spacing w:after="0" w:line="480" w:lineRule="auto"/>
        <w:jc w:val="both"/>
        <w:rPr>
          <w:rFonts w:ascii="Times New Roman" w:hAnsi="Times New Roman" w:cs="Times New Roman"/>
          <w:b/>
        </w:rPr>
      </w:pPr>
    </w:p>
    <w:p w14:paraId="1F045095" w14:textId="77777777" w:rsidR="00A250FA" w:rsidRDefault="00A250FA" w:rsidP="0068426B">
      <w:pPr>
        <w:tabs>
          <w:tab w:val="left" w:pos="7488"/>
        </w:tabs>
        <w:spacing w:after="0" w:line="480" w:lineRule="auto"/>
        <w:jc w:val="both"/>
        <w:rPr>
          <w:rFonts w:ascii="Times New Roman" w:hAnsi="Times New Roman" w:cs="Times New Roman"/>
          <w:b/>
        </w:rPr>
      </w:pPr>
    </w:p>
    <w:p w14:paraId="03942C70" w14:textId="77777777" w:rsidR="0027483F" w:rsidRDefault="0027483F" w:rsidP="0068426B">
      <w:pPr>
        <w:tabs>
          <w:tab w:val="left" w:pos="7488"/>
        </w:tabs>
        <w:spacing w:after="0" w:line="480" w:lineRule="auto"/>
        <w:jc w:val="both"/>
        <w:rPr>
          <w:rFonts w:ascii="Times New Roman" w:hAnsi="Times New Roman" w:cs="Times New Roman"/>
          <w:b/>
        </w:rPr>
      </w:pPr>
      <w:r w:rsidRPr="0027483F">
        <w:rPr>
          <w:rFonts w:ascii="Times New Roman" w:hAnsi="Times New Roman" w:cs="Times New Roman"/>
          <w:b/>
        </w:rPr>
        <w:t>REFERENCE</w:t>
      </w:r>
    </w:p>
    <w:p w14:paraId="66798307" w14:textId="77777777" w:rsidR="002C35B2" w:rsidRPr="004F496C" w:rsidRDefault="002C35B2"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Sousa, A. B., Soto-Blanco, B. Guerra, J. L., Kimura, E. T. and Gorniak, S. L. (2002). Does</w:t>
      </w:r>
      <w:r w:rsidR="00327A05" w:rsidRPr="004F496C">
        <w:rPr>
          <w:rFonts w:ascii="Times New Roman" w:hAnsi="Times New Roman" w:cs="Times New Roman"/>
          <w:sz w:val="24"/>
          <w:szCs w:val="24"/>
        </w:rPr>
        <w:t xml:space="preserve"> Prolonged Oral Exposure to Cyanide Promote Hepatotoxicity and Nephrotoxicity? </w:t>
      </w:r>
      <w:r w:rsidRPr="004F496C">
        <w:rPr>
          <w:rFonts w:ascii="Times New Roman" w:hAnsi="Times New Roman" w:cs="Times New Roman"/>
          <w:sz w:val="24"/>
          <w:szCs w:val="24"/>
        </w:rPr>
        <w:t xml:space="preserve"> </w:t>
      </w:r>
      <w:r w:rsidRPr="004F496C">
        <w:rPr>
          <w:rFonts w:ascii="Times New Roman" w:hAnsi="Times New Roman" w:cs="Times New Roman"/>
          <w:i/>
          <w:sz w:val="24"/>
          <w:szCs w:val="24"/>
        </w:rPr>
        <w:t xml:space="preserve">Toxicology, </w:t>
      </w:r>
      <w:r w:rsidRPr="004F496C">
        <w:rPr>
          <w:rFonts w:ascii="Times New Roman" w:hAnsi="Times New Roman" w:cs="Times New Roman"/>
          <w:sz w:val="24"/>
          <w:szCs w:val="24"/>
        </w:rPr>
        <w:t>174, 87 - 95.</w:t>
      </w:r>
    </w:p>
    <w:p w14:paraId="5EA4822D" w14:textId="77777777"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14:paraId="6822E1FF" w14:textId="77777777"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Soto-Blanco, B. and </w:t>
      </w:r>
      <w:proofErr w:type="spellStart"/>
      <w:r w:rsidRPr="004F496C">
        <w:rPr>
          <w:rFonts w:ascii="Times New Roman" w:hAnsi="Times New Roman" w:cs="Times New Roman"/>
          <w:sz w:val="24"/>
          <w:szCs w:val="24"/>
        </w:rPr>
        <w:t>Gomiak</w:t>
      </w:r>
      <w:proofErr w:type="spellEnd"/>
      <w:r w:rsidRPr="004F496C">
        <w:rPr>
          <w:rFonts w:ascii="Times New Roman" w:hAnsi="Times New Roman" w:cs="Times New Roman"/>
          <w:sz w:val="24"/>
          <w:szCs w:val="24"/>
        </w:rPr>
        <w:t xml:space="preserve">, S.L. (2004). Prenatal Toxicity of Cyanide in Gout-a Model for Teratological Studies in Ruminants. </w:t>
      </w:r>
      <w:r w:rsidRPr="004F496C">
        <w:rPr>
          <w:rFonts w:ascii="Times New Roman" w:hAnsi="Times New Roman" w:cs="Times New Roman"/>
          <w:i/>
          <w:sz w:val="24"/>
          <w:szCs w:val="24"/>
        </w:rPr>
        <w:t xml:space="preserve">Theriogenology, </w:t>
      </w:r>
      <w:r w:rsidRPr="004F496C">
        <w:rPr>
          <w:rFonts w:ascii="Times New Roman" w:hAnsi="Times New Roman" w:cs="Times New Roman"/>
          <w:sz w:val="24"/>
          <w:szCs w:val="24"/>
        </w:rPr>
        <w:t>62, 1012 - 1026.</w:t>
      </w:r>
    </w:p>
    <w:p w14:paraId="1D44D1D3" w14:textId="77777777"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14:paraId="74324B7D" w14:textId="77777777"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Baskin, S. I. Horowitz, A. M. and Neally, E. W. (1992). The Antidotal Action of Sodium Nitrite and Sodium Thiosulfate against Cyanide Poisoning. </w:t>
      </w:r>
      <w:r w:rsidRPr="004F496C">
        <w:rPr>
          <w:rFonts w:ascii="Times New Roman" w:hAnsi="Times New Roman" w:cs="Times New Roman"/>
          <w:i/>
          <w:sz w:val="24"/>
          <w:szCs w:val="24"/>
        </w:rPr>
        <w:t xml:space="preserve">Journal of Clinical Pharmacology, </w:t>
      </w:r>
      <w:r w:rsidRPr="004F496C">
        <w:rPr>
          <w:rFonts w:ascii="Times New Roman" w:hAnsi="Times New Roman" w:cs="Times New Roman"/>
          <w:sz w:val="24"/>
          <w:szCs w:val="24"/>
        </w:rPr>
        <w:t>32, 368 - 375.</w:t>
      </w:r>
    </w:p>
    <w:p w14:paraId="4886F152" w14:textId="77777777"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14:paraId="7BE4BAD1" w14:textId="77777777"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Fernando, G. C. and Busuttil, A. (1991). Cyanide Ingestion. Case Studies of Four Suicide. </w:t>
      </w:r>
      <w:r w:rsidRPr="004F496C">
        <w:rPr>
          <w:rFonts w:ascii="Times New Roman" w:hAnsi="Times New Roman" w:cs="Times New Roman"/>
          <w:i/>
          <w:sz w:val="24"/>
          <w:szCs w:val="24"/>
        </w:rPr>
        <w:t xml:space="preserve">American Journal of Forensic Medicine and Pathology, </w:t>
      </w:r>
      <w:r w:rsidRPr="004F496C">
        <w:rPr>
          <w:rFonts w:ascii="Times New Roman" w:hAnsi="Times New Roman" w:cs="Times New Roman"/>
          <w:sz w:val="24"/>
          <w:szCs w:val="24"/>
        </w:rPr>
        <w:t>12, 241 - 246.</w:t>
      </w:r>
    </w:p>
    <w:p w14:paraId="10DFD093" w14:textId="77777777" w:rsidR="00D12FDA" w:rsidRDefault="00D12FDA" w:rsidP="009A18DB">
      <w:pPr>
        <w:spacing w:after="0" w:line="240" w:lineRule="auto"/>
        <w:ind w:left="720" w:hanging="720"/>
        <w:jc w:val="both"/>
        <w:rPr>
          <w:rStyle w:val="element-citation"/>
          <w:rFonts w:ascii="Times New Roman" w:hAnsi="Times New Roman" w:cs="Times New Roman"/>
          <w:color w:val="000000"/>
          <w:sz w:val="24"/>
          <w:szCs w:val="24"/>
        </w:rPr>
      </w:pPr>
    </w:p>
    <w:p w14:paraId="75515990" w14:textId="77777777" w:rsidR="009A18DB" w:rsidRPr="004F496C" w:rsidRDefault="009A18DB" w:rsidP="004F496C">
      <w:pPr>
        <w:pStyle w:val="ListParagraph"/>
        <w:numPr>
          <w:ilvl w:val="0"/>
          <w:numId w:val="1"/>
        </w:numPr>
        <w:spacing w:after="0" w:line="240" w:lineRule="auto"/>
        <w:jc w:val="both"/>
        <w:rPr>
          <w:rStyle w:val="element-citation"/>
          <w:rFonts w:ascii="Times New Roman" w:hAnsi="Times New Roman" w:cs="Times New Roman"/>
          <w:color w:val="000000"/>
          <w:sz w:val="24"/>
          <w:szCs w:val="24"/>
        </w:rPr>
      </w:pPr>
      <w:r w:rsidRPr="004F496C">
        <w:rPr>
          <w:rStyle w:val="element-citation"/>
          <w:rFonts w:ascii="Times New Roman" w:hAnsi="Times New Roman" w:cs="Times New Roman"/>
          <w:color w:val="000000"/>
          <w:sz w:val="24"/>
          <w:szCs w:val="24"/>
        </w:rPr>
        <w:t xml:space="preserve">Mulla, A., Massey, K. L. and Kalra, J. (2005). Vitreous humor biochemical constituents: evaluation of between-eye differences. </w:t>
      </w:r>
      <w:r w:rsidRPr="004F496C">
        <w:rPr>
          <w:rStyle w:val="ref-journal"/>
          <w:rFonts w:ascii="Times New Roman" w:hAnsi="Times New Roman" w:cs="Times New Roman"/>
          <w:i/>
          <w:iCs/>
          <w:color w:val="000000"/>
          <w:sz w:val="24"/>
          <w:szCs w:val="24"/>
        </w:rPr>
        <w:t>American Journal of Forensic Medicine and Pathology</w:t>
      </w:r>
      <w:r w:rsidRPr="004F496C">
        <w:rPr>
          <w:rStyle w:val="element-citation"/>
          <w:rFonts w:ascii="Times New Roman" w:hAnsi="Times New Roman" w:cs="Times New Roman"/>
          <w:color w:val="000000"/>
          <w:sz w:val="24"/>
          <w:szCs w:val="24"/>
        </w:rPr>
        <w:t xml:space="preserve">, </w:t>
      </w:r>
      <w:r w:rsidRPr="004F496C">
        <w:rPr>
          <w:rStyle w:val="ref-vol"/>
          <w:rFonts w:ascii="Times New Roman" w:hAnsi="Times New Roman" w:cs="Times New Roman"/>
          <w:color w:val="000000"/>
          <w:sz w:val="24"/>
          <w:szCs w:val="24"/>
        </w:rPr>
        <w:t>26</w:t>
      </w:r>
      <w:r w:rsidRPr="004F496C">
        <w:rPr>
          <w:rStyle w:val="element-citation"/>
          <w:rFonts w:ascii="Times New Roman" w:hAnsi="Times New Roman" w:cs="Times New Roman"/>
          <w:color w:val="000000"/>
          <w:sz w:val="24"/>
          <w:szCs w:val="24"/>
        </w:rPr>
        <w:t>, 146 - 159.</w:t>
      </w:r>
    </w:p>
    <w:p w14:paraId="4CE5D210" w14:textId="77777777" w:rsidR="00D12FDA" w:rsidRDefault="00D12FDA" w:rsidP="009A18DB">
      <w:pPr>
        <w:spacing w:after="0" w:line="240" w:lineRule="auto"/>
        <w:ind w:left="720" w:hanging="720"/>
        <w:jc w:val="both"/>
        <w:rPr>
          <w:rFonts w:ascii="Times New Roman" w:hAnsi="Times New Roman" w:cs="Times New Roman"/>
          <w:sz w:val="24"/>
          <w:szCs w:val="24"/>
        </w:rPr>
      </w:pPr>
    </w:p>
    <w:p w14:paraId="27B88741" w14:textId="77777777" w:rsidR="009A18DB" w:rsidRPr="004F496C" w:rsidRDefault="009A18DB" w:rsidP="004F496C">
      <w:pPr>
        <w:pStyle w:val="ListParagraph"/>
        <w:numPr>
          <w:ilvl w:val="0"/>
          <w:numId w:val="1"/>
        </w:numPr>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Amith, M. (2005). Role of vitreous humor biochemistry in forensic pathology. A thesis submitted to the college of Graduate Studies as research in partial fulfillment of the requirement for the degree of Master of Science in the department of pathology, college of medicine, university of </w:t>
      </w:r>
      <w:proofErr w:type="spellStart"/>
      <w:r w:rsidRPr="004F496C">
        <w:rPr>
          <w:rFonts w:ascii="Times New Roman" w:hAnsi="Times New Roman" w:cs="Times New Roman"/>
          <w:sz w:val="24"/>
          <w:szCs w:val="24"/>
        </w:rPr>
        <w:t>Sazkatchenem</w:t>
      </w:r>
      <w:proofErr w:type="spellEnd"/>
      <w:r w:rsidRPr="004F496C">
        <w:rPr>
          <w:rFonts w:ascii="Times New Roman" w:hAnsi="Times New Roman" w:cs="Times New Roman"/>
          <w:sz w:val="24"/>
          <w:szCs w:val="24"/>
        </w:rPr>
        <w:t>. 112 – 12</w:t>
      </w:r>
    </w:p>
    <w:p w14:paraId="6D29A17A" w14:textId="77777777" w:rsidR="00D12FDA" w:rsidRDefault="00D12FDA" w:rsidP="009A18DB">
      <w:pPr>
        <w:spacing w:after="0" w:line="240" w:lineRule="auto"/>
        <w:ind w:left="720" w:hanging="720"/>
        <w:jc w:val="both"/>
        <w:rPr>
          <w:rFonts w:ascii="Times New Roman" w:hAnsi="Times New Roman" w:cs="Times New Roman"/>
          <w:sz w:val="24"/>
          <w:szCs w:val="24"/>
        </w:rPr>
      </w:pPr>
    </w:p>
    <w:p w14:paraId="7124AF7E" w14:textId="77777777" w:rsidR="00EF43CF" w:rsidRPr="004F496C" w:rsidRDefault="00EF43CF" w:rsidP="004F496C">
      <w:pPr>
        <w:pStyle w:val="ListParagraph"/>
        <w:numPr>
          <w:ilvl w:val="0"/>
          <w:numId w:val="1"/>
        </w:numPr>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Mescher, A. L. Junqueira’s Basic Histology. Text and Atlas 12 </w:t>
      </w:r>
      <w:proofErr w:type="spellStart"/>
      <w:r w:rsidRPr="004F496C">
        <w:rPr>
          <w:rFonts w:ascii="Times New Roman" w:hAnsi="Times New Roman" w:cs="Times New Roman"/>
          <w:sz w:val="24"/>
          <w:szCs w:val="24"/>
        </w:rPr>
        <w:t>th</w:t>
      </w:r>
      <w:proofErr w:type="spellEnd"/>
      <w:r w:rsidRPr="004F496C">
        <w:rPr>
          <w:rFonts w:ascii="Times New Roman" w:hAnsi="Times New Roman" w:cs="Times New Roman"/>
          <w:sz w:val="24"/>
          <w:szCs w:val="24"/>
        </w:rPr>
        <w:t xml:space="preserve"> Edition New York. Mc Graw Hill Lange, 2010; 4: 287-97</w:t>
      </w:r>
      <w:r w:rsidR="009A18DB" w:rsidRPr="004F496C">
        <w:rPr>
          <w:rFonts w:ascii="Times New Roman" w:hAnsi="Times New Roman" w:cs="Times New Roman"/>
          <w:sz w:val="24"/>
          <w:szCs w:val="24"/>
        </w:rPr>
        <w:t>.</w:t>
      </w:r>
    </w:p>
    <w:p w14:paraId="276D5D73" w14:textId="77777777" w:rsidR="009A18DB" w:rsidRDefault="009A18DB" w:rsidP="009A18DB">
      <w:pPr>
        <w:tabs>
          <w:tab w:val="left" w:pos="7488"/>
        </w:tabs>
        <w:spacing w:after="0" w:line="240" w:lineRule="auto"/>
        <w:ind w:left="720" w:hanging="720"/>
        <w:jc w:val="both"/>
        <w:rPr>
          <w:rFonts w:ascii="Times New Roman" w:hAnsi="Times New Roman" w:cs="Times New Roman"/>
          <w:sz w:val="24"/>
          <w:szCs w:val="24"/>
        </w:rPr>
      </w:pPr>
    </w:p>
    <w:p w14:paraId="29A6D52D" w14:textId="77777777"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Parker-Cote, J. L., Rizer, J., </w:t>
      </w:r>
      <w:proofErr w:type="spellStart"/>
      <w:r w:rsidRPr="004F496C">
        <w:rPr>
          <w:rFonts w:ascii="Times New Roman" w:hAnsi="Times New Roman" w:cs="Times New Roman"/>
          <w:sz w:val="24"/>
          <w:szCs w:val="24"/>
        </w:rPr>
        <w:t>Vakkalanka</w:t>
      </w:r>
      <w:proofErr w:type="spellEnd"/>
      <w:r w:rsidRPr="004F496C">
        <w:rPr>
          <w:rFonts w:ascii="Times New Roman" w:hAnsi="Times New Roman" w:cs="Times New Roman"/>
          <w:sz w:val="24"/>
          <w:szCs w:val="24"/>
        </w:rPr>
        <w:t>, J. P., Rege, S. V. and Holstege C. P. (2018). Challenges in the diagnosis of acute cyanide poisoning</w:t>
      </w:r>
      <w:r w:rsidRPr="004F496C">
        <w:rPr>
          <w:rFonts w:ascii="Times New Roman" w:hAnsi="Times New Roman" w:cs="Times New Roman"/>
          <w:i/>
          <w:sz w:val="24"/>
          <w:szCs w:val="24"/>
        </w:rPr>
        <w:t>. Chemical Toxicology,</w:t>
      </w:r>
      <w:r w:rsidRPr="004F496C">
        <w:rPr>
          <w:rFonts w:ascii="Times New Roman" w:hAnsi="Times New Roman" w:cs="Times New Roman"/>
          <w:sz w:val="24"/>
          <w:szCs w:val="24"/>
        </w:rPr>
        <w:t xml:space="preserve"> 56, 609 - 617.</w:t>
      </w:r>
    </w:p>
    <w:p w14:paraId="004CF55F" w14:textId="77777777"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14:paraId="236DDEB5" w14:textId="77777777"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Yukiko, H., Takeshi, N., </w:t>
      </w:r>
      <w:proofErr w:type="spellStart"/>
      <w:r w:rsidRPr="004F496C">
        <w:rPr>
          <w:rFonts w:ascii="Times New Roman" w:hAnsi="Times New Roman" w:cs="Times New Roman"/>
          <w:sz w:val="24"/>
          <w:szCs w:val="24"/>
        </w:rPr>
        <w:t>Rintarou</w:t>
      </w:r>
      <w:proofErr w:type="spellEnd"/>
      <w:r w:rsidRPr="004F496C">
        <w:rPr>
          <w:rFonts w:ascii="Times New Roman" w:hAnsi="Times New Roman" w:cs="Times New Roman"/>
          <w:sz w:val="24"/>
          <w:szCs w:val="24"/>
        </w:rPr>
        <w:t xml:space="preserve">, M., Yoshinaga, O., </w:t>
      </w:r>
      <w:proofErr w:type="spellStart"/>
      <w:r w:rsidRPr="004F496C">
        <w:rPr>
          <w:rFonts w:ascii="Times New Roman" w:hAnsi="Times New Roman" w:cs="Times New Roman"/>
          <w:sz w:val="24"/>
          <w:szCs w:val="24"/>
        </w:rPr>
        <w:t>Masayaoshi</w:t>
      </w:r>
      <w:proofErr w:type="spellEnd"/>
      <w:r w:rsidRPr="004F496C">
        <w:rPr>
          <w:rFonts w:ascii="Times New Roman" w:hAnsi="Times New Roman" w:cs="Times New Roman"/>
          <w:sz w:val="24"/>
          <w:szCs w:val="24"/>
        </w:rPr>
        <w:t xml:space="preserve">, N., Yasue, H., Miki, N., Koji, M., Masaki, I. and Yoshihiro, T. (2004). Accumulation of cyanide and thiocyanate in </w:t>
      </w:r>
      <w:proofErr w:type="spellStart"/>
      <w:r w:rsidRPr="004F496C">
        <w:rPr>
          <w:rFonts w:ascii="Times New Roman" w:hAnsi="Times New Roman" w:cs="Times New Roman"/>
          <w:sz w:val="24"/>
          <w:szCs w:val="24"/>
        </w:rPr>
        <w:t>heamodialysis</w:t>
      </w:r>
      <w:proofErr w:type="spellEnd"/>
      <w:r w:rsidRPr="004F496C">
        <w:rPr>
          <w:rFonts w:ascii="Times New Roman" w:hAnsi="Times New Roman" w:cs="Times New Roman"/>
          <w:sz w:val="24"/>
          <w:szCs w:val="24"/>
        </w:rPr>
        <w:t xml:space="preserve"> patients. </w:t>
      </w:r>
      <w:proofErr w:type="spellStart"/>
      <w:r w:rsidRPr="004F496C">
        <w:rPr>
          <w:rFonts w:ascii="Times New Roman" w:hAnsi="Times New Roman" w:cs="Times New Roman"/>
          <w:sz w:val="24"/>
          <w:szCs w:val="24"/>
        </w:rPr>
        <w:t>Neprology</w:t>
      </w:r>
      <w:proofErr w:type="spellEnd"/>
      <w:r w:rsidRPr="004F496C">
        <w:rPr>
          <w:rFonts w:ascii="Times New Roman" w:hAnsi="Times New Roman" w:cs="Times New Roman"/>
          <w:sz w:val="24"/>
          <w:szCs w:val="24"/>
        </w:rPr>
        <w:t xml:space="preserve"> Dialysis Transplantation. 99, 1474 </w:t>
      </w:r>
      <w:r w:rsidR="001D183B" w:rsidRPr="004F496C">
        <w:rPr>
          <w:rFonts w:ascii="Times New Roman" w:hAnsi="Times New Roman" w:cs="Times New Roman"/>
          <w:sz w:val="24"/>
          <w:szCs w:val="24"/>
        </w:rPr>
        <w:t>–</w:t>
      </w:r>
      <w:r w:rsidRPr="004F496C">
        <w:rPr>
          <w:rFonts w:ascii="Times New Roman" w:hAnsi="Times New Roman" w:cs="Times New Roman"/>
          <w:sz w:val="24"/>
          <w:szCs w:val="24"/>
        </w:rPr>
        <w:t xml:space="preserve"> 1479</w:t>
      </w:r>
      <w:r w:rsidR="001D183B" w:rsidRPr="004F496C">
        <w:rPr>
          <w:rFonts w:ascii="Times New Roman" w:hAnsi="Times New Roman" w:cs="Times New Roman"/>
          <w:sz w:val="24"/>
          <w:szCs w:val="24"/>
        </w:rPr>
        <w:t>.</w:t>
      </w:r>
    </w:p>
    <w:p w14:paraId="49058B24"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74B7AD94"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lastRenderedPageBreak/>
        <w:t xml:space="preserve">Koschel, M. J. (2006). Management of the Cyanide-poisoned Patient. </w:t>
      </w:r>
      <w:r w:rsidRPr="004F496C">
        <w:rPr>
          <w:rFonts w:ascii="Times New Roman" w:hAnsi="Times New Roman" w:cs="Times New Roman"/>
          <w:i/>
          <w:sz w:val="24"/>
          <w:szCs w:val="24"/>
        </w:rPr>
        <w:t xml:space="preserve">Journal of Emergency Medicine, </w:t>
      </w:r>
      <w:r w:rsidRPr="004F496C">
        <w:rPr>
          <w:rFonts w:ascii="Times New Roman" w:hAnsi="Times New Roman" w:cs="Times New Roman"/>
          <w:sz w:val="24"/>
          <w:szCs w:val="24"/>
        </w:rPr>
        <w:t>32, 19 - 26.</w:t>
      </w:r>
    </w:p>
    <w:p w14:paraId="458B0E3C"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02ADFD3A"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Amodu, A, Bello, M. I. and </w:t>
      </w:r>
      <w:proofErr w:type="spellStart"/>
      <w:r w:rsidRPr="004F496C">
        <w:rPr>
          <w:rFonts w:ascii="Times New Roman" w:hAnsi="Times New Roman" w:cs="Times New Roman"/>
          <w:sz w:val="24"/>
          <w:szCs w:val="24"/>
        </w:rPr>
        <w:t>Thagriki</w:t>
      </w:r>
      <w:proofErr w:type="spellEnd"/>
      <w:r w:rsidRPr="004F496C">
        <w:rPr>
          <w:rFonts w:ascii="Times New Roman" w:hAnsi="Times New Roman" w:cs="Times New Roman"/>
          <w:sz w:val="24"/>
          <w:szCs w:val="24"/>
        </w:rPr>
        <w:t xml:space="preserve">, D. (2016). Biochemical and </w:t>
      </w:r>
      <w:proofErr w:type="spellStart"/>
      <w:r w:rsidRPr="004F496C">
        <w:rPr>
          <w:rFonts w:ascii="Times New Roman" w:hAnsi="Times New Roman" w:cs="Times New Roman"/>
          <w:sz w:val="24"/>
          <w:szCs w:val="24"/>
        </w:rPr>
        <w:t>Heamatological</w:t>
      </w:r>
      <w:proofErr w:type="spellEnd"/>
      <w:r w:rsidRPr="004F496C">
        <w:rPr>
          <w:rFonts w:ascii="Times New Roman" w:hAnsi="Times New Roman" w:cs="Times New Roman"/>
          <w:sz w:val="24"/>
          <w:szCs w:val="24"/>
        </w:rPr>
        <w:t xml:space="preserve"> Evaluation of Cyanide Rich Extracts from Manihot </w:t>
      </w:r>
      <w:proofErr w:type="spellStart"/>
      <w:r w:rsidRPr="004F496C">
        <w:rPr>
          <w:rFonts w:ascii="Times New Roman" w:hAnsi="Times New Roman" w:cs="Times New Roman"/>
          <w:sz w:val="24"/>
          <w:szCs w:val="24"/>
        </w:rPr>
        <w:t>Utilisima</w:t>
      </w:r>
      <w:proofErr w:type="spellEnd"/>
      <w:r w:rsidRPr="004F496C">
        <w:rPr>
          <w:rFonts w:ascii="Times New Roman" w:hAnsi="Times New Roman" w:cs="Times New Roman"/>
          <w:sz w:val="24"/>
          <w:szCs w:val="24"/>
        </w:rPr>
        <w:t xml:space="preserve"> (Sweet Cassava) on Wister Rats.</w:t>
      </w:r>
      <w:r w:rsidRPr="004F496C">
        <w:rPr>
          <w:rFonts w:ascii="Times New Roman" w:hAnsi="Times New Roman" w:cs="Times New Roman"/>
          <w:i/>
          <w:sz w:val="24"/>
          <w:szCs w:val="24"/>
        </w:rPr>
        <w:t xml:space="preserve"> International Journal of Agriculture Innovations and Research</w:t>
      </w:r>
      <w:r w:rsidRPr="004F496C">
        <w:rPr>
          <w:rFonts w:ascii="Times New Roman" w:hAnsi="Times New Roman" w:cs="Times New Roman"/>
          <w:sz w:val="24"/>
          <w:szCs w:val="24"/>
        </w:rPr>
        <w:t>, 4, 1473 - 2319.</w:t>
      </w:r>
    </w:p>
    <w:p w14:paraId="67D83CFC"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6DA8821D"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Andrew, K. M. (2003). Calcium and heart a question of life and death. </w:t>
      </w:r>
      <w:r w:rsidRPr="004F496C">
        <w:rPr>
          <w:rFonts w:ascii="Times New Roman" w:hAnsi="Times New Roman" w:cs="Times New Roman"/>
          <w:i/>
          <w:sz w:val="24"/>
          <w:szCs w:val="24"/>
        </w:rPr>
        <w:t>Journal of Clinical Investigation,</w:t>
      </w:r>
      <w:r w:rsidRPr="004F496C">
        <w:rPr>
          <w:rFonts w:ascii="Times New Roman" w:hAnsi="Times New Roman" w:cs="Times New Roman"/>
          <w:sz w:val="24"/>
          <w:szCs w:val="24"/>
        </w:rPr>
        <w:t xml:space="preserve"> 111, 597 - 600.</w:t>
      </w:r>
    </w:p>
    <w:p w14:paraId="749478F6"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7EF15AE4"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Nicholas, T. L. and Courtney, M. L. (2016). Analytical samples. </w:t>
      </w:r>
      <w:r w:rsidRPr="004F496C">
        <w:rPr>
          <w:rFonts w:ascii="Times New Roman" w:hAnsi="Times New Roman" w:cs="Times New Roman"/>
          <w:i/>
          <w:sz w:val="24"/>
          <w:szCs w:val="24"/>
        </w:rPr>
        <w:t>Forensic Toxicology</w:t>
      </w:r>
      <w:r w:rsidRPr="004F496C">
        <w:rPr>
          <w:rFonts w:ascii="Times New Roman" w:hAnsi="Times New Roman" w:cs="Times New Roman"/>
          <w:sz w:val="24"/>
          <w:szCs w:val="24"/>
        </w:rPr>
        <w:t>, 56, 463 - 472.</w:t>
      </w:r>
    </w:p>
    <w:p w14:paraId="0C38E1D4"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7D3C455F"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Minesh, K. and Joshua, Z. (2020). The association between serum chloride levels and chronic kidney disease progression: a cohort study.</w:t>
      </w:r>
      <w:r w:rsidRPr="004F496C">
        <w:rPr>
          <w:rFonts w:ascii="Times New Roman" w:hAnsi="Times New Roman" w:cs="Times New Roman"/>
          <w:i/>
          <w:sz w:val="24"/>
          <w:szCs w:val="24"/>
        </w:rPr>
        <w:t xml:space="preserve"> Nephrology,</w:t>
      </w:r>
      <w:r w:rsidRPr="004F496C">
        <w:rPr>
          <w:rFonts w:ascii="Times New Roman" w:hAnsi="Times New Roman" w:cs="Times New Roman"/>
          <w:sz w:val="24"/>
          <w:szCs w:val="24"/>
        </w:rPr>
        <w:t xml:space="preserve"> 20, 165 - 170.</w:t>
      </w:r>
    </w:p>
    <w:p w14:paraId="0C3E5908"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4EEA43C6"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Fogo, A. B. (2007). Mechanism of progression of chronic kidney disease. </w:t>
      </w:r>
      <w:proofErr w:type="spellStart"/>
      <w:r w:rsidRPr="004F496C">
        <w:rPr>
          <w:rFonts w:ascii="Times New Roman" w:hAnsi="Times New Roman" w:cs="Times New Roman"/>
          <w:i/>
          <w:sz w:val="24"/>
          <w:szCs w:val="24"/>
        </w:rPr>
        <w:t>PaediatricNeprology</w:t>
      </w:r>
      <w:proofErr w:type="spellEnd"/>
      <w:r w:rsidRPr="004F496C">
        <w:rPr>
          <w:rFonts w:ascii="Times New Roman" w:hAnsi="Times New Roman" w:cs="Times New Roman"/>
          <w:i/>
          <w:sz w:val="24"/>
          <w:szCs w:val="24"/>
        </w:rPr>
        <w:t>,</w:t>
      </w:r>
      <w:r w:rsidRPr="004F496C">
        <w:rPr>
          <w:rFonts w:ascii="Times New Roman" w:hAnsi="Times New Roman" w:cs="Times New Roman"/>
          <w:sz w:val="24"/>
          <w:szCs w:val="24"/>
        </w:rPr>
        <w:t xml:space="preserve"> 22(12), 2011 - 2022.</w:t>
      </w:r>
    </w:p>
    <w:p w14:paraId="0C36E1CB"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3080DA93"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Bailly, V., Zhang, Z., Meier, W., Cate, R., Sanicola, M. and Bonventre, J. V. (2002). Shedding of kidney injury molecule 1, a putative adhesion protein in renal regeneration.</w:t>
      </w:r>
      <w:r w:rsidRPr="004F496C">
        <w:rPr>
          <w:rFonts w:ascii="Times New Roman" w:hAnsi="Times New Roman" w:cs="Times New Roman"/>
          <w:i/>
          <w:sz w:val="24"/>
          <w:szCs w:val="24"/>
        </w:rPr>
        <w:t xml:space="preserve"> Journal of Biology and Chemistry</w:t>
      </w:r>
      <w:r w:rsidRPr="004F496C">
        <w:rPr>
          <w:rFonts w:ascii="Times New Roman" w:hAnsi="Times New Roman" w:cs="Times New Roman"/>
          <w:sz w:val="24"/>
          <w:szCs w:val="24"/>
        </w:rPr>
        <w:t>, 277, 39739 - 39748.</w:t>
      </w:r>
    </w:p>
    <w:p w14:paraId="5A4E0B39"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7F117108"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Lim, A. L., Jang, S. C., Lai, K. N. and Leung, J. C. (2013). Kidney injury molecule 1: more than just an injury marker of tubular epithelial cell. </w:t>
      </w:r>
      <w:r w:rsidRPr="004F496C">
        <w:rPr>
          <w:rFonts w:ascii="Times New Roman" w:hAnsi="Times New Roman" w:cs="Times New Roman"/>
          <w:i/>
          <w:sz w:val="24"/>
          <w:szCs w:val="24"/>
        </w:rPr>
        <w:t>Journal of Cell Physiology,</w:t>
      </w:r>
      <w:r w:rsidRPr="004F496C">
        <w:rPr>
          <w:rFonts w:ascii="Times New Roman" w:hAnsi="Times New Roman" w:cs="Times New Roman"/>
          <w:sz w:val="24"/>
          <w:szCs w:val="24"/>
        </w:rPr>
        <w:t xml:space="preserve"> 228, 917 - 924.</w:t>
      </w:r>
    </w:p>
    <w:p w14:paraId="5B2A2C40" w14:textId="77777777"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14:paraId="7BF08643" w14:textId="77777777"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Okolie, N. P. and Osagie, A. U. (1999). Liver and Kidney Lesions and Associated Enzymes Changes Induced in Rabbits by Chronic Exposure of Cyanide. </w:t>
      </w:r>
      <w:r w:rsidRPr="004F496C">
        <w:rPr>
          <w:rFonts w:ascii="Times New Roman" w:hAnsi="Times New Roman" w:cs="Times New Roman"/>
          <w:i/>
          <w:sz w:val="24"/>
          <w:szCs w:val="24"/>
        </w:rPr>
        <w:t xml:space="preserve">Food and Chemistry Toxicology, </w:t>
      </w:r>
      <w:r w:rsidRPr="004F496C">
        <w:rPr>
          <w:rFonts w:ascii="Times New Roman" w:hAnsi="Times New Roman" w:cs="Times New Roman"/>
          <w:sz w:val="24"/>
          <w:szCs w:val="24"/>
        </w:rPr>
        <w:t>37, 745 - 750.</w:t>
      </w:r>
    </w:p>
    <w:p w14:paraId="555BB193"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39B82A59"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693D58EB"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71891F3D"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34804845"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38614221"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0632B546"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6260E444"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3A21FA7E"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44937BEE"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6906303A"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2D7507F3" w14:textId="77777777"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14:paraId="7DBEB7CF" w14:textId="77777777" w:rsidR="001D183B" w:rsidRDefault="001D183B" w:rsidP="009A18DB">
      <w:pPr>
        <w:tabs>
          <w:tab w:val="left" w:pos="7488"/>
        </w:tabs>
        <w:spacing w:after="0" w:line="240" w:lineRule="auto"/>
        <w:ind w:left="720" w:hanging="720"/>
        <w:jc w:val="both"/>
        <w:rPr>
          <w:rFonts w:ascii="Times New Roman" w:hAnsi="Times New Roman" w:cs="Times New Roman"/>
          <w:sz w:val="24"/>
          <w:szCs w:val="24"/>
        </w:rPr>
      </w:pPr>
    </w:p>
    <w:p w14:paraId="189E8BCB" w14:textId="77777777" w:rsidR="009A18DB" w:rsidRDefault="009A18DB" w:rsidP="009A18DB">
      <w:pPr>
        <w:tabs>
          <w:tab w:val="left" w:pos="7488"/>
        </w:tabs>
        <w:spacing w:after="0" w:line="240" w:lineRule="auto"/>
        <w:ind w:left="720" w:hanging="720"/>
        <w:jc w:val="both"/>
        <w:rPr>
          <w:rFonts w:ascii="Times New Roman" w:hAnsi="Times New Roman" w:cs="Times New Roman"/>
          <w:sz w:val="24"/>
          <w:szCs w:val="24"/>
        </w:rPr>
      </w:pPr>
    </w:p>
    <w:p w14:paraId="1565AD83" w14:textId="77777777" w:rsidR="009A18DB" w:rsidRPr="009A18DB" w:rsidRDefault="009A18DB" w:rsidP="009A18DB">
      <w:pPr>
        <w:spacing w:after="0" w:line="240" w:lineRule="auto"/>
        <w:ind w:left="720" w:hanging="720"/>
        <w:jc w:val="both"/>
        <w:rPr>
          <w:rFonts w:ascii="Times New Roman" w:hAnsi="Times New Roman" w:cs="Times New Roman"/>
          <w:sz w:val="24"/>
          <w:szCs w:val="24"/>
        </w:rPr>
      </w:pPr>
    </w:p>
    <w:p w14:paraId="78BE27FE" w14:textId="77777777"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p w14:paraId="32113E53" w14:textId="77777777"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p w14:paraId="5A90C427" w14:textId="77777777"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p w14:paraId="7EC1E960" w14:textId="77777777"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sectPr w:rsidR="009A18DB" w:rsidSect="00C130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81048" w14:textId="77777777" w:rsidR="00636C9E" w:rsidRDefault="00636C9E" w:rsidP="003A5EA5">
      <w:pPr>
        <w:spacing w:after="0" w:line="240" w:lineRule="auto"/>
      </w:pPr>
      <w:r>
        <w:separator/>
      </w:r>
    </w:p>
  </w:endnote>
  <w:endnote w:type="continuationSeparator" w:id="0">
    <w:p w14:paraId="35B02A95" w14:textId="77777777" w:rsidR="00636C9E" w:rsidRDefault="00636C9E" w:rsidP="003A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41F0" w14:textId="77777777" w:rsidR="003A5EA5" w:rsidRDefault="003A5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2938" w14:textId="77777777" w:rsidR="003A5EA5" w:rsidRDefault="003A5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0051" w14:textId="77777777" w:rsidR="003A5EA5" w:rsidRDefault="003A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BC65" w14:textId="77777777" w:rsidR="00636C9E" w:rsidRDefault="00636C9E" w:rsidP="003A5EA5">
      <w:pPr>
        <w:spacing w:after="0" w:line="240" w:lineRule="auto"/>
      </w:pPr>
      <w:r>
        <w:separator/>
      </w:r>
    </w:p>
  </w:footnote>
  <w:footnote w:type="continuationSeparator" w:id="0">
    <w:p w14:paraId="482491E9" w14:textId="77777777" w:rsidR="00636C9E" w:rsidRDefault="00636C9E" w:rsidP="003A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9B7E" w14:textId="5AD17E4B" w:rsidR="003A5EA5" w:rsidRDefault="003A5EA5">
    <w:pPr>
      <w:pStyle w:val="Header"/>
    </w:pPr>
    <w:r>
      <w:rPr>
        <w:noProof/>
      </w:rPr>
      <w:pict w14:anchorId="47852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792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F369" w14:textId="30F54F20" w:rsidR="003A5EA5" w:rsidRDefault="003A5EA5">
    <w:pPr>
      <w:pStyle w:val="Header"/>
    </w:pPr>
    <w:r>
      <w:rPr>
        <w:noProof/>
      </w:rPr>
      <w:pict w14:anchorId="52CD8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792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7B1F" w14:textId="2836D300" w:rsidR="003A5EA5" w:rsidRDefault="003A5EA5">
    <w:pPr>
      <w:pStyle w:val="Header"/>
    </w:pPr>
    <w:r>
      <w:rPr>
        <w:noProof/>
      </w:rPr>
      <w:pict w14:anchorId="2A520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792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64F9C"/>
    <w:multiLevelType w:val="hybridMultilevel"/>
    <w:tmpl w:val="3274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23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F58"/>
    <w:rsid w:val="000438CA"/>
    <w:rsid w:val="00047932"/>
    <w:rsid w:val="00050671"/>
    <w:rsid w:val="000618C7"/>
    <w:rsid w:val="00075530"/>
    <w:rsid w:val="000C2B7A"/>
    <w:rsid w:val="000D6A0B"/>
    <w:rsid w:val="001005B5"/>
    <w:rsid w:val="0011106A"/>
    <w:rsid w:val="00147640"/>
    <w:rsid w:val="001D183B"/>
    <w:rsid w:val="001D7CEB"/>
    <w:rsid w:val="002012A0"/>
    <w:rsid w:val="002023B4"/>
    <w:rsid w:val="00213DA3"/>
    <w:rsid w:val="00230D58"/>
    <w:rsid w:val="00240C4D"/>
    <w:rsid w:val="002442A1"/>
    <w:rsid w:val="00247774"/>
    <w:rsid w:val="00272986"/>
    <w:rsid w:val="0027483F"/>
    <w:rsid w:val="002927C5"/>
    <w:rsid w:val="002A4F07"/>
    <w:rsid w:val="002A6B1F"/>
    <w:rsid w:val="002A71A9"/>
    <w:rsid w:val="002B0EFC"/>
    <w:rsid w:val="002B37BF"/>
    <w:rsid w:val="002C35B2"/>
    <w:rsid w:val="002D289D"/>
    <w:rsid w:val="002D2ECA"/>
    <w:rsid w:val="00301DFB"/>
    <w:rsid w:val="00303C1F"/>
    <w:rsid w:val="00327A05"/>
    <w:rsid w:val="00350F49"/>
    <w:rsid w:val="00373D8E"/>
    <w:rsid w:val="00376107"/>
    <w:rsid w:val="00381A36"/>
    <w:rsid w:val="003A282C"/>
    <w:rsid w:val="003A5EA5"/>
    <w:rsid w:val="003B16D0"/>
    <w:rsid w:val="003D062A"/>
    <w:rsid w:val="003D1D11"/>
    <w:rsid w:val="003D2C36"/>
    <w:rsid w:val="003D455F"/>
    <w:rsid w:val="003D484F"/>
    <w:rsid w:val="00401D6D"/>
    <w:rsid w:val="00407B54"/>
    <w:rsid w:val="00425C16"/>
    <w:rsid w:val="00431F58"/>
    <w:rsid w:val="004355EA"/>
    <w:rsid w:val="00446C97"/>
    <w:rsid w:val="004629FB"/>
    <w:rsid w:val="00471DF4"/>
    <w:rsid w:val="0048497A"/>
    <w:rsid w:val="0049644A"/>
    <w:rsid w:val="004A0896"/>
    <w:rsid w:val="004D69C1"/>
    <w:rsid w:val="004F496C"/>
    <w:rsid w:val="00506EDC"/>
    <w:rsid w:val="00524F7E"/>
    <w:rsid w:val="00537715"/>
    <w:rsid w:val="00540795"/>
    <w:rsid w:val="0054144E"/>
    <w:rsid w:val="00551C59"/>
    <w:rsid w:val="005575D0"/>
    <w:rsid w:val="0057636D"/>
    <w:rsid w:val="00594AE6"/>
    <w:rsid w:val="005977DE"/>
    <w:rsid w:val="005A5E4A"/>
    <w:rsid w:val="005A64A2"/>
    <w:rsid w:val="005C2C1A"/>
    <w:rsid w:val="005C4B53"/>
    <w:rsid w:val="005C6F9B"/>
    <w:rsid w:val="005D2E13"/>
    <w:rsid w:val="005D2F22"/>
    <w:rsid w:val="005E35BE"/>
    <w:rsid w:val="00636072"/>
    <w:rsid w:val="00636C9E"/>
    <w:rsid w:val="00674862"/>
    <w:rsid w:val="00681837"/>
    <w:rsid w:val="0068426B"/>
    <w:rsid w:val="00686B15"/>
    <w:rsid w:val="006B2E15"/>
    <w:rsid w:val="006D5A66"/>
    <w:rsid w:val="00710171"/>
    <w:rsid w:val="00755E55"/>
    <w:rsid w:val="00757708"/>
    <w:rsid w:val="00757F7A"/>
    <w:rsid w:val="0076292F"/>
    <w:rsid w:val="0078085D"/>
    <w:rsid w:val="00790B9C"/>
    <w:rsid w:val="007A2235"/>
    <w:rsid w:val="007A705A"/>
    <w:rsid w:val="007B48DD"/>
    <w:rsid w:val="007B7912"/>
    <w:rsid w:val="007C1C46"/>
    <w:rsid w:val="007C1D4D"/>
    <w:rsid w:val="007C66F1"/>
    <w:rsid w:val="007E011C"/>
    <w:rsid w:val="007E1BC8"/>
    <w:rsid w:val="00803965"/>
    <w:rsid w:val="00806DE7"/>
    <w:rsid w:val="00811A4B"/>
    <w:rsid w:val="0082622F"/>
    <w:rsid w:val="008430DE"/>
    <w:rsid w:val="00862581"/>
    <w:rsid w:val="008629BA"/>
    <w:rsid w:val="00864A17"/>
    <w:rsid w:val="0086518C"/>
    <w:rsid w:val="008F2B96"/>
    <w:rsid w:val="008F5B4C"/>
    <w:rsid w:val="009017CD"/>
    <w:rsid w:val="00931B43"/>
    <w:rsid w:val="00941190"/>
    <w:rsid w:val="00955583"/>
    <w:rsid w:val="00980B26"/>
    <w:rsid w:val="009A18DB"/>
    <w:rsid w:val="009B115F"/>
    <w:rsid w:val="009C4303"/>
    <w:rsid w:val="009D7E54"/>
    <w:rsid w:val="00A250FA"/>
    <w:rsid w:val="00A54DE8"/>
    <w:rsid w:val="00A740CE"/>
    <w:rsid w:val="00A84F48"/>
    <w:rsid w:val="00AB186E"/>
    <w:rsid w:val="00AC3CD8"/>
    <w:rsid w:val="00AC7C0F"/>
    <w:rsid w:val="00AD5092"/>
    <w:rsid w:val="00AE6D28"/>
    <w:rsid w:val="00B114AE"/>
    <w:rsid w:val="00B2104D"/>
    <w:rsid w:val="00B213BA"/>
    <w:rsid w:val="00B22DD1"/>
    <w:rsid w:val="00B34CD3"/>
    <w:rsid w:val="00B46D85"/>
    <w:rsid w:val="00B539C2"/>
    <w:rsid w:val="00B628ED"/>
    <w:rsid w:val="00B64D26"/>
    <w:rsid w:val="00B65C1A"/>
    <w:rsid w:val="00BC7806"/>
    <w:rsid w:val="00BD1DA6"/>
    <w:rsid w:val="00BF5688"/>
    <w:rsid w:val="00C07ABE"/>
    <w:rsid w:val="00C1300F"/>
    <w:rsid w:val="00C2270F"/>
    <w:rsid w:val="00C5106B"/>
    <w:rsid w:val="00C5257A"/>
    <w:rsid w:val="00C539C8"/>
    <w:rsid w:val="00CA3FC4"/>
    <w:rsid w:val="00CC0A4E"/>
    <w:rsid w:val="00CC5030"/>
    <w:rsid w:val="00CE5371"/>
    <w:rsid w:val="00D12FDA"/>
    <w:rsid w:val="00D27E61"/>
    <w:rsid w:val="00D44CC2"/>
    <w:rsid w:val="00D6004D"/>
    <w:rsid w:val="00D63CC1"/>
    <w:rsid w:val="00D87D47"/>
    <w:rsid w:val="00DA4049"/>
    <w:rsid w:val="00DE3FB3"/>
    <w:rsid w:val="00DF6384"/>
    <w:rsid w:val="00E52811"/>
    <w:rsid w:val="00E61331"/>
    <w:rsid w:val="00E91AFE"/>
    <w:rsid w:val="00EA155D"/>
    <w:rsid w:val="00EB4BBF"/>
    <w:rsid w:val="00EC4838"/>
    <w:rsid w:val="00EC4AC7"/>
    <w:rsid w:val="00EC7032"/>
    <w:rsid w:val="00EF43CF"/>
    <w:rsid w:val="00F23050"/>
    <w:rsid w:val="00F43495"/>
    <w:rsid w:val="00F55F20"/>
    <w:rsid w:val="00F6510E"/>
    <w:rsid w:val="00F90524"/>
    <w:rsid w:val="00F97C04"/>
    <w:rsid w:val="00FB77AD"/>
    <w:rsid w:val="00FC11D5"/>
    <w:rsid w:val="00FF4417"/>
    <w:rsid w:val="00FF5F96"/>
    <w:rsid w:val="00FF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904F"/>
  <w15:docId w15:val="{6DAB2B49-6AC9-42BE-AE1F-F0370FE1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F58"/>
    <w:rPr>
      <w:color w:val="0563C1" w:themeColor="hyperlink"/>
      <w:u w:val="single"/>
    </w:rPr>
  </w:style>
  <w:style w:type="paragraph" w:customStyle="1" w:styleId="Body">
    <w:name w:val="Body"/>
    <w:basedOn w:val="Normal"/>
    <w:rsid w:val="00431F58"/>
    <w:pPr>
      <w:spacing w:after="240" w:line="240" w:lineRule="auto"/>
      <w:jc w:val="both"/>
    </w:pPr>
    <w:rPr>
      <w:rFonts w:ascii="Helvetica" w:eastAsia="Times New Roman" w:hAnsi="Helvetica" w:cs="Times New Roman"/>
      <w:sz w:val="20"/>
      <w:szCs w:val="20"/>
    </w:rPr>
  </w:style>
  <w:style w:type="paragraph" w:styleId="NormalWeb">
    <w:name w:val="Normal (Web)"/>
    <w:basedOn w:val="Normal"/>
    <w:uiPriority w:val="99"/>
    <w:rsid w:val="00431F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8F5B4C"/>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BC8"/>
    <w:rPr>
      <w:rFonts w:ascii="Tahoma" w:hAnsi="Tahoma" w:cs="Tahoma"/>
      <w:sz w:val="16"/>
      <w:szCs w:val="16"/>
    </w:rPr>
  </w:style>
  <w:style w:type="character" w:customStyle="1" w:styleId="ref-journal">
    <w:name w:val="ref-journal"/>
    <w:basedOn w:val="DefaultParagraphFont"/>
    <w:rsid w:val="0027483F"/>
  </w:style>
  <w:style w:type="character" w:customStyle="1" w:styleId="ref-vol">
    <w:name w:val="ref-vol"/>
    <w:basedOn w:val="DefaultParagraphFont"/>
    <w:rsid w:val="0027483F"/>
  </w:style>
  <w:style w:type="character" w:customStyle="1" w:styleId="element-citation">
    <w:name w:val="element-citation"/>
    <w:basedOn w:val="DefaultParagraphFont"/>
    <w:rsid w:val="0027483F"/>
  </w:style>
  <w:style w:type="paragraph" w:styleId="ListParagraph">
    <w:name w:val="List Paragraph"/>
    <w:basedOn w:val="Normal"/>
    <w:uiPriority w:val="34"/>
    <w:qFormat/>
    <w:rsid w:val="004F496C"/>
    <w:pPr>
      <w:ind w:left="720"/>
      <w:contextualSpacing/>
    </w:pPr>
  </w:style>
  <w:style w:type="character" w:styleId="UnresolvedMention">
    <w:name w:val="Unresolved Mention"/>
    <w:basedOn w:val="DefaultParagraphFont"/>
    <w:uiPriority w:val="99"/>
    <w:semiHidden/>
    <w:unhideWhenUsed/>
    <w:rsid w:val="00CA3FC4"/>
    <w:rPr>
      <w:color w:val="605E5C"/>
      <w:shd w:val="clear" w:color="auto" w:fill="E1DFDD"/>
    </w:rPr>
  </w:style>
  <w:style w:type="paragraph" w:styleId="Header">
    <w:name w:val="header"/>
    <w:basedOn w:val="Normal"/>
    <w:link w:val="HeaderChar"/>
    <w:uiPriority w:val="99"/>
    <w:unhideWhenUsed/>
    <w:rsid w:val="003A5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EA5"/>
  </w:style>
  <w:style w:type="paragraph" w:styleId="Footer">
    <w:name w:val="footer"/>
    <w:basedOn w:val="Normal"/>
    <w:link w:val="FooterChar"/>
    <w:uiPriority w:val="99"/>
    <w:unhideWhenUsed/>
    <w:rsid w:val="003A5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13</cp:revision>
  <dcterms:created xsi:type="dcterms:W3CDTF">2025-04-06T12:59:00Z</dcterms:created>
  <dcterms:modified xsi:type="dcterms:W3CDTF">2025-04-07T13:16:00Z</dcterms:modified>
</cp:coreProperties>
</file>