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059D8" w14:textId="77777777" w:rsidR="002060ED" w:rsidRDefault="002060ED" w:rsidP="002060ED">
      <w:pPr>
        <w:pStyle w:val="NormalWeb"/>
        <w:spacing w:beforeAutospacing="0" w:afterAutospacing="0" w:line="324" w:lineRule="atLeast"/>
        <w:rPr>
          <w:rFonts w:eastAsia="-webkit-standard"/>
        </w:rPr>
      </w:pPr>
      <w:r>
        <w:rPr>
          <w:rFonts w:eastAsia="-webkit-standard"/>
          <w:b/>
          <w:bCs/>
        </w:rPr>
        <w:t>Cutaneous Manifestations of End Stage Renal Disease (ESRD) on Hemodialysis in Libyan patients.</w:t>
      </w:r>
    </w:p>
    <w:p w14:paraId="4C03BCA9" w14:textId="77777777" w:rsidR="005037B9" w:rsidRDefault="005037B9" w:rsidP="002060ED">
      <w:pPr>
        <w:pStyle w:val="NormalWeb"/>
        <w:spacing w:beforeAutospacing="0" w:afterAutospacing="0" w:line="324" w:lineRule="atLeast"/>
        <w:rPr>
          <w:rFonts w:eastAsia="-webkit-standard"/>
        </w:rPr>
      </w:pPr>
    </w:p>
    <w:p w14:paraId="646951A1" w14:textId="77777777" w:rsidR="00996D2E" w:rsidRPr="00996D2E" w:rsidRDefault="00996D2E" w:rsidP="005037B9">
      <w:pPr>
        <w:bidi w:val="0"/>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996D2E">
        <w:rPr>
          <w:rFonts w:ascii="Times New Roman" w:eastAsia="Times New Roman" w:hAnsi="Times New Roman" w:cs="Times New Roman"/>
          <w:b/>
          <w:bCs/>
          <w:sz w:val="24"/>
          <w:szCs w:val="24"/>
        </w:rPr>
        <w:t>Abstract:</w:t>
      </w:r>
    </w:p>
    <w:p w14:paraId="376D77AA"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Background: Chronic renal failure (CRF) is associated with various cutaneous manifestations, ranging from xerosis and hyperpigmentation to severe, life-threatening pruritus. Hemodialysis interventions have introduced different and newer dermatological presentations in CRF patients.</w:t>
      </w:r>
    </w:p>
    <w:p w14:paraId="7D9476FE"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Aims of the Study: This study aimed to assess the frequency of skin manifestations in Libyan patients with chronic renal failure undergoing hemodialysis.</w:t>
      </w:r>
    </w:p>
    <w:p w14:paraId="43A5DDFE"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Materials and Methods: A total of 100 CRF patients on hemodialysis attending the hemodialysis unit at Ibn-Sina Teaching Hospital, Sirte, Libya, participated in this cross-sectional study. A comprehensive medical history was obtained, along with blood pressure measurement and a full clinical dermatological examination. Blood investigations included fasting blood sugar, HbA1c, hemoglobin, serum creatinine, and blood urea. Skin biopsies and additional investigations were performed when necessary.</w:t>
      </w:r>
    </w:p>
    <w:p w14:paraId="4D422C85"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Data analysis was conducted using IBM SPSS Statistics for Windows, Version 20.0. Quantitative data were analyzed using the Chi-squared test (χ²), with statistical significance set at a p-value of &lt;0.050.</w:t>
      </w:r>
    </w:p>
    <w:p w14:paraId="7EB2BC96"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Results: Among the 100 patients included, 54% were male and 46% were female, with an age range of 20 to 87 years (mean: 54.3 years; SD=14.5). Hypertension was present in 74% of patients, diabetes mellitus in 23%, and 6% had no comorbidities.</w:t>
      </w:r>
    </w:p>
    <w:p w14:paraId="29F9B144"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 xml:space="preserve">Ninety-one percent of patients exhibited at least one cutaneous manifestation. The average CRF duration was 10.3 years. The most common dermatological findings were pruritus (67%), nail changes (45%), xerosis (36%), pallor (34%), pale nails (32%), hyperpigmentation (20%), and infections (14%). Rare manifestations included uremic nephropathy (5%), calcification (4%), bullous disease (2%), </w:t>
      </w:r>
      <w:proofErr w:type="spellStart"/>
      <w:r w:rsidRPr="00775315">
        <w:rPr>
          <w:rFonts w:ascii="Times New Roman" w:eastAsia="Times New Roman" w:hAnsi="Times New Roman" w:cs="Times New Roman"/>
          <w:sz w:val="24"/>
          <w:szCs w:val="24"/>
        </w:rPr>
        <w:t>Kyrle</w:t>
      </w:r>
      <w:proofErr w:type="spellEnd"/>
      <w:r w:rsidRPr="00775315">
        <w:rPr>
          <w:rFonts w:ascii="Times New Roman" w:eastAsia="Times New Roman" w:hAnsi="Times New Roman" w:cs="Times New Roman"/>
          <w:sz w:val="24"/>
          <w:szCs w:val="24"/>
        </w:rPr>
        <w:t xml:space="preserve"> disease (1%), and uremic frost (1%).</w:t>
      </w:r>
    </w:p>
    <w:p w14:paraId="6B125165"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Pruritus was reported in 71% of hypertensive patients and 65% of diabetics, whereas pallor was noted in 39% of hypertensive patients and 22% of diabetics. Calcification, hyperpigmentation, and xerosis were more prevalent in females. The prevalence of hypertension and diabetes mellitus increased significantly with age (e.g., hypertension: 44% in the 20–39 age group vs. 86% in those ≥60 years, p=0.001). Pruritus, xerosis, pallor, and pale nails showed a significant age-related increase (p&lt;0.05), and fungal infections were predominantly observed in patients ≥60 years.</w:t>
      </w:r>
    </w:p>
    <w:p w14:paraId="38C98BC6"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t>Hemoglobin levels ranged from 6 to 12 g/dL (mean: 9 g/dL), urea from 40 to 288 mg/dL (mean: 140 mg/dL), and creatinine from 4.5 to 18 mg/dL (mean: 7 mg/dL).</w:t>
      </w:r>
    </w:p>
    <w:p w14:paraId="2703FCFA"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sz w:val="24"/>
          <w:szCs w:val="24"/>
        </w:rPr>
        <w:lastRenderedPageBreak/>
        <w:t>Conclusion: The most frequent cutaneous manifestations observed in this study were pruritus, nail changes, xerosis, pallor, hyperpigmentation, and infections. Early identification of these dermatological signs can help alleviate patient discomfort and reduce morbidity.</w:t>
      </w:r>
    </w:p>
    <w:p w14:paraId="5F0CD8B0" w14:textId="77777777" w:rsidR="00996D2E" w:rsidRPr="00775315"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775315">
        <w:rPr>
          <w:rFonts w:ascii="Times New Roman" w:eastAsia="Times New Roman" w:hAnsi="Times New Roman" w:cs="Times New Roman"/>
          <w:b/>
          <w:bCs/>
          <w:sz w:val="24"/>
          <w:szCs w:val="24"/>
        </w:rPr>
        <w:t>Keywords:</w:t>
      </w:r>
      <w:r w:rsidRPr="00775315">
        <w:rPr>
          <w:rFonts w:ascii="Times New Roman" w:eastAsia="Times New Roman" w:hAnsi="Times New Roman" w:cs="Times New Roman"/>
          <w:sz w:val="24"/>
          <w:szCs w:val="24"/>
        </w:rPr>
        <w:t xml:space="preserve"> ESRF, CRF, Hemodialysis, Pruritus, Xerosis, Libya.</w:t>
      </w:r>
    </w:p>
    <w:p w14:paraId="0AE1B7ED" w14:textId="77777777" w:rsidR="00354009" w:rsidRPr="00775315" w:rsidRDefault="00354009"/>
    <w:p w14:paraId="1059A65D" w14:textId="77777777" w:rsidR="005037B9" w:rsidRDefault="005037B9">
      <w:pPr>
        <w:rPr>
          <w:rtl/>
        </w:rPr>
      </w:pPr>
    </w:p>
    <w:p w14:paraId="5A4FF827" w14:textId="77777777" w:rsidR="005037B9" w:rsidRDefault="005037B9">
      <w:pPr>
        <w:rPr>
          <w:rtl/>
        </w:rPr>
      </w:pPr>
    </w:p>
    <w:p w14:paraId="48EFDD1D" w14:textId="77777777" w:rsidR="005037B9" w:rsidRDefault="005037B9">
      <w:pPr>
        <w:rPr>
          <w:rtl/>
        </w:rPr>
      </w:pPr>
    </w:p>
    <w:p w14:paraId="35027F6C" w14:textId="77777777" w:rsidR="005037B9" w:rsidRDefault="005037B9">
      <w:pPr>
        <w:rPr>
          <w:rtl/>
        </w:rPr>
      </w:pPr>
    </w:p>
    <w:p w14:paraId="3BDF1C90" w14:textId="77777777" w:rsidR="005037B9" w:rsidRDefault="005037B9">
      <w:pPr>
        <w:rPr>
          <w:rtl/>
        </w:rPr>
      </w:pPr>
    </w:p>
    <w:p w14:paraId="7957A157" w14:textId="77777777" w:rsidR="005037B9" w:rsidRDefault="005037B9">
      <w:pPr>
        <w:rPr>
          <w:rtl/>
        </w:rPr>
      </w:pPr>
    </w:p>
    <w:p w14:paraId="31D58F6D" w14:textId="77777777" w:rsidR="005037B9" w:rsidRDefault="005037B9">
      <w:pPr>
        <w:rPr>
          <w:rtl/>
        </w:rPr>
      </w:pPr>
    </w:p>
    <w:p w14:paraId="68EC1625" w14:textId="77777777" w:rsidR="005037B9" w:rsidRDefault="005037B9">
      <w:pPr>
        <w:rPr>
          <w:rtl/>
        </w:rPr>
      </w:pPr>
    </w:p>
    <w:p w14:paraId="441A8992" w14:textId="77777777" w:rsidR="005037B9" w:rsidRDefault="005037B9">
      <w:pPr>
        <w:rPr>
          <w:rtl/>
        </w:rPr>
      </w:pPr>
    </w:p>
    <w:p w14:paraId="491C70BE" w14:textId="77777777" w:rsidR="005037B9" w:rsidRDefault="005037B9">
      <w:pPr>
        <w:rPr>
          <w:rtl/>
        </w:rPr>
      </w:pPr>
    </w:p>
    <w:p w14:paraId="631E0688" w14:textId="77777777" w:rsidR="005037B9" w:rsidRDefault="005037B9"/>
    <w:p w14:paraId="11ED83A0" w14:textId="77777777" w:rsidR="00996D2E" w:rsidRPr="00996D2E" w:rsidRDefault="00996D2E" w:rsidP="00996D2E">
      <w:pPr>
        <w:bidi w:val="0"/>
        <w:spacing w:before="100" w:beforeAutospacing="1" w:after="100" w:afterAutospacing="1" w:line="240" w:lineRule="auto"/>
        <w:rPr>
          <w:rFonts w:ascii="Times New Roman" w:eastAsia="Times New Roman" w:hAnsi="Times New Roman" w:cs="Times New Roman"/>
          <w:sz w:val="24"/>
          <w:szCs w:val="24"/>
        </w:rPr>
      </w:pPr>
      <w:r w:rsidRPr="00996D2E">
        <w:rPr>
          <w:rFonts w:ascii="Times New Roman" w:eastAsia="Times New Roman" w:hAnsi="Times New Roman" w:cs="Times New Roman"/>
          <w:b/>
          <w:bCs/>
          <w:sz w:val="24"/>
          <w:szCs w:val="24"/>
        </w:rPr>
        <w:t>Introduction</w:t>
      </w:r>
      <w:r w:rsidRPr="00996D2E">
        <w:rPr>
          <w:rFonts w:ascii="Times New Roman" w:eastAsia="Times New Roman" w:hAnsi="Times New Roman" w:cs="Times New Roman"/>
          <w:sz w:val="24"/>
          <w:szCs w:val="24"/>
        </w:rPr>
        <w:t>:</w:t>
      </w:r>
    </w:p>
    <w:p w14:paraId="5FDF3A09" w14:textId="77777777" w:rsidR="00996D2E" w:rsidRPr="00996D2E"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996D2E">
        <w:rPr>
          <w:rFonts w:ascii="Times New Roman" w:eastAsia="Times New Roman" w:hAnsi="Times New Roman" w:cs="Times New Roman"/>
          <w:sz w:val="24"/>
          <w:szCs w:val="24"/>
        </w:rPr>
        <w:t>A broad range of skin diseases occurs in patients with ESRD, from the benign and asymptomatic to the physically disabling and life-threatening (1).</w:t>
      </w:r>
    </w:p>
    <w:p w14:paraId="11C24BDB" w14:textId="77777777" w:rsidR="00996D2E" w:rsidRPr="00996D2E"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996D2E">
        <w:rPr>
          <w:rFonts w:ascii="Times New Roman" w:eastAsia="Times New Roman" w:hAnsi="Times New Roman" w:cs="Times New Roman"/>
          <w:sz w:val="24"/>
          <w:szCs w:val="24"/>
        </w:rPr>
        <w:t>Many factors are involved in the pathogenesis of the cutaneous manifestations of ESRD, including electrolyte imbalance, buildup of uremic substances, and comorbid disease (2, 3). Many factors are involved in the pathogenesis of the cutaneous manifestations of ESRD, including electrolyte imbalance, buildup of uremic substances, and comorbid disease (2).</w:t>
      </w:r>
    </w:p>
    <w:p w14:paraId="65E4C934" w14:textId="77777777" w:rsidR="00996D2E" w:rsidRPr="00996D2E"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996D2E">
        <w:rPr>
          <w:rFonts w:ascii="Times New Roman" w:eastAsia="Times New Roman" w:hAnsi="Times New Roman" w:cs="Times New Roman"/>
          <w:sz w:val="24"/>
          <w:szCs w:val="24"/>
        </w:rPr>
        <w:t xml:space="preserve">Skin color changes, such as pallor and hyperpigmentation, are seen in approximately 40% and 20% of patients, respectively (4, 5). Half-and-half nails (or Lindsay’s nails) are seen in approximately 20% of patients, and xerosis (dry and scaly skin) is seen in 50%–85% of patients with ESRD (4,5). Some of the skin changes, like pruritus, xerosis, hyperpigmentation, and acquired perforating dermatosis, are said to be present regardless of hemodialysis. “Nephrogenic fibrosing dermopathy” and “bullous dermatoses of hemodialysis” develop only consequent to the initiation of hemodialysis (6). Prolonged life expectancy as a result of prompt treatment with hemodialysis enables newer cutaneous manifestations to appear (7). The advent of hemodialysis as the treatment of chronic renal failure (CRF) has virtually made </w:t>
      </w:r>
      <w:r w:rsidRPr="00996D2E">
        <w:rPr>
          <w:rFonts w:ascii="Times New Roman" w:eastAsia="Times New Roman" w:hAnsi="Times New Roman" w:cs="Times New Roman"/>
          <w:sz w:val="24"/>
          <w:szCs w:val="24"/>
        </w:rPr>
        <w:lastRenderedPageBreak/>
        <w:t xml:space="preserve">uremic frost and erythema </w:t>
      </w:r>
      <w:proofErr w:type="spellStart"/>
      <w:r w:rsidRPr="00996D2E">
        <w:rPr>
          <w:rFonts w:ascii="Times New Roman" w:eastAsia="Times New Roman" w:hAnsi="Times New Roman" w:cs="Times New Roman"/>
          <w:sz w:val="24"/>
          <w:szCs w:val="24"/>
        </w:rPr>
        <w:t>papulatum</w:t>
      </w:r>
      <w:proofErr w:type="spellEnd"/>
      <w:r w:rsidRPr="00996D2E">
        <w:rPr>
          <w:rFonts w:ascii="Times New Roman" w:eastAsia="Times New Roman" w:hAnsi="Times New Roman" w:cs="Times New Roman"/>
          <w:sz w:val="24"/>
          <w:szCs w:val="24"/>
        </w:rPr>
        <w:t xml:space="preserve"> </w:t>
      </w:r>
      <w:proofErr w:type="spellStart"/>
      <w:r w:rsidRPr="00996D2E">
        <w:rPr>
          <w:rFonts w:ascii="Times New Roman" w:eastAsia="Times New Roman" w:hAnsi="Times New Roman" w:cs="Times New Roman"/>
          <w:sz w:val="24"/>
          <w:szCs w:val="24"/>
        </w:rPr>
        <w:t>uremicum</w:t>
      </w:r>
      <w:proofErr w:type="spellEnd"/>
      <w:r w:rsidRPr="00996D2E">
        <w:rPr>
          <w:rFonts w:ascii="Times New Roman" w:eastAsia="Times New Roman" w:hAnsi="Times New Roman" w:cs="Times New Roman"/>
          <w:sz w:val="24"/>
          <w:szCs w:val="24"/>
        </w:rPr>
        <w:t xml:space="preserve">, the most frequent skin findings encountered in the </w:t>
      </w:r>
      <w:proofErr w:type="spellStart"/>
      <w:r w:rsidRPr="00996D2E">
        <w:rPr>
          <w:rFonts w:ascii="Times New Roman" w:eastAsia="Times New Roman" w:hAnsi="Times New Roman" w:cs="Times New Roman"/>
          <w:sz w:val="24"/>
          <w:szCs w:val="24"/>
        </w:rPr>
        <w:t>predialysis</w:t>
      </w:r>
      <w:proofErr w:type="spellEnd"/>
      <w:r w:rsidRPr="00996D2E">
        <w:rPr>
          <w:rFonts w:ascii="Times New Roman" w:eastAsia="Times New Roman" w:hAnsi="Times New Roman" w:cs="Times New Roman"/>
          <w:sz w:val="24"/>
          <w:szCs w:val="24"/>
        </w:rPr>
        <w:t xml:space="preserve"> era, extinct (7). The frequently reported intraoral findings in CRF patients are xerostomia, macroglossia, and ulcerative stomatitis (7). Hair is sparse and </w:t>
      </w:r>
      <w:proofErr w:type="spellStart"/>
      <w:r w:rsidRPr="00996D2E">
        <w:rPr>
          <w:rFonts w:ascii="Times New Roman" w:eastAsia="Times New Roman" w:hAnsi="Times New Roman" w:cs="Times New Roman"/>
          <w:sz w:val="24"/>
          <w:szCs w:val="24"/>
        </w:rPr>
        <w:t>lustreless</w:t>
      </w:r>
      <w:proofErr w:type="spellEnd"/>
      <w:r w:rsidRPr="00996D2E">
        <w:rPr>
          <w:rFonts w:ascii="Times New Roman" w:eastAsia="Times New Roman" w:hAnsi="Times New Roman" w:cs="Times New Roman"/>
          <w:sz w:val="24"/>
          <w:szCs w:val="24"/>
        </w:rPr>
        <w:t xml:space="preserve">. Half-and-half nails, absent </w:t>
      </w:r>
      <w:proofErr w:type="spellStart"/>
      <w:r w:rsidRPr="00996D2E">
        <w:rPr>
          <w:rFonts w:ascii="Times New Roman" w:eastAsia="Times New Roman" w:hAnsi="Times New Roman" w:cs="Times New Roman"/>
          <w:sz w:val="24"/>
          <w:szCs w:val="24"/>
        </w:rPr>
        <w:t>lunulae</w:t>
      </w:r>
      <w:proofErr w:type="spellEnd"/>
      <w:r w:rsidRPr="00996D2E">
        <w:rPr>
          <w:rFonts w:ascii="Times New Roman" w:eastAsia="Times New Roman" w:hAnsi="Times New Roman" w:cs="Times New Roman"/>
          <w:sz w:val="24"/>
          <w:szCs w:val="24"/>
        </w:rPr>
        <w:t>, and onychomycosis are common (8).</w:t>
      </w:r>
    </w:p>
    <w:p w14:paraId="1507B605" w14:textId="77777777" w:rsidR="00996D2E" w:rsidRPr="00996D2E"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996D2E">
        <w:rPr>
          <w:rFonts w:ascii="Times New Roman" w:eastAsia="Times New Roman" w:hAnsi="Times New Roman" w:cs="Times New Roman"/>
          <w:sz w:val="24"/>
          <w:szCs w:val="24"/>
        </w:rPr>
        <w:t>A review of the 2019 report reveals that diabetes mellitus remains the most common cause of ESRD, responsible for approximately 42% of all patients on renal replacement therapy (9). Hypertension accounts for approximately 26% of cases, and glomerulonephritis and cystic kidney diseases account for about 16%, although glomerulonephritis is not as prevalent as it was in the past</w:t>
      </w:r>
      <w:r>
        <w:rPr>
          <w:rFonts w:ascii="Times New Roman" w:eastAsia="Times New Roman" w:hAnsi="Times New Roman" w:cs="Times New Roman"/>
          <w:sz w:val="24"/>
          <w:szCs w:val="24"/>
        </w:rPr>
        <w:t xml:space="preserve"> (1). </w:t>
      </w:r>
      <w:r w:rsidRPr="00996D2E">
        <w:rPr>
          <w:rFonts w:ascii="Times New Roman" w:eastAsia="Times New Roman" w:hAnsi="Times New Roman" w:cs="Times New Roman"/>
          <w:sz w:val="24"/>
          <w:szCs w:val="24"/>
        </w:rPr>
        <w:t>The remaining causes of ESRD included vasculitis from an infectious or rheumatologic disease, interstitial nephritis, tumors, cholesterol emboli, and systemic amyloidosis (9).</w:t>
      </w:r>
    </w:p>
    <w:p w14:paraId="63DEA765" w14:textId="77777777" w:rsidR="00996D2E"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r w:rsidRPr="00996D2E">
        <w:rPr>
          <w:rFonts w:ascii="Times New Roman" w:eastAsia="Times New Roman" w:hAnsi="Times New Roman" w:cs="Times New Roman"/>
          <w:sz w:val="24"/>
          <w:szCs w:val="24"/>
        </w:rPr>
        <w:t>Cutaneous manifestations frequently affect patients undergoing hemodialysis due to the complex interplay between renal dysfunction, altered mineral homeostasis, and persistent inflammation (1, 10, 11). Common skin presentations among this population include xerosis, pruritus, ecchymosis, and hyperpigmentation, which negatively impact quality of life. Pruritus associated with chronic kidney disease, or CKD-associated pruritus, affects 22-84% of hemodialysis patients (12, 13). Hemodialysis is a critical therapy for individuals with end-stage renal disease; however, long-term treatment can result in adverse effects (7, 14).</w:t>
      </w:r>
    </w:p>
    <w:p w14:paraId="6FC8B5C4" w14:textId="77777777" w:rsidR="005037B9" w:rsidRDefault="005037B9" w:rsidP="005037B9">
      <w:pPr>
        <w:pStyle w:val="NormalWeb"/>
        <w:spacing w:before="240" w:beforeAutospacing="0" w:afterAutospacing="0" w:line="324" w:lineRule="atLeast"/>
        <w:jc w:val="both"/>
        <w:rPr>
          <w:rFonts w:eastAsia="-webkit-standard"/>
          <w:b/>
          <w:bCs/>
          <w:rtl/>
        </w:rPr>
      </w:pPr>
    </w:p>
    <w:p w14:paraId="01F20583" w14:textId="77777777" w:rsidR="005037B9" w:rsidRDefault="005037B9" w:rsidP="005037B9">
      <w:pPr>
        <w:pStyle w:val="NormalWeb"/>
        <w:spacing w:before="240" w:beforeAutospacing="0" w:afterAutospacing="0" w:line="324" w:lineRule="atLeast"/>
        <w:jc w:val="both"/>
        <w:rPr>
          <w:rFonts w:eastAsia="-webkit-standard"/>
          <w:b/>
          <w:bCs/>
          <w:rtl/>
        </w:rPr>
      </w:pPr>
    </w:p>
    <w:p w14:paraId="3CCA15E2" w14:textId="77777777" w:rsidR="005037B9" w:rsidRDefault="005037B9" w:rsidP="005037B9">
      <w:pPr>
        <w:pStyle w:val="NormalWeb"/>
        <w:spacing w:before="240" w:beforeAutospacing="0" w:afterAutospacing="0" w:line="324" w:lineRule="atLeast"/>
        <w:jc w:val="both"/>
        <w:rPr>
          <w:rFonts w:eastAsia="-webkit-standard"/>
          <w:b/>
          <w:bCs/>
          <w:rtl/>
        </w:rPr>
      </w:pPr>
    </w:p>
    <w:p w14:paraId="2FB647C9" w14:textId="77777777" w:rsidR="005037B9" w:rsidRDefault="00996D2E" w:rsidP="005037B9">
      <w:pPr>
        <w:pStyle w:val="NormalWeb"/>
        <w:spacing w:before="240" w:beforeAutospacing="0" w:afterAutospacing="0" w:line="324" w:lineRule="atLeast"/>
        <w:jc w:val="both"/>
        <w:rPr>
          <w:rFonts w:eastAsia="-webkit-standard"/>
        </w:rPr>
      </w:pPr>
      <w:r>
        <w:rPr>
          <w:rFonts w:eastAsia="-webkit-standard"/>
          <w:b/>
          <w:bCs/>
        </w:rPr>
        <w:t>Aims of the study</w:t>
      </w:r>
      <w:r>
        <w:rPr>
          <w:rFonts w:eastAsia="-webkit-standard"/>
        </w:rPr>
        <w:t>: </w:t>
      </w:r>
    </w:p>
    <w:p w14:paraId="7EECBBD6" w14:textId="77777777" w:rsidR="00996D2E" w:rsidRDefault="00996D2E" w:rsidP="005037B9">
      <w:pPr>
        <w:pStyle w:val="NormalWeb"/>
        <w:spacing w:before="240" w:beforeAutospacing="0" w:afterAutospacing="0" w:line="324" w:lineRule="atLeast"/>
        <w:jc w:val="both"/>
        <w:rPr>
          <w:rFonts w:eastAsia="-webkit-standard"/>
        </w:rPr>
      </w:pPr>
      <w:r>
        <w:rPr>
          <w:rFonts w:eastAsia="-webkit-standard"/>
          <w:lang w:bidi="ar"/>
        </w:rPr>
        <w:t>The aim of this study is to evaluate the frequency of skin manifestations among Libyan patients with chronic renal failure on hemodialysis.</w:t>
      </w:r>
    </w:p>
    <w:p w14:paraId="5AEF0E6E" w14:textId="77777777" w:rsidR="005037B9" w:rsidRDefault="005037B9" w:rsidP="005037B9">
      <w:pPr>
        <w:bidi w:val="0"/>
        <w:spacing w:before="100" w:beforeAutospacing="1" w:after="0" w:line="240" w:lineRule="auto"/>
        <w:jc w:val="both"/>
        <w:rPr>
          <w:rFonts w:ascii="Times New Roman" w:eastAsia="Times New Roman" w:hAnsi="Times New Roman" w:cs="Times New Roman"/>
          <w:b/>
          <w:bCs/>
          <w:sz w:val="24"/>
          <w:szCs w:val="24"/>
          <w:rtl/>
        </w:rPr>
      </w:pPr>
    </w:p>
    <w:p w14:paraId="20097E62" w14:textId="77777777" w:rsidR="005037B9" w:rsidRDefault="005037B9" w:rsidP="005037B9">
      <w:pPr>
        <w:bidi w:val="0"/>
        <w:spacing w:before="100" w:beforeAutospacing="1" w:after="0" w:line="240" w:lineRule="auto"/>
        <w:jc w:val="both"/>
        <w:rPr>
          <w:rFonts w:ascii="Times New Roman" w:eastAsia="Times New Roman" w:hAnsi="Times New Roman" w:cs="Times New Roman"/>
          <w:b/>
          <w:bCs/>
          <w:sz w:val="24"/>
          <w:szCs w:val="24"/>
          <w:rtl/>
        </w:rPr>
      </w:pPr>
    </w:p>
    <w:p w14:paraId="27424913" w14:textId="77777777" w:rsidR="005037B9" w:rsidRDefault="005037B9" w:rsidP="005037B9">
      <w:pPr>
        <w:bidi w:val="0"/>
        <w:spacing w:before="100" w:beforeAutospacing="1" w:after="0" w:line="240" w:lineRule="auto"/>
        <w:jc w:val="both"/>
        <w:rPr>
          <w:rFonts w:ascii="Times New Roman" w:eastAsia="Times New Roman" w:hAnsi="Times New Roman" w:cs="Times New Roman"/>
          <w:b/>
          <w:bCs/>
          <w:sz w:val="24"/>
          <w:szCs w:val="24"/>
          <w:rtl/>
        </w:rPr>
      </w:pPr>
    </w:p>
    <w:p w14:paraId="34FA1EB7" w14:textId="77777777" w:rsidR="005037B9" w:rsidRDefault="00996D2E" w:rsidP="005037B9">
      <w:pPr>
        <w:bidi w:val="0"/>
        <w:spacing w:before="100" w:beforeAutospacing="1" w:after="0" w:line="240" w:lineRule="auto"/>
        <w:jc w:val="both"/>
        <w:rPr>
          <w:rFonts w:ascii="Times New Roman" w:eastAsia="Times New Roman" w:hAnsi="Times New Roman" w:cs="Times New Roman"/>
          <w:sz w:val="24"/>
          <w:szCs w:val="24"/>
        </w:rPr>
      </w:pPr>
      <w:r w:rsidRPr="00996D2E">
        <w:rPr>
          <w:rFonts w:ascii="Times New Roman" w:eastAsia="Times New Roman" w:hAnsi="Times New Roman" w:cs="Times New Roman"/>
          <w:b/>
          <w:bCs/>
          <w:sz w:val="24"/>
          <w:szCs w:val="24"/>
        </w:rPr>
        <w:t>Materials and methods:</w:t>
      </w:r>
    </w:p>
    <w:p w14:paraId="7A7930E3" w14:textId="77777777" w:rsidR="004C2FF4" w:rsidRPr="004C2FF4" w:rsidRDefault="004C2FF4" w:rsidP="004C2FF4">
      <w:pPr>
        <w:bidi w:val="0"/>
        <w:spacing w:before="100" w:beforeAutospacing="1" w:after="100" w:afterAutospacing="1" w:line="240" w:lineRule="auto"/>
        <w:jc w:val="both"/>
        <w:rPr>
          <w:rFonts w:ascii="Times New Roman" w:eastAsia="Times New Roman" w:hAnsi="Times New Roman" w:cs="Times New Roman"/>
          <w:sz w:val="24"/>
          <w:szCs w:val="24"/>
        </w:rPr>
      </w:pPr>
      <w:r w:rsidRPr="004C2FF4">
        <w:rPr>
          <w:rFonts w:ascii="Times New Roman" w:eastAsia="Times New Roman" w:hAnsi="Times New Roman" w:cs="Times New Roman"/>
          <w:sz w:val="24"/>
          <w:szCs w:val="24"/>
        </w:rPr>
        <w:t xml:space="preserve">A total of 100 patients with CRF on hemodialysis registered in the Hemodialysis unit at Ibn-Sina Teaching Hospital, Sirte, Libya, over a period of one year (June 2023 to June 2024) were included in this cross-sectional study. Verbal consent was taken from all patients. </w:t>
      </w:r>
    </w:p>
    <w:p w14:paraId="16556F93" w14:textId="77777777" w:rsidR="004C2FF4" w:rsidRPr="004C2FF4" w:rsidRDefault="004C2FF4" w:rsidP="004C2FF4">
      <w:pPr>
        <w:bidi w:val="0"/>
        <w:spacing w:before="100" w:beforeAutospacing="1" w:after="100" w:afterAutospacing="1" w:line="240" w:lineRule="auto"/>
        <w:jc w:val="both"/>
        <w:rPr>
          <w:rFonts w:ascii="Times New Roman" w:eastAsia="Times New Roman" w:hAnsi="Times New Roman" w:cs="Times New Roman"/>
          <w:sz w:val="24"/>
          <w:szCs w:val="24"/>
        </w:rPr>
      </w:pPr>
      <w:r w:rsidRPr="004C2FF4">
        <w:rPr>
          <w:rFonts w:ascii="Times New Roman" w:eastAsia="Times New Roman" w:hAnsi="Times New Roman" w:cs="Times New Roman"/>
          <w:sz w:val="24"/>
          <w:szCs w:val="24"/>
        </w:rPr>
        <w:t xml:space="preserve">A detailed history of patients’ age, sex, primary and secondary diagnoses, medications, and present cutaneous status was noted. History included the duration of </w:t>
      </w:r>
      <w:r w:rsidRPr="004C2FF4">
        <w:rPr>
          <w:rFonts w:ascii="Times New Roman" w:eastAsia="Times New Roman" w:hAnsi="Times New Roman" w:cs="Times New Roman"/>
          <w:sz w:val="24"/>
          <w:szCs w:val="24"/>
        </w:rPr>
        <w:lastRenderedPageBreak/>
        <w:t>CRF and hemodialysis. Blood pressure measurement and complete clinical dermatological examination were done. Data were collected and recorded in a proforma.</w:t>
      </w:r>
    </w:p>
    <w:p w14:paraId="66A61EA9" w14:textId="77777777" w:rsidR="004C2FF4" w:rsidRPr="004C2FF4" w:rsidRDefault="004C2FF4" w:rsidP="004C2FF4">
      <w:pPr>
        <w:bidi w:val="0"/>
        <w:spacing w:before="100" w:beforeAutospacing="1" w:after="100" w:afterAutospacing="1" w:line="240" w:lineRule="auto"/>
        <w:jc w:val="both"/>
        <w:rPr>
          <w:rFonts w:ascii="Times New Roman" w:eastAsia="Times New Roman" w:hAnsi="Times New Roman" w:cs="Times New Roman"/>
          <w:sz w:val="24"/>
          <w:szCs w:val="24"/>
        </w:rPr>
      </w:pPr>
      <w:r w:rsidRPr="004C2FF4">
        <w:rPr>
          <w:rFonts w:ascii="Times New Roman" w:eastAsia="Times New Roman" w:hAnsi="Times New Roman" w:cs="Times New Roman"/>
          <w:sz w:val="24"/>
          <w:szCs w:val="24"/>
        </w:rPr>
        <w:t>Blood investigations were done for all patients, including fasting blood sugar, HbA1c, hemoglobin, serum creatinine, and blood urea. Skin biopsy and other investigations were done wherever required.</w:t>
      </w:r>
    </w:p>
    <w:p w14:paraId="0DF32572" w14:textId="77777777" w:rsidR="004C2FF4" w:rsidRPr="004C2FF4" w:rsidRDefault="004C2FF4" w:rsidP="004C2FF4">
      <w:pPr>
        <w:bidi w:val="0"/>
        <w:spacing w:before="100" w:beforeAutospacing="1" w:after="100" w:afterAutospacing="1" w:line="240" w:lineRule="auto"/>
        <w:jc w:val="both"/>
        <w:rPr>
          <w:rFonts w:ascii="Times New Roman" w:eastAsia="Times New Roman" w:hAnsi="Times New Roman" w:cs="Times New Roman"/>
          <w:sz w:val="24"/>
          <w:szCs w:val="24"/>
        </w:rPr>
      </w:pPr>
      <w:r w:rsidRPr="004C2FF4">
        <w:rPr>
          <w:rFonts w:ascii="Times New Roman" w:eastAsia="Times New Roman" w:hAnsi="Times New Roman" w:cs="Times New Roman"/>
          <w:sz w:val="24"/>
          <w:szCs w:val="24"/>
        </w:rPr>
        <w:t>Statistical analysis Data analysis was facilitated using IBM SPSS Statistics for Windows, Version 20.0.</w:t>
      </w:r>
    </w:p>
    <w:p w14:paraId="43F0370B" w14:textId="77777777" w:rsidR="00996D2E" w:rsidRPr="004C2FF4" w:rsidRDefault="004C2FF4" w:rsidP="004C2FF4">
      <w:pPr>
        <w:bidi w:val="0"/>
        <w:spacing w:before="100" w:beforeAutospacing="1" w:after="100" w:afterAutospacing="1" w:line="240" w:lineRule="auto"/>
        <w:jc w:val="both"/>
        <w:rPr>
          <w:rFonts w:ascii="Times New Roman" w:eastAsia="Times New Roman" w:hAnsi="Times New Roman" w:cs="Times New Roman"/>
          <w:sz w:val="24"/>
          <w:szCs w:val="24"/>
        </w:rPr>
      </w:pPr>
      <w:r w:rsidRPr="004C2FF4">
        <w:rPr>
          <w:rFonts w:ascii="Times New Roman" w:eastAsia="Times New Roman" w:hAnsi="Times New Roman" w:cs="Times New Roman"/>
          <w:sz w:val="24"/>
          <w:szCs w:val="24"/>
        </w:rPr>
        <w:t>Quantitative data interpretation employed the Chi-squared test (χ²). Statistical significance was set at a p-value of Statistical significance was set at a p-value of &lt; 0.050.</w:t>
      </w:r>
    </w:p>
    <w:p w14:paraId="717C7669" w14:textId="77777777" w:rsidR="00996D2E" w:rsidRPr="00996D2E" w:rsidRDefault="00996D2E" w:rsidP="00996D2E">
      <w:pPr>
        <w:bidi w:val="0"/>
        <w:spacing w:before="100" w:beforeAutospacing="1" w:after="100" w:afterAutospacing="1" w:line="240" w:lineRule="auto"/>
        <w:jc w:val="both"/>
        <w:rPr>
          <w:rFonts w:ascii="Times New Roman" w:eastAsia="Times New Roman" w:hAnsi="Times New Roman" w:cs="Times New Roman"/>
          <w:sz w:val="24"/>
          <w:szCs w:val="24"/>
        </w:rPr>
      </w:pPr>
    </w:p>
    <w:p w14:paraId="4ED79D0B" w14:textId="77777777" w:rsidR="00996D2E" w:rsidRDefault="00996D2E">
      <w:pPr>
        <w:rPr>
          <w:rtl/>
        </w:rPr>
      </w:pPr>
    </w:p>
    <w:p w14:paraId="40B0956C" w14:textId="77777777" w:rsidR="005037B9" w:rsidRDefault="005037B9">
      <w:pPr>
        <w:rPr>
          <w:rtl/>
        </w:rPr>
      </w:pPr>
    </w:p>
    <w:p w14:paraId="516135B0" w14:textId="77777777" w:rsidR="005037B9" w:rsidRDefault="005037B9">
      <w:pPr>
        <w:rPr>
          <w:rtl/>
        </w:rPr>
      </w:pPr>
    </w:p>
    <w:p w14:paraId="19557888" w14:textId="77777777" w:rsidR="005037B9" w:rsidRDefault="005037B9">
      <w:pPr>
        <w:rPr>
          <w:rtl/>
        </w:rPr>
      </w:pPr>
    </w:p>
    <w:p w14:paraId="7EFDB9D7" w14:textId="77777777" w:rsidR="005037B9" w:rsidRDefault="005037B9">
      <w:pPr>
        <w:rPr>
          <w:rtl/>
        </w:rPr>
      </w:pPr>
    </w:p>
    <w:p w14:paraId="66CF7566" w14:textId="77777777" w:rsidR="005037B9" w:rsidRDefault="005037B9">
      <w:pPr>
        <w:rPr>
          <w:rtl/>
        </w:rPr>
      </w:pPr>
    </w:p>
    <w:p w14:paraId="3FD7B37B" w14:textId="77777777" w:rsidR="005037B9" w:rsidRDefault="005037B9">
      <w:pPr>
        <w:rPr>
          <w:rtl/>
        </w:rPr>
      </w:pPr>
    </w:p>
    <w:p w14:paraId="510D3EF6" w14:textId="77777777" w:rsidR="005037B9" w:rsidRPr="005037B9" w:rsidRDefault="005037B9" w:rsidP="005037B9">
      <w:pPr>
        <w:bidi w:val="0"/>
        <w:spacing w:before="100" w:beforeAutospacing="1" w:after="100" w:afterAutospacing="1" w:line="240" w:lineRule="auto"/>
        <w:jc w:val="both"/>
        <w:rPr>
          <w:rFonts w:ascii="Times New Roman" w:eastAsia="Times New Roman" w:hAnsi="Times New Roman" w:cs="Times New Roman"/>
          <w:sz w:val="24"/>
          <w:szCs w:val="24"/>
        </w:rPr>
      </w:pPr>
      <w:r w:rsidRPr="005037B9">
        <w:rPr>
          <w:rFonts w:ascii="Times New Roman" w:eastAsia="Times New Roman" w:hAnsi="Times New Roman" w:cs="Times New Roman"/>
          <w:b/>
          <w:bCs/>
          <w:sz w:val="24"/>
          <w:szCs w:val="24"/>
        </w:rPr>
        <w:t>Results:</w:t>
      </w:r>
    </w:p>
    <w:p w14:paraId="043555F0" w14:textId="77777777" w:rsidR="005037B9" w:rsidRPr="005037B9" w:rsidRDefault="005037B9" w:rsidP="005037B9">
      <w:pPr>
        <w:bidi w:val="0"/>
        <w:spacing w:before="100" w:beforeAutospacing="1" w:after="100" w:afterAutospacing="1" w:line="240" w:lineRule="auto"/>
        <w:jc w:val="both"/>
        <w:rPr>
          <w:rFonts w:ascii="Times New Roman" w:eastAsia="Times New Roman" w:hAnsi="Times New Roman" w:cs="Times New Roman"/>
          <w:sz w:val="24"/>
          <w:szCs w:val="24"/>
        </w:rPr>
      </w:pPr>
      <w:r w:rsidRPr="005037B9">
        <w:rPr>
          <w:rFonts w:ascii="Times New Roman" w:eastAsia="Times New Roman" w:hAnsi="Times New Roman" w:cs="Times New Roman"/>
          <w:sz w:val="24"/>
          <w:szCs w:val="24"/>
        </w:rPr>
        <w:t>Among 100 patients included in this cross-sectional study, 54 patients were males and 46 patients were females. The patient age ranged from 20 years to 87 years (mean age, 54.3; SD=14.5 years). Hypertension was reported in 74% of study patients and diabetes mellitus in 23%, and only 6% of patients had no comorbidities (Figure 1).</w:t>
      </w:r>
    </w:p>
    <w:p w14:paraId="0D2E8140" w14:textId="77777777" w:rsidR="005037B9" w:rsidRPr="005037B9" w:rsidRDefault="005037B9" w:rsidP="005037B9">
      <w:pPr>
        <w:bidi w:val="0"/>
        <w:spacing w:before="100" w:beforeAutospacing="1" w:after="100" w:afterAutospacing="1" w:line="240" w:lineRule="auto"/>
        <w:jc w:val="both"/>
        <w:rPr>
          <w:rFonts w:ascii="Times New Roman" w:eastAsia="Times New Roman" w:hAnsi="Times New Roman" w:cs="Times New Roman"/>
          <w:sz w:val="24"/>
          <w:szCs w:val="24"/>
        </w:rPr>
      </w:pPr>
      <w:r w:rsidRPr="005037B9">
        <w:rPr>
          <w:rFonts w:ascii="Times New Roman" w:eastAsia="Times New Roman" w:hAnsi="Times New Roman" w:cs="Times New Roman"/>
          <w:sz w:val="24"/>
          <w:szCs w:val="24"/>
        </w:rPr>
        <w:t xml:space="preserve">According to manifestation categories, pruritus was presented in 67% of patients, nail changes in 45%, xerosis in 36%, pallor in 34%, pale nails in 32%, hyperpigmentation in 20%, and infections in 14% of study patients (Table 1). Rare manifestations include uremic nephropathy (5%), calcification (4%), bullous disease (2%), </w:t>
      </w:r>
      <w:proofErr w:type="spellStart"/>
      <w:r w:rsidRPr="005037B9">
        <w:rPr>
          <w:rFonts w:ascii="Times New Roman" w:eastAsia="Times New Roman" w:hAnsi="Times New Roman" w:cs="Times New Roman"/>
          <w:sz w:val="24"/>
          <w:szCs w:val="24"/>
        </w:rPr>
        <w:t>Kyrle</w:t>
      </w:r>
      <w:proofErr w:type="spellEnd"/>
      <w:r w:rsidRPr="005037B9">
        <w:rPr>
          <w:rFonts w:ascii="Times New Roman" w:eastAsia="Times New Roman" w:hAnsi="Times New Roman" w:cs="Times New Roman"/>
          <w:sz w:val="24"/>
          <w:szCs w:val="24"/>
        </w:rPr>
        <w:t xml:space="preserve"> disease, and uremic frost, which were seen in one case each.</w:t>
      </w:r>
    </w:p>
    <w:p w14:paraId="4C213C68" w14:textId="77777777" w:rsidR="005037B9" w:rsidRPr="005037B9" w:rsidRDefault="005037B9" w:rsidP="005037B9">
      <w:pPr>
        <w:bidi w:val="0"/>
        <w:spacing w:before="100" w:beforeAutospacing="1" w:after="100" w:afterAutospacing="1" w:line="240" w:lineRule="auto"/>
        <w:jc w:val="both"/>
        <w:rPr>
          <w:rFonts w:ascii="Times New Roman" w:eastAsia="Times New Roman" w:hAnsi="Times New Roman" w:cs="Times New Roman"/>
          <w:sz w:val="24"/>
          <w:szCs w:val="24"/>
        </w:rPr>
      </w:pPr>
      <w:r w:rsidRPr="005037B9">
        <w:rPr>
          <w:rFonts w:ascii="Times New Roman" w:eastAsia="Times New Roman" w:hAnsi="Times New Roman" w:cs="Times New Roman"/>
          <w:sz w:val="24"/>
          <w:szCs w:val="24"/>
        </w:rPr>
        <w:t>Pruritus was reported in 71% of hypertensive patients and in 65% of diabetics, whereas pallor was reported in 39% of hypertensive patients and in 22% of diabetics (Table 2). Calcification, hyperpigmentation, and xerosis were seen more in females, while uremic neuropathy was more in males (Figure 2).</w:t>
      </w:r>
    </w:p>
    <w:p w14:paraId="3217388D" w14:textId="77777777" w:rsidR="005037B9" w:rsidRPr="005037B9" w:rsidRDefault="005037B9" w:rsidP="005037B9">
      <w:pPr>
        <w:bidi w:val="0"/>
        <w:spacing w:before="100" w:beforeAutospacing="1" w:after="100" w:afterAutospacing="1" w:line="240" w:lineRule="auto"/>
        <w:jc w:val="both"/>
        <w:rPr>
          <w:rFonts w:ascii="Times New Roman" w:eastAsia="Times New Roman" w:hAnsi="Times New Roman" w:cs="Times New Roman"/>
          <w:sz w:val="24"/>
          <w:szCs w:val="24"/>
        </w:rPr>
      </w:pPr>
      <w:r w:rsidRPr="005037B9">
        <w:rPr>
          <w:rFonts w:ascii="Times New Roman" w:eastAsia="Times New Roman" w:hAnsi="Times New Roman" w:cs="Times New Roman"/>
          <w:sz w:val="24"/>
          <w:szCs w:val="24"/>
        </w:rPr>
        <w:lastRenderedPageBreak/>
        <w:t>Comorbidities: HTN and DM prevalence rises sharply with age (e.g., HTN: 44% in 20–39 vs. 86% in ≥60, p=0.001). Patients ≥60 years have the highest rates of HTN+DM (27%, p=0.003) (Table 3).</w:t>
      </w:r>
    </w:p>
    <w:p w14:paraId="3FE139BC" w14:textId="77777777" w:rsidR="005037B9" w:rsidRPr="005037B9" w:rsidRDefault="005037B9" w:rsidP="005037B9">
      <w:pPr>
        <w:bidi w:val="0"/>
        <w:spacing w:before="100" w:beforeAutospacing="1" w:after="100" w:afterAutospacing="1" w:line="240" w:lineRule="auto"/>
        <w:jc w:val="both"/>
        <w:rPr>
          <w:rFonts w:ascii="Times New Roman" w:eastAsia="Times New Roman" w:hAnsi="Times New Roman" w:cs="Times New Roman"/>
          <w:sz w:val="24"/>
          <w:szCs w:val="24"/>
        </w:rPr>
      </w:pPr>
      <w:r w:rsidRPr="005037B9">
        <w:rPr>
          <w:rFonts w:ascii="Times New Roman" w:eastAsia="Times New Roman" w:hAnsi="Times New Roman" w:cs="Times New Roman"/>
          <w:sz w:val="24"/>
          <w:szCs w:val="24"/>
        </w:rPr>
        <w:t xml:space="preserve">Skin Symptoms: Pruritis, Xerosis, Pallor, and Pale Nails increase significantly with age (p&lt;0.05); Pallor rises from 17% (20–39) to 43% (≥60) (Table 4). Infections: Rare Manifestations: Uremic Frost, </w:t>
      </w:r>
      <w:proofErr w:type="spellStart"/>
      <w:r w:rsidRPr="005037B9">
        <w:rPr>
          <w:rFonts w:ascii="Times New Roman" w:eastAsia="Times New Roman" w:hAnsi="Times New Roman" w:cs="Times New Roman"/>
          <w:sz w:val="24"/>
          <w:szCs w:val="24"/>
        </w:rPr>
        <w:t>Kyrle</w:t>
      </w:r>
      <w:proofErr w:type="spellEnd"/>
      <w:r w:rsidRPr="005037B9">
        <w:rPr>
          <w:rFonts w:ascii="Times New Roman" w:eastAsia="Times New Roman" w:hAnsi="Times New Roman" w:cs="Times New Roman"/>
          <w:sz w:val="24"/>
          <w:szCs w:val="24"/>
        </w:rPr>
        <w:t xml:space="preserve"> Disease, and Calcification occur only in ≥60 years (3–8%) (Table 5). Hemoglobin level in our study patients ranged from 6 to 12 gm/dl (mean: 9 gm/</w:t>
      </w:r>
      <w:proofErr w:type="gramStart"/>
      <w:r w:rsidRPr="005037B9">
        <w:rPr>
          <w:rFonts w:ascii="Times New Roman" w:eastAsia="Times New Roman" w:hAnsi="Times New Roman" w:cs="Times New Roman"/>
          <w:sz w:val="24"/>
          <w:szCs w:val="24"/>
        </w:rPr>
        <w:t>dl )</w:t>
      </w:r>
      <w:proofErr w:type="gramEnd"/>
      <w:r w:rsidRPr="005037B9">
        <w:rPr>
          <w:rFonts w:ascii="Times New Roman" w:eastAsia="Times New Roman" w:hAnsi="Times New Roman" w:cs="Times New Roman"/>
          <w:sz w:val="24"/>
          <w:szCs w:val="24"/>
        </w:rPr>
        <w:t>, urea ranged from 40 to 288 mg/dl (mean: 140 mg/dl), and creatinine ranged from 4.5 mg/dl to 18 mg/dl (mean: 7 mg/dl ).</w:t>
      </w:r>
    </w:p>
    <w:p w14:paraId="3E70CA32" w14:textId="77777777" w:rsidR="005037B9" w:rsidRDefault="005037B9">
      <w:pPr>
        <w:rPr>
          <w:rtl/>
        </w:rPr>
      </w:pPr>
    </w:p>
    <w:p w14:paraId="0809C565" w14:textId="77777777" w:rsidR="005037B9" w:rsidRDefault="005037B9">
      <w:pPr>
        <w:rPr>
          <w:rtl/>
        </w:rPr>
      </w:pPr>
    </w:p>
    <w:p w14:paraId="79E67660" w14:textId="77777777" w:rsidR="005037B9" w:rsidRDefault="005037B9">
      <w:pPr>
        <w:rPr>
          <w:rtl/>
        </w:rPr>
      </w:pPr>
    </w:p>
    <w:p w14:paraId="1958340B" w14:textId="77777777" w:rsidR="005037B9" w:rsidRDefault="005037B9">
      <w:pPr>
        <w:rPr>
          <w:rtl/>
        </w:rPr>
      </w:pPr>
    </w:p>
    <w:p w14:paraId="67D14483" w14:textId="77777777" w:rsidR="005037B9" w:rsidRDefault="005037B9">
      <w:pPr>
        <w:rPr>
          <w:rtl/>
        </w:rPr>
      </w:pPr>
    </w:p>
    <w:p w14:paraId="623E5078" w14:textId="77777777" w:rsidR="005037B9" w:rsidRDefault="005037B9">
      <w:pPr>
        <w:rPr>
          <w:rtl/>
        </w:rPr>
      </w:pPr>
    </w:p>
    <w:p w14:paraId="0BA2079B" w14:textId="77777777" w:rsidR="005037B9" w:rsidRDefault="005037B9">
      <w:pPr>
        <w:rPr>
          <w:rtl/>
        </w:rPr>
      </w:pPr>
    </w:p>
    <w:p w14:paraId="620A6A06" w14:textId="77777777" w:rsidR="005037B9" w:rsidRDefault="005037B9">
      <w:pPr>
        <w:rPr>
          <w:rtl/>
        </w:rPr>
      </w:pPr>
    </w:p>
    <w:p w14:paraId="4492422B" w14:textId="77777777" w:rsidR="005037B9" w:rsidRDefault="005037B9">
      <w:pPr>
        <w:rPr>
          <w:rtl/>
        </w:rPr>
      </w:pPr>
    </w:p>
    <w:p w14:paraId="3A014B3B" w14:textId="77777777" w:rsidR="005037B9" w:rsidRDefault="005037B9">
      <w:pPr>
        <w:rPr>
          <w:rtl/>
        </w:rPr>
      </w:pPr>
    </w:p>
    <w:p w14:paraId="5EAFE794" w14:textId="77777777" w:rsidR="005037B9" w:rsidRDefault="005037B9">
      <w:pPr>
        <w:rPr>
          <w:rtl/>
        </w:rPr>
      </w:pPr>
    </w:p>
    <w:p w14:paraId="1D540E1B" w14:textId="77777777" w:rsidR="005037B9" w:rsidRDefault="005037B9">
      <w:pPr>
        <w:rPr>
          <w:rtl/>
        </w:rPr>
      </w:pPr>
    </w:p>
    <w:p w14:paraId="3CADE685" w14:textId="77777777" w:rsidR="005037B9" w:rsidRPr="00F40932" w:rsidRDefault="005037B9" w:rsidP="005037B9">
      <w:pPr>
        <w:bidi w:val="0"/>
        <w:jc w:val="center"/>
        <w:rPr>
          <w:rFonts w:ascii="Times New Roman" w:hAnsi="Times New Roman" w:cs="Times New Roman"/>
          <w:sz w:val="24"/>
          <w:szCs w:val="24"/>
        </w:rPr>
      </w:pPr>
    </w:p>
    <w:p w14:paraId="76714572" w14:textId="77777777" w:rsidR="005037B9" w:rsidRPr="00F40932" w:rsidRDefault="005037B9" w:rsidP="005037B9">
      <w:pPr>
        <w:bidi w:val="0"/>
        <w:jc w:val="center"/>
        <w:rPr>
          <w:rFonts w:ascii="Times New Roman" w:hAnsi="Times New Roman" w:cs="Times New Roman"/>
          <w:sz w:val="24"/>
          <w:szCs w:val="24"/>
        </w:rPr>
      </w:pPr>
      <w:r w:rsidRPr="00F40932">
        <w:rPr>
          <w:rFonts w:ascii="Times New Roman" w:hAnsi="Times New Roman" w:cs="Times New Roman"/>
          <w:noProof/>
          <w:sz w:val="24"/>
          <w:szCs w:val="24"/>
        </w:rPr>
        <w:lastRenderedPageBreak/>
        <w:drawing>
          <wp:inline distT="0" distB="0" distL="0" distR="0" wp14:anchorId="7403888C" wp14:editId="469A531A">
            <wp:extent cx="5295900" cy="2886075"/>
            <wp:effectExtent l="19050" t="1905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F40932">
        <w:rPr>
          <w:rFonts w:ascii="Times New Roman" w:eastAsia="Times New Roman" w:hAnsi="Times New Roman" w:cs="Times New Roman"/>
          <w:b/>
          <w:bCs/>
          <w:sz w:val="24"/>
          <w:szCs w:val="24"/>
        </w:rPr>
        <w:t>Figure 1: Comorbidity Distribution in study group</w:t>
      </w:r>
    </w:p>
    <w:p w14:paraId="72820B0A" w14:textId="77777777" w:rsidR="005037B9" w:rsidRDefault="005037B9" w:rsidP="005037B9">
      <w:pPr>
        <w:bidi w:val="0"/>
        <w:rPr>
          <w:rFonts w:ascii="Times New Roman" w:hAnsi="Times New Roman" w:cs="Times New Roman"/>
          <w:sz w:val="24"/>
          <w:szCs w:val="24"/>
        </w:rPr>
      </w:pPr>
    </w:p>
    <w:p w14:paraId="01EE7CBE" w14:textId="77777777" w:rsidR="005037B9" w:rsidRPr="00F40932" w:rsidRDefault="005037B9" w:rsidP="005037B9">
      <w:pPr>
        <w:bidi w:val="0"/>
        <w:jc w:val="center"/>
        <w:rPr>
          <w:rFonts w:ascii="Times New Roman" w:hAnsi="Times New Roman" w:cs="Times New Roman"/>
          <w:sz w:val="24"/>
          <w:szCs w:val="24"/>
        </w:rPr>
      </w:pPr>
    </w:p>
    <w:p w14:paraId="35342D1C" w14:textId="77777777" w:rsidR="005037B9" w:rsidRPr="00F40932" w:rsidRDefault="005037B9" w:rsidP="005037B9">
      <w:pPr>
        <w:pStyle w:val="Heading3"/>
        <w:spacing w:after="0" w:afterAutospacing="0" w:line="276" w:lineRule="auto"/>
        <w:jc w:val="center"/>
        <w:rPr>
          <w:sz w:val="24"/>
          <w:szCs w:val="24"/>
        </w:rPr>
      </w:pPr>
      <w:r w:rsidRPr="00F40932">
        <w:rPr>
          <w:rStyle w:val="Strong"/>
          <w:b/>
          <w:bCs/>
          <w:sz w:val="24"/>
          <w:szCs w:val="24"/>
        </w:rPr>
        <w:t xml:space="preserve">Table </w:t>
      </w:r>
      <w:r>
        <w:rPr>
          <w:rStyle w:val="Strong"/>
          <w:b/>
          <w:bCs/>
          <w:sz w:val="24"/>
          <w:szCs w:val="24"/>
        </w:rPr>
        <w:t>1</w:t>
      </w:r>
      <w:r w:rsidRPr="00F40932">
        <w:rPr>
          <w:rStyle w:val="Strong"/>
          <w:b/>
          <w:bCs/>
          <w:sz w:val="24"/>
          <w:szCs w:val="24"/>
        </w:rPr>
        <w:t>: Symptom Prevalence (N=100)</w:t>
      </w:r>
    </w:p>
    <w:tbl>
      <w:tblPr>
        <w:tblStyle w:val="TableGrid"/>
        <w:tblW w:w="8461" w:type="dxa"/>
        <w:jc w:val="center"/>
        <w:tblLook w:val="04A0" w:firstRow="1" w:lastRow="0" w:firstColumn="1" w:lastColumn="0" w:noHBand="0" w:noVBand="1"/>
      </w:tblPr>
      <w:tblGrid>
        <w:gridCol w:w="2412"/>
        <w:gridCol w:w="1670"/>
        <w:gridCol w:w="2709"/>
        <w:gridCol w:w="1670"/>
      </w:tblGrid>
      <w:tr w:rsidR="005037B9" w:rsidRPr="00F40932" w14:paraId="56FEB7F9" w14:textId="77777777" w:rsidTr="00A47B80">
        <w:trPr>
          <w:trHeight w:val="570"/>
          <w:jc w:val="center"/>
        </w:trPr>
        <w:tc>
          <w:tcPr>
            <w:tcW w:w="0" w:type="auto"/>
            <w:shd w:val="clear" w:color="auto" w:fill="F2F2F2" w:themeFill="background1" w:themeFillShade="F2"/>
            <w:vAlign w:val="center"/>
            <w:hideMark/>
          </w:tcPr>
          <w:p w14:paraId="2DB36BD5" w14:textId="77777777" w:rsidR="005037B9" w:rsidRPr="00387A3E" w:rsidRDefault="005037B9" w:rsidP="00A47B80">
            <w:pPr>
              <w:bidi w:val="0"/>
              <w:jc w:val="center"/>
              <w:rPr>
                <w:rFonts w:ascii="Times New Roman" w:hAnsi="Times New Roman" w:cs="Times New Roman"/>
                <w:sz w:val="24"/>
                <w:szCs w:val="24"/>
              </w:rPr>
            </w:pPr>
            <w:r w:rsidRPr="00387A3E">
              <w:rPr>
                <w:rStyle w:val="Strong"/>
                <w:rFonts w:ascii="Times New Roman" w:hAnsi="Times New Roman" w:cs="Times New Roman"/>
                <w:sz w:val="24"/>
                <w:szCs w:val="24"/>
              </w:rPr>
              <w:t>Symptom</w:t>
            </w:r>
          </w:p>
        </w:tc>
        <w:tc>
          <w:tcPr>
            <w:tcW w:w="0" w:type="auto"/>
            <w:shd w:val="clear" w:color="auto" w:fill="F2F2F2" w:themeFill="background1" w:themeFillShade="F2"/>
            <w:vAlign w:val="center"/>
            <w:hideMark/>
          </w:tcPr>
          <w:p w14:paraId="573CA0FF"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Prevalence</w:t>
            </w:r>
          </w:p>
        </w:tc>
        <w:tc>
          <w:tcPr>
            <w:tcW w:w="0" w:type="auto"/>
            <w:shd w:val="clear" w:color="auto" w:fill="F2F2F2" w:themeFill="background1" w:themeFillShade="F2"/>
            <w:vAlign w:val="center"/>
            <w:hideMark/>
          </w:tcPr>
          <w:p w14:paraId="4BF92F94"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Symptom</w:t>
            </w:r>
          </w:p>
        </w:tc>
        <w:tc>
          <w:tcPr>
            <w:tcW w:w="0" w:type="auto"/>
            <w:shd w:val="clear" w:color="auto" w:fill="F2F2F2" w:themeFill="background1" w:themeFillShade="F2"/>
            <w:vAlign w:val="center"/>
            <w:hideMark/>
          </w:tcPr>
          <w:p w14:paraId="31A30B8C"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Prevalence</w:t>
            </w:r>
          </w:p>
        </w:tc>
      </w:tr>
      <w:tr w:rsidR="005037B9" w:rsidRPr="00F40932" w14:paraId="3D9AB256" w14:textId="77777777" w:rsidTr="00A47B80">
        <w:trPr>
          <w:trHeight w:val="540"/>
          <w:jc w:val="center"/>
        </w:trPr>
        <w:tc>
          <w:tcPr>
            <w:tcW w:w="0" w:type="auto"/>
            <w:shd w:val="clear" w:color="auto" w:fill="F2F2F2" w:themeFill="background1" w:themeFillShade="F2"/>
            <w:vAlign w:val="center"/>
            <w:hideMark/>
          </w:tcPr>
          <w:p w14:paraId="04E4BB8E" w14:textId="77777777" w:rsidR="005037B9" w:rsidRPr="00387A3E" w:rsidRDefault="005037B9" w:rsidP="00DD4B5C">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Prurit</w:t>
            </w:r>
            <w:r w:rsidR="00DD4B5C">
              <w:rPr>
                <w:rFonts w:ascii="Times New Roman" w:hAnsi="Times New Roman" w:cs="Times New Roman"/>
                <w:b/>
                <w:bCs/>
                <w:sz w:val="24"/>
                <w:szCs w:val="24"/>
              </w:rPr>
              <w:t>u</w:t>
            </w:r>
            <w:r w:rsidRPr="00387A3E">
              <w:rPr>
                <w:rFonts w:ascii="Times New Roman" w:hAnsi="Times New Roman" w:cs="Times New Roman"/>
                <w:b/>
                <w:bCs/>
                <w:sz w:val="24"/>
                <w:szCs w:val="24"/>
              </w:rPr>
              <w:t>s</w:t>
            </w:r>
          </w:p>
        </w:tc>
        <w:tc>
          <w:tcPr>
            <w:tcW w:w="0" w:type="auto"/>
            <w:vAlign w:val="center"/>
            <w:hideMark/>
          </w:tcPr>
          <w:p w14:paraId="55FBDFDF"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67% (67/100)</w:t>
            </w:r>
          </w:p>
        </w:tc>
        <w:tc>
          <w:tcPr>
            <w:tcW w:w="0" w:type="auto"/>
            <w:shd w:val="clear" w:color="auto" w:fill="F2F2F2" w:themeFill="background1" w:themeFillShade="F2"/>
            <w:vAlign w:val="center"/>
            <w:hideMark/>
          </w:tcPr>
          <w:p w14:paraId="3AC84B13"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Pale Nails</w:t>
            </w:r>
          </w:p>
        </w:tc>
        <w:tc>
          <w:tcPr>
            <w:tcW w:w="0" w:type="auto"/>
            <w:vAlign w:val="center"/>
            <w:hideMark/>
          </w:tcPr>
          <w:p w14:paraId="30F4E24F"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32% (32/100)</w:t>
            </w:r>
          </w:p>
        </w:tc>
      </w:tr>
      <w:tr w:rsidR="005037B9" w:rsidRPr="00F40932" w14:paraId="49B937C3" w14:textId="77777777" w:rsidTr="00A47B80">
        <w:trPr>
          <w:trHeight w:val="540"/>
          <w:jc w:val="center"/>
        </w:trPr>
        <w:tc>
          <w:tcPr>
            <w:tcW w:w="0" w:type="auto"/>
            <w:shd w:val="clear" w:color="auto" w:fill="F2F2F2" w:themeFill="background1" w:themeFillShade="F2"/>
            <w:vAlign w:val="center"/>
            <w:hideMark/>
          </w:tcPr>
          <w:p w14:paraId="72B86B93"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Xerosis</w:t>
            </w:r>
          </w:p>
        </w:tc>
        <w:tc>
          <w:tcPr>
            <w:tcW w:w="0" w:type="auto"/>
            <w:vAlign w:val="center"/>
            <w:hideMark/>
          </w:tcPr>
          <w:p w14:paraId="2803DA8B"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36% (36/100)</w:t>
            </w:r>
          </w:p>
        </w:tc>
        <w:tc>
          <w:tcPr>
            <w:tcW w:w="0" w:type="auto"/>
            <w:shd w:val="clear" w:color="auto" w:fill="F2F2F2" w:themeFill="background1" w:themeFillShade="F2"/>
            <w:vAlign w:val="center"/>
            <w:hideMark/>
          </w:tcPr>
          <w:p w14:paraId="36E3CEF4"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Splinter Hemorrhages</w:t>
            </w:r>
          </w:p>
        </w:tc>
        <w:tc>
          <w:tcPr>
            <w:tcW w:w="0" w:type="auto"/>
            <w:vAlign w:val="center"/>
            <w:hideMark/>
          </w:tcPr>
          <w:p w14:paraId="5C8732EB"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6% (6/100)</w:t>
            </w:r>
          </w:p>
        </w:tc>
      </w:tr>
      <w:tr w:rsidR="005037B9" w:rsidRPr="00F40932" w14:paraId="17A7684E" w14:textId="77777777" w:rsidTr="00A47B80">
        <w:trPr>
          <w:trHeight w:val="540"/>
          <w:jc w:val="center"/>
        </w:trPr>
        <w:tc>
          <w:tcPr>
            <w:tcW w:w="0" w:type="auto"/>
            <w:shd w:val="clear" w:color="auto" w:fill="F2F2F2" w:themeFill="background1" w:themeFillShade="F2"/>
            <w:vAlign w:val="center"/>
            <w:hideMark/>
          </w:tcPr>
          <w:p w14:paraId="619D1E3C"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Pallor</w:t>
            </w:r>
          </w:p>
        </w:tc>
        <w:tc>
          <w:tcPr>
            <w:tcW w:w="0" w:type="auto"/>
            <w:vAlign w:val="center"/>
            <w:hideMark/>
          </w:tcPr>
          <w:p w14:paraId="639DE14D"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34% (34/100)</w:t>
            </w:r>
          </w:p>
        </w:tc>
        <w:tc>
          <w:tcPr>
            <w:tcW w:w="0" w:type="auto"/>
            <w:shd w:val="clear" w:color="auto" w:fill="F2F2F2" w:themeFill="background1" w:themeFillShade="F2"/>
            <w:vAlign w:val="center"/>
            <w:hideMark/>
          </w:tcPr>
          <w:p w14:paraId="3AD92A54"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Fungal Infections</w:t>
            </w:r>
          </w:p>
        </w:tc>
        <w:tc>
          <w:tcPr>
            <w:tcW w:w="0" w:type="auto"/>
            <w:vAlign w:val="center"/>
            <w:hideMark/>
          </w:tcPr>
          <w:p w14:paraId="3839ACD0"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7% (7/100)</w:t>
            </w:r>
          </w:p>
        </w:tc>
      </w:tr>
      <w:tr w:rsidR="005037B9" w:rsidRPr="00F40932" w14:paraId="23A6D7B4" w14:textId="77777777" w:rsidTr="00A47B80">
        <w:trPr>
          <w:trHeight w:val="540"/>
          <w:jc w:val="center"/>
        </w:trPr>
        <w:tc>
          <w:tcPr>
            <w:tcW w:w="0" w:type="auto"/>
            <w:shd w:val="clear" w:color="auto" w:fill="F2F2F2" w:themeFill="background1" w:themeFillShade="F2"/>
            <w:vAlign w:val="center"/>
            <w:hideMark/>
          </w:tcPr>
          <w:p w14:paraId="0C59296B"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Hyperpigmentation</w:t>
            </w:r>
          </w:p>
        </w:tc>
        <w:tc>
          <w:tcPr>
            <w:tcW w:w="0" w:type="auto"/>
            <w:vAlign w:val="center"/>
            <w:hideMark/>
          </w:tcPr>
          <w:p w14:paraId="5396A05F"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20% (20/100)</w:t>
            </w:r>
          </w:p>
        </w:tc>
        <w:tc>
          <w:tcPr>
            <w:tcW w:w="0" w:type="auto"/>
            <w:shd w:val="clear" w:color="auto" w:fill="F2F2F2" w:themeFill="background1" w:themeFillShade="F2"/>
            <w:vAlign w:val="center"/>
            <w:hideMark/>
          </w:tcPr>
          <w:p w14:paraId="549346AF"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Bacterial Infections</w:t>
            </w:r>
          </w:p>
        </w:tc>
        <w:tc>
          <w:tcPr>
            <w:tcW w:w="0" w:type="auto"/>
            <w:vAlign w:val="center"/>
            <w:hideMark/>
          </w:tcPr>
          <w:p w14:paraId="310B902D"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4% (4/100)</w:t>
            </w:r>
          </w:p>
        </w:tc>
      </w:tr>
      <w:tr w:rsidR="005037B9" w:rsidRPr="00F40932" w14:paraId="3A22AA07" w14:textId="77777777" w:rsidTr="00A47B80">
        <w:trPr>
          <w:trHeight w:val="540"/>
          <w:jc w:val="center"/>
        </w:trPr>
        <w:tc>
          <w:tcPr>
            <w:tcW w:w="0" w:type="auto"/>
            <w:shd w:val="clear" w:color="auto" w:fill="F2F2F2" w:themeFill="background1" w:themeFillShade="F2"/>
            <w:vAlign w:val="center"/>
            <w:hideMark/>
          </w:tcPr>
          <w:p w14:paraId="52ADE78F"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Uremic Frost</w:t>
            </w:r>
          </w:p>
        </w:tc>
        <w:tc>
          <w:tcPr>
            <w:tcW w:w="0" w:type="auto"/>
            <w:vAlign w:val="center"/>
            <w:hideMark/>
          </w:tcPr>
          <w:p w14:paraId="74994A9D"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1% (1/100)</w:t>
            </w:r>
          </w:p>
        </w:tc>
        <w:tc>
          <w:tcPr>
            <w:tcW w:w="0" w:type="auto"/>
            <w:shd w:val="clear" w:color="auto" w:fill="F2F2F2" w:themeFill="background1" w:themeFillShade="F2"/>
            <w:vAlign w:val="center"/>
            <w:hideMark/>
          </w:tcPr>
          <w:p w14:paraId="37D057EE"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Viral Infections</w:t>
            </w:r>
          </w:p>
        </w:tc>
        <w:tc>
          <w:tcPr>
            <w:tcW w:w="0" w:type="auto"/>
            <w:vAlign w:val="center"/>
            <w:hideMark/>
          </w:tcPr>
          <w:p w14:paraId="4ECA18B5"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3% (3/100)</w:t>
            </w:r>
          </w:p>
        </w:tc>
      </w:tr>
      <w:tr w:rsidR="005037B9" w:rsidRPr="00F40932" w14:paraId="66DD992C" w14:textId="77777777" w:rsidTr="00A47B80">
        <w:trPr>
          <w:trHeight w:val="540"/>
          <w:jc w:val="center"/>
        </w:trPr>
        <w:tc>
          <w:tcPr>
            <w:tcW w:w="0" w:type="auto"/>
            <w:shd w:val="clear" w:color="auto" w:fill="F2F2F2" w:themeFill="background1" w:themeFillShade="F2"/>
            <w:vAlign w:val="center"/>
            <w:hideMark/>
          </w:tcPr>
          <w:p w14:paraId="5EE192F3" w14:textId="77777777" w:rsidR="005037B9" w:rsidRPr="00387A3E" w:rsidRDefault="005037B9" w:rsidP="00A47B80">
            <w:pPr>
              <w:bidi w:val="0"/>
              <w:jc w:val="center"/>
              <w:rPr>
                <w:rFonts w:ascii="Times New Roman" w:hAnsi="Times New Roman" w:cs="Times New Roman"/>
                <w:b/>
                <w:bCs/>
                <w:sz w:val="24"/>
                <w:szCs w:val="24"/>
              </w:rPr>
            </w:pPr>
            <w:proofErr w:type="spellStart"/>
            <w:r w:rsidRPr="00387A3E">
              <w:rPr>
                <w:rFonts w:ascii="Times New Roman" w:hAnsi="Times New Roman" w:cs="Times New Roman"/>
                <w:b/>
                <w:bCs/>
                <w:sz w:val="24"/>
                <w:szCs w:val="24"/>
              </w:rPr>
              <w:t>Muehrcke’s</w:t>
            </w:r>
            <w:proofErr w:type="spellEnd"/>
            <w:r w:rsidRPr="00387A3E">
              <w:rPr>
                <w:rFonts w:ascii="Times New Roman" w:hAnsi="Times New Roman" w:cs="Times New Roman"/>
                <w:b/>
                <w:bCs/>
                <w:sz w:val="24"/>
                <w:szCs w:val="24"/>
              </w:rPr>
              <w:t xml:space="preserve"> Nails</w:t>
            </w:r>
          </w:p>
        </w:tc>
        <w:tc>
          <w:tcPr>
            <w:tcW w:w="0" w:type="auto"/>
            <w:vAlign w:val="center"/>
            <w:hideMark/>
          </w:tcPr>
          <w:p w14:paraId="0ECF6E44"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5% (5/100)</w:t>
            </w:r>
          </w:p>
        </w:tc>
        <w:tc>
          <w:tcPr>
            <w:tcW w:w="0" w:type="auto"/>
            <w:shd w:val="clear" w:color="auto" w:fill="F2F2F2" w:themeFill="background1" w:themeFillShade="F2"/>
            <w:vAlign w:val="center"/>
            <w:hideMark/>
          </w:tcPr>
          <w:p w14:paraId="46C5CF17" w14:textId="77777777" w:rsidR="005037B9" w:rsidRPr="00387A3E" w:rsidRDefault="005037B9" w:rsidP="00A47B80">
            <w:pPr>
              <w:bidi w:val="0"/>
              <w:jc w:val="center"/>
              <w:rPr>
                <w:rFonts w:ascii="Times New Roman" w:hAnsi="Times New Roman" w:cs="Times New Roman"/>
                <w:b/>
                <w:bCs/>
                <w:sz w:val="24"/>
                <w:szCs w:val="24"/>
              </w:rPr>
            </w:pPr>
            <w:proofErr w:type="spellStart"/>
            <w:r w:rsidRPr="00387A3E">
              <w:rPr>
                <w:rFonts w:ascii="Times New Roman" w:hAnsi="Times New Roman" w:cs="Times New Roman"/>
                <w:b/>
                <w:bCs/>
                <w:sz w:val="24"/>
                <w:szCs w:val="24"/>
              </w:rPr>
              <w:t>Kyrle</w:t>
            </w:r>
            <w:proofErr w:type="spellEnd"/>
            <w:r w:rsidRPr="00387A3E">
              <w:rPr>
                <w:rFonts w:ascii="Times New Roman" w:hAnsi="Times New Roman" w:cs="Times New Roman"/>
                <w:b/>
                <w:bCs/>
                <w:sz w:val="24"/>
                <w:szCs w:val="24"/>
              </w:rPr>
              <w:t xml:space="preserve"> Disease</w:t>
            </w:r>
          </w:p>
        </w:tc>
        <w:tc>
          <w:tcPr>
            <w:tcW w:w="0" w:type="auto"/>
            <w:vAlign w:val="center"/>
            <w:hideMark/>
          </w:tcPr>
          <w:p w14:paraId="2DA67B86"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1% (1/100)</w:t>
            </w:r>
          </w:p>
        </w:tc>
      </w:tr>
      <w:tr w:rsidR="005037B9" w:rsidRPr="00F40932" w14:paraId="466F4C8F" w14:textId="77777777" w:rsidTr="00A47B80">
        <w:trPr>
          <w:trHeight w:val="540"/>
          <w:jc w:val="center"/>
        </w:trPr>
        <w:tc>
          <w:tcPr>
            <w:tcW w:w="0" w:type="auto"/>
            <w:shd w:val="clear" w:color="auto" w:fill="F2F2F2" w:themeFill="background1" w:themeFillShade="F2"/>
            <w:vAlign w:val="center"/>
            <w:hideMark/>
          </w:tcPr>
          <w:p w14:paraId="5E4A107D"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Half &amp; Half Nails</w:t>
            </w:r>
          </w:p>
        </w:tc>
        <w:tc>
          <w:tcPr>
            <w:tcW w:w="0" w:type="auto"/>
            <w:vAlign w:val="center"/>
            <w:hideMark/>
          </w:tcPr>
          <w:p w14:paraId="5A676DA4"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8% (8/100)</w:t>
            </w:r>
          </w:p>
        </w:tc>
        <w:tc>
          <w:tcPr>
            <w:tcW w:w="0" w:type="auto"/>
            <w:shd w:val="clear" w:color="auto" w:fill="F2F2F2" w:themeFill="background1" w:themeFillShade="F2"/>
            <w:vAlign w:val="center"/>
            <w:hideMark/>
          </w:tcPr>
          <w:p w14:paraId="4CE60B70"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Bullous Disease</w:t>
            </w:r>
          </w:p>
        </w:tc>
        <w:tc>
          <w:tcPr>
            <w:tcW w:w="0" w:type="auto"/>
            <w:vAlign w:val="center"/>
            <w:hideMark/>
          </w:tcPr>
          <w:p w14:paraId="30519FE1"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2% (2/100)</w:t>
            </w:r>
          </w:p>
        </w:tc>
      </w:tr>
      <w:tr w:rsidR="005037B9" w:rsidRPr="00F40932" w14:paraId="2263FB09" w14:textId="77777777" w:rsidTr="00A47B80">
        <w:trPr>
          <w:trHeight w:val="570"/>
          <w:jc w:val="center"/>
        </w:trPr>
        <w:tc>
          <w:tcPr>
            <w:tcW w:w="0" w:type="auto"/>
            <w:shd w:val="clear" w:color="auto" w:fill="F2F2F2" w:themeFill="background1" w:themeFillShade="F2"/>
            <w:vAlign w:val="center"/>
            <w:hideMark/>
          </w:tcPr>
          <w:p w14:paraId="36D8F147"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Calcification</w:t>
            </w:r>
          </w:p>
        </w:tc>
        <w:tc>
          <w:tcPr>
            <w:tcW w:w="0" w:type="auto"/>
            <w:vAlign w:val="center"/>
            <w:hideMark/>
          </w:tcPr>
          <w:p w14:paraId="3BACF6C7"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4% (4/100)</w:t>
            </w:r>
          </w:p>
        </w:tc>
        <w:tc>
          <w:tcPr>
            <w:tcW w:w="0" w:type="auto"/>
            <w:shd w:val="clear" w:color="auto" w:fill="F2F2F2" w:themeFill="background1" w:themeFillShade="F2"/>
            <w:vAlign w:val="center"/>
            <w:hideMark/>
          </w:tcPr>
          <w:p w14:paraId="7583FCCB" w14:textId="77777777" w:rsidR="005037B9" w:rsidRPr="00387A3E" w:rsidRDefault="005037B9" w:rsidP="00A47B80">
            <w:pPr>
              <w:bidi w:val="0"/>
              <w:jc w:val="center"/>
              <w:rPr>
                <w:rFonts w:ascii="Times New Roman" w:hAnsi="Times New Roman" w:cs="Times New Roman"/>
                <w:b/>
                <w:bCs/>
                <w:sz w:val="24"/>
                <w:szCs w:val="24"/>
              </w:rPr>
            </w:pPr>
            <w:r w:rsidRPr="00387A3E">
              <w:rPr>
                <w:rFonts w:ascii="Times New Roman" w:hAnsi="Times New Roman" w:cs="Times New Roman"/>
                <w:b/>
                <w:bCs/>
                <w:sz w:val="24"/>
                <w:szCs w:val="24"/>
              </w:rPr>
              <w:t>Uremic Neuropathy</w:t>
            </w:r>
          </w:p>
        </w:tc>
        <w:tc>
          <w:tcPr>
            <w:tcW w:w="0" w:type="auto"/>
            <w:vAlign w:val="center"/>
            <w:hideMark/>
          </w:tcPr>
          <w:p w14:paraId="6385E30B" w14:textId="77777777" w:rsidR="005037B9" w:rsidRPr="00F40932" w:rsidRDefault="005037B9" w:rsidP="00A47B80">
            <w:pPr>
              <w:bidi w:val="0"/>
              <w:jc w:val="center"/>
              <w:rPr>
                <w:rFonts w:ascii="Times New Roman" w:hAnsi="Times New Roman" w:cs="Times New Roman"/>
                <w:sz w:val="24"/>
                <w:szCs w:val="24"/>
              </w:rPr>
            </w:pPr>
            <w:r w:rsidRPr="00F40932">
              <w:rPr>
                <w:rFonts w:ascii="Times New Roman" w:hAnsi="Times New Roman" w:cs="Times New Roman"/>
                <w:sz w:val="24"/>
                <w:szCs w:val="24"/>
              </w:rPr>
              <w:t>5% (5/100)</w:t>
            </w:r>
          </w:p>
        </w:tc>
      </w:tr>
    </w:tbl>
    <w:p w14:paraId="70A23A2B" w14:textId="77777777" w:rsidR="005037B9" w:rsidRPr="00F40932" w:rsidRDefault="005037B9" w:rsidP="005037B9">
      <w:pPr>
        <w:bidi w:val="0"/>
        <w:jc w:val="center"/>
        <w:rPr>
          <w:rFonts w:ascii="Times New Roman" w:hAnsi="Times New Roman" w:cs="Times New Roman"/>
          <w:sz w:val="24"/>
          <w:szCs w:val="24"/>
        </w:rPr>
      </w:pPr>
    </w:p>
    <w:p w14:paraId="1A9E82C7" w14:textId="77777777" w:rsidR="005037B9" w:rsidRDefault="005037B9" w:rsidP="005037B9">
      <w:pPr>
        <w:pStyle w:val="Heading3"/>
        <w:spacing w:after="0" w:afterAutospacing="0" w:line="276" w:lineRule="auto"/>
        <w:jc w:val="center"/>
        <w:rPr>
          <w:rStyle w:val="Strong"/>
          <w:b/>
          <w:bCs/>
          <w:sz w:val="24"/>
          <w:szCs w:val="24"/>
        </w:rPr>
      </w:pPr>
    </w:p>
    <w:p w14:paraId="4E0BC936" w14:textId="77777777" w:rsidR="005037B9" w:rsidRDefault="005037B9" w:rsidP="005037B9">
      <w:pPr>
        <w:pStyle w:val="Heading3"/>
        <w:spacing w:after="0" w:afterAutospacing="0" w:line="276" w:lineRule="auto"/>
        <w:jc w:val="center"/>
        <w:rPr>
          <w:rStyle w:val="Strong"/>
          <w:b/>
          <w:bCs/>
          <w:sz w:val="24"/>
          <w:szCs w:val="24"/>
        </w:rPr>
      </w:pPr>
    </w:p>
    <w:p w14:paraId="3532E9F2" w14:textId="77777777" w:rsidR="005037B9" w:rsidRDefault="005037B9" w:rsidP="005037B9">
      <w:pPr>
        <w:pStyle w:val="Heading3"/>
        <w:spacing w:after="0" w:afterAutospacing="0" w:line="276" w:lineRule="auto"/>
        <w:jc w:val="center"/>
        <w:rPr>
          <w:rStyle w:val="Strong"/>
          <w:b/>
          <w:bCs/>
          <w:sz w:val="24"/>
          <w:szCs w:val="24"/>
        </w:rPr>
      </w:pPr>
    </w:p>
    <w:p w14:paraId="7D45ADC5" w14:textId="77777777" w:rsidR="005037B9" w:rsidRPr="00F40932" w:rsidRDefault="005037B9" w:rsidP="005037B9">
      <w:pPr>
        <w:pStyle w:val="Heading3"/>
        <w:spacing w:after="0" w:afterAutospacing="0" w:line="276" w:lineRule="auto"/>
        <w:jc w:val="center"/>
        <w:rPr>
          <w:sz w:val="24"/>
          <w:szCs w:val="24"/>
        </w:rPr>
      </w:pPr>
      <w:r w:rsidRPr="00F40932">
        <w:rPr>
          <w:rStyle w:val="Strong"/>
          <w:b/>
          <w:bCs/>
          <w:sz w:val="24"/>
          <w:szCs w:val="24"/>
        </w:rPr>
        <w:lastRenderedPageBreak/>
        <w:t xml:space="preserve">Table </w:t>
      </w:r>
      <w:r>
        <w:rPr>
          <w:rStyle w:val="Strong"/>
          <w:b/>
          <w:bCs/>
          <w:sz w:val="24"/>
          <w:szCs w:val="24"/>
        </w:rPr>
        <w:t>2</w:t>
      </w:r>
      <w:r w:rsidRPr="00F40932">
        <w:rPr>
          <w:rStyle w:val="Strong"/>
          <w:b/>
          <w:bCs/>
          <w:sz w:val="24"/>
          <w:szCs w:val="24"/>
        </w:rPr>
        <w:t>: Associations with Comorbidities</w:t>
      </w:r>
    </w:p>
    <w:tbl>
      <w:tblPr>
        <w:tblStyle w:val="TableGrid"/>
        <w:tblW w:w="8582" w:type="dxa"/>
        <w:tblLook w:val="04A0" w:firstRow="1" w:lastRow="0" w:firstColumn="1" w:lastColumn="0" w:noHBand="0" w:noVBand="1"/>
      </w:tblPr>
      <w:tblGrid>
        <w:gridCol w:w="2152"/>
        <w:gridCol w:w="2117"/>
        <w:gridCol w:w="2032"/>
        <w:gridCol w:w="2281"/>
      </w:tblGrid>
      <w:tr w:rsidR="005037B9" w:rsidRPr="00F40932" w14:paraId="372ADA2D" w14:textId="77777777" w:rsidTr="00A47B80">
        <w:trPr>
          <w:trHeight w:val="823"/>
        </w:trPr>
        <w:tc>
          <w:tcPr>
            <w:tcW w:w="0" w:type="auto"/>
            <w:shd w:val="clear" w:color="auto" w:fill="F2F2F2" w:themeFill="background1" w:themeFillShade="F2"/>
            <w:vAlign w:val="center"/>
            <w:hideMark/>
          </w:tcPr>
          <w:p w14:paraId="75285BFE"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Symptom</w:t>
            </w:r>
          </w:p>
        </w:tc>
        <w:tc>
          <w:tcPr>
            <w:tcW w:w="0" w:type="auto"/>
            <w:shd w:val="clear" w:color="auto" w:fill="F2F2F2" w:themeFill="background1" w:themeFillShade="F2"/>
            <w:vAlign w:val="center"/>
            <w:hideMark/>
          </w:tcPr>
          <w:p w14:paraId="285E222D"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HTN (Yes vs. No)</w:t>
            </w:r>
          </w:p>
        </w:tc>
        <w:tc>
          <w:tcPr>
            <w:tcW w:w="0" w:type="auto"/>
            <w:shd w:val="clear" w:color="auto" w:fill="F2F2F2" w:themeFill="background1" w:themeFillShade="F2"/>
            <w:vAlign w:val="center"/>
            <w:hideMark/>
          </w:tcPr>
          <w:p w14:paraId="3E51D869"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DM (Yes vs. No)</w:t>
            </w:r>
          </w:p>
        </w:tc>
        <w:tc>
          <w:tcPr>
            <w:tcW w:w="0" w:type="auto"/>
            <w:shd w:val="clear" w:color="auto" w:fill="F2F2F2" w:themeFill="background1" w:themeFillShade="F2"/>
            <w:vAlign w:val="center"/>
            <w:hideMark/>
          </w:tcPr>
          <w:p w14:paraId="64E81998" w14:textId="77777777" w:rsidR="005037B9" w:rsidRPr="00F40932" w:rsidRDefault="005037B9" w:rsidP="00A47B80">
            <w:pPr>
              <w:bidi w:val="0"/>
              <w:jc w:val="center"/>
              <w:rPr>
                <w:rFonts w:ascii="Times New Roman" w:hAnsi="Times New Roman" w:cs="Times New Roman"/>
                <w:b/>
                <w:bCs/>
                <w:sz w:val="24"/>
                <w:szCs w:val="24"/>
              </w:rPr>
            </w:pPr>
            <w:r w:rsidRPr="00F40932">
              <w:rPr>
                <w:rStyle w:val="Strong"/>
                <w:rFonts w:ascii="Times New Roman" w:hAnsi="Times New Roman" w:cs="Times New Roman"/>
                <w:sz w:val="24"/>
                <w:szCs w:val="24"/>
              </w:rPr>
              <w:t>HTN &amp; DM (Yes vs. No)</w:t>
            </w:r>
          </w:p>
        </w:tc>
      </w:tr>
      <w:tr w:rsidR="005037B9" w:rsidRPr="00F40932" w14:paraId="2ECAD5F7" w14:textId="77777777" w:rsidTr="00A47B80">
        <w:trPr>
          <w:trHeight w:val="846"/>
        </w:trPr>
        <w:tc>
          <w:tcPr>
            <w:tcW w:w="0" w:type="auto"/>
            <w:shd w:val="clear" w:color="auto" w:fill="F2F2F2" w:themeFill="background1" w:themeFillShade="F2"/>
            <w:vAlign w:val="center"/>
            <w:hideMark/>
          </w:tcPr>
          <w:p w14:paraId="0200B0CA" w14:textId="77777777" w:rsidR="005037B9" w:rsidRPr="00F40932" w:rsidRDefault="00DD4B5C" w:rsidP="00A47B80">
            <w:pPr>
              <w:bidi w:val="0"/>
              <w:jc w:val="center"/>
              <w:rPr>
                <w:rFonts w:ascii="Times New Roman" w:hAnsi="Times New Roman" w:cs="Times New Roman"/>
                <w:sz w:val="24"/>
                <w:szCs w:val="24"/>
              </w:rPr>
            </w:pPr>
            <w:r>
              <w:rPr>
                <w:rStyle w:val="Strong"/>
                <w:rFonts w:ascii="Times New Roman" w:hAnsi="Times New Roman" w:cs="Times New Roman"/>
                <w:sz w:val="24"/>
                <w:szCs w:val="24"/>
              </w:rPr>
              <w:t>Pruritu</w:t>
            </w:r>
            <w:r w:rsidR="005037B9" w:rsidRPr="00F40932">
              <w:rPr>
                <w:rStyle w:val="Strong"/>
                <w:rFonts w:ascii="Times New Roman" w:hAnsi="Times New Roman" w:cs="Times New Roman"/>
                <w:sz w:val="24"/>
                <w:szCs w:val="24"/>
              </w:rPr>
              <w:t>s</w:t>
            </w:r>
          </w:p>
        </w:tc>
        <w:tc>
          <w:tcPr>
            <w:tcW w:w="0" w:type="auto"/>
            <w:vAlign w:val="center"/>
            <w:hideMark/>
          </w:tcPr>
          <w:p w14:paraId="6F8AF0F3"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71% vs. 57% (p=0.14)</w:t>
            </w:r>
          </w:p>
        </w:tc>
        <w:tc>
          <w:tcPr>
            <w:tcW w:w="0" w:type="auto"/>
            <w:vAlign w:val="center"/>
            <w:hideMark/>
          </w:tcPr>
          <w:p w14:paraId="404A83A1"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65% vs. 68% (p=0.82)</w:t>
            </w:r>
          </w:p>
        </w:tc>
        <w:tc>
          <w:tcPr>
            <w:tcW w:w="0" w:type="auto"/>
            <w:vAlign w:val="center"/>
            <w:hideMark/>
          </w:tcPr>
          <w:p w14:paraId="05A890E2"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75% vs. 66% (p=0.47)</w:t>
            </w:r>
          </w:p>
        </w:tc>
      </w:tr>
      <w:tr w:rsidR="005037B9" w:rsidRPr="00F40932" w14:paraId="3D84F886" w14:textId="77777777" w:rsidTr="00A47B80">
        <w:trPr>
          <w:trHeight w:val="823"/>
        </w:trPr>
        <w:tc>
          <w:tcPr>
            <w:tcW w:w="0" w:type="auto"/>
            <w:shd w:val="clear" w:color="auto" w:fill="F2F2F2" w:themeFill="background1" w:themeFillShade="F2"/>
            <w:vAlign w:val="center"/>
            <w:hideMark/>
          </w:tcPr>
          <w:p w14:paraId="367F307C" w14:textId="77777777" w:rsidR="005037B9" w:rsidRPr="00F40932" w:rsidRDefault="005037B9" w:rsidP="00A47B80">
            <w:pPr>
              <w:bidi w:val="0"/>
              <w:jc w:val="center"/>
              <w:rPr>
                <w:rFonts w:ascii="Times New Roman" w:hAnsi="Times New Roman" w:cs="Times New Roman"/>
                <w:sz w:val="24"/>
                <w:szCs w:val="24"/>
              </w:rPr>
            </w:pPr>
            <w:r w:rsidRPr="00F40932">
              <w:rPr>
                <w:rStyle w:val="Strong"/>
                <w:rFonts w:ascii="Times New Roman" w:hAnsi="Times New Roman" w:cs="Times New Roman"/>
                <w:sz w:val="24"/>
                <w:szCs w:val="24"/>
              </w:rPr>
              <w:t>Pallor</w:t>
            </w:r>
          </w:p>
        </w:tc>
        <w:tc>
          <w:tcPr>
            <w:tcW w:w="0" w:type="auto"/>
            <w:vAlign w:val="center"/>
            <w:hideMark/>
          </w:tcPr>
          <w:p w14:paraId="4873D106"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39% vs. 15% (p=0.01*)</w:t>
            </w:r>
          </w:p>
        </w:tc>
        <w:tc>
          <w:tcPr>
            <w:tcW w:w="0" w:type="auto"/>
            <w:vAlign w:val="center"/>
            <w:hideMark/>
          </w:tcPr>
          <w:p w14:paraId="1E26B410"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22% vs. 36% (p=0.17)</w:t>
            </w:r>
          </w:p>
        </w:tc>
        <w:tc>
          <w:tcPr>
            <w:tcW w:w="0" w:type="auto"/>
            <w:vAlign w:val="center"/>
            <w:hideMark/>
          </w:tcPr>
          <w:p w14:paraId="4DD69E55"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31% vs. 35% (p=0.70)</w:t>
            </w:r>
          </w:p>
        </w:tc>
      </w:tr>
      <w:tr w:rsidR="005037B9" w:rsidRPr="00F40932" w14:paraId="21C26897" w14:textId="77777777" w:rsidTr="00A47B80">
        <w:trPr>
          <w:trHeight w:val="846"/>
        </w:trPr>
        <w:tc>
          <w:tcPr>
            <w:tcW w:w="0" w:type="auto"/>
            <w:shd w:val="clear" w:color="auto" w:fill="F2F2F2" w:themeFill="background1" w:themeFillShade="F2"/>
            <w:vAlign w:val="center"/>
            <w:hideMark/>
          </w:tcPr>
          <w:p w14:paraId="313EF7C2" w14:textId="77777777" w:rsidR="005037B9" w:rsidRPr="00F40932" w:rsidRDefault="005037B9" w:rsidP="00A47B80">
            <w:pPr>
              <w:bidi w:val="0"/>
              <w:jc w:val="center"/>
              <w:rPr>
                <w:rFonts w:ascii="Times New Roman" w:hAnsi="Times New Roman" w:cs="Times New Roman"/>
                <w:sz w:val="24"/>
                <w:szCs w:val="24"/>
              </w:rPr>
            </w:pPr>
            <w:r w:rsidRPr="00F40932">
              <w:rPr>
                <w:rStyle w:val="Strong"/>
                <w:rFonts w:ascii="Times New Roman" w:hAnsi="Times New Roman" w:cs="Times New Roman"/>
                <w:sz w:val="24"/>
                <w:szCs w:val="24"/>
              </w:rPr>
              <w:t>Fungal Infection</w:t>
            </w:r>
          </w:p>
        </w:tc>
        <w:tc>
          <w:tcPr>
            <w:tcW w:w="0" w:type="auto"/>
            <w:vAlign w:val="center"/>
            <w:hideMark/>
          </w:tcPr>
          <w:p w14:paraId="57B3A777"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5% vs. 12% (p=0.24)</w:t>
            </w:r>
          </w:p>
        </w:tc>
        <w:tc>
          <w:tcPr>
            <w:tcW w:w="0" w:type="auto"/>
            <w:vAlign w:val="center"/>
            <w:hideMark/>
          </w:tcPr>
          <w:p w14:paraId="222C5FD7"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17% vs. 4% (p=0.03*)</w:t>
            </w:r>
          </w:p>
        </w:tc>
        <w:tc>
          <w:tcPr>
            <w:tcW w:w="0" w:type="auto"/>
            <w:vAlign w:val="center"/>
            <w:hideMark/>
          </w:tcPr>
          <w:p w14:paraId="1B658C41"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19% vs. 4% (p=0.02*)</w:t>
            </w:r>
          </w:p>
        </w:tc>
      </w:tr>
      <w:tr w:rsidR="005037B9" w:rsidRPr="00F40932" w14:paraId="561621F6" w14:textId="77777777" w:rsidTr="00A47B80">
        <w:trPr>
          <w:trHeight w:val="846"/>
        </w:trPr>
        <w:tc>
          <w:tcPr>
            <w:tcW w:w="0" w:type="auto"/>
            <w:shd w:val="clear" w:color="auto" w:fill="F2F2F2" w:themeFill="background1" w:themeFillShade="F2"/>
            <w:vAlign w:val="center"/>
            <w:hideMark/>
          </w:tcPr>
          <w:p w14:paraId="3A332D91" w14:textId="77777777" w:rsidR="005037B9" w:rsidRPr="00F40932" w:rsidRDefault="005037B9" w:rsidP="00A47B80">
            <w:pPr>
              <w:bidi w:val="0"/>
              <w:jc w:val="center"/>
              <w:rPr>
                <w:rFonts w:ascii="Times New Roman" w:hAnsi="Times New Roman" w:cs="Times New Roman"/>
                <w:sz w:val="24"/>
                <w:szCs w:val="24"/>
              </w:rPr>
            </w:pPr>
            <w:r w:rsidRPr="00F40932">
              <w:rPr>
                <w:rStyle w:val="Strong"/>
                <w:rFonts w:ascii="Times New Roman" w:hAnsi="Times New Roman" w:cs="Times New Roman"/>
                <w:sz w:val="24"/>
                <w:szCs w:val="24"/>
              </w:rPr>
              <w:t>Splinter Hemorrhage</w:t>
            </w:r>
          </w:p>
        </w:tc>
        <w:tc>
          <w:tcPr>
            <w:tcW w:w="0" w:type="auto"/>
            <w:vAlign w:val="center"/>
            <w:hideMark/>
          </w:tcPr>
          <w:p w14:paraId="5867DCCE"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6% vs. 6% (p=1.00)</w:t>
            </w:r>
          </w:p>
        </w:tc>
        <w:tc>
          <w:tcPr>
            <w:tcW w:w="0" w:type="auto"/>
            <w:vAlign w:val="center"/>
            <w:hideMark/>
          </w:tcPr>
          <w:p w14:paraId="238EAF77"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9% vs. 5% (p=0.45)</w:t>
            </w:r>
          </w:p>
        </w:tc>
        <w:tc>
          <w:tcPr>
            <w:tcW w:w="0" w:type="auto"/>
            <w:vAlign w:val="center"/>
            <w:hideMark/>
          </w:tcPr>
          <w:p w14:paraId="33EE3FE6" w14:textId="77777777" w:rsidR="005037B9" w:rsidRPr="00387A3E" w:rsidRDefault="005037B9" w:rsidP="00A47B80">
            <w:pPr>
              <w:bidi w:val="0"/>
              <w:jc w:val="center"/>
              <w:rPr>
                <w:rFonts w:ascii="Times New Roman" w:hAnsi="Times New Roman" w:cs="Times New Roman"/>
                <w:sz w:val="24"/>
                <w:szCs w:val="24"/>
              </w:rPr>
            </w:pPr>
            <w:r w:rsidRPr="00387A3E">
              <w:rPr>
                <w:rFonts w:ascii="Times New Roman" w:hAnsi="Times New Roman" w:cs="Times New Roman"/>
                <w:sz w:val="24"/>
                <w:szCs w:val="24"/>
              </w:rPr>
              <w:t>12% vs. 3% (p=0.04*)</w:t>
            </w:r>
          </w:p>
        </w:tc>
      </w:tr>
    </w:tbl>
    <w:p w14:paraId="2A21B82E" w14:textId="77777777" w:rsidR="005037B9" w:rsidRDefault="005037B9" w:rsidP="005037B9">
      <w:pPr>
        <w:pStyle w:val="Heading3"/>
        <w:spacing w:after="0" w:afterAutospacing="0" w:line="360" w:lineRule="auto"/>
        <w:rPr>
          <w:rStyle w:val="Strong"/>
          <w:b/>
          <w:bCs/>
          <w:sz w:val="24"/>
          <w:szCs w:val="24"/>
        </w:rPr>
      </w:pPr>
    </w:p>
    <w:p w14:paraId="6AA38012" w14:textId="77777777" w:rsidR="005037B9" w:rsidRDefault="005037B9" w:rsidP="005037B9">
      <w:pPr>
        <w:pStyle w:val="Heading3"/>
        <w:spacing w:after="0" w:afterAutospacing="0" w:line="360" w:lineRule="auto"/>
        <w:jc w:val="center"/>
        <w:rPr>
          <w:rStyle w:val="Strong"/>
          <w:b/>
          <w:bCs/>
          <w:sz w:val="24"/>
          <w:szCs w:val="24"/>
        </w:rPr>
      </w:pPr>
    </w:p>
    <w:p w14:paraId="1D7517B2" w14:textId="77777777" w:rsidR="005037B9" w:rsidRDefault="005037B9" w:rsidP="005037B9">
      <w:pPr>
        <w:pStyle w:val="Heading3"/>
        <w:spacing w:after="0" w:afterAutospacing="0" w:line="360" w:lineRule="auto"/>
        <w:jc w:val="center"/>
        <w:rPr>
          <w:rStyle w:val="Strong"/>
          <w:b/>
          <w:bCs/>
          <w:sz w:val="24"/>
          <w:szCs w:val="24"/>
        </w:rPr>
      </w:pPr>
      <w:r>
        <w:rPr>
          <w:noProof/>
          <w:sz w:val="24"/>
          <w:szCs w:val="24"/>
        </w:rPr>
        <w:drawing>
          <wp:inline distT="0" distB="0" distL="0" distR="0" wp14:anchorId="2972EA2F" wp14:editId="388EC978">
            <wp:extent cx="5124450" cy="3952875"/>
            <wp:effectExtent l="0" t="0" r="19050" b="9525"/>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1AC362" w14:textId="77777777" w:rsidR="005037B9" w:rsidRPr="00C11CF7" w:rsidRDefault="005037B9" w:rsidP="005037B9">
      <w:pPr>
        <w:pStyle w:val="Heading3"/>
        <w:spacing w:before="0" w:beforeAutospacing="0" w:after="0" w:afterAutospacing="0"/>
        <w:jc w:val="center"/>
        <w:rPr>
          <w:sz w:val="24"/>
          <w:szCs w:val="24"/>
        </w:rPr>
      </w:pPr>
      <w:r w:rsidRPr="00C11CF7">
        <w:rPr>
          <w:rStyle w:val="Strong"/>
          <w:b/>
          <w:bCs/>
          <w:sz w:val="24"/>
          <w:szCs w:val="24"/>
        </w:rPr>
        <w:t xml:space="preserve">Figure </w:t>
      </w:r>
      <w:r>
        <w:rPr>
          <w:rStyle w:val="Strong"/>
          <w:b/>
          <w:bCs/>
          <w:sz w:val="24"/>
          <w:szCs w:val="24"/>
        </w:rPr>
        <w:t>2</w:t>
      </w:r>
      <w:r w:rsidRPr="00C11CF7">
        <w:rPr>
          <w:rStyle w:val="Strong"/>
          <w:b/>
          <w:bCs/>
          <w:sz w:val="24"/>
          <w:szCs w:val="24"/>
        </w:rPr>
        <w:t>: Sex Differences (Male vs. Female)</w:t>
      </w:r>
    </w:p>
    <w:p w14:paraId="0DC65787" w14:textId="77777777" w:rsidR="005037B9" w:rsidRDefault="005037B9" w:rsidP="005037B9">
      <w:pPr>
        <w:pStyle w:val="Heading3"/>
        <w:spacing w:after="0" w:afterAutospacing="0" w:line="360" w:lineRule="auto"/>
        <w:jc w:val="center"/>
        <w:rPr>
          <w:rStyle w:val="Strong"/>
          <w:b/>
          <w:bCs/>
          <w:sz w:val="24"/>
          <w:szCs w:val="24"/>
        </w:rPr>
      </w:pPr>
    </w:p>
    <w:p w14:paraId="0D18901E" w14:textId="77777777" w:rsidR="005037B9" w:rsidRDefault="005037B9" w:rsidP="005037B9">
      <w:pPr>
        <w:pStyle w:val="Heading3"/>
        <w:spacing w:after="0" w:afterAutospacing="0" w:line="360" w:lineRule="auto"/>
        <w:jc w:val="center"/>
        <w:rPr>
          <w:rStyle w:val="Strong"/>
          <w:b/>
          <w:bCs/>
          <w:sz w:val="24"/>
          <w:szCs w:val="24"/>
        </w:rPr>
      </w:pPr>
    </w:p>
    <w:p w14:paraId="025D799D" w14:textId="77777777" w:rsidR="005037B9" w:rsidRPr="00F907D8" w:rsidRDefault="005037B9" w:rsidP="005037B9">
      <w:pPr>
        <w:pStyle w:val="Heading3"/>
        <w:jc w:val="center"/>
        <w:rPr>
          <w:sz w:val="24"/>
          <w:szCs w:val="24"/>
        </w:rPr>
      </w:pPr>
      <w:r w:rsidRPr="00F907D8">
        <w:rPr>
          <w:rStyle w:val="Strong"/>
          <w:b/>
          <w:bCs/>
          <w:sz w:val="24"/>
          <w:szCs w:val="24"/>
        </w:rPr>
        <w:t xml:space="preserve">Table </w:t>
      </w:r>
      <w:r>
        <w:rPr>
          <w:rStyle w:val="Strong"/>
          <w:b/>
          <w:bCs/>
          <w:sz w:val="24"/>
          <w:szCs w:val="24"/>
        </w:rPr>
        <w:t>3</w:t>
      </w:r>
      <w:r w:rsidRPr="00F907D8">
        <w:rPr>
          <w:rStyle w:val="Strong"/>
          <w:b/>
          <w:bCs/>
          <w:sz w:val="24"/>
          <w:szCs w:val="24"/>
        </w:rPr>
        <w:t>: Demographic and Comorbidity Distribution by Age Group</w:t>
      </w:r>
    </w:p>
    <w:tbl>
      <w:tblPr>
        <w:tblStyle w:val="TableGrid"/>
        <w:tblW w:w="8205" w:type="dxa"/>
        <w:tblLook w:val="04A0" w:firstRow="1" w:lastRow="0" w:firstColumn="1" w:lastColumn="0" w:noHBand="0" w:noVBand="1"/>
      </w:tblPr>
      <w:tblGrid>
        <w:gridCol w:w="2102"/>
        <w:gridCol w:w="1691"/>
        <w:gridCol w:w="1705"/>
        <w:gridCol w:w="1560"/>
        <w:gridCol w:w="1147"/>
      </w:tblGrid>
      <w:tr w:rsidR="005037B9" w:rsidRPr="00F907D8" w14:paraId="2D57F395" w14:textId="77777777" w:rsidTr="00A47B80">
        <w:trPr>
          <w:trHeight w:val="1164"/>
        </w:trPr>
        <w:tc>
          <w:tcPr>
            <w:tcW w:w="0" w:type="auto"/>
            <w:shd w:val="clear" w:color="auto" w:fill="F2F2F2" w:themeFill="background1" w:themeFillShade="F2"/>
            <w:vAlign w:val="center"/>
            <w:hideMark/>
          </w:tcPr>
          <w:p w14:paraId="570F1DAD" w14:textId="77777777" w:rsidR="005037B9" w:rsidRPr="00F907D8" w:rsidRDefault="005037B9" w:rsidP="00A47B80">
            <w:pPr>
              <w:bidi w:val="0"/>
              <w:jc w:val="center"/>
              <w:rPr>
                <w:rFonts w:ascii="Times New Roman" w:hAnsi="Times New Roman" w:cs="Times New Roman"/>
                <w:b/>
                <w:bCs/>
                <w:sz w:val="24"/>
                <w:szCs w:val="24"/>
              </w:rPr>
            </w:pPr>
            <w:r w:rsidRPr="00F907D8">
              <w:rPr>
                <w:rStyle w:val="Strong"/>
                <w:rFonts w:ascii="Times New Roman" w:hAnsi="Times New Roman" w:cs="Times New Roman"/>
                <w:sz w:val="24"/>
                <w:szCs w:val="24"/>
              </w:rPr>
              <w:t>Variable</w:t>
            </w:r>
          </w:p>
        </w:tc>
        <w:tc>
          <w:tcPr>
            <w:tcW w:w="0" w:type="auto"/>
            <w:shd w:val="clear" w:color="auto" w:fill="F2F2F2" w:themeFill="background1" w:themeFillShade="F2"/>
            <w:vAlign w:val="center"/>
            <w:hideMark/>
          </w:tcPr>
          <w:p w14:paraId="79F2650A" w14:textId="77777777" w:rsidR="005037B9" w:rsidRPr="00F907D8" w:rsidRDefault="005037B9" w:rsidP="00A47B80">
            <w:pPr>
              <w:bidi w:val="0"/>
              <w:jc w:val="center"/>
              <w:rPr>
                <w:rFonts w:ascii="Times New Roman" w:hAnsi="Times New Roman" w:cs="Times New Roman"/>
                <w:b/>
                <w:bCs/>
                <w:sz w:val="24"/>
                <w:szCs w:val="24"/>
              </w:rPr>
            </w:pPr>
            <w:r w:rsidRPr="00F907D8">
              <w:rPr>
                <w:rStyle w:val="Strong"/>
                <w:rFonts w:ascii="Times New Roman" w:hAnsi="Times New Roman" w:cs="Times New Roman"/>
                <w:sz w:val="24"/>
                <w:szCs w:val="24"/>
              </w:rPr>
              <w:t>20–39 years (n=18)</w:t>
            </w:r>
          </w:p>
        </w:tc>
        <w:tc>
          <w:tcPr>
            <w:tcW w:w="0" w:type="auto"/>
            <w:shd w:val="clear" w:color="auto" w:fill="F2F2F2" w:themeFill="background1" w:themeFillShade="F2"/>
            <w:vAlign w:val="center"/>
            <w:hideMark/>
          </w:tcPr>
          <w:p w14:paraId="631B36C1" w14:textId="77777777" w:rsidR="005037B9" w:rsidRPr="00F907D8" w:rsidRDefault="005037B9" w:rsidP="00A47B80">
            <w:pPr>
              <w:bidi w:val="0"/>
              <w:jc w:val="center"/>
              <w:rPr>
                <w:rFonts w:ascii="Times New Roman" w:hAnsi="Times New Roman" w:cs="Times New Roman"/>
                <w:b/>
                <w:bCs/>
                <w:sz w:val="24"/>
                <w:szCs w:val="24"/>
              </w:rPr>
            </w:pPr>
            <w:r w:rsidRPr="00F907D8">
              <w:rPr>
                <w:rStyle w:val="Strong"/>
                <w:rFonts w:ascii="Times New Roman" w:hAnsi="Times New Roman" w:cs="Times New Roman"/>
                <w:sz w:val="24"/>
                <w:szCs w:val="24"/>
              </w:rPr>
              <w:t>40–59 years (n=45)</w:t>
            </w:r>
          </w:p>
        </w:tc>
        <w:tc>
          <w:tcPr>
            <w:tcW w:w="0" w:type="auto"/>
            <w:shd w:val="clear" w:color="auto" w:fill="F2F2F2" w:themeFill="background1" w:themeFillShade="F2"/>
            <w:vAlign w:val="center"/>
            <w:hideMark/>
          </w:tcPr>
          <w:p w14:paraId="26106959" w14:textId="77777777" w:rsidR="005037B9" w:rsidRPr="00F907D8" w:rsidRDefault="005037B9" w:rsidP="00A47B80">
            <w:pPr>
              <w:bidi w:val="0"/>
              <w:jc w:val="center"/>
              <w:rPr>
                <w:rFonts w:ascii="Times New Roman" w:hAnsi="Times New Roman" w:cs="Times New Roman"/>
                <w:b/>
                <w:bCs/>
                <w:sz w:val="24"/>
                <w:szCs w:val="24"/>
              </w:rPr>
            </w:pPr>
            <w:r w:rsidRPr="00F907D8">
              <w:rPr>
                <w:rStyle w:val="Strong"/>
                <w:rFonts w:ascii="Times New Roman" w:hAnsi="Times New Roman" w:cs="Times New Roman"/>
                <w:sz w:val="24"/>
                <w:szCs w:val="24"/>
              </w:rPr>
              <w:t>≥60 years (n=37)</w:t>
            </w:r>
          </w:p>
        </w:tc>
        <w:tc>
          <w:tcPr>
            <w:tcW w:w="0" w:type="auto"/>
            <w:shd w:val="clear" w:color="auto" w:fill="F2F2F2" w:themeFill="background1" w:themeFillShade="F2"/>
            <w:vAlign w:val="center"/>
            <w:hideMark/>
          </w:tcPr>
          <w:p w14:paraId="5EA65000" w14:textId="77777777" w:rsidR="005037B9" w:rsidRPr="00F907D8" w:rsidRDefault="005037B9" w:rsidP="00A47B80">
            <w:pPr>
              <w:bidi w:val="0"/>
              <w:jc w:val="center"/>
              <w:rPr>
                <w:rFonts w:ascii="Times New Roman" w:hAnsi="Times New Roman" w:cs="Times New Roman"/>
                <w:b/>
                <w:bCs/>
                <w:sz w:val="24"/>
                <w:szCs w:val="24"/>
              </w:rPr>
            </w:pPr>
            <w:r w:rsidRPr="00F907D8">
              <w:rPr>
                <w:rStyle w:val="Strong"/>
                <w:rFonts w:ascii="Times New Roman" w:hAnsi="Times New Roman" w:cs="Times New Roman"/>
                <w:sz w:val="24"/>
                <w:szCs w:val="24"/>
              </w:rPr>
              <w:t>p-value</w:t>
            </w:r>
          </w:p>
        </w:tc>
      </w:tr>
      <w:tr w:rsidR="005037B9" w:rsidRPr="00F907D8" w14:paraId="5A5BEE88" w14:textId="77777777" w:rsidTr="00A47B80">
        <w:trPr>
          <w:trHeight w:val="1196"/>
        </w:trPr>
        <w:tc>
          <w:tcPr>
            <w:tcW w:w="0" w:type="auto"/>
            <w:shd w:val="clear" w:color="auto" w:fill="F2F2F2" w:themeFill="background1" w:themeFillShade="F2"/>
            <w:vAlign w:val="center"/>
            <w:hideMark/>
          </w:tcPr>
          <w:p w14:paraId="22285DF8"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Hypertension (HTN)</w:t>
            </w:r>
          </w:p>
        </w:tc>
        <w:tc>
          <w:tcPr>
            <w:tcW w:w="0" w:type="auto"/>
            <w:vAlign w:val="center"/>
            <w:hideMark/>
          </w:tcPr>
          <w:p w14:paraId="01A9A779"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44% (8/18)</w:t>
            </w:r>
          </w:p>
        </w:tc>
        <w:tc>
          <w:tcPr>
            <w:tcW w:w="0" w:type="auto"/>
            <w:vAlign w:val="center"/>
            <w:hideMark/>
          </w:tcPr>
          <w:p w14:paraId="648A7F28"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76% (34/45)</w:t>
            </w:r>
          </w:p>
        </w:tc>
        <w:tc>
          <w:tcPr>
            <w:tcW w:w="0" w:type="auto"/>
            <w:vAlign w:val="center"/>
            <w:hideMark/>
          </w:tcPr>
          <w:p w14:paraId="303D1632"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86% (32/37)</w:t>
            </w:r>
          </w:p>
        </w:tc>
        <w:tc>
          <w:tcPr>
            <w:tcW w:w="0" w:type="auto"/>
            <w:vAlign w:val="center"/>
            <w:hideMark/>
          </w:tcPr>
          <w:p w14:paraId="32895A5A"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p=0.001</w:t>
            </w:r>
            <w:r w:rsidRPr="00F907D8">
              <w:rPr>
                <w:rFonts w:ascii="Times New Roman" w:hAnsi="Times New Roman" w:cs="Times New Roman"/>
                <w:sz w:val="24"/>
                <w:szCs w:val="24"/>
              </w:rPr>
              <w:t>*</w:t>
            </w:r>
          </w:p>
        </w:tc>
      </w:tr>
      <w:tr w:rsidR="005037B9" w:rsidRPr="00F907D8" w14:paraId="0BCBB808" w14:textId="77777777" w:rsidTr="00A47B80">
        <w:trPr>
          <w:trHeight w:val="580"/>
        </w:trPr>
        <w:tc>
          <w:tcPr>
            <w:tcW w:w="0" w:type="auto"/>
            <w:shd w:val="clear" w:color="auto" w:fill="F2F2F2" w:themeFill="background1" w:themeFillShade="F2"/>
            <w:vAlign w:val="center"/>
            <w:hideMark/>
          </w:tcPr>
          <w:p w14:paraId="13DACE52"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Diabetes (DM)</w:t>
            </w:r>
          </w:p>
        </w:tc>
        <w:tc>
          <w:tcPr>
            <w:tcW w:w="0" w:type="auto"/>
            <w:vAlign w:val="center"/>
            <w:hideMark/>
          </w:tcPr>
          <w:p w14:paraId="4C29DD61"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6% (1/18)</w:t>
            </w:r>
          </w:p>
        </w:tc>
        <w:tc>
          <w:tcPr>
            <w:tcW w:w="0" w:type="auto"/>
            <w:vAlign w:val="center"/>
            <w:hideMark/>
          </w:tcPr>
          <w:p w14:paraId="7D1EB7EA"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20% (9/45)</w:t>
            </w:r>
          </w:p>
        </w:tc>
        <w:tc>
          <w:tcPr>
            <w:tcW w:w="0" w:type="auto"/>
            <w:vAlign w:val="center"/>
            <w:hideMark/>
          </w:tcPr>
          <w:p w14:paraId="1E827882"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35% (13/37)</w:t>
            </w:r>
          </w:p>
        </w:tc>
        <w:tc>
          <w:tcPr>
            <w:tcW w:w="0" w:type="auto"/>
            <w:vAlign w:val="center"/>
            <w:hideMark/>
          </w:tcPr>
          <w:p w14:paraId="0E55C74E"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p=0.01</w:t>
            </w:r>
            <w:r w:rsidRPr="00F907D8">
              <w:rPr>
                <w:rFonts w:ascii="Times New Roman" w:hAnsi="Times New Roman" w:cs="Times New Roman"/>
                <w:sz w:val="24"/>
                <w:szCs w:val="24"/>
              </w:rPr>
              <w:t>*</w:t>
            </w:r>
          </w:p>
        </w:tc>
      </w:tr>
      <w:tr w:rsidR="005037B9" w:rsidRPr="00F907D8" w14:paraId="740ED772" w14:textId="77777777" w:rsidTr="00A47B80">
        <w:trPr>
          <w:trHeight w:val="580"/>
        </w:trPr>
        <w:tc>
          <w:tcPr>
            <w:tcW w:w="0" w:type="auto"/>
            <w:shd w:val="clear" w:color="auto" w:fill="F2F2F2" w:themeFill="background1" w:themeFillShade="F2"/>
            <w:vAlign w:val="center"/>
            <w:hideMark/>
          </w:tcPr>
          <w:p w14:paraId="215FC354"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HTN &amp; DM</w:t>
            </w:r>
          </w:p>
        </w:tc>
        <w:tc>
          <w:tcPr>
            <w:tcW w:w="0" w:type="auto"/>
            <w:vAlign w:val="center"/>
            <w:hideMark/>
          </w:tcPr>
          <w:p w14:paraId="71D53EBC"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0% (0/18)</w:t>
            </w:r>
          </w:p>
        </w:tc>
        <w:tc>
          <w:tcPr>
            <w:tcW w:w="0" w:type="auto"/>
            <w:vAlign w:val="center"/>
            <w:hideMark/>
          </w:tcPr>
          <w:p w14:paraId="1CD4AE9B"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13% (6/45)</w:t>
            </w:r>
          </w:p>
        </w:tc>
        <w:tc>
          <w:tcPr>
            <w:tcW w:w="0" w:type="auto"/>
            <w:vAlign w:val="center"/>
            <w:hideMark/>
          </w:tcPr>
          <w:p w14:paraId="263B30F9"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27% (10/37)</w:t>
            </w:r>
          </w:p>
        </w:tc>
        <w:tc>
          <w:tcPr>
            <w:tcW w:w="0" w:type="auto"/>
            <w:vAlign w:val="center"/>
            <w:hideMark/>
          </w:tcPr>
          <w:p w14:paraId="47D290EE"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p=0.003</w:t>
            </w:r>
            <w:r w:rsidRPr="00F907D8">
              <w:rPr>
                <w:rFonts w:ascii="Times New Roman" w:hAnsi="Times New Roman" w:cs="Times New Roman"/>
                <w:sz w:val="24"/>
                <w:szCs w:val="24"/>
              </w:rPr>
              <w:t>*</w:t>
            </w:r>
          </w:p>
        </w:tc>
      </w:tr>
      <w:tr w:rsidR="005037B9" w:rsidRPr="00F907D8" w14:paraId="6A792A74" w14:textId="77777777" w:rsidTr="00A47B80">
        <w:trPr>
          <w:trHeight w:val="614"/>
        </w:trPr>
        <w:tc>
          <w:tcPr>
            <w:tcW w:w="0" w:type="auto"/>
            <w:shd w:val="clear" w:color="auto" w:fill="F2F2F2" w:themeFill="background1" w:themeFillShade="F2"/>
            <w:vAlign w:val="center"/>
            <w:hideMark/>
          </w:tcPr>
          <w:p w14:paraId="786C1A36"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No Comorbidities</w:t>
            </w:r>
          </w:p>
        </w:tc>
        <w:tc>
          <w:tcPr>
            <w:tcW w:w="0" w:type="auto"/>
            <w:vAlign w:val="center"/>
            <w:hideMark/>
          </w:tcPr>
          <w:p w14:paraId="663675BD"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39% (7/18)</w:t>
            </w:r>
          </w:p>
        </w:tc>
        <w:tc>
          <w:tcPr>
            <w:tcW w:w="0" w:type="auto"/>
            <w:vAlign w:val="center"/>
            <w:hideMark/>
          </w:tcPr>
          <w:p w14:paraId="524FB1B2"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9% (4/45)</w:t>
            </w:r>
          </w:p>
        </w:tc>
        <w:tc>
          <w:tcPr>
            <w:tcW w:w="0" w:type="auto"/>
            <w:vAlign w:val="center"/>
            <w:hideMark/>
          </w:tcPr>
          <w:p w14:paraId="5660D1EE" w14:textId="77777777" w:rsidR="005037B9" w:rsidRPr="00F907D8" w:rsidRDefault="005037B9" w:rsidP="00A47B80">
            <w:pPr>
              <w:bidi w:val="0"/>
              <w:jc w:val="center"/>
              <w:rPr>
                <w:rFonts w:ascii="Times New Roman" w:hAnsi="Times New Roman" w:cs="Times New Roman"/>
                <w:sz w:val="24"/>
                <w:szCs w:val="24"/>
              </w:rPr>
            </w:pPr>
            <w:r w:rsidRPr="00F907D8">
              <w:rPr>
                <w:rFonts w:ascii="Times New Roman" w:hAnsi="Times New Roman" w:cs="Times New Roman"/>
                <w:sz w:val="24"/>
                <w:szCs w:val="24"/>
              </w:rPr>
              <w:t>0% (0/37)</w:t>
            </w:r>
          </w:p>
        </w:tc>
        <w:tc>
          <w:tcPr>
            <w:tcW w:w="0" w:type="auto"/>
            <w:vAlign w:val="center"/>
            <w:hideMark/>
          </w:tcPr>
          <w:p w14:paraId="5B627040" w14:textId="77777777" w:rsidR="005037B9" w:rsidRPr="00F907D8" w:rsidRDefault="005037B9" w:rsidP="00A47B80">
            <w:pPr>
              <w:bidi w:val="0"/>
              <w:jc w:val="center"/>
              <w:rPr>
                <w:rFonts w:ascii="Times New Roman" w:hAnsi="Times New Roman" w:cs="Times New Roman"/>
                <w:sz w:val="24"/>
                <w:szCs w:val="24"/>
              </w:rPr>
            </w:pPr>
            <w:r w:rsidRPr="00F907D8">
              <w:rPr>
                <w:rStyle w:val="Strong"/>
                <w:rFonts w:ascii="Times New Roman" w:hAnsi="Times New Roman" w:cs="Times New Roman"/>
                <w:sz w:val="24"/>
                <w:szCs w:val="24"/>
              </w:rPr>
              <w:t>p&lt;0.001</w:t>
            </w:r>
            <w:r w:rsidRPr="00F907D8">
              <w:rPr>
                <w:rFonts w:ascii="Times New Roman" w:hAnsi="Times New Roman" w:cs="Times New Roman"/>
                <w:sz w:val="24"/>
                <w:szCs w:val="24"/>
              </w:rPr>
              <w:t>*</w:t>
            </w:r>
          </w:p>
        </w:tc>
      </w:tr>
    </w:tbl>
    <w:p w14:paraId="455E90DD" w14:textId="77777777" w:rsidR="005037B9" w:rsidRDefault="005037B9" w:rsidP="005037B9">
      <w:pPr>
        <w:bidi w:val="0"/>
        <w:spacing w:after="0"/>
        <w:jc w:val="center"/>
        <w:rPr>
          <w:rFonts w:ascii="Times New Roman" w:hAnsi="Times New Roman" w:cs="Times New Roman"/>
          <w:sz w:val="24"/>
          <w:szCs w:val="24"/>
        </w:rPr>
      </w:pPr>
    </w:p>
    <w:p w14:paraId="57E83744" w14:textId="77777777" w:rsidR="005037B9" w:rsidRDefault="005037B9" w:rsidP="005037B9">
      <w:pPr>
        <w:bidi w:val="0"/>
        <w:spacing w:after="0"/>
        <w:jc w:val="center"/>
        <w:rPr>
          <w:rFonts w:ascii="Times New Roman" w:hAnsi="Times New Roman" w:cs="Times New Roman"/>
          <w:sz w:val="24"/>
          <w:szCs w:val="24"/>
        </w:rPr>
      </w:pPr>
    </w:p>
    <w:p w14:paraId="029D0266" w14:textId="77777777" w:rsidR="005037B9" w:rsidRPr="00632E03" w:rsidRDefault="005037B9" w:rsidP="005037B9">
      <w:pPr>
        <w:pStyle w:val="Heading3"/>
        <w:jc w:val="center"/>
        <w:rPr>
          <w:sz w:val="24"/>
          <w:szCs w:val="24"/>
        </w:rPr>
      </w:pPr>
      <w:r w:rsidRPr="00632E03">
        <w:rPr>
          <w:rStyle w:val="Strong"/>
          <w:b/>
          <w:bCs/>
          <w:sz w:val="24"/>
          <w:szCs w:val="24"/>
        </w:rPr>
        <w:t xml:space="preserve">Table </w:t>
      </w:r>
      <w:r>
        <w:rPr>
          <w:rStyle w:val="Strong"/>
          <w:b/>
          <w:bCs/>
          <w:sz w:val="24"/>
          <w:szCs w:val="24"/>
        </w:rPr>
        <w:t>4</w:t>
      </w:r>
      <w:r w:rsidRPr="00632E03">
        <w:rPr>
          <w:rStyle w:val="Strong"/>
          <w:b/>
          <w:bCs/>
          <w:sz w:val="24"/>
          <w:szCs w:val="24"/>
        </w:rPr>
        <w:t>: Skin and Nail Manifestations by Age Group</w:t>
      </w:r>
    </w:p>
    <w:tbl>
      <w:tblPr>
        <w:tblStyle w:val="TableGrid"/>
        <w:tblW w:w="8338" w:type="dxa"/>
        <w:tblLook w:val="04A0" w:firstRow="1" w:lastRow="0" w:firstColumn="1" w:lastColumn="0" w:noHBand="0" w:noVBand="1"/>
      </w:tblPr>
      <w:tblGrid>
        <w:gridCol w:w="2607"/>
        <w:gridCol w:w="1540"/>
        <w:gridCol w:w="1540"/>
        <w:gridCol w:w="1540"/>
        <w:gridCol w:w="1111"/>
      </w:tblGrid>
      <w:tr w:rsidR="005037B9" w:rsidRPr="00632E03" w14:paraId="69FD2A94" w14:textId="77777777" w:rsidTr="00A47B80">
        <w:trPr>
          <w:trHeight w:val="482"/>
        </w:trPr>
        <w:tc>
          <w:tcPr>
            <w:tcW w:w="0" w:type="auto"/>
            <w:shd w:val="clear" w:color="auto" w:fill="F2F2F2" w:themeFill="background1" w:themeFillShade="F2"/>
            <w:vAlign w:val="center"/>
            <w:hideMark/>
          </w:tcPr>
          <w:p w14:paraId="5C71BC99" w14:textId="77777777" w:rsidR="005037B9" w:rsidRPr="00632E03" w:rsidRDefault="005037B9" w:rsidP="00A47B80">
            <w:pPr>
              <w:bidi w:val="0"/>
              <w:jc w:val="center"/>
              <w:rPr>
                <w:rFonts w:ascii="Times New Roman" w:hAnsi="Times New Roman" w:cs="Times New Roman"/>
                <w:b/>
                <w:bCs/>
                <w:sz w:val="24"/>
                <w:szCs w:val="24"/>
              </w:rPr>
            </w:pPr>
            <w:r w:rsidRPr="00632E03">
              <w:rPr>
                <w:rStyle w:val="Strong"/>
                <w:rFonts w:ascii="Times New Roman" w:hAnsi="Times New Roman" w:cs="Times New Roman"/>
                <w:sz w:val="24"/>
                <w:szCs w:val="24"/>
              </w:rPr>
              <w:t>Symptom</w:t>
            </w:r>
          </w:p>
        </w:tc>
        <w:tc>
          <w:tcPr>
            <w:tcW w:w="0" w:type="auto"/>
            <w:shd w:val="clear" w:color="auto" w:fill="F2F2F2" w:themeFill="background1" w:themeFillShade="F2"/>
            <w:vAlign w:val="center"/>
            <w:hideMark/>
          </w:tcPr>
          <w:p w14:paraId="125D269C" w14:textId="77777777" w:rsidR="005037B9" w:rsidRPr="00632E03" w:rsidRDefault="005037B9" w:rsidP="00A47B80">
            <w:pPr>
              <w:bidi w:val="0"/>
              <w:jc w:val="center"/>
              <w:rPr>
                <w:rFonts w:ascii="Times New Roman" w:hAnsi="Times New Roman" w:cs="Times New Roman"/>
                <w:b/>
                <w:bCs/>
                <w:sz w:val="24"/>
                <w:szCs w:val="24"/>
              </w:rPr>
            </w:pPr>
            <w:r w:rsidRPr="00632E03">
              <w:rPr>
                <w:rStyle w:val="Strong"/>
                <w:rFonts w:ascii="Times New Roman" w:hAnsi="Times New Roman" w:cs="Times New Roman"/>
                <w:sz w:val="24"/>
                <w:szCs w:val="24"/>
              </w:rPr>
              <w:t>20–39 years</w:t>
            </w:r>
          </w:p>
        </w:tc>
        <w:tc>
          <w:tcPr>
            <w:tcW w:w="0" w:type="auto"/>
            <w:shd w:val="clear" w:color="auto" w:fill="F2F2F2" w:themeFill="background1" w:themeFillShade="F2"/>
            <w:vAlign w:val="center"/>
            <w:hideMark/>
          </w:tcPr>
          <w:p w14:paraId="1A9EDDCE" w14:textId="77777777" w:rsidR="005037B9" w:rsidRPr="00632E03" w:rsidRDefault="005037B9" w:rsidP="00A47B80">
            <w:pPr>
              <w:bidi w:val="0"/>
              <w:jc w:val="center"/>
              <w:rPr>
                <w:rFonts w:ascii="Times New Roman" w:hAnsi="Times New Roman" w:cs="Times New Roman"/>
                <w:b/>
                <w:bCs/>
                <w:sz w:val="24"/>
                <w:szCs w:val="24"/>
              </w:rPr>
            </w:pPr>
            <w:r w:rsidRPr="00632E03">
              <w:rPr>
                <w:rStyle w:val="Strong"/>
                <w:rFonts w:ascii="Times New Roman" w:hAnsi="Times New Roman" w:cs="Times New Roman"/>
                <w:sz w:val="24"/>
                <w:szCs w:val="24"/>
              </w:rPr>
              <w:t>40–59 years</w:t>
            </w:r>
          </w:p>
        </w:tc>
        <w:tc>
          <w:tcPr>
            <w:tcW w:w="0" w:type="auto"/>
            <w:shd w:val="clear" w:color="auto" w:fill="F2F2F2" w:themeFill="background1" w:themeFillShade="F2"/>
            <w:vAlign w:val="center"/>
            <w:hideMark/>
          </w:tcPr>
          <w:p w14:paraId="5BAFE4FA" w14:textId="77777777" w:rsidR="005037B9" w:rsidRPr="00632E03" w:rsidRDefault="005037B9" w:rsidP="00A47B80">
            <w:pPr>
              <w:bidi w:val="0"/>
              <w:jc w:val="center"/>
              <w:rPr>
                <w:rFonts w:ascii="Times New Roman" w:hAnsi="Times New Roman" w:cs="Times New Roman"/>
                <w:b/>
                <w:bCs/>
                <w:sz w:val="24"/>
                <w:szCs w:val="24"/>
              </w:rPr>
            </w:pPr>
            <w:r w:rsidRPr="00632E03">
              <w:rPr>
                <w:rStyle w:val="Strong"/>
                <w:rFonts w:ascii="Times New Roman" w:hAnsi="Times New Roman" w:cs="Times New Roman"/>
                <w:sz w:val="24"/>
                <w:szCs w:val="24"/>
              </w:rPr>
              <w:t>≥60 years</w:t>
            </w:r>
          </w:p>
        </w:tc>
        <w:tc>
          <w:tcPr>
            <w:tcW w:w="0" w:type="auto"/>
            <w:shd w:val="clear" w:color="auto" w:fill="F2F2F2" w:themeFill="background1" w:themeFillShade="F2"/>
            <w:vAlign w:val="center"/>
            <w:hideMark/>
          </w:tcPr>
          <w:p w14:paraId="05F02D0E" w14:textId="77777777" w:rsidR="005037B9" w:rsidRPr="00632E03" w:rsidRDefault="005037B9" w:rsidP="00A47B80">
            <w:pPr>
              <w:bidi w:val="0"/>
              <w:jc w:val="center"/>
              <w:rPr>
                <w:rFonts w:ascii="Times New Roman" w:hAnsi="Times New Roman" w:cs="Times New Roman"/>
                <w:b/>
                <w:bCs/>
                <w:sz w:val="24"/>
                <w:szCs w:val="24"/>
              </w:rPr>
            </w:pPr>
            <w:r w:rsidRPr="00632E03">
              <w:rPr>
                <w:rStyle w:val="Strong"/>
                <w:rFonts w:ascii="Times New Roman" w:hAnsi="Times New Roman" w:cs="Times New Roman"/>
                <w:sz w:val="24"/>
                <w:szCs w:val="24"/>
              </w:rPr>
              <w:t>p-value</w:t>
            </w:r>
          </w:p>
        </w:tc>
      </w:tr>
      <w:tr w:rsidR="005037B9" w:rsidRPr="00632E03" w14:paraId="2E4EFDA8" w14:textId="77777777" w:rsidTr="00A47B80">
        <w:trPr>
          <w:trHeight w:val="509"/>
        </w:trPr>
        <w:tc>
          <w:tcPr>
            <w:tcW w:w="0" w:type="auto"/>
            <w:shd w:val="clear" w:color="auto" w:fill="F2F2F2" w:themeFill="background1" w:themeFillShade="F2"/>
            <w:vAlign w:val="center"/>
            <w:hideMark/>
          </w:tcPr>
          <w:p w14:paraId="30576E52" w14:textId="77777777" w:rsidR="005037B9" w:rsidRPr="00632E03" w:rsidRDefault="00DD4B5C" w:rsidP="00A47B80">
            <w:pPr>
              <w:bidi w:val="0"/>
              <w:jc w:val="center"/>
              <w:rPr>
                <w:rFonts w:ascii="Times New Roman" w:hAnsi="Times New Roman" w:cs="Times New Roman"/>
                <w:sz w:val="24"/>
                <w:szCs w:val="24"/>
              </w:rPr>
            </w:pPr>
            <w:r>
              <w:rPr>
                <w:rStyle w:val="Strong"/>
                <w:rFonts w:ascii="Times New Roman" w:hAnsi="Times New Roman" w:cs="Times New Roman"/>
                <w:sz w:val="24"/>
                <w:szCs w:val="24"/>
              </w:rPr>
              <w:t>Pruritu</w:t>
            </w:r>
            <w:r w:rsidR="005037B9" w:rsidRPr="00632E03">
              <w:rPr>
                <w:rStyle w:val="Strong"/>
                <w:rFonts w:ascii="Times New Roman" w:hAnsi="Times New Roman" w:cs="Times New Roman"/>
                <w:sz w:val="24"/>
                <w:szCs w:val="24"/>
              </w:rPr>
              <w:t>s</w:t>
            </w:r>
          </w:p>
        </w:tc>
        <w:tc>
          <w:tcPr>
            <w:tcW w:w="0" w:type="auto"/>
            <w:vAlign w:val="center"/>
            <w:hideMark/>
          </w:tcPr>
          <w:p w14:paraId="2530119D"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56% (10/18)</w:t>
            </w:r>
          </w:p>
        </w:tc>
        <w:tc>
          <w:tcPr>
            <w:tcW w:w="0" w:type="auto"/>
            <w:vAlign w:val="center"/>
            <w:hideMark/>
          </w:tcPr>
          <w:p w14:paraId="40207500"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67% (30/45)</w:t>
            </w:r>
          </w:p>
        </w:tc>
        <w:tc>
          <w:tcPr>
            <w:tcW w:w="0" w:type="auto"/>
            <w:vAlign w:val="center"/>
            <w:hideMark/>
          </w:tcPr>
          <w:p w14:paraId="383546FC"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73% (27/37)</w:t>
            </w:r>
          </w:p>
        </w:tc>
        <w:tc>
          <w:tcPr>
            <w:tcW w:w="0" w:type="auto"/>
            <w:vAlign w:val="center"/>
            <w:hideMark/>
          </w:tcPr>
          <w:p w14:paraId="6EF0FE0C"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p=0.03</w:t>
            </w:r>
            <w:r w:rsidRPr="00632E03">
              <w:rPr>
                <w:rFonts w:ascii="Times New Roman" w:hAnsi="Times New Roman" w:cs="Times New Roman"/>
                <w:sz w:val="24"/>
                <w:szCs w:val="24"/>
              </w:rPr>
              <w:t>*</w:t>
            </w:r>
          </w:p>
        </w:tc>
      </w:tr>
      <w:tr w:rsidR="005037B9" w:rsidRPr="00632E03" w14:paraId="31D36D37" w14:textId="77777777" w:rsidTr="00A47B80">
        <w:trPr>
          <w:trHeight w:val="482"/>
        </w:trPr>
        <w:tc>
          <w:tcPr>
            <w:tcW w:w="0" w:type="auto"/>
            <w:shd w:val="clear" w:color="auto" w:fill="F2F2F2" w:themeFill="background1" w:themeFillShade="F2"/>
            <w:vAlign w:val="center"/>
            <w:hideMark/>
          </w:tcPr>
          <w:p w14:paraId="2765F411"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Xerosis</w:t>
            </w:r>
          </w:p>
        </w:tc>
        <w:tc>
          <w:tcPr>
            <w:tcW w:w="0" w:type="auto"/>
            <w:vAlign w:val="center"/>
            <w:hideMark/>
          </w:tcPr>
          <w:p w14:paraId="0D510872"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22% (4/18)</w:t>
            </w:r>
          </w:p>
        </w:tc>
        <w:tc>
          <w:tcPr>
            <w:tcW w:w="0" w:type="auto"/>
            <w:vAlign w:val="center"/>
            <w:hideMark/>
          </w:tcPr>
          <w:p w14:paraId="78BDAFD6"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36% (16/45)</w:t>
            </w:r>
          </w:p>
        </w:tc>
        <w:tc>
          <w:tcPr>
            <w:tcW w:w="0" w:type="auto"/>
            <w:vAlign w:val="center"/>
            <w:hideMark/>
          </w:tcPr>
          <w:p w14:paraId="200FAE50"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43% (16/37)</w:t>
            </w:r>
          </w:p>
        </w:tc>
        <w:tc>
          <w:tcPr>
            <w:tcW w:w="0" w:type="auto"/>
            <w:vAlign w:val="center"/>
            <w:hideMark/>
          </w:tcPr>
          <w:p w14:paraId="149EF96C"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p=0.04</w:t>
            </w:r>
            <w:r w:rsidRPr="00632E03">
              <w:rPr>
                <w:rFonts w:ascii="Times New Roman" w:hAnsi="Times New Roman" w:cs="Times New Roman"/>
                <w:sz w:val="24"/>
                <w:szCs w:val="24"/>
              </w:rPr>
              <w:t>*</w:t>
            </w:r>
          </w:p>
        </w:tc>
      </w:tr>
      <w:tr w:rsidR="005037B9" w:rsidRPr="00632E03" w14:paraId="5691A517" w14:textId="77777777" w:rsidTr="00A47B80">
        <w:trPr>
          <w:trHeight w:val="482"/>
        </w:trPr>
        <w:tc>
          <w:tcPr>
            <w:tcW w:w="0" w:type="auto"/>
            <w:shd w:val="clear" w:color="auto" w:fill="F2F2F2" w:themeFill="background1" w:themeFillShade="F2"/>
            <w:vAlign w:val="center"/>
            <w:hideMark/>
          </w:tcPr>
          <w:p w14:paraId="1711ADAD"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Pallor</w:t>
            </w:r>
          </w:p>
        </w:tc>
        <w:tc>
          <w:tcPr>
            <w:tcW w:w="0" w:type="auto"/>
            <w:vAlign w:val="center"/>
            <w:hideMark/>
          </w:tcPr>
          <w:p w14:paraId="1C407F65"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17% (3/18)</w:t>
            </w:r>
          </w:p>
        </w:tc>
        <w:tc>
          <w:tcPr>
            <w:tcW w:w="0" w:type="auto"/>
            <w:vAlign w:val="center"/>
            <w:hideMark/>
          </w:tcPr>
          <w:p w14:paraId="71640C59"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33% (15/45)</w:t>
            </w:r>
          </w:p>
        </w:tc>
        <w:tc>
          <w:tcPr>
            <w:tcW w:w="0" w:type="auto"/>
            <w:vAlign w:val="center"/>
            <w:hideMark/>
          </w:tcPr>
          <w:p w14:paraId="263A9730"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43% (16/37)</w:t>
            </w:r>
          </w:p>
        </w:tc>
        <w:tc>
          <w:tcPr>
            <w:tcW w:w="0" w:type="auto"/>
            <w:vAlign w:val="center"/>
            <w:hideMark/>
          </w:tcPr>
          <w:p w14:paraId="30C6D2CC"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p=0.02</w:t>
            </w:r>
            <w:r w:rsidRPr="00632E03">
              <w:rPr>
                <w:rFonts w:ascii="Times New Roman" w:hAnsi="Times New Roman" w:cs="Times New Roman"/>
                <w:sz w:val="24"/>
                <w:szCs w:val="24"/>
              </w:rPr>
              <w:t>*</w:t>
            </w:r>
          </w:p>
        </w:tc>
      </w:tr>
      <w:tr w:rsidR="005037B9" w:rsidRPr="00632E03" w14:paraId="702BC41C" w14:textId="77777777" w:rsidTr="00A47B80">
        <w:trPr>
          <w:trHeight w:val="482"/>
        </w:trPr>
        <w:tc>
          <w:tcPr>
            <w:tcW w:w="0" w:type="auto"/>
            <w:shd w:val="clear" w:color="auto" w:fill="F2F2F2" w:themeFill="background1" w:themeFillShade="F2"/>
            <w:vAlign w:val="center"/>
            <w:hideMark/>
          </w:tcPr>
          <w:p w14:paraId="2C773A0D"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Hyperpigmentation</w:t>
            </w:r>
          </w:p>
        </w:tc>
        <w:tc>
          <w:tcPr>
            <w:tcW w:w="0" w:type="auto"/>
            <w:vAlign w:val="center"/>
            <w:hideMark/>
          </w:tcPr>
          <w:p w14:paraId="74FABE44"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11% (2/18)</w:t>
            </w:r>
          </w:p>
        </w:tc>
        <w:tc>
          <w:tcPr>
            <w:tcW w:w="0" w:type="auto"/>
            <w:vAlign w:val="center"/>
            <w:hideMark/>
          </w:tcPr>
          <w:p w14:paraId="526223B9"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18% (8/45)</w:t>
            </w:r>
          </w:p>
        </w:tc>
        <w:tc>
          <w:tcPr>
            <w:tcW w:w="0" w:type="auto"/>
            <w:vAlign w:val="center"/>
            <w:hideMark/>
          </w:tcPr>
          <w:p w14:paraId="1A015523"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27% (10/37)</w:t>
            </w:r>
          </w:p>
        </w:tc>
        <w:tc>
          <w:tcPr>
            <w:tcW w:w="0" w:type="auto"/>
            <w:vAlign w:val="center"/>
            <w:hideMark/>
          </w:tcPr>
          <w:p w14:paraId="402BECE4"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p=0.11</w:t>
            </w:r>
          </w:p>
        </w:tc>
      </w:tr>
      <w:tr w:rsidR="005037B9" w:rsidRPr="00632E03" w14:paraId="2735500D" w14:textId="77777777" w:rsidTr="00A47B80">
        <w:trPr>
          <w:trHeight w:val="482"/>
        </w:trPr>
        <w:tc>
          <w:tcPr>
            <w:tcW w:w="0" w:type="auto"/>
            <w:shd w:val="clear" w:color="auto" w:fill="F2F2F2" w:themeFill="background1" w:themeFillShade="F2"/>
            <w:vAlign w:val="center"/>
            <w:hideMark/>
          </w:tcPr>
          <w:p w14:paraId="5A0F6BD8" w14:textId="77777777" w:rsidR="005037B9" w:rsidRPr="00632E03" w:rsidRDefault="005037B9" w:rsidP="00A47B80">
            <w:pPr>
              <w:bidi w:val="0"/>
              <w:jc w:val="center"/>
              <w:rPr>
                <w:rFonts w:ascii="Times New Roman" w:hAnsi="Times New Roman" w:cs="Times New Roman"/>
                <w:sz w:val="24"/>
                <w:szCs w:val="24"/>
              </w:rPr>
            </w:pPr>
            <w:proofErr w:type="spellStart"/>
            <w:r w:rsidRPr="00632E03">
              <w:rPr>
                <w:rStyle w:val="Strong"/>
                <w:rFonts w:ascii="Times New Roman" w:hAnsi="Times New Roman" w:cs="Times New Roman"/>
                <w:sz w:val="24"/>
                <w:szCs w:val="24"/>
              </w:rPr>
              <w:t>Muehrcke’s</w:t>
            </w:r>
            <w:proofErr w:type="spellEnd"/>
            <w:r w:rsidRPr="00632E03">
              <w:rPr>
                <w:rStyle w:val="Strong"/>
                <w:rFonts w:ascii="Times New Roman" w:hAnsi="Times New Roman" w:cs="Times New Roman"/>
                <w:sz w:val="24"/>
                <w:szCs w:val="24"/>
              </w:rPr>
              <w:t xml:space="preserve"> Nails</w:t>
            </w:r>
          </w:p>
        </w:tc>
        <w:tc>
          <w:tcPr>
            <w:tcW w:w="0" w:type="auto"/>
            <w:vAlign w:val="center"/>
            <w:hideMark/>
          </w:tcPr>
          <w:p w14:paraId="1CA9191C"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6% (1/18)</w:t>
            </w:r>
          </w:p>
        </w:tc>
        <w:tc>
          <w:tcPr>
            <w:tcW w:w="0" w:type="auto"/>
            <w:vAlign w:val="center"/>
            <w:hideMark/>
          </w:tcPr>
          <w:p w14:paraId="1E350045"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4% (2/45)</w:t>
            </w:r>
          </w:p>
        </w:tc>
        <w:tc>
          <w:tcPr>
            <w:tcW w:w="0" w:type="auto"/>
            <w:vAlign w:val="center"/>
            <w:hideMark/>
          </w:tcPr>
          <w:p w14:paraId="72581A46"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5% (2/37)</w:t>
            </w:r>
          </w:p>
        </w:tc>
        <w:tc>
          <w:tcPr>
            <w:tcW w:w="0" w:type="auto"/>
            <w:vAlign w:val="center"/>
            <w:hideMark/>
          </w:tcPr>
          <w:p w14:paraId="38F4ED03"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p=0.90</w:t>
            </w:r>
          </w:p>
        </w:tc>
      </w:tr>
      <w:tr w:rsidR="005037B9" w:rsidRPr="00632E03" w14:paraId="1BD62F64" w14:textId="77777777" w:rsidTr="00A47B80">
        <w:trPr>
          <w:trHeight w:val="482"/>
        </w:trPr>
        <w:tc>
          <w:tcPr>
            <w:tcW w:w="0" w:type="auto"/>
            <w:shd w:val="clear" w:color="auto" w:fill="F2F2F2" w:themeFill="background1" w:themeFillShade="F2"/>
            <w:vAlign w:val="center"/>
            <w:hideMark/>
          </w:tcPr>
          <w:p w14:paraId="434CD2E5"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Half &amp; Half Nails</w:t>
            </w:r>
          </w:p>
        </w:tc>
        <w:tc>
          <w:tcPr>
            <w:tcW w:w="0" w:type="auto"/>
            <w:vAlign w:val="center"/>
            <w:hideMark/>
          </w:tcPr>
          <w:p w14:paraId="754382AA"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6% (1/18)</w:t>
            </w:r>
          </w:p>
        </w:tc>
        <w:tc>
          <w:tcPr>
            <w:tcW w:w="0" w:type="auto"/>
            <w:vAlign w:val="center"/>
            <w:hideMark/>
          </w:tcPr>
          <w:p w14:paraId="39F8AE0B"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7% (3/45)</w:t>
            </w:r>
          </w:p>
        </w:tc>
        <w:tc>
          <w:tcPr>
            <w:tcW w:w="0" w:type="auto"/>
            <w:vAlign w:val="center"/>
            <w:hideMark/>
          </w:tcPr>
          <w:p w14:paraId="1439A042"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11% (4/37)</w:t>
            </w:r>
          </w:p>
        </w:tc>
        <w:tc>
          <w:tcPr>
            <w:tcW w:w="0" w:type="auto"/>
            <w:vAlign w:val="center"/>
            <w:hideMark/>
          </w:tcPr>
          <w:p w14:paraId="01C5C9AA"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p=0.62</w:t>
            </w:r>
          </w:p>
        </w:tc>
      </w:tr>
      <w:tr w:rsidR="005037B9" w:rsidRPr="00632E03" w14:paraId="41FC4CD2" w14:textId="77777777" w:rsidTr="00A47B80">
        <w:trPr>
          <w:trHeight w:val="482"/>
        </w:trPr>
        <w:tc>
          <w:tcPr>
            <w:tcW w:w="0" w:type="auto"/>
            <w:shd w:val="clear" w:color="auto" w:fill="F2F2F2" w:themeFill="background1" w:themeFillShade="F2"/>
            <w:vAlign w:val="center"/>
            <w:hideMark/>
          </w:tcPr>
          <w:p w14:paraId="02E4BE64"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Pale Nails</w:t>
            </w:r>
          </w:p>
        </w:tc>
        <w:tc>
          <w:tcPr>
            <w:tcW w:w="0" w:type="auto"/>
            <w:vAlign w:val="center"/>
            <w:hideMark/>
          </w:tcPr>
          <w:p w14:paraId="1C68A925"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17% (3/18)</w:t>
            </w:r>
          </w:p>
        </w:tc>
        <w:tc>
          <w:tcPr>
            <w:tcW w:w="0" w:type="auto"/>
            <w:vAlign w:val="center"/>
            <w:hideMark/>
          </w:tcPr>
          <w:p w14:paraId="762DA75D"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31% (14/45)</w:t>
            </w:r>
          </w:p>
        </w:tc>
        <w:tc>
          <w:tcPr>
            <w:tcW w:w="0" w:type="auto"/>
            <w:vAlign w:val="center"/>
            <w:hideMark/>
          </w:tcPr>
          <w:p w14:paraId="507A9119"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41% (15/37)</w:t>
            </w:r>
          </w:p>
        </w:tc>
        <w:tc>
          <w:tcPr>
            <w:tcW w:w="0" w:type="auto"/>
            <w:vAlign w:val="center"/>
            <w:hideMark/>
          </w:tcPr>
          <w:p w14:paraId="091D3EBB"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p=0.04</w:t>
            </w:r>
            <w:r w:rsidRPr="00632E03">
              <w:rPr>
                <w:rFonts w:ascii="Times New Roman" w:hAnsi="Times New Roman" w:cs="Times New Roman"/>
                <w:sz w:val="24"/>
                <w:szCs w:val="24"/>
              </w:rPr>
              <w:t>*</w:t>
            </w:r>
          </w:p>
        </w:tc>
      </w:tr>
      <w:tr w:rsidR="005037B9" w:rsidRPr="00632E03" w14:paraId="3E09E526" w14:textId="77777777" w:rsidTr="00A47B80">
        <w:trPr>
          <w:trHeight w:val="509"/>
        </w:trPr>
        <w:tc>
          <w:tcPr>
            <w:tcW w:w="0" w:type="auto"/>
            <w:shd w:val="clear" w:color="auto" w:fill="F2F2F2" w:themeFill="background1" w:themeFillShade="F2"/>
            <w:vAlign w:val="center"/>
            <w:hideMark/>
          </w:tcPr>
          <w:p w14:paraId="071BF9AC"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Splinter Hemorrhage</w:t>
            </w:r>
          </w:p>
        </w:tc>
        <w:tc>
          <w:tcPr>
            <w:tcW w:w="0" w:type="auto"/>
            <w:vAlign w:val="center"/>
            <w:hideMark/>
          </w:tcPr>
          <w:p w14:paraId="5745E5BE"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0% (0/18)</w:t>
            </w:r>
          </w:p>
        </w:tc>
        <w:tc>
          <w:tcPr>
            <w:tcW w:w="0" w:type="auto"/>
            <w:vAlign w:val="center"/>
            <w:hideMark/>
          </w:tcPr>
          <w:p w14:paraId="2F8B94F3"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4% (2/45)</w:t>
            </w:r>
          </w:p>
        </w:tc>
        <w:tc>
          <w:tcPr>
            <w:tcW w:w="0" w:type="auto"/>
            <w:vAlign w:val="center"/>
            <w:hideMark/>
          </w:tcPr>
          <w:p w14:paraId="18DDE979"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11% (4/37)</w:t>
            </w:r>
          </w:p>
        </w:tc>
        <w:tc>
          <w:tcPr>
            <w:tcW w:w="0" w:type="auto"/>
            <w:vAlign w:val="center"/>
            <w:hideMark/>
          </w:tcPr>
          <w:p w14:paraId="14528D78" w14:textId="77777777" w:rsidR="005037B9" w:rsidRPr="00632E03"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p=0.10</w:t>
            </w:r>
          </w:p>
        </w:tc>
      </w:tr>
    </w:tbl>
    <w:p w14:paraId="1CA8B142" w14:textId="77777777" w:rsidR="005037B9" w:rsidRDefault="005037B9" w:rsidP="005037B9">
      <w:pPr>
        <w:bidi w:val="0"/>
        <w:spacing w:after="0"/>
        <w:jc w:val="center"/>
        <w:rPr>
          <w:rFonts w:ascii="Times New Roman" w:hAnsi="Times New Roman" w:cs="Times New Roman"/>
          <w:sz w:val="24"/>
          <w:szCs w:val="24"/>
        </w:rPr>
      </w:pPr>
    </w:p>
    <w:p w14:paraId="0EA4EB46" w14:textId="77777777" w:rsidR="005037B9" w:rsidRDefault="005037B9" w:rsidP="005037B9">
      <w:pPr>
        <w:bidi w:val="0"/>
        <w:spacing w:after="0"/>
        <w:jc w:val="center"/>
        <w:rPr>
          <w:rFonts w:ascii="Times New Roman" w:hAnsi="Times New Roman" w:cs="Times New Roman"/>
          <w:sz w:val="24"/>
          <w:szCs w:val="24"/>
        </w:rPr>
      </w:pPr>
    </w:p>
    <w:p w14:paraId="67E29C0B" w14:textId="77777777" w:rsidR="005037B9" w:rsidRDefault="005037B9" w:rsidP="005037B9">
      <w:pPr>
        <w:bidi w:val="0"/>
        <w:spacing w:after="0"/>
        <w:jc w:val="center"/>
        <w:rPr>
          <w:rFonts w:ascii="Times New Roman" w:hAnsi="Times New Roman" w:cs="Times New Roman"/>
          <w:sz w:val="24"/>
          <w:szCs w:val="24"/>
        </w:rPr>
      </w:pPr>
    </w:p>
    <w:p w14:paraId="7B893400" w14:textId="77777777" w:rsidR="005037B9" w:rsidRDefault="005037B9" w:rsidP="005037B9">
      <w:pPr>
        <w:bidi w:val="0"/>
        <w:spacing w:after="0"/>
        <w:jc w:val="center"/>
        <w:rPr>
          <w:rFonts w:ascii="Times New Roman" w:hAnsi="Times New Roman" w:cs="Times New Roman"/>
          <w:sz w:val="24"/>
          <w:szCs w:val="24"/>
        </w:rPr>
      </w:pPr>
    </w:p>
    <w:p w14:paraId="599CD451" w14:textId="77777777" w:rsidR="005037B9" w:rsidRDefault="005037B9" w:rsidP="005037B9">
      <w:pPr>
        <w:bidi w:val="0"/>
        <w:spacing w:after="0"/>
        <w:jc w:val="center"/>
        <w:rPr>
          <w:rFonts w:ascii="Times New Roman" w:hAnsi="Times New Roman" w:cs="Times New Roman"/>
          <w:sz w:val="24"/>
          <w:szCs w:val="24"/>
        </w:rPr>
      </w:pPr>
    </w:p>
    <w:p w14:paraId="708A0C0D" w14:textId="77777777" w:rsidR="005037B9" w:rsidRDefault="005037B9" w:rsidP="005037B9">
      <w:pPr>
        <w:bidi w:val="0"/>
        <w:spacing w:after="0"/>
        <w:jc w:val="center"/>
        <w:rPr>
          <w:rFonts w:ascii="Times New Roman" w:hAnsi="Times New Roman" w:cs="Times New Roman"/>
          <w:sz w:val="24"/>
          <w:szCs w:val="24"/>
        </w:rPr>
      </w:pPr>
    </w:p>
    <w:p w14:paraId="7AFD4CC0" w14:textId="77777777" w:rsidR="005037B9" w:rsidRDefault="005037B9" w:rsidP="005037B9">
      <w:pPr>
        <w:bidi w:val="0"/>
        <w:spacing w:after="0"/>
        <w:jc w:val="center"/>
        <w:rPr>
          <w:rFonts w:ascii="Times New Roman" w:hAnsi="Times New Roman" w:cs="Times New Roman"/>
          <w:sz w:val="24"/>
          <w:szCs w:val="24"/>
        </w:rPr>
      </w:pPr>
    </w:p>
    <w:p w14:paraId="62764FAB" w14:textId="77777777" w:rsidR="005037B9" w:rsidRDefault="005037B9" w:rsidP="005037B9">
      <w:pPr>
        <w:bidi w:val="0"/>
        <w:spacing w:after="0"/>
        <w:jc w:val="center"/>
        <w:rPr>
          <w:rFonts w:ascii="Times New Roman" w:hAnsi="Times New Roman" w:cs="Times New Roman"/>
          <w:sz w:val="24"/>
          <w:szCs w:val="24"/>
        </w:rPr>
      </w:pPr>
    </w:p>
    <w:p w14:paraId="6FDB3EF1" w14:textId="77777777" w:rsidR="005037B9" w:rsidRDefault="005037B9" w:rsidP="005037B9">
      <w:pPr>
        <w:bidi w:val="0"/>
        <w:spacing w:after="0"/>
        <w:jc w:val="center"/>
        <w:rPr>
          <w:rFonts w:ascii="Times New Roman" w:hAnsi="Times New Roman" w:cs="Times New Roman"/>
          <w:sz w:val="24"/>
          <w:szCs w:val="24"/>
        </w:rPr>
      </w:pPr>
    </w:p>
    <w:p w14:paraId="490A8C00" w14:textId="77777777" w:rsidR="005037B9" w:rsidRDefault="005037B9" w:rsidP="005037B9">
      <w:pPr>
        <w:bidi w:val="0"/>
        <w:spacing w:after="0"/>
        <w:jc w:val="center"/>
        <w:rPr>
          <w:rFonts w:ascii="Times New Roman" w:hAnsi="Times New Roman" w:cs="Times New Roman"/>
          <w:sz w:val="24"/>
          <w:szCs w:val="24"/>
        </w:rPr>
      </w:pPr>
    </w:p>
    <w:p w14:paraId="34A9BDEF" w14:textId="77777777" w:rsidR="005037B9" w:rsidRPr="00040FF5" w:rsidRDefault="005037B9" w:rsidP="005037B9">
      <w:pPr>
        <w:pStyle w:val="Heading3"/>
        <w:jc w:val="center"/>
        <w:rPr>
          <w:sz w:val="24"/>
          <w:szCs w:val="24"/>
        </w:rPr>
      </w:pPr>
      <w:r w:rsidRPr="00040FF5">
        <w:rPr>
          <w:rStyle w:val="Strong"/>
          <w:b/>
          <w:bCs/>
          <w:sz w:val="24"/>
          <w:szCs w:val="24"/>
        </w:rPr>
        <w:t>Table</w:t>
      </w:r>
      <w:r>
        <w:rPr>
          <w:rStyle w:val="Strong"/>
          <w:b/>
          <w:bCs/>
          <w:sz w:val="24"/>
          <w:szCs w:val="24"/>
        </w:rPr>
        <w:t xml:space="preserve"> 5</w:t>
      </w:r>
      <w:r w:rsidRPr="00040FF5">
        <w:rPr>
          <w:rStyle w:val="Strong"/>
          <w:b/>
          <w:bCs/>
          <w:sz w:val="24"/>
          <w:szCs w:val="24"/>
        </w:rPr>
        <w:t>: Infections and Rare Manifestations by Age Group</w:t>
      </w:r>
    </w:p>
    <w:tbl>
      <w:tblPr>
        <w:tblStyle w:val="TableGrid"/>
        <w:tblW w:w="7920" w:type="dxa"/>
        <w:jc w:val="center"/>
        <w:tblLook w:val="04A0" w:firstRow="1" w:lastRow="0" w:firstColumn="1" w:lastColumn="0" w:noHBand="0" w:noVBand="1"/>
      </w:tblPr>
      <w:tblGrid>
        <w:gridCol w:w="2410"/>
        <w:gridCol w:w="1515"/>
        <w:gridCol w:w="1515"/>
        <w:gridCol w:w="1387"/>
        <w:gridCol w:w="1093"/>
      </w:tblGrid>
      <w:tr w:rsidR="005037B9" w:rsidRPr="00040FF5" w14:paraId="70E4DB20" w14:textId="77777777" w:rsidTr="00A47B80">
        <w:trPr>
          <w:trHeight w:val="492"/>
          <w:jc w:val="center"/>
        </w:trPr>
        <w:tc>
          <w:tcPr>
            <w:tcW w:w="0" w:type="auto"/>
            <w:shd w:val="clear" w:color="auto" w:fill="F2F2F2" w:themeFill="background1" w:themeFillShade="F2"/>
            <w:vAlign w:val="center"/>
            <w:hideMark/>
          </w:tcPr>
          <w:p w14:paraId="6EE83CCF" w14:textId="77777777" w:rsidR="005037B9" w:rsidRPr="00040FF5" w:rsidRDefault="005037B9" w:rsidP="00A47B80">
            <w:pPr>
              <w:bidi w:val="0"/>
              <w:jc w:val="center"/>
              <w:rPr>
                <w:rFonts w:ascii="Times New Roman" w:hAnsi="Times New Roman" w:cs="Times New Roman"/>
                <w:b/>
                <w:bCs/>
                <w:sz w:val="24"/>
                <w:szCs w:val="24"/>
              </w:rPr>
            </w:pPr>
            <w:r w:rsidRPr="00040FF5">
              <w:rPr>
                <w:rStyle w:val="Strong"/>
                <w:rFonts w:ascii="Times New Roman" w:hAnsi="Times New Roman" w:cs="Times New Roman"/>
                <w:sz w:val="24"/>
                <w:szCs w:val="24"/>
              </w:rPr>
              <w:t>Symptom</w:t>
            </w:r>
          </w:p>
        </w:tc>
        <w:tc>
          <w:tcPr>
            <w:tcW w:w="0" w:type="auto"/>
            <w:shd w:val="clear" w:color="auto" w:fill="F2F2F2" w:themeFill="background1" w:themeFillShade="F2"/>
            <w:vAlign w:val="center"/>
            <w:hideMark/>
          </w:tcPr>
          <w:p w14:paraId="5E71B9DF" w14:textId="77777777" w:rsidR="005037B9" w:rsidRPr="00040FF5" w:rsidRDefault="005037B9" w:rsidP="00A47B80">
            <w:pPr>
              <w:bidi w:val="0"/>
              <w:jc w:val="center"/>
              <w:rPr>
                <w:rFonts w:ascii="Times New Roman" w:hAnsi="Times New Roman" w:cs="Times New Roman"/>
                <w:b/>
                <w:bCs/>
                <w:sz w:val="24"/>
                <w:szCs w:val="24"/>
              </w:rPr>
            </w:pPr>
            <w:r w:rsidRPr="00040FF5">
              <w:rPr>
                <w:rStyle w:val="Strong"/>
                <w:rFonts w:ascii="Times New Roman" w:hAnsi="Times New Roman" w:cs="Times New Roman"/>
                <w:sz w:val="24"/>
                <w:szCs w:val="24"/>
              </w:rPr>
              <w:t>20–39 years</w:t>
            </w:r>
          </w:p>
        </w:tc>
        <w:tc>
          <w:tcPr>
            <w:tcW w:w="0" w:type="auto"/>
            <w:shd w:val="clear" w:color="auto" w:fill="F2F2F2" w:themeFill="background1" w:themeFillShade="F2"/>
            <w:vAlign w:val="center"/>
            <w:hideMark/>
          </w:tcPr>
          <w:p w14:paraId="4BF496C6" w14:textId="77777777" w:rsidR="005037B9" w:rsidRPr="00040FF5" w:rsidRDefault="005037B9" w:rsidP="00A47B80">
            <w:pPr>
              <w:bidi w:val="0"/>
              <w:jc w:val="center"/>
              <w:rPr>
                <w:rFonts w:ascii="Times New Roman" w:hAnsi="Times New Roman" w:cs="Times New Roman"/>
                <w:b/>
                <w:bCs/>
                <w:sz w:val="24"/>
                <w:szCs w:val="24"/>
              </w:rPr>
            </w:pPr>
            <w:r w:rsidRPr="00040FF5">
              <w:rPr>
                <w:rStyle w:val="Strong"/>
                <w:rFonts w:ascii="Times New Roman" w:hAnsi="Times New Roman" w:cs="Times New Roman"/>
                <w:sz w:val="24"/>
                <w:szCs w:val="24"/>
              </w:rPr>
              <w:t>40–59 years</w:t>
            </w:r>
          </w:p>
        </w:tc>
        <w:tc>
          <w:tcPr>
            <w:tcW w:w="0" w:type="auto"/>
            <w:shd w:val="clear" w:color="auto" w:fill="F2F2F2" w:themeFill="background1" w:themeFillShade="F2"/>
            <w:vAlign w:val="center"/>
            <w:hideMark/>
          </w:tcPr>
          <w:p w14:paraId="0148FFF4" w14:textId="77777777" w:rsidR="005037B9" w:rsidRPr="00040FF5" w:rsidRDefault="005037B9" w:rsidP="00A47B80">
            <w:pPr>
              <w:bidi w:val="0"/>
              <w:jc w:val="center"/>
              <w:rPr>
                <w:rFonts w:ascii="Times New Roman" w:hAnsi="Times New Roman" w:cs="Times New Roman"/>
                <w:b/>
                <w:bCs/>
                <w:sz w:val="24"/>
                <w:szCs w:val="24"/>
              </w:rPr>
            </w:pPr>
            <w:r w:rsidRPr="00040FF5">
              <w:rPr>
                <w:rStyle w:val="Strong"/>
                <w:rFonts w:ascii="Times New Roman" w:hAnsi="Times New Roman" w:cs="Times New Roman"/>
                <w:sz w:val="24"/>
                <w:szCs w:val="24"/>
              </w:rPr>
              <w:t>≥60 years</w:t>
            </w:r>
          </w:p>
        </w:tc>
        <w:tc>
          <w:tcPr>
            <w:tcW w:w="0" w:type="auto"/>
            <w:shd w:val="clear" w:color="auto" w:fill="F2F2F2" w:themeFill="background1" w:themeFillShade="F2"/>
            <w:vAlign w:val="center"/>
            <w:hideMark/>
          </w:tcPr>
          <w:p w14:paraId="688FD4D5" w14:textId="77777777" w:rsidR="005037B9" w:rsidRPr="00040FF5" w:rsidRDefault="005037B9" w:rsidP="00A47B80">
            <w:pPr>
              <w:bidi w:val="0"/>
              <w:jc w:val="center"/>
              <w:rPr>
                <w:rFonts w:ascii="Times New Roman" w:hAnsi="Times New Roman" w:cs="Times New Roman"/>
                <w:b/>
                <w:bCs/>
                <w:sz w:val="24"/>
                <w:szCs w:val="24"/>
              </w:rPr>
            </w:pPr>
            <w:r w:rsidRPr="00040FF5">
              <w:rPr>
                <w:rStyle w:val="Strong"/>
                <w:rFonts w:ascii="Times New Roman" w:hAnsi="Times New Roman" w:cs="Times New Roman"/>
                <w:sz w:val="24"/>
                <w:szCs w:val="24"/>
              </w:rPr>
              <w:t>p-value</w:t>
            </w:r>
          </w:p>
        </w:tc>
      </w:tr>
      <w:tr w:rsidR="005037B9" w:rsidRPr="00040FF5" w14:paraId="7A7F3F0D" w14:textId="77777777" w:rsidTr="00A47B80">
        <w:trPr>
          <w:trHeight w:val="492"/>
          <w:jc w:val="center"/>
        </w:trPr>
        <w:tc>
          <w:tcPr>
            <w:tcW w:w="0" w:type="auto"/>
            <w:shd w:val="clear" w:color="auto" w:fill="F2F2F2" w:themeFill="background1" w:themeFillShade="F2"/>
            <w:vAlign w:val="center"/>
            <w:hideMark/>
          </w:tcPr>
          <w:p w14:paraId="16B74793"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Fungal Infection</w:t>
            </w:r>
          </w:p>
        </w:tc>
        <w:tc>
          <w:tcPr>
            <w:tcW w:w="0" w:type="auto"/>
            <w:vAlign w:val="center"/>
            <w:hideMark/>
          </w:tcPr>
          <w:p w14:paraId="10418A14"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3D5AD32B"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4% (2/45)</w:t>
            </w:r>
          </w:p>
        </w:tc>
        <w:tc>
          <w:tcPr>
            <w:tcW w:w="0" w:type="auto"/>
            <w:vAlign w:val="center"/>
            <w:hideMark/>
          </w:tcPr>
          <w:p w14:paraId="6063F169"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14% (5/37)</w:t>
            </w:r>
          </w:p>
        </w:tc>
        <w:tc>
          <w:tcPr>
            <w:tcW w:w="0" w:type="auto"/>
            <w:vAlign w:val="center"/>
            <w:hideMark/>
          </w:tcPr>
          <w:p w14:paraId="75312C59"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p=0.03</w:t>
            </w:r>
            <w:r w:rsidRPr="00040FF5">
              <w:rPr>
                <w:rFonts w:ascii="Times New Roman" w:hAnsi="Times New Roman" w:cs="Times New Roman"/>
                <w:sz w:val="24"/>
                <w:szCs w:val="24"/>
              </w:rPr>
              <w:t>*</w:t>
            </w:r>
          </w:p>
        </w:tc>
      </w:tr>
      <w:tr w:rsidR="005037B9" w:rsidRPr="00040FF5" w14:paraId="73BEA9F1" w14:textId="77777777" w:rsidTr="00A47B80">
        <w:trPr>
          <w:trHeight w:val="492"/>
          <w:jc w:val="center"/>
        </w:trPr>
        <w:tc>
          <w:tcPr>
            <w:tcW w:w="0" w:type="auto"/>
            <w:shd w:val="clear" w:color="auto" w:fill="F2F2F2" w:themeFill="background1" w:themeFillShade="F2"/>
            <w:vAlign w:val="center"/>
            <w:hideMark/>
          </w:tcPr>
          <w:p w14:paraId="7EA2C523"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Bacterial Infection</w:t>
            </w:r>
          </w:p>
        </w:tc>
        <w:tc>
          <w:tcPr>
            <w:tcW w:w="0" w:type="auto"/>
            <w:vAlign w:val="center"/>
            <w:hideMark/>
          </w:tcPr>
          <w:p w14:paraId="4571D3D0"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3AD7B565"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2% (1/45)</w:t>
            </w:r>
          </w:p>
        </w:tc>
        <w:tc>
          <w:tcPr>
            <w:tcW w:w="0" w:type="auto"/>
            <w:vAlign w:val="center"/>
            <w:hideMark/>
          </w:tcPr>
          <w:p w14:paraId="0056AD93"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8% (3/37)</w:t>
            </w:r>
          </w:p>
        </w:tc>
        <w:tc>
          <w:tcPr>
            <w:tcW w:w="0" w:type="auto"/>
            <w:vAlign w:val="center"/>
            <w:hideMark/>
          </w:tcPr>
          <w:p w14:paraId="184D97A1" w14:textId="77777777" w:rsidR="005037B9" w:rsidRPr="00040FF5"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p=0.20</w:t>
            </w:r>
          </w:p>
        </w:tc>
      </w:tr>
      <w:tr w:rsidR="005037B9" w:rsidRPr="00040FF5" w14:paraId="2CC5E386" w14:textId="77777777" w:rsidTr="00A47B80">
        <w:trPr>
          <w:trHeight w:val="492"/>
          <w:jc w:val="center"/>
        </w:trPr>
        <w:tc>
          <w:tcPr>
            <w:tcW w:w="0" w:type="auto"/>
            <w:shd w:val="clear" w:color="auto" w:fill="F2F2F2" w:themeFill="background1" w:themeFillShade="F2"/>
            <w:vAlign w:val="center"/>
            <w:hideMark/>
          </w:tcPr>
          <w:p w14:paraId="748A826F"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Viral Infection</w:t>
            </w:r>
          </w:p>
        </w:tc>
        <w:tc>
          <w:tcPr>
            <w:tcW w:w="0" w:type="auto"/>
            <w:vAlign w:val="center"/>
            <w:hideMark/>
          </w:tcPr>
          <w:p w14:paraId="00BAC05C"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1772296B"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2% (1/45)</w:t>
            </w:r>
          </w:p>
        </w:tc>
        <w:tc>
          <w:tcPr>
            <w:tcW w:w="0" w:type="auto"/>
            <w:vAlign w:val="center"/>
            <w:hideMark/>
          </w:tcPr>
          <w:p w14:paraId="11ABB6DB"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5% (2/37)</w:t>
            </w:r>
          </w:p>
        </w:tc>
        <w:tc>
          <w:tcPr>
            <w:tcW w:w="0" w:type="auto"/>
            <w:vAlign w:val="center"/>
            <w:hideMark/>
          </w:tcPr>
          <w:p w14:paraId="0392AB65" w14:textId="77777777" w:rsidR="005037B9" w:rsidRPr="00040FF5"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p=0.40</w:t>
            </w:r>
          </w:p>
        </w:tc>
      </w:tr>
      <w:tr w:rsidR="005037B9" w:rsidRPr="00040FF5" w14:paraId="6701D0E6" w14:textId="77777777" w:rsidTr="00A47B80">
        <w:trPr>
          <w:trHeight w:val="492"/>
          <w:jc w:val="center"/>
        </w:trPr>
        <w:tc>
          <w:tcPr>
            <w:tcW w:w="0" w:type="auto"/>
            <w:shd w:val="clear" w:color="auto" w:fill="F2F2F2" w:themeFill="background1" w:themeFillShade="F2"/>
            <w:vAlign w:val="center"/>
          </w:tcPr>
          <w:p w14:paraId="3EB652C0" w14:textId="77777777" w:rsidR="005037B9" w:rsidRPr="00632E03" w:rsidRDefault="005037B9" w:rsidP="00A47B80">
            <w:pPr>
              <w:bidi w:val="0"/>
              <w:jc w:val="center"/>
              <w:rPr>
                <w:rFonts w:ascii="Times New Roman" w:hAnsi="Times New Roman" w:cs="Times New Roman"/>
                <w:sz w:val="24"/>
                <w:szCs w:val="24"/>
              </w:rPr>
            </w:pPr>
            <w:r w:rsidRPr="00632E03">
              <w:rPr>
                <w:rStyle w:val="Strong"/>
                <w:rFonts w:ascii="Times New Roman" w:hAnsi="Times New Roman" w:cs="Times New Roman"/>
                <w:sz w:val="24"/>
                <w:szCs w:val="24"/>
              </w:rPr>
              <w:t>Uremic Frost</w:t>
            </w:r>
          </w:p>
        </w:tc>
        <w:tc>
          <w:tcPr>
            <w:tcW w:w="0" w:type="auto"/>
            <w:vAlign w:val="center"/>
          </w:tcPr>
          <w:p w14:paraId="73916162"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0% (0/18)</w:t>
            </w:r>
          </w:p>
        </w:tc>
        <w:tc>
          <w:tcPr>
            <w:tcW w:w="0" w:type="auto"/>
            <w:vAlign w:val="center"/>
          </w:tcPr>
          <w:p w14:paraId="2B51D5A7"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0% (0/45)</w:t>
            </w:r>
          </w:p>
        </w:tc>
        <w:tc>
          <w:tcPr>
            <w:tcW w:w="0" w:type="auto"/>
            <w:vAlign w:val="center"/>
          </w:tcPr>
          <w:p w14:paraId="7D7E349E"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3% (1/37)</w:t>
            </w:r>
          </w:p>
        </w:tc>
        <w:tc>
          <w:tcPr>
            <w:tcW w:w="0" w:type="auto"/>
            <w:vAlign w:val="center"/>
          </w:tcPr>
          <w:p w14:paraId="6DB58024" w14:textId="77777777" w:rsidR="005037B9" w:rsidRPr="00632E03" w:rsidRDefault="005037B9" w:rsidP="00A47B80">
            <w:pPr>
              <w:bidi w:val="0"/>
              <w:jc w:val="center"/>
              <w:rPr>
                <w:rFonts w:ascii="Times New Roman" w:hAnsi="Times New Roman" w:cs="Times New Roman"/>
                <w:sz w:val="24"/>
                <w:szCs w:val="24"/>
              </w:rPr>
            </w:pPr>
            <w:r w:rsidRPr="00632E03">
              <w:rPr>
                <w:rFonts w:ascii="Times New Roman" w:hAnsi="Times New Roman" w:cs="Times New Roman"/>
                <w:sz w:val="24"/>
                <w:szCs w:val="24"/>
              </w:rPr>
              <w:t xml:space="preserve">p=0.50 </w:t>
            </w:r>
          </w:p>
        </w:tc>
      </w:tr>
      <w:tr w:rsidR="005037B9" w:rsidRPr="00040FF5" w14:paraId="460F052C" w14:textId="77777777" w:rsidTr="00A47B80">
        <w:trPr>
          <w:trHeight w:val="492"/>
          <w:jc w:val="center"/>
        </w:trPr>
        <w:tc>
          <w:tcPr>
            <w:tcW w:w="0" w:type="auto"/>
            <w:shd w:val="clear" w:color="auto" w:fill="F2F2F2" w:themeFill="background1" w:themeFillShade="F2"/>
            <w:vAlign w:val="center"/>
            <w:hideMark/>
          </w:tcPr>
          <w:p w14:paraId="4BB7F014" w14:textId="77777777" w:rsidR="005037B9" w:rsidRPr="00040FF5" w:rsidRDefault="005037B9" w:rsidP="00A47B80">
            <w:pPr>
              <w:bidi w:val="0"/>
              <w:jc w:val="center"/>
              <w:rPr>
                <w:rFonts w:ascii="Times New Roman" w:hAnsi="Times New Roman" w:cs="Times New Roman"/>
                <w:sz w:val="24"/>
                <w:szCs w:val="24"/>
              </w:rPr>
            </w:pPr>
            <w:proofErr w:type="spellStart"/>
            <w:r w:rsidRPr="00040FF5">
              <w:rPr>
                <w:rStyle w:val="Strong"/>
                <w:rFonts w:ascii="Times New Roman" w:hAnsi="Times New Roman" w:cs="Times New Roman"/>
                <w:sz w:val="24"/>
                <w:szCs w:val="24"/>
              </w:rPr>
              <w:t>Kyrle</w:t>
            </w:r>
            <w:proofErr w:type="spellEnd"/>
            <w:r w:rsidRPr="00040FF5">
              <w:rPr>
                <w:rStyle w:val="Strong"/>
                <w:rFonts w:ascii="Times New Roman" w:hAnsi="Times New Roman" w:cs="Times New Roman"/>
                <w:sz w:val="24"/>
                <w:szCs w:val="24"/>
              </w:rPr>
              <w:t xml:space="preserve"> Disease</w:t>
            </w:r>
          </w:p>
        </w:tc>
        <w:tc>
          <w:tcPr>
            <w:tcW w:w="0" w:type="auto"/>
            <w:vAlign w:val="center"/>
            <w:hideMark/>
          </w:tcPr>
          <w:p w14:paraId="6A821803"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1BE028BF"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(0/45)</w:t>
            </w:r>
          </w:p>
        </w:tc>
        <w:tc>
          <w:tcPr>
            <w:tcW w:w="0" w:type="auto"/>
            <w:vAlign w:val="center"/>
            <w:hideMark/>
          </w:tcPr>
          <w:p w14:paraId="0187F252"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3% (1/37)</w:t>
            </w:r>
          </w:p>
        </w:tc>
        <w:tc>
          <w:tcPr>
            <w:tcW w:w="0" w:type="auto"/>
            <w:vAlign w:val="center"/>
            <w:hideMark/>
          </w:tcPr>
          <w:p w14:paraId="5767D97A" w14:textId="77777777" w:rsidR="005037B9" w:rsidRPr="00040FF5"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p=0.50</w:t>
            </w:r>
          </w:p>
        </w:tc>
      </w:tr>
      <w:tr w:rsidR="005037B9" w:rsidRPr="00040FF5" w14:paraId="6DADD4F7" w14:textId="77777777" w:rsidTr="00A47B80">
        <w:trPr>
          <w:trHeight w:val="492"/>
          <w:jc w:val="center"/>
        </w:trPr>
        <w:tc>
          <w:tcPr>
            <w:tcW w:w="0" w:type="auto"/>
            <w:shd w:val="clear" w:color="auto" w:fill="F2F2F2" w:themeFill="background1" w:themeFillShade="F2"/>
            <w:vAlign w:val="center"/>
            <w:hideMark/>
          </w:tcPr>
          <w:p w14:paraId="494644D9"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Calcification</w:t>
            </w:r>
          </w:p>
        </w:tc>
        <w:tc>
          <w:tcPr>
            <w:tcW w:w="0" w:type="auto"/>
            <w:vAlign w:val="center"/>
            <w:hideMark/>
          </w:tcPr>
          <w:p w14:paraId="27CC06D6"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592EF697"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2% (1/45)</w:t>
            </w:r>
          </w:p>
        </w:tc>
        <w:tc>
          <w:tcPr>
            <w:tcW w:w="0" w:type="auto"/>
            <w:vAlign w:val="center"/>
            <w:hideMark/>
          </w:tcPr>
          <w:p w14:paraId="79B6D731"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8% (3/37)</w:t>
            </w:r>
          </w:p>
        </w:tc>
        <w:tc>
          <w:tcPr>
            <w:tcW w:w="0" w:type="auto"/>
            <w:vAlign w:val="center"/>
            <w:hideMark/>
          </w:tcPr>
          <w:p w14:paraId="766A78EB" w14:textId="77777777" w:rsidR="005037B9" w:rsidRPr="00040FF5"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p=0.20</w:t>
            </w:r>
          </w:p>
        </w:tc>
      </w:tr>
      <w:tr w:rsidR="005037B9" w:rsidRPr="00040FF5" w14:paraId="02AFE300" w14:textId="77777777" w:rsidTr="00A47B80">
        <w:trPr>
          <w:trHeight w:val="492"/>
          <w:jc w:val="center"/>
        </w:trPr>
        <w:tc>
          <w:tcPr>
            <w:tcW w:w="0" w:type="auto"/>
            <w:shd w:val="clear" w:color="auto" w:fill="F2F2F2" w:themeFill="background1" w:themeFillShade="F2"/>
            <w:vAlign w:val="center"/>
            <w:hideMark/>
          </w:tcPr>
          <w:p w14:paraId="40D002D7"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Bullous Disease</w:t>
            </w:r>
          </w:p>
        </w:tc>
        <w:tc>
          <w:tcPr>
            <w:tcW w:w="0" w:type="auto"/>
            <w:vAlign w:val="center"/>
            <w:hideMark/>
          </w:tcPr>
          <w:p w14:paraId="0709B65E"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1AA5F9D6"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2% (1/45)</w:t>
            </w:r>
          </w:p>
        </w:tc>
        <w:tc>
          <w:tcPr>
            <w:tcW w:w="0" w:type="auto"/>
            <w:vAlign w:val="center"/>
            <w:hideMark/>
          </w:tcPr>
          <w:p w14:paraId="6C6E375E"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3% (1/37)</w:t>
            </w:r>
          </w:p>
        </w:tc>
        <w:tc>
          <w:tcPr>
            <w:tcW w:w="0" w:type="auto"/>
            <w:vAlign w:val="center"/>
            <w:hideMark/>
          </w:tcPr>
          <w:p w14:paraId="5B4F0CEE" w14:textId="77777777" w:rsidR="005037B9" w:rsidRPr="00040FF5"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p=0.80</w:t>
            </w:r>
          </w:p>
        </w:tc>
      </w:tr>
      <w:tr w:rsidR="005037B9" w:rsidRPr="00040FF5" w14:paraId="7CAEB3A5" w14:textId="77777777" w:rsidTr="00A47B80">
        <w:trPr>
          <w:trHeight w:val="520"/>
          <w:jc w:val="center"/>
        </w:trPr>
        <w:tc>
          <w:tcPr>
            <w:tcW w:w="0" w:type="auto"/>
            <w:shd w:val="clear" w:color="auto" w:fill="F2F2F2" w:themeFill="background1" w:themeFillShade="F2"/>
            <w:vAlign w:val="center"/>
            <w:hideMark/>
          </w:tcPr>
          <w:p w14:paraId="30A436FD" w14:textId="77777777" w:rsidR="005037B9" w:rsidRPr="00040FF5" w:rsidRDefault="005037B9" w:rsidP="00A47B80">
            <w:pPr>
              <w:bidi w:val="0"/>
              <w:jc w:val="center"/>
              <w:rPr>
                <w:rFonts w:ascii="Times New Roman" w:hAnsi="Times New Roman" w:cs="Times New Roman"/>
                <w:sz w:val="24"/>
                <w:szCs w:val="24"/>
              </w:rPr>
            </w:pPr>
            <w:r w:rsidRPr="00040FF5">
              <w:rPr>
                <w:rStyle w:val="Strong"/>
                <w:rFonts w:ascii="Times New Roman" w:hAnsi="Times New Roman" w:cs="Times New Roman"/>
                <w:sz w:val="24"/>
                <w:szCs w:val="24"/>
              </w:rPr>
              <w:t>Uremic Neuropathy</w:t>
            </w:r>
          </w:p>
        </w:tc>
        <w:tc>
          <w:tcPr>
            <w:tcW w:w="0" w:type="auto"/>
            <w:vAlign w:val="center"/>
            <w:hideMark/>
          </w:tcPr>
          <w:p w14:paraId="26DE6666"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0% (0/18)</w:t>
            </w:r>
          </w:p>
        </w:tc>
        <w:tc>
          <w:tcPr>
            <w:tcW w:w="0" w:type="auto"/>
            <w:vAlign w:val="center"/>
            <w:hideMark/>
          </w:tcPr>
          <w:p w14:paraId="3D0B2368"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4% (2/45)</w:t>
            </w:r>
          </w:p>
        </w:tc>
        <w:tc>
          <w:tcPr>
            <w:tcW w:w="0" w:type="auto"/>
            <w:vAlign w:val="center"/>
            <w:hideMark/>
          </w:tcPr>
          <w:p w14:paraId="6F5A2A24" w14:textId="77777777" w:rsidR="005037B9" w:rsidRPr="00040FF5" w:rsidRDefault="005037B9" w:rsidP="00A47B80">
            <w:pPr>
              <w:bidi w:val="0"/>
              <w:jc w:val="center"/>
              <w:rPr>
                <w:rFonts w:ascii="Times New Roman" w:hAnsi="Times New Roman" w:cs="Times New Roman"/>
                <w:sz w:val="24"/>
                <w:szCs w:val="24"/>
              </w:rPr>
            </w:pPr>
            <w:r w:rsidRPr="00040FF5">
              <w:rPr>
                <w:rFonts w:ascii="Times New Roman" w:hAnsi="Times New Roman" w:cs="Times New Roman"/>
                <w:sz w:val="24"/>
                <w:szCs w:val="24"/>
              </w:rPr>
              <w:t>8% (3/37)</w:t>
            </w:r>
          </w:p>
        </w:tc>
        <w:tc>
          <w:tcPr>
            <w:tcW w:w="0" w:type="auto"/>
            <w:vAlign w:val="center"/>
            <w:hideMark/>
          </w:tcPr>
          <w:p w14:paraId="710F8D5A" w14:textId="77777777" w:rsidR="005037B9" w:rsidRPr="00040FF5" w:rsidRDefault="005037B9" w:rsidP="00A47B80">
            <w:pPr>
              <w:bidi w:val="0"/>
              <w:jc w:val="center"/>
              <w:rPr>
                <w:rFonts w:ascii="Times New Roman" w:hAnsi="Times New Roman" w:cs="Times New Roman"/>
                <w:sz w:val="24"/>
                <w:szCs w:val="24"/>
              </w:rPr>
            </w:pPr>
            <w:r>
              <w:rPr>
                <w:rFonts w:ascii="Times New Roman" w:hAnsi="Times New Roman" w:cs="Times New Roman"/>
                <w:sz w:val="24"/>
                <w:szCs w:val="24"/>
              </w:rPr>
              <w:t>p=0.30</w:t>
            </w:r>
          </w:p>
        </w:tc>
      </w:tr>
    </w:tbl>
    <w:p w14:paraId="552ECE2E" w14:textId="77777777" w:rsidR="005037B9" w:rsidRPr="00F907D8" w:rsidRDefault="005037B9" w:rsidP="005037B9">
      <w:pPr>
        <w:bidi w:val="0"/>
        <w:spacing w:after="0"/>
        <w:jc w:val="center"/>
        <w:rPr>
          <w:rFonts w:ascii="Times New Roman" w:hAnsi="Times New Roman" w:cs="Times New Roman"/>
          <w:sz w:val="24"/>
          <w:szCs w:val="24"/>
        </w:rPr>
      </w:pPr>
    </w:p>
    <w:p w14:paraId="7FA8A3AF" w14:textId="77777777" w:rsidR="005037B9" w:rsidRDefault="005037B9">
      <w:pPr>
        <w:rPr>
          <w:rtl/>
        </w:rPr>
      </w:pPr>
    </w:p>
    <w:p w14:paraId="039C5CC6" w14:textId="77777777" w:rsidR="00623468" w:rsidRDefault="00623468">
      <w:pPr>
        <w:rPr>
          <w:rtl/>
        </w:rPr>
      </w:pPr>
    </w:p>
    <w:p w14:paraId="209FD67F" w14:textId="77777777" w:rsidR="00623468" w:rsidRDefault="00623468">
      <w:pPr>
        <w:rPr>
          <w:rtl/>
        </w:rPr>
      </w:pPr>
    </w:p>
    <w:p w14:paraId="2EF49350" w14:textId="77777777" w:rsidR="00623468" w:rsidRDefault="00623468">
      <w:pPr>
        <w:rPr>
          <w:rtl/>
        </w:rPr>
      </w:pPr>
    </w:p>
    <w:p w14:paraId="77C44158" w14:textId="77777777" w:rsidR="00623468" w:rsidRDefault="00623468">
      <w:pPr>
        <w:rPr>
          <w:rtl/>
        </w:rPr>
      </w:pPr>
    </w:p>
    <w:p w14:paraId="3F0BD2A4" w14:textId="77777777" w:rsidR="00623468" w:rsidRDefault="00623468">
      <w:pPr>
        <w:rPr>
          <w:rtl/>
        </w:rPr>
      </w:pPr>
    </w:p>
    <w:p w14:paraId="439CB937" w14:textId="77777777" w:rsidR="00623468" w:rsidRDefault="00623468">
      <w:pPr>
        <w:rPr>
          <w:rtl/>
        </w:rPr>
      </w:pPr>
    </w:p>
    <w:p w14:paraId="6E7A5270" w14:textId="77777777" w:rsidR="00623468" w:rsidRDefault="00623468">
      <w:pPr>
        <w:rPr>
          <w:rtl/>
        </w:rPr>
      </w:pPr>
    </w:p>
    <w:p w14:paraId="65B97C42" w14:textId="77777777" w:rsidR="00623468" w:rsidRDefault="00623468">
      <w:pPr>
        <w:rPr>
          <w:rtl/>
        </w:rPr>
      </w:pPr>
    </w:p>
    <w:p w14:paraId="17E0EDA2" w14:textId="77777777" w:rsidR="00623468" w:rsidRDefault="00623468">
      <w:pPr>
        <w:rPr>
          <w:rtl/>
        </w:rPr>
      </w:pPr>
    </w:p>
    <w:p w14:paraId="2B092AC8" w14:textId="77777777" w:rsidR="00623468" w:rsidRDefault="00623468">
      <w:pPr>
        <w:rPr>
          <w:rtl/>
        </w:rPr>
      </w:pPr>
    </w:p>
    <w:p w14:paraId="19BB06B6" w14:textId="77777777" w:rsidR="00623468" w:rsidRDefault="00623468">
      <w:pPr>
        <w:rPr>
          <w:rtl/>
        </w:rPr>
      </w:pPr>
    </w:p>
    <w:p w14:paraId="36FD359B" w14:textId="77777777" w:rsidR="00623468" w:rsidRDefault="00623468">
      <w:pPr>
        <w:rPr>
          <w:rtl/>
        </w:rPr>
      </w:pPr>
    </w:p>
    <w:p w14:paraId="2AFE4BB5" w14:textId="77777777" w:rsidR="00623468" w:rsidRDefault="00623468">
      <w:pPr>
        <w:rPr>
          <w:rtl/>
        </w:rPr>
      </w:pPr>
    </w:p>
    <w:p w14:paraId="78AB34C5" w14:textId="77777777" w:rsidR="00623468" w:rsidRPr="00623468" w:rsidRDefault="00623468" w:rsidP="00623468">
      <w:pPr>
        <w:bidi w:val="0"/>
        <w:spacing w:before="100" w:beforeAutospacing="1" w:after="100" w:afterAutospacing="1" w:line="240" w:lineRule="auto"/>
        <w:rPr>
          <w:rFonts w:ascii="Times New Roman" w:eastAsia="Times New Roman" w:hAnsi="Times New Roman" w:cs="Times New Roman"/>
          <w:sz w:val="24"/>
          <w:szCs w:val="24"/>
        </w:rPr>
      </w:pPr>
      <w:r w:rsidRPr="00623468">
        <w:rPr>
          <w:rFonts w:ascii="Times New Roman" w:eastAsia="Times New Roman" w:hAnsi="Times New Roman" w:cs="Times New Roman"/>
          <w:b/>
          <w:bCs/>
          <w:sz w:val="24"/>
          <w:szCs w:val="24"/>
        </w:rPr>
        <w:t>Discussion</w:t>
      </w:r>
      <w:r w:rsidRPr="00623468">
        <w:rPr>
          <w:rFonts w:ascii="Times New Roman" w:eastAsia="Times New Roman" w:hAnsi="Times New Roman" w:cs="Times New Roman"/>
          <w:sz w:val="24"/>
          <w:szCs w:val="24"/>
        </w:rPr>
        <w:t>: </w:t>
      </w:r>
    </w:p>
    <w:p w14:paraId="5B14577C" w14:textId="77777777" w:rsidR="00623468" w:rsidRP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lastRenderedPageBreak/>
        <w:t>End-stage renal disease (ESRD) presents a myriad of systemic challenges and complications, among which cutaneous manifestations are frequent and, at times, distressing for patients (15).</w:t>
      </w:r>
    </w:p>
    <w:p w14:paraId="366D1BDF" w14:textId="77777777" w:rsidR="00623468" w:rsidRP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 xml:space="preserve">Pruritus is defined as the unpleasant sensation of itching of the skin, either in a specific area or all over the body, producing the urge to scratch (16). Uremic pruritus is the most common skin symptom in patients with chronic kidney disease (CKD), particularly in advanced stages of the disease. Although it is known as </w:t>
      </w:r>
      <w:proofErr w:type="spellStart"/>
      <w:r w:rsidRPr="00623468">
        <w:rPr>
          <w:rFonts w:ascii="Times New Roman" w:eastAsia="Times New Roman" w:hAnsi="Times New Roman" w:cs="Times New Roman"/>
          <w:sz w:val="24"/>
          <w:szCs w:val="24"/>
        </w:rPr>
        <w:t>uraemic</w:t>
      </w:r>
      <w:proofErr w:type="spellEnd"/>
      <w:r w:rsidRPr="00623468">
        <w:rPr>
          <w:rFonts w:ascii="Times New Roman" w:eastAsia="Times New Roman" w:hAnsi="Times New Roman" w:cs="Times New Roman"/>
          <w:sz w:val="24"/>
          <w:szCs w:val="24"/>
        </w:rPr>
        <w:t xml:space="preserve"> pruritus, the fact that there is no known direct cause-effect relationship with </w:t>
      </w:r>
      <w:proofErr w:type="spellStart"/>
      <w:r w:rsidRPr="00623468">
        <w:rPr>
          <w:rFonts w:ascii="Times New Roman" w:eastAsia="Times New Roman" w:hAnsi="Times New Roman" w:cs="Times New Roman"/>
          <w:sz w:val="24"/>
          <w:szCs w:val="24"/>
        </w:rPr>
        <w:t>uraemia</w:t>
      </w:r>
      <w:proofErr w:type="spellEnd"/>
      <w:r w:rsidRPr="00623468">
        <w:rPr>
          <w:rFonts w:ascii="Times New Roman" w:eastAsia="Times New Roman" w:hAnsi="Times New Roman" w:cs="Times New Roman"/>
          <w:sz w:val="24"/>
          <w:szCs w:val="24"/>
        </w:rPr>
        <w:t xml:space="preserve"> (since it does not usually occur in patients who present with episodes of acute kidney injury) means it is more accurately referred to as CKD-associated pruritus (CKD-</w:t>
      </w:r>
      <w:proofErr w:type="spellStart"/>
      <w:r w:rsidRPr="00623468">
        <w:rPr>
          <w:rFonts w:ascii="Times New Roman" w:eastAsia="Times New Roman" w:hAnsi="Times New Roman" w:cs="Times New Roman"/>
          <w:sz w:val="24"/>
          <w:szCs w:val="24"/>
        </w:rPr>
        <w:t>aP</w:t>
      </w:r>
      <w:proofErr w:type="spellEnd"/>
      <w:r w:rsidRPr="00623468">
        <w:rPr>
          <w:rFonts w:ascii="Times New Roman" w:eastAsia="Times New Roman" w:hAnsi="Times New Roman" w:cs="Times New Roman"/>
          <w:sz w:val="24"/>
          <w:szCs w:val="24"/>
        </w:rPr>
        <w:t>), a term that is increasingly employed when discussing this condition (17, 18). In a study conducted by Al-</w:t>
      </w:r>
      <w:proofErr w:type="spellStart"/>
      <w:r w:rsidRPr="00623468">
        <w:rPr>
          <w:rFonts w:ascii="Times New Roman" w:eastAsia="Times New Roman" w:hAnsi="Times New Roman" w:cs="Times New Roman"/>
          <w:sz w:val="24"/>
          <w:szCs w:val="24"/>
        </w:rPr>
        <w:t>Thnaibat</w:t>
      </w:r>
      <w:proofErr w:type="spellEnd"/>
      <w:r w:rsidRPr="00623468">
        <w:rPr>
          <w:rFonts w:ascii="Times New Roman" w:eastAsia="Times New Roman" w:hAnsi="Times New Roman" w:cs="Times New Roman"/>
          <w:sz w:val="24"/>
          <w:szCs w:val="24"/>
        </w:rPr>
        <w:t xml:space="preserve"> MH et al. from Jordan (2025) (19), the incidence of generalized pruritus was highlighted in 36.4% (N = 28, 95% CI: 25.70–48.12%) of the participants. In a study conducted by Pisoni RL et al., pruritus, or itching, has been acknowledged as a profound detriment to the quality of life of CKD and ESRD patients (20). Furthermore, as shown in a study by Deshmukh et al., pruritis ranked first with a prevalence of 65.71% in patients (21). Its pathophysiology is multifaceted, with mechanisms ranging from elevated parathyroid hormone levels to the mere presence of xerosis (22). In our </w:t>
      </w:r>
      <w:proofErr w:type="gramStart"/>
      <w:r w:rsidRPr="00623468">
        <w:rPr>
          <w:rFonts w:ascii="Times New Roman" w:eastAsia="Times New Roman" w:hAnsi="Times New Roman" w:cs="Times New Roman"/>
          <w:sz w:val="24"/>
          <w:szCs w:val="24"/>
        </w:rPr>
        <w:t>study ,</w:t>
      </w:r>
      <w:proofErr w:type="gramEnd"/>
      <w:r w:rsidRPr="00623468">
        <w:rPr>
          <w:rFonts w:ascii="Times New Roman" w:eastAsia="Times New Roman" w:hAnsi="Times New Roman" w:cs="Times New Roman"/>
          <w:sz w:val="24"/>
          <w:szCs w:val="24"/>
        </w:rPr>
        <w:t xml:space="preserve"> 91% of patients were presented with at least one cutaneous manifestation, and according to manifestation categories, pruritus was presented in 67% of our study patients.</w:t>
      </w:r>
    </w:p>
    <w:p w14:paraId="12D2FC1A" w14:textId="77777777" w:rsidR="00623468" w:rsidRP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Also, Al-</w:t>
      </w:r>
      <w:proofErr w:type="spellStart"/>
      <w:r w:rsidRPr="00623468">
        <w:rPr>
          <w:rFonts w:ascii="Times New Roman" w:eastAsia="Times New Roman" w:hAnsi="Times New Roman" w:cs="Times New Roman"/>
          <w:sz w:val="24"/>
          <w:szCs w:val="24"/>
        </w:rPr>
        <w:t>Thnaibat</w:t>
      </w:r>
      <w:proofErr w:type="spellEnd"/>
      <w:r w:rsidRPr="00623468">
        <w:rPr>
          <w:rFonts w:ascii="Times New Roman" w:eastAsia="Times New Roman" w:hAnsi="Times New Roman" w:cs="Times New Roman"/>
          <w:sz w:val="24"/>
          <w:szCs w:val="24"/>
        </w:rPr>
        <w:t xml:space="preserve"> et al. (2025) in their study found that generalized xerosis was observed in 63.6% (N = 49, 95% CI: 51.88–74.30%) of the participants, supporting the findings presented by Udayakumar et al. (19, 23). while in this study xerosis showed a low prevalence as compared to other studies and was observed only in 36% of the cases.  This prevalent cutaneous manifestation among ESRD patients can be explained by the impaired functionality of both sweat and sebaceous glands, coupled with the perpetual dehydration induced by recurrent dialysis treatments (11).</w:t>
      </w:r>
    </w:p>
    <w:p w14:paraId="431E2CDD" w14:textId="77777777" w:rsidR="00623468" w:rsidRP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 xml:space="preserve">Among 105 patients in a study conducted by </w:t>
      </w:r>
      <w:proofErr w:type="spellStart"/>
      <w:r w:rsidRPr="00623468">
        <w:rPr>
          <w:rFonts w:ascii="Times New Roman" w:eastAsia="Times New Roman" w:hAnsi="Times New Roman" w:cs="Times New Roman"/>
          <w:sz w:val="24"/>
          <w:szCs w:val="24"/>
        </w:rPr>
        <w:t>Rashpa</w:t>
      </w:r>
      <w:proofErr w:type="spellEnd"/>
      <w:r w:rsidRPr="00623468">
        <w:rPr>
          <w:rFonts w:ascii="Times New Roman" w:eastAsia="Times New Roman" w:hAnsi="Times New Roman" w:cs="Times New Roman"/>
          <w:sz w:val="24"/>
          <w:szCs w:val="24"/>
        </w:rPr>
        <w:t xml:space="preserve"> RS et al. (2018), it was found that xerosis was seen in 93 (76.2%), skin pallor in 61 (50%), pruritus in 57 (46.7%), pigmentation in 47 (38.5%), and purpura in 18 (14.8%) patients; these were the major dermatoses (24).</w:t>
      </w:r>
    </w:p>
    <w:p w14:paraId="77ABF5B2" w14:textId="77777777" w:rsid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623468">
        <w:rPr>
          <w:rFonts w:ascii="Times New Roman" w:eastAsia="Times New Roman" w:hAnsi="Times New Roman" w:cs="Times New Roman"/>
          <w:sz w:val="24"/>
          <w:szCs w:val="24"/>
        </w:rPr>
        <w:t>Tameezuddin</w:t>
      </w:r>
      <w:proofErr w:type="spellEnd"/>
      <w:r w:rsidRPr="00623468">
        <w:rPr>
          <w:rFonts w:ascii="Times New Roman" w:eastAsia="Times New Roman" w:hAnsi="Times New Roman" w:cs="Times New Roman"/>
          <w:sz w:val="24"/>
          <w:szCs w:val="24"/>
        </w:rPr>
        <w:t xml:space="preserve"> A, et al. (2023) in his study found that Xerosis and pruritus were most commonly reported (83.7%), followed by nail changes (18.6%) and skin discoloration (7). The median duration of dialysis was 36 (1-180) months, and there was no significant increase in skin symptoms with the increase in the duration of dialysis (p=0.082) (7).</w:t>
      </w:r>
    </w:p>
    <w:p w14:paraId="1AFD9E95" w14:textId="77777777" w:rsidR="00623468" w:rsidRPr="00623468" w:rsidRDefault="00623468" w:rsidP="00623468">
      <w:pPr>
        <w:bidi w:val="0"/>
        <w:spacing w:before="100" w:beforeAutospacing="1" w:after="100" w:afterAutospacing="1" w:line="240" w:lineRule="auto"/>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In our study, males were presented in 54% of patients, and nail changes were seen in 45%, xerosis in 36%, pallor in 34%, pale nails in 32%, hyperpigmentation in 20%, and infections in 14% of study patients.</w:t>
      </w:r>
    </w:p>
    <w:p w14:paraId="0EB989C8" w14:textId="77777777" w:rsidR="00623468" w:rsidRPr="00623468" w:rsidRDefault="00623468" w:rsidP="00CE4055">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 xml:space="preserve">Xerosis and pruritus were most commonly reported (83.7%), followed by nail changes (18.6%) and skin discoloration (16.3%) </w:t>
      </w:r>
      <w:r w:rsidRPr="00CE4055">
        <w:rPr>
          <w:rFonts w:ascii="Times New Roman" w:eastAsia="Times New Roman" w:hAnsi="Times New Roman" w:cs="Times New Roman"/>
          <w:sz w:val="24"/>
          <w:szCs w:val="24"/>
        </w:rPr>
        <w:t>(7).</w:t>
      </w:r>
      <w:r w:rsidRPr="00623468">
        <w:rPr>
          <w:rFonts w:ascii="Times New Roman" w:eastAsia="Times New Roman" w:hAnsi="Times New Roman" w:cs="Times New Roman"/>
          <w:sz w:val="24"/>
          <w:szCs w:val="24"/>
        </w:rPr>
        <w:t xml:space="preserve"> The median duration of dialysis was 36 (1-180) months, and there was no significant increase in skin symptoms with the increase in the duration of dialysis (p=0.082) (7).</w:t>
      </w:r>
    </w:p>
    <w:p w14:paraId="7EE7745A" w14:textId="77777777" w:rsidR="00623468" w:rsidRP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lastRenderedPageBreak/>
        <w:t xml:space="preserve">Deshmukh SP et al. (2013) (19) observed </w:t>
      </w:r>
      <w:proofErr w:type="spellStart"/>
      <w:r w:rsidRPr="00623468">
        <w:rPr>
          <w:rFonts w:ascii="Times New Roman" w:eastAsia="Times New Roman" w:hAnsi="Times New Roman" w:cs="Times New Roman"/>
          <w:sz w:val="24"/>
          <w:szCs w:val="24"/>
        </w:rPr>
        <w:t>thatthe</w:t>
      </w:r>
      <w:proofErr w:type="spellEnd"/>
      <w:r w:rsidRPr="00623468">
        <w:rPr>
          <w:rFonts w:ascii="Times New Roman" w:eastAsia="Times New Roman" w:hAnsi="Times New Roman" w:cs="Times New Roman"/>
          <w:sz w:val="24"/>
          <w:szCs w:val="24"/>
        </w:rPr>
        <w:t xml:space="preserve"> overall prevalence of the dyspigmentation described in CRF patients was 31.42% in our study. Udayakumar et al. (23) reported this prevalence as 43% in their study. Diffuse hyperpigmentation happens due to increased levels of β-melanocyte-stimulating hormone as a result of its inadequate excretion through the kidney and dialysis (21). The present study showed pigmentation was seen in 20% of the patients.</w:t>
      </w:r>
    </w:p>
    <w:p w14:paraId="10679177" w14:textId="77777777" w:rsidR="00623468" w:rsidRP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 xml:space="preserve">Also, Deshmukh SP (2013) reported that nail changes were seen in 21 (60%) of our patients. The more common findings were Beau's lines seen in six (28.57%) patients and subungual hyperkeratosis in five (23.8%) patients. Half-and-half nails and </w:t>
      </w:r>
      <w:proofErr w:type="spellStart"/>
      <w:r w:rsidRPr="00623468">
        <w:rPr>
          <w:rFonts w:ascii="Times New Roman" w:eastAsia="Times New Roman" w:hAnsi="Times New Roman" w:cs="Times New Roman"/>
          <w:sz w:val="24"/>
          <w:szCs w:val="24"/>
        </w:rPr>
        <w:t>platynychia</w:t>
      </w:r>
      <w:proofErr w:type="spellEnd"/>
      <w:r w:rsidRPr="00623468">
        <w:rPr>
          <w:rFonts w:ascii="Times New Roman" w:eastAsia="Times New Roman" w:hAnsi="Times New Roman" w:cs="Times New Roman"/>
          <w:sz w:val="24"/>
          <w:szCs w:val="24"/>
        </w:rPr>
        <w:t xml:space="preserve"> were seen in four (19.04%) patients each. Dyachenko et al. (8), in their exclusive study of nail changes in patients with CRF, found half-and-half nails (16.9%) as the most common finding, followed by absent </w:t>
      </w:r>
      <w:proofErr w:type="spellStart"/>
      <w:r w:rsidRPr="00623468">
        <w:rPr>
          <w:rFonts w:ascii="Times New Roman" w:eastAsia="Times New Roman" w:hAnsi="Times New Roman" w:cs="Times New Roman"/>
          <w:sz w:val="24"/>
          <w:szCs w:val="24"/>
        </w:rPr>
        <w:t>lunulae</w:t>
      </w:r>
      <w:proofErr w:type="spellEnd"/>
      <w:r w:rsidRPr="00623468">
        <w:rPr>
          <w:rFonts w:ascii="Times New Roman" w:eastAsia="Times New Roman" w:hAnsi="Times New Roman" w:cs="Times New Roman"/>
          <w:sz w:val="24"/>
          <w:szCs w:val="24"/>
        </w:rPr>
        <w:t xml:space="preserve"> (13%) and onychomycosis (10.4%). Major nail abnormalities were reported by </w:t>
      </w:r>
      <w:proofErr w:type="spellStart"/>
      <w:r w:rsidRPr="00623468">
        <w:rPr>
          <w:rFonts w:ascii="Times New Roman" w:eastAsia="Times New Roman" w:hAnsi="Times New Roman" w:cs="Times New Roman"/>
          <w:sz w:val="24"/>
          <w:szCs w:val="24"/>
        </w:rPr>
        <w:t>Rashpa</w:t>
      </w:r>
      <w:proofErr w:type="spellEnd"/>
      <w:r w:rsidRPr="00623468">
        <w:rPr>
          <w:rFonts w:ascii="Times New Roman" w:eastAsia="Times New Roman" w:hAnsi="Times New Roman" w:cs="Times New Roman"/>
          <w:sz w:val="24"/>
          <w:szCs w:val="24"/>
        </w:rPr>
        <w:t xml:space="preserve"> RS et al. (2018) as pallor (in 35.2%), absent lunula (in 23.8%), nail discoloration (in 18%), and "half-and-half nails" in 16.4% of patients, respectively (24).  </w:t>
      </w:r>
    </w:p>
    <w:p w14:paraId="704443F1" w14:textId="77777777" w:rsidR="00840150" w:rsidRPr="00840150" w:rsidRDefault="00840150" w:rsidP="00840150">
      <w:pPr>
        <w:bidi w:val="0"/>
        <w:spacing w:before="100" w:beforeAutospacing="1" w:after="100" w:afterAutospacing="1" w:line="240" w:lineRule="auto"/>
        <w:jc w:val="both"/>
        <w:rPr>
          <w:rFonts w:ascii="Times New Roman" w:eastAsia="Times New Roman" w:hAnsi="Times New Roman" w:cs="Times New Roman"/>
          <w:sz w:val="24"/>
          <w:szCs w:val="24"/>
        </w:rPr>
      </w:pPr>
      <w:r w:rsidRPr="00840150">
        <w:rPr>
          <w:rFonts w:ascii="Times New Roman" w:eastAsia="Times New Roman" w:hAnsi="Times New Roman" w:cs="Times New Roman"/>
          <w:sz w:val="24"/>
          <w:szCs w:val="24"/>
        </w:rPr>
        <w:t xml:space="preserve">In our study, nail changes were observed in 45% of cases, including pale nails, </w:t>
      </w:r>
      <w:proofErr w:type="spellStart"/>
      <w:r w:rsidRPr="00840150">
        <w:rPr>
          <w:rFonts w:ascii="Times New Roman" w:eastAsia="Times New Roman" w:hAnsi="Times New Roman" w:cs="Times New Roman"/>
          <w:sz w:val="24"/>
          <w:szCs w:val="24"/>
        </w:rPr>
        <w:t>Muehrcke’s</w:t>
      </w:r>
      <w:proofErr w:type="spellEnd"/>
      <w:r w:rsidRPr="00840150">
        <w:rPr>
          <w:rFonts w:ascii="Times New Roman" w:eastAsia="Times New Roman" w:hAnsi="Times New Roman" w:cs="Times New Roman"/>
          <w:sz w:val="24"/>
          <w:szCs w:val="24"/>
        </w:rPr>
        <w:t xml:space="preserve"> nails, and half-and-half nails. In the Deshmukh SP (2013) study, cutaneous infections were identified in 12 (34.2%) patients, with eight cases of dermatophytosis (seven with tinea cruris and one with tinea </w:t>
      </w:r>
      <w:proofErr w:type="spellStart"/>
      <w:r w:rsidRPr="00840150">
        <w:rPr>
          <w:rFonts w:ascii="Times New Roman" w:eastAsia="Times New Roman" w:hAnsi="Times New Roman" w:cs="Times New Roman"/>
          <w:sz w:val="24"/>
          <w:szCs w:val="24"/>
        </w:rPr>
        <w:t>faciei</w:t>
      </w:r>
      <w:proofErr w:type="spellEnd"/>
      <w:r w:rsidRPr="00840150">
        <w:rPr>
          <w:rFonts w:ascii="Times New Roman" w:eastAsia="Times New Roman" w:hAnsi="Times New Roman" w:cs="Times New Roman"/>
          <w:sz w:val="24"/>
          <w:szCs w:val="24"/>
        </w:rPr>
        <w:t>). Additionally, two patients had scabies, while herpes zoster and pyoderma were each reported in one case (21). The prevalence of cutaneous infections in an Indian study (23) and an Egyptian study (25) was 55% and 40%, respectively. These infections were exclusively fungal and were predominantly observed in older adults (14% in individuals aged ≥60 vs. 0% in those aged 20–39, p=0.03).</w:t>
      </w:r>
    </w:p>
    <w:p w14:paraId="05EF59DC" w14:textId="77777777" w:rsidR="00623468" w:rsidRPr="00623468" w:rsidRDefault="00623468" w:rsidP="00CE4055">
      <w:pPr>
        <w:bidi w:val="0"/>
        <w:spacing w:before="100" w:beforeAutospacing="1" w:after="100" w:afterAutospacing="1" w:line="240" w:lineRule="auto"/>
        <w:jc w:val="both"/>
        <w:rPr>
          <w:rFonts w:ascii="Times New Roman" w:eastAsia="Times New Roman" w:hAnsi="Times New Roman" w:cs="Times New Roman"/>
          <w:sz w:val="24"/>
          <w:szCs w:val="24"/>
        </w:rPr>
      </w:pPr>
      <w:r w:rsidRPr="00CE4055">
        <w:rPr>
          <w:rFonts w:ascii="Times New Roman" w:eastAsia="Times New Roman" w:hAnsi="Times New Roman" w:cs="Times New Roman"/>
          <w:sz w:val="24"/>
          <w:szCs w:val="24"/>
        </w:rPr>
        <w:t>Udayakumar et al. (23)</w:t>
      </w:r>
      <w:r w:rsidRPr="00623468">
        <w:rPr>
          <w:rFonts w:ascii="Times New Roman" w:eastAsia="Times New Roman" w:hAnsi="Times New Roman" w:cs="Times New Roman"/>
          <w:sz w:val="24"/>
          <w:szCs w:val="24"/>
        </w:rPr>
        <w:t xml:space="preserve"> and Sultan et al. (25) reported the prevalence of APD in their studies as 21% and 10%, respectively. One case of </w:t>
      </w:r>
      <w:proofErr w:type="spellStart"/>
      <w:r w:rsidRPr="00623468">
        <w:rPr>
          <w:rFonts w:ascii="Times New Roman" w:eastAsia="Times New Roman" w:hAnsi="Times New Roman" w:cs="Times New Roman"/>
          <w:sz w:val="24"/>
          <w:szCs w:val="24"/>
        </w:rPr>
        <w:t>Kyrle</w:t>
      </w:r>
      <w:proofErr w:type="spellEnd"/>
      <w:r w:rsidRPr="00623468">
        <w:rPr>
          <w:rFonts w:ascii="Times New Roman" w:eastAsia="Times New Roman" w:hAnsi="Times New Roman" w:cs="Times New Roman"/>
          <w:sz w:val="24"/>
          <w:szCs w:val="24"/>
        </w:rPr>
        <w:t xml:space="preserve"> disease and another case of uremic frost were reported in this study, and both patients were diabetics.</w:t>
      </w:r>
    </w:p>
    <w:p w14:paraId="4A56F036" w14:textId="77777777" w:rsidR="00623468" w:rsidRPr="00623468" w:rsidRDefault="00623468" w:rsidP="00CE4055">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 xml:space="preserve">Various other dermatoses like calcinosis cutis, bullous dermatoses of hemodialysis, drug reactions, arteriovenous shunt dermatitis, and nephrogenic fibrosing dermopathy have been frequently reported in other studies </w:t>
      </w:r>
      <w:r w:rsidRPr="00CE4055">
        <w:rPr>
          <w:rFonts w:ascii="Times New Roman" w:eastAsia="Times New Roman" w:hAnsi="Times New Roman" w:cs="Times New Roman"/>
          <w:sz w:val="24"/>
          <w:szCs w:val="24"/>
        </w:rPr>
        <w:t>(26, 27, 28).</w:t>
      </w:r>
      <w:r w:rsidRPr="00623468">
        <w:rPr>
          <w:rFonts w:ascii="Times New Roman" w:eastAsia="Times New Roman" w:hAnsi="Times New Roman" w:cs="Times New Roman"/>
          <w:sz w:val="24"/>
          <w:szCs w:val="24"/>
        </w:rPr>
        <w:t xml:space="preserve"> Absence of the above findings in the Deshmukh SP (2013) study could be due to its small sample size (21). In this study, rare manifestations included uremic nephropathy (5%) and calcification (4%).</w:t>
      </w:r>
    </w:p>
    <w:p w14:paraId="044A36AA" w14:textId="77777777" w:rsidR="00623468" w:rsidRDefault="00623468" w:rsidP="00623468">
      <w:pPr>
        <w:bidi w:val="0"/>
        <w:spacing w:before="100" w:beforeAutospacing="1" w:after="100" w:afterAutospacing="1" w:line="240" w:lineRule="auto"/>
        <w:jc w:val="both"/>
        <w:rPr>
          <w:rFonts w:ascii="Times New Roman" w:eastAsia="Times New Roman" w:hAnsi="Times New Roman" w:cs="Times New Roman"/>
          <w:sz w:val="24"/>
          <w:szCs w:val="24"/>
        </w:rPr>
      </w:pPr>
      <w:r w:rsidRPr="00623468">
        <w:rPr>
          <w:rFonts w:ascii="Times New Roman" w:eastAsia="Times New Roman" w:hAnsi="Times New Roman" w:cs="Times New Roman"/>
          <w:sz w:val="24"/>
          <w:szCs w:val="24"/>
        </w:rPr>
        <w:t xml:space="preserve">Our study showed that skin symptoms, including pruritis, xerosis, and pallor, increase significantly with age (p&lt;0.05); pallor rises from 17% (20–39) to 43% (≥60). Infections: Rare manifestations like uremic frost, </w:t>
      </w:r>
      <w:proofErr w:type="spellStart"/>
      <w:r w:rsidRPr="00623468">
        <w:rPr>
          <w:rFonts w:ascii="Times New Roman" w:eastAsia="Times New Roman" w:hAnsi="Times New Roman" w:cs="Times New Roman"/>
          <w:sz w:val="24"/>
          <w:szCs w:val="24"/>
        </w:rPr>
        <w:t>Kyrle</w:t>
      </w:r>
      <w:proofErr w:type="spellEnd"/>
      <w:r w:rsidRPr="00623468">
        <w:rPr>
          <w:rFonts w:ascii="Times New Roman" w:eastAsia="Times New Roman" w:hAnsi="Times New Roman" w:cs="Times New Roman"/>
          <w:sz w:val="24"/>
          <w:szCs w:val="24"/>
        </w:rPr>
        <w:t xml:space="preserve"> disease, and calcification occur only in ≥60 years (3–8%).</w:t>
      </w:r>
    </w:p>
    <w:p w14:paraId="2E1FD294" w14:textId="77777777" w:rsidR="0093622C" w:rsidRDefault="0093622C" w:rsidP="00623468">
      <w:pPr>
        <w:bidi w:val="0"/>
        <w:spacing w:before="100" w:beforeAutospacing="1" w:after="100" w:afterAutospacing="1" w:line="240" w:lineRule="auto"/>
        <w:jc w:val="both"/>
        <w:rPr>
          <w:rFonts w:ascii="Times New Roman" w:eastAsia="Times New Roman" w:hAnsi="Times New Roman" w:cs="Times New Roman"/>
          <w:sz w:val="24"/>
          <w:szCs w:val="24"/>
        </w:rPr>
      </w:pPr>
    </w:p>
    <w:p w14:paraId="15DE41CC" w14:textId="77777777" w:rsidR="0093622C" w:rsidRDefault="0093622C" w:rsidP="00623468">
      <w:pPr>
        <w:bidi w:val="0"/>
        <w:spacing w:before="100" w:beforeAutospacing="1" w:after="100" w:afterAutospacing="1" w:line="240" w:lineRule="auto"/>
        <w:jc w:val="both"/>
        <w:rPr>
          <w:rFonts w:ascii="Times New Roman" w:eastAsia="Times New Roman" w:hAnsi="Times New Roman" w:cs="Times New Roman"/>
          <w:sz w:val="24"/>
          <w:szCs w:val="24"/>
        </w:rPr>
      </w:pPr>
    </w:p>
    <w:p w14:paraId="0A8EF446" w14:textId="77777777" w:rsidR="0093622C" w:rsidRDefault="0093622C" w:rsidP="00A617C1">
      <w:pPr>
        <w:pStyle w:val="NormalWeb"/>
        <w:shd w:val="clear" w:color="auto" w:fill="FFFFFF"/>
        <w:jc w:val="both"/>
        <w:rPr>
          <w:color w:val="222222"/>
        </w:rPr>
      </w:pPr>
      <w:r>
        <w:rPr>
          <w:b/>
          <w:bCs/>
          <w:color w:val="222222"/>
          <w:shd w:val="clear" w:color="auto" w:fill="FFFFFF"/>
        </w:rPr>
        <w:t xml:space="preserve">Ethical approval: </w:t>
      </w:r>
      <w:r w:rsidR="00A617C1" w:rsidRPr="00A617C1">
        <w:rPr>
          <w:color w:val="222222"/>
          <w:shd w:val="clear" w:color="auto" w:fill="FFFFFF"/>
        </w:rPr>
        <w:t>Ethical approval: The authors declare that they have taken the local ethical committee approval.</w:t>
      </w:r>
    </w:p>
    <w:p w14:paraId="293DC7A5" w14:textId="77777777" w:rsidR="0093622C" w:rsidRDefault="0093622C" w:rsidP="0093622C">
      <w:pPr>
        <w:pStyle w:val="NormalWeb"/>
        <w:shd w:val="clear" w:color="auto" w:fill="FFFFFF"/>
        <w:jc w:val="both"/>
        <w:rPr>
          <w:color w:val="222222"/>
        </w:rPr>
      </w:pPr>
      <w:r>
        <w:rPr>
          <w:b/>
          <w:bCs/>
          <w:color w:val="222222"/>
          <w:shd w:val="clear" w:color="auto" w:fill="FFFFFF"/>
        </w:rPr>
        <w:lastRenderedPageBreak/>
        <w:t xml:space="preserve">Declaration of patient consent: </w:t>
      </w:r>
      <w:r>
        <w:rPr>
          <w:color w:val="222222"/>
          <w:shd w:val="clear" w:color="auto" w:fill="FFFFFF"/>
        </w:rPr>
        <w:t>The authors certify that they have obtained all appropriate patient consent.</w:t>
      </w:r>
    </w:p>
    <w:p w14:paraId="4220D0D8" w14:textId="77777777" w:rsidR="0093622C" w:rsidRDefault="0093622C" w:rsidP="0093622C">
      <w:pPr>
        <w:pStyle w:val="NormalWeb"/>
        <w:shd w:val="clear" w:color="auto" w:fill="FFFFFF"/>
        <w:rPr>
          <w:color w:val="222222"/>
        </w:rPr>
      </w:pPr>
      <w:r>
        <w:rPr>
          <w:b/>
          <w:bCs/>
          <w:color w:val="222222"/>
          <w:shd w:val="clear" w:color="auto" w:fill="FFFFFF"/>
        </w:rPr>
        <w:t xml:space="preserve">Conflicts of interest: </w:t>
      </w:r>
      <w:r>
        <w:rPr>
          <w:color w:val="222222"/>
          <w:shd w:val="clear" w:color="auto" w:fill="FFFFFF"/>
        </w:rPr>
        <w:t>There are no conflicts of interest.</w:t>
      </w:r>
    </w:p>
    <w:p w14:paraId="7FF8C861" w14:textId="77777777" w:rsidR="0093622C" w:rsidRDefault="0093622C" w:rsidP="0093622C">
      <w:pPr>
        <w:pStyle w:val="NormalWeb"/>
        <w:shd w:val="clear" w:color="auto" w:fill="FFFFFF"/>
        <w:jc w:val="both"/>
        <w:rPr>
          <w:rFonts w:eastAsia="-webkit-standard"/>
        </w:rPr>
      </w:pPr>
      <w:r>
        <w:rPr>
          <w:b/>
          <w:bCs/>
          <w:color w:val="222222"/>
          <w:shd w:val="clear" w:color="auto" w:fill="FFFFFF"/>
        </w:rPr>
        <w:t xml:space="preserve">Use of artificial intelligence (AI): </w:t>
      </w:r>
      <w:r>
        <w:rPr>
          <w:color w:val="222222"/>
          <w:shd w:val="clear" w:color="auto" w:fill="FFFFFF"/>
        </w:rPr>
        <w:t>The authors confirm that there was no use of artificial intelligence (AI)-assisted technology in the manuscript</w:t>
      </w:r>
      <w:r w:rsidR="00CE4055">
        <w:rPr>
          <w:color w:val="222222"/>
          <w:shd w:val="clear" w:color="auto" w:fill="FFFFFF"/>
        </w:rPr>
        <w:t xml:space="preserve"> preparation</w:t>
      </w:r>
      <w:r>
        <w:rPr>
          <w:color w:val="222222"/>
          <w:shd w:val="clear" w:color="auto" w:fill="FFFFFF"/>
        </w:rPr>
        <w:t>.</w:t>
      </w:r>
    </w:p>
    <w:p w14:paraId="062C303F" w14:textId="77777777" w:rsidR="0093622C" w:rsidRPr="00623468" w:rsidRDefault="0093622C" w:rsidP="00623468">
      <w:pPr>
        <w:bidi w:val="0"/>
        <w:spacing w:before="100" w:beforeAutospacing="1" w:after="100" w:afterAutospacing="1" w:line="240" w:lineRule="auto"/>
        <w:jc w:val="both"/>
        <w:rPr>
          <w:rFonts w:ascii="Times New Roman" w:eastAsia="Times New Roman" w:hAnsi="Times New Roman" w:cs="Times New Roman"/>
          <w:sz w:val="24"/>
          <w:szCs w:val="24"/>
        </w:rPr>
      </w:pPr>
    </w:p>
    <w:p w14:paraId="68438FDD" w14:textId="77777777" w:rsidR="00623468" w:rsidRDefault="00623468" w:rsidP="00623468">
      <w:pPr>
        <w:bidi w:val="0"/>
        <w:spacing w:before="100" w:beforeAutospacing="1" w:after="100" w:afterAutospacing="1" w:line="240" w:lineRule="auto"/>
        <w:jc w:val="both"/>
      </w:pPr>
    </w:p>
    <w:p w14:paraId="02F30D38" w14:textId="77777777" w:rsidR="00481254" w:rsidRDefault="00481254" w:rsidP="00481254">
      <w:pPr>
        <w:bidi w:val="0"/>
        <w:spacing w:before="100" w:beforeAutospacing="1" w:after="100" w:afterAutospacing="1" w:line="240" w:lineRule="auto"/>
        <w:jc w:val="both"/>
      </w:pPr>
    </w:p>
    <w:p w14:paraId="414EE174" w14:textId="77777777" w:rsidR="00A617C1" w:rsidRPr="00A617C1" w:rsidRDefault="00A617C1" w:rsidP="00A617C1">
      <w:pPr>
        <w:bidi w:val="0"/>
        <w:spacing w:before="100" w:beforeAutospacing="1" w:after="100" w:afterAutospacing="1" w:line="240" w:lineRule="auto"/>
        <w:rPr>
          <w:rFonts w:ascii="Times New Roman" w:eastAsia="Times New Roman" w:hAnsi="Times New Roman" w:cs="Times New Roman"/>
          <w:sz w:val="24"/>
          <w:szCs w:val="24"/>
        </w:rPr>
      </w:pPr>
      <w:r w:rsidRPr="00A617C1">
        <w:rPr>
          <w:rFonts w:ascii="Times New Roman" w:eastAsia="Times New Roman" w:hAnsi="Times New Roman" w:cs="Times New Roman"/>
          <w:b/>
          <w:bCs/>
          <w:sz w:val="24"/>
          <w:szCs w:val="24"/>
        </w:rPr>
        <w:t>References:</w:t>
      </w:r>
    </w:p>
    <w:p w14:paraId="0A2BFD42" w14:textId="77777777" w:rsidR="00481254" w:rsidRPr="004F3E88" w:rsidRDefault="00481254" w:rsidP="00481254">
      <w:pPr>
        <w:numPr>
          <w:ilvl w:val="0"/>
          <w:numId w:val="2"/>
        </w:numPr>
        <w:bidi w:val="0"/>
        <w:spacing w:before="165" w:after="0" w:line="240" w:lineRule="auto"/>
        <w:rPr>
          <w:rFonts w:ascii="Times New Roman" w:eastAsia="-webkit-standard" w:hAnsi="Times New Roman" w:cs="Times New Roman"/>
          <w:sz w:val="24"/>
          <w:szCs w:val="24"/>
        </w:rPr>
      </w:pPr>
      <w:r w:rsidRPr="004F3E88">
        <w:rPr>
          <w:rFonts w:ascii="Times New Roman" w:eastAsia="-webkit-standard" w:hAnsi="Times New Roman" w:cs="Times New Roman"/>
          <w:sz w:val="24"/>
          <w:szCs w:val="24"/>
          <w:lang w:bidi="ar"/>
        </w:rPr>
        <w:t>National Institutes of Health; National Institute of Diabetes and Digestive and Kidney Diseases; US Renal Data System: Annual Data Report: Atlas of Chronic Kidney Disease and End-Stage Renal Disease in the United States, 2012. Available at: </w:t>
      </w:r>
      <w:hyperlink r:id="rId9" w:tgtFrame="_blank" w:history="1">
        <w:r w:rsidRPr="004F3E88">
          <w:rPr>
            <w:rStyle w:val="Hyperlink"/>
            <w:rFonts w:ascii="Times New Roman" w:eastAsia="-webkit-standard" w:hAnsi="Times New Roman" w:cs="Times New Roman"/>
            <w:sz w:val="24"/>
            <w:szCs w:val="24"/>
          </w:rPr>
          <w:t>http://www.usrds.org/2012/pdf/v2_ch1_12.pdf</w:t>
        </w:r>
      </w:hyperlink>
      <w:r w:rsidRPr="004F3E88">
        <w:rPr>
          <w:rFonts w:ascii="Times New Roman" w:eastAsia="-webkit-standard" w:hAnsi="Times New Roman" w:cs="Times New Roman"/>
          <w:sz w:val="24"/>
          <w:szCs w:val="24"/>
          <w:lang w:bidi="ar"/>
        </w:rPr>
        <w:t>Accessed April 10, 2013</w:t>
      </w:r>
    </w:p>
    <w:p w14:paraId="549F767C"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webkit-standard" w:hAnsi="Times New Roman" w:cs="Times New Roman"/>
          <w:sz w:val="24"/>
          <w:szCs w:val="24"/>
          <w:lang w:bidi="ar"/>
        </w:rPr>
        <w:t xml:space="preserve">Kalantar-Zadeh K, Jafar TH, Nitsch D, </w:t>
      </w:r>
      <w:proofErr w:type="spellStart"/>
      <w:r w:rsidRPr="004F3E88">
        <w:rPr>
          <w:rFonts w:ascii="Times New Roman" w:eastAsia="-webkit-standard" w:hAnsi="Times New Roman" w:cs="Times New Roman"/>
          <w:sz w:val="24"/>
          <w:szCs w:val="24"/>
          <w:lang w:bidi="ar"/>
        </w:rPr>
        <w:t>Neuen</w:t>
      </w:r>
      <w:proofErr w:type="spellEnd"/>
      <w:r w:rsidRPr="004F3E88">
        <w:rPr>
          <w:rFonts w:ascii="Times New Roman" w:eastAsia="-webkit-standard" w:hAnsi="Times New Roman" w:cs="Times New Roman"/>
          <w:sz w:val="24"/>
          <w:szCs w:val="24"/>
          <w:lang w:bidi="ar"/>
        </w:rPr>
        <w:t xml:space="preserve"> BL, </w:t>
      </w:r>
      <w:proofErr w:type="spellStart"/>
      <w:r w:rsidRPr="004F3E88">
        <w:rPr>
          <w:rFonts w:ascii="Times New Roman" w:eastAsia="-webkit-standard" w:hAnsi="Times New Roman" w:cs="Times New Roman"/>
          <w:sz w:val="24"/>
          <w:szCs w:val="24"/>
          <w:lang w:bidi="ar"/>
        </w:rPr>
        <w:t>Perkovic</w:t>
      </w:r>
      <w:proofErr w:type="spellEnd"/>
      <w:r w:rsidRPr="004F3E88">
        <w:rPr>
          <w:rFonts w:ascii="Times New Roman" w:eastAsia="-webkit-standard" w:hAnsi="Times New Roman" w:cs="Times New Roman"/>
          <w:sz w:val="24"/>
          <w:szCs w:val="24"/>
          <w:lang w:bidi="ar"/>
        </w:rPr>
        <w:t xml:space="preserve"> V. Chronic kidney disease. The Lancet. 2021;398(10302):786-802.</w:t>
      </w:r>
    </w:p>
    <w:p w14:paraId="04916504"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Calibri" w:hAnsi="Times New Roman" w:cs="Times New Roman"/>
          <w:sz w:val="24"/>
          <w:szCs w:val="24"/>
          <w:lang w:bidi="ar"/>
        </w:rPr>
        <w:t>T</w:t>
      </w:r>
      <w:r w:rsidRPr="004F3E88">
        <w:rPr>
          <w:rFonts w:ascii="Times New Roman" w:eastAsia="-webkit-standard" w:hAnsi="Times New Roman" w:cs="Times New Roman"/>
          <w:sz w:val="24"/>
          <w:szCs w:val="24"/>
          <w:lang w:bidi="ar"/>
        </w:rPr>
        <w:t>imur A</w:t>
      </w:r>
      <w:r w:rsidRPr="004F3E88">
        <w:rPr>
          <w:rFonts w:ascii="Times New Roman" w:eastAsia="Calibri" w:hAnsi="Times New Roman" w:cs="Times New Roman"/>
          <w:sz w:val="24"/>
          <w:szCs w:val="24"/>
          <w:lang w:bidi="ar"/>
        </w:rPr>
        <w:t>G</w:t>
      </w:r>
      <w:r w:rsidRPr="004F3E88">
        <w:rPr>
          <w:rFonts w:ascii="Times New Roman" w:eastAsia="-webkit-standard" w:hAnsi="Times New Roman" w:cs="Times New Roman"/>
          <w:sz w:val="24"/>
          <w:szCs w:val="24"/>
          <w:lang w:bidi="ar"/>
        </w:rPr>
        <w:t>.; Antonia J</w:t>
      </w:r>
      <w:r w:rsidRPr="004F3E88">
        <w:rPr>
          <w:rFonts w:ascii="Times New Roman" w:eastAsia="Calibri" w:hAnsi="Times New Roman" w:cs="Times New Roman"/>
          <w:sz w:val="24"/>
          <w:szCs w:val="24"/>
          <w:lang w:bidi="ar"/>
        </w:rPr>
        <w:t>C</w:t>
      </w:r>
      <w:r w:rsidRPr="004F3E88">
        <w:rPr>
          <w:rFonts w:ascii="Times New Roman" w:eastAsia="-webkit-standard" w:hAnsi="Times New Roman" w:cs="Times New Roman"/>
          <w:sz w:val="24"/>
          <w:szCs w:val="24"/>
          <w:lang w:bidi="ar"/>
        </w:rPr>
        <w:t xml:space="preserve">; Kieron </w:t>
      </w:r>
      <w:proofErr w:type="spellStart"/>
      <w:r w:rsidRPr="004F3E88">
        <w:rPr>
          <w:rFonts w:ascii="Times New Roman" w:eastAsia="-webkit-standard" w:hAnsi="Times New Roman" w:cs="Times New Roman"/>
          <w:sz w:val="24"/>
          <w:szCs w:val="24"/>
          <w:lang w:bidi="ar"/>
        </w:rPr>
        <w:t>S</w:t>
      </w:r>
      <w:r w:rsidRPr="004F3E88">
        <w:rPr>
          <w:rFonts w:ascii="Times New Roman" w:eastAsia="Calibri" w:hAnsi="Times New Roman" w:cs="Times New Roman"/>
          <w:sz w:val="24"/>
          <w:szCs w:val="24"/>
          <w:lang w:bidi="ar"/>
        </w:rPr>
        <w:t>L</w:t>
      </w:r>
      <w:r w:rsidRPr="004F3E88">
        <w:rPr>
          <w:rFonts w:ascii="Times New Roman" w:eastAsia="-webkit-standard" w:hAnsi="Times New Roman" w:cs="Times New Roman"/>
          <w:sz w:val="24"/>
          <w:szCs w:val="24"/>
          <w:lang w:bidi="ar"/>
        </w:rPr>
        <w:t>.Cutaneous</w:t>
      </w:r>
      <w:proofErr w:type="spellEnd"/>
      <w:r w:rsidRPr="004F3E88">
        <w:rPr>
          <w:rFonts w:ascii="Times New Roman" w:eastAsia="-webkit-standard" w:hAnsi="Times New Roman" w:cs="Times New Roman"/>
          <w:sz w:val="24"/>
          <w:szCs w:val="24"/>
          <w:lang w:bidi="ar"/>
        </w:rPr>
        <w:t xml:space="preserve"> manifestations of </w:t>
      </w:r>
      <w:proofErr w:type="spellStart"/>
      <w:r w:rsidRPr="004F3E88">
        <w:rPr>
          <w:rFonts w:ascii="Times New Roman" w:eastAsia="-webkit-standard" w:hAnsi="Times New Roman" w:cs="Times New Roman"/>
          <w:sz w:val="24"/>
          <w:szCs w:val="24"/>
          <w:lang w:bidi="ar"/>
        </w:rPr>
        <w:t>ESDR</w:t>
      </w:r>
      <w:r w:rsidRPr="004F3E88">
        <w:rPr>
          <w:rFonts w:ascii="Times New Roman" w:eastAsia="Calibri" w:hAnsi="Times New Roman" w:cs="Times New Roman"/>
          <w:sz w:val="24"/>
          <w:szCs w:val="24"/>
          <w:lang w:bidi="ar"/>
        </w:rPr>
        <w:t>.</w:t>
      </w:r>
      <w:r w:rsidRPr="004F3E88">
        <w:rPr>
          <w:rFonts w:ascii="Times New Roman" w:eastAsia="-webkit-standard" w:hAnsi="Times New Roman" w:cs="Times New Roman"/>
          <w:sz w:val="24"/>
          <w:szCs w:val="24"/>
          <w:lang w:bidi="ar"/>
        </w:rPr>
        <w:t>Clinical</w:t>
      </w:r>
      <w:proofErr w:type="spellEnd"/>
      <w:r w:rsidRPr="004F3E88">
        <w:rPr>
          <w:rFonts w:ascii="Times New Roman" w:eastAsia="-webkit-standard" w:hAnsi="Times New Roman" w:cs="Times New Roman"/>
          <w:sz w:val="24"/>
          <w:szCs w:val="24"/>
          <w:lang w:bidi="ar"/>
        </w:rPr>
        <w:t xml:space="preserve"> Journal of the American Society of Nephrology </w:t>
      </w:r>
      <w:hyperlink r:id="rId10" w:tgtFrame="_blank" w:history="1">
        <w:r w:rsidRPr="004F3E88">
          <w:rPr>
            <w:rStyle w:val="Hyperlink"/>
            <w:rFonts w:ascii="Times New Roman" w:eastAsia="-webkit-standard" w:hAnsi="Times New Roman" w:cs="Times New Roman"/>
            <w:sz w:val="24"/>
            <w:szCs w:val="24"/>
          </w:rPr>
          <w:t>9(1):p 201-218, January 2014.</w:t>
        </w:r>
      </w:hyperlink>
    </w:p>
    <w:p w14:paraId="58DD087E"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webkit-standard" w:hAnsi="Times New Roman" w:cs="Times New Roman"/>
          <w:sz w:val="24"/>
          <w:szCs w:val="24"/>
          <w:lang w:bidi="ar"/>
        </w:rPr>
        <w:t>Atria EA, Hassan SI, Youssef NM: Cutaneous disorders in uremic patients on hemodialysis: An Egyptian case-controlled study. Int J Dermatol 49: 1024–1030, 2010.</w:t>
      </w:r>
    </w:p>
    <w:p w14:paraId="329BB2E6"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gramStart"/>
      <w:r w:rsidRPr="004F3E88">
        <w:rPr>
          <w:rFonts w:ascii="Times New Roman" w:eastAsia="-webkit-standard" w:hAnsi="Times New Roman" w:cs="Times New Roman"/>
          <w:sz w:val="24"/>
          <w:szCs w:val="24"/>
          <w:lang w:bidi="ar"/>
        </w:rPr>
        <w:t>Markova  A</w:t>
      </w:r>
      <w:proofErr w:type="gramEnd"/>
      <w:r w:rsidRPr="004F3E88">
        <w:rPr>
          <w:rFonts w:ascii="Times New Roman" w:eastAsia="-webkit-standard" w:hAnsi="Times New Roman" w:cs="Times New Roman"/>
          <w:sz w:val="24"/>
          <w:szCs w:val="24"/>
          <w:lang w:bidi="ar"/>
        </w:rPr>
        <w:t>, Lester J, Wang J, Robinson-</w:t>
      </w:r>
      <w:proofErr w:type="spellStart"/>
      <w:r w:rsidRPr="004F3E88">
        <w:rPr>
          <w:rFonts w:ascii="Times New Roman" w:eastAsia="-webkit-standard" w:hAnsi="Times New Roman" w:cs="Times New Roman"/>
          <w:sz w:val="24"/>
          <w:szCs w:val="24"/>
          <w:lang w:bidi="ar"/>
        </w:rPr>
        <w:t>Bostom</w:t>
      </w:r>
      <w:proofErr w:type="spellEnd"/>
      <w:r w:rsidRPr="004F3E88">
        <w:rPr>
          <w:rFonts w:ascii="Times New Roman" w:eastAsia="-webkit-standard" w:hAnsi="Times New Roman" w:cs="Times New Roman"/>
          <w:sz w:val="24"/>
          <w:szCs w:val="24"/>
          <w:lang w:bidi="ar"/>
        </w:rPr>
        <w:t xml:space="preserve"> L: Diagnosis of common dermopathies in dialysis patients: A review and update. Semin Dial 25: 408–418, 2012.</w:t>
      </w:r>
    </w:p>
    <w:p w14:paraId="1A2AF554"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webkit-standard" w:hAnsi="Times New Roman" w:cs="Times New Roman"/>
          <w:sz w:val="24"/>
          <w:szCs w:val="24"/>
          <w:lang w:bidi="ar"/>
        </w:rPr>
        <w:t xml:space="preserve">Supriya PD .; Yugal KS.; Kedarnath D; et al. </w:t>
      </w:r>
      <w:proofErr w:type="spellStart"/>
      <w:r w:rsidRPr="004F3E88">
        <w:rPr>
          <w:rFonts w:ascii="Times New Roman" w:eastAsia="-webkit-standard" w:hAnsi="Times New Roman" w:cs="Times New Roman"/>
          <w:sz w:val="24"/>
          <w:szCs w:val="24"/>
          <w:lang w:bidi="ar"/>
        </w:rPr>
        <w:t>Clinicoepidemiological</w:t>
      </w:r>
      <w:proofErr w:type="spellEnd"/>
      <w:r w:rsidRPr="004F3E88">
        <w:rPr>
          <w:rFonts w:ascii="Times New Roman" w:eastAsia="-webkit-standard" w:hAnsi="Times New Roman" w:cs="Times New Roman"/>
          <w:sz w:val="24"/>
          <w:szCs w:val="24"/>
          <w:lang w:bidi="ar"/>
        </w:rPr>
        <w:t xml:space="preserve"> study of skin manifestations in patients of chronic renal failure on </w:t>
      </w:r>
      <w:proofErr w:type="spellStart"/>
      <w:r w:rsidRPr="004F3E88">
        <w:rPr>
          <w:rFonts w:ascii="Times New Roman" w:eastAsia="-webkit-standard" w:hAnsi="Times New Roman" w:cs="Times New Roman"/>
          <w:sz w:val="24"/>
          <w:szCs w:val="24"/>
          <w:lang w:bidi="ar"/>
        </w:rPr>
        <w:t>hemodialysis.Indian</w:t>
      </w:r>
      <w:proofErr w:type="spellEnd"/>
      <w:r w:rsidRPr="004F3E88">
        <w:rPr>
          <w:rFonts w:ascii="Times New Roman" w:eastAsia="-webkit-standard" w:hAnsi="Times New Roman" w:cs="Times New Roman"/>
          <w:sz w:val="24"/>
          <w:szCs w:val="24"/>
          <w:lang w:bidi="ar"/>
        </w:rPr>
        <w:t xml:space="preserve"> Dermatology Online Journal </w:t>
      </w:r>
      <w:hyperlink r:id="rId11" w:tgtFrame="_blank" w:history="1">
        <w:r w:rsidRPr="004F3E88">
          <w:rPr>
            <w:rStyle w:val="Hyperlink"/>
            <w:rFonts w:ascii="Times New Roman" w:eastAsia="-webkit-standard" w:hAnsi="Times New Roman" w:cs="Times New Roman"/>
            <w:sz w:val="24"/>
            <w:szCs w:val="24"/>
          </w:rPr>
          <w:t>4(1):p 18-21, Jan–Mar 2013.</w:t>
        </w:r>
      </w:hyperlink>
    </w:p>
    <w:p w14:paraId="7D124DD6"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spellStart"/>
      <w:proofErr w:type="gramStart"/>
      <w:r w:rsidRPr="004F3E88">
        <w:rPr>
          <w:rFonts w:ascii="Times New Roman" w:eastAsia="-webkit-standard" w:hAnsi="Times New Roman" w:cs="Times New Roman"/>
          <w:sz w:val="24"/>
          <w:szCs w:val="24"/>
          <w:lang w:bidi="ar"/>
        </w:rPr>
        <w:t>Tameezuddin</w:t>
      </w:r>
      <w:proofErr w:type="spellEnd"/>
      <w:r w:rsidRPr="004F3E88">
        <w:rPr>
          <w:rFonts w:ascii="Times New Roman" w:eastAsia="-webkit-standard" w:hAnsi="Times New Roman" w:cs="Times New Roman"/>
          <w:sz w:val="24"/>
          <w:szCs w:val="24"/>
          <w:lang w:bidi="ar"/>
        </w:rPr>
        <w:t xml:space="preserve">  A</w:t>
      </w:r>
      <w:proofErr w:type="gramEnd"/>
      <w:r w:rsidRPr="004F3E88">
        <w:rPr>
          <w:rFonts w:ascii="Times New Roman" w:eastAsia="-webkit-standard" w:hAnsi="Times New Roman" w:cs="Times New Roman"/>
          <w:sz w:val="24"/>
          <w:szCs w:val="24"/>
          <w:lang w:bidi="ar"/>
        </w:rPr>
        <w:t xml:space="preserve">, Malik IJ, Arshad D, </w:t>
      </w:r>
      <w:proofErr w:type="spellStart"/>
      <w:r w:rsidRPr="004F3E88">
        <w:rPr>
          <w:rFonts w:ascii="Times New Roman" w:eastAsia="-webkit-standard" w:hAnsi="Times New Roman" w:cs="Times New Roman"/>
          <w:sz w:val="24"/>
          <w:szCs w:val="24"/>
          <w:lang w:bidi="ar"/>
        </w:rPr>
        <w:t>Tameezuddin</w:t>
      </w:r>
      <w:proofErr w:type="spellEnd"/>
      <w:r w:rsidRPr="004F3E88">
        <w:rPr>
          <w:rFonts w:ascii="Times New Roman" w:eastAsia="-webkit-standard" w:hAnsi="Times New Roman" w:cs="Times New Roman"/>
          <w:sz w:val="24"/>
          <w:szCs w:val="24"/>
          <w:lang w:bidi="ar"/>
        </w:rPr>
        <w:t xml:space="preserve"> A, Chaudhary NA, Asad Z. Frequency and Effect of Cutaneous Manifestations on Quality of Life in Patients with End-Stage Renal Disease Undergoing Hemodialysis. JCPSP. 2023;33(4):406-10.</w:t>
      </w:r>
    </w:p>
    <w:p w14:paraId="4240FF08"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gramStart"/>
      <w:r w:rsidRPr="004F3E88">
        <w:rPr>
          <w:rFonts w:ascii="Times New Roman" w:eastAsia="-webkit-standard" w:hAnsi="Times New Roman" w:cs="Times New Roman"/>
          <w:sz w:val="24"/>
          <w:szCs w:val="24"/>
          <w:lang w:bidi="ar"/>
        </w:rPr>
        <w:t>Dyachenko  P</w:t>
      </w:r>
      <w:proofErr w:type="gramEnd"/>
      <w:r w:rsidRPr="004F3E88">
        <w:rPr>
          <w:rFonts w:ascii="Times New Roman" w:eastAsia="-webkit-standard" w:hAnsi="Times New Roman" w:cs="Times New Roman"/>
          <w:sz w:val="24"/>
          <w:szCs w:val="24"/>
          <w:lang w:bidi="ar"/>
        </w:rPr>
        <w:t xml:space="preserve">, </w:t>
      </w:r>
      <w:proofErr w:type="spellStart"/>
      <w:r w:rsidRPr="004F3E88">
        <w:rPr>
          <w:rFonts w:ascii="Times New Roman" w:eastAsia="-webkit-standard" w:hAnsi="Times New Roman" w:cs="Times New Roman"/>
          <w:sz w:val="24"/>
          <w:szCs w:val="24"/>
          <w:lang w:bidi="ar"/>
        </w:rPr>
        <w:t>Monselise</w:t>
      </w:r>
      <w:proofErr w:type="spellEnd"/>
      <w:r w:rsidRPr="004F3E88">
        <w:rPr>
          <w:rFonts w:ascii="Times New Roman" w:eastAsia="-webkit-standard" w:hAnsi="Times New Roman" w:cs="Times New Roman"/>
          <w:sz w:val="24"/>
          <w:szCs w:val="24"/>
          <w:lang w:bidi="ar"/>
        </w:rPr>
        <w:t xml:space="preserve"> A, </w:t>
      </w:r>
      <w:proofErr w:type="spellStart"/>
      <w:r w:rsidRPr="004F3E88">
        <w:rPr>
          <w:rFonts w:ascii="Times New Roman" w:eastAsia="-webkit-standard" w:hAnsi="Times New Roman" w:cs="Times New Roman"/>
          <w:sz w:val="24"/>
          <w:szCs w:val="24"/>
          <w:lang w:bidi="ar"/>
        </w:rPr>
        <w:t>Shustak</w:t>
      </w:r>
      <w:proofErr w:type="spellEnd"/>
      <w:r w:rsidRPr="004F3E88">
        <w:rPr>
          <w:rFonts w:ascii="Times New Roman" w:eastAsia="-webkit-standard" w:hAnsi="Times New Roman" w:cs="Times New Roman"/>
          <w:sz w:val="24"/>
          <w:szCs w:val="24"/>
          <w:lang w:bidi="ar"/>
        </w:rPr>
        <w:t xml:space="preserve"> A, </w:t>
      </w:r>
      <w:proofErr w:type="spellStart"/>
      <w:r w:rsidRPr="004F3E88">
        <w:rPr>
          <w:rFonts w:ascii="Times New Roman" w:eastAsia="-webkit-standard" w:hAnsi="Times New Roman" w:cs="Times New Roman"/>
          <w:sz w:val="24"/>
          <w:szCs w:val="24"/>
          <w:lang w:bidi="ar"/>
        </w:rPr>
        <w:t>Ziv</w:t>
      </w:r>
      <w:proofErr w:type="spellEnd"/>
      <w:r w:rsidRPr="004F3E88">
        <w:rPr>
          <w:rFonts w:ascii="Times New Roman" w:eastAsia="-webkit-standard" w:hAnsi="Times New Roman" w:cs="Times New Roman"/>
          <w:sz w:val="24"/>
          <w:szCs w:val="24"/>
          <w:lang w:bidi="ar"/>
        </w:rPr>
        <w:t xml:space="preserve"> M, </w:t>
      </w:r>
      <w:proofErr w:type="spellStart"/>
      <w:r w:rsidRPr="004F3E88">
        <w:rPr>
          <w:rFonts w:ascii="Times New Roman" w:eastAsia="-webkit-standard" w:hAnsi="Times New Roman" w:cs="Times New Roman"/>
          <w:sz w:val="24"/>
          <w:szCs w:val="24"/>
          <w:lang w:bidi="ar"/>
        </w:rPr>
        <w:t>Rozenman</w:t>
      </w:r>
      <w:proofErr w:type="spellEnd"/>
      <w:r w:rsidRPr="004F3E88">
        <w:rPr>
          <w:rFonts w:ascii="Times New Roman" w:eastAsia="-webkit-standard" w:hAnsi="Times New Roman" w:cs="Times New Roman"/>
          <w:sz w:val="24"/>
          <w:szCs w:val="24"/>
          <w:lang w:bidi="ar"/>
        </w:rPr>
        <w:t xml:space="preserve"> D. Nail disorders in patients with chronic renal failure and undergoing </w:t>
      </w:r>
      <w:proofErr w:type="spellStart"/>
      <w:r w:rsidRPr="004F3E88">
        <w:rPr>
          <w:rFonts w:ascii="Times New Roman" w:eastAsia="-webkit-standard" w:hAnsi="Times New Roman" w:cs="Times New Roman"/>
          <w:sz w:val="24"/>
          <w:szCs w:val="24"/>
          <w:lang w:bidi="ar"/>
        </w:rPr>
        <w:t>haemodialysis</w:t>
      </w:r>
      <w:proofErr w:type="spellEnd"/>
      <w:r w:rsidRPr="004F3E88">
        <w:rPr>
          <w:rFonts w:ascii="Times New Roman" w:eastAsia="-webkit-standard" w:hAnsi="Times New Roman" w:cs="Times New Roman"/>
          <w:sz w:val="24"/>
          <w:szCs w:val="24"/>
          <w:lang w:bidi="ar"/>
        </w:rPr>
        <w:t xml:space="preserve"> treatment: A case control study J Eur </w:t>
      </w:r>
      <w:proofErr w:type="spellStart"/>
      <w:r w:rsidRPr="004F3E88">
        <w:rPr>
          <w:rFonts w:ascii="Times New Roman" w:eastAsia="-webkit-standard" w:hAnsi="Times New Roman" w:cs="Times New Roman"/>
          <w:sz w:val="24"/>
          <w:szCs w:val="24"/>
          <w:lang w:bidi="ar"/>
        </w:rPr>
        <w:t>Acad</w:t>
      </w:r>
      <w:proofErr w:type="spellEnd"/>
      <w:r w:rsidRPr="004F3E88">
        <w:rPr>
          <w:rFonts w:ascii="Times New Roman" w:eastAsia="-webkit-standard" w:hAnsi="Times New Roman" w:cs="Times New Roman"/>
          <w:sz w:val="24"/>
          <w:szCs w:val="24"/>
          <w:lang w:bidi="ar"/>
        </w:rPr>
        <w:t xml:space="preserve"> Dermatol </w:t>
      </w:r>
      <w:proofErr w:type="spellStart"/>
      <w:r w:rsidRPr="004F3E88">
        <w:rPr>
          <w:rFonts w:ascii="Times New Roman" w:eastAsia="-webkit-standard" w:hAnsi="Times New Roman" w:cs="Times New Roman"/>
          <w:sz w:val="24"/>
          <w:szCs w:val="24"/>
          <w:lang w:bidi="ar"/>
        </w:rPr>
        <w:t>Venereol</w:t>
      </w:r>
      <w:proofErr w:type="spellEnd"/>
      <w:r w:rsidRPr="004F3E88">
        <w:rPr>
          <w:rFonts w:ascii="Times New Roman" w:eastAsia="-webkit-standard" w:hAnsi="Times New Roman" w:cs="Times New Roman"/>
          <w:sz w:val="24"/>
          <w:szCs w:val="24"/>
          <w:lang w:bidi="ar"/>
        </w:rPr>
        <w:t xml:space="preserve">. </w:t>
      </w:r>
      <w:proofErr w:type="gramStart"/>
      <w:r w:rsidRPr="004F3E88">
        <w:rPr>
          <w:rFonts w:ascii="Times New Roman" w:eastAsia="-webkit-standard" w:hAnsi="Times New Roman" w:cs="Times New Roman"/>
          <w:sz w:val="24"/>
          <w:szCs w:val="24"/>
          <w:lang w:bidi="ar"/>
        </w:rPr>
        <w:t>2007;21:340</w:t>
      </w:r>
      <w:proofErr w:type="gramEnd"/>
      <w:r w:rsidRPr="004F3E88">
        <w:rPr>
          <w:rFonts w:ascii="Times New Roman" w:eastAsia="-webkit-standard" w:hAnsi="Times New Roman" w:cs="Times New Roman"/>
          <w:sz w:val="24"/>
          <w:szCs w:val="24"/>
          <w:lang w:bidi="ar"/>
        </w:rPr>
        <w:t>–4.</w:t>
      </w:r>
    </w:p>
    <w:p w14:paraId="5284AC26"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webkit-standard" w:hAnsi="Times New Roman" w:cs="Times New Roman"/>
          <w:sz w:val="24"/>
          <w:szCs w:val="24"/>
          <w:lang w:bidi="ar"/>
        </w:rPr>
        <w:t xml:space="preserve">US </w:t>
      </w:r>
      <w:proofErr w:type="gramStart"/>
      <w:r w:rsidRPr="004F3E88">
        <w:rPr>
          <w:rFonts w:ascii="Times New Roman" w:eastAsia="-webkit-standard" w:hAnsi="Times New Roman" w:cs="Times New Roman"/>
          <w:sz w:val="24"/>
          <w:szCs w:val="24"/>
          <w:lang w:bidi="ar"/>
        </w:rPr>
        <w:t>Renal  Data</w:t>
      </w:r>
      <w:proofErr w:type="gramEnd"/>
      <w:r w:rsidRPr="004F3E88">
        <w:rPr>
          <w:rFonts w:ascii="Times New Roman" w:eastAsia="-webkit-standard" w:hAnsi="Times New Roman" w:cs="Times New Roman"/>
          <w:sz w:val="24"/>
          <w:szCs w:val="24"/>
          <w:lang w:bidi="ar"/>
        </w:rPr>
        <w:t xml:space="preserve"> System (USRDS). US Renal Data System 2019 Annual Data Report: Epidemiology of Kidney Disease in the United States.   </w:t>
      </w:r>
      <w:hyperlink r:id="rId12" w:tgtFrame="_blank" w:history="1">
        <w:r w:rsidRPr="004F3E88">
          <w:rPr>
            <w:rStyle w:val="Hyperlink"/>
            <w:rFonts w:ascii="Times New Roman" w:eastAsia="-webkit-standard" w:hAnsi="Times New Roman" w:cs="Times New Roman"/>
            <w:sz w:val="24"/>
            <w:szCs w:val="24"/>
          </w:rPr>
          <w:t>https://www.usrds.org/2019/view/USRDS_2019_ES_final.pdf</w:t>
        </w:r>
      </w:hyperlink>
      <w:r w:rsidRPr="004F3E88">
        <w:rPr>
          <w:rFonts w:ascii="Times New Roman" w:eastAsia="-webkit-standard" w:hAnsi="Times New Roman" w:cs="Times New Roman"/>
          <w:sz w:val="24"/>
          <w:szCs w:val="24"/>
          <w:lang w:bidi="ar"/>
        </w:rPr>
        <w:t>. Accessed: March 5, 2020.</w:t>
      </w:r>
    </w:p>
    <w:p w14:paraId="46CD0A44"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spellStart"/>
      <w:proofErr w:type="gramStart"/>
      <w:r w:rsidRPr="004F3E88">
        <w:rPr>
          <w:rFonts w:ascii="Times New Roman" w:eastAsia="-webkit-standard" w:hAnsi="Times New Roman" w:cs="Times New Roman"/>
          <w:sz w:val="24"/>
          <w:szCs w:val="24"/>
        </w:rPr>
        <w:t>Bahashwan</w:t>
      </w:r>
      <w:proofErr w:type="spellEnd"/>
      <w:r w:rsidRPr="004F3E88">
        <w:rPr>
          <w:rFonts w:ascii="Times New Roman" w:eastAsia="-webkit-standard" w:hAnsi="Times New Roman" w:cs="Times New Roman"/>
          <w:sz w:val="24"/>
          <w:szCs w:val="24"/>
        </w:rPr>
        <w:t>  E</w:t>
      </w:r>
      <w:proofErr w:type="gramEnd"/>
      <w:r w:rsidRPr="004F3E88">
        <w:rPr>
          <w:rFonts w:ascii="Times New Roman" w:eastAsia="-webkit-standard" w:hAnsi="Times New Roman" w:cs="Times New Roman"/>
          <w:sz w:val="24"/>
          <w:szCs w:val="24"/>
        </w:rPr>
        <w:t xml:space="preserve">, </w:t>
      </w:r>
      <w:proofErr w:type="spellStart"/>
      <w:r w:rsidRPr="004F3E88">
        <w:rPr>
          <w:rFonts w:ascii="Times New Roman" w:eastAsia="-webkit-standard" w:hAnsi="Times New Roman" w:cs="Times New Roman"/>
          <w:sz w:val="24"/>
          <w:szCs w:val="24"/>
        </w:rPr>
        <w:t>Adamu</w:t>
      </w:r>
      <w:proofErr w:type="spellEnd"/>
      <w:r w:rsidRPr="004F3E88">
        <w:rPr>
          <w:rFonts w:ascii="Times New Roman" w:eastAsia="-webkit-standard" w:hAnsi="Times New Roman" w:cs="Times New Roman"/>
          <w:sz w:val="24"/>
          <w:szCs w:val="24"/>
        </w:rPr>
        <w:t> B, </w:t>
      </w:r>
      <w:proofErr w:type="spellStart"/>
      <w:r w:rsidRPr="004F3E88">
        <w:rPr>
          <w:rFonts w:ascii="Times New Roman" w:eastAsia="-webkit-standard" w:hAnsi="Times New Roman" w:cs="Times New Roman"/>
          <w:sz w:val="24"/>
          <w:szCs w:val="24"/>
        </w:rPr>
        <w:t>Aljihani</w:t>
      </w:r>
      <w:proofErr w:type="spellEnd"/>
      <w:r w:rsidRPr="004F3E88">
        <w:rPr>
          <w:rFonts w:ascii="Times New Roman" w:eastAsia="-webkit-standard" w:hAnsi="Times New Roman" w:cs="Times New Roman"/>
          <w:sz w:val="24"/>
          <w:szCs w:val="24"/>
        </w:rPr>
        <w:t xml:space="preserve"> MF, et </w:t>
      </w:r>
      <w:proofErr w:type="spellStart"/>
      <w:r w:rsidRPr="004F3E88">
        <w:rPr>
          <w:rFonts w:ascii="Times New Roman" w:eastAsia="-webkit-standard" w:hAnsi="Times New Roman" w:cs="Times New Roman"/>
          <w:sz w:val="24"/>
          <w:szCs w:val="24"/>
        </w:rPr>
        <w:t>al.Assessment</w:t>
      </w:r>
      <w:proofErr w:type="spellEnd"/>
      <w:r w:rsidRPr="004F3E88">
        <w:rPr>
          <w:rFonts w:ascii="Times New Roman" w:eastAsia="-webkit-standard" w:hAnsi="Times New Roman" w:cs="Times New Roman"/>
          <w:sz w:val="24"/>
          <w:szCs w:val="24"/>
        </w:rPr>
        <w:t xml:space="preserve"> of Cutaneous Symptoms in Hemodialysis Patients: Prevalence, Clinical Features, and Implications for Customized Therapies Bahrain Medical Bulletin, Vol. 46, No. 4, December 2024 2537.</w:t>
      </w:r>
    </w:p>
    <w:p w14:paraId="430FB216"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gramStart"/>
      <w:r w:rsidRPr="004F3E88">
        <w:rPr>
          <w:rFonts w:ascii="Times New Roman" w:eastAsia="SimSun" w:hAnsi="Times New Roman" w:cs="Times New Roman"/>
          <w:sz w:val="24"/>
          <w:szCs w:val="24"/>
        </w:rPr>
        <w:t>Goel  V</w:t>
      </w:r>
      <w:proofErr w:type="gramEnd"/>
      <w:r w:rsidRPr="004F3E88">
        <w:rPr>
          <w:rFonts w:ascii="Times New Roman" w:eastAsia="SimSun" w:hAnsi="Times New Roman" w:cs="Times New Roman"/>
          <w:sz w:val="24"/>
          <w:szCs w:val="24"/>
        </w:rPr>
        <w:t xml:space="preserve">, Sil A, Das A. Cutaneous manifestations of chronic kidney disease, dialysis and post-renal transplant: A review. Indian J. </w:t>
      </w:r>
      <w:proofErr w:type="gramStart"/>
      <w:r w:rsidRPr="004F3E88">
        <w:rPr>
          <w:rFonts w:ascii="Times New Roman" w:eastAsia="SimSun" w:hAnsi="Times New Roman" w:cs="Times New Roman"/>
          <w:sz w:val="24"/>
          <w:szCs w:val="24"/>
        </w:rPr>
        <w:t>Dermatol..</w:t>
      </w:r>
      <w:proofErr w:type="gramEnd"/>
      <w:r w:rsidRPr="004F3E88">
        <w:rPr>
          <w:rFonts w:ascii="Times New Roman" w:eastAsia="SimSun" w:hAnsi="Times New Roman" w:cs="Times New Roman"/>
          <w:sz w:val="24"/>
          <w:szCs w:val="24"/>
        </w:rPr>
        <w:t xml:space="preserve"> 2021;66(1):3-11.</w:t>
      </w:r>
    </w:p>
    <w:p w14:paraId="4C2FD899"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spellStart"/>
      <w:proofErr w:type="gramStart"/>
      <w:r w:rsidRPr="004F3E88">
        <w:rPr>
          <w:rFonts w:ascii="Times New Roman" w:eastAsia="-webkit-standard" w:hAnsi="Times New Roman" w:cs="Times New Roman"/>
          <w:sz w:val="24"/>
          <w:szCs w:val="24"/>
        </w:rPr>
        <w:lastRenderedPageBreak/>
        <w:t>Bouhamidi</w:t>
      </w:r>
      <w:proofErr w:type="spellEnd"/>
      <w:r w:rsidRPr="004F3E88">
        <w:rPr>
          <w:rFonts w:ascii="Times New Roman" w:eastAsia="-webkit-standard" w:hAnsi="Times New Roman" w:cs="Times New Roman"/>
          <w:sz w:val="24"/>
          <w:szCs w:val="24"/>
        </w:rPr>
        <w:t xml:space="preserve">  A</w:t>
      </w:r>
      <w:proofErr w:type="gramEnd"/>
      <w:r w:rsidRPr="004F3E88">
        <w:rPr>
          <w:rFonts w:ascii="Times New Roman" w:eastAsia="-webkit-standard" w:hAnsi="Times New Roman" w:cs="Times New Roman"/>
          <w:sz w:val="24"/>
          <w:szCs w:val="24"/>
        </w:rPr>
        <w:t xml:space="preserve">, El </w:t>
      </w:r>
      <w:proofErr w:type="spellStart"/>
      <w:r w:rsidRPr="004F3E88">
        <w:rPr>
          <w:rFonts w:ascii="Times New Roman" w:eastAsia="-webkit-standard" w:hAnsi="Times New Roman" w:cs="Times New Roman"/>
          <w:sz w:val="24"/>
          <w:szCs w:val="24"/>
        </w:rPr>
        <w:t>Amraoui</w:t>
      </w:r>
      <w:proofErr w:type="spellEnd"/>
      <w:r w:rsidRPr="004F3E88">
        <w:rPr>
          <w:rFonts w:ascii="Times New Roman" w:eastAsia="-webkit-standard" w:hAnsi="Times New Roman" w:cs="Times New Roman"/>
          <w:sz w:val="24"/>
          <w:szCs w:val="24"/>
        </w:rPr>
        <w:t xml:space="preserve"> M, Rafik H, </w:t>
      </w:r>
      <w:proofErr w:type="spellStart"/>
      <w:r w:rsidRPr="004F3E88">
        <w:rPr>
          <w:rFonts w:ascii="Times New Roman" w:eastAsia="-webkit-standard" w:hAnsi="Times New Roman" w:cs="Times New Roman"/>
          <w:sz w:val="24"/>
          <w:szCs w:val="24"/>
        </w:rPr>
        <w:t>Boui</w:t>
      </w:r>
      <w:proofErr w:type="spellEnd"/>
      <w:r w:rsidRPr="004F3E88">
        <w:rPr>
          <w:rFonts w:ascii="Times New Roman" w:eastAsia="-webkit-standard" w:hAnsi="Times New Roman" w:cs="Times New Roman"/>
          <w:sz w:val="24"/>
          <w:szCs w:val="24"/>
        </w:rPr>
        <w:t xml:space="preserve"> M, </w:t>
      </w:r>
      <w:proofErr w:type="spellStart"/>
      <w:r w:rsidRPr="004F3E88">
        <w:rPr>
          <w:rFonts w:ascii="Times New Roman" w:eastAsia="-webkit-standard" w:hAnsi="Times New Roman" w:cs="Times New Roman"/>
          <w:sz w:val="24"/>
          <w:szCs w:val="24"/>
        </w:rPr>
        <w:t>Hjira</w:t>
      </w:r>
      <w:proofErr w:type="spellEnd"/>
      <w:r w:rsidRPr="004F3E88">
        <w:rPr>
          <w:rFonts w:ascii="Times New Roman" w:eastAsia="-webkit-standard" w:hAnsi="Times New Roman" w:cs="Times New Roman"/>
          <w:sz w:val="24"/>
          <w:szCs w:val="24"/>
        </w:rPr>
        <w:t xml:space="preserve"> N. Dermatologic Manifestations in Patients on Chronic Hemodialysis. J Dermatol Res Ther. </w:t>
      </w:r>
      <w:proofErr w:type="gramStart"/>
      <w:r w:rsidRPr="004F3E88">
        <w:rPr>
          <w:rFonts w:ascii="Times New Roman" w:eastAsia="-webkit-standard" w:hAnsi="Times New Roman" w:cs="Times New Roman"/>
          <w:sz w:val="24"/>
          <w:szCs w:val="24"/>
        </w:rPr>
        <w:t>2019;5:069</w:t>
      </w:r>
      <w:proofErr w:type="gramEnd"/>
      <w:r w:rsidRPr="004F3E88">
        <w:rPr>
          <w:rFonts w:ascii="Times New Roman" w:eastAsia="-webkit-standard" w:hAnsi="Times New Roman" w:cs="Times New Roman"/>
          <w:sz w:val="24"/>
          <w:szCs w:val="24"/>
        </w:rPr>
        <w:t>.</w:t>
      </w:r>
    </w:p>
    <w:p w14:paraId="629540EB"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gramStart"/>
      <w:r w:rsidRPr="004F3E88">
        <w:rPr>
          <w:rFonts w:ascii="Times New Roman" w:eastAsia="SimSun" w:hAnsi="Times New Roman" w:cs="Times New Roman"/>
          <w:sz w:val="24"/>
          <w:szCs w:val="24"/>
        </w:rPr>
        <w:t>Santoro  A</w:t>
      </w:r>
      <w:proofErr w:type="gramEnd"/>
      <w:r w:rsidRPr="004F3E88">
        <w:rPr>
          <w:rFonts w:ascii="Times New Roman" w:eastAsia="SimSun" w:hAnsi="Times New Roman" w:cs="Times New Roman"/>
          <w:sz w:val="24"/>
          <w:szCs w:val="24"/>
        </w:rPr>
        <w:t xml:space="preserve">, </w:t>
      </w:r>
      <w:proofErr w:type="spellStart"/>
      <w:r w:rsidRPr="004F3E88">
        <w:rPr>
          <w:rFonts w:ascii="Times New Roman" w:eastAsia="SimSun" w:hAnsi="Times New Roman" w:cs="Times New Roman"/>
          <w:sz w:val="24"/>
          <w:szCs w:val="24"/>
        </w:rPr>
        <w:t>Gibertoni</w:t>
      </w:r>
      <w:proofErr w:type="spellEnd"/>
      <w:r w:rsidRPr="004F3E88">
        <w:rPr>
          <w:rFonts w:ascii="Times New Roman" w:eastAsia="SimSun" w:hAnsi="Times New Roman" w:cs="Times New Roman"/>
          <w:sz w:val="24"/>
          <w:szCs w:val="24"/>
        </w:rPr>
        <w:t xml:space="preserve"> D, </w:t>
      </w:r>
      <w:proofErr w:type="spellStart"/>
      <w:r w:rsidRPr="004F3E88">
        <w:rPr>
          <w:rFonts w:ascii="Times New Roman" w:eastAsia="SimSun" w:hAnsi="Times New Roman" w:cs="Times New Roman"/>
          <w:sz w:val="24"/>
          <w:szCs w:val="24"/>
        </w:rPr>
        <w:t>Ambrosini</w:t>
      </w:r>
      <w:proofErr w:type="spellEnd"/>
      <w:r w:rsidRPr="004F3E88">
        <w:rPr>
          <w:rFonts w:ascii="Times New Roman" w:eastAsia="SimSun" w:hAnsi="Times New Roman" w:cs="Times New Roman"/>
          <w:sz w:val="24"/>
          <w:szCs w:val="24"/>
        </w:rPr>
        <w:t xml:space="preserve"> </w:t>
      </w:r>
      <w:proofErr w:type="spellStart"/>
      <w:r w:rsidRPr="004F3E88">
        <w:rPr>
          <w:rFonts w:ascii="Times New Roman" w:eastAsia="SimSun" w:hAnsi="Times New Roman" w:cs="Times New Roman"/>
          <w:sz w:val="24"/>
          <w:szCs w:val="24"/>
        </w:rPr>
        <w:t>A,et</w:t>
      </w:r>
      <w:proofErr w:type="spellEnd"/>
      <w:r w:rsidRPr="004F3E88">
        <w:rPr>
          <w:rFonts w:ascii="Times New Roman" w:eastAsia="SimSun" w:hAnsi="Times New Roman" w:cs="Times New Roman"/>
          <w:sz w:val="24"/>
          <w:szCs w:val="24"/>
        </w:rPr>
        <w:t xml:space="preserve"> </w:t>
      </w:r>
      <w:proofErr w:type="spellStart"/>
      <w:r w:rsidRPr="004F3E88">
        <w:rPr>
          <w:rFonts w:ascii="Times New Roman" w:eastAsia="SimSun" w:hAnsi="Times New Roman" w:cs="Times New Roman"/>
          <w:sz w:val="24"/>
          <w:szCs w:val="24"/>
        </w:rPr>
        <w:t>al.Impact</w:t>
      </w:r>
      <w:proofErr w:type="spellEnd"/>
      <w:r w:rsidRPr="004F3E88">
        <w:rPr>
          <w:rFonts w:ascii="Times New Roman" w:eastAsia="SimSun" w:hAnsi="Times New Roman" w:cs="Times New Roman"/>
          <w:sz w:val="24"/>
          <w:szCs w:val="24"/>
        </w:rPr>
        <w:t xml:space="preserve"> of pruritus in patients undergoing hemodialysis in Italy: a patient-based survey. J. </w:t>
      </w:r>
      <w:proofErr w:type="gramStart"/>
      <w:r w:rsidRPr="004F3E88">
        <w:rPr>
          <w:rFonts w:ascii="Times New Roman" w:eastAsia="SimSun" w:hAnsi="Times New Roman" w:cs="Times New Roman"/>
          <w:sz w:val="24"/>
          <w:szCs w:val="24"/>
        </w:rPr>
        <w:t>Nephrol..</w:t>
      </w:r>
      <w:proofErr w:type="gramEnd"/>
      <w:r w:rsidRPr="004F3E88">
        <w:rPr>
          <w:rFonts w:ascii="Times New Roman" w:eastAsia="SimSun" w:hAnsi="Times New Roman" w:cs="Times New Roman"/>
          <w:sz w:val="24"/>
          <w:szCs w:val="24"/>
        </w:rPr>
        <w:t xml:space="preserve"> 2024:1-10.</w:t>
      </w:r>
    </w:p>
    <w:p w14:paraId="12E86153"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imSun" w:hAnsi="Times New Roman" w:cs="Times New Roman"/>
          <w:sz w:val="24"/>
          <w:szCs w:val="24"/>
          <w:lang w:bidi="ar"/>
        </w:rPr>
        <w:t>Kalantar-</w:t>
      </w:r>
      <w:proofErr w:type="gramStart"/>
      <w:r w:rsidRPr="004F3E88">
        <w:rPr>
          <w:rFonts w:ascii="Times New Roman" w:eastAsia="SimSun" w:hAnsi="Times New Roman" w:cs="Times New Roman"/>
          <w:sz w:val="24"/>
          <w:szCs w:val="24"/>
          <w:lang w:bidi="ar"/>
        </w:rPr>
        <w:t>Zadeh  K</w:t>
      </w:r>
      <w:proofErr w:type="gramEnd"/>
      <w:r w:rsidRPr="004F3E88">
        <w:rPr>
          <w:rFonts w:ascii="Times New Roman" w:eastAsia="SimSun" w:hAnsi="Times New Roman" w:cs="Times New Roman"/>
          <w:sz w:val="24"/>
          <w:szCs w:val="24"/>
          <w:lang w:bidi="ar"/>
        </w:rPr>
        <w:t xml:space="preserve">, Jafar TH, Nitsch D, </w:t>
      </w:r>
      <w:proofErr w:type="spellStart"/>
      <w:r w:rsidRPr="004F3E88">
        <w:rPr>
          <w:rFonts w:ascii="Times New Roman" w:eastAsia="SimSun" w:hAnsi="Times New Roman" w:cs="Times New Roman"/>
          <w:sz w:val="24"/>
          <w:szCs w:val="24"/>
          <w:lang w:bidi="ar"/>
        </w:rPr>
        <w:t>Neuen</w:t>
      </w:r>
      <w:proofErr w:type="spellEnd"/>
      <w:r w:rsidRPr="004F3E88">
        <w:rPr>
          <w:rFonts w:ascii="Times New Roman" w:eastAsia="SimSun" w:hAnsi="Times New Roman" w:cs="Times New Roman"/>
          <w:sz w:val="24"/>
          <w:szCs w:val="24"/>
          <w:lang w:bidi="ar"/>
        </w:rPr>
        <w:t xml:space="preserve"> BL, </w:t>
      </w:r>
      <w:proofErr w:type="spellStart"/>
      <w:r w:rsidRPr="004F3E88">
        <w:rPr>
          <w:rFonts w:ascii="Times New Roman" w:eastAsia="SimSun" w:hAnsi="Times New Roman" w:cs="Times New Roman"/>
          <w:sz w:val="24"/>
          <w:szCs w:val="24"/>
          <w:lang w:bidi="ar"/>
        </w:rPr>
        <w:t>Perkovic</w:t>
      </w:r>
      <w:proofErr w:type="spellEnd"/>
      <w:r w:rsidRPr="004F3E88">
        <w:rPr>
          <w:rFonts w:ascii="Times New Roman" w:eastAsia="SimSun" w:hAnsi="Times New Roman" w:cs="Times New Roman"/>
          <w:sz w:val="24"/>
          <w:szCs w:val="24"/>
          <w:lang w:bidi="ar"/>
        </w:rPr>
        <w:t xml:space="preserve"> V. Chronic kidney disease. The Lancet. 2021;398(10302):786-802.</w:t>
      </w:r>
    </w:p>
    <w:p w14:paraId="77EA5A7B"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Georgia" w:hAnsi="Times New Roman" w:cs="Times New Roman"/>
          <w:sz w:val="24"/>
          <w:szCs w:val="24"/>
        </w:rPr>
        <w:t>Smith AB, Johnson LM, Roberts PQ. Dermatological manifestations arising from hemodialysis in patients with End-Stage Renal Disease. J Renal Med. 2020;45(3):202–10.</w:t>
      </w:r>
    </w:p>
    <w:p w14:paraId="749E1CC3"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webkit-standard" w:hAnsi="Times New Roman" w:cs="Times New Roman"/>
          <w:sz w:val="24"/>
          <w:szCs w:val="24"/>
          <w:lang w:bidi="ar"/>
        </w:rPr>
        <w:t xml:space="preserve">Martin CE, </w:t>
      </w:r>
      <w:proofErr w:type="spellStart"/>
      <w:r w:rsidRPr="004F3E88">
        <w:rPr>
          <w:rFonts w:ascii="Times New Roman" w:eastAsia="-webkit-standard" w:hAnsi="Times New Roman" w:cs="Times New Roman"/>
          <w:sz w:val="24"/>
          <w:szCs w:val="24"/>
          <w:lang w:bidi="ar"/>
        </w:rPr>
        <w:t>Clotet-Freixas</w:t>
      </w:r>
      <w:proofErr w:type="spellEnd"/>
      <w:r w:rsidRPr="004F3E88">
        <w:rPr>
          <w:rFonts w:ascii="Times New Roman" w:eastAsia="-webkit-standard" w:hAnsi="Times New Roman" w:cs="Times New Roman"/>
          <w:sz w:val="24"/>
          <w:szCs w:val="24"/>
          <w:lang w:bidi="ar"/>
        </w:rPr>
        <w:t xml:space="preserve"> S, </w:t>
      </w:r>
      <w:proofErr w:type="spellStart"/>
      <w:r w:rsidRPr="004F3E88">
        <w:rPr>
          <w:rFonts w:ascii="Times New Roman" w:eastAsia="-webkit-standard" w:hAnsi="Times New Roman" w:cs="Times New Roman"/>
          <w:sz w:val="24"/>
          <w:szCs w:val="24"/>
          <w:lang w:bidi="ar"/>
        </w:rPr>
        <w:t>Farragher</w:t>
      </w:r>
      <w:proofErr w:type="spellEnd"/>
      <w:r w:rsidRPr="004F3E88">
        <w:rPr>
          <w:rFonts w:ascii="Times New Roman" w:eastAsia="-webkit-standard" w:hAnsi="Times New Roman" w:cs="Times New Roman"/>
          <w:sz w:val="24"/>
          <w:szCs w:val="24"/>
          <w:lang w:bidi="ar"/>
        </w:rPr>
        <w:t xml:space="preserve"> JF, Hundemer GL. Have</w:t>
      </w:r>
      <w:r w:rsidRPr="004F3E88">
        <w:rPr>
          <w:rFonts w:ascii="Times New Roman" w:eastAsia="-webkit-standard" w:hAnsi="Times New Roman" w:cs="Times New Roman"/>
          <w:sz w:val="24"/>
          <w:szCs w:val="24"/>
          <w:rtl/>
          <w:cs/>
        </w:rPr>
        <w:t>ً</w:t>
      </w:r>
      <w:r w:rsidRPr="004F3E88">
        <w:rPr>
          <w:rFonts w:ascii="Times New Roman" w:eastAsia="-webkit-standard" w:hAnsi="Times New Roman" w:cs="Times New Roman"/>
          <w:sz w:val="24"/>
          <w:szCs w:val="24"/>
          <w:lang w:bidi="ar"/>
        </w:rPr>
        <w:t> </w:t>
      </w:r>
      <w:r w:rsidRPr="004F3E88">
        <w:rPr>
          <w:rFonts w:ascii="Times New Roman" w:eastAsia="sans-serif" w:hAnsi="Times New Roman" w:cs="Times New Roman"/>
          <w:sz w:val="24"/>
          <w:szCs w:val="24"/>
          <w:lang w:bidi="ar"/>
        </w:rPr>
        <w:t>we just scratched the surface? A narrative review of uremic pruritus in 2020. Can J Kidney Health Dis. 2020;7:</w:t>
      </w:r>
    </w:p>
    <w:p w14:paraId="70C25D3F"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ans-serif" w:hAnsi="Times New Roman" w:cs="Times New Roman"/>
          <w:sz w:val="24"/>
          <w:szCs w:val="24"/>
        </w:rPr>
        <w:t>Combs SA, Teixeira JP, Germain MJ. Pruritus in kidney disease. Semin Nephrol. 2015;35(4):383–91.</w:t>
      </w:r>
    </w:p>
    <w:p w14:paraId="6B803631"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ans-serif" w:hAnsi="Times New Roman" w:cs="Times New Roman"/>
          <w:sz w:val="24"/>
          <w:szCs w:val="24"/>
        </w:rPr>
        <w:t xml:space="preserve"> Makar M, Smyth B, Brennan F. Chronic kidney disease-associated pruritus: a review. Kidney Blood Press Res. 2021;46(6):659–69.</w:t>
      </w:r>
    </w:p>
    <w:p w14:paraId="30ABDCD4"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egoe UI" w:hAnsi="Times New Roman" w:cs="Times New Roman"/>
          <w:sz w:val="24"/>
          <w:szCs w:val="24"/>
          <w:shd w:val="clear" w:color="auto" w:fill="FFFFFF"/>
          <w:lang w:bidi="ar"/>
        </w:rPr>
        <w:t>Al-</w:t>
      </w:r>
      <w:proofErr w:type="spellStart"/>
      <w:r w:rsidRPr="004F3E88">
        <w:rPr>
          <w:rFonts w:ascii="Times New Roman" w:eastAsia="Segoe UI" w:hAnsi="Times New Roman" w:cs="Times New Roman"/>
          <w:sz w:val="24"/>
          <w:szCs w:val="24"/>
          <w:shd w:val="clear" w:color="auto" w:fill="FFFFFF"/>
          <w:lang w:bidi="ar"/>
        </w:rPr>
        <w:t>Thnaibat</w:t>
      </w:r>
      <w:proofErr w:type="spellEnd"/>
      <w:r w:rsidRPr="004F3E88">
        <w:rPr>
          <w:rFonts w:ascii="Times New Roman" w:eastAsia="Segoe UI" w:hAnsi="Times New Roman" w:cs="Times New Roman"/>
          <w:sz w:val="24"/>
          <w:szCs w:val="24"/>
          <w:shd w:val="clear" w:color="auto" w:fill="FFFFFF"/>
          <w:lang w:bidi="ar"/>
        </w:rPr>
        <w:t xml:space="preserve"> MH, </w:t>
      </w:r>
      <w:proofErr w:type="spellStart"/>
      <w:r w:rsidRPr="004F3E88">
        <w:rPr>
          <w:rFonts w:ascii="Times New Roman" w:eastAsia="Segoe UI" w:hAnsi="Times New Roman" w:cs="Times New Roman"/>
          <w:sz w:val="24"/>
          <w:szCs w:val="24"/>
          <w:shd w:val="clear" w:color="auto" w:fill="FFFFFF"/>
          <w:lang w:bidi="ar"/>
        </w:rPr>
        <w:t>Urabi</w:t>
      </w:r>
      <w:proofErr w:type="spellEnd"/>
      <w:r w:rsidRPr="004F3E88">
        <w:rPr>
          <w:rFonts w:ascii="Times New Roman" w:eastAsia="Segoe UI" w:hAnsi="Times New Roman" w:cs="Times New Roman"/>
          <w:sz w:val="24"/>
          <w:szCs w:val="24"/>
          <w:shd w:val="clear" w:color="auto" w:fill="FFFFFF"/>
          <w:lang w:bidi="ar"/>
        </w:rPr>
        <w:t xml:space="preserve"> HM, </w:t>
      </w:r>
      <w:proofErr w:type="spellStart"/>
      <w:r w:rsidRPr="004F3E88">
        <w:rPr>
          <w:rFonts w:ascii="Times New Roman" w:eastAsia="Segoe UI" w:hAnsi="Times New Roman" w:cs="Times New Roman"/>
          <w:sz w:val="24"/>
          <w:szCs w:val="24"/>
          <w:shd w:val="clear" w:color="auto" w:fill="FFFFFF"/>
          <w:lang w:bidi="ar"/>
        </w:rPr>
        <w:t>Alkofahi</w:t>
      </w:r>
      <w:proofErr w:type="spellEnd"/>
      <w:r w:rsidRPr="004F3E88">
        <w:rPr>
          <w:rFonts w:ascii="Times New Roman" w:eastAsia="Segoe UI" w:hAnsi="Times New Roman" w:cs="Times New Roman"/>
          <w:sz w:val="24"/>
          <w:szCs w:val="24"/>
          <w:shd w:val="clear" w:color="auto" w:fill="FFFFFF"/>
          <w:lang w:bidi="ar"/>
        </w:rPr>
        <w:t xml:space="preserve"> HS, </w:t>
      </w:r>
      <w:proofErr w:type="spellStart"/>
      <w:r w:rsidRPr="004F3E88">
        <w:rPr>
          <w:rFonts w:ascii="Times New Roman" w:eastAsia="Segoe UI" w:hAnsi="Times New Roman" w:cs="Times New Roman"/>
          <w:sz w:val="24"/>
          <w:szCs w:val="24"/>
          <w:shd w:val="clear" w:color="auto" w:fill="FFFFFF"/>
          <w:lang w:bidi="ar"/>
        </w:rPr>
        <w:t>Alshriedeh</w:t>
      </w:r>
      <w:proofErr w:type="spellEnd"/>
      <w:r w:rsidRPr="004F3E88">
        <w:rPr>
          <w:rFonts w:ascii="Times New Roman" w:eastAsia="Segoe UI" w:hAnsi="Times New Roman" w:cs="Times New Roman"/>
          <w:sz w:val="24"/>
          <w:szCs w:val="24"/>
          <w:shd w:val="clear" w:color="auto" w:fill="FFFFFF"/>
          <w:lang w:bidi="ar"/>
        </w:rPr>
        <w:t xml:space="preserve"> OM, </w:t>
      </w:r>
      <w:proofErr w:type="spellStart"/>
      <w:r w:rsidRPr="004F3E88">
        <w:rPr>
          <w:rFonts w:ascii="Times New Roman" w:eastAsia="Segoe UI" w:hAnsi="Times New Roman" w:cs="Times New Roman"/>
          <w:sz w:val="24"/>
          <w:szCs w:val="24"/>
          <w:shd w:val="clear" w:color="auto" w:fill="FFFFFF"/>
          <w:lang w:bidi="ar"/>
        </w:rPr>
        <w:t>Alshraideh</w:t>
      </w:r>
      <w:proofErr w:type="spellEnd"/>
      <w:r w:rsidRPr="004F3E88">
        <w:rPr>
          <w:rFonts w:ascii="Times New Roman" w:eastAsia="Segoe UI" w:hAnsi="Times New Roman" w:cs="Times New Roman"/>
          <w:sz w:val="24"/>
          <w:szCs w:val="24"/>
          <w:shd w:val="clear" w:color="auto" w:fill="FFFFFF"/>
          <w:lang w:bidi="ar"/>
        </w:rPr>
        <w:t xml:space="preserve"> R, </w:t>
      </w:r>
      <w:proofErr w:type="spellStart"/>
      <w:r w:rsidRPr="004F3E88">
        <w:rPr>
          <w:rFonts w:ascii="Times New Roman" w:eastAsia="Segoe UI" w:hAnsi="Times New Roman" w:cs="Times New Roman"/>
          <w:sz w:val="24"/>
          <w:szCs w:val="24"/>
          <w:shd w:val="clear" w:color="auto" w:fill="FFFFFF"/>
          <w:lang w:bidi="ar"/>
        </w:rPr>
        <w:t>Esmadi</w:t>
      </w:r>
      <w:proofErr w:type="spellEnd"/>
      <w:r w:rsidRPr="004F3E88">
        <w:rPr>
          <w:rFonts w:ascii="Times New Roman" w:eastAsia="Segoe UI" w:hAnsi="Times New Roman" w:cs="Times New Roman"/>
          <w:sz w:val="24"/>
          <w:szCs w:val="24"/>
          <w:shd w:val="clear" w:color="auto" w:fill="FFFFFF"/>
          <w:lang w:bidi="ar"/>
        </w:rPr>
        <w:t xml:space="preserve"> H, </w:t>
      </w:r>
      <w:proofErr w:type="spellStart"/>
      <w:r w:rsidRPr="004F3E88">
        <w:rPr>
          <w:rFonts w:ascii="Times New Roman" w:eastAsia="Segoe UI" w:hAnsi="Times New Roman" w:cs="Times New Roman"/>
          <w:sz w:val="24"/>
          <w:szCs w:val="24"/>
          <w:shd w:val="clear" w:color="auto" w:fill="FFFFFF"/>
          <w:lang w:bidi="ar"/>
        </w:rPr>
        <w:t>Sheyyab</w:t>
      </w:r>
      <w:proofErr w:type="spellEnd"/>
      <w:r w:rsidRPr="004F3E88">
        <w:rPr>
          <w:rFonts w:ascii="Times New Roman" w:eastAsia="Segoe UI" w:hAnsi="Times New Roman" w:cs="Times New Roman"/>
          <w:sz w:val="24"/>
          <w:szCs w:val="24"/>
          <w:shd w:val="clear" w:color="auto" w:fill="FFFFFF"/>
          <w:lang w:bidi="ar"/>
        </w:rPr>
        <w:t xml:space="preserve"> A, </w:t>
      </w:r>
      <w:proofErr w:type="spellStart"/>
      <w:r w:rsidRPr="004F3E88">
        <w:rPr>
          <w:rFonts w:ascii="Times New Roman" w:eastAsia="Segoe UI" w:hAnsi="Times New Roman" w:cs="Times New Roman"/>
          <w:sz w:val="24"/>
          <w:szCs w:val="24"/>
          <w:shd w:val="clear" w:color="auto" w:fill="FFFFFF"/>
          <w:lang w:bidi="ar"/>
        </w:rPr>
        <w:t>Roumi</w:t>
      </w:r>
      <w:proofErr w:type="spellEnd"/>
      <w:r w:rsidRPr="004F3E88">
        <w:rPr>
          <w:rFonts w:ascii="Times New Roman" w:eastAsia="Segoe UI" w:hAnsi="Times New Roman" w:cs="Times New Roman"/>
          <w:sz w:val="24"/>
          <w:szCs w:val="24"/>
          <w:shd w:val="clear" w:color="auto" w:fill="FFFFFF"/>
          <w:lang w:bidi="ar"/>
        </w:rPr>
        <w:t xml:space="preserve"> Jamal B, Hasan HK. The skin manifestations in end-stage renal disease patients in Jordan, single-center experience. BMC Nephrol. 2025 Jan 4;26(1):6.</w:t>
      </w:r>
    </w:p>
    <w:p w14:paraId="4C438190"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Georgia" w:hAnsi="Times New Roman" w:cs="Times New Roman"/>
          <w:sz w:val="24"/>
          <w:szCs w:val="24"/>
        </w:rPr>
        <w:t xml:space="preserve">Pisoni RL, </w:t>
      </w:r>
      <w:proofErr w:type="spellStart"/>
      <w:r w:rsidRPr="004F3E88">
        <w:rPr>
          <w:rFonts w:ascii="Times New Roman" w:eastAsia="Georgia" w:hAnsi="Times New Roman" w:cs="Times New Roman"/>
          <w:sz w:val="24"/>
          <w:szCs w:val="24"/>
        </w:rPr>
        <w:t>Wikström</w:t>
      </w:r>
      <w:proofErr w:type="spellEnd"/>
      <w:r w:rsidRPr="004F3E88">
        <w:rPr>
          <w:rFonts w:ascii="Times New Roman" w:eastAsia="Georgia" w:hAnsi="Times New Roman" w:cs="Times New Roman"/>
          <w:sz w:val="24"/>
          <w:szCs w:val="24"/>
        </w:rPr>
        <w:t xml:space="preserve"> B, Elder </w:t>
      </w:r>
      <w:proofErr w:type="spellStart"/>
      <w:proofErr w:type="gramStart"/>
      <w:r w:rsidRPr="004F3E88">
        <w:rPr>
          <w:rFonts w:ascii="Times New Roman" w:eastAsia="Georgia" w:hAnsi="Times New Roman" w:cs="Times New Roman"/>
          <w:sz w:val="24"/>
          <w:szCs w:val="24"/>
        </w:rPr>
        <w:t>SJ,et</w:t>
      </w:r>
      <w:proofErr w:type="spellEnd"/>
      <w:r w:rsidRPr="004F3E88">
        <w:rPr>
          <w:rFonts w:ascii="Times New Roman" w:eastAsia="Georgia" w:hAnsi="Times New Roman" w:cs="Times New Roman"/>
          <w:sz w:val="24"/>
          <w:szCs w:val="24"/>
        </w:rPr>
        <w:t xml:space="preserve"> al.</w:t>
      </w:r>
      <w:proofErr w:type="gramEnd"/>
      <w:r w:rsidRPr="004F3E88">
        <w:rPr>
          <w:rFonts w:ascii="Times New Roman" w:eastAsia="Georgia" w:hAnsi="Times New Roman" w:cs="Times New Roman"/>
          <w:sz w:val="24"/>
          <w:szCs w:val="24"/>
        </w:rPr>
        <w:t xml:space="preserve"> Pruritus in </w:t>
      </w:r>
      <w:proofErr w:type="spellStart"/>
      <w:r w:rsidRPr="004F3E88">
        <w:rPr>
          <w:rFonts w:ascii="Times New Roman" w:eastAsia="Georgia" w:hAnsi="Times New Roman" w:cs="Times New Roman"/>
          <w:sz w:val="24"/>
          <w:szCs w:val="24"/>
        </w:rPr>
        <w:t>haemodialysis</w:t>
      </w:r>
      <w:proofErr w:type="spellEnd"/>
      <w:r w:rsidRPr="004F3E88">
        <w:rPr>
          <w:rFonts w:ascii="Times New Roman" w:eastAsia="Georgia" w:hAnsi="Times New Roman" w:cs="Times New Roman"/>
          <w:sz w:val="24"/>
          <w:szCs w:val="24"/>
        </w:rPr>
        <w:t xml:space="preserve"> patients: International results from the Dialysis Outcomes and Practice Patterns Study (DOPPS). Nephrol Dial Transplant. 2006;21(12):3495–505.</w:t>
      </w:r>
    </w:p>
    <w:p w14:paraId="54CE5544"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Georgia" w:hAnsi="Times New Roman" w:cs="Times New Roman"/>
          <w:sz w:val="24"/>
          <w:szCs w:val="24"/>
        </w:rPr>
        <w:t xml:space="preserve">Deshmukh SP, Sharma YK, Dash </w:t>
      </w:r>
      <w:proofErr w:type="spellStart"/>
      <w:proofErr w:type="gramStart"/>
      <w:r w:rsidRPr="004F3E88">
        <w:rPr>
          <w:rFonts w:ascii="Times New Roman" w:eastAsia="Georgia" w:hAnsi="Times New Roman" w:cs="Times New Roman"/>
          <w:sz w:val="24"/>
          <w:szCs w:val="24"/>
        </w:rPr>
        <w:t>K,et</w:t>
      </w:r>
      <w:proofErr w:type="spellEnd"/>
      <w:r w:rsidRPr="004F3E88">
        <w:rPr>
          <w:rFonts w:ascii="Times New Roman" w:eastAsia="Georgia" w:hAnsi="Times New Roman" w:cs="Times New Roman"/>
          <w:sz w:val="24"/>
          <w:szCs w:val="24"/>
        </w:rPr>
        <w:t xml:space="preserve"> al.</w:t>
      </w:r>
      <w:proofErr w:type="gramEnd"/>
      <w:r w:rsidRPr="004F3E88">
        <w:rPr>
          <w:rFonts w:ascii="Times New Roman" w:eastAsia="Georgia" w:hAnsi="Times New Roman" w:cs="Times New Roman"/>
          <w:sz w:val="24"/>
          <w:szCs w:val="24"/>
        </w:rPr>
        <w:t xml:space="preserve"> </w:t>
      </w:r>
      <w:proofErr w:type="spellStart"/>
      <w:r w:rsidRPr="004F3E88">
        <w:rPr>
          <w:rFonts w:ascii="Times New Roman" w:eastAsia="Georgia" w:hAnsi="Times New Roman" w:cs="Times New Roman"/>
          <w:sz w:val="24"/>
          <w:szCs w:val="24"/>
        </w:rPr>
        <w:t>Clinicoepidemiological</w:t>
      </w:r>
      <w:proofErr w:type="spellEnd"/>
      <w:r w:rsidRPr="004F3E88">
        <w:rPr>
          <w:rFonts w:ascii="Times New Roman" w:eastAsia="Georgia" w:hAnsi="Times New Roman" w:cs="Times New Roman"/>
          <w:sz w:val="24"/>
          <w:szCs w:val="24"/>
        </w:rPr>
        <w:t xml:space="preserve"> study of skin manifestations in patients of chronic renal failure on hemodialysis. Indian Dermatol Online J. 2013;4(1):18–21.</w:t>
      </w:r>
    </w:p>
    <w:p w14:paraId="0AA9F762"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Georgia" w:hAnsi="Times New Roman" w:cs="Times New Roman"/>
          <w:sz w:val="24"/>
          <w:szCs w:val="24"/>
        </w:rPr>
        <w:t xml:space="preserve">Anderson G, Smith L, Tan Y. Exploring the pathophysiology of pruritus in CKD and ESRD. J Renal </w:t>
      </w:r>
      <w:proofErr w:type="spellStart"/>
      <w:r w:rsidRPr="004F3E88">
        <w:rPr>
          <w:rFonts w:ascii="Times New Roman" w:eastAsia="Georgia" w:hAnsi="Times New Roman" w:cs="Times New Roman"/>
          <w:sz w:val="24"/>
          <w:szCs w:val="24"/>
        </w:rPr>
        <w:t>Pathophysiol</w:t>
      </w:r>
      <w:proofErr w:type="spellEnd"/>
      <w:r w:rsidRPr="004F3E88">
        <w:rPr>
          <w:rFonts w:ascii="Times New Roman" w:eastAsia="Georgia" w:hAnsi="Times New Roman" w:cs="Times New Roman"/>
          <w:sz w:val="24"/>
          <w:szCs w:val="24"/>
        </w:rPr>
        <w:t>. 2018;18(4):210–20.</w:t>
      </w:r>
    </w:p>
    <w:p w14:paraId="358430BC"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egoe UI" w:hAnsi="Times New Roman" w:cs="Times New Roman"/>
          <w:sz w:val="24"/>
          <w:szCs w:val="24"/>
          <w:lang w:bidi="ar"/>
        </w:rPr>
        <w:t xml:space="preserve">Udayakumar P, Balasubramanian S, Ramalingam KS, et al. Cutaneous manifestations in patients with chronic renal failure on hemodialysis Indian J Dermatol </w:t>
      </w:r>
      <w:proofErr w:type="spellStart"/>
      <w:r w:rsidRPr="004F3E88">
        <w:rPr>
          <w:rFonts w:ascii="Times New Roman" w:eastAsia="Segoe UI" w:hAnsi="Times New Roman" w:cs="Times New Roman"/>
          <w:sz w:val="24"/>
          <w:szCs w:val="24"/>
          <w:lang w:bidi="ar"/>
        </w:rPr>
        <w:t>Venereol</w:t>
      </w:r>
      <w:proofErr w:type="spellEnd"/>
      <w:r w:rsidRPr="004F3E88">
        <w:rPr>
          <w:rFonts w:ascii="Times New Roman" w:eastAsia="Segoe UI" w:hAnsi="Times New Roman" w:cs="Times New Roman"/>
          <w:sz w:val="24"/>
          <w:szCs w:val="24"/>
          <w:lang w:bidi="ar"/>
        </w:rPr>
        <w:t xml:space="preserve"> </w:t>
      </w:r>
      <w:proofErr w:type="spellStart"/>
      <w:r w:rsidRPr="004F3E88">
        <w:rPr>
          <w:rFonts w:ascii="Times New Roman" w:eastAsia="Segoe UI" w:hAnsi="Times New Roman" w:cs="Times New Roman"/>
          <w:sz w:val="24"/>
          <w:szCs w:val="24"/>
          <w:lang w:bidi="ar"/>
        </w:rPr>
        <w:t>Leprol</w:t>
      </w:r>
      <w:proofErr w:type="spellEnd"/>
      <w:r w:rsidRPr="004F3E88">
        <w:rPr>
          <w:rFonts w:ascii="Times New Roman" w:eastAsia="Segoe UI" w:hAnsi="Times New Roman" w:cs="Times New Roman"/>
          <w:sz w:val="24"/>
          <w:szCs w:val="24"/>
          <w:lang w:bidi="ar"/>
        </w:rPr>
        <w:t xml:space="preserve">. </w:t>
      </w:r>
      <w:proofErr w:type="gramStart"/>
      <w:r w:rsidRPr="004F3E88">
        <w:rPr>
          <w:rFonts w:ascii="Times New Roman" w:eastAsia="Segoe UI" w:hAnsi="Times New Roman" w:cs="Times New Roman"/>
          <w:sz w:val="24"/>
          <w:szCs w:val="24"/>
          <w:lang w:bidi="ar"/>
        </w:rPr>
        <w:t>2006;72:119</w:t>
      </w:r>
      <w:proofErr w:type="gramEnd"/>
      <w:r w:rsidRPr="004F3E88">
        <w:rPr>
          <w:rFonts w:ascii="Times New Roman" w:eastAsia="Segoe UI" w:hAnsi="Times New Roman" w:cs="Times New Roman"/>
          <w:sz w:val="24"/>
          <w:szCs w:val="24"/>
          <w:lang w:bidi="ar"/>
        </w:rPr>
        <w:t>–25.</w:t>
      </w:r>
    </w:p>
    <w:p w14:paraId="2B4E76BD"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proofErr w:type="spellStart"/>
      <w:r w:rsidRPr="004F3E88">
        <w:rPr>
          <w:rFonts w:ascii="Times New Roman" w:eastAsia="Georgia" w:hAnsi="Times New Roman" w:cs="Times New Roman"/>
          <w:sz w:val="24"/>
          <w:szCs w:val="24"/>
        </w:rPr>
        <w:t>Rashpa</w:t>
      </w:r>
      <w:proofErr w:type="spellEnd"/>
      <w:r w:rsidRPr="004F3E88">
        <w:rPr>
          <w:rFonts w:ascii="Times New Roman" w:eastAsia="Georgia" w:hAnsi="Times New Roman" w:cs="Times New Roman"/>
          <w:sz w:val="24"/>
          <w:szCs w:val="24"/>
        </w:rPr>
        <w:t xml:space="preserve"> RS, Mahajan VK, Kumar P, Mehta KS, Chauhan PS, Rawat R, Sharma V. Mucocutaneous Manifestations in Patients with Chronic Kidney Disease: A Cross-sectional Study. Indian Dermatol Online J. 2018;9(1):20–6.</w:t>
      </w:r>
    </w:p>
    <w:p w14:paraId="7C2DED59"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ans-serif" w:hAnsi="Times New Roman" w:cs="Times New Roman"/>
          <w:sz w:val="24"/>
          <w:szCs w:val="24"/>
          <w:shd w:val="clear" w:color="auto" w:fill="FFFFFF"/>
          <w:lang w:bidi="ar"/>
        </w:rPr>
        <w:t xml:space="preserve">Sultan MM, Mansour HH, </w:t>
      </w:r>
      <w:proofErr w:type="spellStart"/>
      <w:r w:rsidRPr="004F3E88">
        <w:rPr>
          <w:rFonts w:ascii="Times New Roman" w:eastAsia="sans-serif" w:hAnsi="Times New Roman" w:cs="Times New Roman"/>
          <w:sz w:val="24"/>
          <w:szCs w:val="24"/>
          <w:shd w:val="clear" w:color="auto" w:fill="FFFFFF"/>
          <w:lang w:bidi="ar"/>
        </w:rPr>
        <w:t>Wahby</w:t>
      </w:r>
      <w:proofErr w:type="spellEnd"/>
      <w:r w:rsidRPr="004F3E88">
        <w:rPr>
          <w:rFonts w:ascii="Times New Roman" w:eastAsia="sans-serif" w:hAnsi="Times New Roman" w:cs="Times New Roman"/>
          <w:sz w:val="24"/>
          <w:szCs w:val="24"/>
          <w:shd w:val="clear" w:color="auto" w:fill="FFFFFF"/>
          <w:lang w:bidi="ar"/>
        </w:rPr>
        <w:t xml:space="preserve"> IM, </w:t>
      </w:r>
      <w:proofErr w:type="spellStart"/>
      <w:r w:rsidRPr="004F3E88">
        <w:rPr>
          <w:rFonts w:ascii="Times New Roman" w:eastAsia="sans-serif" w:hAnsi="Times New Roman" w:cs="Times New Roman"/>
          <w:sz w:val="24"/>
          <w:szCs w:val="24"/>
          <w:shd w:val="clear" w:color="auto" w:fill="FFFFFF"/>
          <w:lang w:bidi="ar"/>
        </w:rPr>
        <w:t>Houdery</w:t>
      </w:r>
      <w:proofErr w:type="spellEnd"/>
      <w:r w:rsidRPr="004F3E88">
        <w:rPr>
          <w:rFonts w:ascii="Times New Roman" w:eastAsia="sans-serif" w:hAnsi="Times New Roman" w:cs="Times New Roman"/>
          <w:sz w:val="24"/>
          <w:szCs w:val="24"/>
          <w:shd w:val="clear" w:color="auto" w:fill="FFFFFF"/>
          <w:lang w:bidi="ar"/>
        </w:rPr>
        <w:t xml:space="preserve"> AS. Cutaneous manifestations in </w:t>
      </w:r>
      <w:proofErr w:type="spellStart"/>
      <w:r w:rsidRPr="004F3E88">
        <w:rPr>
          <w:rFonts w:ascii="Times New Roman" w:eastAsia="sans-serif" w:hAnsi="Times New Roman" w:cs="Times New Roman"/>
          <w:sz w:val="24"/>
          <w:szCs w:val="24"/>
          <w:shd w:val="clear" w:color="auto" w:fill="FFFFFF"/>
          <w:lang w:bidi="ar"/>
        </w:rPr>
        <w:t>egyptians</w:t>
      </w:r>
      <w:proofErr w:type="spellEnd"/>
      <w:r w:rsidRPr="004F3E88">
        <w:rPr>
          <w:rFonts w:ascii="Times New Roman" w:eastAsia="sans-serif" w:hAnsi="Times New Roman" w:cs="Times New Roman"/>
          <w:sz w:val="24"/>
          <w:szCs w:val="24"/>
          <w:shd w:val="clear" w:color="auto" w:fill="FFFFFF"/>
          <w:lang w:bidi="ar"/>
        </w:rPr>
        <w:t xml:space="preserve"> patients with chronic renal failure on regular hemodialysis J Egypt Women Dermatol Soc. 2010;7:49–55.</w:t>
      </w:r>
    </w:p>
    <w:p w14:paraId="08F7747C"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Pr>
      </w:pPr>
      <w:r w:rsidRPr="004F3E88">
        <w:rPr>
          <w:rFonts w:ascii="Times New Roman" w:eastAsia="Segoe UI" w:hAnsi="Times New Roman" w:cs="Times New Roman"/>
          <w:sz w:val="24"/>
          <w:szCs w:val="24"/>
        </w:rPr>
        <w:t>Anees M, Butt G, Gull S, et al.  Factors Affecting Dermatological Manifestations in Patients with End Stage Renal Disease. J Coll Physicians Surg Pak. 2018 Feb;28(2):98-102.</w:t>
      </w:r>
    </w:p>
    <w:p w14:paraId="183C63FC" w14:textId="77777777" w:rsidR="00481254" w:rsidRPr="004F3E88" w:rsidRDefault="00481254" w:rsidP="00481254">
      <w:pPr>
        <w:numPr>
          <w:ilvl w:val="0"/>
          <w:numId w:val="2"/>
        </w:numPr>
        <w:bidi w:val="0"/>
        <w:spacing w:after="0" w:line="240" w:lineRule="auto"/>
        <w:rPr>
          <w:rStyle w:val="HTMLCite"/>
          <w:rFonts w:ascii="Times New Roman" w:eastAsia="-webkit-standard" w:hAnsi="Times New Roman" w:cs="Times New Roman"/>
          <w:i w:val="0"/>
          <w:iCs w:val="0"/>
          <w:sz w:val="24"/>
          <w:szCs w:val="24"/>
        </w:rPr>
      </w:pPr>
      <w:r w:rsidRPr="004F3E88">
        <w:rPr>
          <w:rStyle w:val="HTMLCite"/>
          <w:rFonts w:ascii="Times New Roman" w:eastAsia="Cambria" w:hAnsi="Times New Roman" w:cs="Times New Roman"/>
          <w:i w:val="0"/>
          <w:iCs w:val="0"/>
          <w:sz w:val="24"/>
          <w:szCs w:val="24"/>
          <w:shd w:val="clear" w:color="auto" w:fill="FFFFFF"/>
        </w:rPr>
        <w:t xml:space="preserve">Gupta AK, Gupta MA, Cardella CJ, Haberman HF. Cutaneous associations of chronic renal failure and dialysis. Int J Dermatol. </w:t>
      </w:r>
      <w:proofErr w:type="gramStart"/>
      <w:r w:rsidRPr="004F3E88">
        <w:rPr>
          <w:rStyle w:val="HTMLCite"/>
          <w:rFonts w:ascii="Times New Roman" w:eastAsia="Cambria" w:hAnsi="Times New Roman" w:cs="Times New Roman"/>
          <w:i w:val="0"/>
          <w:iCs w:val="0"/>
          <w:sz w:val="24"/>
          <w:szCs w:val="24"/>
          <w:shd w:val="clear" w:color="auto" w:fill="FFFFFF"/>
        </w:rPr>
        <w:t>1986;25:498</w:t>
      </w:r>
      <w:proofErr w:type="gramEnd"/>
      <w:r w:rsidRPr="004F3E88">
        <w:rPr>
          <w:rStyle w:val="HTMLCite"/>
          <w:rFonts w:ascii="Times New Roman" w:eastAsia="Cambria" w:hAnsi="Times New Roman" w:cs="Times New Roman"/>
          <w:i w:val="0"/>
          <w:iCs w:val="0"/>
          <w:sz w:val="24"/>
          <w:szCs w:val="24"/>
          <w:shd w:val="clear" w:color="auto" w:fill="FFFFFF"/>
        </w:rPr>
        <w:t>–504.</w:t>
      </w:r>
    </w:p>
    <w:p w14:paraId="5FD47118" w14:textId="77777777" w:rsidR="00481254" w:rsidRPr="004F3E88" w:rsidRDefault="00481254" w:rsidP="00481254">
      <w:pPr>
        <w:numPr>
          <w:ilvl w:val="0"/>
          <w:numId w:val="2"/>
        </w:numPr>
        <w:bidi w:val="0"/>
        <w:spacing w:after="0" w:line="240" w:lineRule="auto"/>
        <w:rPr>
          <w:rFonts w:ascii="Times New Roman" w:eastAsia="-webkit-standard" w:hAnsi="Times New Roman" w:cs="Times New Roman"/>
          <w:sz w:val="24"/>
          <w:szCs w:val="24"/>
          <w:rtl/>
        </w:rPr>
      </w:pPr>
      <w:r w:rsidRPr="004F3E88">
        <w:rPr>
          <w:rStyle w:val="HTMLCite"/>
          <w:rFonts w:ascii="Times New Roman" w:eastAsia="Cambria" w:hAnsi="Times New Roman" w:cs="Times New Roman"/>
          <w:i w:val="0"/>
          <w:iCs w:val="0"/>
          <w:sz w:val="24"/>
          <w:szCs w:val="24"/>
          <w:shd w:val="clear" w:color="auto" w:fill="FFFFFF"/>
        </w:rPr>
        <w:t xml:space="preserve">Gilchrest BA, Rowe JW, Mihm MC. Bullous dermatosis of hemodialysis. Ann Intern Med. </w:t>
      </w:r>
      <w:proofErr w:type="gramStart"/>
      <w:r w:rsidRPr="004F3E88">
        <w:rPr>
          <w:rStyle w:val="HTMLCite"/>
          <w:rFonts w:ascii="Times New Roman" w:eastAsia="Cambria" w:hAnsi="Times New Roman" w:cs="Times New Roman"/>
          <w:i w:val="0"/>
          <w:iCs w:val="0"/>
          <w:sz w:val="24"/>
          <w:szCs w:val="24"/>
          <w:shd w:val="clear" w:color="auto" w:fill="FFFFFF"/>
        </w:rPr>
        <w:t>1975;83:480</w:t>
      </w:r>
      <w:proofErr w:type="gramEnd"/>
      <w:r w:rsidRPr="004F3E88">
        <w:rPr>
          <w:rStyle w:val="HTMLCite"/>
          <w:rFonts w:ascii="Times New Roman" w:eastAsia="Cambria" w:hAnsi="Times New Roman" w:cs="Times New Roman"/>
          <w:i w:val="0"/>
          <w:iCs w:val="0"/>
          <w:sz w:val="24"/>
          <w:szCs w:val="24"/>
          <w:shd w:val="clear" w:color="auto" w:fill="FFFFFF"/>
        </w:rPr>
        <w:t xml:space="preserve">–3. </w:t>
      </w:r>
    </w:p>
    <w:sectPr w:rsidR="00481254" w:rsidRPr="004F3E88" w:rsidSect="0009650E">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4A499" w14:textId="77777777" w:rsidR="00BC0323" w:rsidRDefault="00BC0323" w:rsidP="004902A9">
      <w:pPr>
        <w:spacing w:after="0" w:line="240" w:lineRule="auto"/>
      </w:pPr>
      <w:r>
        <w:separator/>
      </w:r>
    </w:p>
  </w:endnote>
  <w:endnote w:type="continuationSeparator" w:id="0">
    <w:p w14:paraId="1881A950" w14:textId="77777777" w:rsidR="00BC0323" w:rsidRDefault="00BC0323" w:rsidP="00490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ebkit-standard">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B662" w14:textId="77777777" w:rsidR="004902A9" w:rsidRDefault="004902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B17B1" w14:textId="77777777" w:rsidR="004902A9" w:rsidRDefault="00490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99965" w14:textId="77777777" w:rsidR="004902A9" w:rsidRDefault="004902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D8BDB" w14:textId="77777777" w:rsidR="00BC0323" w:rsidRDefault="00BC0323" w:rsidP="004902A9">
      <w:pPr>
        <w:spacing w:after="0" w:line="240" w:lineRule="auto"/>
      </w:pPr>
      <w:r>
        <w:separator/>
      </w:r>
    </w:p>
  </w:footnote>
  <w:footnote w:type="continuationSeparator" w:id="0">
    <w:p w14:paraId="7C7A9F1D" w14:textId="77777777" w:rsidR="00BC0323" w:rsidRDefault="00BC0323" w:rsidP="004902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C28F5" w14:textId="3104872D" w:rsidR="004902A9" w:rsidRDefault="004902A9">
    <w:pPr>
      <w:pStyle w:val="Header"/>
    </w:pPr>
    <w:r>
      <w:rPr>
        <w:noProof/>
      </w:rPr>
      <w:pict w14:anchorId="483840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994751" o:spid="_x0000_s2050"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3C01" w14:textId="07387FBA" w:rsidR="004902A9" w:rsidRDefault="004902A9">
    <w:pPr>
      <w:pStyle w:val="Header"/>
    </w:pPr>
    <w:r>
      <w:rPr>
        <w:noProof/>
      </w:rPr>
      <w:pict w14:anchorId="10181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994752" o:spid="_x0000_s2051"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143F0" w14:textId="1969DA65" w:rsidR="004902A9" w:rsidRDefault="004902A9">
    <w:pPr>
      <w:pStyle w:val="Header"/>
    </w:pPr>
    <w:r>
      <w:rPr>
        <w:noProof/>
      </w:rPr>
      <w:pict w14:anchorId="0CAB0E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994750" o:spid="_x0000_s2049"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3289A1"/>
    <w:multiLevelType w:val="singleLevel"/>
    <w:tmpl w:val="71E270C4"/>
    <w:lvl w:ilvl="0">
      <w:start w:val="1"/>
      <w:numFmt w:val="decimal"/>
      <w:suff w:val="space"/>
      <w:lvlText w:val="%1)"/>
      <w:lvlJc w:val="left"/>
      <w:rPr>
        <w:b/>
        <w:bCs/>
      </w:rPr>
    </w:lvl>
  </w:abstractNum>
  <w:abstractNum w:abstractNumId="1" w15:restartNumberingAfterBreak="0">
    <w:nsid w:val="7C814701"/>
    <w:multiLevelType w:val="hybridMultilevel"/>
    <w:tmpl w:val="E11EFF98"/>
    <w:lvl w:ilvl="0" w:tplc="0BAE8C1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B21"/>
    <w:rsid w:val="0009650E"/>
    <w:rsid w:val="001C0A2E"/>
    <w:rsid w:val="002060ED"/>
    <w:rsid w:val="00354009"/>
    <w:rsid w:val="00384A32"/>
    <w:rsid w:val="003A4A19"/>
    <w:rsid w:val="003B65E8"/>
    <w:rsid w:val="00481254"/>
    <w:rsid w:val="004902A9"/>
    <w:rsid w:val="004C2C3C"/>
    <w:rsid w:val="004C2FF4"/>
    <w:rsid w:val="004F3E88"/>
    <w:rsid w:val="005037B9"/>
    <w:rsid w:val="00505B21"/>
    <w:rsid w:val="005502F2"/>
    <w:rsid w:val="00623468"/>
    <w:rsid w:val="00775315"/>
    <w:rsid w:val="00840150"/>
    <w:rsid w:val="0093622C"/>
    <w:rsid w:val="00996D2E"/>
    <w:rsid w:val="00A617C1"/>
    <w:rsid w:val="00AF3144"/>
    <w:rsid w:val="00BC0323"/>
    <w:rsid w:val="00CE4055"/>
    <w:rsid w:val="00D9465D"/>
    <w:rsid w:val="00DD4B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66DB7D"/>
  <w15:docId w15:val="{F9D3107D-1EB2-4155-BCEB-2908E7E60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5037B9"/>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qFormat/>
    <w:rsid w:val="002060ED"/>
    <w:pPr>
      <w:spacing w:beforeAutospacing="1" w:after="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unhideWhenUsed/>
    <w:rsid w:val="002060ED"/>
    <w:rPr>
      <w:color w:val="0000FF" w:themeColor="hyperlink"/>
      <w:u w:val="single"/>
    </w:rPr>
  </w:style>
  <w:style w:type="character" w:styleId="Strong">
    <w:name w:val="Strong"/>
    <w:basedOn w:val="DefaultParagraphFont"/>
    <w:uiPriority w:val="22"/>
    <w:qFormat/>
    <w:rsid w:val="00996D2E"/>
    <w:rPr>
      <w:b/>
      <w:bCs/>
    </w:rPr>
  </w:style>
  <w:style w:type="character" w:customStyle="1" w:styleId="Heading3Char">
    <w:name w:val="Heading 3 Char"/>
    <w:basedOn w:val="DefaultParagraphFont"/>
    <w:link w:val="Heading3"/>
    <w:uiPriority w:val="9"/>
    <w:rsid w:val="005037B9"/>
    <w:rPr>
      <w:rFonts w:ascii="Times New Roman" w:eastAsia="Times New Roman" w:hAnsi="Times New Roman" w:cs="Times New Roman"/>
      <w:b/>
      <w:bCs/>
      <w:sz w:val="27"/>
      <w:szCs w:val="27"/>
    </w:rPr>
  </w:style>
  <w:style w:type="table" w:styleId="TableGrid">
    <w:name w:val="Table Grid"/>
    <w:basedOn w:val="TableNormal"/>
    <w:uiPriority w:val="59"/>
    <w:rsid w:val="00503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37B9"/>
    <w:rPr>
      <w:rFonts w:ascii="Tahoma" w:hAnsi="Tahoma" w:cs="Tahoma"/>
      <w:sz w:val="16"/>
      <w:szCs w:val="16"/>
    </w:rPr>
  </w:style>
  <w:style w:type="character" w:styleId="HTMLCite">
    <w:name w:val="HTML Cite"/>
    <w:basedOn w:val="DefaultParagraphFont"/>
    <w:rsid w:val="00481254"/>
    <w:rPr>
      <w:i/>
      <w:iCs/>
    </w:rPr>
  </w:style>
  <w:style w:type="paragraph" w:styleId="ListParagraph">
    <w:name w:val="List Paragraph"/>
    <w:basedOn w:val="Normal"/>
    <w:uiPriority w:val="34"/>
    <w:qFormat/>
    <w:rsid w:val="00A617C1"/>
    <w:pPr>
      <w:ind w:left="720"/>
      <w:contextualSpacing/>
    </w:pPr>
  </w:style>
  <w:style w:type="character" w:styleId="UnresolvedMention">
    <w:name w:val="Unresolved Mention"/>
    <w:basedOn w:val="DefaultParagraphFont"/>
    <w:uiPriority w:val="99"/>
    <w:semiHidden/>
    <w:unhideWhenUsed/>
    <w:rsid w:val="00AF3144"/>
    <w:rPr>
      <w:color w:val="605E5C"/>
      <w:shd w:val="clear" w:color="auto" w:fill="E1DFDD"/>
    </w:rPr>
  </w:style>
  <w:style w:type="paragraph" w:styleId="Header">
    <w:name w:val="header"/>
    <w:basedOn w:val="Normal"/>
    <w:link w:val="HeaderChar"/>
    <w:uiPriority w:val="99"/>
    <w:unhideWhenUsed/>
    <w:rsid w:val="004902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2A9"/>
  </w:style>
  <w:style w:type="paragraph" w:styleId="Footer">
    <w:name w:val="footer"/>
    <w:basedOn w:val="Normal"/>
    <w:link w:val="FooterChar"/>
    <w:uiPriority w:val="99"/>
    <w:unhideWhenUsed/>
    <w:rsid w:val="004902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4629">
      <w:bodyDiv w:val="1"/>
      <w:marLeft w:val="0"/>
      <w:marRight w:val="0"/>
      <w:marTop w:val="0"/>
      <w:marBottom w:val="0"/>
      <w:divBdr>
        <w:top w:val="none" w:sz="0" w:space="0" w:color="auto"/>
        <w:left w:val="none" w:sz="0" w:space="0" w:color="auto"/>
        <w:bottom w:val="none" w:sz="0" w:space="0" w:color="auto"/>
        <w:right w:val="none" w:sz="0" w:space="0" w:color="auto"/>
      </w:divBdr>
    </w:div>
    <w:div w:id="276181724">
      <w:bodyDiv w:val="1"/>
      <w:marLeft w:val="0"/>
      <w:marRight w:val="0"/>
      <w:marTop w:val="0"/>
      <w:marBottom w:val="0"/>
      <w:divBdr>
        <w:top w:val="none" w:sz="0" w:space="0" w:color="auto"/>
        <w:left w:val="none" w:sz="0" w:space="0" w:color="auto"/>
        <w:bottom w:val="none" w:sz="0" w:space="0" w:color="auto"/>
        <w:right w:val="none" w:sz="0" w:space="0" w:color="auto"/>
      </w:divBdr>
    </w:div>
    <w:div w:id="405305145">
      <w:bodyDiv w:val="1"/>
      <w:marLeft w:val="0"/>
      <w:marRight w:val="0"/>
      <w:marTop w:val="0"/>
      <w:marBottom w:val="0"/>
      <w:divBdr>
        <w:top w:val="none" w:sz="0" w:space="0" w:color="auto"/>
        <w:left w:val="none" w:sz="0" w:space="0" w:color="auto"/>
        <w:bottom w:val="none" w:sz="0" w:space="0" w:color="auto"/>
        <w:right w:val="none" w:sz="0" w:space="0" w:color="auto"/>
      </w:divBdr>
    </w:div>
    <w:div w:id="437986441">
      <w:bodyDiv w:val="1"/>
      <w:marLeft w:val="0"/>
      <w:marRight w:val="0"/>
      <w:marTop w:val="0"/>
      <w:marBottom w:val="0"/>
      <w:divBdr>
        <w:top w:val="none" w:sz="0" w:space="0" w:color="auto"/>
        <w:left w:val="none" w:sz="0" w:space="0" w:color="auto"/>
        <w:bottom w:val="none" w:sz="0" w:space="0" w:color="auto"/>
        <w:right w:val="none" w:sz="0" w:space="0" w:color="auto"/>
      </w:divBdr>
    </w:div>
    <w:div w:id="514003174">
      <w:bodyDiv w:val="1"/>
      <w:marLeft w:val="0"/>
      <w:marRight w:val="0"/>
      <w:marTop w:val="0"/>
      <w:marBottom w:val="0"/>
      <w:divBdr>
        <w:top w:val="none" w:sz="0" w:space="0" w:color="auto"/>
        <w:left w:val="none" w:sz="0" w:space="0" w:color="auto"/>
        <w:bottom w:val="none" w:sz="0" w:space="0" w:color="auto"/>
        <w:right w:val="none" w:sz="0" w:space="0" w:color="auto"/>
      </w:divBdr>
    </w:div>
    <w:div w:id="649751503">
      <w:bodyDiv w:val="1"/>
      <w:marLeft w:val="0"/>
      <w:marRight w:val="0"/>
      <w:marTop w:val="0"/>
      <w:marBottom w:val="0"/>
      <w:divBdr>
        <w:top w:val="none" w:sz="0" w:space="0" w:color="auto"/>
        <w:left w:val="none" w:sz="0" w:space="0" w:color="auto"/>
        <w:bottom w:val="none" w:sz="0" w:space="0" w:color="auto"/>
        <w:right w:val="none" w:sz="0" w:space="0" w:color="auto"/>
      </w:divBdr>
    </w:div>
    <w:div w:id="737170722">
      <w:bodyDiv w:val="1"/>
      <w:marLeft w:val="0"/>
      <w:marRight w:val="0"/>
      <w:marTop w:val="0"/>
      <w:marBottom w:val="0"/>
      <w:divBdr>
        <w:top w:val="none" w:sz="0" w:space="0" w:color="auto"/>
        <w:left w:val="none" w:sz="0" w:space="0" w:color="auto"/>
        <w:bottom w:val="none" w:sz="0" w:space="0" w:color="auto"/>
        <w:right w:val="none" w:sz="0" w:space="0" w:color="auto"/>
      </w:divBdr>
    </w:div>
    <w:div w:id="909383007">
      <w:bodyDiv w:val="1"/>
      <w:marLeft w:val="0"/>
      <w:marRight w:val="0"/>
      <w:marTop w:val="0"/>
      <w:marBottom w:val="0"/>
      <w:divBdr>
        <w:top w:val="none" w:sz="0" w:space="0" w:color="auto"/>
        <w:left w:val="none" w:sz="0" w:space="0" w:color="auto"/>
        <w:bottom w:val="none" w:sz="0" w:space="0" w:color="auto"/>
        <w:right w:val="none" w:sz="0" w:space="0" w:color="auto"/>
      </w:divBdr>
    </w:div>
    <w:div w:id="1315649221">
      <w:bodyDiv w:val="1"/>
      <w:marLeft w:val="0"/>
      <w:marRight w:val="0"/>
      <w:marTop w:val="0"/>
      <w:marBottom w:val="0"/>
      <w:divBdr>
        <w:top w:val="none" w:sz="0" w:space="0" w:color="auto"/>
        <w:left w:val="none" w:sz="0" w:space="0" w:color="auto"/>
        <w:bottom w:val="none" w:sz="0" w:space="0" w:color="auto"/>
        <w:right w:val="none" w:sz="0" w:space="0" w:color="auto"/>
      </w:divBdr>
    </w:div>
    <w:div w:id="1451164473">
      <w:bodyDiv w:val="1"/>
      <w:marLeft w:val="0"/>
      <w:marRight w:val="0"/>
      <w:marTop w:val="0"/>
      <w:marBottom w:val="0"/>
      <w:divBdr>
        <w:top w:val="none" w:sz="0" w:space="0" w:color="auto"/>
        <w:left w:val="none" w:sz="0" w:space="0" w:color="auto"/>
        <w:bottom w:val="none" w:sz="0" w:space="0" w:color="auto"/>
        <w:right w:val="none" w:sz="0" w:space="0" w:color="auto"/>
      </w:divBdr>
    </w:div>
    <w:div w:id="1849099895">
      <w:bodyDiv w:val="1"/>
      <w:marLeft w:val="0"/>
      <w:marRight w:val="0"/>
      <w:marTop w:val="0"/>
      <w:marBottom w:val="0"/>
      <w:divBdr>
        <w:top w:val="none" w:sz="0" w:space="0" w:color="auto"/>
        <w:left w:val="none" w:sz="0" w:space="0" w:color="auto"/>
        <w:bottom w:val="none" w:sz="0" w:space="0" w:color="auto"/>
        <w:right w:val="none" w:sz="0" w:space="0" w:color="auto"/>
      </w:divBdr>
    </w:div>
    <w:div w:id="19980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usrds.org/2019/view/USRDS_2019_ES_final.pdf%20\t%20_blan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lww.com/idoj/toc/2013/04010%20\t%20_blan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urnals.lww.com/cjasn/toc/2014/01000%20\t%20_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rds.org/2012/pdf/v2_ch1_12.pdf%20\t%20_blank"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1"/>
    <c:plotArea>
      <c:layout/>
      <c:barChart>
        <c:barDir val="bar"/>
        <c:grouping val="stacked"/>
        <c:varyColors val="0"/>
        <c:ser>
          <c:idx val="0"/>
          <c:order val="0"/>
          <c:tx>
            <c:strRef>
              <c:f>ورقة1!$B$1</c:f>
              <c:strCache>
                <c:ptCount val="1"/>
                <c:pt idx="0">
                  <c:v>سلسلة 1</c:v>
                </c:pt>
              </c:strCache>
            </c:strRef>
          </c:tx>
          <c:spPr>
            <a:solidFill>
              <a:srgbClr val="FF0000"/>
            </a:solidFill>
          </c:spPr>
          <c:invertIfNegative val="0"/>
          <c:dLbls>
            <c:dLbl>
              <c:idx val="0"/>
              <c:layout>
                <c:manualLayout>
                  <c:x val="0.35101010101010099"/>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155-43E2-82D4-92059C401885}"/>
                </c:ext>
              </c:extLst>
            </c:dLbl>
            <c:dLbl>
              <c:idx val="1"/>
              <c:layout>
                <c:manualLayout>
                  <c:x val="0.15151515151515152"/>
                  <c:y val="4.28724544480171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155-43E2-82D4-92059C401885}"/>
                </c:ext>
              </c:extLst>
            </c:dLbl>
            <c:dLbl>
              <c:idx val="2"/>
              <c:layout>
                <c:manualLayout>
                  <c:x val="0.12373737373737374"/>
                  <c:y val="1.71489817792068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155-43E2-82D4-92059C401885}"/>
                </c:ext>
              </c:extLst>
            </c:dLbl>
            <c:dLbl>
              <c:idx val="3"/>
              <c:layout>
                <c:manualLayout>
                  <c:x val="8.3333333333333384E-2"/>
                  <c:y val="4.2872454448017148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155-43E2-82D4-92059C401885}"/>
                </c:ext>
              </c:extLst>
            </c:dLbl>
            <c:spPr>
              <a:noFill/>
              <a:ln>
                <a:noFill/>
              </a:ln>
              <a:effectLst/>
            </c:spPr>
            <c:txPr>
              <a:bodyPr/>
              <a:lstStyle/>
              <a:p>
                <a:pPr>
                  <a:defRPr sz="12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ورقة1!$A$2:$A$5</c:f>
              <c:strCache>
                <c:ptCount val="4"/>
                <c:pt idx="0">
                  <c:v>Hypertension (HTN)</c:v>
                </c:pt>
                <c:pt idx="1">
                  <c:v>Diabetes (DM)</c:v>
                </c:pt>
                <c:pt idx="2">
                  <c:v>HTN &amp; DM</c:v>
                </c:pt>
                <c:pt idx="3">
                  <c:v>No Comorbidities</c:v>
                </c:pt>
              </c:strCache>
            </c:strRef>
          </c:cat>
          <c:val>
            <c:numRef>
              <c:f>ورقة1!$B$2:$B$5</c:f>
              <c:numCache>
                <c:formatCode>0%</c:formatCode>
                <c:ptCount val="4"/>
                <c:pt idx="0">
                  <c:v>0.74</c:v>
                </c:pt>
                <c:pt idx="1">
                  <c:v>0.23</c:v>
                </c:pt>
                <c:pt idx="2">
                  <c:v>0.16</c:v>
                </c:pt>
                <c:pt idx="3">
                  <c:v>0.06</c:v>
                </c:pt>
              </c:numCache>
            </c:numRef>
          </c:val>
          <c:extLst>
            <c:ext xmlns:c16="http://schemas.microsoft.com/office/drawing/2014/chart" uri="{C3380CC4-5D6E-409C-BE32-E72D297353CC}">
              <c16:uniqueId val="{00000004-3155-43E2-82D4-92059C401885}"/>
            </c:ext>
          </c:extLst>
        </c:ser>
        <c:dLbls>
          <c:showLegendKey val="0"/>
          <c:showVal val="1"/>
          <c:showCatName val="0"/>
          <c:showSerName val="0"/>
          <c:showPercent val="0"/>
          <c:showBubbleSize val="0"/>
        </c:dLbls>
        <c:gapWidth val="75"/>
        <c:overlap val="100"/>
        <c:axId val="145947648"/>
        <c:axId val="91944448"/>
      </c:barChart>
      <c:catAx>
        <c:axId val="145947648"/>
        <c:scaling>
          <c:orientation val="minMax"/>
        </c:scaling>
        <c:delete val="0"/>
        <c:axPos val="l"/>
        <c:numFmt formatCode="General" sourceLinked="0"/>
        <c:majorTickMark val="none"/>
        <c:minorTickMark val="none"/>
        <c:tickLblPos val="nextTo"/>
        <c:txPr>
          <a:bodyPr/>
          <a:lstStyle/>
          <a:p>
            <a:pPr>
              <a:defRPr sz="1100" b="1">
                <a:latin typeface="Times New Roman" pitchFamily="18" charset="0"/>
                <a:cs typeface="Times New Roman" pitchFamily="18" charset="0"/>
              </a:defRPr>
            </a:pPr>
            <a:endParaRPr lang="en-US"/>
          </a:p>
        </c:txPr>
        <c:crossAx val="91944448"/>
        <c:crosses val="autoZero"/>
        <c:auto val="1"/>
        <c:lblAlgn val="ctr"/>
        <c:lblOffset val="100"/>
        <c:noMultiLvlLbl val="0"/>
      </c:catAx>
      <c:valAx>
        <c:axId val="91944448"/>
        <c:scaling>
          <c:orientation val="minMax"/>
        </c:scaling>
        <c:delete val="0"/>
        <c:axPos val="b"/>
        <c:numFmt formatCode="0%" sourceLinked="1"/>
        <c:majorTickMark val="none"/>
        <c:minorTickMark val="none"/>
        <c:tickLblPos val="nextTo"/>
        <c:txPr>
          <a:bodyPr/>
          <a:lstStyle/>
          <a:p>
            <a:pPr>
              <a:defRPr sz="900" b="1">
                <a:latin typeface="Times New Roman" pitchFamily="18" charset="0"/>
                <a:cs typeface="Times New Roman" pitchFamily="18" charset="0"/>
              </a:defRPr>
            </a:pPr>
            <a:endParaRPr lang="en-US"/>
          </a:p>
        </c:txPr>
        <c:crossAx val="145947648"/>
        <c:crosses val="autoZero"/>
        <c:crossBetween val="between"/>
      </c:valAx>
    </c:plotArea>
    <c:plotVisOnly val="1"/>
    <c:dispBlanksAs val="gap"/>
    <c:showDLblsOverMax val="0"/>
  </c:chart>
  <c:spPr>
    <a:ln w="28575">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autoTitleDeleted val="0"/>
    <c:plotArea>
      <c:layout>
        <c:manualLayout>
          <c:layoutTarget val="inner"/>
          <c:xMode val="edge"/>
          <c:yMode val="edge"/>
          <c:x val="7.7439530095912729E-2"/>
          <c:y val="5.7396436556541544E-2"/>
          <c:w val="0.88574889677251878"/>
          <c:h val="0.74104317696831801"/>
        </c:manualLayout>
      </c:layout>
      <c:barChart>
        <c:barDir val="col"/>
        <c:grouping val="clustered"/>
        <c:varyColors val="0"/>
        <c:ser>
          <c:idx val="0"/>
          <c:order val="0"/>
          <c:tx>
            <c:strRef>
              <c:f>ورقة1!$B$1</c:f>
              <c:strCache>
                <c:ptCount val="1"/>
                <c:pt idx="0">
                  <c:v>Male</c:v>
                </c:pt>
              </c:strCache>
            </c:strRef>
          </c:tx>
          <c:spPr>
            <a:solidFill>
              <a:srgbClr val="FF000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ورقة1!$A$2:$A$5</c:f>
              <c:strCache>
                <c:ptCount val="4"/>
                <c:pt idx="0">
                  <c:v>Calcification</c:v>
                </c:pt>
                <c:pt idx="1">
                  <c:v>Uremic Neuropathy</c:v>
                </c:pt>
                <c:pt idx="2">
                  <c:v>Hyperpigmentation</c:v>
                </c:pt>
                <c:pt idx="3">
                  <c:v>Xerosis</c:v>
                </c:pt>
              </c:strCache>
            </c:strRef>
          </c:cat>
          <c:val>
            <c:numRef>
              <c:f>ورقة1!$B$2:$B$5</c:f>
              <c:numCache>
                <c:formatCode>0%</c:formatCode>
                <c:ptCount val="4"/>
                <c:pt idx="0">
                  <c:v>0.02</c:v>
                </c:pt>
                <c:pt idx="1">
                  <c:v>7.0000000000000007E-2</c:v>
                </c:pt>
                <c:pt idx="2">
                  <c:v>0.15</c:v>
                </c:pt>
                <c:pt idx="3">
                  <c:v>0.33</c:v>
                </c:pt>
              </c:numCache>
            </c:numRef>
          </c:val>
          <c:extLst>
            <c:ext xmlns:c16="http://schemas.microsoft.com/office/drawing/2014/chart" uri="{C3380CC4-5D6E-409C-BE32-E72D297353CC}">
              <c16:uniqueId val="{00000000-610E-4893-B75E-6C03C62DDB72}"/>
            </c:ext>
          </c:extLst>
        </c:ser>
        <c:ser>
          <c:idx val="1"/>
          <c:order val="1"/>
          <c:tx>
            <c:strRef>
              <c:f>ورقة1!$C$1</c:f>
              <c:strCache>
                <c:ptCount val="1"/>
                <c:pt idx="0">
                  <c:v>Female</c:v>
                </c:pt>
              </c:strCache>
            </c:strRef>
          </c:tx>
          <c:spPr>
            <a:solidFill>
              <a:srgbClr val="002060"/>
            </a:solidFill>
          </c:spPr>
          <c:invertIfNegative val="0"/>
          <c:dLbls>
            <c:spPr>
              <a:noFill/>
              <a:ln>
                <a:noFill/>
              </a:ln>
              <a:effectLst/>
            </c:spPr>
            <c:txPr>
              <a:bodyPr/>
              <a:lstStyle/>
              <a:p>
                <a:pPr>
                  <a:defRPr sz="1100" b="1">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ورقة1!$A$2:$A$5</c:f>
              <c:strCache>
                <c:ptCount val="4"/>
                <c:pt idx="0">
                  <c:v>Calcification</c:v>
                </c:pt>
                <c:pt idx="1">
                  <c:v>Uremic Neuropathy</c:v>
                </c:pt>
                <c:pt idx="2">
                  <c:v>Hyperpigmentation</c:v>
                </c:pt>
                <c:pt idx="3">
                  <c:v>Xerosis</c:v>
                </c:pt>
              </c:strCache>
            </c:strRef>
          </c:cat>
          <c:val>
            <c:numRef>
              <c:f>ورقة1!$C$2:$C$5</c:f>
              <c:numCache>
                <c:formatCode>0%</c:formatCode>
                <c:ptCount val="4"/>
                <c:pt idx="0">
                  <c:v>0.09</c:v>
                </c:pt>
                <c:pt idx="1">
                  <c:v>0.02</c:v>
                </c:pt>
                <c:pt idx="2">
                  <c:v>0.26</c:v>
                </c:pt>
                <c:pt idx="3">
                  <c:v>0.39</c:v>
                </c:pt>
              </c:numCache>
            </c:numRef>
          </c:val>
          <c:extLst>
            <c:ext xmlns:c16="http://schemas.microsoft.com/office/drawing/2014/chart" uri="{C3380CC4-5D6E-409C-BE32-E72D297353CC}">
              <c16:uniqueId val="{00000001-610E-4893-B75E-6C03C62DDB72}"/>
            </c:ext>
          </c:extLst>
        </c:ser>
        <c:dLbls>
          <c:showLegendKey val="0"/>
          <c:showVal val="1"/>
          <c:showCatName val="0"/>
          <c:showSerName val="0"/>
          <c:showPercent val="0"/>
          <c:showBubbleSize val="0"/>
        </c:dLbls>
        <c:gapWidth val="75"/>
        <c:axId val="167790848"/>
        <c:axId val="167792640"/>
      </c:barChart>
      <c:catAx>
        <c:axId val="167790848"/>
        <c:scaling>
          <c:orientation val="minMax"/>
        </c:scaling>
        <c:delete val="0"/>
        <c:axPos val="b"/>
        <c:numFmt formatCode="General" sourceLinked="0"/>
        <c:majorTickMark val="none"/>
        <c:minorTickMark val="none"/>
        <c:tickLblPos val="nextTo"/>
        <c:txPr>
          <a:bodyPr/>
          <a:lstStyle/>
          <a:p>
            <a:pPr>
              <a:defRPr b="0">
                <a:latin typeface="Times New Roman" pitchFamily="18" charset="0"/>
                <a:cs typeface="Times New Roman" pitchFamily="18" charset="0"/>
              </a:defRPr>
            </a:pPr>
            <a:endParaRPr lang="en-US"/>
          </a:p>
        </c:txPr>
        <c:crossAx val="167792640"/>
        <c:crosses val="autoZero"/>
        <c:auto val="1"/>
        <c:lblAlgn val="ctr"/>
        <c:lblOffset val="100"/>
        <c:noMultiLvlLbl val="0"/>
      </c:catAx>
      <c:valAx>
        <c:axId val="167792640"/>
        <c:scaling>
          <c:orientation val="minMax"/>
        </c:scaling>
        <c:delete val="0"/>
        <c:axPos val="l"/>
        <c:numFmt formatCode="0%" sourceLinked="1"/>
        <c:majorTickMark val="none"/>
        <c:minorTickMark val="none"/>
        <c:tickLblPos val="nextTo"/>
        <c:txPr>
          <a:bodyPr/>
          <a:lstStyle/>
          <a:p>
            <a:pPr>
              <a:defRPr sz="800" b="1">
                <a:latin typeface="Times New Roman" pitchFamily="18" charset="0"/>
                <a:cs typeface="Times New Roman" pitchFamily="18" charset="0"/>
              </a:defRPr>
            </a:pPr>
            <a:endParaRPr lang="en-US"/>
          </a:p>
        </c:txPr>
        <c:crossAx val="167790848"/>
        <c:crosses val="autoZero"/>
        <c:crossBetween val="between"/>
      </c:valAx>
    </c:plotArea>
    <c:legend>
      <c:legendPos val="b"/>
      <c:layout>
        <c:manualLayout>
          <c:xMode val="edge"/>
          <c:yMode val="edge"/>
          <c:x val="0.35090229105977139"/>
          <c:y val="0.90894889816625268"/>
          <c:w val="0.2981952255968004"/>
          <c:h val="9.0059545880864608E-2"/>
        </c:manualLayout>
      </c:layout>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spPr>
    <a:ln w="19050">
      <a:solidFill>
        <a:schemeClr val="tx1"/>
      </a:solidFill>
    </a:ln>
  </c:sp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13</Pages>
  <Words>3472</Words>
  <Characters>19791</Characters>
  <Application>Microsoft Office Word</Application>
  <DocSecurity>0</DocSecurity>
  <Lines>164</Lines>
  <Paragraphs>46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23217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pc-world</dc:creator>
  <cp:lastModifiedBy>SDI 1084</cp:lastModifiedBy>
  <cp:revision>18</cp:revision>
  <cp:lastPrinted>2025-03-29T21:53:00Z</cp:lastPrinted>
  <dcterms:created xsi:type="dcterms:W3CDTF">2025-03-29T20:47:00Z</dcterms:created>
  <dcterms:modified xsi:type="dcterms:W3CDTF">2025-04-02T05:33:00Z</dcterms:modified>
</cp:coreProperties>
</file>