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E519E" w14:textId="77777777" w:rsidR="00622105" w:rsidRDefault="00622105" w:rsidP="00622105">
      <w:pPr>
        <w:pStyle w:val="Author"/>
        <w:jc w:val="both"/>
        <w:rPr>
          <w:rFonts w:ascii="Arial" w:hAnsi="Arial" w:cs="Arial"/>
          <w:bCs/>
          <w:i/>
          <w:iCs/>
          <w:kern w:val="28"/>
          <w:sz w:val="20"/>
          <w:u w:val="single"/>
        </w:rPr>
      </w:pPr>
      <w:r w:rsidRPr="00622105">
        <w:rPr>
          <w:rFonts w:ascii="Arial" w:hAnsi="Arial" w:cs="Arial"/>
          <w:bCs/>
          <w:i/>
          <w:iCs/>
          <w:kern w:val="28"/>
          <w:sz w:val="20"/>
          <w:u w:val="single"/>
        </w:rPr>
        <w:t>Original Research Article</w:t>
      </w:r>
    </w:p>
    <w:p w14:paraId="7AB65533" w14:textId="77777777" w:rsidR="00FA36ED" w:rsidRPr="00622105" w:rsidRDefault="00FA36ED" w:rsidP="00622105">
      <w:pPr>
        <w:pStyle w:val="Author"/>
        <w:jc w:val="both"/>
        <w:rPr>
          <w:rFonts w:ascii="Arial" w:hAnsi="Arial" w:cs="Arial"/>
          <w:bCs/>
          <w:i/>
          <w:iCs/>
          <w:kern w:val="28"/>
          <w:sz w:val="20"/>
          <w:u w:val="single"/>
        </w:rPr>
      </w:pPr>
    </w:p>
    <w:p w14:paraId="2F20350E" w14:textId="139A4F90" w:rsidR="00A258C3" w:rsidRDefault="0009600A" w:rsidP="00441B6F">
      <w:pPr>
        <w:pStyle w:val="Author"/>
        <w:spacing w:line="240" w:lineRule="auto"/>
        <w:jc w:val="both"/>
        <w:rPr>
          <w:rFonts w:ascii="Arial" w:hAnsi="Arial" w:cs="Arial"/>
          <w:bCs/>
          <w:iCs/>
          <w:kern w:val="28"/>
          <w:sz w:val="36"/>
        </w:rPr>
      </w:pPr>
      <w:r w:rsidRPr="0009600A">
        <w:rPr>
          <w:rFonts w:ascii="Arial" w:hAnsi="Arial" w:cs="Arial"/>
          <w:bCs/>
          <w:iCs/>
          <w:kern w:val="28"/>
          <w:sz w:val="36"/>
        </w:rPr>
        <w:t xml:space="preserve">Protective Effects of Andrographis paniculate aqueous leaf extract against lead induced hematological toxicity in </w:t>
      </w:r>
      <w:r>
        <w:rPr>
          <w:rFonts w:ascii="Arial" w:hAnsi="Arial" w:cs="Arial"/>
          <w:bCs/>
          <w:iCs/>
          <w:kern w:val="28"/>
          <w:sz w:val="36"/>
        </w:rPr>
        <w:t xml:space="preserve">male </w:t>
      </w:r>
      <w:r w:rsidRPr="0009600A">
        <w:rPr>
          <w:rFonts w:ascii="Arial" w:hAnsi="Arial" w:cs="Arial"/>
          <w:bCs/>
          <w:iCs/>
          <w:kern w:val="28"/>
          <w:sz w:val="36"/>
        </w:rPr>
        <w:t>Wistar rats</w:t>
      </w:r>
    </w:p>
    <w:p w14:paraId="3EF013B2" w14:textId="77777777" w:rsidR="0009600A" w:rsidRPr="00790ADA" w:rsidRDefault="0009600A" w:rsidP="00441B6F">
      <w:pPr>
        <w:pStyle w:val="Author"/>
        <w:spacing w:line="240" w:lineRule="auto"/>
        <w:jc w:val="both"/>
        <w:rPr>
          <w:rFonts w:ascii="Arial" w:hAnsi="Arial" w:cs="Arial"/>
          <w:sz w:val="36"/>
        </w:rPr>
      </w:pPr>
    </w:p>
    <w:p w14:paraId="00B327B7" w14:textId="77777777" w:rsidR="008F6DAD" w:rsidRPr="00FB3A86" w:rsidRDefault="008F6DAD" w:rsidP="00441B6F">
      <w:pPr>
        <w:pStyle w:val="Affiliation"/>
        <w:spacing w:after="0" w:line="240" w:lineRule="auto"/>
        <w:jc w:val="both"/>
        <w:rPr>
          <w:rFonts w:ascii="Arial" w:hAnsi="Arial" w:cs="Arial"/>
        </w:rPr>
      </w:pPr>
    </w:p>
    <w:p w14:paraId="63056452" w14:textId="12E5CDD5" w:rsidR="00B01FCD" w:rsidRPr="00FB3A86" w:rsidRDefault="009560BB" w:rsidP="00441B6F">
      <w:pPr>
        <w:pStyle w:val="Copyright"/>
        <w:spacing w:after="0" w:line="240" w:lineRule="auto"/>
        <w:jc w:val="both"/>
        <w:rPr>
          <w:rFonts w:ascii="Arial" w:hAnsi="Arial" w:cs="Arial"/>
        </w:rPr>
        <w:sectPr w:rsidR="00B01FCD" w:rsidRPr="00FB3A86" w:rsidSect="00D05DF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B6B8270" wp14:editId="252B8DA6">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6515C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0E683EA" w14:textId="19F6186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65F97F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D0DA6B1" w14:textId="77777777" w:rsidTr="001E44FE">
        <w:tc>
          <w:tcPr>
            <w:tcW w:w="9576" w:type="dxa"/>
            <w:shd w:val="clear" w:color="auto" w:fill="F2F2F2"/>
          </w:tcPr>
          <w:p w14:paraId="340DAAE5" w14:textId="4C7DC034" w:rsidR="00357BB4" w:rsidRPr="00357BB4" w:rsidRDefault="00357BB4" w:rsidP="00357BB4">
            <w:pPr>
              <w:pStyle w:val="Body"/>
              <w:rPr>
                <w:rFonts w:ascii="Arial" w:eastAsia="Calibri" w:hAnsi="Arial" w:cs="Arial"/>
                <w:szCs w:val="22"/>
              </w:rPr>
            </w:pPr>
            <w:r w:rsidRPr="00357BB4">
              <w:rPr>
                <w:rFonts w:ascii="Arial" w:eastAsia="Calibri" w:hAnsi="Arial" w:cs="Arial"/>
                <w:b/>
                <w:bCs/>
                <w:szCs w:val="22"/>
              </w:rPr>
              <w:t>Aims</w:t>
            </w:r>
            <w:r w:rsidRPr="00357BB4">
              <w:rPr>
                <w:rFonts w:ascii="Arial" w:eastAsia="Calibri" w:hAnsi="Arial" w:cs="Arial"/>
                <w:szCs w:val="22"/>
              </w:rPr>
              <w:t xml:space="preserve">: This study aimed to evaluate the protective effects of </w:t>
            </w:r>
            <w:r w:rsidRPr="00357BB4">
              <w:rPr>
                <w:rFonts w:ascii="Arial" w:eastAsia="Calibri" w:hAnsi="Arial" w:cs="Arial"/>
                <w:i/>
                <w:iCs/>
                <w:szCs w:val="22"/>
              </w:rPr>
              <w:t>Andrographis paniculata</w:t>
            </w:r>
            <w:r w:rsidRPr="00357BB4">
              <w:rPr>
                <w:rFonts w:ascii="Arial" w:eastAsia="Calibri" w:hAnsi="Arial" w:cs="Arial"/>
                <w:szCs w:val="22"/>
              </w:rPr>
              <w:t xml:space="preserve"> (AP) aqueous leaf extract against lead-induced hematological toxicity in male Wistar rats.</w:t>
            </w:r>
          </w:p>
          <w:p w14:paraId="440EDD43" w14:textId="198059F8" w:rsidR="00357BB4" w:rsidRPr="00357BB4" w:rsidRDefault="00357BB4" w:rsidP="00357BB4">
            <w:pPr>
              <w:pStyle w:val="Body"/>
              <w:rPr>
                <w:rFonts w:ascii="Arial" w:eastAsia="Calibri" w:hAnsi="Arial" w:cs="Arial"/>
                <w:szCs w:val="22"/>
              </w:rPr>
            </w:pPr>
            <w:r w:rsidRPr="00357BB4">
              <w:rPr>
                <w:rFonts w:ascii="Arial" w:eastAsia="Calibri" w:hAnsi="Arial" w:cs="Arial"/>
                <w:b/>
                <w:bCs/>
                <w:szCs w:val="22"/>
              </w:rPr>
              <w:t>Study Design:</w:t>
            </w:r>
            <w:r w:rsidRPr="00357BB4">
              <w:rPr>
                <w:rFonts w:ascii="Arial" w:eastAsia="Calibri" w:hAnsi="Arial" w:cs="Arial"/>
                <w:szCs w:val="22"/>
              </w:rPr>
              <w:t xml:space="preserve"> A randomized controlled animal study.</w:t>
            </w:r>
          </w:p>
          <w:p w14:paraId="25D45B15" w14:textId="7B732E7E" w:rsidR="00357BB4" w:rsidRPr="00357BB4" w:rsidRDefault="00357BB4" w:rsidP="00357BB4">
            <w:pPr>
              <w:pStyle w:val="Body"/>
              <w:rPr>
                <w:rFonts w:ascii="Arial" w:eastAsia="Calibri" w:hAnsi="Arial" w:cs="Arial"/>
                <w:szCs w:val="22"/>
              </w:rPr>
            </w:pPr>
            <w:r w:rsidRPr="00357BB4">
              <w:rPr>
                <w:rFonts w:ascii="Arial" w:eastAsia="Calibri" w:hAnsi="Arial" w:cs="Arial"/>
                <w:b/>
                <w:bCs/>
                <w:szCs w:val="22"/>
              </w:rPr>
              <w:t xml:space="preserve">Place and Duration of Study: </w:t>
            </w:r>
            <w:r w:rsidRPr="00357BB4">
              <w:rPr>
                <w:rFonts w:ascii="Arial" w:eastAsia="Calibri" w:hAnsi="Arial" w:cs="Arial"/>
                <w:szCs w:val="22"/>
              </w:rPr>
              <w:t>Department of Biochemistry, University of Port Harcourt, Nigeria, conducted over 28 days.</w:t>
            </w:r>
          </w:p>
          <w:p w14:paraId="2AA83D56" w14:textId="468D4944" w:rsidR="00357BB4" w:rsidRPr="00357BB4" w:rsidRDefault="00357BB4" w:rsidP="00357BB4">
            <w:pPr>
              <w:pStyle w:val="Body"/>
              <w:rPr>
                <w:rFonts w:ascii="Arial" w:eastAsia="Calibri" w:hAnsi="Arial" w:cs="Arial"/>
                <w:szCs w:val="22"/>
              </w:rPr>
            </w:pPr>
            <w:r w:rsidRPr="00357BB4">
              <w:rPr>
                <w:rFonts w:ascii="Arial" w:eastAsia="Calibri" w:hAnsi="Arial" w:cs="Arial"/>
                <w:b/>
                <w:bCs/>
                <w:szCs w:val="22"/>
              </w:rPr>
              <w:t>Methodology:</w:t>
            </w:r>
            <w:r w:rsidRPr="00357BB4">
              <w:rPr>
                <w:rFonts w:ascii="Arial" w:eastAsia="Calibri" w:hAnsi="Arial" w:cs="Arial"/>
                <w:szCs w:val="22"/>
              </w:rPr>
              <w:t xml:space="preserve"> Thirty male Wistar rats (90–120 g) were randomly assigned into five groups (n=6). Group I (control) received no treatment, Group II was administered lead acetate (40 mg/kg), while Groups III, IV, and V were co-treated with AP at doses of 100 mg/kg, 200 mg/kg, and 300 mg/kg, respectively, alongside 40 mg/kg lead acetate. Following 28 days of treatment, blood samples were collected to assess blood lead levels and hematological indices, including hemoglobin (Hb), red blood cell count (RBC), white blood cell count (WBC), platelet count (PLT), mean corpuscular hemoglobin (MCH), and mean corpuscular volume (MCV). Data were analyzed using one-way ANOVA, with statistical significance set at P &lt; 0.05.</w:t>
            </w:r>
          </w:p>
          <w:p w14:paraId="771D98E6" w14:textId="7A4230AE" w:rsidR="00357BB4" w:rsidRPr="00357BB4" w:rsidRDefault="00357BB4" w:rsidP="00357BB4">
            <w:pPr>
              <w:pStyle w:val="Body"/>
              <w:rPr>
                <w:rFonts w:ascii="Arial" w:eastAsia="Calibri" w:hAnsi="Arial" w:cs="Arial"/>
                <w:szCs w:val="22"/>
              </w:rPr>
            </w:pPr>
            <w:r w:rsidRPr="00357BB4">
              <w:rPr>
                <w:rFonts w:ascii="Arial" w:eastAsia="Calibri" w:hAnsi="Arial" w:cs="Arial"/>
                <w:b/>
                <w:bCs/>
                <w:szCs w:val="22"/>
              </w:rPr>
              <w:t>Results</w:t>
            </w:r>
            <w:r w:rsidRPr="00357BB4">
              <w:rPr>
                <w:rFonts w:ascii="Arial" w:eastAsia="Calibri" w:hAnsi="Arial" w:cs="Arial"/>
                <w:szCs w:val="22"/>
              </w:rPr>
              <w:t>: Lead exposure significantly reduced Hb (8.50 ± 0.40 g/dL), RBC (4.20 ± 0.10 ×10⁶/µL), and packed cell volume (PCV: 24.00 ± 1.00%), while increasing WBC (16.83 ± 0.35 ×10³/µL) and PLT (615.33 ± 237.79 ×10³/µL) compared to controls. AP treatment dose-dependently mitigated these effects, with Group V (300 mg/kg AP) restoring Hb (13.30 ± 0.53 g/dL), RBC (6.80 ± 0.10 ×10⁶/µL), and PCV (38.67 ± 2.08%) to near-normal levels. A significant reduction in blood lead levels was also observed in AP-treated groups, particularly at 300 mg/kg.</w:t>
            </w:r>
          </w:p>
          <w:p w14:paraId="1A7386F8" w14:textId="457FA9FD" w:rsidR="00505F06" w:rsidRPr="00BA1B01" w:rsidRDefault="00357BB4" w:rsidP="00357BB4">
            <w:pPr>
              <w:pStyle w:val="Body"/>
              <w:spacing w:after="0"/>
              <w:rPr>
                <w:rFonts w:ascii="Arial" w:eastAsia="Calibri" w:hAnsi="Arial" w:cs="Arial"/>
                <w:szCs w:val="22"/>
              </w:rPr>
            </w:pPr>
            <w:r w:rsidRPr="00357BB4">
              <w:rPr>
                <w:rFonts w:ascii="Arial" w:eastAsia="Calibri" w:hAnsi="Arial" w:cs="Arial"/>
                <w:b/>
                <w:bCs/>
                <w:szCs w:val="22"/>
              </w:rPr>
              <w:t>Conclusion:</w:t>
            </w:r>
            <w:r w:rsidRPr="00357BB4">
              <w:rPr>
                <w:rFonts w:ascii="Arial" w:eastAsia="Calibri" w:hAnsi="Arial" w:cs="Arial"/>
                <w:szCs w:val="22"/>
              </w:rPr>
              <w:t xml:space="preserve"> </w:t>
            </w:r>
            <w:r w:rsidRPr="00357BB4">
              <w:rPr>
                <w:rFonts w:ascii="Arial" w:eastAsia="Calibri" w:hAnsi="Arial" w:cs="Arial"/>
                <w:i/>
                <w:iCs/>
                <w:szCs w:val="22"/>
              </w:rPr>
              <w:t xml:space="preserve">Andrographis paniculata </w:t>
            </w:r>
            <w:r w:rsidRPr="00357BB4">
              <w:rPr>
                <w:rFonts w:ascii="Arial" w:eastAsia="Calibri" w:hAnsi="Arial" w:cs="Arial"/>
                <w:szCs w:val="22"/>
              </w:rPr>
              <w:t>aqueous leaf extract exhibits protective effects against lead-induced hematological toxicity, likely through its antioxidant and anti-inflammatory properties. These findings support its potential as a natural therapeutic agent for mitigating lead toxicity. Further studies are warranted to elucidate its precise mechanisms of action.</w:t>
            </w:r>
          </w:p>
        </w:tc>
      </w:tr>
    </w:tbl>
    <w:p w14:paraId="6FC0C2E4" w14:textId="77777777" w:rsidR="00636EB2" w:rsidRDefault="00636EB2" w:rsidP="00441B6F">
      <w:pPr>
        <w:pStyle w:val="Body"/>
        <w:spacing w:after="0"/>
        <w:rPr>
          <w:rFonts w:ascii="Arial" w:hAnsi="Arial" w:cs="Arial"/>
          <w:i/>
        </w:rPr>
      </w:pPr>
    </w:p>
    <w:p w14:paraId="5101A8ED" w14:textId="1FCAA31E" w:rsidR="00A24E7E" w:rsidRDefault="00A24E7E" w:rsidP="00441B6F">
      <w:pPr>
        <w:pStyle w:val="Body"/>
        <w:spacing w:after="0"/>
        <w:rPr>
          <w:rFonts w:ascii="Arial" w:hAnsi="Arial" w:cs="Arial"/>
          <w:i/>
        </w:rPr>
      </w:pPr>
      <w:r>
        <w:rPr>
          <w:rFonts w:ascii="Arial" w:hAnsi="Arial" w:cs="Arial"/>
          <w:i/>
        </w:rPr>
        <w:t xml:space="preserve">Keywords: </w:t>
      </w:r>
      <w:r w:rsidR="00357BB4" w:rsidRPr="00357BB4">
        <w:rPr>
          <w:rFonts w:ascii="Arial" w:hAnsi="Arial" w:cs="Arial"/>
          <w:i/>
        </w:rPr>
        <w:t xml:space="preserve">Anemia, Andrographis </w:t>
      </w:r>
      <w:proofErr w:type="spellStart"/>
      <w:r w:rsidR="00357BB4" w:rsidRPr="00357BB4">
        <w:rPr>
          <w:rFonts w:ascii="Arial" w:hAnsi="Arial" w:cs="Arial"/>
          <w:i/>
        </w:rPr>
        <w:t>paniculata</w:t>
      </w:r>
      <w:proofErr w:type="spellEnd"/>
      <w:r w:rsidR="00357BB4" w:rsidRPr="00357BB4">
        <w:rPr>
          <w:rFonts w:ascii="Arial" w:hAnsi="Arial" w:cs="Arial"/>
          <w:i/>
        </w:rPr>
        <w:t xml:space="preserve">, Wistar Rat, </w:t>
      </w:r>
      <w:proofErr w:type="spellStart"/>
      <w:r w:rsidR="00357BB4" w:rsidRPr="00357BB4">
        <w:rPr>
          <w:rFonts w:ascii="Arial" w:hAnsi="Arial" w:cs="Arial"/>
          <w:i/>
        </w:rPr>
        <w:t>hematotoxicity</w:t>
      </w:r>
      <w:proofErr w:type="spellEnd"/>
    </w:p>
    <w:p w14:paraId="47BA6EEE" w14:textId="77777777" w:rsidR="00790ADA" w:rsidRDefault="00790ADA" w:rsidP="00441B6F">
      <w:pPr>
        <w:pStyle w:val="Body"/>
        <w:spacing w:after="0"/>
        <w:rPr>
          <w:rFonts w:ascii="Arial" w:hAnsi="Arial" w:cs="Arial"/>
          <w:i/>
        </w:rPr>
      </w:pPr>
    </w:p>
    <w:p w14:paraId="7FEA0BE9" w14:textId="77777777" w:rsidR="0024282C" w:rsidRDefault="0024282C" w:rsidP="00441B6F">
      <w:pPr>
        <w:pStyle w:val="Body"/>
        <w:spacing w:after="0"/>
        <w:rPr>
          <w:rFonts w:ascii="Arial" w:hAnsi="Arial" w:cs="Arial"/>
          <w:i/>
          <w:sz w:val="18"/>
        </w:rPr>
      </w:pPr>
    </w:p>
    <w:p w14:paraId="50D7F0F7" w14:textId="77777777" w:rsidR="00505F06" w:rsidRPr="00A24E7E" w:rsidRDefault="00505F06" w:rsidP="00441B6F">
      <w:pPr>
        <w:pStyle w:val="Body"/>
        <w:spacing w:after="0"/>
        <w:rPr>
          <w:rFonts w:ascii="Arial" w:hAnsi="Arial" w:cs="Arial"/>
          <w:i/>
        </w:rPr>
      </w:pPr>
    </w:p>
    <w:p w14:paraId="07440F5F" w14:textId="6DB322F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90E689B" w14:textId="77777777" w:rsidR="00790ADA" w:rsidRPr="00FB3A86" w:rsidRDefault="00790ADA" w:rsidP="00441B6F">
      <w:pPr>
        <w:pStyle w:val="AbstHead"/>
        <w:spacing w:after="0"/>
        <w:jc w:val="both"/>
        <w:rPr>
          <w:rFonts w:ascii="Arial" w:hAnsi="Arial" w:cs="Arial"/>
        </w:rPr>
      </w:pPr>
    </w:p>
    <w:p w14:paraId="2E5D32DA" w14:textId="77777777" w:rsidR="00017725" w:rsidRPr="00017725" w:rsidRDefault="00017725" w:rsidP="00017725">
      <w:pPr>
        <w:pStyle w:val="Body"/>
        <w:rPr>
          <w:rFonts w:ascii="Arial" w:hAnsi="Arial" w:cs="Arial"/>
        </w:rPr>
      </w:pPr>
      <w:r w:rsidRPr="00017725">
        <w:rPr>
          <w:rFonts w:ascii="Arial" w:hAnsi="Arial" w:cs="Arial"/>
        </w:rPr>
        <w:t xml:space="preserve">Lead has been utilized by humans for thousands of years due to its desirable properties, such as a low melting point, corrosion resistance, and high density. However, exposure to lead occurs primarily through inhalation and ingestion, leading to increased blood lead levels following intestinal absorption (Ray, 2016). Lead toxicity is associated with numerous adverse effects, including neurological, hematological, reproductive, renal, cardiovascular, and gastrointestinal complications (Debnath et al., 2019). The toxic effects of lead are particularly severe in children due to their increased vulnerability, as </w:t>
      </w:r>
      <w:r w:rsidRPr="00017725">
        <w:rPr>
          <w:rFonts w:ascii="Arial" w:hAnsi="Arial" w:cs="Arial"/>
        </w:rPr>
        <w:lastRenderedPageBreak/>
        <w:t>their developing tissues are more susceptible to damage. Even at low exposure levels, lead has been linked to behavioral problems, learning deficits, and reduced IQ in children (Rubin &amp; Strayer, 2008).</w:t>
      </w:r>
    </w:p>
    <w:p w14:paraId="3DE4CF88" w14:textId="77777777" w:rsidR="00017725" w:rsidRPr="00017725" w:rsidRDefault="00017725" w:rsidP="00017725">
      <w:pPr>
        <w:pStyle w:val="Body"/>
        <w:rPr>
          <w:rFonts w:ascii="Arial" w:hAnsi="Arial" w:cs="Arial"/>
        </w:rPr>
      </w:pPr>
      <w:r w:rsidRPr="00017725">
        <w:rPr>
          <w:rFonts w:ascii="Arial" w:hAnsi="Arial" w:cs="Arial"/>
        </w:rPr>
        <w:t>Among the various biological systems affected by lead exposure, the hematopoietic system is particularly vulnerable. Hemoglobin and erythrocytes are among the most affected components, with approximately 99% of absorbed lead binding to erythrocytes, where 85% is bound to heme (Ray, 2016). Lead interferes with hemoglobin synthesis by inhibiting key enzymes in the heme biosynthesis pathway, including δ-</w:t>
      </w:r>
      <w:proofErr w:type="spellStart"/>
      <w:r w:rsidRPr="00017725">
        <w:rPr>
          <w:rFonts w:ascii="Arial" w:hAnsi="Arial" w:cs="Arial"/>
        </w:rPr>
        <w:t>aminolevulinic</w:t>
      </w:r>
      <w:proofErr w:type="spellEnd"/>
      <w:r w:rsidRPr="00017725">
        <w:rPr>
          <w:rFonts w:ascii="Arial" w:hAnsi="Arial" w:cs="Arial"/>
        </w:rPr>
        <w:t xml:space="preserve"> acid dehydratase (ALAD), </w:t>
      </w:r>
      <w:proofErr w:type="spellStart"/>
      <w:r w:rsidRPr="00017725">
        <w:rPr>
          <w:rFonts w:ascii="Arial" w:hAnsi="Arial" w:cs="Arial"/>
        </w:rPr>
        <w:t>aminolevulinic</w:t>
      </w:r>
      <w:proofErr w:type="spellEnd"/>
      <w:r w:rsidRPr="00017725">
        <w:rPr>
          <w:rFonts w:ascii="Arial" w:hAnsi="Arial" w:cs="Arial"/>
        </w:rPr>
        <w:t xml:space="preserve"> acid synthetase (ALAS), and </w:t>
      </w:r>
      <w:proofErr w:type="spellStart"/>
      <w:r w:rsidRPr="00017725">
        <w:rPr>
          <w:rFonts w:ascii="Arial" w:hAnsi="Arial" w:cs="Arial"/>
        </w:rPr>
        <w:t>ferrochelatase</w:t>
      </w:r>
      <w:proofErr w:type="spellEnd"/>
      <w:r w:rsidRPr="00017725">
        <w:rPr>
          <w:rFonts w:ascii="Arial" w:hAnsi="Arial" w:cs="Arial"/>
        </w:rPr>
        <w:t xml:space="preserve"> (</w:t>
      </w:r>
      <w:proofErr w:type="spellStart"/>
      <w:r w:rsidRPr="00017725">
        <w:rPr>
          <w:rFonts w:ascii="Arial" w:hAnsi="Arial" w:cs="Arial"/>
        </w:rPr>
        <w:t>Dongre</w:t>
      </w:r>
      <w:proofErr w:type="spellEnd"/>
      <w:r w:rsidRPr="00017725">
        <w:rPr>
          <w:rFonts w:ascii="Arial" w:hAnsi="Arial" w:cs="Arial"/>
        </w:rPr>
        <w:t xml:space="preserve"> et al., 2011). These disruptions result in microcytic anemia, characterized by small red blood cells with compromised oxygen-carrying capacity. Additionally, lead exposure increases erythrocyte membrane fragility, leading to hemolysis and a reduced lifespan of circulating red blood cells (</w:t>
      </w:r>
      <w:proofErr w:type="spellStart"/>
      <w:r w:rsidRPr="00017725">
        <w:rPr>
          <w:rFonts w:ascii="Arial" w:hAnsi="Arial" w:cs="Arial"/>
        </w:rPr>
        <w:t>Kianoush</w:t>
      </w:r>
      <w:proofErr w:type="spellEnd"/>
      <w:r w:rsidRPr="00017725">
        <w:rPr>
          <w:rFonts w:ascii="Arial" w:hAnsi="Arial" w:cs="Arial"/>
        </w:rPr>
        <w:t xml:space="preserve"> &amp; </w:t>
      </w:r>
      <w:proofErr w:type="spellStart"/>
      <w:r w:rsidRPr="00017725">
        <w:rPr>
          <w:rFonts w:ascii="Arial" w:hAnsi="Arial" w:cs="Arial"/>
        </w:rPr>
        <w:t>Balali</w:t>
      </w:r>
      <w:proofErr w:type="spellEnd"/>
      <w:r w:rsidRPr="00017725">
        <w:rPr>
          <w:rFonts w:ascii="Arial" w:hAnsi="Arial" w:cs="Arial"/>
        </w:rPr>
        <w:t xml:space="preserve">, 2013). One of the earliest hematological markers of lead poisoning is basophilic stippling of erythrocytes, which results from the accumulation of ribonucleic acid degradation products (Ray, 2016). Chronic lead exposure is also associated with increased blood pressure, particularly in middle-aged and older individuals (Bergdahl &amp; </w:t>
      </w:r>
      <w:proofErr w:type="spellStart"/>
      <w:r w:rsidRPr="00017725">
        <w:rPr>
          <w:rFonts w:ascii="Arial" w:hAnsi="Arial" w:cs="Arial"/>
        </w:rPr>
        <w:t>Skerfving</w:t>
      </w:r>
      <w:proofErr w:type="spellEnd"/>
      <w:r w:rsidRPr="00017725">
        <w:rPr>
          <w:rFonts w:ascii="Arial" w:hAnsi="Arial" w:cs="Arial"/>
        </w:rPr>
        <w:t>, 2008).</w:t>
      </w:r>
    </w:p>
    <w:p w14:paraId="59141333" w14:textId="77777777" w:rsidR="00017725" w:rsidRPr="00017725" w:rsidRDefault="00017725" w:rsidP="00017725">
      <w:pPr>
        <w:pStyle w:val="Body"/>
        <w:rPr>
          <w:rFonts w:ascii="Arial" w:hAnsi="Arial" w:cs="Arial"/>
        </w:rPr>
      </w:pPr>
      <w:r w:rsidRPr="00017725">
        <w:rPr>
          <w:rFonts w:ascii="Arial" w:hAnsi="Arial" w:cs="Arial"/>
        </w:rPr>
        <w:t xml:space="preserve">Beyond its hematological effects, lead induces oxidative stress by inhibiting oxidative enzymes, leading to excessive production of reactive oxygen species (ROS) and subsequent cellular damage (Wani et al., 2015). Hemoglobin oxidation triggered by lead exposure promotes red blood cell hemolysis, further exacerbating anemia (Laksana et al., 2022). Additionally, lead disrupts vascular integrity by altering collagen synthesis and increasing blood vessel permeability, ultimately impairing immune function (Kosnett, 2006). Lead-induced anemia results from impaired heme synthesis, with ALAD inhibition preventing the conversion of </w:t>
      </w:r>
      <w:proofErr w:type="spellStart"/>
      <w:r w:rsidRPr="00017725">
        <w:rPr>
          <w:rFonts w:ascii="Arial" w:hAnsi="Arial" w:cs="Arial"/>
        </w:rPr>
        <w:t>aminolevulinic</w:t>
      </w:r>
      <w:proofErr w:type="spellEnd"/>
      <w:r w:rsidRPr="00017725">
        <w:rPr>
          <w:rFonts w:ascii="Arial" w:hAnsi="Arial" w:cs="Arial"/>
        </w:rPr>
        <w:t xml:space="preserve"> acid (ALA) into porphobilinogen, a key step in heme biosynthesis (Patrick, 2006). This disruption leads to the accumulation of heme precursors, which have been implicated in neuronal toxicity (Dongre et al., 2011).</w:t>
      </w:r>
    </w:p>
    <w:p w14:paraId="6CB7110F" w14:textId="77777777" w:rsidR="00017725" w:rsidRPr="00017725" w:rsidRDefault="00017725" w:rsidP="00017725">
      <w:pPr>
        <w:pStyle w:val="Body"/>
        <w:rPr>
          <w:rFonts w:ascii="Arial" w:hAnsi="Arial" w:cs="Arial"/>
        </w:rPr>
      </w:pPr>
      <w:r w:rsidRPr="00017725">
        <w:rPr>
          <w:rFonts w:ascii="Arial" w:hAnsi="Arial" w:cs="Arial"/>
        </w:rPr>
        <w:t xml:space="preserve">Andrographis </w:t>
      </w:r>
      <w:proofErr w:type="spellStart"/>
      <w:r w:rsidRPr="00017725">
        <w:rPr>
          <w:rFonts w:ascii="Arial" w:hAnsi="Arial" w:cs="Arial"/>
        </w:rPr>
        <w:t>paniculata</w:t>
      </w:r>
      <w:proofErr w:type="spellEnd"/>
      <w:r w:rsidRPr="00017725">
        <w:rPr>
          <w:rFonts w:ascii="Arial" w:hAnsi="Arial" w:cs="Arial"/>
        </w:rPr>
        <w:t xml:space="preserve"> (Family: </w:t>
      </w:r>
      <w:proofErr w:type="spellStart"/>
      <w:r w:rsidRPr="00017725">
        <w:rPr>
          <w:rFonts w:ascii="Arial" w:hAnsi="Arial" w:cs="Arial"/>
        </w:rPr>
        <w:t>Acanthaceae</w:t>
      </w:r>
      <w:proofErr w:type="spellEnd"/>
      <w:r w:rsidRPr="00017725">
        <w:rPr>
          <w:rFonts w:ascii="Arial" w:hAnsi="Arial" w:cs="Arial"/>
        </w:rPr>
        <w:t xml:space="preserve">) is a medicinal plant widely distributed across subtropical regions, including India, China, Vietnam, Malaysia, Thailand, and Nigeria. Due to its intensely bitter taste, A. paniculata is commonly referred to as the "King of Bitters" and has been traditionally used as a tonic for various ailments. Phytochemical analyses of A. paniculata have identified bioactive compounds such as andrographolide, </w:t>
      </w:r>
      <w:proofErr w:type="spellStart"/>
      <w:r w:rsidRPr="00017725">
        <w:rPr>
          <w:rFonts w:ascii="Arial" w:hAnsi="Arial" w:cs="Arial"/>
        </w:rPr>
        <w:t>deoxyandrographolide</w:t>
      </w:r>
      <w:proofErr w:type="spellEnd"/>
      <w:r w:rsidRPr="00017725">
        <w:rPr>
          <w:rFonts w:ascii="Arial" w:hAnsi="Arial" w:cs="Arial"/>
        </w:rPr>
        <w:t>, quercetin, kaempferol, and apigenin, which contribute to its therapeutic properties (Rammohan et al., 2008). The plant exhibits antioxidant, anti-inflammatory, antibacterial, anticancer, and hepatoprotective effects (Mehta et al., 2021). Additionally, andrographolide has been reported to inhibit platelet aggregation, which suggests a potential role in preventing thrombotic disorders and improving blood circulation (</w:t>
      </w:r>
      <w:proofErr w:type="spellStart"/>
      <w:r w:rsidRPr="00017725">
        <w:rPr>
          <w:rFonts w:ascii="Arial" w:hAnsi="Arial" w:cs="Arial"/>
        </w:rPr>
        <w:t>Owoade</w:t>
      </w:r>
      <w:proofErr w:type="spellEnd"/>
      <w:r w:rsidRPr="00017725">
        <w:rPr>
          <w:rFonts w:ascii="Arial" w:hAnsi="Arial" w:cs="Arial"/>
        </w:rPr>
        <w:t xml:space="preserve"> et al., 2021).</w:t>
      </w:r>
    </w:p>
    <w:p w14:paraId="26260300" w14:textId="62B8326B" w:rsidR="00790ADA" w:rsidRPr="00FB3A86" w:rsidRDefault="00017725" w:rsidP="00017725">
      <w:pPr>
        <w:pStyle w:val="Body"/>
        <w:spacing w:after="0"/>
        <w:rPr>
          <w:rFonts w:ascii="Arial" w:hAnsi="Arial" w:cs="Arial"/>
        </w:rPr>
      </w:pPr>
      <w:r w:rsidRPr="00017725">
        <w:rPr>
          <w:rFonts w:ascii="Arial" w:hAnsi="Arial" w:cs="Arial"/>
        </w:rPr>
        <w:t>Given its extensive pharmacological properties, Andrographis paniculata may offer a promising natural alternative for mitigating lead-induced hematological toxicity. Studies have demonstrated its potential in supporting immune function, reducing inflammation, and protecting against oxidative damage (</w:t>
      </w:r>
      <w:proofErr w:type="spellStart"/>
      <w:r w:rsidRPr="00017725">
        <w:rPr>
          <w:rFonts w:ascii="Arial" w:hAnsi="Arial" w:cs="Arial"/>
        </w:rPr>
        <w:t>Alasyam</w:t>
      </w:r>
      <w:proofErr w:type="spellEnd"/>
      <w:r w:rsidRPr="00017725">
        <w:rPr>
          <w:rFonts w:ascii="Arial" w:hAnsi="Arial" w:cs="Arial"/>
        </w:rPr>
        <w:t xml:space="preserve"> et al., 2017). This study aims to evaluate the protective effects of A. paniculata aqueous leaf extract on hematological indices in lead-exposed Wistar rats, providing insights into its potential therapeutic applications.</w:t>
      </w:r>
    </w:p>
    <w:p w14:paraId="1B4DDF15" w14:textId="4F10910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573F86E" w14:textId="77777777" w:rsidR="00790ADA" w:rsidRPr="00FB3A86" w:rsidRDefault="00790ADA" w:rsidP="00441B6F">
      <w:pPr>
        <w:pStyle w:val="AbstHead"/>
        <w:spacing w:after="0"/>
        <w:jc w:val="both"/>
        <w:rPr>
          <w:rFonts w:ascii="Arial" w:hAnsi="Arial" w:cs="Arial"/>
        </w:rPr>
      </w:pPr>
    </w:p>
    <w:p w14:paraId="5C64B81F" w14:textId="17DD6ABC" w:rsidR="003C66C0" w:rsidRPr="003C66C0" w:rsidRDefault="003C66C0" w:rsidP="003C66C0">
      <w:pPr>
        <w:pStyle w:val="Body"/>
        <w:rPr>
          <w:rFonts w:ascii="Arial" w:hAnsi="Arial" w:cs="Arial"/>
          <w:b/>
          <w:bCs/>
        </w:rPr>
      </w:pPr>
      <w:r>
        <w:rPr>
          <w:rFonts w:ascii="Arial" w:hAnsi="Arial" w:cs="Arial"/>
          <w:b/>
          <w:bCs/>
        </w:rPr>
        <w:t xml:space="preserve">2.1 </w:t>
      </w:r>
      <w:r w:rsidRPr="003C66C0">
        <w:rPr>
          <w:rFonts w:ascii="Arial" w:hAnsi="Arial" w:cs="Arial"/>
          <w:b/>
          <w:bCs/>
        </w:rPr>
        <w:t>Reagents, Chemicals, and Diets</w:t>
      </w:r>
    </w:p>
    <w:p w14:paraId="1EF85BE6" w14:textId="77777777" w:rsidR="003C66C0" w:rsidRPr="003C66C0" w:rsidRDefault="003C66C0" w:rsidP="003C66C0">
      <w:pPr>
        <w:pStyle w:val="Body"/>
        <w:rPr>
          <w:rFonts w:ascii="Arial" w:hAnsi="Arial" w:cs="Arial"/>
        </w:rPr>
      </w:pPr>
      <w:r w:rsidRPr="003C66C0">
        <w:rPr>
          <w:rFonts w:ascii="Arial" w:hAnsi="Arial" w:cs="Arial"/>
        </w:rPr>
        <w:t>The reagents and chemicals used in this study were of analytical grade and included chloroform (BDH Chemicals Ltd.), ethanol (95%), formalin (10%), biochemical reagent kits (</w:t>
      </w:r>
      <w:proofErr w:type="spellStart"/>
      <w:r w:rsidRPr="003C66C0">
        <w:rPr>
          <w:rFonts w:ascii="Arial" w:hAnsi="Arial" w:cs="Arial"/>
        </w:rPr>
        <w:t>Randox</w:t>
      </w:r>
      <w:proofErr w:type="spellEnd"/>
      <w:r w:rsidRPr="003C66C0">
        <w:rPr>
          <w:rFonts w:ascii="Arial" w:hAnsi="Arial" w:cs="Arial"/>
        </w:rPr>
        <w:t>), and Blue Crown 9mm feed (Top Feed Ltd.). Lead acetate was obtained from Sigma-Aldrich.</w:t>
      </w:r>
    </w:p>
    <w:p w14:paraId="0F1F9B4B" w14:textId="6A292A4F" w:rsidR="003C66C0" w:rsidRPr="003C66C0" w:rsidRDefault="003C66C0" w:rsidP="003C66C0">
      <w:pPr>
        <w:pStyle w:val="Body"/>
        <w:rPr>
          <w:rFonts w:ascii="Arial" w:hAnsi="Arial" w:cs="Arial"/>
          <w:b/>
          <w:bCs/>
        </w:rPr>
      </w:pPr>
      <w:r w:rsidRPr="003C66C0">
        <w:rPr>
          <w:rFonts w:ascii="Arial" w:hAnsi="Arial" w:cs="Arial"/>
          <w:b/>
          <w:bCs/>
        </w:rPr>
        <w:t>2.2 Plant Material</w:t>
      </w:r>
    </w:p>
    <w:p w14:paraId="4A954C16" w14:textId="77777777" w:rsidR="003C66C0" w:rsidRPr="003C66C0" w:rsidRDefault="003C66C0" w:rsidP="003C66C0">
      <w:pPr>
        <w:pStyle w:val="Body"/>
        <w:rPr>
          <w:rFonts w:ascii="Arial" w:hAnsi="Arial" w:cs="Arial"/>
        </w:rPr>
      </w:pPr>
      <w:r w:rsidRPr="003C66C0">
        <w:rPr>
          <w:rFonts w:ascii="Arial" w:hAnsi="Arial" w:cs="Arial"/>
        </w:rPr>
        <w:t xml:space="preserve">Fresh leaves of Andrographis paniculata were collected from a farmland at </w:t>
      </w:r>
      <w:proofErr w:type="spellStart"/>
      <w:r w:rsidRPr="003C66C0">
        <w:rPr>
          <w:rFonts w:ascii="Arial" w:hAnsi="Arial" w:cs="Arial"/>
        </w:rPr>
        <w:t>Choba</w:t>
      </w:r>
      <w:proofErr w:type="spellEnd"/>
      <w:r w:rsidRPr="003C66C0">
        <w:rPr>
          <w:rFonts w:ascii="Arial" w:hAnsi="Arial" w:cs="Arial"/>
        </w:rPr>
        <w:t>, Delta Campus, University of Port Harcourt, Rivers State, Nigeria. The leaves were identified and authenticated at the Department of Plant Science and Biotechnology, University of Port Harcourt, where a voucher specimen was deposited in the departmental herbarium.</w:t>
      </w:r>
    </w:p>
    <w:p w14:paraId="50786A16" w14:textId="185B07AD" w:rsidR="003C66C0" w:rsidRPr="003C66C0" w:rsidRDefault="003C66C0" w:rsidP="003C66C0">
      <w:pPr>
        <w:pStyle w:val="Body"/>
        <w:rPr>
          <w:rFonts w:ascii="Arial" w:hAnsi="Arial" w:cs="Arial"/>
          <w:b/>
          <w:bCs/>
        </w:rPr>
      </w:pPr>
      <w:r w:rsidRPr="003C66C0">
        <w:rPr>
          <w:rFonts w:ascii="Arial" w:hAnsi="Arial" w:cs="Arial"/>
          <w:b/>
          <w:bCs/>
        </w:rPr>
        <w:t>2.</w:t>
      </w:r>
      <w:r>
        <w:rPr>
          <w:rFonts w:ascii="Arial" w:hAnsi="Arial" w:cs="Arial"/>
          <w:b/>
          <w:bCs/>
        </w:rPr>
        <w:t>3</w:t>
      </w:r>
      <w:r w:rsidRPr="003C66C0">
        <w:rPr>
          <w:rFonts w:ascii="Arial" w:hAnsi="Arial" w:cs="Arial"/>
          <w:b/>
          <w:bCs/>
        </w:rPr>
        <w:t xml:space="preserve"> Preparation of Plant Extract</w:t>
      </w:r>
    </w:p>
    <w:p w14:paraId="368AB3AC" w14:textId="77777777" w:rsidR="003C66C0" w:rsidRPr="003C66C0" w:rsidRDefault="003C66C0" w:rsidP="003C66C0">
      <w:pPr>
        <w:pStyle w:val="Body"/>
        <w:rPr>
          <w:rFonts w:ascii="Arial" w:hAnsi="Arial" w:cs="Arial"/>
        </w:rPr>
      </w:pPr>
      <w:r w:rsidRPr="003C66C0">
        <w:rPr>
          <w:rFonts w:ascii="Arial" w:hAnsi="Arial" w:cs="Arial"/>
        </w:rPr>
        <w:t>The collected leaves were cleaned and air-dried at room temperature (30 ± 2°C) for seven days before being pulverized into fine powder using a laboratory mechanical grinder. The powdered leaves were stored in airtight Tarson bottles at 20°C until further use. To prepare the aqueous extract, 50 g of the powdered leaves were soaked in 600 mL of distilled water overnight. The mixture was filtered through muslin cloth and centrifuged at 5000 rpm for 10 minutes. The supernatant was filtered again, collected in sterile polypropylene tubes, and frozen at -20°C before being lyophilized for further use.</w:t>
      </w:r>
    </w:p>
    <w:p w14:paraId="76FAEED5" w14:textId="008605C4" w:rsidR="003C66C0" w:rsidRPr="003C66C0" w:rsidRDefault="003C66C0" w:rsidP="003C66C0">
      <w:pPr>
        <w:pStyle w:val="Body"/>
        <w:rPr>
          <w:rFonts w:ascii="Arial" w:hAnsi="Arial" w:cs="Arial"/>
          <w:b/>
          <w:bCs/>
        </w:rPr>
      </w:pPr>
      <w:r w:rsidRPr="003C66C0">
        <w:rPr>
          <w:rFonts w:ascii="Arial" w:hAnsi="Arial" w:cs="Arial"/>
          <w:b/>
          <w:bCs/>
        </w:rPr>
        <w:lastRenderedPageBreak/>
        <w:t>2.4 Animal Handling and Experimental Design</w:t>
      </w:r>
    </w:p>
    <w:p w14:paraId="13A96ACE" w14:textId="77777777" w:rsidR="003C66C0" w:rsidRPr="003C66C0" w:rsidRDefault="003C66C0" w:rsidP="003C66C0">
      <w:pPr>
        <w:pStyle w:val="Body"/>
        <w:rPr>
          <w:rFonts w:ascii="Arial" w:hAnsi="Arial" w:cs="Arial"/>
        </w:rPr>
      </w:pPr>
      <w:r w:rsidRPr="003C66C0">
        <w:rPr>
          <w:rFonts w:ascii="Arial" w:hAnsi="Arial" w:cs="Arial"/>
        </w:rPr>
        <w:t>Thirty (30) adult male Wistar rats (90–120 g) were housed in the University of Port Harcourt animal house under standard laboratory conditions of temperature, humidity, and unrestricted access to pelletized rat chow and water. The animals were allowed to acclimatize for one week before the study commenced.</w:t>
      </w:r>
    </w:p>
    <w:p w14:paraId="09526496" w14:textId="77777777" w:rsidR="003C66C0" w:rsidRPr="003C66C0" w:rsidRDefault="003C66C0" w:rsidP="003C66C0">
      <w:pPr>
        <w:pStyle w:val="Body"/>
        <w:rPr>
          <w:rFonts w:ascii="Arial" w:hAnsi="Arial" w:cs="Arial"/>
        </w:rPr>
      </w:pPr>
      <w:r w:rsidRPr="003C66C0">
        <w:rPr>
          <w:rFonts w:ascii="Arial" w:hAnsi="Arial" w:cs="Arial"/>
        </w:rPr>
        <w:t>The rats were randomly assigned into five groups (n = 6 per group) as follows:</w:t>
      </w:r>
    </w:p>
    <w:p w14:paraId="7017E52E" w14:textId="77777777" w:rsidR="003C66C0" w:rsidRPr="003C66C0" w:rsidRDefault="003C66C0" w:rsidP="003C66C0">
      <w:pPr>
        <w:pStyle w:val="Body"/>
        <w:rPr>
          <w:rFonts w:ascii="Arial" w:hAnsi="Arial" w:cs="Arial"/>
        </w:rPr>
      </w:pPr>
      <w:r w:rsidRPr="003C66C0">
        <w:rPr>
          <w:rFonts w:ascii="Arial" w:hAnsi="Arial" w:cs="Arial"/>
        </w:rPr>
        <w:t>Group I (Control): Received no treatment.</w:t>
      </w:r>
    </w:p>
    <w:p w14:paraId="5FBFFB16" w14:textId="77777777" w:rsidR="003C66C0" w:rsidRPr="003C66C0" w:rsidRDefault="003C66C0" w:rsidP="003C66C0">
      <w:pPr>
        <w:pStyle w:val="Body"/>
        <w:rPr>
          <w:rFonts w:ascii="Arial" w:hAnsi="Arial" w:cs="Arial"/>
        </w:rPr>
      </w:pPr>
      <w:r w:rsidRPr="003C66C0">
        <w:rPr>
          <w:rFonts w:ascii="Arial" w:hAnsi="Arial" w:cs="Arial"/>
        </w:rPr>
        <w:t>Group II (Lead-Treated): Administered 40 mg/kg lead acetate.</w:t>
      </w:r>
    </w:p>
    <w:p w14:paraId="6310720D" w14:textId="77777777" w:rsidR="003C66C0" w:rsidRPr="003C66C0" w:rsidRDefault="003C66C0" w:rsidP="003C66C0">
      <w:pPr>
        <w:pStyle w:val="Body"/>
        <w:rPr>
          <w:rFonts w:ascii="Arial" w:hAnsi="Arial" w:cs="Arial"/>
        </w:rPr>
      </w:pPr>
      <w:r w:rsidRPr="003C66C0">
        <w:rPr>
          <w:rFonts w:ascii="Arial" w:hAnsi="Arial" w:cs="Arial"/>
        </w:rPr>
        <w:t>Group III: Administered 40 mg/kg lead acetate + 100 mg/kg Andrographis paniculata extract.</w:t>
      </w:r>
    </w:p>
    <w:p w14:paraId="08F44E9E" w14:textId="77777777" w:rsidR="003C66C0" w:rsidRPr="003C66C0" w:rsidRDefault="003C66C0" w:rsidP="003C66C0">
      <w:pPr>
        <w:pStyle w:val="Body"/>
        <w:rPr>
          <w:rFonts w:ascii="Arial" w:hAnsi="Arial" w:cs="Arial"/>
        </w:rPr>
      </w:pPr>
      <w:r w:rsidRPr="003C66C0">
        <w:rPr>
          <w:rFonts w:ascii="Arial" w:hAnsi="Arial" w:cs="Arial"/>
        </w:rPr>
        <w:t>Group IV: Administered 40 mg/kg lead acetate + 200 mg/kg Andrographis paniculata extract.</w:t>
      </w:r>
    </w:p>
    <w:p w14:paraId="1F78BA79" w14:textId="77777777" w:rsidR="003C66C0" w:rsidRPr="003C66C0" w:rsidRDefault="003C66C0" w:rsidP="003C66C0">
      <w:pPr>
        <w:pStyle w:val="Body"/>
        <w:rPr>
          <w:rFonts w:ascii="Arial" w:hAnsi="Arial" w:cs="Arial"/>
        </w:rPr>
      </w:pPr>
      <w:r w:rsidRPr="003C66C0">
        <w:rPr>
          <w:rFonts w:ascii="Arial" w:hAnsi="Arial" w:cs="Arial"/>
        </w:rPr>
        <w:t>Group V: Administered 40 mg/kg lead acetate + 300 mg/kg Andrographis paniculata extract.</w:t>
      </w:r>
    </w:p>
    <w:p w14:paraId="75967AD6" w14:textId="77777777" w:rsidR="003C66C0" w:rsidRPr="003C66C0" w:rsidRDefault="003C66C0" w:rsidP="003C66C0">
      <w:pPr>
        <w:pStyle w:val="Body"/>
        <w:rPr>
          <w:rFonts w:ascii="Arial" w:hAnsi="Arial" w:cs="Arial"/>
        </w:rPr>
      </w:pPr>
      <w:r w:rsidRPr="003C66C0">
        <w:rPr>
          <w:rFonts w:ascii="Arial" w:hAnsi="Arial" w:cs="Arial"/>
        </w:rPr>
        <w:t>The lead acetate was administered orally using an oral gavage, 20 minutes after the administration of A. paniculata extract. Treatment was given once daily for 28 consecutive days. The dosage of lead acetate (40 mg/kg) was selected based on its established toxicity profile, where an LD50 of 150 mg/kg body weight has been reported (</w:t>
      </w:r>
      <w:proofErr w:type="spellStart"/>
      <w:r w:rsidRPr="003C66C0">
        <w:rPr>
          <w:rFonts w:ascii="Arial" w:hAnsi="Arial" w:cs="Arial"/>
        </w:rPr>
        <w:t>Debosree</w:t>
      </w:r>
      <w:proofErr w:type="spellEnd"/>
      <w:r w:rsidRPr="003C66C0">
        <w:rPr>
          <w:rFonts w:ascii="Arial" w:hAnsi="Arial" w:cs="Arial"/>
        </w:rPr>
        <w:t xml:space="preserve"> et al., 2012). The A. paniculata dosage was determined based on previous studies that calculated its LD50 to be greater than 3000 mg/kg body weight (Nasir et al., 2013).</w:t>
      </w:r>
    </w:p>
    <w:p w14:paraId="28F35D81" w14:textId="77777777" w:rsidR="003C66C0" w:rsidRPr="003C66C0" w:rsidRDefault="003C66C0" w:rsidP="003C66C0">
      <w:pPr>
        <w:pStyle w:val="Body"/>
        <w:rPr>
          <w:rFonts w:ascii="Arial" w:hAnsi="Arial" w:cs="Arial"/>
        </w:rPr>
      </w:pPr>
    </w:p>
    <w:p w14:paraId="1B56D7C9" w14:textId="77777777" w:rsidR="003C66C0" w:rsidRPr="003C66C0" w:rsidRDefault="003C66C0" w:rsidP="003C66C0">
      <w:pPr>
        <w:pStyle w:val="Body"/>
        <w:rPr>
          <w:rFonts w:ascii="Arial" w:hAnsi="Arial" w:cs="Arial"/>
        </w:rPr>
      </w:pPr>
      <w:r w:rsidRPr="003C66C0">
        <w:rPr>
          <w:rFonts w:ascii="Arial" w:hAnsi="Arial" w:cs="Arial"/>
        </w:rPr>
        <w:t>The body weight of the animals was recorded weekly to monitor any changes during the experiment.</w:t>
      </w:r>
    </w:p>
    <w:p w14:paraId="541CB7C7" w14:textId="4954500B" w:rsidR="003C66C0" w:rsidRPr="003C66C0" w:rsidRDefault="003C66C0" w:rsidP="003C66C0">
      <w:pPr>
        <w:pStyle w:val="Body"/>
        <w:rPr>
          <w:rFonts w:ascii="Arial" w:hAnsi="Arial" w:cs="Arial"/>
          <w:b/>
          <w:bCs/>
        </w:rPr>
      </w:pPr>
      <w:r w:rsidRPr="003C66C0">
        <w:rPr>
          <w:rFonts w:ascii="Arial" w:hAnsi="Arial" w:cs="Arial"/>
          <w:b/>
          <w:bCs/>
        </w:rPr>
        <w:t>2.5 Sample Collection</w:t>
      </w:r>
    </w:p>
    <w:p w14:paraId="6CC33BCF" w14:textId="77777777" w:rsidR="003C66C0" w:rsidRPr="003C66C0" w:rsidRDefault="003C66C0" w:rsidP="003C66C0">
      <w:pPr>
        <w:pStyle w:val="Body"/>
        <w:rPr>
          <w:rFonts w:ascii="Arial" w:hAnsi="Arial" w:cs="Arial"/>
        </w:rPr>
      </w:pPr>
      <w:r w:rsidRPr="003C66C0">
        <w:rPr>
          <w:rFonts w:ascii="Arial" w:hAnsi="Arial" w:cs="Arial"/>
        </w:rPr>
        <w:t>At the end of the 28-day treatment period, the rats were sedated using diethyl ether-soaked cotton wool in a desiccator. Blood samples were collected via the jugular vein into ethylenediaminetetraacetic acid (EDTA) tubes for blood lead level (BLL) determination and hematological analysis.</w:t>
      </w:r>
    </w:p>
    <w:p w14:paraId="0F3A8A8C" w14:textId="75228D06" w:rsidR="003C66C0" w:rsidRPr="003C66C0" w:rsidRDefault="003C66C0" w:rsidP="003C66C0">
      <w:pPr>
        <w:pStyle w:val="Body"/>
        <w:rPr>
          <w:rFonts w:ascii="Arial" w:hAnsi="Arial" w:cs="Arial"/>
          <w:b/>
          <w:bCs/>
        </w:rPr>
      </w:pPr>
      <w:r w:rsidRPr="003C66C0">
        <w:rPr>
          <w:rFonts w:ascii="Arial" w:hAnsi="Arial" w:cs="Arial"/>
          <w:b/>
          <w:bCs/>
        </w:rPr>
        <w:t>2.6 Determination of Blood Lead Levels</w:t>
      </w:r>
    </w:p>
    <w:p w14:paraId="53E1C6F8" w14:textId="77777777" w:rsidR="003C66C0" w:rsidRPr="003C66C0" w:rsidRDefault="003C66C0" w:rsidP="003C66C0">
      <w:pPr>
        <w:pStyle w:val="Body"/>
        <w:rPr>
          <w:rFonts w:ascii="Arial" w:hAnsi="Arial" w:cs="Arial"/>
        </w:rPr>
      </w:pPr>
      <w:r w:rsidRPr="003C66C0">
        <w:rPr>
          <w:rFonts w:ascii="Arial" w:hAnsi="Arial" w:cs="Arial"/>
        </w:rPr>
        <w:t xml:space="preserve">Blood samples were digested using a mixture of concentrated nitric acid and sulfuric acid, followed by oxidation with hydrogen peroxide. The pH of the digested samples was adjusted to approximately 3.0 using concentrated ammonia before lead was extracted into isobutyl methyl ketone using ammonium pyrrolidine </w:t>
      </w:r>
      <w:proofErr w:type="spellStart"/>
      <w:r w:rsidRPr="003C66C0">
        <w:rPr>
          <w:rFonts w:ascii="Arial" w:hAnsi="Arial" w:cs="Arial"/>
        </w:rPr>
        <w:t>dithiocarbamate</w:t>
      </w:r>
      <w:proofErr w:type="spellEnd"/>
      <w:r w:rsidRPr="003C66C0">
        <w:rPr>
          <w:rFonts w:ascii="Arial" w:hAnsi="Arial" w:cs="Arial"/>
        </w:rPr>
        <w:t xml:space="preserve"> (APDC). Lead concentration was then quantified using Atomic Absorption Spectroscopy (AAS), with a calibration curve prepared by plotting the absorbance of standard solutions against their known concentrations.</w:t>
      </w:r>
    </w:p>
    <w:p w14:paraId="2EB8EA11" w14:textId="612EA649" w:rsidR="003C66C0" w:rsidRPr="00905B3F" w:rsidRDefault="00905B3F" w:rsidP="003C66C0">
      <w:pPr>
        <w:pStyle w:val="Body"/>
        <w:rPr>
          <w:rFonts w:ascii="Arial" w:hAnsi="Arial" w:cs="Arial"/>
          <w:b/>
          <w:bCs/>
        </w:rPr>
      </w:pPr>
      <w:r w:rsidRPr="00905B3F">
        <w:rPr>
          <w:rFonts w:ascii="Arial" w:hAnsi="Arial" w:cs="Arial"/>
          <w:b/>
          <w:bCs/>
        </w:rPr>
        <w:t xml:space="preserve">2.7 </w:t>
      </w:r>
      <w:r w:rsidR="003C66C0" w:rsidRPr="00905B3F">
        <w:rPr>
          <w:rFonts w:ascii="Arial" w:hAnsi="Arial" w:cs="Arial"/>
          <w:b/>
          <w:bCs/>
        </w:rPr>
        <w:t>Determination of Hematological Indices</w:t>
      </w:r>
    </w:p>
    <w:p w14:paraId="06F853F0" w14:textId="77777777" w:rsidR="003C66C0" w:rsidRPr="003C66C0" w:rsidRDefault="003C66C0" w:rsidP="003C66C0">
      <w:pPr>
        <w:pStyle w:val="Body"/>
        <w:rPr>
          <w:rFonts w:ascii="Arial" w:hAnsi="Arial" w:cs="Arial"/>
        </w:rPr>
      </w:pPr>
      <w:r w:rsidRPr="003C66C0">
        <w:rPr>
          <w:rFonts w:ascii="Arial" w:hAnsi="Arial" w:cs="Arial"/>
        </w:rPr>
        <w:t>Hematological parameters were analyzed using an auto-hematology analyzer (URIT-2900Vet Plus). This analyzer measures changes in electrical resistance as blood cells pass through a detection aperture, enabling the enumeration of red blood cells (RBC), white blood cells (WBC), and platelet counts, along with their corresponding histograms. The analyzer was properly calibrated before sample analysis, and 13 µL of each blood sample was aspirated for automated measurement. Results for all hematological indices, including hemoglobin (Hb), packed cell volume (PCV), mean corpuscular hemoglobin (MCH), and mean corpuscular volume (MCV), were recorded automatically within 30–60 seconds after sample aspiration.</w:t>
      </w:r>
    </w:p>
    <w:p w14:paraId="4CDA6D07" w14:textId="77777777" w:rsidR="00790ADA" w:rsidRPr="00FB3A86" w:rsidRDefault="00790ADA" w:rsidP="00441B6F">
      <w:pPr>
        <w:pStyle w:val="Body"/>
        <w:spacing w:after="0"/>
        <w:rPr>
          <w:rFonts w:ascii="Arial" w:hAnsi="Arial" w:cs="Arial"/>
        </w:rPr>
      </w:pPr>
    </w:p>
    <w:p w14:paraId="7295845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025BBC" w14:textId="77777777" w:rsidR="00790ADA" w:rsidRPr="00FB3A86" w:rsidRDefault="00790ADA" w:rsidP="00441B6F">
      <w:pPr>
        <w:pStyle w:val="Head1"/>
        <w:spacing w:after="0"/>
        <w:jc w:val="both"/>
        <w:rPr>
          <w:rFonts w:ascii="Arial" w:hAnsi="Arial" w:cs="Arial"/>
        </w:rPr>
      </w:pPr>
    </w:p>
    <w:p w14:paraId="50E535EF" w14:textId="69362873" w:rsidR="00883D4A" w:rsidRPr="00782339" w:rsidRDefault="002B23A4" w:rsidP="00782339">
      <w:pPr>
        <w:pStyle w:val="NoSpacing"/>
        <w:jc w:val="both"/>
        <w:rPr>
          <w:rFonts w:ascii="Arial" w:hAnsi="Arial"/>
          <w:b/>
          <w:sz w:val="22"/>
          <w:szCs w:val="22"/>
        </w:rPr>
      </w:pPr>
      <w:r>
        <w:rPr>
          <w:rFonts w:ascii="Arial" w:hAnsi="Arial"/>
          <w:b/>
          <w:sz w:val="22"/>
          <w:szCs w:val="22"/>
        </w:rPr>
        <w:t xml:space="preserve">3.1 </w:t>
      </w:r>
      <w:r w:rsidR="00883D4A" w:rsidRPr="00782339">
        <w:rPr>
          <w:rFonts w:ascii="Arial" w:hAnsi="Arial"/>
          <w:b/>
          <w:sz w:val="22"/>
          <w:szCs w:val="22"/>
        </w:rPr>
        <w:t xml:space="preserve">Effect of aqueous extract of leaves of </w:t>
      </w:r>
      <w:r w:rsidR="00883D4A" w:rsidRPr="00782339">
        <w:rPr>
          <w:rFonts w:ascii="Arial" w:hAnsi="Arial"/>
          <w:b/>
          <w:i/>
          <w:sz w:val="22"/>
          <w:szCs w:val="22"/>
        </w:rPr>
        <w:t xml:space="preserve">Andrographis paniculata </w:t>
      </w:r>
      <w:r w:rsidR="00883D4A" w:rsidRPr="00782339">
        <w:rPr>
          <w:rFonts w:ascii="Arial" w:hAnsi="Arial"/>
          <w:b/>
          <w:sz w:val="22"/>
          <w:szCs w:val="22"/>
        </w:rPr>
        <w:t>on the blood lead level of lead acetate induced toxicity in male Wistar rats</w:t>
      </w:r>
    </w:p>
    <w:p w14:paraId="0452E141" w14:textId="77777777" w:rsidR="00883D4A" w:rsidRPr="00883D4A" w:rsidRDefault="00883D4A" w:rsidP="00883D4A">
      <w:pPr>
        <w:pStyle w:val="NoSpacing"/>
        <w:spacing w:line="360" w:lineRule="auto"/>
        <w:jc w:val="both"/>
        <w:rPr>
          <w:rFonts w:ascii="Arial" w:hAnsi="Arial"/>
        </w:rPr>
      </w:pPr>
      <w:r w:rsidRPr="00883D4A">
        <w:rPr>
          <w:rFonts w:ascii="Arial" w:hAnsi="Arial"/>
        </w:rPr>
        <w:t xml:space="preserve">The study revealed a dose-dependent reduction in blood lead levels (BLL) among AP-treated groups (Table 1). </w:t>
      </w:r>
    </w:p>
    <w:p w14:paraId="7A981C67" w14:textId="77777777" w:rsidR="00883D4A" w:rsidRPr="00883D4A" w:rsidRDefault="00883D4A" w:rsidP="00883D4A">
      <w:pPr>
        <w:pStyle w:val="NoSpacing"/>
        <w:spacing w:line="360" w:lineRule="auto"/>
        <w:jc w:val="both"/>
        <w:rPr>
          <w:rFonts w:ascii="Arial" w:hAnsi="Arial"/>
        </w:rPr>
      </w:pPr>
    </w:p>
    <w:p w14:paraId="3886988D" w14:textId="77777777" w:rsidR="00883D4A" w:rsidRPr="00883D4A" w:rsidRDefault="00883D4A" w:rsidP="001842A5">
      <w:pPr>
        <w:spacing w:beforeLines="40" w:before="96" w:afterLines="40" w:after="96"/>
        <w:rPr>
          <w:rFonts w:ascii="Arial" w:hAnsi="Arial" w:cs="Arial"/>
          <w:b/>
          <w:bCs/>
        </w:rPr>
      </w:pPr>
      <w:r w:rsidRPr="00883D4A">
        <w:rPr>
          <w:rFonts w:ascii="Arial" w:hAnsi="Arial" w:cs="Arial"/>
          <w:b/>
          <w:bCs/>
        </w:rPr>
        <w:lastRenderedPageBreak/>
        <w:t>Table 1: Body weight (g) of rat groups after 4 weeks of treatment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1948"/>
        <w:gridCol w:w="1948"/>
        <w:gridCol w:w="1949"/>
        <w:gridCol w:w="1949"/>
      </w:tblGrid>
      <w:tr w:rsidR="00883D4A" w:rsidRPr="00883D4A" w14:paraId="27C3792D" w14:textId="77777777" w:rsidTr="0016379D">
        <w:tc>
          <w:tcPr>
            <w:tcW w:w="1948" w:type="dxa"/>
            <w:tcBorders>
              <w:top w:val="single" w:sz="4" w:space="0" w:color="auto"/>
              <w:bottom w:val="single" w:sz="4" w:space="0" w:color="auto"/>
            </w:tcBorders>
          </w:tcPr>
          <w:p w14:paraId="1E9719E3" w14:textId="77777777" w:rsidR="00883D4A" w:rsidRPr="00883D4A" w:rsidRDefault="00883D4A" w:rsidP="0016379D">
            <w:pPr>
              <w:spacing w:beforeLines="40" w:before="96" w:afterLines="40" w:after="96"/>
              <w:rPr>
                <w:rFonts w:ascii="Arial" w:hAnsi="Arial" w:cs="Arial"/>
                <w:b/>
                <w:bCs/>
                <w:sz w:val="20"/>
                <w:szCs w:val="20"/>
              </w:rPr>
            </w:pPr>
            <w:r w:rsidRPr="00883D4A">
              <w:rPr>
                <w:rFonts w:ascii="Arial" w:hAnsi="Arial" w:cs="Arial"/>
                <w:b/>
                <w:bCs/>
                <w:sz w:val="20"/>
                <w:szCs w:val="20"/>
              </w:rPr>
              <w:t>Rat groups</w:t>
            </w:r>
          </w:p>
        </w:tc>
        <w:tc>
          <w:tcPr>
            <w:tcW w:w="7794" w:type="dxa"/>
            <w:gridSpan w:val="4"/>
            <w:tcBorders>
              <w:top w:val="single" w:sz="4" w:space="0" w:color="auto"/>
              <w:bottom w:val="single" w:sz="4" w:space="0" w:color="auto"/>
            </w:tcBorders>
          </w:tcPr>
          <w:p w14:paraId="25C8E9F1" w14:textId="77777777" w:rsidR="00883D4A" w:rsidRPr="00883D4A" w:rsidRDefault="00883D4A" w:rsidP="0016379D">
            <w:pPr>
              <w:spacing w:beforeLines="40" w:before="96" w:afterLines="40" w:after="96"/>
              <w:jc w:val="center"/>
              <w:rPr>
                <w:rFonts w:ascii="Arial" w:hAnsi="Arial" w:cs="Arial"/>
                <w:b/>
                <w:bCs/>
                <w:sz w:val="20"/>
                <w:szCs w:val="20"/>
              </w:rPr>
            </w:pPr>
            <w:r w:rsidRPr="00883D4A">
              <w:rPr>
                <w:rFonts w:ascii="Arial" w:hAnsi="Arial" w:cs="Arial"/>
                <w:b/>
                <w:bCs/>
                <w:sz w:val="20"/>
                <w:szCs w:val="20"/>
              </w:rPr>
              <w:t>Body weight (g)</w:t>
            </w:r>
          </w:p>
        </w:tc>
      </w:tr>
      <w:tr w:rsidR="00883D4A" w:rsidRPr="00883D4A" w14:paraId="74DCA549" w14:textId="77777777" w:rsidTr="0016379D">
        <w:tc>
          <w:tcPr>
            <w:tcW w:w="1948" w:type="dxa"/>
            <w:tcBorders>
              <w:top w:val="single" w:sz="4" w:space="0" w:color="auto"/>
            </w:tcBorders>
          </w:tcPr>
          <w:p w14:paraId="110C76C9" w14:textId="77777777" w:rsidR="00883D4A" w:rsidRPr="00883D4A" w:rsidRDefault="00883D4A" w:rsidP="0016379D">
            <w:pPr>
              <w:spacing w:beforeLines="40" w:before="96" w:afterLines="40" w:after="96"/>
              <w:rPr>
                <w:rFonts w:ascii="Arial" w:hAnsi="Arial" w:cs="Arial"/>
                <w:b/>
                <w:bCs/>
                <w:sz w:val="20"/>
                <w:szCs w:val="20"/>
              </w:rPr>
            </w:pPr>
          </w:p>
        </w:tc>
        <w:tc>
          <w:tcPr>
            <w:tcW w:w="1948" w:type="dxa"/>
            <w:tcBorders>
              <w:top w:val="single" w:sz="4" w:space="0" w:color="auto"/>
            </w:tcBorders>
          </w:tcPr>
          <w:p w14:paraId="2635C2C8" w14:textId="77777777" w:rsidR="00883D4A" w:rsidRPr="00883D4A" w:rsidRDefault="00883D4A" w:rsidP="0016379D">
            <w:pPr>
              <w:spacing w:beforeLines="40" w:before="96" w:afterLines="40" w:after="96"/>
              <w:rPr>
                <w:rFonts w:ascii="Arial" w:hAnsi="Arial" w:cs="Arial"/>
                <w:b/>
                <w:bCs/>
                <w:sz w:val="20"/>
                <w:szCs w:val="20"/>
              </w:rPr>
            </w:pPr>
            <w:r w:rsidRPr="00883D4A">
              <w:rPr>
                <w:rFonts w:ascii="Arial" w:hAnsi="Arial" w:cs="Arial"/>
                <w:b/>
                <w:bCs/>
                <w:sz w:val="20"/>
                <w:szCs w:val="20"/>
              </w:rPr>
              <w:t>Week 1</w:t>
            </w:r>
          </w:p>
        </w:tc>
        <w:tc>
          <w:tcPr>
            <w:tcW w:w="1948" w:type="dxa"/>
            <w:tcBorders>
              <w:top w:val="single" w:sz="4" w:space="0" w:color="auto"/>
            </w:tcBorders>
          </w:tcPr>
          <w:p w14:paraId="777E2A40" w14:textId="77777777" w:rsidR="00883D4A" w:rsidRPr="00883D4A" w:rsidRDefault="00883D4A" w:rsidP="0016379D">
            <w:pPr>
              <w:spacing w:beforeLines="40" w:before="96" w:afterLines="40" w:after="96"/>
              <w:rPr>
                <w:rFonts w:ascii="Arial" w:hAnsi="Arial" w:cs="Arial"/>
                <w:b/>
                <w:bCs/>
                <w:sz w:val="20"/>
                <w:szCs w:val="20"/>
              </w:rPr>
            </w:pPr>
            <w:r w:rsidRPr="00883D4A">
              <w:rPr>
                <w:rFonts w:ascii="Arial" w:hAnsi="Arial" w:cs="Arial"/>
                <w:b/>
                <w:bCs/>
                <w:sz w:val="20"/>
                <w:szCs w:val="20"/>
              </w:rPr>
              <w:t>Week 2</w:t>
            </w:r>
          </w:p>
        </w:tc>
        <w:tc>
          <w:tcPr>
            <w:tcW w:w="1949" w:type="dxa"/>
            <w:tcBorders>
              <w:top w:val="single" w:sz="4" w:space="0" w:color="auto"/>
            </w:tcBorders>
          </w:tcPr>
          <w:p w14:paraId="3E27D0E9" w14:textId="77777777" w:rsidR="00883D4A" w:rsidRPr="00883D4A" w:rsidRDefault="00883D4A" w:rsidP="0016379D">
            <w:pPr>
              <w:spacing w:beforeLines="40" w:before="96" w:afterLines="40" w:after="96"/>
              <w:rPr>
                <w:rFonts w:ascii="Arial" w:hAnsi="Arial" w:cs="Arial"/>
                <w:b/>
                <w:bCs/>
                <w:sz w:val="20"/>
                <w:szCs w:val="20"/>
              </w:rPr>
            </w:pPr>
            <w:r w:rsidRPr="00883D4A">
              <w:rPr>
                <w:rFonts w:ascii="Arial" w:hAnsi="Arial" w:cs="Arial"/>
                <w:b/>
                <w:bCs/>
                <w:sz w:val="20"/>
                <w:szCs w:val="20"/>
              </w:rPr>
              <w:t>Week 3</w:t>
            </w:r>
          </w:p>
        </w:tc>
        <w:tc>
          <w:tcPr>
            <w:tcW w:w="1949" w:type="dxa"/>
            <w:tcBorders>
              <w:top w:val="single" w:sz="4" w:space="0" w:color="auto"/>
            </w:tcBorders>
          </w:tcPr>
          <w:p w14:paraId="188657A2" w14:textId="77777777" w:rsidR="00883D4A" w:rsidRPr="00883D4A" w:rsidRDefault="00883D4A" w:rsidP="0016379D">
            <w:pPr>
              <w:spacing w:beforeLines="40" w:before="96" w:afterLines="40" w:after="96"/>
              <w:rPr>
                <w:rFonts w:ascii="Arial" w:hAnsi="Arial" w:cs="Arial"/>
                <w:b/>
                <w:bCs/>
                <w:sz w:val="20"/>
                <w:szCs w:val="20"/>
              </w:rPr>
            </w:pPr>
            <w:r w:rsidRPr="00883D4A">
              <w:rPr>
                <w:rFonts w:ascii="Arial" w:hAnsi="Arial" w:cs="Arial"/>
                <w:b/>
                <w:bCs/>
                <w:sz w:val="20"/>
                <w:szCs w:val="20"/>
              </w:rPr>
              <w:t>Week 4</w:t>
            </w:r>
          </w:p>
        </w:tc>
      </w:tr>
      <w:tr w:rsidR="00883D4A" w:rsidRPr="00883D4A" w14:paraId="423A95B8" w14:textId="77777777" w:rsidTr="0016379D">
        <w:tc>
          <w:tcPr>
            <w:tcW w:w="1948" w:type="dxa"/>
          </w:tcPr>
          <w:p w14:paraId="4FBDCDA4" w14:textId="6D2CA206"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b/>
                <w:bCs/>
                <w:sz w:val="20"/>
                <w:szCs w:val="20"/>
              </w:rPr>
              <w:t xml:space="preserve">Group </w:t>
            </w:r>
            <w:r w:rsidR="002B23A4">
              <w:rPr>
                <w:rFonts w:ascii="Arial" w:hAnsi="Arial" w:cs="Arial"/>
                <w:b/>
                <w:bCs/>
                <w:sz w:val="20"/>
                <w:szCs w:val="20"/>
              </w:rPr>
              <w:t>I</w:t>
            </w:r>
          </w:p>
        </w:tc>
        <w:tc>
          <w:tcPr>
            <w:tcW w:w="1948" w:type="dxa"/>
          </w:tcPr>
          <w:p w14:paraId="3F86EA9D"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100.93 ± 18.96</w:t>
            </w:r>
            <w:r w:rsidRPr="00883D4A">
              <w:rPr>
                <w:rFonts w:ascii="Arial" w:hAnsi="Arial" w:cs="Arial"/>
                <w:sz w:val="20"/>
                <w:szCs w:val="20"/>
                <w:vertAlign w:val="superscript"/>
              </w:rPr>
              <w:t>a</w:t>
            </w:r>
          </w:p>
        </w:tc>
        <w:tc>
          <w:tcPr>
            <w:tcW w:w="1948" w:type="dxa"/>
          </w:tcPr>
          <w:p w14:paraId="35E3614D"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120.87 ± 19.50</w:t>
            </w:r>
            <w:r w:rsidRPr="00883D4A">
              <w:rPr>
                <w:rFonts w:ascii="Arial" w:hAnsi="Arial" w:cs="Arial"/>
                <w:sz w:val="20"/>
                <w:szCs w:val="20"/>
                <w:vertAlign w:val="superscript"/>
              </w:rPr>
              <w:t>a</w:t>
            </w:r>
          </w:p>
        </w:tc>
        <w:tc>
          <w:tcPr>
            <w:tcW w:w="1949" w:type="dxa"/>
          </w:tcPr>
          <w:p w14:paraId="6F189FC3"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138.73 ± 22.13</w:t>
            </w:r>
            <w:r w:rsidRPr="00883D4A">
              <w:rPr>
                <w:rFonts w:ascii="Arial" w:hAnsi="Arial" w:cs="Arial"/>
                <w:sz w:val="20"/>
                <w:szCs w:val="20"/>
                <w:vertAlign w:val="superscript"/>
              </w:rPr>
              <w:t>a</w:t>
            </w:r>
          </w:p>
        </w:tc>
        <w:tc>
          <w:tcPr>
            <w:tcW w:w="1949" w:type="dxa"/>
          </w:tcPr>
          <w:p w14:paraId="1EB5DF0C"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166.88 ± 23.57</w:t>
            </w:r>
            <w:r w:rsidRPr="00883D4A">
              <w:rPr>
                <w:rFonts w:ascii="Arial" w:hAnsi="Arial" w:cs="Arial"/>
                <w:sz w:val="20"/>
                <w:szCs w:val="20"/>
                <w:vertAlign w:val="superscript"/>
              </w:rPr>
              <w:t>ab</w:t>
            </w:r>
            <w:r w:rsidRPr="00883D4A">
              <w:rPr>
                <w:rFonts w:ascii="Arial" w:hAnsi="Arial" w:cs="Arial"/>
                <w:sz w:val="20"/>
                <w:szCs w:val="20"/>
              </w:rPr>
              <w:t xml:space="preserve">  </w:t>
            </w:r>
          </w:p>
        </w:tc>
      </w:tr>
      <w:tr w:rsidR="00883D4A" w:rsidRPr="00883D4A" w14:paraId="5775B5F0" w14:textId="77777777" w:rsidTr="0016379D">
        <w:tc>
          <w:tcPr>
            <w:tcW w:w="1948" w:type="dxa"/>
          </w:tcPr>
          <w:p w14:paraId="5C8E7CD3" w14:textId="1E7F06E2"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b/>
                <w:bCs/>
                <w:sz w:val="20"/>
                <w:szCs w:val="20"/>
              </w:rPr>
              <w:t xml:space="preserve">Group </w:t>
            </w:r>
            <w:r w:rsidR="002B23A4">
              <w:rPr>
                <w:rFonts w:ascii="Arial" w:hAnsi="Arial" w:cs="Arial"/>
                <w:b/>
                <w:bCs/>
                <w:sz w:val="20"/>
                <w:szCs w:val="20"/>
              </w:rPr>
              <w:t>II</w:t>
            </w:r>
          </w:p>
        </w:tc>
        <w:tc>
          <w:tcPr>
            <w:tcW w:w="1948" w:type="dxa"/>
          </w:tcPr>
          <w:p w14:paraId="61578158"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97.22 ± 18.13</w:t>
            </w:r>
            <w:r w:rsidRPr="00883D4A">
              <w:rPr>
                <w:rFonts w:ascii="Arial" w:hAnsi="Arial" w:cs="Arial"/>
                <w:sz w:val="20"/>
                <w:szCs w:val="20"/>
                <w:vertAlign w:val="superscript"/>
              </w:rPr>
              <w:t>a</w:t>
            </w:r>
          </w:p>
        </w:tc>
        <w:tc>
          <w:tcPr>
            <w:tcW w:w="1948" w:type="dxa"/>
          </w:tcPr>
          <w:p w14:paraId="7509ECE0"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112.52 ± 13.42</w:t>
            </w:r>
            <w:r w:rsidRPr="00883D4A">
              <w:rPr>
                <w:rFonts w:ascii="Arial" w:hAnsi="Arial" w:cs="Arial"/>
                <w:sz w:val="20"/>
                <w:szCs w:val="20"/>
                <w:vertAlign w:val="superscript"/>
              </w:rPr>
              <w:t>a</w:t>
            </w:r>
          </w:p>
        </w:tc>
        <w:tc>
          <w:tcPr>
            <w:tcW w:w="1949" w:type="dxa"/>
          </w:tcPr>
          <w:p w14:paraId="18D13A66"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132.08 ± 18.46</w:t>
            </w:r>
            <w:r w:rsidRPr="00883D4A">
              <w:rPr>
                <w:rFonts w:ascii="Arial" w:hAnsi="Arial" w:cs="Arial"/>
                <w:sz w:val="20"/>
                <w:szCs w:val="20"/>
                <w:vertAlign w:val="superscript"/>
              </w:rPr>
              <w:t>a</w:t>
            </w:r>
            <w:r w:rsidRPr="00883D4A">
              <w:rPr>
                <w:rFonts w:ascii="Arial" w:hAnsi="Arial" w:cs="Arial"/>
                <w:sz w:val="20"/>
                <w:szCs w:val="20"/>
              </w:rPr>
              <w:t xml:space="preserve"> </w:t>
            </w:r>
            <w:r w:rsidRPr="00883D4A">
              <w:rPr>
                <w:rFonts w:ascii="Arial" w:hAnsi="Arial" w:cs="Arial"/>
                <w:sz w:val="20"/>
                <w:szCs w:val="20"/>
              </w:rPr>
              <w:tab/>
            </w:r>
          </w:p>
        </w:tc>
        <w:tc>
          <w:tcPr>
            <w:tcW w:w="1949" w:type="dxa"/>
          </w:tcPr>
          <w:p w14:paraId="2DBA199F" w14:textId="77777777" w:rsidR="00883D4A" w:rsidRPr="00883D4A" w:rsidRDefault="00883D4A" w:rsidP="002B23A4">
            <w:pPr>
              <w:spacing w:beforeLines="40" w:before="96" w:afterLines="40" w:after="96"/>
              <w:rPr>
                <w:rFonts w:ascii="Arial" w:hAnsi="Arial" w:cs="Arial"/>
                <w:sz w:val="20"/>
                <w:szCs w:val="20"/>
              </w:rPr>
            </w:pPr>
            <w:r w:rsidRPr="00883D4A">
              <w:rPr>
                <w:rFonts w:ascii="Arial" w:hAnsi="Arial" w:cs="Arial"/>
                <w:sz w:val="20"/>
                <w:szCs w:val="20"/>
              </w:rPr>
              <w:t>169.08 ± 19.35</w:t>
            </w:r>
            <w:r w:rsidRPr="00883D4A">
              <w:rPr>
                <w:rFonts w:ascii="Arial" w:hAnsi="Arial" w:cs="Arial"/>
                <w:sz w:val="20"/>
                <w:szCs w:val="20"/>
                <w:vertAlign w:val="superscript"/>
              </w:rPr>
              <w:t>a</w:t>
            </w:r>
            <w:r w:rsidRPr="00883D4A">
              <w:rPr>
                <w:rFonts w:ascii="Arial" w:hAnsi="Arial" w:cs="Arial"/>
                <w:sz w:val="20"/>
                <w:szCs w:val="20"/>
              </w:rPr>
              <w:t xml:space="preserve"> </w:t>
            </w:r>
          </w:p>
        </w:tc>
      </w:tr>
      <w:tr w:rsidR="00883D4A" w:rsidRPr="00883D4A" w14:paraId="75C50EEB" w14:textId="77777777" w:rsidTr="0016379D">
        <w:tc>
          <w:tcPr>
            <w:tcW w:w="1948" w:type="dxa"/>
          </w:tcPr>
          <w:p w14:paraId="59D19579" w14:textId="0EE6BB86"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b/>
                <w:bCs/>
                <w:sz w:val="20"/>
                <w:szCs w:val="20"/>
              </w:rPr>
              <w:t xml:space="preserve">Group </w:t>
            </w:r>
            <w:r w:rsidR="002B23A4">
              <w:rPr>
                <w:rFonts w:ascii="Arial" w:hAnsi="Arial" w:cs="Arial"/>
                <w:b/>
                <w:bCs/>
                <w:sz w:val="20"/>
                <w:szCs w:val="20"/>
              </w:rPr>
              <w:t>III</w:t>
            </w:r>
          </w:p>
        </w:tc>
        <w:tc>
          <w:tcPr>
            <w:tcW w:w="1948" w:type="dxa"/>
          </w:tcPr>
          <w:p w14:paraId="58602244"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98.08 ± 10.82</w:t>
            </w:r>
            <w:r w:rsidRPr="00883D4A">
              <w:rPr>
                <w:rFonts w:ascii="Arial" w:hAnsi="Arial" w:cs="Arial"/>
                <w:sz w:val="20"/>
                <w:szCs w:val="20"/>
                <w:vertAlign w:val="superscript"/>
              </w:rPr>
              <w:t>a</w:t>
            </w:r>
          </w:p>
        </w:tc>
        <w:tc>
          <w:tcPr>
            <w:tcW w:w="1948" w:type="dxa"/>
          </w:tcPr>
          <w:p w14:paraId="7B0F6656"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 xml:space="preserve">119.95 ± 6.94 </w:t>
            </w:r>
            <w:r w:rsidRPr="00883D4A">
              <w:rPr>
                <w:rFonts w:ascii="Arial" w:hAnsi="Arial" w:cs="Arial"/>
                <w:sz w:val="20"/>
                <w:szCs w:val="20"/>
                <w:vertAlign w:val="superscript"/>
              </w:rPr>
              <w:t>a</w:t>
            </w:r>
          </w:p>
        </w:tc>
        <w:tc>
          <w:tcPr>
            <w:tcW w:w="1949" w:type="dxa"/>
          </w:tcPr>
          <w:p w14:paraId="18D5F711"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132.51 ± 5.90</w:t>
            </w:r>
            <w:r w:rsidRPr="00883D4A">
              <w:rPr>
                <w:rFonts w:ascii="Arial" w:hAnsi="Arial" w:cs="Arial"/>
                <w:sz w:val="20"/>
                <w:szCs w:val="20"/>
                <w:vertAlign w:val="superscript"/>
              </w:rPr>
              <w:t>a</w:t>
            </w:r>
          </w:p>
        </w:tc>
        <w:tc>
          <w:tcPr>
            <w:tcW w:w="1949" w:type="dxa"/>
          </w:tcPr>
          <w:p w14:paraId="63740A89"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159.42 ± 5.26</w:t>
            </w:r>
            <w:r w:rsidRPr="00883D4A">
              <w:rPr>
                <w:rFonts w:ascii="Arial" w:hAnsi="Arial" w:cs="Arial"/>
                <w:sz w:val="20"/>
                <w:szCs w:val="20"/>
                <w:vertAlign w:val="superscript"/>
              </w:rPr>
              <w:t>ab</w:t>
            </w:r>
          </w:p>
        </w:tc>
      </w:tr>
      <w:tr w:rsidR="00883D4A" w:rsidRPr="00883D4A" w14:paraId="0EE9512D" w14:textId="77777777" w:rsidTr="0016379D">
        <w:tc>
          <w:tcPr>
            <w:tcW w:w="1948" w:type="dxa"/>
          </w:tcPr>
          <w:p w14:paraId="23DA55D1" w14:textId="3DA07F3E"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b/>
                <w:bCs/>
                <w:sz w:val="20"/>
                <w:szCs w:val="20"/>
              </w:rPr>
              <w:t xml:space="preserve">Group </w:t>
            </w:r>
            <w:r w:rsidR="002B23A4">
              <w:rPr>
                <w:rFonts w:ascii="Arial" w:hAnsi="Arial" w:cs="Arial"/>
                <w:b/>
                <w:bCs/>
                <w:sz w:val="20"/>
                <w:szCs w:val="20"/>
              </w:rPr>
              <w:t>IV</w:t>
            </w:r>
          </w:p>
        </w:tc>
        <w:tc>
          <w:tcPr>
            <w:tcW w:w="1948" w:type="dxa"/>
          </w:tcPr>
          <w:p w14:paraId="0A1B03ED"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95.13 ± 10.82</w:t>
            </w:r>
            <w:r w:rsidRPr="00883D4A">
              <w:rPr>
                <w:rFonts w:ascii="Arial" w:hAnsi="Arial" w:cs="Arial"/>
                <w:sz w:val="20"/>
                <w:szCs w:val="20"/>
                <w:vertAlign w:val="superscript"/>
              </w:rPr>
              <w:t>a</w:t>
            </w:r>
          </w:p>
        </w:tc>
        <w:tc>
          <w:tcPr>
            <w:tcW w:w="1948" w:type="dxa"/>
          </w:tcPr>
          <w:p w14:paraId="49725C23"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112.23 ± 11.21</w:t>
            </w:r>
            <w:r w:rsidRPr="00883D4A">
              <w:rPr>
                <w:rFonts w:ascii="Arial" w:hAnsi="Arial" w:cs="Arial"/>
                <w:sz w:val="20"/>
                <w:szCs w:val="20"/>
                <w:vertAlign w:val="superscript"/>
              </w:rPr>
              <w:t>a</w:t>
            </w:r>
          </w:p>
        </w:tc>
        <w:tc>
          <w:tcPr>
            <w:tcW w:w="1949" w:type="dxa"/>
          </w:tcPr>
          <w:p w14:paraId="434577AB"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124.10 ± 9.44</w:t>
            </w:r>
            <w:r w:rsidRPr="00883D4A">
              <w:rPr>
                <w:rFonts w:ascii="Arial" w:hAnsi="Arial" w:cs="Arial"/>
                <w:sz w:val="20"/>
                <w:szCs w:val="20"/>
                <w:vertAlign w:val="superscript"/>
              </w:rPr>
              <w:t>a</w:t>
            </w:r>
            <w:r w:rsidRPr="00883D4A">
              <w:rPr>
                <w:rFonts w:ascii="Arial" w:hAnsi="Arial" w:cs="Arial"/>
                <w:sz w:val="20"/>
                <w:szCs w:val="20"/>
              </w:rPr>
              <w:t xml:space="preserve"> </w:t>
            </w:r>
            <w:r w:rsidRPr="00883D4A">
              <w:rPr>
                <w:rFonts w:ascii="Arial" w:hAnsi="Arial" w:cs="Arial"/>
                <w:sz w:val="20"/>
                <w:szCs w:val="20"/>
              </w:rPr>
              <w:tab/>
            </w:r>
          </w:p>
        </w:tc>
        <w:tc>
          <w:tcPr>
            <w:tcW w:w="1949" w:type="dxa"/>
          </w:tcPr>
          <w:p w14:paraId="5B0CA380"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147.50 ± 16.34</w:t>
            </w:r>
            <w:r w:rsidRPr="00883D4A">
              <w:rPr>
                <w:rFonts w:ascii="Arial" w:hAnsi="Arial" w:cs="Arial"/>
                <w:sz w:val="20"/>
                <w:szCs w:val="20"/>
                <w:vertAlign w:val="superscript"/>
              </w:rPr>
              <w:t>b</w:t>
            </w:r>
          </w:p>
        </w:tc>
      </w:tr>
      <w:tr w:rsidR="00883D4A" w:rsidRPr="00883D4A" w14:paraId="4D8E8C80" w14:textId="77777777" w:rsidTr="0016379D">
        <w:tc>
          <w:tcPr>
            <w:tcW w:w="1948" w:type="dxa"/>
            <w:tcBorders>
              <w:bottom w:val="single" w:sz="4" w:space="0" w:color="auto"/>
            </w:tcBorders>
          </w:tcPr>
          <w:p w14:paraId="27DBDF80" w14:textId="0C3BD49B"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b/>
                <w:bCs/>
                <w:sz w:val="20"/>
                <w:szCs w:val="20"/>
              </w:rPr>
              <w:t xml:space="preserve">Group </w:t>
            </w:r>
            <w:r w:rsidR="002B23A4">
              <w:rPr>
                <w:rFonts w:ascii="Arial" w:hAnsi="Arial" w:cs="Arial"/>
                <w:b/>
                <w:bCs/>
                <w:sz w:val="20"/>
                <w:szCs w:val="20"/>
              </w:rPr>
              <w:t>V</w:t>
            </w:r>
          </w:p>
        </w:tc>
        <w:tc>
          <w:tcPr>
            <w:tcW w:w="1948" w:type="dxa"/>
            <w:tcBorders>
              <w:bottom w:val="single" w:sz="4" w:space="0" w:color="auto"/>
            </w:tcBorders>
          </w:tcPr>
          <w:p w14:paraId="3919F529"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95.78 ± 6.66</w:t>
            </w:r>
            <w:r w:rsidRPr="00883D4A">
              <w:rPr>
                <w:rFonts w:ascii="Arial" w:hAnsi="Arial" w:cs="Arial"/>
                <w:sz w:val="20"/>
                <w:szCs w:val="20"/>
                <w:vertAlign w:val="superscript"/>
              </w:rPr>
              <w:t>a</w:t>
            </w:r>
          </w:p>
        </w:tc>
        <w:tc>
          <w:tcPr>
            <w:tcW w:w="1948" w:type="dxa"/>
            <w:tcBorders>
              <w:bottom w:val="single" w:sz="4" w:space="0" w:color="auto"/>
            </w:tcBorders>
          </w:tcPr>
          <w:p w14:paraId="33DF008F"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111.88 ± 5.44</w:t>
            </w:r>
            <w:r w:rsidRPr="00883D4A">
              <w:rPr>
                <w:rFonts w:ascii="Arial" w:hAnsi="Arial" w:cs="Arial"/>
                <w:sz w:val="20"/>
                <w:szCs w:val="20"/>
                <w:vertAlign w:val="superscript"/>
              </w:rPr>
              <w:t>a</w:t>
            </w:r>
          </w:p>
        </w:tc>
        <w:tc>
          <w:tcPr>
            <w:tcW w:w="1949" w:type="dxa"/>
            <w:tcBorders>
              <w:bottom w:val="single" w:sz="4" w:space="0" w:color="auto"/>
            </w:tcBorders>
          </w:tcPr>
          <w:p w14:paraId="0D253F8D"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123.70 ± 8.91</w:t>
            </w:r>
            <w:r w:rsidRPr="00883D4A">
              <w:rPr>
                <w:rFonts w:ascii="Arial" w:hAnsi="Arial" w:cs="Arial"/>
                <w:sz w:val="20"/>
                <w:szCs w:val="20"/>
                <w:vertAlign w:val="superscript"/>
              </w:rPr>
              <w:t>a</w:t>
            </w:r>
            <w:r w:rsidRPr="00883D4A">
              <w:rPr>
                <w:rFonts w:ascii="Arial" w:hAnsi="Arial" w:cs="Arial"/>
                <w:sz w:val="20"/>
                <w:szCs w:val="20"/>
              </w:rPr>
              <w:t xml:space="preserve"> </w:t>
            </w:r>
            <w:r w:rsidRPr="00883D4A">
              <w:rPr>
                <w:rFonts w:ascii="Arial" w:hAnsi="Arial" w:cs="Arial"/>
                <w:sz w:val="20"/>
                <w:szCs w:val="20"/>
              </w:rPr>
              <w:tab/>
            </w:r>
          </w:p>
        </w:tc>
        <w:tc>
          <w:tcPr>
            <w:tcW w:w="1949" w:type="dxa"/>
            <w:tcBorders>
              <w:bottom w:val="single" w:sz="4" w:space="0" w:color="auto"/>
            </w:tcBorders>
          </w:tcPr>
          <w:p w14:paraId="6903B047" w14:textId="77777777" w:rsidR="00883D4A" w:rsidRPr="00883D4A" w:rsidRDefault="00883D4A" w:rsidP="002B23A4">
            <w:pPr>
              <w:spacing w:beforeLines="40" w:before="96" w:afterLines="40" w:after="96"/>
              <w:rPr>
                <w:rFonts w:ascii="Arial" w:hAnsi="Arial" w:cs="Arial"/>
                <w:b/>
                <w:bCs/>
                <w:sz w:val="20"/>
                <w:szCs w:val="20"/>
              </w:rPr>
            </w:pPr>
            <w:r w:rsidRPr="00883D4A">
              <w:rPr>
                <w:rFonts w:ascii="Arial" w:hAnsi="Arial" w:cs="Arial"/>
                <w:sz w:val="20"/>
                <w:szCs w:val="20"/>
              </w:rPr>
              <w:t>148.62 ± 7.99</w:t>
            </w:r>
            <w:r w:rsidRPr="00883D4A">
              <w:rPr>
                <w:rFonts w:ascii="Arial" w:hAnsi="Arial" w:cs="Arial"/>
                <w:sz w:val="20"/>
                <w:szCs w:val="20"/>
                <w:vertAlign w:val="superscript"/>
              </w:rPr>
              <w:t>ab</w:t>
            </w:r>
          </w:p>
        </w:tc>
      </w:tr>
    </w:tbl>
    <w:p w14:paraId="70B0FC3D" w14:textId="77777777" w:rsidR="00883D4A" w:rsidRPr="00883D4A" w:rsidRDefault="00883D4A" w:rsidP="00883D4A">
      <w:pPr>
        <w:spacing w:beforeLines="40" w:before="96" w:afterLines="40" w:after="96"/>
        <w:rPr>
          <w:rFonts w:ascii="Arial" w:hAnsi="Arial" w:cs="Arial"/>
        </w:rPr>
      </w:pPr>
      <w:r w:rsidRPr="00883D4A">
        <w:rPr>
          <w:rFonts w:ascii="Arial" w:hAnsi="Arial" w:cs="Arial"/>
        </w:rPr>
        <w:t>Values are means ± standard deviation of 6 rats per group. Values in the same column bearing the same superscript letters are not significantly different at 5% level.</w:t>
      </w:r>
    </w:p>
    <w:p w14:paraId="025B206B" w14:textId="2B0C65FE" w:rsidR="00376BBE" w:rsidRDefault="00376BBE" w:rsidP="00441B6F">
      <w:pPr>
        <w:pStyle w:val="Body"/>
        <w:spacing w:after="0"/>
        <w:rPr>
          <w:rFonts w:ascii="Arial" w:hAnsi="Arial" w:cs="Arial"/>
        </w:rPr>
      </w:pPr>
    </w:p>
    <w:p w14:paraId="7CF750A8" w14:textId="01DA6AC6" w:rsidR="00376BBE" w:rsidRDefault="00782339" w:rsidP="00441B6F">
      <w:pPr>
        <w:pStyle w:val="Body"/>
        <w:spacing w:after="0"/>
        <w:rPr>
          <w:rFonts w:ascii="Arial" w:hAnsi="Arial" w:cs="Arial"/>
        </w:rPr>
      </w:pPr>
      <w:r w:rsidRPr="00782339">
        <w:rPr>
          <w:rFonts w:ascii="Arial" w:hAnsi="Arial" w:cs="Arial"/>
        </w:rPr>
        <w:t xml:space="preserve">The results </w:t>
      </w:r>
      <w:r>
        <w:rPr>
          <w:rFonts w:ascii="Arial" w:hAnsi="Arial" w:cs="Arial"/>
        </w:rPr>
        <w:t xml:space="preserve">(Table 2) </w:t>
      </w:r>
      <w:r w:rsidRPr="00782339">
        <w:rPr>
          <w:rFonts w:ascii="Arial" w:hAnsi="Arial" w:cs="Arial"/>
        </w:rPr>
        <w:t>showed a reduction in blood lead levels in Group V (0.02 ± 0.02 mg/L) compared to Group II (0.</w:t>
      </w:r>
      <w:r w:rsidR="002B23A4">
        <w:rPr>
          <w:rFonts w:ascii="Arial" w:hAnsi="Arial" w:cs="Arial"/>
        </w:rPr>
        <w:t>18</w:t>
      </w:r>
      <w:r w:rsidRPr="00782339">
        <w:rPr>
          <w:rFonts w:ascii="Arial" w:hAnsi="Arial" w:cs="Arial"/>
        </w:rPr>
        <w:t xml:space="preserve"> ± 0.05 mg/L), indicating that Andrographis paniculata extract may facilitate lead excretion. In contrast, Groups III and IV exhibited higher blood lead concentrations compared to the control (0.03 ± 0.04 mg/L), suggesting initial redistribution of lead from tissues into circulation. This phenomenon has been previously observed in chelation therapy, where lead mobilization from bones and soft tissues results in transient increases in blood lead levels before eventual excretion (Assi et al., 2016). The ability of A. paniculata to lower blood lead levels may be attributed to its antioxidant properties, which promote detoxification and mitigate oxidative stress induced by lead exposure (</w:t>
      </w:r>
      <w:proofErr w:type="spellStart"/>
      <w:r w:rsidRPr="00782339">
        <w:rPr>
          <w:rFonts w:ascii="Arial" w:hAnsi="Arial" w:cs="Arial"/>
        </w:rPr>
        <w:t>Fardiyah</w:t>
      </w:r>
      <w:proofErr w:type="spellEnd"/>
      <w:r w:rsidRPr="00782339">
        <w:rPr>
          <w:rFonts w:ascii="Arial" w:hAnsi="Arial" w:cs="Arial"/>
        </w:rPr>
        <w:t xml:space="preserve"> et al., 2020).</w:t>
      </w:r>
    </w:p>
    <w:p w14:paraId="13E4106B" w14:textId="731974E2" w:rsidR="00782339" w:rsidRDefault="00782339" w:rsidP="00441B6F">
      <w:pPr>
        <w:pStyle w:val="Body"/>
        <w:spacing w:after="0"/>
        <w:rPr>
          <w:rFonts w:ascii="Arial" w:hAnsi="Arial" w:cs="Arial"/>
        </w:rPr>
      </w:pPr>
    </w:p>
    <w:p w14:paraId="40CA40F7" w14:textId="6FACB720" w:rsidR="00782339" w:rsidRPr="00782339" w:rsidRDefault="00782339" w:rsidP="002B23A4">
      <w:pPr>
        <w:pStyle w:val="NoSpacing"/>
        <w:jc w:val="both"/>
        <w:rPr>
          <w:rFonts w:ascii="Arial" w:hAnsi="Arial"/>
          <w:b/>
        </w:rPr>
      </w:pPr>
      <w:r w:rsidRPr="00782339">
        <w:rPr>
          <w:rFonts w:ascii="Arial" w:hAnsi="Arial"/>
          <w:b/>
        </w:rPr>
        <w:t xml:space="preserve">Table 2 Effect of aqueous extract of leaves of </w:t>
      </w:r>
      <w:r w:rsidRPr="00782339">
        <w:rPr>
          <w:rFonts w:ascii="Arial" w:hAnsi="Arial"/>
          <w:b/>
          <w:i/>
        </w:rPr>
        <w:t xml:space="preserve">Andrographis paniculata </w:t>
      </w:r>
      <w:r w:rsidRPr="00782339">
        <w:rPr>
          <w:rFonts w:ascii="Arial" w:hAnsi="Arial"/>
          <w:b/>
        </w:rPr>
        <w:t xml:space="preserve">on blood lead level of lead acetate </w:t>
      </w:r>
      <w:r w:rsidR="002B23A4">
        <w:rPr>
          <w:rFonts w:ascii="Arial" w:hAnsi="Arial"/>
          <w:b/>
        </w:rPr>
        <w:t xml:space="preserve">exposed </w:t>
      </w:r>
      <w:r w:rsidRPr="00782339">
        <w:rPr>
          <w:rFonts w:ascii="Arial" w:hAnsi="Arial"/>
          <w:b/>
        </w:rPr>
        <w:t>male Wistar rats</w:t>
      </w:r>
      <w:r w:rsidR="002B23A4">
        <w:rPr>
          <w:rFonts w:ascii="Arial" w:hAnsi="Arial"/>
          <w:b/>
        </w:rPr>
        <w:t xml:space="preserve"> after 4 weeks</w:t>
      </w:r>
      <w:r w:rsidRPr="00782339">
        <w:rPr>
          <w:rFonts w:ascii="Arial" w:hAnsi="Arial"/>
          <w:b/>
        </w:rPr>
        <w:t>.</w:t>
      </w:r>
    </w:p>
    <w:tbl>
      <w:tblPr>
        <w:tblStyle w:val="ListTable6Colorful"/>
        <w:tblW w:w="7740" w:type="dxa"/>
        <w:tblInd w:w="819" w:type="dxa"/>
        <w:shd w:val="clear" w:color="auto" w:fill="FFFFFF" w:themeFill="background1"/>
        <w:tblLook w:val="04A0" w:firstRow="1" w:lastRow="0" w:firstColumn="1" w:lastColumn="0" w:noHBand="0" w:noVBand="1"/>
      </w:tblPr>
      <w:tblGrid>
        <w:gridCol w:w="5040"/>
        <w:gridCol w:w="2700"/>
      </w:tblGrid>
      <w:tr w:rsidR="00782339" w:rsidRPr="00782339" w14:paraId="34DAE82B" w14:textId="77777777" w:rsidTr="0016379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2A2B0A9D" w14:textId="77777777" w:rsidR="00782339" w:rsidRPr="00782339" w:rsidRDefault="00782339" w:rsidP="0016379D">
            <w:pPr>
              <w:pStyle w:val="NoSpacing"/>
              <w:spacing w:line="360" w:lineRule="auto"/>
              <w:jc w:val="both"/>
              <w:rPr>
                <w:rFonts w:ascii="Arial" w:hAnsi="Arial"/>
                <w:sz w:val="20"/>
                <w:szCs w:val="20"/>
              </w:rPr>
            </w:pPr>
            <w:r w:rsidRPr="00782339">
              <w:rPr>
                <w:rFonts w:ascii="Arial" w:hAnsi="Arial"/>
                <w:sz w:val="20"/>
                <w:szCs w:val="20"/>
              </w:rPr>
              <w:t>Rats groups</w:t>
            </w:r>
          </w:p>
        </w:tc>
        <w:tc>
          <w:tcPr>
            <w:tcW w:w="2700" w:type="dxa"/>
            <w:shd w:val="clear" w:color="auto" w:fill="FFFFFF" w:themeFill="background1"/>
            <w:hideMark/>
          </w:tcPr>
          <w:p w14:paraId="5042FC6E" w14:textId="3C505EA3" w:rsidR="00782339" w:rsidRPr="00782339" w:rsidRDefault="00782339" w:rsidP="0016379D">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782339">
              <w:rPr>
                <w:rFonts w:ascii="Arial" w:hAnsi="Arial"/>
                <w:sz w:val="20"/>
                <w:szCs w:val="20"/>
              </w:rPr>
              <w:t>Blood lead conc.</w:t>
            </w:r>
            <w:r w:rsidR="002B23A4">
              <w:rPr>
                <w:rFonts w:ascii="Arial" w:hAnsi="Arial"/>
                <w:sz w:val="20"/>
                <w:szCs w:val="20"/>
              </w:rPr>
              <w:t xml:space="preserve"> </w:t>
            </w:r>
            <w:r w:rsidRPr="00782339">
              <w:rPr>
                <w:rFonts w:ascii="Arial" w:hAnsi="Arial"/>
                <w:sz w:val="20"/>
                <w:szCs w:val="20"/>
              </w:rPr>
              <w:t>(mg/l)</w:t>
            </w:r>
          </w:p>
        </w:tc>
      </w:tr>
      <w:tr w:rsidR="00782339" w:rsidRPr="00782339" w14:paraId="2F296DD7" w14:textId="77777777" w:rsidTr="0016379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4D099C27" w14:textId="77777777" w:rsidR="00782339" w:rsidRPr="00782339" w:rsidRDefault="00782339" w:rsidP="0016379D">
            <w:pPr>
              <w:pStyle w:val="NoSpacing"/>
              <w:spacing w:line="360" w:lineRule="auto"/>
              <w:jc w:val="both"/>
              <w:rPr>
                <w:rFonts w:ascii="Arial" w:hAnsi="Arial"/>
                <w:b w:val="0"/>
                <w:sz w:val="20"/>
                <w:szCs w:val="20"/>
              </w:rPr>
            </w:pPr>
            <w:r w:rsidRPr="00782339">
              <w:rPr>
                <w:rFonts w:ascii="Arial" w:hAnsi="Arial"/>
                <w:b w:val="0"/>
                <w:sz w:val="20"/>
                <w:szCs w:val="20"/>
              </w:rPr>
              <w:t>Group 1 (Control</w:t>
            </w:r>
          </w:p>
        </w:tc>
        <w:tc>
          <w:tcPr>
            <w:tcW w:w="2700" w:type="dxa"/>
            <w:shd w:val="clear" w:color="auto" w:fill="FFFFFF" w:themeFill="background1"/>
            <w:hideMark/>
          </w:tcPr>
          <w:p w14:paraId="04B8588B" w14:textId="77777777" w:rsidR="00782339" w:rsidRPr="00782339" w:rsidRDefault="00782339"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782339">
              <w:rPr>
                <w:rFonts w:ascii="Arial" w:hAnsi="Arial"/>
                <w:sz w:val="20"/>
                <w:szCs w:val="20"/>
              </w:rPr>
              <w:t>0.03± 0.04</w:t>
            </w:r>
            <w:r w:rsidRPr="00782339">
              <w:rPr>
                <w:rFonts w:ascii="Arial" w:hAnsi="Arial"/>
                <w:bCs/>
                <w:sz w:val="20"/>
                <w:szCs w:val="20"/>
              </w:rPr>
              <w:t>ᵇ</w:t>
            </w:r>
          </w:p>
        </w:tc>
      </w:tr>
      <w:tr w:rsidR="00782339" w:rsidRPr="00782339" w14:paraId="360E7265" w14:textId="77777777" w:rsidTr="0016379D">
        <w:trPr>
          <w:trHeight w:val="342"/>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6367A46D" w14:textId="77777777" w:rsidR="00782339" w:rsidRPr="00782339" w:rsidRDefault="00782339" w:rsidP="0016379D">
            <w:pPr>
              <w:pStyle w:val="NoSpacing"/>
              <w:spacing w:line="360" w:lineRule="auto"/>
              <w:jc w:val="both"/>
              <w:rPr>
                <w:rFonts w:ascii="Arial" w:hAnsi="Arial"/>
                <w:b w:val="0"/>
                <w:sz w:val="20"/>
                <w:szCs w:val="20"/>
              </w:rPr>
            </w:pPr>
            <w:r w:rsidRPr="00782339">
              <w:rPr>
                <w:rFonts w:ascii="Arial" w:hAnsi="Arial"/>
                <w:b w:val="0"/>
                <w:sz w:val="20"/>
                <w:szCs w:val="20"/>
              </w:rPr>
              <w:t>Group 2 (Lead treated 40mg)</w:t>
            </w:r>
          </w:p>
        </w:tc>
        <w:tc>
          <w:tcPr>
            <w:tcW w:w="2700" w:type="dxa"/>
            <w:shd w:val="clear" w:color="auto" w:fill="FFFFFF" w:themeFill="background1"/>
            <w:hideMark/>
          </w:tcPr>
          <w:p w14:paraId="1A1BC2D7" w14:textId="5D8A742E" w:rsidR="00782339" w:rsidRPr="00782339" w:rsidRDefault="00782339"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782339">
              <w:rPr>
                <w:rFonts w:ascii="Arial" w:hAnsi="Arial"/>
                <w:sz w:val="20"/>
                <w:szCs w:val="20"/>
              </w:rPr>
              <w:t>0.</w:t>
            </w:r>
            <w:r w:rsidR="002B23A4">
              <w:rPr>
                <w:rFonts w:ascii="Arial" w:hAnsi="Arial"/>
                <w:sz w:val="20"/>
                <w:szCs w:val="20"/>
              </w:rPr>
              <w:t>18</w:t>
            </w:r>
            <w:r w:rsidRPr="00782339">
              <w:rPr>
                <w:rFonts w:ascii="Arial" w:hAnsi="Arial"/>
                <w:sz w:val="20"/>
                <w:szCs w:val="20"/>
              </w:rPr>
              <w:t xml:space="preserve"> ± 0.02</w:t>
            </w:r>
            <w:r w:rsidRPr="00782339">
              <w:rPr>
                <w:rFonts w:ascii="Arial" w:hAnsi="Arial"/>
                <w:bCs/>
                <w:sz w:val="20"/>
                <w:szCs w:val="20"/>
              </w:rPr>
              <w:t>ᵇᶜ</w:t>
            </w:r>
          </w:p>
        </w:tc>
      </w:tr>
      <w:tr w:rsidR="00782339" w:rsidRPr="00782339" w14:paraId="0D9A3230" w14:textId="77777777" w:rsidTr="0016379D">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634760AF" w14:textId="77777777" w:rsidR="00782339" w:rsidRPr="00782339" w:rsidRDefault="00782339" w:rsidP="0016379D">
            <w:pPr>
              <w:pStyle w:val="NoSpacing"/>
              <w:spacing w:line="360" w:lineRule="auto"/>
              <w:jc w:val="both"/>
              <w:rPr>
                <w:rFonts w:ascii="Arial" w:hAnsi="Arial"/>
                <w:b w:val="0"/>
                <w:sz w:val="20"/>
                <w:szCs w:val="20"/>
              </w:rPr>
            </w:pPr>
            <w:r w:rsidRPr="00782339">
              <w:rPr>
                <w:rFonts w:ascii="Arial" w:hAnsi="Arial"/>
                <w:b w:val="0"/>
                <w:sz w:val="20"/>
                <w:szCs w:val="20"/>
              </w:rPr>
              <w:t>Group 3 (Lead treated 40mg + extract 100mg)</w:t>
            </w:r>
          </w:p>
        </w:tc>
        <w:tc>
          <w:tcPr>
            <w:tcW w:w="2700" w:type="dxa"/>
            <w:shd w:val="clear" w:color="auto" w:fill="FFFFFF" w:themeFill="background1"/>
            <w:hideMark/>
          </w:tcPr>
          <w:p w14:paraId="44550B2A" w14:textId="77777777" w:rsidR="00782339" w:rsidRPr="00782339" w:rsidRDefault="00782339"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782339">
              <w:rPr>
                <w:rFonts w:ascii="Arial" w:hAnsi="Arial"/>
                <w:sz w:val="20"/>
                <w:szCs w:val="20"/>
              </w:rPr>
              <w:t>0.07 ± 0.05</w:t>
            </w:r>
            <w:r w:rsidRPr="00782339">
              <w:rPr>
                <w:rFonts w:ascii="Arial" w:hAnsi="Arial"/>
                <w:bCs/>
                <w:sz w:val="20"/>
                <w:szCs w:val="20"/>
              </w:rPr>
              <w:t>ᵃ</w:t>
            </w:r>
          </w:p>
        </w:tc>
      </w:tr>
      <w:tr w:rsidR="00782339" w:rsidRPr="00782339" w14:paraId="5F095E48" w14:textId="77777777" w:rsidTr="0016379D">
        <w:trPr>
          <w:trHeight w:val="234"/>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6F840C70" w14:textId="77777777" w:rsidR="00782339" w:rsidRPr="00782339" w:rsidRDefault="00782339" w:rsidP="0016379D">
            <w:pPr>
              <w:pStyle w:val="NoSpacing"/>
              <w:spacing w:line="360" w:lineRule="auto"/>
              <w:jc w:val="both"/>
              <w:rPr>
                <w:rFonts w:ascii="Arial" w:hAnsi="Arial"/>
                <w:b w:val="0"/>
                <w:sz w:val="20"/>
                <w:szCs w:val="20"/>
              </w:rPr>
            </w:pPr>
            <w:r w:rsidRPr="00782339">
              <w:rPr>
                <w:rFonts w:ascii="Arial" w:hAnsi="Arial"/>
                <w:b w:val="0"/>
                <w:sz w:val="20"/>
                <w:szCs w:val="20"/>
              </w:rPr>
              <w:t>Group 4 (Lead treated 40mg+ extract 200mg)</w:t>
            </w:r>
          </w:p>
        </w:tc>
        <w:tc>
          <w:tcPr>
            <w:tcW w:w="2700" w:type="dxa"/>
            <w:shd w:val="clear" w:color="auto" w:fill="FFFFFF" w:themeFill="background1"/>
            <w:hideMark/>
          </w:tcPr>
          <w:p w14:paraId="37DE1CF3" w14:textId="77777777" w:rsidR="00782339" w:rsidRPr="00782339" w:rsidRDefault="00782339"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782339">
              <w:rPr>
                <w:rFonts w:ascii="Arial" w:hAnsi="Arial"/>
                <w:sz w:val="20"/>
                <w:szCs w:val="20"/>
              </w:rPr>
              <w:t>0.07± 0.06</w:t>
            </w:r>
            <w:r w:rsidRPr="00782339">
              <w:rPr>
                <w:rFonts w:ascii="Arial" w:hAnsi="Arial"/>
                <w:bCs/>
                <w:sz w:val="20"/>
                <w:szCs w:val="20"/>
              </w:rPr>
              <w:t>ᵃ</w:t>
            </w:r>
          </w:p>
        </w:tc>
      </w:tr>
      <w:tr w:rsidR="00782339" w:rsidRPr="00782339" w14:paraId="50BB4BED" w14:textId="77777777" w:rsidTr="0016379D">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040" w:type="dxa"/>
            <w:shd w:val="clear" w:color="auto" w:fill="FFFFFF" w:themeFill="background1"/>
            <w:hideMark/>
          </w:tcPr>
          <w:p w14:paraId="0572DF5B" w14:textId="77777777" w:rsidR="00782339" w:rsidRPr="00782339" w:rsidRDefault="00782339" w:rsidP="0016379D">
            <w:pPr>
              <w:pStyle w:val="NoSpacing"/>
              <w:spacing w:line="360" w:lineRule="auto"/>
              <w:jc w:val="both"/>
              <w:rPr>
                <w:rFonts w:ascii="Arial" w:hAnsi="Arial"/>
                <w:b w:val="0"/>
                <w:sz w:val="20"/>
                <w:szCs w:val="20"/>
              </w:rPr>
            </w:pPr>
            <w:r w:rsidRPr="00782339">
              <w:rPr>
                <w:rFonts w:ascii="Arial" w:hAnsi="Arial"/>
                <w:b w:val="0"/>
                <w:sz w:val="20"/>
                <w:szCs w:val="20"/>
              </w:rPr>
              <w:t>Group 5 (Lead treated 40mg + extract 300mg)</w:t>
            </w:r>
          </w:p>
        </w:tc>
        <w:tc>
          <w:tcPr>
            <w:tcW w:w="2700" w:type="dxa"/>
            <w:shd w:val="clear" w:color="auto" w:fill="FFFFFF" w:themeFill="background1"/>
            <w:hideMark/>
          </w:tcPr>
          <w:p w14:paraId="22EF4874" w14:textId="77777777" w:rsidR="00782339" w:rsidRPr="00782339" w:rsidRDefault="00782339"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782339">
              <w:rPr>
                <w:rFonts w:ascii="Arial" w:hAnsi="Arial"/>
                <w:sz w:val="20"/>
                <w:szCs w:val="20"/>
              </w:rPr>
              <w:t>0.02± 0.02</w:t>
            </w:r>
            <w:r w:rsidRPr="00782339">
              <w:rPr>
                <w:rFonts w:ascii="Arial" w:hAnsi="Arial"/>
                <w:bCs/>
                <w:sz w:val="20"/>
                <w:szCs w:val="20"/>
              </w:rPr>
              <w:t>ᶜ</w:t>
            </w:r>
          </w:p>
        </w:tc>
      </w:tr>
    </w:tbl>
    <w:p w14:paraId="3C5CAF5F" w14:textId="77777777" w:rsidR="00782339" w:rsidRPr="00782339" w:rsidRDefault="00782339" w:rsidP="002B23A4">
      <w:pPr>
        <w:pStyle w:val="NoSpacing"/>
        <w:jc w:val="both"/>
        <w:rPr>
          <w:rFonts w:ascii="Arial" w:hAnsi="Arial"/>
          <w:bCs/>
        </w:rPr>
      </w:pPr>
      <w:r w:rsidRPr="00782339">
        <w:rPr>
          <w:rFonts w:ascii="Arial" w:hAnsi="Arial"/>
          <w:bCs/>
        </w:rPr>
        <w:t>Values are means ± standard deviation of triplicate determinations. Values in the same column bearing the same superscript letters are not significantly different at 5% level.</w:t>
      </w:r>
    </w:p>
    <w:p w14:paraId="32A6066D" w14:textId="77777777" w:rsidR="00782339" w:rsidRDefault="00782339" w:rsidP="00441B6F">
      <w:pPr>
        <w:pStyle w:val="Body"/>
        <w:spacing w:after="0"/>
        <w:rPr>
          <w:rFonts w:ascii="Arial" w:hAnsi="Arial" w:cs="Arial"/>
        </w:rPr>
      </w:pPr>
    </w:p>
    <w:p w14:paraId="5FEB93DE" w14:textId="2A00F262" w:rsidR="001842A5" w:rsidRPr="001842A5" w:rsidRDefault="001842A5" w:rsidP="001842A5">
      <w:pPr>
        <w:autoSpaceDE w:val="0"/>
        <w:autoSpaceDN w:val="0"/>
        <w:adjustRightInd w:val="0"/>
        <w:jc w:val="both"/>
        <w:rPr>
          <w:rFonts w:ascii="Arial" w:hAnsi="Arial" w:cs="Arial"/>
          <w:b/>
          <w:bCs/>
          <w:sz w:val="22"/>
          <w:szCs w:val="22"/>
        </w:rPr>
      </w:pPr>
      <w:r w:rsidRPr="001842A5">
        <w:rPr>
          <w:rFonts w:ascii="Arial" w:hAnsi="Arial" w:cs="Arial"/>
          <w:b/>
          <w:bCs/>
          <w:sz w:val="22"/>
          <w:szCs w:val="22"/>
        </w:rPr>
        <w:t>3.2 Effect of Andrographis paniculata on Hematological Indices</w:t>
      </w:r>
    </w:p>
    <w:p w14:paraId="6B948F73" w14:textId="77777777" w:rsidR="001842A5" w:rsidRPr="001842A5" w:rsidRDefault="001842A5" w:rsidP="001842A5">
      <w:pPr>
        <w:autoSpaceDE w:val="0"/>
        <w:autoSpaceDN w:val="0"/>
        <w:adjustRightInd w:val="0"/>
        <w:jc w:val="both"/>
        <w:rPr>
          <w:rFonts w:ascii="Arial" w:hAnsi="Arial" w:cs="Arial"/>
          <w:szCs w:val="22"/>
        </w:rPr>
      </w:pPr>
      <w:r w:rsidRPr="001842A5">
        <w:rPr>
          <w:rFonts w:ascii="Arial" w:hAnsi="Arial" w:cs="Arial"/>
          <w:szCs w:val="22"/>
        </w:rPr>
        <w:t>Lead exposure in Group II induced significant hematological toxicity, characterized by decreased hemoglobin (Hb: 8.50 ± 0.40 g/dL), red blood cells (RBC: 4.20 ± 0.10 ×10⁶/µL), and packed cell volume (PCV: 24.00 ± 1.00%) compared to the control group (Table 3). These findings align with previous studies demonstrating lead’s inhibitory effects on δ-</w:t>
      </w:r>
      <w:proofErr w:type="spellStart"/>
      <w:r w:rsidRPr="001842A5">
        <w:rPr>
          <w:rFonts w:ascii="Arial" w:hAnsi="Arial" w:cs="Arial"/>
          <w:szCs w:val="22"/>
        </w:rPr>
        <w:t>aminolevulinic</w:t>
      </w:r>
      <w:proofErr w:type="spellEnd"/>
      <w:r w:rsidRPr="001842A5">
        <w:rPr>
          <w:rFonts w:ascii="Arial" w:hAnsi="Arial" w:cs="Arial"/>
          <w:szCs w:val="22"/>
        </w:rPr>
        <w:t xml:space="preserve"> acid dehydratase (ALAD), a key enzyme in heme biosynthesis (Ray, 2016). The suppression of ALAD leads to impaired hemoglobin production and microcytic anemia, a well-documented consequence of chronic lead toxicity (Patrick, 2006).</w:t>
      </w:r>
    </w:p>
    <w:p w14:paraId="3D502CE2" w14:textId="4D90CE44" w:rsidR="001842A5" w:rsidRDefault="001842A5" w:rsidP="001842A5">
      <w:pPr>
        <w:autoSpaceDE w:val="0"/>
        <w:autoSpaceDN w:val="0"/>
        <w:adjustRightInd w:val="0"/>
        <w:jc w:val="both"/>
        <w:rPr>
          <w:rFonts w:ascii="Arial" w:hAnsi="Arial" w:cs="Arial"/>
          <w:szCs w:val="22"/>
        </w:rPr>
      </w:pPr>
    </w:p>
    <w:p w14:paraId="5AEADEC0" w14:textId="4032D160" w:rsidR="001842A5" w:rsidRPr="001842A5" w:rsidRDefault="001842A5" w:rsidP="001842A5">
      <w:pPr>
        <w:pStyle w:val="NoSpacing"/>
        <w:spacing w:line="360" w:lineRule="auto"/>
        <w:jc w:val="both"/>
        <w:rPr>
          <w:rFonts w:ascii="Arial" w:hAnsi="Arial"/>
          <w:b/>
          <w:bCs/>
          <w:sz w:val="18"/>
          <w:szCs w:val="18"/>
        </w:rPr>
      </w:pPr>
      <w:r w:rsidRPr="001842A5">
        <w:rPr>
          <w:rFonts w:ascii="Arial" w:hAnsi="Arial"/>
          <w:b/>
          <w:sz w:val="18"/>
          <w:szCs w:val="18"/>
        </w:rPr>
        <w:t xml:space="preserve">Table 3 Effect of aqueous extract leaves of </w:t>
      </w:r>
      <w:r w:rsidRPr="001842A5">
        <w:rPr>
          <w:rFonts w:ascii="Arial" w:hAnsi="Arial"/>
          <w:b/>
          <w:i/>
          <w:sz w:val="18"/>
          <w:szCs w:val="18"/>
        </w:rPr>
        <w:t xml:space="preserve">Andrographis </w:t>
      </w:r>
      <w:proofErr w:type="spellStart"/>
      <w:r w:rsidRPr="001842A5">
        <w:rPr>
          <w:rFonts w:ascii="Arial" w:hAnsi="Arial"/>
          <w:b/>
          <w:i/>
          <w:sz w:val="18"/>
          <w:szCs w:val="18"/>
        </w:rPr>
        <w:t>paniculata</w:t>
      </w:r>
      <w:proofErr w:type="spellEnd"/>
      <w:r w:rsidRPr="001842A5">
        <w:rPr>
          <w:rFonts w:ascii="Arial" w:hAnsi="Arial"/>
          <w:b/>
          <w:i/>
          <w:sz w:val="18"/>
          <w:szCs w:val="18"/>
        </w:rPr>
        <w:t xml:space="preserve"> </w:t>
      </w:r>
      <w:r w:rsidRPr="001842A5">
        <w:rPr>
          <w:rFonts w:ascii="Arial" w:hAnsi="Arial"/>
          <w:b/>
          <w:sz w:val="18"/>
          <w:szCs w:val="18"/>
        </w:rPr>
        <w:t xml:space="preserve">on the </w:t>
      </w:r>
      <w:proofErr w:type="spellStart"/>
      <w:r w:rsidRPr="001842A5">
        <w:rPr>
          <w:rFonts w:ascii="Arial" w:hAnsi="Arial"/>
          <w:b/>
          <w:sz w:val="18"/>
          <w:szCs w:val="18"/>
        </w:rPr>
        <w:t>hematological</w:t>
      </w:r>
      <w:proofErr w:type="spellEnd"/>
      <w:r w:rsidRPr="001842A5">
        <w:rPr>
          <w:rFonts w:ascii="Arial" w:hAnsi="Arial"/>
          <w:b/>
          <w:sz w:val="18"/>
          <w:szCs w:val="18"/>
        </w:rPr>
        <w:t xml:space="preserve"> indices of lead acetate </w:t>
      </w:r>
      <w:r w:rsidR="002F76C7">
        <w:rPr>
          <w:rFonts w:ascii="Arial" w:hAnsi="Arial"/>
          <w:b/>
          <w:sz w:val="18"/>
          <w:szCs w:val="18"/>
        </w:rPr>
        <w:t xml:space="preserve">exposed </w:t>
      </w:r>
      <w:r w:rsidRPr="001842A5">
        <w:rPr>
          <w:rFonts w:ascii="Arial" w:hAnsi="Arial"/>
          <w:b/>
          <w:sz w:val="18"/>
          <w:szCs w:val="18"/>
        </w:rPr>
        <w:t>male Wistar albino rats</w:t>
      </w:r>
      <w:r w:rsidR="002F76C7">
        <w:rPr>
          <w:rFonts w:ascii="Arial" w:hAnsi="Arial"/>
          <w:b/>
          <w:sz w:val="18"/>
          <w:szCs w:val="18"/>
        </w:rPr>
        <w:t xml:space="preserve"> after 4 weeks treatment</w:t>
      </w:r>
    </w:p>
    <w:tbl>
      <w:tblPr>
        <w:tblStyle w:val="ListTable6Colorful"/>
        <w:tblW w:w="8910" w:type="dxa"/>
        <w:shd w:val="clear" w:color="auto" w:fill="FFFFFF" w:themeFill="background1"/>
        <w:tblLayout w:type="fixed"/>
        <w:tblLook w:val="04A0" w:firstRow="1" w:lastRow="0" w:firstColumn="1" w:lastColumn="0" w:noHBand="0" w:noVBand="1"/>
      </w:tblPr>
      <w:tblGrid>
        <w:gridCol w:w="1710"/>
        <w:gridCol w:w="1440"/>
        <w:gridCol w:w="1530"/>
        <w:gridCol w:w="1620"/>
        <w:gridCol w:w="1350"/>
        <w:gridCol w:w="1260"/>
      </w:tblGrid>
      <w:tr w:rsidR="002F76C7" w:rsidRPr="001842A5" w14:paraId="17B314C9" w14:textId="77777777" w:rsidTr="002F76C7">
        <w:trPr>
          <w:cnfStyle w:val="100000000000" w:firstRow="1" w:lastRow="0" w:firstColumn="0" w:lastColumn="0" w:oddVBand="0" w:evenVBand="0" w:oddHBand="0"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hideMark/>
          </w:tcPr>
          <w:p w14:paraId="7F7055FF" w14:textId="77777777" w:rsidR="001842A5" w:rsidRPr="001842A5" w:rsidRDefault="001842A5" w:rsidP="0016379D">
            <w:pPr>
              <w:pStyle w:val="NoSpacing"/>
              <w:rPr>
                <w:rFonts w:ascii="Arial" w:hAnsi="Arial"/>
                <w:sz w:val="18"/>
                <w:szCs w:val="18"/>
              </w:rPr>
            </w:pPr>
            <w:proofErr w:type="spellStart"/>
            <w:r w:rsidRPr="001842A5">
              <w:rPr>
                <w:rFonts w:ascii="Arial" w:hAnsi="Arial"/>
                <w:sz w:val="18"/>
                <w:szCs w:val="18"/>
              </w:rPr>
              <w:t>Hematological</w:t>
            </w:r>
            <w:proofErr w:type="spellEnd"/>
            <w:r w:rsidRPr="001842A5">
              <w:rPr>
                <w:rFonts w:ascii="Arial" w:hAnsi="Arial"/>
                <w:sz w:val="18"/>
                <w:szCs w:val="18"/>
              </w:rPr>
              <w:t xml:space="preserve"> indices</w:t>
            </w:r>
          </w:p>
        </w:tc>
        <w:tc>
          <w:tcPr>
            <w:tcW w:w="1440" w:type="dxa"/>
            <w:shd w:val="clear" w:color="auto" w:fill="FFFFFF" w:themeFill="background1"/>
            <w:hideMark/>
          </w:tcPr>
          <w:p w14:paraId="13A00735"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Group 1</w:t>
            </w:r>
          </w:p>
          <w:p w14:paraId="7D41418F"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(Control)</w:t>
            </w:r>
          </w:p>
        </w:tc>
        <w:tc>
          <w:tcPr>
            <w:tcW w:w="1530" w:type="dxa"/>
            <w:shd w:val="clear" w:color="auto" w:fill="FFFFFF" w:themeFill="background1"/>
            <w:hideMark/>
          </w:tcPr>
          <w:p w14:paraId="4B7D0BD3"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Group 2</w:t>
            </w:r>
          </w:p>
          <w:p w14:paraId="173B87AE"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(Lead Treated 40mg)</w:t>
            </w:r>
          </w:p>
        </w:tc>
        <w:tc>
          <w:tcPr>
            <w:tcW w:w="1620" w:type="dxa"/>
            <w:shd w:val="clear" w:color="auto" w:fill="FFFFFF" w:themeFill="background1"/>
            <w:hideMark/>
          </w:tcPr>
          <w:p w14:paraId="61D0D282"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Group 3</w:t>
            </w:r>
          </w:p>
          <w:p w14:paraId="2328BD30"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 xml:space="preserve"> (Lead Treated 40mg + Extract 100mg)</w:t>
            </w:r>
          </w:p>
        </w:tc>
        <w:tc>
          <w:tcPr>
            <w:tcW w:w="1350" w:type="dxa"/>
            <w:shd w:val="clear" w:color="auto" w:fill="FFFFFF" w:themeFill="background1"/>
            <w:hideMark/>
          </w:tcPr>
          <w:p w14:paraId="6CEEACDB"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Group 4 (Lead Treated 40mg+ Extract 200mg)</w:t>
            </w:r>
          </w:p>
        </w:tc>
        <w:tc>
          <w:tcPr>
            <w:tcW w:w="1260" w:type="dxa"/>
            <w:shd w:val="clear" w:color="auto" w:fill="FFFFFF" w:themeFill="background1"/>
            <w:hideMark/>
          </w:tcPr>
          <w:p w14:paraId="1B6A4645"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Group 5</w:t>
            </w:r>
          </w:p>
          <w:p w14:paraId="57169085" w14:textId="77777777" w:rsidR="001842A5" w:rsidRPr="001842A5" w:rsidRDefault="001842A5" w:rsidP="0016379D">
            <w:pPr>
              <w:pStyle w:val="NoSpacing"/>
              <w:cnfStyle w:val="100000000000" w:firstRow="1" w:lastRow="0" w:firstColumn="0" w:lastColumn="0" w:oddVBand="0" w:evenVBand="0" w:oddHBand="0" w:evenHBand="0" w:firstRowFirstColumn="0" w:firstRowLastColumn="0" w:lastRowFirstColumn="0" w:lastRowLastColumn="0"/>
              <w:rPr>
                <w:rFonts w:ascii="Arial" w:hAnsi="Arial"/>
                <w:sz w:val="18"/>
                <w:szCs w:val="18"/>
              </w:rPr>
            </w:pPr>
            <w:r w:rsidRPr="001842A5">
              <w:rPr>
                <w:rFonts w:ascii="Arial" w:hAnsi="Arial"/>
                <w:sz w:val="18"/>
                <w:szCs w:val="18"/>
              </w:rPr>
              <w:t>(Lead Treated 40mg+Extract 300mg)</w:t>
            </w:r>
          </w:p>
        </w:tc>
      </w:tr>
      <w:tr w:rsidR="002F76C7" w:rsidRPr="001842A5" w14:paraId="36E0EEEE"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4C312E06"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PCV (g/dl)</w:t>
            </w:r>
          </w:p>
        </w:tc>
        <w:tc>
          <w:tcPr>
            <w:tcW w:w="1440" w:type="dxa"/>
            <w:shd w:val="clear" w:color="auto" w:fill="FFFFFF" w:themeFill="background1"/>
            <w:noWrap/>
            <w:hideMark/>
          </w:tcPr>
          <w:p w14:paraId="15BF6F34"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34.33 ± 4.04</w:t>
            </w:r>
            <w:r w:rsidRPr="001842A5">
              <w:rPr>
                <w:rFonts w:ascii="Arial" w:eastAsia="Times New Roman" w:hAnsi="Arial"/>
                <w:bCs/>
                <w:color w:val="000000"/>
                <w:sz w:val="18"/>
                <w:szCs w:val="18"/>
              </w:rPr>
              <w:t>ᵃ</w:t>
            </w:r>
          </w:p>
        </w:tc>
        <w:tc>
          <w:tcPr>
            <w:tcW w:w="1530" w:type="dxa"/>
            <w:shd w:val="clear" w:color="auto" w:fill="FFFFFF" w:themeFill="background1"/>
            <w:noWrap/>
            <w:hideMark/>
          </w:tcPr>
          <w:p w14:paraId="6C19DB41"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24.00± 1.00ᵇ</w:t>
            </w:r>
          </w:p>
        </w:tc>
        <w:tc>
          <w:tcPr>
            <w:tcW w:w="1620" w:type="dxa"/>
            <w:shd w:val="clear" w:color="auto" w:fill="FFFFFF" w:themeFill="background1"/>
            <w:noWrap/>
            <w:hideMark/>
          </w:tcPr>
          <w:p w14:paraId="36FD43C0"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32.67 ± 6.51ᵃ</w:t>
            </w:r>
          </w:p>
        </w:tc>
        <w:tc>
          <w:tcPr>
            <w:tcW w:w="1350" w:type="dxa"/>
            <w:shd w:val="clear" w:color="auto" w:fill="FFFFFF" w:themeFill="background1"/>
            <w:noWrap/>
            <w:hideMark/>
          </w:tcPr>
          <w:p w14:paraId="2D1CEF66"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36.00 ± 1.00ᵃ</w:t>
            </w:r>
          </w:p>
        </w:tc>
        <w:tc>
          <w:tcPr>
            <w:tcW w:w="1260" w:type="dxa"/>
            <w:shd w:val="clear" w:color="auto" w:fill="FFFFFF" w:themeFill="background1"/>
            <w:noWrap/>
            <w:hideMark/>
          </w:tcPr>
          <w:p w14:paraId="4A18DCF1"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38.67 ± 2.08ᵃ</w:t>
            </w:r>
          </w:p>
        </w:tc>
      </w:tr>
      <w:tr w:rsidR="002F76C7" w:rsidRPr="001842A5" w14:paraId="249D8E23"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6E3AF115"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HB (%)</w:t>
            </w:r>
          </w:p>
        </w:tc>
        <w:tc>
          <w:tcPr>
            <w:tcW w:w="1440" w:type="dxa"/>
            <w:shd w:val="clear" w:color="auto" w:fill="FFFFFF" w:themeFill="background1"/>
            <w:noWrap/>
            <w:hideMark/>
          </w:tcPr>
          <w:p w14:paraId="663F9D8D"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11.70 ± 1.05</w:t>
            </w:r>
            <w:r w:rsidRPr="001842A5">
              <w:rPr>
                <w:rFonts w:ascii="Arial" w:eastAsia="Times New Roman" w:hAnsi="Arial"/>
                <w:bCs/>
                <w:color w:val="000000"/>
                <w:sz w:val="18"/>
                <w:szCs w:val="18"/>
              </w:rPr>
              <w:t>ᵃᵇ</w:t>
            </w:r>
          </w:p>
        </w:tc>
        <w:tc>
          <w:tcPr>
            <w:tcW w:w="1530" w:type="dxa"/>
            <w:shd w:val="clear" w:color="auto" w:fill="FFFFFF" w:themeFill="background1"/>
            <w:noWrap/>
            <w:hideMark/>
          </w:tcPr>
          <w:p w14:paraId="318C0BDB"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8.50 ± 0.40</w:t>
            </w:r>
            <w:r w:rsidRPr="001842A5">
              <w:rPr>
                <w:rFonts w:ascii="Arial" w:eastAsia="Times New Roman" w:hAnsi="Arial"/>
                <w:bCs/>
                <w:color w:val="000000"/>
                <w:sz w:val="18"/>
                <w:szCs w:val="18"/>
              </w:rPr>
              <w:t>ᶜ</w:t>
            </w:r>
          </w:p>
        </w:tc>
        <w:tc>
          <w:tcPr>
            <w:tcW w:w="1620" w:type="dxa"/>
            <w:shd w:val="clear" w:color="auto" w:fill="FFFFFF" w:themeFill="background1"/>
            <w:noWrap/>
            <w:hideMark/>
          </w:tcPr>
          <w:p w14:paraId="64AF9E08"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11.00± 2.30ᵇ</w:t>
            </w:r>
          </w:p>
        </w:tc>
        <w:tc>
          <w:tcPr>
            <w:tcW w:w="1350" w:type="dxa"/>
            <w:shd w:val="clear" w:color="auto" w:fill="FFFFFF" w:themeFill="background1"/>
            <w:noWrap/>
            <w:hideMark/>
          </w:tcPr>
          <w:p w14:paraId="404E9211"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12.30± 0.30ᵃᵇ</w:t>
            </w:r>
          </w:p>
        </w:tc>
        <w:tc>
          <w:tcPr>
            <w:tcW w:w="1260" w:type="dxa"/>
            <w:shd w:val="clear" w:color="auto" w:fill="FFFFFF" w:themeFill="background1"/>
            <w:noWrap/>
            <w:hideMark/>
          </w:tcPr>
          <w:p w14:paraId="21466501"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13.30 ± 0.53ᵃ</w:t>
            </w:r>
          </w:p>
        </w:tc>
      </w:tr>
      <w:tr w:rsidR="002F76C7" w:rsidRPr="001842A5" w14:paraId="39EC6267"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4B62A616"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lastRenderedPageBreak/>
              <w:t>RBC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228A7DE0"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6.50 ± 0.26</w:t>
            </w:r>
            <w:r w:rsidRPr="001842A5">
              <w:rPr>
                <w:rFonts w:ascii="Arial" w:eastAsia="Times New Roman" w:hAnsi="Arial"/>
                <w:bCs/>
                <w:color w:val="000000"/>
                <w:sz w:val="18"/>
                <w:szCs w:val="18"/>
              </w:rPr>
              <w:t>ᵃ</w:t>
            </w:r>
          </w:p>
        </w:tc>
        <w:tc>
          <w:tcPr>
            <w:tcW w:w="1530" w:type="dxa"/>
            <w:shd w:val="clear" w:color="auto" w:fill="FFFFFF" w:themeFill="background1"/>
            <w:noWrap/>
            <w:hideMark/>
          </w:tcPr>
          <w:p w14:paraId="360BB2B9"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4.20± 0.10</w:t>
            </w:r>
            <w:r w:rsidRPr="001842A5">
              <w:rPr>
                <w:rFonts w:ascii="Arial" w:eastAsia="Times New Roman" w:hAnsi="Arial"/>
                <w:bCs/>
                <w:color w:val="000000"/>
                <w:sz w:val="18"/>
                <w:szCs w:val="18"/>
              </w:rPr>
              <w:t>ᵇ</w:t>
            </w:r>
          </w:p>
        </w:tc>
        <w:tc>
          <w:tcPr>
            <w:tcW w:w="1620" w:type="dxa"/>
            <w:shd w:val="clear" w:color="auto" w:fill="FFFFFF" w:themeFill="background1"/>
            <w:noWrap/>
            <w:hideMark/>
          </w:tcPr>
          <w:p w14:paraId="79D42D75"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5.77± 1.16ᵃ</w:t>
            </w:r>
          </w:p>
        </w:tc>
        <w:tc>
          <w:tcPr>
            <w:tcW w:w="1350" w:type="dxa"/>
            <w:shd w:val="clear" w:color="auto" w:fill="FFFFFF" w:themeFill="background1"/>
            <w:noWrap/>
            <w:hideMark/>
          </w:tcPr>
          <w:p w14:paraId="5BE0E1EE"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6.57 ± 0.21ᵃ</w:t>
            </w:r>
          </w:p>
        </w:tc>
        <w:tc>
          <w:tcPr>
            <w:tcW w:w="1260" w:type="dxa"/>
            <w:shd w:val="clear" w:color="auto" w:fill="FFFFFF" w:themeFill="background1"/>
            <w:noWrap/>
            <w:hideMark/>
          </w:tcPr>
          <w:p w14:paraId="5D484E30"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6.80 ± 0.10</w:t>
            </w:r>
            <w:r w:rsidRPr="001842A5">
              <w:rPr>
                <w:rFonts w:ascii="Arial" w:eastAsia="Times New Roman" w:hAnsi="Arial"/>
                <w:bCs/>
                <w:color w:val="000000"/>
                <w:sz w:val="18"/>
                <w:szCs w:val="18"/>
              </w:rPr>
              <w:t>ᵃ</w:t>
            </w:r>
          </w:p>
        </w:tc>
      </w:tr>
      <w:tr w:rsidR="002F76C7" w:rsidRPr="001842A5" w14:paraId="74C43313"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3C87D087"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WBC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41578CFB"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4.50 ± 0.30</w:t>
            </w:r>
            <w:r w:rsidRPr="001842A5">
              <w:rPr>
                <w:rFonts w:ascii="Arial" w:eastAsia="Times New Roman" w:hAnsi="Arial"/>
                <w:bCs/>
                <w:color w:val="000000"/>
                <w:sz w:val="18"/>
                <w:szCs w:val="18"/>
              </w:rPr>
              <w:t>ᶜ</w:t>
            </w:r>
            <w:r w:rsidRPr="001842A5">
              <w:rPr>
                <w:rFonts w:ascii="Arial" w:eastAsia="Times New Roman" w:hAnsi="Arial"/>
                <w:color w:val="000000"/>
                <w:sz w:val="18"/>
                <w:szCs w:val="18"/>
              </w:rPr>
              <w:t xml:space="preserve"> </w:t>
            </w:r>
          </w:p>
        </w:tc>
        <w:tc>
          <w:tcPr>
            <w:tcW w:w="1530" w:type="dxa"/>
            <w:shd w:val="clear" w:color="auto" w:fill="FFFFFF" w:themeFill="background1"/>
            <w:noWrap/>
            <w:hideMark/>
          </w:tcPr>
          <w:p w14:paraId="56C84D07"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16.83± 0.35ᵃ</w:t>
            </w:r>
          </w:p>
        </w:tc>
        <w:tc>
          <w:tcPr>
            <w:tcW w:w="1620" w:type="dxa"/>
            <w:shd w:val="clear" w:color="auto" w:fill="FFFFFF" w:themeFill="background1"/>
            <w:noWrap/>
            <w:hideMark/>
          </w:tcPr>
          <w:p w14:paraId="5D3FE932"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14.07 ± 6.30ᵃᵇ</w:t>
            </w:r>
          </w:p>
        </w:tc>
        <w:tc>
          <w:tcPr>
            <w:tcW w:w="1350" w:type="dxa"/>
            <w:shd w:val="clear" w:color="auto" w:fill="FFFFFF" w:themeFill="background1"/>
            <w:noWrap/>
            <w:hideMark/>
          </w:tcPr>
          <w:p w14:paraId="77E21354"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10.10 ± 5.73ᵃᵇᶜ</w:t>
            </w:r>
          </w:p>
        </w:tc>
        <w:tc>
          <w:tcPr>
            <w:tcW w:w="1260" w:type="dxa"/>
            <w:shd w:val="clear" w:color="auto" w:fill="FFFFFF" w:themeFill="background1"/>
            <w:noWrap/>
            <w:hideMark/>
          </w:tcPr>
          <w:p w14:paraId="370C7A7F"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8.33 ± 0.87ᵇᶜ</w:t>
            </w:r>
          </w:p>
        </w:tc>
      </w:tr>
      <w:tr w:rsidR="002F76C7" w:rsidRPr="001842A5" w14:paraId="0D2301BA"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25E8510C"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PLT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5C79F7A0"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184.33 ± 10.69</w:t>
            </w:r>
            <w:r w:rsidRPr="001842A5">
              <w:rPr>
                <w:rFonts w:ascii="Arial" w:eastAsia="Times New Roman" w:hAnsi="Arial"/>
                <w:bCs/>
                <w:color w:val="000000"/>
                <w:sz w:val="18"/>
                <w:szCs w:val="18"/>
              </w:rPr>
              <w:t>ᵇ</w:t>
            </w:r>
            <w:r w:rsidRPr="001842A5">
              <w:rPr>
                <w:rFonts w:ascii="Arial" w:eastAsia="Times New Roman" w:hAnsi="Arial"/>
                <w:color w:val="000000"/>
                <w:sz w:val="18"/>
                <w:szCs w:val="18"/>
              </w:rPr>
              <w:t xml:space="preserve"> </w:t>
            </w:r>
          </w:p>
        </w:tc>
        <w:tc>
          <w:tcPr>
            <w:tcW w:w="1530" w:type="dxa"/>
            <w:shd w:val="clear" w:color="auto" w:fill="FFFFFF" w:themeFill="background1"/>
            <w:noWrap/>
            <w:hideMark/>
          </w:tcPr>
          <w:p w14:paraId="4E1D8CCA"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615.33± 237.79ᵃ</w:t>
            </w:r>
          </w:p>
        </w:tc>
        <w:tc>
          <w:tcPr>
            <w:tcW w:w="1620" w:type="dxa"/>
            <w:shd w:val="clear" w:color="auto" w:fill="FFFFFF" w:themeFill="background1"/>
            <w:noWrap/>
            <w:hideMark/>
          </w:tcPr>
          <w:p w14:paraId="5EAF0F27"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445.67± 191.01ᵃᵇ</w:t>
            </w:r>
          </w:p>
        </w:tc>
        <w:tc>
          <w:tcPr>
            <w:tcW w:w="1350" w:type="dxa"/>
            <w:shd w:val="clear" w:color="auto" w:fill="FFFFFF" w:themeFill="background1"/>
            <w:noWrap/>
            <w:hideMark/>
          </w:tcPr>
          <w:p w14:paraId="7CE528FA"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424.67 ± 179.98ᵃᵇ</w:t>
            </w:r>
          </w:p>
        </w:tc>
        <w:tc>
          <w:tcPr>
            <w:tcW w:w="1260" w:type="dxa"/>
            <w:shd w:val="clear" w:color="auto" w:fill="FFFFFF" w:themeFill="background1"/>
            <w:noWrap/>
            <w:hideMark/>
          </w:tcPr>
          <w:p w14:paraId="7E61E88A"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396.67± 178.63ᵃᵇ</w:t>
            </w:r>
          </w:p>
        </w:tc>
      </w:tr>
      <w:tr w:rsidR="002F76C7" w:rsidRPr="001842A5" w14:paraId="35365914"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1305FF56"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MCHC (g/dl)</w:t>
            </w:r>
          </w:p>
        </w:tc>
        <w:tc>
          <w:tcPr>
            <w:tcW w:w="1440" w:type="dxa"/>
            <w:shd w:val="clear" w:color="auto" w:fill="FFFFFF" w:themeFill="background1"/>
            <w:noWrap/>
            <w:hideMark/>
          </w:tcPr>
          <w:p w14:paraId="682133A6"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35.27 ± 1.07ᵃ</w:t>
            </w:r>
          </w:p>
        </w:tc>
        <w:tc>
          <w:tcPr>
            <w:tcW w:w="1530" w:type="dxa"/>
            <w:shd w:val="clear" w:color="auto" w:fill="FFFFFF" w:themeFill="background1"/>
            <w:noWrap/>
            <w:hideMark/>
          </w:tcPr>
          <w:p w14:paraId="5CC743FD"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34.73± 1.64ᵃ</w:t>
            </w:r>
          </w:p>
        </w:tc>
        <w:tc>
          <w:tcPr>
            <w:tcW w:w="1620" w:type="dxa"/>
            <w:shd w:val="clear" w:color="auto" w:fill="FFFFFF" w:themeFill="background1"/>
            <w:noWrap/>
            <w:hideMark/>
          </w:tcPr>
          <w:p w14:paraId="63883532"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33.43 ± 1.16ᵃ</w:t>
            </w:r>
          </w:p>
        </w:tc>
        <w:tc>
          <w:tcPr>
            <w:tcW w:w="1350" w:type="dxa"/>
            <w:shd w:val="clear" w:color="auto" w:fill="FFFFFF" w:themeFill="background1"/>
            <w:noWrap/>
            <w:hideMark/>
          </w:tcPr>
          <w:p w14:paraId="7B6DBBC4"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33.80 ± 0.36ᵃ</w:t>
            </w:r>
          </w:p>
        </w:tc>
        <w:tc>
          <w:tcPr>
            <w:tcW w:w="1260" w:type="dxa"/>
            <w:shd w:val="clear" w:color="auto" w:fill="FFFFFF" w:themeFill="background1"/>
            <w:noWrap/>
            <w:hideMark/>
          </w:tcPr>
          <w:p w14:paraId="3BC95107"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33.40 ± 0.96ᵃ</w:t>
            </w:r>
          </w:p>
        </w:tc>
      </w:tr>
      <w:tr w:rsidR="002F76C7" w:rsidRPr="001842A5" w14:paraId="6109AFB9"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01041E73"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MCH (</w:t>
            </w:r>
            <w:proofErr w:type="spellStart"/>
            <w:r w:rsidRPr="001842A5">
              <w:rPr>
                <w:rFonts w:ascii="Arial" w:eastAsia="Times New Roman" w:hAnsi="Arial"/>
                <w:color w:val="000000"/>
                <w:sz w:val="18"/>
                <w:szCs w:val="18"/>
              </w:rPr>
              <w:t>pg</w:t>
            </w:r>
            <w:proofErr w:type="spellEnd"/>
            <w:r w:rsidRPr="001842A5">
              <w:rPr>
                <w:rFonts w:ascii="Arial" w:eastAsia="Times New Roman" w:hAnsi="Arial"/>
                <w:color w:val="000000"/>
                <w:sz w:val="18"/>
                <w:szCs w:val="18"/>
              </w:rPr>
              <w:t>)</w:t>
            </w:r>
          </w:p>
        </w:tc>
        <w:tc>
          <w:tcPr>
            <w:tcW w:w="1440" w:type="dxa"/>
            <w:shd w:val="clear" w:color="auto" w:fill="FFFFFF" w:themeFill="background1"/>
            <w:noWrap/>
            <w:hideMark/>
          </w:tcPr>
          <w:p w14:paraId="1610CE83"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19.17 ± 0.75</w:t>
            </w:r>
            <w:r w:rsidRPr="001842A5">
              <w:rPr>
                <w:rFonts w:ascii="Arial" w:eastAsia="Times New Roman" w:hAnsi="Arial"/>
                <w:bCs/>
                <w:color w:val="000000"/>
                <w:sz w:val="18"/>
                <w:szCs w:val="18"/>
              </w:rPr>
              <w:t>ᵃᵇ</w:t>
            </w:r>
          </w:p>
        </w:tc>
        <w:tc>
          <w:tcPr>
            <w:tcW w:w="1530" w:type="dxa"/>
            <w:shd w:val="clear" w:color="auto" w:fill="FFFFFF" w:themeFill="background1"/>
            <w:noWrap/>
            <w:hideMark/>
          </w:tcPr>
          <w:p w14:paraId="1DCF3BEE"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20.20 ± 0.89ᵃ</w:t>
            </w:r>
          </w:p>
        </w:tc>
        <w:tc>
          <w:tcPr>
            <w:tcW w:w="1620" w:type="dxa"/>
            <w:shd w:val="clear" w:color="auto" w:fill="FFFFFF" w:themeFill="background1"/>
            <w:noWrap/>
            <w:hideMark/>
          </w:tcPr>
          <w:p w14:paraId="323ACB41"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19.47 ± 0.25ᵃᵇ</w:t>
            </w:r>
          </w:p>
        </w:tc>
        <w:tc>
          <w:tcPr>
            <w:tcW w:w="1350" w:type="dxa"/>
            <w:shd w:val="clear" w:color="auto" w:fill="FFFFFF" w:themeFill="background1"/>
            <w:noWrap/>
            <w:hideMark/>
          </w:tcPr>
          <w:p w14:paraId="149437C6"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18.37 ± 0.49</w:t>
            </w:r>
            <w:r w:rsidRPr="001842A5">
              <w:rPr>
                <w:rFonts w:ascii="Arial" w:eastAsia="Times New Roman" w:hAnsi="Arial"/>
                <w:bCs/>
                <w:color w:val="000000"/>
                <w:sz w:val="18"/>
                <w:szCs w:val="18"/>
              </w:rPr>
              <w:t>ᵇ</w:t>
            </w:r>
          </w:p>
        </w:tc>
        <w:tc>
          <w:tcPr>
            <w:tcW w:w="1260" w:type="dxa"/>
            <w:shd w:val="clear" w:color="auto" w:fill="FFFFFF" w:themeFill="background1"/>
            <w:noWrap/>
            <w:hideMark/>
          </w:tcPr>
          <w:p w14:paraId="152C56C6"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19.57 ± 0.32ᵃ</w:t>
            </w:r>
          </w:p>
        </w:tc>
      </w:tr>
      <w:tr w:rsidR="002F76C7" w:rsidRPr="001842A5" w14:paraId="37F8F817"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4BA740D5"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MCV (</w:t>
            </w:r>
            <w:proofErr w:type="spellStart"/>
            <w:r w:rsidRPr="001842A5">
              <w:rPr>
                <w:rFonts w:ascii="Arial" w:eastAsia="Times New Roman" w:hAnsi="Arial"/>
                <w:color w:val="000000"/>
                <w:sz w:val="18"/>
                <w:szCs w:val="18"/>
              </w:rPr>
              <w:t>fL</w:t>
            </w:r>
            <w:proofErr w:type="spellEnd"/>
            <w:r w:rsidRPr="001842A5">
              <w:rPr>
                <w:rFonts w:ascii="Arial" w:eastAsia="Times New Roman" w:hAnsi="Arial"/>
                <w:color w:val="000000"/>
                <w:sz w:val="18"/>
                <w:szCs w:val="18"/>
              </w:rPr>
              <w:t>)</w:t>
            </w:r>
          </w:p>
        </w:tc>
        <w:tc>
          <w:tcPr>
            <w:tcW w:w="1440" w:type="dxa"/>
            <w:shd w:val="clear" w:color="auto" w:fill="FFFFFF" w:themeFill="background1"/>
            <w:noWrap/>
            <w:hideMark/>
          </w:tcPr>
          <w:p w14:paraId="6A6F0DD5"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56.03 ± 0.75</w:t>
            </w:r>
            <w:r w:rsidRPr="001842A5">
              <w:rPr>
                <w:rFonts w:ascii="Arial" w:eastAsia="Times New Roman" w:hAnsi="Arial"/>
                <w:bCs/>
                <w:color w:val="000000"/>
                <w:sz w:val="18"/>
                <w:szCs w:val="18"/>
              </w:rPr>
              <w:t>ᵇᶜ</w:t>
            </w:r>
          </w:p>
        </w:tc>
        <w:tc>
          <w:tcPr>
            <w:tcW w:w="1530" w:type="dxa"/>
            <w:shd w:val="clear" w:color="auto" w:fill="FFFFFF" w:themeFill="background1"/>
            <w:noWrap/>
            <w:hideMark/>
          </w:tcPr>
          <w:p w14:paraId="41729825"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58.4</w:t>
            </w:r>
            <w:r w:rsidRPr="001842A5">
              <w:rPr>
                <w:rFonts w:ascii="Arial" w:eastAsia="Times New Roman" w:hAnsi="Arial"/>
                <w:i/>
                <w:iCs/>
                <w:color w:val="000000"/>
                <w:sz w:val="18"/>
                <w:szCs w:val="18"/>
              </w:rPr>
              <w:t>3 ± 0.97</w:t>
            </w:r>
            <w:r w:rsidRPr="001842A5">
              <w:rPr>
                <w:rFonts w:ascii="Arial" w:eastAsia="Times New Roman" w:hAnsi="Arial"/>
                <w:color w:val="000000"/>
                <w:sz w:val="18"/>
                <w:szCs w:val="18"/>
              </w:rPr>
              <w:t>ᵃ</w:t>
            </w:r>
          </w:p>
        </w:tc>
        <w:tc>
          <w:tcPr>
            <w:tcW w:w="1620" w:type="dxa"/>
            <w:shd w:val="clear" w:color="auto" w:fill="FFFFFF" w:themeFill="background1"/>
            <w:noWrap/>
            <w:hideMark/>
          </w:tcPr>
          <w:p w14:paraId="64438F44"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56.37 ± 0.95ᵃᵇᶜ</w:t>
            </w:r>
          </w:p>
        </w:tc>
        <w:tc>
          <w:tcPr>
            <w:tcW w:w="1350" w:type="dxa"/>
            <w:shd w:val="clear" w:color="auto" w:fill="FFFFFF" w:themeFill="background1"/>
            <w:noWrap/>
            <w:hideMark/>
          </w:tcPr>
          <w:p w14:paraId="0EDC1D04"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55.57 ± 0.25ᶜ</w:t>
            </w:r>
          </w:p>
        </w:tc>
        <w:tc>
          <w:tcPr>
            <w:tcW w:w="1260" w:type="dxa"/>
            <w:shd w:val="clear" w:color="auto" w:fill="FFFFFF" w:themeFill="background1"/>
            <w:noWrap/>
            <w:hideMark/>
          </w:tcPr>
          <w:p w14:paraId="2D51D8DA"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 xml:space="preserve">58.20 ± 2.09ᵃᵇ </w:t>
            </w:r>
          </w:p>
        </w:tc>
      </w:tr>
      <w:tr w:rsidR="002F76C7" w:rsidRPr="001842A5" w14:paraId="62E82138"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65525C7A"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N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23B29129"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3.33 ± 1.53ᵃ</w:t>
            </w:r>
          </w:p>
        </w:tc>
        <w:tc>
          <w:tcPr>
            <w:tcW w:w="1530" w:type="dxa"/>
            <w:shd w:val="clear" w:color="auto" w:fill="FFFFFF" w:themeFill="background1"/>
            <w:noWrap/>
            <w:hideMark/>
          </w:tcPr>
          <w:p w14:paraId="14778765"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6.33 ± 4.04ᵃ</w:t>
            </w:r>
          </w:p>
        </w:tc>
        <w:tc>
          <w:tcPr>
            <w:tcW w:w="1620" w:type="dxa"/>
            <w:shd w:val="clear" w:color="auto" w:fill="FFFFFF" w:themeFill="background1"/>
            <w:noWrap/>
            <w:hideMark/>
          </w:tcPr>
          <w:p w14:paraId="4891FBB1"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8.00 ± 4.58ᵃ</w:t>
            </w:r>
          </w:p>
        </w:tc>
        <w:tc>
          <w:tcPr>
            <w:tcW w:w="1350" w:type="dxa"/>
            <w:shd w:val="clear" w:color="auto" w:fill="FFFFFF" w:themeFill="background1"/>
            <w:noWrap/>
            <w:hideMark/>
          </w:tcPr>
          <w:p w14:paraId="23719283"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5.33 ± 2.30ᵃ</w:t>
            </w:r>
          </w:p>
        </w:tc>
        <w:tc>
          <w:tcPr>
            <w:tcW w:w="1260" w:type="dxa"/>
            <w:shd w:val="clear" w:color="auto" w:fill="FFFFFF" w:themeFill="background1"/>
            <w:noWrap/>
            <w:hideMark/>
          </w:tcPr>
          <w:p w14:paraId="570E83EE"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7.67 ± 2.08ᵃ</w:t>
            </w:r>
          </w:p>
        </w:tc>
      </w:tr>
      <w:tr w:rsidR="002F76C7" w:rsidRPr="001842A5" w14:paraId="3CBD8AA6"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7E4F406D"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L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416782B2"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92.33 ± 2.52ᵃ</w:t>
            </w:r>
          </w:p>
        </w:tc>
        <w:tc>
          <w:tcPr>
            <w:tcW w:w="1530" w:type="dxa"/>
            <w:shd w:val="clear" w:color="auto" w:fill="FFFFFF" w:themeFill="background1"/>
            <w:noWrap/>
            <w:hideMark/>
          </w:tcPr>
          <w:p w14:paraId="3B0DAC20"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88.33 ± 8.02ᵃ</w:t>
            </w:r>
          </w:p>
        </w:tc>
        <w:tc>
          <w:tcPr>
            <w:tcW w:w="1620" w:type="dxa"/>
            <w:shd w:val="clear" w:color="auto" w:fill="FFFFFF" w:themeFill="background1"/>
            <w:noWrap/>
            <w:hideMark/>
          </w:tcPr>
          <w:p w14:paraId="169109B7"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85.33 ± 4.58ᵃ</w:t>
            </w:r>
          </w:p>
        </w:tc>
        <w:tc>
          <w:tcPr>
            <w:tcW w:w="1350" w:type="dxa"/>
            <w:shd w:val="clear" w:color="auto" w:fill="FFFFFF" w:themeFill="background1"/>
            <w:noWrap/>
            <w:hideMark/>
          </w:tcPr>
          <w:p w14:paraId="552E6CE6"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88.67 ± 3.51ᵃ</w:t>
            </w:r>
          </w:p>
        </w:tc>
        <w:tc>
          <w:tcPr>
            <w:tcW w:w="1260" w:type="dxa"/>
            <w:shd w:val="clear" w:color="auto" w:fill="FFFFFF" w:themeFill="background1"/>
            <w:noWrap/>
            <w:hideMark/>
          </w:tcPr>
          <w:p w14:paraId="71148EF7"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85.33 ± 5.51ᵃ</w:t>
            </w:r>
          </w:p>
        </w:tc>
      </w:tr>
      <w:tr w:rsidR="002F76C7" w:rsidRPr="001842A5" w14:paraId="41158301" w14:textId="77777777" w:rsidTr="002F76C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4E7CD1F4"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E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258F5AB4"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1.33 ± 0.58ᵃ</w:t>
            </w:r>
          </w:p>
        </w:tc>
        <w:tc>
          <w:tcPr>
            <w:tcW w:w="1530" w:type="dxa"/>
            <w:shd w:val="clear" w:color="auto" w:fill="FFFFFF" w:themeFill="background1"/>
            <w:noWrap/>
            <w:hideMark/>
          </w:tcPr>
          <w:p w14:paraId="079775CC"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2.00 ± 1.73ᵃ</w:t>
            </w:r>
          </w:p>
        </w:tc>
        <w:tc>
          <w:tcPr>
            <w:tcW w:w="1620" w:type="dxa"/>
            <w:shd w:val="clear" w:color="auto" w:fill="FFFFFF" w:themeFill="background1"/>
            <w:noWrap/>
            <w:hideMark/>
          </w:tcPr>
          <w:p w14:paraId="588ED4BF"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2.00 ± 1.00ᵃ</w:t>
            </w:r>
          </w:p>
        </w:tc>
        <w:tc>
          <w:tcPr>
            <w:tcW w:w="1350" w:type="dxa"/>
            <w:shd w:val="clear" w:color="auto" w:fill="FFFFFF" w:themeFill="background1"/>
            <w:noWrap/>
            <w:hideMark/>
          </w:tcPr>
          <w:p w14:paraId="7A8481B8"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1.67 ± 0.58ᵃ</w:t>
            </w:r>
          </w:p>
        </w:tc>
        <w:tc>
          <w:tcPr>
            <w:tcW w:w="1260" w:type="dxa"/>
            <w:shd w:val="clear" w:color="auto" w:fill="FFFFFF" w:themeFill="background1"/>
            <w:noWrap/>
            <w:hideMark/>
          </w:tcPr>
          <w:p w14:paraId="487163FC" w14:textId="77777777" w:rsidR="001842A5" w:rsidRPr="001842A5" w:rsidRDefault="001842A5" w:rsidP="0016379D">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2.67 ± 1.53ᵃ</w:t>
            </w:r>
          </w:p>
        </w:tc>
      </w:tr>
      <w:tr w:rsidR="002F76C7" w:rsidRPr="001842A5" w14:paraId="666EE79B" w14:textId="77777777" w:rsidTr="002F76C7">
        <w:trPr>
          <w:trHeight w:val="256"/>
        </w:trPr>
        <w:tc>
          <w:tcPr>
            <w:cnfStyle w:val="001000000000" w:firstRow="0" w:lastRow="0" w:firstColumn="1" w:lastColumn="0" w:oddVBand="0" w:evenVBand="0" w:oddHBand="0" w:evenHBand="0" w:firstRowFirstColumn="0" w:firstRowLastColumn="0" w:lastRowFirstColumn="0" w:lastRowLastColumn="0"/>
            <w:tcW w:w="1710" w:type="dxa"/>
            <w:shd w:val="clear" w:color="auto" w:fill="FFFFFF" w:themeFill="background1"/>
            <w:noWrap/>
            <w:hideMark/>
          </w:tcPr>
          <w:p w14:paraId="714F89A3" w14:textId="77777777" w:rsidR="001842A5" w:rsidRPr="001842A5" w:rsidRDefault="001842A5" w:rsidP="0016379D">
            <w:pPr>
              <w:pStyle w:val="NoSpacing"/>
              <w:spacing w:line="360" w:lineRule="auto"/>
              <w:jc w:val="both"/>
              <w:rPr>
                <w:rFonts w:ascii="Arial" w:eastAsia="Times New Roman" w:hAnsi="Arial"/>
                <w:b w:val="0"/>
                <w:color w:val="000000"/>
                <w:sz w:val="18"/>
                <w:szCs w:val="18"/>
              </w:rPr>
            </w:pPr>
            <w:r w:rsidRPr="001842A5">
              <w:rPr>
                <w:rFonts w:ascii="Arial" w:eastAsia="Times New Roman" w:hAnsi="Arial"/>
                <w:color w:val="000000"/>
                <w:sz w:val="18"/>
                <w:szCs w:val="18"/>
              </w:rPr>
              <w:t>M (cell/</w:t>
            </w:r>
            <w:r w:rsidRPr="001842A5">
              <w:rPr>
                <w:rFonts w:ascii="Arial" w:eastAsia="Times New Roman" w:hAnsi="Arial"/>
                <w:color w:val="000000"/>
                <w:sz w:val="18"/>
                <w:szCs w:val="18"/>
              </w:rPr>
              <w:sym w:font="Symbol" w:char="F06D"/>
            </w:r>
            <w:r w:rsidRPr="001842A5">
              <w:rPr>
                <w:rFonts w:ascii="Arial" w:eastAsia="Times New Roman" w:hAnsi="Arial"/>
                <w:color w:val="000000"/>
                <w:sz w:val="18"/>
                <w:szCs w:val="18"/>
              </w:rPr>
              <w:t>L)</w:t>
            </w:r>
          </w:p>
        </w:tc>
        <w:tc>
          <w:tcPr>
            <w:tcW w:w="1440" w:type="dxa"/>
            <w:shd w:val="clear" w:color="auto" w:fill="FFFFFF" w:themeFill="background1"/>
            <w:noWrap/>
            <w:hideMark/>
          </w:tcPr>
          <w:p w14:paraId="13602EF9"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3.00 ± 1.00ᵃ</w:t>
            </w:r>
          </w:p>
        </w:tc>
        <w:tc>
          <w:tcPr>
            <w:tcW w:w="1530" w:type="dxa"/>
            <w:shd w:val="clear" w:color="auto" w:fill="FFFFFF" w:themeFill="background1"/>
            <w:noWrap/>
            <w:hideMark/>
          </w:tcPr>
          <w:p w14:paraId="6BF6CA91"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3.33 ± 2.52ᵃ</w:t>
            </w:r>
          </w:p>
        </w:tc>
        <w:tc>
          <w:tcPr>
            <w:tcW w:w="1620" w:type="dxa"/>
            <w:shd w:val="clear" w:color="auto" w:fill="FFFFFF" w:themeFill="background1"/>
            <w:noWrap/>
            <w:hideMark/>
          </w:tcPr>
          <w:p w14:paraId="75C5FAC8"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4.67 ± 0.58ᵃ</w:t>
            </w:r>
          </w:p>
        </w:tc>
        <w:tc>
          <w:tcPr>
            <w:tcW w:w="1350" w:type="dxa"/>
            <w:shd w:val="clear" w:color="auto" w:fill="FFFFFF" w:themeFill="background1"/>
            <w:noWrap/>
            <w:hideMark/>
          </w:tcPr>
          <w:p w14:paraId="4732D041"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4.33 ± 1.15ᵃ</w:t>
            </w:r>
          </w:p>
        </w:tc>
        <w:tc>
          <w:tcPr>
            <w:tcW w:w="1260" w:type="dxa"/>
            <w:shd w:val="clear" w:color="auto" w:fill="FFFFFF" w:themeFill="background1"/>
            <w:noWrap/>
            <w:hideMark/>
          </w:tcPr>
          <w:p w14:paraId="036C225C" w14:textId="77777777" w:rsidR="001842A5" w:rsidRPr="001842A5" w:rsidRDefault="001842A5" w:rsidP="0016379D">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18"/>
                <w:szCs w:val="18"/>
              </w:rPr>
            </w:pPr>
            <w:r w:rsidRPr="001842A5">
              <w:rPr>
                <w:rFonts w:ascii="Arial" w:eastAsia="Times New Roman" w:hAnsi="Arial"/>
                <w:color w:val="000000"/>
                <w:sz w:val="18"/>
                <w:szCs w:val="18"/>
              </w:rPr>
              <w:t>4.33 ± 2.08ᵃ</w:t>
            </w:r>
          </w:p>
        </w:tc>
      </w:tr>
    </w:tbl>
    <w:p w14:paraId="47B80A63" w14:textId="77777777" w:rsidR="001842A5" w:rsidRPr="001842A5" w:rsidRDefault="001842A5" w:rsidP="001842A5">
      <w:pPr>
        <w:pStyle w:val="NoSpacing"/>
        <w:spacing w:line="360" w:lineRule="auto"/>
        <w:jc w:val="both"/>
        <w:rPr>
          <w:rFonts w:ascii="Arial" w:hAnsi="Arial"/>
          <w:bCs/>
          <w:sz w:val="18"/>
          <w:szCs w:val="18"/>
        </w:rPr>
      </w:pPr>
      <w:r w:rsidRPr="001842A5">
        <w:rPr>
          <w:rFonts w:ascii="Arial" w:hAnsi="Arial"/>
          <w:bCs/>
          <w:sz w:val="18"/>
          <w:szCs w:val="18"/>
        </w:rPr>
        <w:t>Values are means ± standard deviation of triplicate determinations. Values in the same row bearing the same superscript letters are not significantly different at 5% level.</w:t>
      </w:r>
    </w:p>
    <w:p w14:paraId="7A735313" w14:textId="77777777" w:rsidR="001842A5" w:rsidRPr="001842A5" w:rsidRDefault="001842A5" w:rsidP="001842A5">
      <w:pPr>
        <w:pStyle w:val="NoSpacing"/>
        <w:spacing w:line="360" w:lineRule="auto"/>
        <w:jc w:val="both"/>
        <w:rPr>
          <w:rFonts w:ascii="Arial" w:hAnsi="Arial"/>
          <w:bCs/>
          <w:sz w:val="18"/>
          <w:szCs w:val="18"/>
        </w:rPr>
      </w:pPr>
    </w:p>
    <w:p w14:paraId="3546FB4F" w14:textId="77777777" w:rsidR="001842A5" w:rsidRPr="001842A5" w:rsidRDefault="001842A5" w:rsidP="002F76C7">
      <w:pPr>
        <w:pStyle w:val="NoSpacing"/>
        <w:jc w:val="both"/>
        <w:rPr>
          <w:rFonts w:ascii="Arial" w:hAnsi="Arial"/>
          <w:b/>
          <w:bCs/>
          <w:sz w:val="18"/>
          <w:szCs w:val="18"/>
        </w:rPr>
      </w:pPr>
      <w:r w:rsidRPr="001842A5">
        <w:rPr>
          <w:rFonts w:ascii="Arial" w:hAnsi="Arial"/>
          <w:b/>
          <w:bCs/>
          <w:sz w:val="18"/>
          <w:szCs w:val="18"/>
        </w:rPr>
        <w:t>Key: PCV- packed cell volume, HB-</w:t>
      </w:r>
      <w:proofErr w:type="spellStart"/>
      <w:r w:rsidRPr="001842A5">
        <w:rPr>
          <w:rFonts w:ascii="Arial" w:hAnsi="Arial"/>
          <w:b/>
          <w:bCs/>
          <w:sz w:val="18"/>
          <w:szCs w:val="18"/>
        </w:rPr>
        <w:t>hemoglobin</w:t>
      </w:r>
      <w:proofErr w:type="spellEnd"/>
      <w:r w:rsidRPr="001842A5">
        <w:rPr>
          <w:rFonts w:ascii="Arial" w:hAnsi="Arial"/>
          <w:b/>
          <w:bCs/>
          <w:sz w:val="18"/>
          <w:szCs w:val="18"/>
        </w:rPr>
        <w:t xml:space="preserve">, RBC- red blood cell, WBC-white blood cell, PLT-platelet count, MCHC-mean corpuscular </w:t>
      </w:r>
      <w:proofErr w:type="spellStart"/>
      <w:r w:rsidRPr="001842A5">
        <w:rPr>
          <w:rFonts w:ascii="Arial" w:hAnsi="Arial"/>
          <w:b/>
          <w:bCs/>
          <w:sz w:val="18"/>
          <w:szCs w:val="18"/>
        </w:rPr>
        <w:t>hemoglobin</w:t>
      </w:r>
      <w:proofErr w:type="spellEnd"/>
      <w:r w:rsidRPr="001842A5">
        <w:rPr>
          <w:rFonts w:ascii="Arial" w:hAnsi="Arial"/>
          <w:b/>
          <w:bCs/>
          <w:sz w:val="18"/>
          <w:szCs w:val="18"/>
        </w:rPr>
        <w:t xml:space="preserve"> concentration, MCH- mean corpuscular </w:t>
      </w:r>
      <w:proofErr w:type="spellStart"/>
      <w:r w:rsidRPr="001842A5">
        <w:rPr>
          <w:rFonts w:ascii="Arial" w:hAnsi="Arial"/>
          <w:b/>
          <w:bCs/>
          <w:sz w:val="18"/>
          <w:szCs w:val="18"/>
        </w:rPr>
        <w:t>hemoglobin</w:t>
      </w:r>
      <w:proofErr w:type="spellEnd"/>
      <w:r w:rsidRPr="001842A5">
        <w:rPr>
          <w:rFonts w:ascii="Arial" w:hAnsi="Arial"/>
          <w:b/>
          <w:bCs/>
          <w:sz w:val="18"/>
          <w:szCs w:val="18"/>
        </w:rPr>
        <w:t>, MCV-mean platelet volume, N- neutrophils, L- lymphocytes, E-eosinophils, M- monocyte.</w:t>
      </w:r>
    </w:p>
    <w:p w14:paraId="4745E556" w14:textId="77777777" w:rsidR="001842A5" w:rsidRPr="001842A5" w:rsidRDefault="001842A5" w:rsidP="001842A5">
      <w:pPr>
        <w:autoSpaceDE w:val="0"/>
        <w:autoSpaceDN w:val="0"/>
        <w:adjustRightInd w:val="0"/>
        <w:jc w:val="both"/>
        <w:rPr>
          <w:rFonts w:ascii="Arial" w:hAnsi="Arial" w:cs="Arial"/>
          <w:szCs w:val="22"/>
        </w:rPr>
      </w:pPr>
    </w:p>
    <w:p w14:paraId="47D6A88D" w14:textId="77777777" w:rsidR="001842A5" w:rsidRPr="001842A5" w:rsidRDefault="001842A5" w:rsidP="001842A5">
      <w:pPr>
        <w:autoSpaceDE w:val="0"/>
        <w:autoSpaceDN w:val="0"/>
        <w:adjustRightInd w:val="0"/>
        <w:jc w:val="both"/>
        <w:rPr>
          <w:rFonts w:ascii="Arial" w:hAnsi="Arial" w:cs="Arial"/>
          <w:szCs w:val="22"/>
        </w:rPr>
      </w:pPr>
      <w:r w:rsidRPr="001842A5">
        <w:rPr>
          <w:rFonts w:ascii="Arial" w:hAnsi="Arial" w:cs="Arial"/>
          <w:szCs w:val="22"/>
        </w:rPr>
        <w:t xml:space="preserve">Administration of </w:t>
      </w:r>
      <w:r w:rsidRPr="001842A5">
        <w:rPr>
          <w:rFonts w:ascii="Arial" w:hAnsi="Arial" w:cs="Arial"/>
          <w:i/>
          <w:iCs/>
          <w:szCs w:val="22"/>
        </w:rPr>
        <w:t xml:space="preserve">A. paniculata </w:t>
      </w:r>
      <w:r w:rsidRPr="001842A5">
        <w:rPr>
          <w:rFonts w:ascii="Arial" w:hAnsi="Arial" w:cs="Arial"/>
          <w:szCs w:val="22"/>
        </w:rPr>
        <w:t>extract resulted in a dose-dependent improvement in hematological indices. Group V (300 mg/kg AP) exhibited significantly restored Hb (13.30 ± 0.53 g/dL), RBC (6.80 ± 0.10 ×10⁶/µL), and PCV (38.67 ± 2.08%), surpassing even control values. These restorative effects can be attributed to the bioactive compounds in A. paniculata, such as andrographolide and flavonoids, which possess antioxidant properties that protect erythrocytes from oxidative damage and stabilize the heme synthesis pathway (Mehta et al., 2021).</w:t>
      </w:r>
    </w:p>
    <w:p w14:paraId="110D09E2" w14:textId="77777777" w:rsidR="001842A5" w:rsidRPr="001842A5" w:rsidRDefault="001842A5" w:rsidP="001842A5">
      <w:pPr>
        <w:autoSpaceDE w:val="0"/>
        <w:autoSpaceDN w:val="0"/>
        <w:adjustRightInd w:val="0"/>
        <w:jc w:val="both"/>
        <w:rPr>
          <w:rFonts w:ascii="Arial" w:hAnsi="Arial" w:cs="Arial"/>
          <w:szCs w:val="22"/>
        </w:rPr>
      </w:pPr>
    </w:p>
    <w:p w14:paraId="3C40E2B7" w14:textId="77777777" w:rsidR="001842A5" w:rsidRPr="001842A5" w:rsidRDefault="001842A5" w:rsidP="001842A5">
      <w:pPr>
        <w:autoSpaceDE w:val="0"/>
        <w:autoSpaceDN w:val="0"/>
        <w:adjustRightInd w:val="0"/>
        <w:jc w:val="both"/>
        <w:rPr>
          <w:rFonts w:ascii="Arial" w:hAnsi="Arial" w:cs="Arial"/>
          <w:szCs w:val="22"/>
        </w:rPr>
      </w:pPr>
      <w:r w:rsidRPr="001842A5">
        <w:rPr>
          <w:rFonts w:ascii="Arial" w:hAnsi="Arial" w:cs="Arial"/>
          <w:szCs w:val="22"/>
        </w:rPr>
        <w:t xml:space="preserve">Additionally, lead exposure triggered leukocytosis (WBC: 16.83 ± 0.35 ×10³/µL) and thrombocytosis (PLT: 615.33 ± 237.79 ×10³/µL), both significantly elevated compared to the control group (WBC: 4.50 ± 0.30 ×10³/µL; PLT: 184.33 ± 10.69 ×10³/µL). These hematological alterations are indicative of systemic inflammation and compensatory erythropoiesis, which are commonly observed in lead toxicity (Dongre et al., 2011). Treatment with </w:t>
      </w:r>
      <w:r w:rsidRPr="001842A5">
        <w:rPr>
          <w:rFonts w:ascii="Arial" w:hAnsi="Arial" w:cs="Arial"/>
          <w:i/>
          <w:iCs/>
          <w:szCs w:val="22"/>
        </w:rPr>
        <w:t>A. paniculata</w:t>
      </w:r>
      <w:r w:rsidRPr="001842A5">
        <w:rPr>
          <w:rFonts w:ascii="Arial" w:hAnsi="Arial" w:cs="Arial"/>
          <w:szCs w:val="22"/>
        </w:rPr>
        <w:t xml:space="preserve"> effectively normalized these parameters, with Group V showing a reduction in WBC (8.33 ± 0.87 ×10³/µL) and PLT (396.67 ± 178.63 ×10³/µL). These findings suggest that </w:t>
      </w:r>
      <w:r w:rsidRPr="001842A5">
        <w:rPr>
          <w:rFonts w:ascii="Arial" w:hAnsi="Arial" w:cs="Arial"/>
          <w:i/>
          <w:iCs/>
          <w:szCs w:val="22"/>
        </w:rPr>
        <w:t>A. paniculata</w:t>
      </w:r>
      <w:r w:rsidRPr="001842A5">
        <w:rPr>
          <w:rFonts w:ascii="Arial" w:hAnsi="Arial" w:cs="Arial"/>
          <w:szCs w:val="22"/>
        </w:rPr>
        <w:t xml:space="preserve"> exerts anti-inflammatory effects, possibly through its ability to downregulate pro-inflammatory cytokines and inhibit platelet aggregation (</w:t>
      </w:r>
      <w:proofErr w:type="spellStart"/>
      <w:r w:rsidRPr="001842A5">
        <w:rPr>
          <w:rFonts w:ascii="Arial" w:hAnsi="Arial" w:cs="Arial"/>
          <w:szCs w:val="22"/>
        </w:rPr>
        <w:t>Owoade</w:t>
      </w:r>
      <w:proofErr w:type="spellEnd"/>
      <w:r w:rsidRPr="001842A5">
        <w:rPr>
          <w:rFonts w:ascii="Arial" w:hAnsi="Arial" w:cs="Arial"/>
          <w:szCs w:val="22"/>
        </w:rPr>
        <w:t xml:space="preserve"> et al., 2021).</w:t>
      </w:r>
    </w:p>
    <w:p w14:paraId="2046687D" w14:textId="77777777" w:rsidR="001842A5" w:rsidRPr="001842A5" w:rsidRDefault="001842A5" w:rsidP="001842A5">
      <w:pPr>
        <w:autoSpaceDE w:val="0"/>
        <w:autoSpaceDN w:val="0"/>
        <w:adjustRightInd w:val="0"/>
        <w:jc w:val="both"/>
        <w:rPr>
          <w:rFonts w:ascii="Arial" w:hAnsi="Arial" w:cs="Arial"/>
          <w:szCs w:val="22"/>
        </w:rPr>
      </w:pPr>
    </w:p>
    <w:p w14:paraId="03B853E4" w14:textId="48234D5D" w:rsidR="00927834" w:rsidRPr="001842A5" w:rsidRDefault="001842A5" w:rsidP="001842A5">
      <w:pPr>
        <w:autoSpaceDE w:val="0"/>
        <w:autoSpaceDN w:val="0"/>
        <w:adjustRightInd w:val="0"/>
        <w:jc w:val="both"/>
        <w:rPr>
          <w:rFonts w:ascii="Arial" w:hAnsi="Arial" w:cs="Arial"/>
          <w:szCs w:val="22"/>
        </w:rPr>
      </w:pPr>
      <w:r w:rsidRPr="001842A5">
        <w:rPr>
          <w:rFonts w:ascii="Arial" w:hAnsi="Arial" w:cs="Arial"/>
          <w:szCs w:val="22"/>
        </w:rPr>
        <w:t xml:space="preserve">Lead is known to induce oxidative stress, leading to lipid peroxidation of erythrocyte membranes, increased fragility, and hemolysis (Wani et al., 2015). The antioxidant-rich composition of </w:t>
      </w:r>
      <w:r w:rsidRPr="001842A5">
        <w:rPr>
          <w:rFonts w:ascii="Arial" w:hAnsi="Arial" w:cs="Arial"/>
          <w:i/>
          <w:iCs/>
          <w:szCs w:val="22"/>
        </w:rPr>
        <w:t>A. paniculata</w:t>
      </w:r>
      <w:r w:rsidRPr="001842A5">
        <w:rPr>
          <w:rFonts w:ascii="Arial" w:hAnsi="Arial" w:cs="Arial"/>
          <w:szCs w:val="22"/>
        </w:rPr>
        <w:t xml:space="preserve"> may counteract these effects by scavenging reactive oxygen species (ROS) and promoting erythrocyte membrane stability (Rammohan et al., 2008). Furthermore, </w:t>
      </w:r>
      <w:r w:rsidRPr="001842A5">
        <w:rPr>
          <w:rFonts w:ascii="Arial" w:hAnsi="Arial" w:cs="Arial"/>
          <w:i/>
          <w:iCs/>
          <w:szCs w:val="22"/>
        </w:rPr>
        <w:t>A. paniculata</w:t>
      </w:r>
      <w:r w:rsidRPr="001842A5">
        <w:rPr>
          <w:rFonts w:ascii="Arial" w:hAnsi="Arial" w:cs="Arial"/>
          <w:szCs w:val="22"/>
        </w:rPr>
        <w:t xml:space="preserve"> may facilitate lead excretion through renal pathways, as evidenced by the reduced blood lead levels in Group V. However, the transient increase in BLL observed in Groups III and IV may suggest initial redistribution of lead from tissues into circulation, a phenomenon frequently reported in detoxification therapies (Sanders et al., 2010).</w:t>
      </w:r>
    </w:p>
    <w:p w14:paraId="07024323" w14:textId="75AF3B86" w:rsidR="00E053D0" w:rsidRDefault="00E053D0" w:rsidP="00441B6F">
      <w:pPr>
        <w:pStyle w:val="Body"/>
        <w:spacing w:after="0"/>
        <w:rPr>
          <w:rFonts w:ascii="Arial" w:hAnsi="Arial" w:cs="Arial"/>
        </w:rPr>
      </w:pPr>
    </w:p>
    <w:p w14:paraId="5E8B6FA6" w14:textId="03476A1E" w:rsidR="002E5F78" w:rsidRDefault="002E5F78" w:rsidP="00441B6F">
      <w:pPr>
        <w:pStyle w:val="Body"/>
        <w:spacing w:after="0"/>
        <w:rPr>
          <w:rFonts w:ascii="Arial" w:hAnsi="Arial" w:cs="Arial"/>
        </w:rPr>
      </w:pPr>
      <w:r w:rsidRPr="002E5F78">
        <w:rPr>
          <w:rFonts w:ascii="Arial" w:hAnsi="Arial" w:cs="Arial"/>
        </w:rPr>
        <w:t xml:space="preserve">Overall, these findings underscore AP’s dual role as a potent </w:t>
      </w:r>
      <w:proofErr w:type="spellStart"/>
      <w:r w:rsidRPr="002E5F78">
        <w:rPr>
          <w:rFonts w:ascii="Arial" w:hAnsi="Arial" w:cs="Arial"/>
        </w:rPr>
        <w:t>hematoprotective</w:t>
      </w:r>
      <w:proofErr w:type="spellEnd"/>
      <w:r w:rsidRPr="002E5F78">
        <w:rPr>
          <w:rFonts w:ascii="Arial" w:hAnsi="Arial" w:cs="Arial"/>
        </w:rPr>
        <w:t xml:space="preserve"> and detoxifying agent. By mitigating lead-induced oxidative damage, stabilizing erythropoiesis, and modulating inflammatory responses, AP demonstrates promising therapeutic potential in counteracting hematological toxicity associated with lead exposure.</w:t>
      </w:r>
    </w:p>
    <w:p w14:paraId="7CD64391" w14:textId="77777777" w:rsidR="00790ADA" w:rsidRPr="00FB3A86" w:rsidRDefault="00790ADA" w:rsidP="00441B6F">
      <w:pPr>
        <w:pStyle w:val="Body"/>
        <w:spacing w:after="0"/>
        <w:rPr>
          <w:rFonts w:ascii="Arial" w:hAnsi="Arial" w:cs="Arial"/>
        </w:rPr>
      </w:pPr>
    </w:p>
    <w:p w14:paraId="42EB182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00B2B9F" w14:textId="77777777" w:rsidR="00790ADA" w:rsidRPr="00FB3A86" w:rsidRDefault="00790ADA" w:rsidP="00441B6F">
      <w:pPr>
        <w:pStyle w:val="ConcHead"/>
        <w:spacing w:after="0"/>
        <w:jc w:val="both"/>
        <w:rPr>
          <w:rFonts w:ascii="Arial" w:hAnsi="Arial" w:cs="Arial"/>
        </w:rPr>
      </w:pPr>
    </w:p>
    <w:p w14:paraId="57955238" w14:textId="152E5BA6" w:rsidR="00B01FCD" w:rsidRDefault="002E5F78" w:rsidP="00441B6F">
      <w:pPr>
        <w:pStyle w:val="Body"/>
        <w:spacing w:after="0"/>
        <w:rPr>
          <w:rFonts w:ascii="Arial" w:hAnsi="Arial" w:cs="Arial"/>
        </w:rPr>
      </w:pPr>
      <w:r w:rsidRPr="002E5F78">
        <w:rPr>
          <w:rFonts w:ascii="Arial" w:hAnsi="Arial" w:cs="Arial"/>
        </w:rPr>
        <w:t xml:space="preserve">This study demonstrates Andrographis </w:t>
      </w:r>
      <w:proofErr w:type="spellStart"/>
      <w:r w:rsidRPr="002E5F78">
        <w:rPr>
          <w:rFonts w:ascii="Arial" w:hAnsi="Arial" w:cs="Arial"/>
        </w:rPr>
        <w:t>paniculata’s</w:t>
      </w:r>
      <w:proofErr w:type="spellEnd"/>
      <w:r w:rsidRPr="002E5F78">
        <w:rPr>
          <w:rFonts w:ascii="Arial" w:hAnsi="Arial" w:cs="Arial"/>
        </w:rPr>
        <w:t xml:space="preserve"> efficacy in mitigating lead-induced hematological toxicity, particularly at 300 mg/kg. Its antioxidant, anti-inflammatory, and detoxifying properties position it as a promising adjuvant therapy for lead poisoning. Future studies should explore longer treatment periods and molecular markers (e.g., ALAD activity, oxidative stress enzymes) to elucidate AP’s mechanisms.</w:t>
      </w:r>
    </w:p>
    <w:p w14:paraId="7776918F" w14:textId="77777777" w:rsidR="00315186" w:rsidRPr="00315186" w:rsidRDefault="00315186" w:rsidP="00441B6F"/>
    <w:p w14:paraId="24C7106B" w14:textId="77777777" w:rsidR="00315186" w:rsidRPr="00315186" w:rsidRDefault="00315186" w:rsidP="00441B6F"/>
    <w:p w14:paraId="6CEDFEC4" w14:textId="77777777" w:rsidR="005C784C" w:rsidRDefault="005C784C" w:rsidP="00441B6F">
      <w:pPr>
        <w:pStyle w:val="ReferHead"/>
        <w:spacing w:after="0"/>
        <w:jc w:val="both"/>
        <w:rPr>
          <w:rFonts w:ascii="Arial" w:hAnsi="Arial" w:cs="Arial"/>
          <w:b w:val="0"/>
          <w:caps w:val="0"/>
          <w:sz w:val="20"/>
        </w:rPr>
      </w:pPr>
    </w:p>
    <w:p w14:paraId="0153A26A"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2873BC4" w14:textId="2EF005DF" w:rsidR="0041027F" w:rsidRPr="002E5F78" w:rsidRDefault="008671C6" w:rsidP="00441B6F">
      <w:pPr>
        <w:pStyle w:val="ReferHead"/>
        <w:spacing w:after="0"/>
        <w:jc w:val="both"/>
        <w:rPr>
          <w:rFonts w:ascii="Arial" w:hAnsi="Arial" w:cs="Arial"/>
          <w:b w:val="0"/>
          <w:caps w:val="0"/>
          <w:sz w:val="20"/>
        </w:rPr>
      </w:pPr>
      <w:r w:rsidRPr="002E5F78">
        <w:rPr>
          <w:rFonts w:ascii="Arial" w:hAnsi="Arial" w:cs="Arial"/>
          <w:b w:val="0"/>
          <w:caps w:val="0"/>
          <w:sz w:val="20"/>
        </w:rPr>
        <w:t xml:space="preserve">“All authors hereby declare that </w:t>
      </w:r>
      <w:r w:rsidR="0041027F" w:rsidRPr="002E5F78">
        <w:rPr>
          <w:rFonts w:ascii="Arial" w:hAnsi="Arial" w:cs="Arial"/>
          <w:b w:val="0"/>
          <w:caps w:val="0"/>
          <w:sz w:val="20"/>
        </w:rPr>
        <w:t>"Principles of laboratory animal care" (NIH publication No. 85-23, revised 1985) were followed, as well as specific national laws where applicable.</w:t>
      </w:r>
      <w:r w:rsidRPr="002E5F78">
        <w:rPr>
          <w:rFonts w:ascii="Arial" w:hAnsi="Arial" w:cs="Arial"/>
          <w:b w:val="0"/>
          <w:caps w:val="0"/>
          <w:sz w:val="20"/>
        </w:rPr>
        <w:t xml:space="preserve"> All experiments have been examined and approved by the appropriate ethics committee”</w:t>
      </w:r>
    </w:p>
    <w:p w14:paraId="290CAF29" w14:textId="77777777" w:rsidR="00CD6856" w:rsidRPr="002E5F78" w:rsidRDefault="00CD6856" w:rsidP="00441B6F">
      <w:pPr>
        <w:pStyle w:val="ReferHead"/>
        <w:spacing w:after="0"/>
        <w:jc w:val="both"/>
        <w:rPr>
          <w:rFonts w:ascii="Arial" w:hAnsi="Arial" w:cs="Arial"/>
          <w:b w:val="0"/>
          <w:caps w:val="0"/>
          <w:sz w:val="20"/>
        </w:rPr>
      </w:pPr>
    </w:p>
    <w:p w14:paraId="09EB4F2D" w14:textId="77777777" w:rsidR="00B01FCD" w:rsidRPr="002E5F78" w:rsidRDefault="00B01FCD" w:rsidP="00441B6F">
      <w:pPr>
        <w:pStyle w:val="ReferHead"/>
        <w:spacing w:after="0"/>
        <w:jc w:val="both"/>
        <w:rPr>
          <w:rFonts w:ascii="Arial" w:hAnsi="Arial" w:cs="Arial"/>
        </w:rPr>
      </w:pPr>
      <w:r w:rsidRPr="002E5F78">
        <w:rPr>
          <w:rFonts w:ascii="Arial" w:hAnsi="Arial" w:cs="Arial"/>
        </w:rPr>
        <w:t>References</w:t>
      </w:r>
    </w:p>
    <w:p w14:paraId="234919E3" w14:textId="77777777" w:rsidR="00790ADA" w:rsidRPr="00FB3A86" w:rsidRDefault="00790ADA" w:rsidP="00441B6F">
      <w:pPr>
        <w:pStyle w:val="ReferHead"/>
        <w:spacing w:after="0"/>
        <w:jc w:val="both"/>
        <w:rPr>
          <w:rFonts w:ascii="Arial" w:hAnsi="Arial" w:cs="Arial"/>
        </w:rPr>
      </w:pPr>
    </w:p>
    <w:p w14:paraId="08403F9E" w14:textId="2C8B3CBB" w:rsidR="001E79E1" w:rsidRPr="001E79E1" w:rsidRDefault="001E79E1" w:rsidP="001E79E1">
      <w:pPr>
        <w:pStyle w:val="Body"/>
        <w:rPr>
          <w:rFonts w:ascii="Arial" w:hAnsi="Arial" w:cs="Arial"/>
        </w:rPr>
      </w:pPr>
      <w:proofErr w:type="spellStart"/>
      <w:r w:rsidRPr="001E79E1">
        <w:rPr>
          <w:rFonts w:ascii="Arial" w:hAnsi="Arial" w:cs="Arial"/>
        </w:rPr>
        <w:t>Alasyam</w:t>
      </w:r>
      <w:proofErr w:type="spellEnd"/>
      <w:r w:rsidRPr="001E79E1">
        <w:rPr>
          <w:rFonts w:ascii="Arial" w:hAnsi="Arial" w:cs="Arial"/>
        </w:rPr>
        <w:t xml:space="preserve">, N., </w:t>
      </w:r>
      <w:proofErr w:type="spellStart"/>
      <w:r w:rsidRPr="001E79E1">
        <w:rPr>
          <w:rFonts w:ascii="Arial" w:hAnsi="Arial" w:cs="Arial"/>
        </w:rPr>
        <w:t>Narapogu</w:t>
      </w:r>
      <w:proofErr w:type="spellEnd"/>
      <w:r w:rsidRPr="001E79E1">
        <w:rPr>
          <w:rFonts w:ascii="Arial" w:hAnsi="Arial" w:cs="Arial"/>
        </w:rPr>
        <w:t xml:space="preserve">, V., John, P., </w:t>
      </w:r>
      <w:proofErr w:type="spellStart"/>
      <w:r w:rsidRPr="001E79E1">
        <w:rPr>
          <w:rFonts w:ascii="Arial" w:hAnsi="Arial" w:cs="Arial"/>
        </w:rPr>
        <w:t>Ubedulla</w:t>
      </w:r>
      <w:proofErr w:type="spellEnd"/>
      <w:r w:rsidRPr="001E79E1">
        <w:rPr>
          <w:rFonts w:ascii="Arial" w:hAnsi="Arial" w:cs="Arial"/>
        </w:rPr>
        <w:t>, S., &amp; Pokala, N. (2017). Evaluation of hepatoprotective activity of aqueous extract of Andrographis paniculata in Wistar rats. International Journal of Pharmacology and Clinical Sciences, 5, 113–117.</w:t>
      </w:r>
    </w:p>
    <w:p w14:paraId="466627E2" w14:textId="3DE25CA5" w:rsidR="001E79E1" w:rsidRPr="001E79E1" w:rsidRDefault="001E79E1" w:rsidP="001E79E1">
      <w:pPr>
        <w:pStyle w:val="Body"/>
        <w:rPr>
          <w:rFonts w:ascii="Arial" w:hAnsi="Arial" w:cs="Arial"/>
        </w:rPr>
      </w:pPr>
      <w:r w:rsidRPr="001E79E1">
        <w:rPr>
          <w:rFonts w:ascii="Arial" w:hAnsi="Arial" w:cs="Arial"/>
        </w:rPr>
        <w:t xml:space="preserve">Assi, M. A., </w:t>
      </w:r>
      <w:proofErr w:type="spellStart"/>
      <w:r w:rsidRPr="001E79E1">
        <w:rPr>
          <w:rFonts w:ascii="Arial" w:hAnsi="Arial" w:cs="Arial"/>
        </w:rPr>
        <w:t>Hezmee</w:t>
      </w:r>
      <w:proofErr w:type="spellEnd"/>
      <w:r w:rsidRPr="001E79E1">
        <w:rPr>
          <w:rFonts w:ascii="Arial" w:hAnsi="Arial" w:cs="Arial"/>
        </w:rPr>
        <w:t>, M. N., Haron, A. W., Sabri, M. Y., &amp; Rajion, M. A. (2016). The detrimental effects of lead on human and animal health. Veterinary World, 9(6), 660–671. https://doi.org/10.14202/vetworld.2016.660-671</w:t>
      </w:r>
    </w:p>
    <w:p w14:paraId="37190948" w14:textId="4CCCEAF3" w:rsidR="001E79E1" w:rsidRPr="001E79E1" w:rsidRDefault="001E79E1" w:rsidP="001E79E1">
      <w:pPr>
        <w:pStyle w:val="Body"/>
        <w:rPr>
          <w:rFonts w:ascii="Arial" w:hAnsi="Arial" w:cs="Arial"/>
        </w:rPr>
      </w:pPr>
      <w:r w:rsidRPr="001E79E1">
        <w:rPr>
          <w:rFonts w:ascii="Arial" w:hAnsi="Arial" w:cs="Arial"/>
        </w:rPr>
        <w:t xml:space="preserve">Bergdahl, I. A., &amp; </w:t>
      </w:r>
      <w:proofErr w:type="spellStart"/>
      <w:r w:rsidRPr="001E79E1">
        <w:rPr>
          <w:rFonts w:ascii="Arial" w:hAnsi="Arial" w:cs="Arial"/>
        </w:rPr>
        <w:t>Skerfving</w:t>
      </w:r>
      <w:proofErr w:type="spellEnd"/>
      <w:r w:rsidRPr="001E79E1">
        <w:rPr>
          <w:rFonts w:ascii="Arial" w:hAnsi="Arial" w:cs="Arial"/>
        </w:rPr>
        <w:t>, S. (2008). Biomonitoring of lead exposure—Alternatives to blood. Journal of Toxicology and Environmental Health, 71(18), 1235–1243. https://doi.org/10.1080/15287390802338427</w:t>
      </w:r>
    </w:p>
    <w:p w14:paraId="5685D417" w14:textId="77777777" w:rsidR="001E79E1" w:rsidRPr="001E79E1" w:rsidRDefault="001E79E1" w:rsidP="001E79E1">
      <w:pPr>
        <w:pStyle w:val="Body"/>
        <w:rPr>
          <w:rFonts w:ascii="Arial" w:hAnsi="Arial" w:cs="Arial"/>
        </w:rPr>
      </w:pPr>
      <w:r w:rsidRPr="001E79E1">
        <w:rPr>
          <w:rFonts w:ascii="Arial" w:hAnsi="Arial" w:cs="Arial"/>
        </w:rPr>
        <w:t>Debnath, B., Singh, W. S., &amp; Manna, K. (2019). Sources and toxicological effects of lead on human health. Indian Journal of Medical Specialties, 10, 66–71. https://doi.org/10.4103/injms.injms_14_19</w:t>
      </w:r>
    </w:p>
    <w:p w14:paraId="0AD39803" w14:textId="54616EE3" w:rsidR="001E79E1" w:rsidRPr="001E79E1" w:rsidRDefault="001E79E1" w:rsidP="001E79E1">
      <w:pPr>
        <w:pStyle w:val="Body"/>
        <w:rPr>
          <w:rFonts w:ascii="Arial" w:hAnsi="Arial" w:cs="Arial"/>
        </w:rPr>
      </w:pPr>
      <w:proofErr w:type="spellStart"/>
      <w:r w:rsidRPr="001E79E1">
        <w:rPr>
          <w:rFonts w:ascii="Arial" w:hAnsi="Arial" w:cs="Arial"/>
        </w:rPr>
        <w:t>Debosree</w:t>
      </w:r>
      <w:proofErr w:type="spellEnd"/>
      <w:r w:rsidRPr="001E79E1">
        <w:rPr>
          <w:rFonts w:ascii="Arial" w:hAnsi="Arial" w:cs="Arial"/>
        </w:rPr>
        <w:t xml:space="preserve">, G., Syed, B. F., Elina, M., Monalisa, D., &amp; Debasish, B. (2012). Protective effect of aqueous leaf extract of </w:t>
      </w:r>
      <w:proofErr w:type="spellStart"/>
      <w:r w:rsidRPr="001E79E1">
        <w:rPr>
          <w:rFonts w:ascii="Arial" w:hAnsi="Arial" w:cs="Arial"/>
        </w:rPr>
        <w:t>Murraya</w:t>
      </w:r>
      <w:proofErr w:type="spellEnd"/>
      <w:r w:rsidRPr="001E79E1">
        <w:rPr>
          <w:rFonts w:ascii="Arial" w:hAnsi="Arial" w:cs="Arial"/>
        </w:rPr>
        <w:t xml:space="preserve"> </w:t>
      </w:r>
      <w:proofErr w:type="spellStart"/>
      <w:r w:rsidRPr="001E79E1">
        <w:rPr>
          <w:rFonts w:ascii="Arial" w:hAnsi="Arial" w:cs="Arial"/>
        </w:rPr>
        <w:t>koenigii</w:t>
      </w:r>
      <w:proofErr w:type="spellEnd"/>
      <w:r w:rsidRPr="001E79E1">
        <w:rPr>
          <w:rFonts w:ascii="Arial" w:hAnsi="Arial" w:cs="Arial"/>
        </w:rPr>
        <w:t xml:space="preserve"> against lead-induced oxidative stress in rat liver, heart, and kidney. Asian Journal of Pharmaceutical and Clinical Research, 5, 54–58.</w:t>
      </w:r>
    </w:p>
    <w:p w14:paraId="034F0230" w14:textId="4FD64985" w:rsidR="001E79E1" w:rsidRPr="001E79E1" w:rsidRDefault="001E79E1" w:rsidP="001E79E1">
      <w:pPr>
        <w:pStyle w:val="Body"/>
        <w:rPr>
          <w:rFonts w:ascii="Arial" w:hAnsi="Arial" w:cs="Arial"/>
        </w:rPr>
      </w:pPr>
      <w:r w:rsidRPr="001E79E1">
        <w:rPr>
          <w:rFonts w:ascii="Arial" w:hAnsi="Arial" w:cs="Arial"/>
        </w:rPr>
        <w:t xml:space="preserve">Dongre, N. N., </w:t>
      </w:r>
      <w:proofErr w:type="spellStart"/>
      <w:r w:rsidRPr="001E79E1">
        <w:rPr>
          <w:rFonts w:ascii="Arial" w:hAnsi="Arial" w:cs="Arial"/>
        </w:rPr>
        <w:t>Suryakar</w:t>
      </w:r>
      <w:proofErr w:type="spellEnd"/>
      <w:r w:rsidRPr="001E79E1">
        <w:rPr>
          <w:rFonts w:ascii="Arial" w:hAnsi="Arial" w:cs="Arial"/>
        </w:rPr>
        <w:t>, A. N., Patil, A. J., Ambekar, J. G., &amp; Rathi, D. B. (2011). Biochemical effects of lead exposure on systolic and diastolic blood pressure, heme biosynthesis, and hematological parameters in automobile workers of North Karnataka (India). Indian Journal of Clinical Biochemistry, 26(4), 400–406. https://doi.org/10.1007/s12291-011-0176-4</w:t>
      </w:r>
    </w:p>
    <w:p w14:paraId="4E4065A7" w14:textId="0DD17A5E" w:rsidR="001E79E1" w:rsidRPr="001E79E1" w:rsidRDefault="001E79E1" w:rsidP="001E79E1">
      <w:pPr>
        <w:pStyle w:val="Body"/>
        <w:rPr>
          <w:rFonts w:ascii="Arial" w:hAnsi="Arial" w:cs="Arial"/>
        </w:rPr>
      </w:pPr>
      <w:proofErr w:type="spellStart"/>
      <w:r w:rsidRPr="001E79E1">
        <w:rPr>
          <w:rFonts w:ascii="Arial" w:hAnsi="Arial" w:cs="Arial"/>
        </w:rPr>
        <w:t>Fardiyah</w:t>
      </w:r>
      <w:proofErr w:type="spellEnd"/>
      <w:r w:rsidRPr="001E79E1">
        <w:rPr>
          <w:rFonts w:ascii="Arial" w:hAnsi="Arial" w:cs="Arial"/>
        </w:rPr>
        <w:t xml:space="preserve">, Q., </w:t>
      </w:r>
      <w:proofErr w:type="spellStart"/>
      <w:r w:rsidRPr="001E79E1">
        <w:rPr>
          <w:rFonts w:ascii="Arial" w:hAnsi="Arial" w:cs="Arial"/>
        </w:rPr>
        <w:t>Ersam</w:t>
      </w:r>
      <w:proofErr w:type="spellEnd"/>
      <w:r w:rsidRPr="001E79E1">
        <w:rPr>
          <w:rFonts w:ascii="Arial" w:hAnsi="Arial" w:cs="Arial"/>
        </w:rPr>
        <w:t xml:space="preserve">, T., </w:t>
      </w:r>
      <w:proofErr w:type="spellStart"/>
      <w:r w:rsidRPr="001E79E1">
        <w:rPr>
          <w:rFonts w:ascii="Arial" w:hAnsi="Arial" w:cs="Arial"/>
        </w:rPr>
        <w:t>Suyanta</w:t>
      </w:r>
      <w:proofErr w:type="spellEnd"/>
      <w:r w:rsidRPr="001E79E1">
        <w:rPr>
          <w:rFonts w:ascii="Arial" w:hAnsi="Arial" w:cs="Arial"/>
        </w:rPr>
        <w:t xml:space="preserve">, </w:t>
      </w:r>
      <w:proofErr w:type="spellStart"/>
      <w:r w:rsidRPr="001E79E1">
        <w:rPr>
          <w:rFonts w:ascii="Arial" w:hAnsi="Arial" w:cs="Arial"/>
        </w:rPr>
        <w:t>Slamet</w:t>
      </w:r>
      <w:proofErr w:type="spellEnd"/>
      <w:r w:rsidRPr="001E79E1">
        <w:rPr>
          <w:rFonts w:ascii="Arial" w:hAnsi="Arial" w:cs="Arial"/>
        </w:rPr>
        <w:t xml:space="preserve">, A., </w:t>
      </w:r>
      <w:proofErr w:type="spellStart"/>
      <w:r w:rsidRPr="001E79E1">
        <w:rPr>
          <w:rFonts w:ascii="Arial" w:hAnsi="Arial" w:cs="Arial"/>
        </w:rPr>
        <w:t>Suprapto</w:t>
      </w:r>
      <w:proofErr w:type="spellEnd"/>
      <w:r w:rsidRPr="001E79E1">
        <w:rPr>
          <w:rFonts w:ascii="Arial" w:hAnsi="Arial" w:cs="Arial"/>
        </w:rPr>
        <w:t>, &amp; Kurniawan, F. (2020). New potential and characterization of Andrographis paniculata L. Ness plant extracts as a photoprotective agent. Arabian Journal of Chemistry, 13, 8888–8897. https://doi.org/10.1016/j.arabjc.2020.04.012</w:t>
      </w:r>
    </w:p>
    <w:p w14:paraId="6B401509" w14:textId="145AE1CA" w:rsidR="001E79E1" w:rsidRPr="001E79E1" w:rsidRDefault="001E79E1" w:rsidP="001E79E1">
      <w:pPr>
        <w:pStyle w:val="Body"/>
        <w:rPr>
          <w:rFonts w:ascii="Arial" w:hAnsi="Arial" w:cs="Arial"/>
        </w:rPr>
      </w:pPr>
      <w:r w:rsidRPr="001E79E1">
        <w:rPr>
          <w:rFonts w:ascii="Arial" w:hAnsi="Arial" w:cs="Arial"/>
        </w:rPr>
        <w:t xml:space="preserve">Kianoush, S., &amp; </w:t>
      </w:r>
      <w:proofErr w:type="spellStart"/>
      <w:r w:rsidRPr="001E79E1">
        <w:rPr>
          <w:rFonts w:ascii="Arial" w:hAnsi="Arial" w:cs="Arial"/>
        </w:rPr>
        <w:t>Balali</w:t>
      </w:r>
      <w:proofErr w:type="spellEnd"/>
      <w:r w:rsidRPr="001E79E1">
        <w:rPr>
          <w:rFonts w:ascii="Arial" w:hAnsi="Arial" w:cs="Arial"/>
        </w:rPr>
        <w:t>, M. (2013). Clinical, toxicological, biochemical, and hematologic parameters in lead-exposed workers of a car battery industry, Iran. Journal of Medical Science, 38, 30–37.</w:t>
      </w:r>
    </w:p>
    <w:p w14:paraId="3B8B9D43" w14:textId="4EF2F726" w:rsidR="001E79E1" w:rsidRPr="001E79E1" w:rsidRDefault="001E79E1" w:rsidP="001E79E1">
      <w:pPr>
        <w:pStyle w:val="Body"/>
        <w:rPr>
          <w:rFonts w:ascii="Arial" w:hAnsi="Arial" w:cs="Arial"/>
        </w:rPr>
      </w:pPr>
      <w:r w:rsidRPr="001E79E1">
        <w:rPr>
          <w:rFonts w:ascii="Arial" w:hAnsi="Arial" w:cs="Arial"/>
        </w:rPr>
        <w:t>Kosnett, M. J. (2006). Lead. In K. R. Olson (Ed.), Poisoning and drug overdose (5th ed.). McGraw Hill Professional.</w:t>
      </w:r>
    </w:p>
    <w:p w14:paraId="4B8514C2" w14:textId="2C62835C" w:rsidR="001E79E1" w:rsidRPr="001E79E1" w:rsidRDefault="001E79E1" w:rsidP="001E79E1">
      <w:pPr>
        <w:pStyle w:val="Body"/>
        <w:rPr>
          <w:rFonts w:ascii="Arial" w:hAnsi="Arial" w:cs="Arial"/>
        </w:rPr>
      </w:pPr>
      <w:r w:rsidRPr="001E79E1">
        <w:rPr>
          <w:rFonts w:ascii="Arial" w:hAnsi="Arial" w:cs="Arial"/>
        </w:rPr>
        <w:t xml:space="preserve">Laksana, A. S. D., </w:t>
      </w:r>
      <w:proofErr w:type="spellStart"/>
      <w:r w:rsidRPr="001E79E1">
        <w:rPr>
          <w:rFonts w:ascii="Arial" w:hAnsi="Arial" w:cs="Arial"/>
        </w:rPr>
        <w:t>Notopuro</w:t>
      </w:r>
      <w:proofErr w:type="spellEnd"/>
      <w:r w:rsidRPr="001E79E1">
        <w:rPr>
          <w:rFonts w:ascii="Arial" w:hAnsi="Arial" w:cs="Arial"/>
        </w:rPr>
        <w:t>, H., &amp; Mustika, A. (2022). Ameliorative effects of Moringa oleifera Lam. leaves extract on lead-induced oxidative stress, hepcidin, and δ-ALAD levels in rats’ blood. Journal of Pharmacognosy, 14(6), 856–862.</w:t>
      </w:r>
    </w:p>
    <w:p w14:paraId="29D022C5" w14:textId="3BA961B2" w:rsidR="001E79E1" w:rsidRPr="001E79E1" w:rsidRDefault="001E79E1" w:rsidP="001E79E1">
      <w:pPr>
        <w:pStyle w:val="Body"/>
        <w:rPr>
          <w:rFonts w:ascii="Arial" w:hAnsi="Arial" w:cs="Arial"/>
        </w:rPr>
      </w:pPr>
      <w:r w:rsidRPr="001E79E1">
        <w:rPr>
          <w:rFonts w:ascii="Arial" w:hAnsi="Arial" w:cs="Arial"/>
        </w:rPr>
        <w:t>Mehta, R. M., Kulkarni, S., &amp; Kumar, A. (2021). Andrographis paniculata: A review of phytochemistry, ethnomedicinal uses, and pharmacology. Journal of Ethnopharmacology, 278, 114295. https://doi.org/10.1016/j.jep.2021.114295</w:t>
      </w:r>
    </w:p>
    <w:p w14:paraId="1F7018D6" w14:textId="0D2672BD" w:rsidR="001E79E1" w:rsidRPr="001E79E1" w:rsidRDefault="001E79E1" w:rsidP="001E79E1">
      <w:pPr>
        <w:pStyle w:val="Body"/>
        <w:rPr>
          <w:rFonts w:ascii="Arial" w:hAnsi="Arial" w:cs="Arial"/>
        </w:rPr>
      </w:pPr>
      <w:r w:rsidRPr="001E79E1">
        <w:rPr>
          <w:rFonts w:ascii="Arial" w:hAnsi="Arial" w:cs="Arial"/>
        </w:rPr>
        <w:t xml:space="preserve">Nasir, A., Abubakar, M. G., Shehu, R. A., Aliyu, U., &amp; </w:t>
      </w:r>
      <w:proofErr w:type="spellStart"/>
      <w:r w:rsidRPr="001E79E1">
        <w:rPr>
          <w:rFonts w:ascii="Arial" w:hAnsi="Arial" w:cs="Arial"/>
        </w:rPr>
        <w:t>Toge</w:t>
      </w:r>
      <w:proofErr w:type="spellEnd"/>
      <w:r w:rsidRPr="001E79E1">
        <w:rPr>
          <w:rFonts w:ascii="Arial" w:hAnsi="Arial" w:cs="Arial"/>
        </w:rPr>
        <w:t>, B. K. (2013). Hepatoprotective effect of the aqueous leaf extract of Andrographis paniculata Nees against carbon tetrachloride-induced hepatotoxicity in rats. Nigerian Journal of Basic and Applied Science, 21(1), 45–54.</w:t>
      </w:r>
    </w:p>
    <w:p w14:paraId="7834E04E" w14:textId="5982E139" w:rsidR="001E79E1" w:rsidRPr="001E79E1" w:rsidRDefault="001E79E1" w:rsidP="001E79E1">
      <w:pPr>
        <w:pStyle w:val="Body"/>
        <w:rPr>
          <w:rFonts w:ascii="Arial" w:hAnsi="Arial" w:cs="Arial"/>
        </w:rPr>
      </w:pPr>
      <w:proofErr w:type="spellStart"/>
      <w:r w:rsidRPr="001E79E1">
        <w:rPr>
          <w:rFonts w:ascii="Arial" w:hAnsi="Arial" w:cs="Arial"/>
        </w:rPr>
        <w:t>Owoade</w:t>
      </w:r>
      <w:proofErr w:type="spellEnd"/>
      <w:r w:rsidRPr="001E79E1">
        <w:rPr>
          <w:rFonts w:ascii="Arial" w:hAnsi="Arial" w:cs="Arial"/>
        </w:rPr>
        <w:t xml:space="preserve">, A. O., Alausa, A. O., Adetutu, A., </w:t>
      </w:r>
      <w:proofErr w:type="spellStart"/>
      <w:r w:rsidRPr="001E79E1">
        <w:rPr>
          <w:rFonts w:ascii="Arial" w:hAnsi="Arial" w:cs="Arial"/>
        </w:rPr>
        <w:t>Olorunnisola</w:t>
      </w:r>
      <w:proofErr w:type="spellEnd"/>
      <w:r w:rsidRPr="001E79E1">
        <w:rPr>
          <w:rFonts w:ascii="Arial" w:hAnsi="Arial" w:cs="Arial"/>
        </w:rPr>
        <w:t xml:space="preserve">, O. S., &amp; </w:t>
      </w:r>
      <w:proofErr w:type="spellStart"/>
      <w:r w:rsidRPr="001E79E1">
        <w:rPr>
          <w:rFonts w:ascii="Arial" w:hAnsi="Arial" w:cs="Arial"/>
        </w:rPr>
        <w:t>Owoade</w:t>
      </w:r>
      <w:proofErr w:type="spellEnd"/>
      <w:r w:rsidRPr="001E79E1">
        <w:rPr>
          <w:rFonts w:ascii="Arial" w:hAnsi="Arial" w:cs="Arial"/>
        </w:rPr>
        <w:t>, A. W. (2021). Phytochemical characterization and antioxidant bioactivity of Andrographis paniculata (Nees). Pan African Journal of Life Science, 5(2), 246–256.</w:t>
      </w:r>
    </w:p>
    <w:p w14:paraId="28794BBE" w14:textId="48668472" w:rsidR="001E79E1" w:rsidRPr="001E79E1" w:rsidRDefault="001E79E1" w:rsidP="001E79E1">
      <w:pPr>
        <w:pStyle w:val="Body"/>
        <w:rPr>
          <w:rFonts w:ascii="Arial" w:hAnsi="Arial" w:cs="Arial"/>
        </w:rPr>
      </w:pPr>
      <w:r w:rsidRPr="001E79E1">
        <w:rPr>
          <w:rFonts w:ascii="Arial" w:hAnsi="Arial" w:cs="Arial"/>
        </w:rPr>
        <w:t>Patrick, L. (2006). Lead toxicity part II: The role of free radical damage and the use of antioxidants in the pathology and treatment of lead toxicity. Alternative Medicine Review, 11(2), 114–126.</w:t>
      </w:r>
    </w:p>
    <w:p w14:paraId="626DCEAC" w14:textId="2D91730F" w:rsidR="001E79E1" w:rsidRPr="001E79E1" w:rsidRDefault="001E79E1" w:rsidP="001E79E1">
      <w:pPr>
        <w:pStyle w:val="Body"/>
        <w:rPr>
          <w:rFonts w:ascii="Arial" w:hAnsi="Arial" w:cs="Arial"/>
        </w:rPr>
      </w:pPr>
      <w:r w:rsidRPr="001E79E1">
        <w:rPr>
          <w:rFonts w:ascii="Arial" w:hAnsi="Arial" w:cs="Arial"/>
        </w:rPr>
        <w:t xml:space="preserve">Rammohan, S. M., Zaini, A., &amp; </w:t>
      </w:r>
      <w:proofErr w:type="spellStart"/>
      <w:r w:rsidRPr="001E79E1">
        <w:rPr>
          <w:rFonts w:ascii="Arial" w:hAnsi="Arial" w:cs="Arial"/>
        </w:rPr>
        <w:t>Amirin</w:t>
      </w:r>
      <w:proofErr w:type="spellEnd"/>
      <w:r w:rsidRPr="001E79E1">
        <w:rPr>
          <w:rFonts w:ascii="Arial" w:hAnsi="Arial" w:cs="Arial"/>
        </w:rPr>
        <w:t xml:space="preserve">, S. (2008). In vitro α-glucosidase and α-amylase enzyme inhibitory effects of Andrographis paniculata extract and andrographolide. Acta </w:t>
      </w:r>
      <w:proofErr w:type="spellStart"/>
      <w:r w:rsidRPr="001E79E1">
        <w:rPr>
          <w:rFonts w:ascii="Arial" w:hAnsi="Arial" w:cs="Arial"/>
        </w:rPr>
        <w:t>Biochimica</w:t>
      </w:r>
      <w:proofErr w:type="spellEnd"/>
      <w:r w:rsidRPr="001E79E1">
        <w:rPr>
          <w:rFonts w:ascii="Arial" w:hAnsi="Arial" w:cs="Arial"/>
        </w:rPr>
        <w:t xml:space="preserve"> Polonica, 55(2), 391–398.</w:t>
      </w:r>
    </w:p>
    <w:p w14:paraId="433BD123" w14:textId="7BF0D333" w:rsidR="001E79E1" w:rsidRPr="001E79E1" w:rsidRDefault="001E79E1" w:rsidP="001E79E1">
      <w:pPr>
        <w:pStyle w:val="Body"/>
        <w:rPr>
          <w:rFonts w:ascii="Arial" w:hAnsi="Arial" w:cs="Arial"/>
        </w:rPr>
      </w:pPr>
      <w:r w:rsidRPr="001E79E1">
        <w:rPr>
          <w:rFonts w:ascii="Arial" w:hAnsi="Arial" w:cs="Arial"/>
        </w:rPr>
        <w:t xml:space="preserve">Ray, R. R. (2016). </w:t>
      </w:r>
      <w:proofErr w:type="spellStart"/>
      <w:r w:rsidRPr="001E79E1">
        <w:rPr>
          <w:rFonts w:ascii="Arial" w:hAnsi="Arial" w:cs="Arial"/>
        </w:rPr>
        <w:t>Haemotoxic</w:t>
      </w:r>
      <w:proofErr w:type="spellEnd"/>
      <w:r w:rsidRPr="001E79E1">
        <w:rPr>
          <w:rFonts w:ascii="Arial" w:hAnsi="Arial" w:cs="Arial"/>
        </w:rPr>
        <w:t xml:space="preserve"> effect of lead: A review. Proceedings of the Zoological Society, 69(2), 161–172. https://doi.org/10.1007/s12595-016-0152-6</w:t>
      </w:r>
    </w:p>
    <w:p w14:paraId="68D30D92" w14:textId="77777777" w:rsidR="001E79E1" w:rsidRPr="001E79E1" w:rsidRDefault="001E79E1" w:rsidP="001E79E1">
      <w:pPr>
        <w:pStyle w:val="Body"/>
        <w:rPr>
          <w:rFonts w:ascii="Arial" w:hAnsi="Arial" w:cs="Arial"/>
        </w:rPr>
      </w:pPr>
      <w:r w:rsidRPr="001E79E1">
        <w:rPr>
          <w:rFonts w:ascii="Arial" w:hAnsi="Arial" w:cs="Arial"/>
        </w:rPr>
        <w:lastRenderedPageBreak/>
        <w:t>Rubin, R., &amp; Strayer, D. S. (Eds.). (2008). Environmental and nutritional pathology. In Rubin’s pathology: Clinicopathologic foundations of medicine (5th ed.). Lippincott Williams &amp; Wilkins.</w:t>
      </w:r>
    </w:p>
    <w:p w14:paraId="5B92CD11" w14:textId="01AD504E" w:rsidR="001E79E1" w:rsidRPr="001E79E1" w:rsidRDefault="001E79E1" w:rsidP="001E79E1">
      <w:pPr>
        <w:pStyle w:val="Body"/>
        <w:rPr>
          <w:rFonts w:ascii="Arial" w:hAnsi="Arial" w:cs="Arial"/>
        </w:rPr>
      </w:pPr>
      <w:r w:rsidRPr="001E79E1">
        <w:rPr>
          <w:rFonts w:ascii="Arial" w:hAnsi="Arial" w:cs="Arial"/>
        </w:rPr>
        <w:t xml:space="preserve">Sanders, T., Liu, Y., Buchner, V., &amp; </w:t>
      </w:r>
      <w:proofErr w:type="spellStart"/>
      <w:r w:rsidRPr="001E79E1">
        <w:rPr>
          <w:rFonts w:ascii="Arial" w:hAnsi="Arial" w:cs="Arial"/>
        </w:rPr>
        <w:t>Tchounwou</w:t>
      </w:r>
      <w:proofErr w:type="spellEnd"/>
      <w:r w:rsidRPr="001E79E1">
        <w:rPr>
          <w:rFonts w:ascii="Arial" w:hAnsi="Arial" w:cs="Arial"/>
        </w:rPr>
        <w:t>, P. B. (2010). A review on neurotoxic effects and biomarkers of lead exposure. NIH Public Access Author Manuscript Review on Environmental Health, 24(1), 15–45. https://doi.org/10.1515/reveh.2010.24.1.15</w:t>
      </w:r>
    </w:p>
    <w:p w14:paraId="78113853" w14:textId="11E4DB3F" w:rsidR="001E79E1" w:rsidRPr="001E79E1" w:rsidRDefault="001E79E1" w:rsidP="001E79E1">
      <w:pPr>
        <w:pStyle w:val="Body"/>
        <w:rPr>
          <w:rFonts w:ascii="Arial" w:hAnsi="Arial" w:cs="Arial"/>
        </w:rPr>
      </w:pPr>
      <w:proofErr w:type="spellStart"/>
      <w:r w:rsidRPr="001E79E1">
        <w:rPr>
          <w:rFonts w:ascii="Arial" w:hAnsi="Arial" w:cs="Arial"/>
        </w:rPr>
        <w:t>Thisoda</w:t>
      </w:r>
      <w:proofErr w:type="spellEnd"/>
      <w:r w:rsidRPr="001E79E1">
        <w:rPr>
          <w:rFonts w:ascii="Arial" w:hAnsi="Arial" w:cs="Arial"/>
        </w:rPr>
        <w:t xml:space="preserve">, P., </w:t>
      </w:r>
      <w:proofErr w:type="spellStart"/>
      <w:r w:rsidRPr="001E79E1">
        <w:rPr>
          <w:rFonts w:ascii="Arial" w:hAnsi="Arial" w:cs="Arial"/>
        </w:rPr>
        <w:t>Rangkadilok</w:t>
      </w:r>
      <w:proofErr w:type="spellEnd"/>
      <w:r w:rsidRPr="001E79E1">
        <w:rPr>
          <w:rFonts w:ascii="Arial" w:hAnsi="Arial" w:cs="Arial"/>
        </w:rPr>
        <w:t xml:space="preserve">, N., </w:t>
      </w:r>
      <w:proofErr w:type="spellStart"/>
      <w:r w:rsidRPr="001E79E1">
        <w:rPr>
          <w:rFonts w:ascii="Arial" w:hAnsi="Arial" w:cs="Arial"/>
        </w:rPr>
        <w:t>Pholphana</w:t>
      </w:r>
      <w:proofErr w:type="spellEnd"/>
      <w:r w:rsidRPr="001E79E1">
        <w:rPr>
          <w:rFonts w:ascii="Arial" w:hAnsi="Arial" w:cs="Arial"/>
        </w:rPr>
        <w:t xml:space="preserve">, N., </w:t>
      </w:r>
      <w:proofErr w:type="spellStart"/>
      <w:r w:rsidRPr="001E79E1">
        <w:rPr>
          <w:rFonts w:ascii="Arial" w:hAnsi="Arial" w:cs="Arial"/>
        </w:rPr>
        <w:t>Worasuttayangkurn</w:t>
      </w:r>
      <w:proofErr w:type="spellEnd"/>
      <w:r w:rsidRPr="001E79E1">
        <w:rPr>
          <w:rFonts w:ascii="Arial" w:hAnsi="Arial" w:cs="Arial"/>
        </w:rPr>
        <w:t xml:space="preserve">, L., </w:t>
      </w:r>
      <w:proofErr w:type="spellStart"/>
      <w:r w:rsidRPr="001E79E1">
        <w:rPr>
          <w:rFonts w:ascii="Arial" w:hAnsi="Arial" w:cs="Arial"/>
        </w:rPr>
        <w:t>Ruchirawat</w:t>
      </w:r>
      <w:proofErr w:type="spellEnd"/>
      <w:r w:rsidRPr="001E79E1">
        <w:rPr>
          <w:rFonts w:ascii="Arial" w:hAnsi="Arial" w:cs="Arial"/>
        </w:rPr>
        <w:t xml:space="preserve">, S., &amp; </w:t>
      </w:r>
      <w:proofErr w:type="spellStart"/>
      <w:r w:rsidRPr="001E79E1">
        <w:rPr>
          <w:rFonts w:ascii="Arial" w:hAnsi="Arial" w:cs="Arial"/>
        </w:rPr>
        <w:t>Satayavivad</w:t>
      </w:r>
      <w:proofErr w:type="spellEnd"/>
      <w:r w:rsidRPr="001E79E1">
        <w:rPr>
          <w:rFonts w:ascii="Arial" w:hAnsi="Arial" w:cs="Arial"/>
        </w:rPr>
        <w:t>, J. (2006). Inhibitory effect of Andrographis paniculata extract and its active diterpenoids on platelet aggregation. European Journal of Pharmacology, 553(3), 39–45. https://doi.org/10.1016/j.ejphar.2006.09.017</w:t>
      </w:r>
    </w:p>
    <w:p w14:paraId="1FAC7A4D" w14:textId="47AAAD88" w:rsidR="00790ADA" w:rsidRPr="002C57D2" w:rsidRDefault="001E79E1" w:rsidP="001E79E1">
      <w:pPr>
        <w:pStyle w:val="Body"/>
        <w:spacing w:after="0"/>
        <w:rPr>
          <w:rFonts w:ascii="Arial" w:hAnsi="Arial" w:cs="Arial"/>
        </w:rPr>
      </w:pPr>
      <w:r w:rsidRPr="001E79E1">
        <w:rPr>
          <w:rFonts w:ascii="Arial" w:hAnsi="Arial" w:cs="Arial"/>
        </w:rPr>
        <w:t>Wani, A. L., Ara, A., &amp; Usman, J. A. (2015). Lead toxicity: A review. Interdisciplinary Toxicology, 8(2), 55–64. https://doi.org/10.1515/intox-2015-0009</w:t>
      </w:r>
    </w:p>
    <w:p w14:paraId="36DCB0F1" w14:textId="77777777" w:rsidR="008B459E" w:rsidRPr="002C57D2" w:rsidRDefault="008B459E" w:rsidP="00441B6F">
      <w:pPr>
        <w:pStyle w:val="Body"/>
        <w:spacing w:after="0"/>
        <w:rPr>
          <w:rFonts w:ascii="Arial" w:hAnsi="Arial" w:cs="Arial"/>
        </w:rPr>
      </w:pPr>
    </w:p>
    <w:p w14:paraId="6601501E" w14:textId="77777777" w:rsidR="00B01FCD" w:rsidRPr="00FB3A86" w:rsidRDefault="00B01FCD" w:rsidP="00441B6F">
      <w:pPr>
        <w:pStyle w:val="Appendix"/>
        <w:spacing w:after="0"/>
        <w:jc w:val="both"/>
        <w:rPr>
          <w:rFonts w:ascii="Arial" w:hAnsi="Arial" w:cs="Arial"/>
          <w:b w:val="0"/>
        </w:rPr>
      </w:pPr>
    </w:p>
    <w:sectPr w:rsidR="00B01FCD" w:rsidRPr="00FB3A86" w:rsidSect="00D05DFA">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FCC72" w14:textId="77777777" w:rsidR="00466EBD" w:rsidRDefault="00466EBD" w:rsidP="00C37E61">
      <w:r>
        <w:separator/>
      </w:r>
    </w:p>
  </w:endnote>
  <w:endnote w:type="continuationSeparator" w:id="0">
    <w:p w14:paraId="7AE37DBA" w14:textId="77777777" w:rsidR="00466EBD" w:rsidRDefault="00466EB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E6D4" w14:textId="77777777" w:rsidR="00D05DFA" w:rsidRDefault="00D05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3DCF" w14:textId="77777777" w:rsidR="00D05DFA" w:rsidRDefault="00D05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1A450" w14:textId="031D3FDD" w:rsidR="00754C9A" w:rsidRPr="00D05DFA" w:rsidRDefault="00754C9A" w:rsidP="00D05DF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A8F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807B2" w14:textId="77777777" w:rsidR="00466EBD" w:rsidRDefault="00466EBD" w:rsidP="00C37E61">
      <w:r>
        <w:separator/>
      </w:r>
    </w:p>
  </w:footnote>
  <w:footnote w:type="continuationSeparator" w:id="0">
    <w:p w14:paraId="567D05B6" w14:textId="77777777" w:rsidR="00466EBD" w:rsidRDefault="00466EB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9B384" w14:textId="37F87974" w:rsidR="00D05DFA" w:rsidRDefault="00D05DFA">
    <w:pPr>
      <w:pStyle w:val="Header"/>
    </w:pPr>
    <w:r>
      <w:rPr>
        <w:noProof/>
      </w:rPr>
      <w:pict w14:anchorId="7FC4B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3E0F" w14:textId="1F324976" w:rsidR="00D05DFA" w:rsidRDefault="00D05DFA">
    <w:pPr>
      <w:pStyle w:val="Header"/>
    </w:pPr>
    <w:r>
      <w:rPr>
        <w:noProof/>
      </w:rPr>
      <w:pict w14:anchorId="7278C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C265" w14:textId="3E0B0CD7" w:rsidR="00296529" w:rsidRPr="00296529" w:rsidRDefault="00D05DFA" w:rsidP="00296529">
    <w:pPr>
      <w:ind w:left="2160"/>
      <w:jc w:val="center"/>
      <w:rPr>
        <w:rFonts w:ascii="Times New Roman" w:eastAsia="Calibri" w:hAnsi="Times New Roman"/>
        <w:i/>
        <w:sz w:val="18"/>
        <w:szCs w:val="22"/>
      </w:rPr>
    </w:pPr>
    <w:r>
      <w:rPr>
        <w:noProof/>
      </w:rPr>
      <w:pict w14:anchorId="5602A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C88855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71378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6CCBE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D63E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20AEF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E627C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4B15F" w14:textId="45AD143E" w:rsidR="00D05DFA" w:rsidRDefault="00D05DFA">
    <w:pPr>
      <w:pStyle w:val="Header"/>
    </w:pPr>
    <w:r>
      <w:rPr>
        <w:noProof/>
      </w:rPr>
      <w:pict w14:anchorId="13ABE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CAA9F" w14:textId="138351CF" w:rsidR="00D05DFA" w:rsidRDefault="00D05DFA">
    <w:pPr>
      <w:pStyle w:val="Header"/>
    </w:pPr>
    <w:r>
      <w:rPr>
        <w:noProof/>
      </w:rPr>
      <w:pict w14:anchorId="5719C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C978" w14:textId="0294CBF6" w:rsidR="00D05DFA" w:rsidRDefault="00D05DFA">
    <w:pPr>
      <w:pStyle w:val="Header"/>
    </w:pPr>
    <w:r>
      <w:rPr>
        <w:noProof/>
      </w:rPr>
      <w:pict w14:anchorId="5452A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1534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7725"/>
    <w:rsid w:val="00030174"/>
    <w:rsid w:val="0004579C"/>
    <w:rsid w:val="0009600A"/>
    <w:rsid w:val="000A47FA"/>
    <w:rsid w:val="000A65D3"/>
    <w:rsid w:val="000B1E33"/>
    <w:rsid w:val="000D689F"/>
    <w:rsid w:val="000E7B7B"/>
    <w:rsid w:val="000E7D62"/>
    <w:rsid w:val="00103357"/>
    <w:rsid w:val="00123C9F"/>
    <w:rsid w:val="00126190"/>
    <w:rsid w:val="00130F17"/>
    <w:rsid w:val="001320BF"/>
    <w:rsid w:val="00163BC4"/>
    <w:rsid w:val="001842A5"/>
    <w:rsid w:val="00191062"/>
    <w:rsid w:val="00192B72"/>
    <w:rsid w:val="00197177"/>
    <w:rsid w:val="001A29D8"/>
    <w:rsid w:val="001A5CAA"/>
    <w:rsid w:val="001B0427"/>
    <w:rsid w:val="001D3A51"/>
    <w:rsid w:val="001E10D2"/>
    <w:rsid w:val="001E25B4"/>
    <w:rsid w:val="001E44FE"/>
    <w:rsid w:val="001E79E1"/>
    <w:rsid w:val="00200595"/>
    <w:rsid w:val="00204835"/>
    <w:rsid w:val="00231920"/>
    <w:rsid w:val="0023195C"/>
    <w:rsid w:val="0024282C"/>
    <w:rsid w:val="002460DC"/>
    <w:rsid w:val="00250985"/>
    <w:rsid w:val="002556F6"/>
    <w:rsid w:val="00283105"/>
    <w:rsid w:val="00284C4C"/>
    <w:rsid w:val="00287E68"/>
    <w:rsid w:val="00296529"/>
    <w:rsid w:val="002B23A4"/>
    <w:rsid w:val="002B27FB"/>
    <w:rsid w:val="002B685A"/>
    <w:rsid w:val="002C57D2"/>
    <w:rsid w:val="002E0D56"/>
    <w:rsid w:val="002E5F78"/>
    <w:rsid w:val="002F76C7"/>
    <w:rsid w:val="00315186"/>
    <w:rsid w:val="0033343E"/>
    <w:rsid w:val="003512C2"/>
    <w:rsid w:val="00357BB4"/>
    <w:rsid w:val="00371FB6"/>
    <w:rsid w:val="003763C1"/>
    <w:rsid w:val="00376BBE"/>
    <w:rsid w:val="0039224F"/>
    <w:rsid w:val="003A43A4"/>
    <w:rsid w:val="003A7E18"/>
    <w:rsid w:val="003C4C86"/>
    <w:rsid w:val="003C6258"/>
    <w:rsid w:val="003C66C0"/>
    <w:rsid w:val="003E2904"/>
    <w:rsid w:val="00401927"/>
    <w:rsid w:val="0041027F"/>
    <w:rsid w:val="00412475"/>
    <w:rsid w:val="00423789"/>
    <w:rsid w:val="00440F43"/>
    <w:rsid w:val="00441B6F"/>
    <w:rsid w:val="00446221"/>
    <w:rsid w:val="00450E62"/>
    <w:rsid w:val="004539DB"/>
    <w:rsid w:val="00466EBD"/>
    <w:rsid w:val="00471A80"/>
    <w:rsid w:val="004D305E"/>
    <w:rsid w:val="004D4277"/>
    <w:rsid w:val="00502516"/>
    <w:rsid w:val="005046C7"/>
    <w:rsid w:val="00505F06"/>
    <w:rsid w:val="00506828"/>
    <w:rsid w:val="0053056E"/>
    <w:rsid w:val="00554FDA"/>
    <w:rsid w:val="005A3965"/>
    <w:rsid w:val="005C784C"/>
    <w:rsid w:val="005D17F6"/>
    <w:rsid w:val="005E5539"/>
    <w:rsid w:val="00602BF5"/>
    <w:rsid w:val="00617FDD"/>
    <w:rsid w:val="00622105"/>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2339"/>
    <w:rsid w:val="00790ADA"/>
    <w:rsid w:val="00795C4A"/>
    <w:rsid w:val="007D2288"/>
    <w:rsid w:val="007E088F"/>
    <w:rsid w:val="007F7B32"/>
    <w:rsid w:val="00804BC2"/>
    <w:rsid w:val="0081431A"/>
    <w:rsid w:val="0083216F"/>
    <w:rsid w:val="00860000"/>
    <w:rsid w:val="00863BD3"/>
    <w:rsid w:val="008641ED"/>
    <w:rsid w:val="00866D66"/>
    <w:rsid w:val="008671C6"/>
    <w:rsid w:val="00875803"/>
    <w:rsid w:val="00883D4A"/>
    <w:rsid w:val="00891F9C"/>
    <w:rsid w:val="008B459E"/>
    <w:rsid w:val="008E13AE"/>
    <w:rsid w:val="008E1506"/>
    <w:rsid w:val="008E710C"/>
    <w:rsid w:val="008F69D6"/>
    <w:rsid w:val="008F6DAD"/>
    <w:rsid w:val="00902823"/>
    <w:rsid w:val="00905B3F"/>
    <w:rsid w:val="00915CA6"/>
    <w:rsid w:val="00927834"/>
    <w:rsid w:val="009500A6"/>
    <w:rsid w:val="009560BB"/>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0C3D"/>
    <w:rsid w:val="00CD6755"/>
    <w:rsid w:val="00CD6856"/>
    <w:rsid w:val="00CE0089"/>
    <w:rsid w:val="00CE793C"/>
    <w:rsid w:val="00CF193C"/>
    <w:rsid w:val="00D05DFA"/>
    <w:rsid w:val="00D173F1"/>
    <w:rsid w:val="00D74CB0"/>
    <w:rsid w:val="00D81870"/>
    <w:rsid w:val="00D8295D"/>
    <w:rsid w:val="00DB1C9E"/>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A36E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828554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7"/>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883D4A"/>
    <w:rPr>
      <w:rFonts w:ascii="Calibri" w:eastAsia="Calibri" w:hAnsi="Calibri" w:cs="Arial"/>
      <w:lang w:val="en-IN" w:eastAsia="en-IN"/>
    </w:rPr>
  </w:style>
  <w:style w:type="table" w:styleId="ListTable6Colorful">
    <w:name w:val="List Table 6 Colorful"/>
    <w:basedOn w:val="TableNormal"/>
    <w:uiPriority w:val="51"/>
    <w:rsid w:val="00782339"/>
    <w:rPr>
      <w:rFonts w:asciiTheme="minorHAnsi" w:eastAsiaTheme="minorHAnsi" w:hAnsiTheme="minorHAnsi" w:cstheme="minorBidi"/>
      <w:color w:val="000000" w:themeColor="text1"/>
      <w:kern w:val="2"/>
      <w:sz w:val="22"/>
      <w:szCs w:val="2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44425-AD7F-4819-A8BF-BB3264C2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7</Pages>
  <Words>3499</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23403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2025-03-19T11:05:00Z</dcterms:created>
  <dcterms:modified xsi:type="dcterms:W3CDTF">2025-03-20T06:38:00Z</dcterms:modified>
</cp:coreProperties>
</file>