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5994F" w14:textId="578BF2B9" w:rsidR="00E73DCE" w:rsidRDefault="00011FAF" w:rsidP="00011FAF">
      <w:pPr>
        <w:spacing w:after="0" w:line="240" w:lineRule="auto"/>
        <w:jc w:val="center"/>
        <w:rPr>
          <w:rFonts w:asciiTheme="majorBidi" w:hAnsiTheme="majorBidi" w:cstheme="majorBidi"/>
          <w:b/>
          <w:bCs/>
          <w:sz w:val="32"/>
          <w:szCs w:val="32"/>
        </w:rPr>
      </w:pPr>
      <w:r w:rsidRPr="00011FAF">
        <w:rPr>
          <w:rFonts w:asciiTheme="majorBidi" w:hAnsiTheme="majorBidi" w:cstheme="majorBidi"/>
          <w:b/>
          <w:bCs/>
          <w:sz w:val="32"/>
          <w:szCs w:val="32"/>
        </w:rPr>
        <w:t>Exploring the Multifaceted Impact of Rheumatoid Arthritis: A Study from Benghazi, Libya</w:t>
      </w:r>
    </w:p>
    <w:p w14:paraId="2EEB8C08" w14:textId="77777777" w:rsidR="00011FAF" w:rsidRPr="00956057" w:rsidRDefault="00011FAF" w:rsidP="00E8060F">
      <w:pPr>
        <w:spacing w:after="0" w:line="240" w:lineRule="auto"/>
        <w:jc w:val="both"/>
        <w:rPr>
          <w:rFonts w:asciiTheme="majorBidi" w:hAnsiTheme="majorBidi" w:cstheme="majorBidi"/>
          <w:sz w:val="24"/>
          <w:szCs w:val="24"/>
        </w:rPr>
      </w:pPr>
    </w:p>
    <w:p w14:paraId="1A4CC6B6" w14:textId="4780A017" w:rsidR="00E8060F" w:rsidRDefault="00E8060F" w:rsidP="00E8060F">
      <w:pPr>
        <w:spacing w:after="0" w:line="240" w:lineRule="auto"/>
        <w:jc w:val="both"/>
        <w:rPr>
          <w:rFonts w:asciiTheme="majorBidi" w:hAnsiTheme="majorBidi" w:cstheme="majorBidi"/>
          <w:lang w:val="en-GB"/>
        </w:rPr>
      </w:pPr>
    </w:p>
    <w:p w14:paraId="2C8A7377" w14:textId="77777777" w:rsidR="00011440" w:rsidRPr="00011FAF" w:rsidRDefault="00011440" w:rsidP="00E8060F">
      <w:pPr>
        <w:spacing w:after="0" w:line="240" w:lineRule="auto"/>
        <w:jc w:val="both"/>
        <w:rPr>
          <w:rFonts w:asciiTheme="majorBidi" w:hAnsiTheme="majorBidi" w:cstheme="majorBidi"/>
          <w:lang w:val="en-GB"/>
        </w:rPr>
      </w:pPr>
      <w:bookmarkStart w:id="0" w:name="_GoBack"/>
      <w:bookmarkEnd w:id="0"/>
    </w:p>
    <w:p w14:paraId="012E2DDA" w14:textId="371ACD8F" w:rsidR="001A17C4" w:rsidRPr="00956057" w:rsidRDefault="001A17C4" w:rsidP="00E8060F">
      <w:pPr>
        <w:spacing w:after="0" w:line="240" w:lineRule="auto"/>
        <w:jc w:val="both"/>
        <w:rPr>
          <w:rFonts w:asciiTheme="majorBidi" w:hAnsiTheme="majorBidi" w:cstheme="majorBidi"/>
          <w:b/>
          <w:bCs/>
          <w:sz w:val="28"/>
          <w:szCs w:val="28"/>
          <w:lang w:val="en-GB"/>
        </w:rPr>
      </w:pPr>
      <w:r w:rsidRPr="00956057">
        <w:rPr>
          <w:rFonts w:asciiTheme="majorBidi" w:hAnsiTheme="majorBidi" w:cstheme="majorBidi"/>
          <w:b/>
          <w:bCs/>
          <w:sz w:val="28"/>
          <w:szCs w:val="28"/>
          <w:lang w:val="en-GB"/>
        </w:rPr>
        <w:t>Abstract</w:t>
      </w:r>
    </w:p>
    <w:p w14:paraId="449F7531" w14:textId="48A4333B" w:rsidR="005A49A7" w:rsidRPr="00956057" w:rsidRDefault="00E73DCE" w:rsidP="005A49A7">
      <w:pPr>
        <w:spacing w:after="0" w:line="240" w:lineRule="auto"/>
        <w:jc w:val="both"/>
        <w:rPr>
          <w:rFonts w:asciiTheme="majorBidi" w:hAnsiTheme="majorBidi" w:cstheme="majorBidi"/>
          <w:sz w:val="24"/>
          <w:szCs w:val="24"/>
          <w:lang w:val="en-GB"/>
        </w:rPr>
      </w:pPr>
      <w:r w:rsidRPr="00956057">
        <w:rPr>
          <w:rFonts w:asciiTheme="majorBidi" w:hAnsiTheme="majorBidi" w:cstheme="majorBidi"/>
          <w:b/>
          <w:bCs/>
          <w:sz w:val="24"/>
          <w:szCs w:val="24"/>
          <w:lang w:val="en-GB"/>
        </w:rPr>
        <w:t>Background:</w:t>
      </w:r>
      <w:r w:rsidRPr="00956057">
        <w:rPr>
          <w:rFonts w:asciiTheme="majorBidi" w:hAnsiTheme="majorBidi" w:cstheme="majorBidi"/>
          <w:sz w:val="24"/>
          <w:szCs w:val="24"/>
          <w:lang w:val="en-GB"/>
        </w:rPr>
        <w:t xml:space="preserve"> </w:t>
      </w:r>
      <w:r w:rsidR="001A17C4" w:rsidRPr="00956057">
        <w:rPr>
          <w:rFonts w:asciiTheme="majorBidi" w:hAnsiTheme="majorBidi" w:cstheme="majorBidi"/>
          <w:sz w:val="24"/>
          <w:szCs w:val="24"/>
          <w:lang w:val="en-GB"/>
        </w:rPr>
        <w:t>Rheumatoid arthritis</w:t>
      </w:r>
      <w:r w:rsidR="005A49A7" w:rsidRPr="00956057">
        <w:rPr>
          <w:rFonts w:asciiTheme="majorBidi" w:hAnsiTheme="majorBidi" w:cstheme="majorBidi"/>
          <w:sz w:val="24"/>
          <w:szCs w:val="24"/>
          <w:lang w:val="en-GB"/>
        </w:rPr>
        <w:t xml:space="preserve"> (RA)</w:t>
      </w:r>
      <w:r w:rsidR="001A17C4" w:rsidRPr="00956057">
        <w:rPr>
          <w:rFonts w:asciiTheme="majorBidi" w:hAnsiTheme="majorBidi" w:cstheme="majorBidi"/>
          <w:sz w:val="24"/>
          <w:szCs w:val="24"/>
          <w:lang w:val="en-GB"/>
        </w:rPr>
        <w:t xml:space="preserve"> is a chronic autoimmune disorder that primarily causes </w:t>
      </w:r>
      <w:r w:rsidR="00B40DEC" w:rsidRPr="00956057">
        <w:rPr>
          <w:rFonts w:asciiTheme="majorBidi" w:hAnsiTheme="majorBidi" w:cstheme="majorBidi"/>
          <w:sz w:val="24"/>
          <w:szCs w:val="24"/>
          <w:lang w:val="en-GB"/>
        </w:rPr>
        <w:t xml:space="preserve">symmetrical joint inflammation, particularly affecting the synovium. Key symptoms include morning stiffness, joint swelling, fatigue, and rheumatoid nodules in seropositive patients. </w:t>
      </w:r>
    </w:p>
    <w:p w14:paraId="76DDBAD6" w14:textId="4CC33BFB" w:rsidR="00E8060F" w:rsidRPr="00956057" w:rsidRDefault="00E34AEF" w:rsidP="005A49A7">
      <w:pPr>
        <w:spacing w:after="0" w:line="240" w:lineRule="auto"/>
        <w:jc w:val="both"/>
        <w:rPr>
          <w:rFonts w:asciiTheme="majorBidi" w:hAnsiTheme="majorBidi" w:cstheme="majorBidi"/>
          <w:sz w:val="24"/>
          <w:szCs w:val="24"/>
          <w:lang w:val="en-GB"/>
        </w:rPr>
      </w:pPr>
      <w:r w:rsidRPr="00956057">
        <w:rPr>
          <w:rFonts w:asciiTheme="majorBidi" w:hAnsiTheme="majorBidi" w:cstheme="majorBidi"/>
          <w:b/>
          <w:bCs/>
          <w:sz w:val="24"/>
          <w:szCs w:val="24"/>
          <w:lang w:val="en-GB"/>
        </w:rPr>
        <w:t>Aim:</w:t>
      </w:r>
      <w:r w:rsidRPr="00956057">
        <w:rPr>
          <w:rFonts w:asciiTheme="majorBidi" w:hAnsiTheme="majorBidi" w:cstheme="majorBidi"/>
          <w:sz w:val="24"/>
          <w:szCs w:val="24"/>
          <w:lang w:val="en-GB"/>
        </w:rPr>
        <w:t xml:space="preserve"> </w:t>
      </w:r>
      <w:r w:rsidR="00B40DEC" w:rsidRPr="00956057">
        <w:rPr>
          <w:rFonts w:asciiTheme="majorBidi" w:hAnsiTheme="majorBidi" w:cstheme="majorBidi"/>
          <w:sz w:val="24"/>
          <w:szCs w:val="24"/>
          <w:lang w:val="en-GB"/>
        </w:rPr>
        <w:t>This study aims to assess the severity and daily pattern of joint pain and stiffness, identify the most affected joints, evaluate comorbidities</w:t>
      </w:r>
      <w:r w:rsidR="005A49A7" w:rsidRPr="00956057">
        <w:rPr>
          <w:rFonts w:asciiTheme="majorBidi" w:hAnsiTheme="majorBidi" w:cstheme="majorBidi"/>
          <w:sz w:val="24"/>
          <w:szCs w:val="24"/>
          <w:lang w:val="en-GB"/>
        </w:rPr>
        <w:t xml:space="preserve"> associated with RA </w:t>
      </w:r>
      <w:r w:rsidR="00B40DEC" w:rsidRPr="00956057">
        <w:rPr>
          <w:rFonts w:asciiTheme="majorBidi" w:hAnsiTheme="majorBidi" w:cstheme="majorBidi"/>
          <w:sz w:val="24"/>
          <w:szCs w:val="24"/>
          <w:lang w:val="en-GB"/>
        </w:rPr>
        <w:t>and investigate the psychological and emotional impact of the disease on patient</w:t>
      </w:r>
      <w:r w:rsidR="00E73DCE" w:rsidRPr="00956057">
        <w:rPr>
          <w:rFonts w:asciiTheme="majorBidi" w:hAnsiTheme="majorBidi" w:cstheme="majorBidi"/>
          <w:sz w:val="24"/>
          <w:szCs w:val="24"/>
          <w:lang w:val="en-GB"/>
        </w:rPr>
        <w:t xml:space="preserve"> </w:t>
      </w:r>
    </w:p>
    <w:p w14:paraId="5FFF55B3" w14:textId="1C14DE48" w:rsidR="006D2391" w:rsidRPr="00956057" w:rsidRDefault="00E8060F" w:rsidP="005A49A7">
      <w:pPr>
        <w:spacing w:after="0" w:line="240" w:lineRule="auto"/>
        <w:jc w:val="both"/>
        <w:rPr>
          <w:rFonts w:asciiTheme="majorBidi" w:hAnsiTheme="majorBidi" w:cstheme="majorBidi"/>
          <w:sz w:val="24"/>
          <w:szCs w:val="24"/>
          <w:lang w:val="en-GB"/>
        </w:rPr>
      </w:pPr>
      <w:r w:rsidRPr="00956057">
        <w:rPr>
          <w:rFonts w:asciiTheme="majorBidi" w:hAnsiTheme="majorBidi" w:cstheme="majorBidi"/>
          <w:b/>
          <w:bCs/>
          <w:sz w:val="24"/>
          <w:szCs w:val="24"/>
          <w:lang w:val="en-GB"/>
        </w:rPr>
        <w:t>Material and M</w:t>
      </w:r>
      <w:r w:rsidR="00E73DCE" w:rsidRPr="00956057">
        <w:rPr>
          <w:rFonts w:asciiTheme="majorBidi" w:hAnsiTheme="majorBidi" w:cstheme="majorBidi"/>
          <w:b/>
          <w:bCs/>
          <w:sz w:val="24"/>
          <w:szCs w:val="24"/>
          <w:lang w:val="en-GB"/>
        </w:rPr>
        <w:t>ethods:</w:t>
      </w:r>
      <w:r w:rsidR="00E73DCE" w:rsidRPr="00956057">
        <w:rPr>
          <w:rFonts w:asciiTheme="majorBidi" w:hAnsiTheme="majorBidi" w:cstheme="majorBidi"/>
          <w:sz w:val="24"/>
          <w:szCs w:val="24"/>
          <w:lang w:val="en-GB"/>
        </w:rPr>
        <w:t xml:space="preserve"> The study employed a cross-sectional survey design to collect data from 301 participants diagnose</w:t>
      </w:r>
      <w:r w:rsidR="005A49A7" w:rsidRPr="00956057">
        <w:rPr>
          <w:rFonts w:asciiTheme="majorBidi" w:hAnsiTheme="majorBidi" w:cstheme="majorBidi"/>
          <w:sz w:val="24"/>
          <w:szCs w:val="24"/>
          <w:lang w:val="en-GB"/>
        </w:rPr>
        <w:t xml:space="preserve">d with </w:t>
      </w:r>
      <w:r w:rsidR="00E73DCE" w:rsidRPr="00956057">
        <w:rPr>
          <w:rFonts w:asciiTheme="majorBidi" w:hAnsiTheme="majorBidi" w:cstheme="majorBidi"/>
          <w:sz w:val="24"/>
          <w:szCs w:val="24"/>
          <w:lang w:val="en-GB"/>
        </w:rPr>
        <w:t>RA in Benghazi, Libya, between February and May 2024.</w:t>
      </w:r>
      <w:r w:rsidRPr="00956057">
        <w:rPr>
          <w:rFonts w:asciiTheme="majorBidi" w:hAnsiTheme="majorBidi" w:cstheme="majorBidi"/>
          <w:sz w:val="24"/>
          <w:szCs w:val="24"/>
          <w:lang w:val="en-GB"/>
        </w:rPr>
        <w:t xml:space="preserve"> </w:t>
      </w:r>
      <w:r w:rsidR="00E73DCE" w:rsidRPr="00956057">
        <w:rPr>
          <w:rFonts w:asciiTheme="majorBidi" w:hAnsiTheme="majorBidi" w:cstheme="majorBidi"/>
          <w:sz w:val="24"/>
          <w:szCs w:val="24"/>
          <w:lang w:val="en-GB"/>
        </w:rPr>
        <w:t>Data analysis was conducted using SPSS, while Excel was used for accurate data entry and organization.</w:t>
      </w:r>
    </w:p>
    <w:p w14:paraId="77AF651C" w14:textId="1629E2BD" w:rsidR="00115E18" w:rsidRPr="00956057" w:rsidRDefault="00115E18" w:rsidP="005A49A7">
      <w:pPr>
        <w:spacing w:after="0" w:line="240" w:lineRule="auto"/>
        <w:jc w:val="both"/>
        <w:rPr>
          <w:rFonts w:asciiTheme="majorBidi" w:hAnsiTheme="majorBidi" w:cstheme="majorBidi"/>
          <w:sz w:val="24"/>
          <w:szCs w:val="24"/>
          <w:lang w:val="en-GB"/>
        </w:rPr>
      </w:pPr>
      <w:r w:rsidRPr="00956057">
        <w:rPr>
          <w:rFonts w:asciiTheme="majorBidi" w:hAnsiTheme="majorBidi" w:cstheme="majorBidi"/>
          <w:b/>
          <w:bCs/>
          <w:sz w:val="24"/>
          <w:szCs w:val="24"/>
          <w:lang w:val="en-GB"/>
        </w:rPr>
        <w:t>Results</w:t>
      </w:r>
      <w:r w:rsidRPr="00956057">
        <w:rPr>
          <w:rFonts w:asciiTheme="majorBidi" w:hAnsiTheme="majorBidi" w:cstheme="majorBidi"/>
          <w:sz w:val="24"/>
          <w:szCs w:val="24"/>
          <w:lang w:val="en-GB"/>
        </w:rPr>
        <w:t>: The most prominent symptom reported was joint pain and stiffness, particularly in the morning, affecting 43.9% of participants. Joint invol</w:t>
      </w:r>
      <w:r w:rsidR="005A49A7" w:rsidRPr="00956057">
        <w:rPr>
          <w:rFonts w:asciiTheme="majorBidi" w:hAnsiTheme="majorBidi" w:cstheme="majorBidi"/>
          <w:sz w:val="24"/>
          <w:szCs w:val="24"/>
          <w:lang w:val="en-GB"/>
        </w:rPr>
        <w:t>vement was highest in the hands, knees</w:t>
      </w:r>
      <w:r w:rsidRPr="00956057">
        <w:rPr>
          <w:rFonts w:asciiTheme="majorBidi" w:hAnsiTheme="majorBidi" w:cstheme="majorBidi"/>
          <w:sz w:val="24"/>
          <w:szCs w:val="24"/>
          <w:lang w:val="en-GB"/>
        </w:rPr>
        <w:t>, and shoulders, with the hip joint being the least affected. A significant burden of comorbidities was observed, with hypertension</w:t>
      </w:r>
      <w:r w:rsidR="005A49A7" w:rsidRPr="00956057">
        <w:rPr>
          <w:rFonts w:asciiTheme="majorBidi" w:hAnsiTheme="majorBidi" w:cstheme="majorBidi"/>
          <w:sz w:val="24"/>
          <w:szCs w:val="24"/>
          <w:lang w:val="en-GB"/>
        </w:rPr>
        <w:t xml:space="preserve"> and diabetes</w:t>
      </w:r>
      <w:r w:rsidRPr="00956057">
        <w:rPr>
          <w:rFonts w:asciiTheme="majorBidi" w:hAnsiTheme="majorBidi" w:cstheme="majorBidi"/>
          <w:sz w:val="24"/>
          <w:szCs w:val="24"/>
          <w:lang w:val="en-GB"/>
        </w:rPr>
        <w:t xml:space="preserve">. </w:t>
      </w:r>
    </w:p>
    <w:p w14:paraId="622AC933" w14:textId="5FEC1F63" w:rsidR="00271C57" w:rsidRPr="00956057" w:rsidRDefault="00271C57" w:rsidP="005A49A7">
      <w:pPr>
        <w:spacing w:after="0" w:line="240" w:lineRule="auto"/>
        <w:jc w:val="both"/>
        <w:rPr>
          <w:rFonts w:asciiTheme="majorBidi" w:hAnsiTheme="majorBidi" w:cstheme="majorBidi"/>
          <w:sz w:val="24"/>
          <w:szCs w:val="24"/>
          <w:lang w:val="en-GB"/>
        </w:rPr>
      </w:pPr>
      <w:r w:rsidRPr="00956057">
        <w:rPr>
          <w:rFonts w:asciiTheme="majorBidi" w:hAnsiTheme="majorBidi" w:cstheme="majorBidi"/>
          <w:b/>
          <w:bCs/>
          <w:sz w:val="24"/>
          <w:szCs w:val="24"/>
          <w:lang w:val="en-GB"/>
        </w:rPr>
        <w:t>Conclusion:</w:t>
      </w:r>
      <w:r w:rsidRPr="00956057">
        <w:rPr>
          <w:rFonts w:asciiTheme="majorBidi" w:hAnsiTheme="majorBidi" w:cstheme="majorBidi"/>
          <w:sz w:val="24"/>
          <w:szCs w:val="24"/>
          <w:lang w:val="en-GB"/>
        </w:rPr>
        <w:t xml:space="preserve"> The study examines the prevalence and clinical presentations of rheumatoid arthritis in Benghazi, Libya. Key findings include common symptoms like morning joint stiffness, highlighting the disease's impact on physical health. It also affects psychological well-being and employment status, with many patients experiencing comorbidities such as diabetes and hypertension, complicating their management. </w:t>
      </w:r>
    </w:p>
    <w:p w14:paraId="1802DDB2" w14:textId="77777777" w:rsidR="00F44621" w:rsidRPr="00956057" w:rsidRDefault="00F44621" w:rsidP="00E8060F">
      <w:pPr>
        <w:spacing w:after="0" w:line="240" w:lineRule="auto"/>
        <w:jc w:val="both"/>
        <w:rPr>
          <w:rFonts w:asciiTheme="majorBidi" w:hAnsiTheme="majorBidi" w:cstheme="majorBidi"/>
          <w:sz w:val="24"/>
          <w:szCs w:val="24"/>
          <w:lang w:val="en-GB"/>
        </w:rPr>
      </w:pPr>
    </w:p>
    <w:p w14:paraId="09D66BDA" w14:textId="195BE29B" w:rsidR="006D2391" w:rsidRPr="00956057" w:rsidRDefault="006D2391" w:rsidP="00E8060F">
      <w:pPr>
        <w:spacing w:after="0" w:line="240" w:lineRule="auto"/>
        <w:jc w:val="both"/>
        <w:rPr>
          <w:rFonts w:asciiTheme="majorBidi" w:hAnsiTheme="majorBidi" w:cstheme="majorBidi"/>
          <w:b/>
          <w:bCs/>
          <w:sz w:val="28"/>
          <w:szCs w:val="28"/>
          <w:lang w:val="en-GB"/>
        </w:rPr>
      </w:pPr>
      <w:r w:rsidRPr="00956057">
        <w:rPr>
          <w:rFonts w:asciiTheme="majorBidi" w:hAnsiTheme="majorBidi" w:cstheme="majorBidi"/>
          <w:b/>
          <w:bCs/>
          <w:sz w:val="28"/>
          <w:szCs w:val="28"/>
          <w:lang w:val="en-GB"/>
        </w:rPr>
        <w:t>Introduction</w:t>
      </w:r>
    </w:p>
    <w:p w14:paraId="28FC8ACE" w14:textId="535834E3" w:rsidR="00E34AEF" w:rsidRPr="00956057" w:rsidRDefault="00AD16FF" w:rsidP="00C20CA0">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Rheumatoid arthritis (RA) is a chronic autoimmune disease that affects several joints symmetrically.  RA happens when the immune system mistakenly attacks its own tissues, mainly the synovium (the lining of the membranes that surround the joints) causing inflammation and other symptoms</w:t>
      </w:r>
      <w:r w:rsidR="001A7993" w:rsidRPr="00956057">
        <w:rPr>
          <w:rFonts w:asciiTheme="majorBidi" w:hAnsiTheme="majorBidi" w:cstheme="majorBidi"/>
          <w:sz w:val="24"/>
          <w:szCs w:val="24"/>
        </w:rPr>
        <w:t xml:space="preserve"> </w:t>
      </w:r>
      <w:r w:rsidR="001A7993" w:rsidRPr="00956057">
        <w:rPr>
          <w:rFonts w:asciiTheme="majorBidi" w:hAnsiTheme="majorBidi" w:cstheme="majorBidi"/>
          <w:sz w:val="24"/>
          <w:szCs w:val="24"/>
          <w:shd w:val="clear" w:color="auto" w:fill="FFFFFF"/>
        </w:rPr>
        <w:t xml:space="preserve">(Zielinski </w:t>
      </w:r>
      <w:r w:rsidR="001A7993" w:rsidRPr="00956057">
        <w:rPr>
          <w:rFonts w:asciiTheme="majorBidi" w:hAnsiTheme="majorBidi" w:cstheme="majorBidi"/>
          <w:i/>
          <w:iCs/>
          <w:sz w:val="24"/>
          <w:szCs w:val="24"/>
          <w:shd w:val="clear" w:color="auto" w:fill="FFFFFF"/>
        </w:rPr>
        <w:t>et al</w:t>
      </w:r>
      <w:r w:rsidR="001A7993" w:rsidRPr="00956057">
        <w:rPr>
          <w:rFonts w:asciiTheme="majorBidi" w:hAnsiTheme="majorBidi" w:cstheme="majorBidi"/>
          <w:sz w:val="24"/>
          <w:szCs w:val="24"/>
          <w:shd w:val="clear" w:color="auto" w:fill="FFFFFF"/>
        </w:rPr>
        <w:t xml:space="preserve">., 2019). </w:t>
      </w:r>
      <w:r w:rsidR="001A7993" w:rsidRPr="00956057">
        <w:rPr>
          <w:rFonts w:asciiTheme="majorBidi" w:hAnsiTheme="majorBidi" w:cstheme="majorBidi"/>
          <w:sz w:val="24"/>
          <w:szCs w:val="24"/>
        </w:rPr>
        <w:t>The multifaceted cause of RA involves environmental as well as genetic factors that play a crucial role in determining both the beginning and the severity of the disease (</w:t>
      </w:r>
      <w:proofErr w:type="spellStart"/>
      <w:r w:rsidR="001A7993" w:rsidRPr="00956057">
        <w:rPr>
          <w:rFonts w:asciiTheme="majorBidi" w:hAnsiTheme="majorBidi" w:cstheme="majorBidi"/>
          <w:sz w:val="24"/>
          <w:szCs w:val="24"/>
        </w:rPr>
        <w:t>Aletaha</w:t>
      </w:r>
      <w:proofErr w:type="spellEnd"/>
      <w:r w:rsidR="001A7993" w:rsidRPr="00956057">
        <w:rPr>
          <w:rFonts w:asciiTheme="majorBidi" w:hAnsiTheme="majorBidi" w:cstheme="majorBidi"/>
          <w:sz w:val="24"/>
          <w:szCs w:val="24"/>
        </w:rPr>
        <w:t xml:space="preserve"> </w:t>
      </w:r>
      <w:r w:rsidR="001A7993" w:rsidRPr="00956057">
        <w:rPr>
          <w:rFonts w:asciiTheme="majorBidi" w:hAnsiTheme="majorBidi" w:cstheme="majorBidi"/>
          <w:i/>
          <w:iCs/>
          <w:sz w:val="24"/>
          <w:szCs w:val="24"/>
        </w:rPr>
        <w:t>et al</w:t>
      </w:r>
      <w:r w:rsidR="001A7993" w:rsidRPr="00956057">
        <w:rPr>
          <w:rFonts w:asciiTheme="majorBidi" w:hAnsiTheme="majorBidi" w:cstheme="majorBidi"/>
          <w:sz w:val="24"/>
          <w:szCs w:val="24"/>
        </w:rPr>
        <w:t>., 2010). RA has an average prevalence of 20–50 cases per 100,000 individuals in North America and Europe, it has a prevalence rate of 0.51–1.1% worldwide (</w:t>
      </w:r>
      <w:proofErr w:type="spellStart"/>
      <w:r w:rsidR="001A7993" w:rsidRPr="00956057">
        <w:rPr>
          <w:rFonts w:asciiTheme="majorBidi" w:hAnsiTheme="majorBidi" w:cstheme="majorBidi"/>
          <w:sz w:val="24"/>
          <w:szCs w:val="24"/>
        </w:rPr>
        <w:t>Alamanos</w:t>
      </w:r>
      <w:proofErr w:type="spellEnd"/>
      <w:r w:rsidR="001A7993" w:rsidRPr="00956057">
        <w:rPr>
          <w:rFonts w:asciiTheme="majorBidi" w:hAnsiTheme="majorBidi" w:cstheme="majorBidi"/>
          <w:sz w:val="24"/>
          <w:szCs w:val="24"/>
        </w:rPr>
        <w:t xml:space="preserve"> &amp; </w:t>
      </w:r>
      <w:proofErr w:type="spellStart"/>
      <w:r w:rsidR="001A7993" w:rsidRPr="00956057">
        <w:rPr>
          <w:rFonts w:asciiTheme="majorBidi" w:hAnsiTheme="majorBidi" w:cstheme="majorBidi"/>
          <w:sz w:val="24"/>
          <w:szCs w:val="24"/>
        </w:rPr>
        <w:t>Drosos</w:t>
      </w:r>
      <w:proofErr w:type="spellEnd"/>
      <w:r w:rsidR="001A7993" w:rsidRPr="00956057">
        <w:rPr>
          <w:rFonts w:asciiTheme="majorBidi" w:hAnsiTheme="majorBidi" w:cstheme="majorBidi"/>
          <w:sz w:val="24"/>
          <w:szCs w:val="24"/>
        </w:rPr>
        <w:t xml:space="preserve">, 2005). The most common symptoms of RA include the following: excessive heat, stiff joints in the morning, fatigue, discomfort, swelling in the joints, and the appearance of nodules on the skin (Bullock </w:t>
      </w:r>
      <w:r w:rsidR="001A7993" w:rsidRPr="00956057">
        <w:rPr>
          <w:rFonts w:asciiTheme="majorBidi" w:hAnsiTheme="majorBidi" w:cstheme="majorBidi"/>
          <w:i/>
          <w:iCs/>
          <w:sz w:val="24"/>
          <w:szCs w:val="24"/>
        </w:rPr>
        <w:t>et al</w:t>
      </w:r>
      <w:r w:rsidR="001A7993" w:rsidRPr="00956057">
        <w:rPr>
          <w:rFonts w:asciiTheme="majorBidi" w:hAnsiTheme="majorBidi" w:cstheme="majorBidi"/>
          <w:sz w:val="24"/>
          <w:szCs w:val="24"/>
        </w:rPr>
        <w:t xml:space="preserve">., 2019; Rome &amp; Stewart, 2020; Orange </w:t>
      </w:r>
      <w:r w:rsidR="001A7993" w:rsidRPr="00956057">
        <w:rPr>
          <w:rFonts w:asciiTheme="majorBidi" w:hAnsiTheme="majorBidi" w:cstheme="majorBidi"/>
          <w:i/>
          <w:iCs/>
          <w:sz w:val="24"/>
          <w:szCs w:val="24"/>
        </w:rPr>
        <w:t>et al</w:t>
      </w:r>
      <w:r w:rsidR="001A7993" w:rsidRPr="00956057">
        <w:rPr>
          <w:rFonts w:asciiTheme="majorBidi" w:hAnsiTheme="majorBidi" w:cstheme="majorBidi"/>
          <w:sz w:val="24"/>
          <w:szCs w:val="24"/>
        </w:rPr>
        <w:t>., 2020). The disease that mostly affects small joints over larger joints can also damage extra-articular tissues because it is a systemic disorder</w:t>
      </w:r>
      <w:r w:rsidR="000D5F24" w:rsidRPr="00956057">
        <w:rPr>
          <w:rFonts w:asciiTheme="majorBidi" w:hAnsiTheme="majorBidi" w:cstheme="majorBidi"/>
          <w:sz w:val="24"/>
          <w:szCs w:val="24"/>
        </w:rPr>
        <w:t xml:space="preserve"> (Giles, 2019). Rheumatoid nodules in various locations are the most prevalent skin manifestations and are primarily seen in seropositive individuals with erosive conditions. the additional skin symptoms are the digital gangrene, ulcers, and periungual inflammation (Cojocaru </w:t>
      </w:r>
      <w:r w:rsidR="000D5F24" w:rsidRPr="00956057">
        <w:rPr>
          <w:rFonts w:asciiTheme="majorBidi" w:hAnsiTheme="majorBidi" w:cstheme="majorBidi"/>
          <w:i/>
          <w:iCs/>
          <w:sz w:val="24"/>
          <w:szCs w:val="24"/>
        </w:rPr>
        <w:t>et al</w:t>
      </w:r>
      <w:r w:rsidR="000D5F24" w:rsidRPr="00956057">
        <w:rPr>
          <w:rFonts w:asciiTheme="majorBidi" w:hAnsiTheme="majorBidi" w:cstheme="majorBidi"/>
          <w:sz w:val="24"/>
          <w:szCs w:val="24"/>
        </w:rPr>
        <w:t xml:space="preserve">., 2010). The pathophysiology of rheumatoid arthritis is yet unknown (Chemin </w:t>
      </w:r>
      <w:r w:rsidR="000D5F24" w:rsidRPr="00956057">
        <w:rPr>
          <w:rFonts w:asciiTheme="majorBidi" w:hAnsiTheme="majorBidi" w:cstheme="majorBidi"/>
          <w:i/>
          <w:iCs/>
          <w:sz w:val="24"/>
          <w:szCs w:val="24"/>
        </w:rPr>
        <w:t>et al</w:t>
      </w:r>
      <w:r w:rsidR="000D5F24" w:rsidRPr="00956057">
        <w:rPr>
          <w:rFonts w:asciiTheme="majorBidi" w:hAnsiTheme="majorBidi" w:cstheme="majorBidi"/>
          <w:sz w:val="24"/>
          <w:szCs w:val="24"/>
        </w:rPr>
        <w:t xml:space="preserve">., 2016; </w:t>
      </w:r>
      <w:proofErr w:type="spellStart"/>
      <w:r w:rsidR="000D5F24" w:rsidRPr="00956057">
        <w:rPr>
          <w:rFonts w:asciiTheme="majorBidi" w:hAnsiTheme="majorBidi" w:cstheme="majorBidi"/>
          <w:sz w:val="24"/>
          <w:szCs w:val="24"/>
        </w:rPr>
        <w:t>Aringer</w:t>
      </w:r>
      <w:proofErr w:type="spellEnd"/>
      <w:r w:rsidR="000D5F24" w:rsidRPr="00956057">
        <w:rPr>
          <w:rFonts w:asciiTheme="majorBidi" w:hAnsiTheme="majorBidi" w:cstheme="majorBidi"/>
          <w:sz w:val="24"/>
          <w:szCs w:val="24"/>
        </w:rPr>
        <w:t xml:space="preserve"> &amp; Tony, 2012). Epigenetic and environmental factors trigger genomic structural alteration in those with susceptibility, leading to the development of </w:t>
      </w:r>
      <w:proofErr w:type="spellStart"/>
      <w:r w:rsidR="000D5F24" w:rsidRPr="00956057">
        <w:rPr>
          <w:rFonts w:asciiTheme="majorBidi" w:hAnsiTheme="majorBidi" w:cstheme="majorBidi"/>
          <w:sz w:val="24"/>
          <w:szCs w:val="24"/>
        </w:rPr>
        <w:t>selfantigens</w:t>
      </w:r>
      <w:proofErr w:type="spellEnd"/>
      <w:r w:rsidR="000D5F24" w:rsidRPr="00956057">
        <w:rPr>
          <w:rFonts w:asciiTheme="majorBidi" w:hAnsiTheme="majorBidi" w:cstheme="majorBidi"/>
          <w:sz w:val="24"/>
          <w:szCs w:val="24"/>
        </w:rPr>
        <w:t xml:space="preserve"> such as immunoglobin. Therefore, proteins arginine residues are citrullinated by </w:t>
      </w:r>
      <w:proofErr w:type="spellStart"/>
      <w:r w:rsidR="000D5F24" w:rsidRPr="00956057">
        <w:rPr>
          <w:rFonts w:asciiTheme="majorBidi" w:hAnsiTheme="majorBidi" w:cstheme="majorBidi"/>
          <w:sz w:val="24"/>
          <w:szCs w:val="24"/>
        </w:rPr>
        <w:t>peptididyl</w:t>
      </w:r>
      <w:proofErr w:type="spellEnd"/>
      <w:r w:rsidR="000D5F24" w:rsidRPr="00956057">
        <w:rPr>
          <w:rFonts w:asciiTheme="majorBidi" w:hAnsiTheme="majorBidi" w:cstheme="majorBidi"/>
          <w:sz w:val="24"/>
          <w:szCs w:val="24"/>
        </w:rPr>
        <w:t xml:space="preserve"> arginine deaminases, resulting in the synthesis of citrulline and the development of </w:t>
      </w:r>
      <w:r w:rsidR="004357D5" w:rsidRPr="00956057">
        <w:rPr>
          <w:rFonts w:asciiTheme="majorBidi" w:hAnsiTheme="majorBidi" w:cstheme="majorBidi"/>
          <w:sz w:val="24"/>
          <w:szCs w:val="24"/>
        </w:rPr>
        <w:t>self-induced</w:t>
      </w:r>
      <w:r w:rsidR="000D5F24" w:rsidRPr="00956057">
        <w:rPr>
          <w:rFonts w:asciiTheme="majorBidi" w:hAnsiTheme="majorBidi" w:cstheme="majorBidi"/>
          <w:sz w:val="24"/>
          <w:szCs w:val="24"/>
        </w:rPr>
        <w:t xml:space="preserve"> </w:t>
      </w:r>
      <w:r w:rsidR="004357D5" w:rsidRPr="00956057">
        <w:rPr>
          <w:rFonts w:asciiTheme="majorBidi" w:hAnsiTheme="majorBidi" w:cstheme="majorBidi"/>
          <w:sz w:val="24"/>
          <w:szCs w:val="24"/>
        </w:rPr>
        <w:t>inflammation and synovial damage (</w:t>
      </w:r>
      <w:r w:rsidR="000D5F24" w:rsidRPr="00956057">
        <w:rPr>
          <w:rFonts w:asciiTheme="majorBidi" w:hAnsiTheme="majorBidi" w:cstheme="majorBidi"/>
          <w:sz w:val="24"/>
          <w:szCs w:val="24"/>
        </w:rPr>
        <w:t xml:space="preserve">Curran </w:t>
      </w:r>
      <w:r w:rsidR="000D5F24" w:rsidRPr="00956057">
        <w:rPr>
          <w:rFonts w:asciiTheme="majorBidi" w:hAnsiTheme="majorBidi" w:cstheme="majorBidi"/>
          <w:i/>
          <w:iCs/>
          <w:sz w:val="24"/>
          <w:szCs w:val="24"/>
        </w:rPr>
        <w:t>et al</w:t>
      </w:r>
      <w:r w:rsidR="000D5F24" w:rsidRPr="00956057">
        <w:rPr>
          <w:rFonts w:asciiTheme="majorBidi" w:hAnsiTheme="majorBidi" w:cstheme="majorBidi"/>
          <w:sz w:val="24"/>
          <w:szCs w:val="24"/>
        </w:rPr>
        <w:t xml:space="preserve">., 2020; Scherer </w:t>
      </w:r>
      <w:r w:rsidR="000D5F24" w:rsidRPr="00956057">
        <w:rPr>
          <w:rFonts w:asciiTheme="majorBidi" w:hAnsiTheme="majorBidi" w:cstheme="majorBidi"/>
          <w:i/>
          <w:iCs/>
          <w:sz w:val="24"/>
          <w:szCs w:val="24"/>
        </w:rPr>
        <w:t>et al</w:t>
      </w:r>
      <w:r w:rsidR="000D5F24" w:rsidRPr="00956057">
        <w:rPr>
          <w:rFonts w:asciiTheme="majorBidi" w:hAnsiTheme="majorBidi" w:cstheme="majorBidi"/>
          <w:sz w:val="24"/>
          <w:szCs w:val="24"/>
        </w:rPr>
        <w:t>., 2020).</w:t>
      </w:r>
      <w:r w:rsidR="00C20CA0" w:rsidRPr="00956057">
        <w:rPr>
          <w:rFonts w:asciiTheme="majorBidi" w:hAnsiTheme="majorBidi" w:cstheme="majorBidi"/>
          <w:sz w:val="24"/>
          <w:szCs w:val="24"/>
        </w:rPr>
        <w:t xml:space="preserve"> I</w:t>
      </w:r>
      <w:r w:rsidR="004357D5" w:rsidRPr="00956057">
        <w:rPr>
          <w:rFonts w:asciiTheme="majorBidi" w:hAnsiTheme="majorBidi" w:cstheme="majorBidi"/>
          <w:sz w:val="24"/>
          <w:szCs w:val="24"/>
        </w:rPr>
        <w:t xml:space="preserve">t has been </w:t>
      </w:r>
      <w:r w:rsidR="004357D5" w:rsidRPr="00956057">
        <w:rPr>
          <w:rFonts w:asciiTheme="majorBidi" w:hAnsiTheme="majorBidi" w:cstheme="majorBidi"/>
          <w:sz w:val="24"/>
          <w:szCs w:val="24"/>
        </w:rPr>
        <w:lastRenderedPageBreak/>
        <w:t>demonstrated that the innate immune system has an important role in triggering an overly reactive adaptive immune response, which significantly play role in the development and progression of rheumatoid arthritis (RA) (</w:t>
      </w:r>
      <w:proofErr w:type="spellStart"/>
      <w:r w:rsidR="004357D5" w:rsidRPr="00956057">
        <w:rPr>
          <w:rFonts w:asciiTheme="majorBidi" w:hAnsiTheme="majorBidi" w:cstheme="majorBidi"/>
          <w:sz w:val="24"/>
          <w:szCs w:val="24"/>
        </w:rPr>
        <w:t>Edilova</w:t>
      </w:r>
      <w:proofErr w:type="spellEnd"/>
      <w:r w:rsidR="004357D5" w:rsidRPr="00956057">
        <w:rPr>
          <w:rFonts w:asciiTheme="majorBidi" w:hAnsiTheme="majorBidi" w:cstheme="majorBidi"/>
          <w:sz w:val="24"/>
          <w:szCs w:val="24"/>
        </w:rPr>
        <w:t xml:space="preserve"> </w:t>
      </w:r>
      <w:r w:rsidR="004357D5" w:rsidRPr="00956057">
        <w:rPr>
          <w:rFonts w:asciiTheme="majorBidi" w:hAnsiTheme="majorBidi" w:cstheme="majorBidi"/>
          <w:i/>
          <w:iCs/>
          <w:sz w:val="24"/>
          <w:szCs w:val="24"/>
        </w:rPr>
        <w:t>et al</w:t>
      </w:r>
      <w:r w:rsidR="004357D5" w:rsidRPr="00956057">
        <w:rPr>
          <w:rFonts w:asciiTheme="majorBidi" w:hAnsiTheme="majorBidi" w:cstheme="majorBidi"/>
          <w:sz w:val="24"/>
          <w:szCs w:val="24"/>
        </w:rPr>
        <w:t xml:space="preserve">., 2021; Fang </w:t>
      </w:r>
      <w:r w:rsidR="004357D5" w:rsidRPr="00956057">
        <w:rPr>
          <w:rFonts w:asciiTheme="majorBidi" w:hAnsiTheme="majorBidi" w:cstheme="majorBidi"/>
          <w:i/>
          <w:iCs/>
          <w:sz w:val="24"/>
          <w:szCs w:val="24"/>
        </w:rPr>
        <w:t>et al</w:t>
      </w:r>
      <w:r w:rsidR="004357D5" w:rsidRPr="00956057">
        <w:rPr>
          <w:rFonts w:asciiTheme="majorBidi" w:hAnsiTheme="majorBidi" w:cstheme="majorBidi"/>
          <w:sz w:val="24"/>
          <w:szCs w:val="24"/>
        </w:rPr>
        <w:t>., 2020).</w:t>
      </w:r>
      <w:r w:rsidR="004357D5" w:rsidRPr="00956057">
        <w:rPr>
          <w:rFonts w:asciiTheme="majorBidi" w:hAnsiTheme="majorBidi" w:cstheme="majorBidi"/>
          <w:sz w:val="24"/>
          <w:szCs w:val="24"/>
          <w:lang w:val="en-GB"/>
        </w:rPr>
        <w:t xml:space="preserve"> </w:t>
      </w:r>
      <w:r w:rsidR="004357D5" w:rsidRPr="00956057">
        <w:rPr>
          <w:rFonts w:asciiTheme="majorBidi" w:hAnsiTheme="majorBidi" w:cstheme="majorBidi"/>
          <w:sz w:val="24"/>
          <w:szCs w:val="24"/>
        </w:rPr>
        <w:t>While the exact cause and pathophysiology of RA remain unclear, autoimmune, genetic, and</w:t>
      </w:r>
      <w:r w:rsidR="00C20CA0" w:rsidRPr="00956057">
        <w:rPr>
          <w:rFonts w:asciiTheme="majorBidi" w:hAnsiTheme="majorBidi" w:cstheme="majorBidi"/>
          <w:sz w:val="24"/>
          <w:szCs w:val="24"/>
        </w:rPr>
        <w:t xml:space="preserve"> </w:t>
      </w:r>
      <w:proofErr w:type="spellStart"/>
      <w:r w:rsidR="00C20CA0" w:rsidRPr="00956057">
        <w:rPr>
          <w:rFonts w:asciiTheme="majorBidi" w:hAnsiTheme="majorBidi" w:cstheme="majorBidi"/>
          <w:sz w:val="24"/>
          <w:szCs w:val="24"/>
        </w:rPr>
        <w:t>enviromental</w:t>
      </w:r>
      <w:proofErr w:type="spellEnd"/>
      <w:r w:rsidR="004357D5" w:rsidRPr="00956057">
        <w:rPr>
          <w:rFonts w:asciiTheme="majorBidi" w:hAnsiTheme="majorBidi" w:cstheme="majorBidi"/>
          <w:sz w:val="24"/>
          <w:szCs w:val="24"/>
        </w:rPr>
        <w:t xml:space="preserve"> factors are believed to be significant contributors to RA susceptibility (Karami </w:t>
      </w:r>
      <w:r w:rsidR="004357D5" w:rsidRPr="00956057">
        <w:rPr>
          <w:rFonts w:asciiTheme="majorBidi" w:hAnsiTheme="majorBidi" w:cstheme="majorBidi"/>
          <w:i/>
          <w:iCs/>
          <w:sz w:val="24"/>
          <w:szCs w:val="24"/>
        </w:rPr>
        <w:t>et al</w:t>
      </w:r>
      <w:r w:rsidR="004357D5" w:rsidRPr="00956057">
        <w:rPr>
          <w:rFonts w:asciiTheme="majorBidi" w:hAnsiTheme="majorBidi" w:cstheme="majorBidi"/>
          <w:sz w:val="24"/>
          <w:szCs w:val="24"/>
        </w:rPr>
        <w:t>., 2019).</w:t>
      </w:r>
      <w:r w:rsidR="00F44621" w:rsidRPr="00956057">
        <w:rPr>
          <w:rFonts w:asciiTheme="majorBidi" w:hAnsiTheme="majorBidi" w:cstheme="majorBidi"/>
          <w:sz w:val="24"/>
          <w:szCs w:val="24"/>
        </w:rPr>
        <w:t xml:space="preserve"> Psychiatric conditions appear to have a particularly interesting link with RA</w:t>
      </w:r>
      <w:r w:rsidR="00F44621" w:rsidRPr="00956057">
        <w:rPr>
          <w:rFonts w:asciiTheme="majorBidi" w:hAnsiTheme="majorBidi" w:cstheme="majorBidi"/>
          <w:sz w:val="24"/>
          <w:szCs w:val="24"/>
          <w:rtl/>
        </w:rPr>
        <w:t xml:space="preserve"> </w:t>
      </w:r>
      <w:r w:rsidR="00F44621" w:rsidRPr="00956057">
        <w:rPr>
          <w:rFonts w:asciiTheme="majorBidi" w:hAnsiTheme="majorBidi" w:cstheme="majorBidi"/>
          <w:sz w:val="24"/>
          <w:szCs w:val="24"/>
        </w:rPr>
        <w:t xml:space="preserve">an association between post-traumatic stress disorder and an increased risk of RA has been described in both men (Boscarino, 2004) and women (Lee </w:t>
      </w:r>
      <w:r w:rsidR="00F44621" w:rsidRPr="00956057">
        <w:rPr>
          <w:rFonts w:asciiTheme="majorBidi" w:hAnsiTheme="majorBidi" w:cstheme="majorBidi"/>
          <w:i/>
          <w:iCs/>
          <w:sz w:val="24"/>
          <w:szCs w:val="24"/>
        </w:rPr>
        <w:t>et al</w:t>
      </w:r>
      <w:r w:rsidR="00F44621" w:rsidRPr="00956057">
        <w:rPr>
          <w:rFonts w:asciiTheme="majorBidi" w:hAnsiTheme="majorBidi" w:cstheme="majorBidi"/>
          <w:sz w:val="24"/>
          <w:szCs w:val="24"/>
        </w:rPr>
        <w:t>., 2015</w:t>
      </w:r>
      <w:r w:rsidR="00C20CA0" w:rsidRPr="00956057">
        <w:rPr>
          <w:rFonts w:asciiTheme="majorBidi" w:hAnsiTheme="majorBidi" w:cstheme="majorBidi"/>
          <w:sz w:val="24"/>
          <w:szCs w:val="24"/>
        </w:rPr>
        <w:t xml:space="preserve">; </w:t>
      </w:r>
      <w:proofErr w:type="spellStart"/>
      <w:r w:rsidR="00C20CA0" w:rsidRPr="00956057">
        <w:rPr>
          <w:rFonts w:asciiTheme="majorBidi" w:hAnsiTheme="majorBidi" w:cstheme="majorBidi"/>
          <w:sz w:val="24"/>
          <w:szCs w:val="24"/>
        </w:rPr>
        <w:t>Solyman</w:t>
      </w:r>
      <w:proofErr w:type="spellEnd"/>
      <w:r w:rsidR="00C20CA0" w:rsidRPr="00956057">
        <w:rPr>
          <w:rFonts w:asciiTheme="majorBidi" w:hAnsiTheme="majorBidi" w:cstheme="majorBidi"/>
          <w:sz w:val="24"/>
          <w:szCs w:val="24"/>
        </w:rPr>
        <w:t xml:space="preserve"> </w:t>
      </w:r>
      <w:r w:rsidR="00C20CA0" w:rsidRPr="00956057">
        <w:rPr>
          <w:rFonts w:asciiTheme="majorBidi" w:hAnsiTheme="majorBidi" w:cstheme="majorBidi"/>
          <w:i/>
          <w:iCs/>
          <w:sz w:val="24"/>
          <w:szCs w:val="24"/>
        </w:rPr>
        <w:t>et al</w:t>
      </w:r>
      <w:r w:rsidR="00C20CA0" w:rsidRPr="00956057">
        <w:rPr>
          <w:rFonts w:asciiTheme="majorBidi" w:hAnsiTheme="majorBidi" w:cstheme="majorBidi"/>
          <w:sz w:val="24"/>
          <w:szCs w:val="24"/>
        </w:rPr>
        <w:t>., 2025</w:t>
      </w:r>
      <w:r w:rsidR="00F44621" w:rsidRPr="00956057">
        <w:rPr>
          <w:rFonts w:asciiTheme="majorBidi" w:hAnsiTheme="majorBidi" w:cstheme="majorBidi"/>
          <w:sz w:val="24"/>
          <w:szCs w:val="24"/>
        </w:rPr>
        <w:t>). The management of RA requires a multifaceted approach, encompassing pharmacological interventions such as disease-modifying antirheumatic drugs (DMARDs) and non-pharmacological strategies to alleviate symptoms and slow disease progression.</w:t>
      </w:r>
      <w:r w:rsidR="00E34AEF" w:rsidRPr="00956057">
        <w:rPr>
          <w:rFonts w:asciiTheme="majorBidi" w:hAnsiTheme="majorBidi" w:cstheme="majorBidi"/>
          <w:sz w:val="24"/>
          <w:szCs w:val="24"/>
        </w:rPr>
        <w:t xml:space="preserve"> </w:t>
      </w:r>
    </w:p>
    <w:p w14:paraId="05537C3E" w14:textId="77777777" w:rsidR="00AD270A" w:rsidRDefault="00AD270A" w:rsidP="00E8060F">
      <w:pPr>
        <w:spacing w:after="0" w:line="240" w:lineRule="auto"/>
        <w:jc w:val="both"/>
        <w:rPr>
          <w:rFonts w:asciiTheme="majorBidi" w:hAnsiTheme="majorBidi" w:cstheme="majorBidi"/>
          <w:b/>
          <w:bCs/>
          <w:sz w:val="28"/>
          <w:szCs w:val="28"/>
        </w:rPr>
      </w:pPr>
    </w:p>
    <w:p w14:paraId="4A44C5E8" w14:textId="16A7C8EC" w:rsidR="00E34AEF" w:rsidRPr="00956057" w:rsidRDefault="00AD270A" w:rsidP="00E8060F">
      <w:pPr>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Aim</w:t>
      </w:r>
    </w:p>
    <w:p w14:paraId="5421E574" w14:textId="00474C3F" w:rsidR="006D2391" w:rsidRPr="00956057" w:rsidRDefault="00E34AEF" w:rsidP="00E8060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This study seeks to evaluate the severity and daily patterns of joint pain and stiffness in patients, identify the joints most commonly affected, assess comorbidities associated with rheumatoid arthritis (RA), analyze changes in body weight before and after diagnosis, explore potential environmental triggers, and examine the psychological and emotional effects of the disease on patients.</w:t>
      </w:r>
    </w:p>
    <w:p w14:paraId="1DE2C0D9" w14:textId="77777777" w:rsidR="00E8060F" w:rsidRPr="00956057" w:rsidRDefault="00E8060F" w:rsidP="00E8060F">
      <w:pPr>
        <w:spacing w:after="0" w:line="240" w:lineRule="auto"/>
        <w:jc w:val="both"/>
        <w:rPr>
          <w:rFonts w:asciiTheme="majorBidi" w:hAnsiTheme="majorBidi" w:cstheme="majorBidi"/>
          <w:b/>
          <w:bCs/>
          <w:sz w:val="28"/>
          <w:szCs w:val="28"/>
        </w:rPr>
      </w:pPr>
    </w:p>
    <w:p w14:paraId="2C636028" w14:textId="2495B237" w:rsidR="00C15D40" w:rsidRPr="00956057" w:rsidRDefault="00C15D40" w:rsidP="00E8060F">
      <w:pPr>
        <w:spacing w:after="0" w:line="240" w:lineRule="auto"/>
        <w:jc w:val="both"/>
        <w:rPr>
          <w:rFonts w:asciiTheme="majorBidi" w:hAnsiTheme="majorBidi" w:cstheme="majorBidi"/>
          <w:b/>
          <w:bCs/>
          <w:sz w:val="28"/>
          <w:szCs w:val="28"/>
        </w:rPr>
      </w:pPr>
      <w:r w:rsidRPr="00956057">
        <w:rPr>
          <w:rFonts w:asciiTheme="majorBidi" w:hAnsiTheme="majorBidi" w:cstheme="majorBidi"/>
          <w:b/>
          <w:bCs/>
          <w:sz w:val="28"/>
          <w:szCs w:val="28"/>
        </w:rPr>
        <w:t xml:space="preserve">Material and Methods </w:t>
      </w:r>
    </w:p>
    <w:p w14:paraId="64B6783D" w14:textId="7B6C9932" w:rsidR="007F719A" w:rsidRPr="00956057" w:rsidRDefault="007F719A" w:rsidP="00E8060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 xml:space="preserve">The study utilized a cross-sectional survey design and data was collected from local hospitals and clinics. As this survey had covered Benghazi city and its suburbs, the data was collected through face-to-face questionnaire from 301 participants. The study was conducted after ethical approval was taken. The data collection was stated from February to May, 2024. The target population for this cross-sectional study was adults aged 18 years and older who diagnosed with rheumatoid arthritis by a certified rheumatologist regardless of residency within Benghazi, Libya or not. Individuals with other forms of arthritis that are not classified as rheumatoid arthritis are included in this study. Informed consent was the part of face-to-face questionnaire and only participants who were voluntarily willing to participate completed the questionnaire. </w:t>
      </w:r>
    </w:p>
    <w:p w14:paraId="1DB542BA" w14:textId="4A1F0FA1" w:rsidR="007F719A" w:rsidRPr="00956057" w:rsidRDefault="007F719A" w:rsidP="00E8060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 xml:space="preserve">A self-prepared questionnaire was used to collect data from participants. It includes both closed ended questions, such as yes/no and multiple-choice, and open-ended questions to capture detailed responses. The questionnaire was divided into sections covering demographics, medical history, family history, lifestyle factors, symptoms, mental health disorders, treatment history, and laboratory test results. Statistical software such as SPSS </w:t>
      </w:r>
      <w:r w:rsidR="00C15D40" w:rsidRPr="00956057">
        <w:rPr>
          <w:rFonts w:asciiTheme="majorBidi" w:hAnsiTheme="majorBidi" w:cstheme="majorBidi"/>
          <w:sz w:val="24"/>
          <w:szCs w:val="24"/>
        </w:rPr>
        <w:t>was</w:t>
      </w:r>
      <w:r w:rsidRPr="00956057">
        <w:rPr>
          <w:rFonts w:asciiTheme="majorBidi" w:hAnsiTheme="majorBidi" w:cstheme="majorBidi"/>
          <w:sz w:val="24"/>
          <w:szCs w:val="24"/>
        </w:rPr>
        <w:t xml:space="preserve"> used to perform the necessary analyses. Data entry </w:t>
      </w:r>
      <w:r w:rsidR="00C15D40" w:rsidRPr="00956057">
        <w:rPr>
          <w:rFonts w:asciiTheme="majorBidi" w:hAnsiTheme="majorBidi" w:cstheme="majorBidi"/>
          <w:sz w:val="24"/>
          <w:szCs w:val="24"/>
        </w:rPr>
        <w:t>was</w:t>
      </w:r>
      <w:r w:rsidRPr="00956057">
        <w:rPr>
          <w:rFonts w:asciiTheme="majorBidi" w:hAnsiTheme="majorBidi" w:cstheme="majorBidi"/>
          <w:sz w:val="24"/>
          <w:szCs w:val="24"/>
        </w:rPr>
        <w:t xml:space="preserve"> managed using software like Excel to ensure accurate and organized recording of survey responses.</w:t>
      </w:r>
    </w:p>
    <w:p w14:paraId="5211642D" w14:textId="77777777" w:rsidR="00E8060F" w:rsidRPr="00956057" w:rsidRDefault="00E8060F" w:rsidP="00E8060F">
      <w:pPr>
        <w:spacing w:after="0" w:line="240" w:lineRule="auto"/>
        <w:jc w:val="both"/>
        <w:rPr>
          <w:rFonts w:asciiTheme="majorBidi" w:hAnsiTheme="majorBidi" w:cstheme="majorBidi"/>
          <w:sz w:val="24"/>
          <w:szCs w:val="24"/>
        </w:rPr>
      </w:pPr>
    </w:p>
    <w:p w14:paraId="06DD289C" w14:textId="1F0D08A5" w:rsidR="007F719A" w:rsidRPr="00956057" w:rsidRDefault="00C15D40" w:rsidP="00E8060F">
      <w:pPr>
        <w:spacing w:after="0" w:line="240" w:lineRule="auto"/>
        <w:jc w:val="both"/>
        <w:rPr>
          <w:rFonts w:asciiTheme="majorBidi" w:hAnsiTheme="majorBidi" w:cstheme="majorBidi"/>
          <w:b/>
          <w:bCs/>
          <w:sz w:val="28"/>
          <w:szCs w:val="28"/>
        </w:rPr>
      </w:pPr>
      <w:r w:rsidRPr="00956057">
        <w:rPr>
          <w:rFonts w:asciiTheme="majorBidi" w:hAnsiTheme="majorBidi" w:cstheme="majorBidi"/>
          <w:b/>
          <w:bCs/>
          <w:sz w:val="28"/>
          <w:szCs w:val="28"/>
        </w:rPr>
        <w:t>Results</w:t>
      </w:r>
    </w:p>
    <w:p w14:paraId="7A6D88CC" w14:textId="00A30A7F" w:rsidR="004A1DBC" w:rsidRPr="00956057" w:rsidRDefault="004A1DBC" w:rsidP="00E8060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lang w:val="en-GB"/>
        </w:rPr>
        <w:t>To assess the severity of joint pain and stiffness experienced by RA patients throughout the day.</w:t>
      </w:r>
    </w:p>
    <w:p w14:paraId="780AFE8F" w14:textId="64E06B99" w:rsidR="00115E18" w:rsidRPr="00956057" w:rsidRDefault="005851CC" w:rsidP="00E8060F">
      <w:pPr>
        <w:spacing w:after="0" w:line="240" w:lineRule="auto"/>
        <w:jc w:val="both"/>
        <w:rPr>
          <w:rFonts w:asciiTheme="majorBidi" w:hAnsiTheme="majorBidi" w:cstheme="majorBidi"/>
          <w:sz w:val="24"/>
          <w:szCs w:val="24"/>
        </w:rPr>
      </w:pPr>
      <w:r w:rsidRPr="00956057">
        <w:rPr>
          <w:rFonts w:ascii="Arial" w:hAnsi="Arial"/>
          <w:b/>
          <w:bCs/>
          <w:noProof/>
          <w:sz w:val="24"/>
          <w:szCs w:val="24"/>
          <w:lang w:val="en-GB" w:eastAsia="en-GB"/>
        </w:rPr>
        <w:lastRenderedPageBreak/>
        <w:drawing>
          <wp:anchor distT="0" distB="0" distL="114300" distR="114300" simplePos="0" relativeHeight="251659264" behindDoc="1" locked="0" layoutInCell="1" allowOverlap="1" wp14:anchorId="56DB5EA8" wp14:editId="12A44B6C">
            <wp:simplePos x="0" y="0"/>
            <wp:positionH relativeFrom="margin">
              <wp:posOffset>147148</wp:posOffset>
            </wp:positionH>
            <wp:positionV relativeFrom="paragraph">
              <wp:posOffset>1303892</wp:posOffset>
            </wp:positionV>
            <wp:extent cx="5486400" cy="2743200"/>
            <wp:effectExtent l="0" t="0" r="0" b="0"/>
            <wp:wrapTight wrapText="bothSides">
              <wp:wrapPolygon edited="0">
                <wp:start x="0" y="0"/>
                <wp:lineTo x="0" y="21450"/>
                <wp:lineTo x="21525" y="21450"/>
                <wp:lineTo x="21525" y="0"/>
                <wp:lineTo x="0" y="0"/>
              </wp:wrapPolygon>
            </wp:wrapTight>
            <wp:docPr id="1036" name="صورة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صورة 20"/>
                    <pic:cNvPicPr/>
                  </pic:nvPicPr>
                  <pic:blipFill>
                    <a:blip r:embed="rId7" cstate="print"/>
                    <a:srcRect/>
                    <a:stretch/>
                  </pic:blipFill>
                  <pic:spPr>
                    <a:xfrm>
                      <a:off x="0" y="0"/>
                      <a:ext cx="5486400" cy="2743200"/>
                    </a:xfrm>
                    <a:prstGeom prst="rect">
                      <a:avLst/>
                    </a:prstGeom>
                  </pic:spPr>
                </pic:pic>
              </a:graphicData>
            </a:graphic>
            <wp14:sizeRelH relativeFrom="margin">
              <wp14:pctWidth>0</wp14:pctWidth>
            </wp14:sizeRelH>
            <wp14:sizeRelV relativeFrom="margin">
              <wp14:pctHeight>0</wp14:pctHeight>
            </wp14:sizeRelV>
          </wp:anchor>
        </w:drawing>
      </w:r>
      <w:r w:rsidR="004A1DBC" w:rsidRPr="00956057">
        <w:rPr>
          <w:rFonts w:asciiTheme="majorBidi" w:hAnsiTheme="majorBidi" w:cstheme="majorBidi"/>
          <w:sz w:val="24"/>
          <w:szCs w:val="24"/>
        </w:rPr>
        <w:t>The most prevalent symptom reported by patients was pain and joint stiffness that worsened in the morning, affecting 43.9% (n = 132) of the participants. This was followed by 27.9% (n = 84) of patients who experienced pain throughout the entire day. Equal proportions of patients 10% (n = 30) reported either experiencing discomfort that subsided with movement or a general loss of comfort. Pain occurring predominantly at night was noted by 5.6% (n = 17) of the participants, while the smallest proportion, 2.7% (n = 8), represented those who did not report any pain or stiffness symptoms (</w:t>
      </w:r>
      <w:r w:rsidR="004A1DBC" w:rsidRPr="00956057">
        <w:rPr>
          <w:rFonts w:asciiTheme="majorBidi" w:hAnsiTheme="majorBidi" w:cstheme="majorBidi"/>
          <w:b/>
          <w:bCs/>
          <w:sz w:val="24"/>
          <w:szCs w:val="24"/>
        </w:rPr>
        <w:t>Figure 1</w:t>
      </w:r>
      <w:r w:rsidR="004A1DBC" w:rsidRPr="00956057">
        <w:rPr>
          <w:rFonts w:asciiTheme="majorBidi" w:hAnsiTheme="majorBidi" w:cstheme="majorBidi"/>
          <w:sz w:val="24"/>
          <w:szCs w:val="24"/>
        </w:rPr>
        <w:t>).</w:t>
      </w:r>
    </w:p>
    <w:p w14:paraId="5EB06250" w14:textId="5EABBB97" w:rsidR="004A1DBC" w:rsidRPr="00956057" w:rsidRDefault="00882063" w:rsidP="00E34AEF">
      <w:pPr>
        <w:spacing w:after="0" w:line="240" w:lineRule="auto"/>
        <w:jc w:val="center"/>
        <w:rPr>
          <w:rFonts w:asciiTheme="majorBidi" w:hAnsiTheme="majorBidi" w:cstheme="majorBidi"/>
          <w:sz w:val="24"/>
          <w:szCs w:val="24"/>
          <w:lang w:val="en-GB"/>
        </w:rPr>
      </w:pPr>
      <w:r w:rsidRPr="00956057">
        <w:rPr>
          <w:rFonts w:asciiTheme="majorBidi" w:hAnsiTheme="majorBidi" w:cstheme="majorBidi"/>
          <w:b/>
          <w:bCs/>
          <w:sz w:val="24"/>
          <w:szCs w:val="24"/>
        </w:rPr>
        <w:t>Figure 1:</w:t>
      </w:r>
      <w:r w:rsidRPr="00956057">
        <w:rPr>
          <w:rFonts w:asciiTheme="majorBidi" w:hAnsiTheme="majorBidi" w:cstheme="majorBidi"/>
          <w:sz w:val="24"/>
          <w:szCs w:val="24"/>
        </w:rPr>
        <w:t xml:space="preserve"> The severity of joint pain and stiffness experienced by RA patients.</w:t>
      </w:r>
      <w:r w:rsidR="00E8060F" w:rsidRPr="00956057">
        <w:rPr>
          <w:rFonts w:asciiTheme="majorBidi" w:hAnsiTheme="majorBidi" w:cstheme="majorBidi"/>
          <w:sz w:val="24"/>
          <w:szCs w:val="24"/>
        </w:rPr>
        <w:t xml:space="preserve"> </w:t>
      </w:r>
    </w:p>
    <w:p w14:paraId="686FE6A6" w14:textId="77777777" w:rsidR="00115E18" w:rsidRPr="00956057" w:rsidRDefault="00115E18" w:rsidP="00E8060F">
      <w:pPr>
        <w:spacing w:after="0" w:line="240" w:lineRule="auto"/>
        <w:jc w:val="center"/>
        <w:rPr>
          <w:rFonts w:asciiTheme="majorBidi" w:hAnsiTheme="majorBidi" w:cstheme="majorBidi"/>
          <w:sz w:val="24"/>
          <w:szCs w:val="24"/>
          <w:lang w:val="en-GB"/>
        </w:rPr>
      </w:pPr>
    </w:p>
    <w:p w14:paraId="0715A5A5" w14:textId="6DC47AE1" w:rsidR="004A1DBC" w:rsidRPr="00956057" w:rsidRDefault="004A1DBC" w:rsidP="00E8060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In our study of patients with rheumatoid arthritis (RA), we assessed the primary joints affected by the disease. The results show that the most commonly impacted joints are the hands, knees, and shoulders, with 80.4%, 72.4%, and 68.4% of patients reporting symptoms in these areas, respectively. Additionally, the wrists and ankles are frequently involved, with 60.5% and 66.1% of patients affected. Elbow involvement was reported by 55.1% of patients. Notably, hip involvement was the least prevalent, affecting only 39.9% of patients. These findings underscore the high frequency of joint impact in the upper and lower extremities, particularly the hands, knees, and shoulders, while hip involvement appears to be less common among RA patients (</w:t>
      </w:r>
      <w:r w:rsidRPr="00956057">
        <w:rPr>
          <w:rFonts w:asciiTheme="majorBidi" w:hAnsiTheme="majorBidi" w:cstheme="majorBidi"/>
          <w:b/>
          <w:bCs/>
          <w:sz w:val="24"/>
          <w:szCs w:val="24"/>
        </w:rPr>
        <w:t xml:space="preserve">Figure </w:t>
      </w:r>
      <w:r w:rsidR="00882063" w:rsidRPr="00956057">
        <w:rPr>
          <w:rFonts w:asciiTheme="majorBidi" w:hAnsiTheme="majorBidi" w:cstheme="majorBidi"/>
          <w:b/>
          <w:bCs/>
          <w:sz w:val="24"/>
          <w:szCs w:val="24"/>
        </w:rPr>
        <w:t>2</w:t>
      </w:r>
      <w:r w:rsidRPr="00956057">
        <w:rPr>
          <w:rFonts w:asciiTheme="majorBidi" w:hAnsiTheme="majorBidi" w:cstheme="majorBidi"/>
          <w:sz w:val="24"/>
          <w:szCs w:val="24"/>
        </w:rPr>
        <w:t>).</w:t>
      </w:r>
    </w:p>
    <w:p w14:paraId="3465E0AA" w14:textId="57D98951" w:rsidR="004A1DBC" w:rsidRPr="00956057" w:rsidRDefault="00715CC2" w:rsidP="00E8060F">
      <w:pPr>
        <w:spacing w:after="0" w:line="240" w:lineRule="auto"/>
        <w:jc w:val="both"/>
        <w:rPr>
          <w:rFonts w:asciiTheme="majorBidi" w:hAnsiTheme="majorBidi" w:cstheme="majorBidi"/>
          <w:sz w:val="24"/>
          <w:szCs w:val="24"/>
        </w:rPr>
      </w:pPr>
      <w:r w:rsidRPr="00956057">
        <w:rPr>
          <w:rFonts w:ascii="Arial" w:hAnsi="Arial"/>
          <w:b/>
          <w:bCs/>
          <w:noProof/>
          <w:lang w:val="en-GB" w:eastAsia="en-GB"/>
        </w:rPr>
        <w:lastRenderedPageBreak/>
        <w:drawing>
          <wp:anchor distT="0" distB="0" distL="114300" distR="114300" simplePos="0" relativeHeight="251661312" behindDoc="1" locked="0" layoutInCell="1" allowOverlap="1" wp14:anchorId="3336BBCC" wp14:editId="1BD1052E">
            <wp:simplePos x="0" y="0"/>
            <wp:positionH relativeFrom="margin">
              <wp:posOffset>232410</wp:posOffset>
            </wp:positionH>
            <wp:positionV relativeFrom="paragraph">
              <wp:posOffset>178435</wp:posOffset>
            </wp:positionV>
            <wp:extent cx="5486400" cy="2743200"/>
            <wp:effectExtent l="0" t="0" r="0" b="0"/>
            <wp:wrapTight wrapText="bothSides">
              <wp:wrapPolygon edited="0">
                <wp:start x="0" y="0"/>
                <wp:lineTo x="0" y="21450"/>
                <wp:lineTo x="21525" y="21450"/>
                <wp:lineTo x="21525" y="0"/>
                <wp:lineTo x="0" y="0"/>
              </wp:wrapPolygon>
            </wp:wrapTight>
            <wp:docPr id="1043" name="صورة 1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صورة 1032"/>
                    <pic:cNvPicPr/>
                  </pic:nvPicPr>
                  <pic:blipFill>
                    <a:blip r:embed="rId8" cstate="print"/>
                    <a:srcRect/>
                    <a:stretch/>
                  </pic:blipFill>
                  <pic:spPr>
                    <a:xfrm>
                      <a:off x="0" y="0"/>
                      <a:ext cx="5486400" cy="2743200"/>
                    </a:xfrm>
                    <a:prstGeom prst="rect">
                      <a:avLst/>
                    </a:prstGeom>
                  </pic:spPr>
                </pic:pic>
              </a:graphicData>
            </a:graphic>
            <wp14:sizeRelH relativeFrom="margin">
              <wp14:pctWidth>0</wp14:pctWidth>
            </wp14:sizeRelH>
            <wp14:sizeRelV relativeFrom="margin">
              <wp14:pctHeight>0</wp14:pctHeight>
            </wp14:sizeRelV>
          </wp:anchor>
        </w:drawing>
      </w:r>
    </w:p>
    <w:p w14:paraId="20A22296" w14:textId="75FDEB0E" w:rsidR="004A1DBC" w:rsidRPr="00956057" w:rsidRDefault="00882063" w:rsidP="00E34AEF">
      <w:pPr>
        <w:spacing w:after="0" w:line="240" w:lineRule="auto"/>
        <w:jc w:val="center"/>
        <w:rPr>
          <w:rFonts w:asciiTheme="majorBidi" w:hAnsiTheme="majorBidi" w:cstheme="majorBidi"/>
          <w:sz w:val="24"/>
          <w:szCs w:val="24"/>
        </w:rPr>
      </w:pPr>
      <w:r w:rsidRPr="00956057">
        <w:rPr>
          <w:rFonts w:asciiTheme="majorBidi" w:hAnsiTheme="majorBidi" w:cstheme="majorBidi"/>
          <w:b/>
          <w:bCs/>
          <w:noProof/>
          <w:sz w:val="24"/>
          <w:szCs w:val="24"/>
        </w:rPr>
        <w:t>Figure 2:</w:t>
      </w:r>
      <w:r w:rsidRPr="00956057">
        <w:rPr>
          <w:rFonts w:asciiTheme="majorBidi" w:hAnsiTheme="majorBidi" w:cstheme="majorBidi"/>
          <w:noProof/>
          <w:sz w:val="24"/>
          <w:szCs w:val="24"/>
        </w:rPr>
        <w:t xml:space="preserve"> Joints that are primarily impacted by RA.</w:t>
      </w:r>
    </w:p>
    <w:p w14:paraId="2D087053" w14:textId="609B1E9E" w:rsidR="005851CC" w:rsidRPr="00956057" w:rsidRDefault="005851CC" w:rsidP="00E8060F">
      <w:pPr>
        <w:spacing w:after="0" w:line="240" w:lineRule="auto"/>
        <w:jc w:val="both"/>
        <w:rPr>
          <w:rFonts w:asciiTheme="majorBidi" w:hAnsiTheme="majorBidi" w:cstheme="majorBidi"/>
          <w:sz w:val="24"/>
          <w:szCs w:val="24"/>
          <w:lang w:val="en-GB"/>
        </w:rPr>
      </w:pPr>
    </w:p>
    <w:p w14:paraId="3DCB1714" w14:textId="75121283" w:rsidR="004A1DBC" w:rsidRPr="00956057" w:rsidRDefault="004A1DBC" w:rsidP="00E8060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 xml:space="preserve">As shown in </w:t>
      </w:r>
      <w:r w:rsidRPr="00956057">
        <w:rPr>
          <w:rFonts w:asciiTheme="majorBidi" w:hAnsiTheme="majorBidi" w:cstheme="majorBidi"/>
          <w:b/>
          <w:bCs/>
          <w:sz w:val="24"/>
          <w:szCs w:val="24"/>
        </w:rPr>
        <w:t xml:space="preserve">figure </w:t>
      </w:r>
      <w:r w:rsidR="00882063" w:rsidRPr="00956057">
        <w:rPr>
          <w:rFonts w:asciiTheme="majorBidi" w:hAnsiTheme="majorBidi" w:cstheme="majorBidi"/>
          <w:b/>
          <w:bCs/>
          <w:sz w:val="24"/>
          <w:szCs w:val="24"/>
        </w:rPr>
        <w:t>3</w:t>
      </w:r>
      <w:r w:rsidRPr="00956057">
        <w:rPr>
          <w:rFonts w:asciiTheme="majorBidi" w:hAnsiTheme="majorBidi" w:cstheme="majorBidi"/>
          <w:sz w:val="24"/>
          <w:szCs w:val="24"/>
        </w:rPr>
        <w:t>, our study of RA survivors, we examined the prevalence of various comorbidities and observed a notable incidence of chronic medical conditions. Hypertension was the most prevalent comorbidity, affecting 27.2% (n = 82) of patients. Diabetes mellitus (MD) was the second most common, observed in 19.6% (n = 59) of the cohort. Hypothyroidism (HT) followed, with a prevalence of 10% (n = 30). Additionally, 8.3% (n = 25) of patients experienced sinus infections (SI), while systemic lupus erythematosus (SLE) was present in 9% (n = 27) of the sample. Asthma and cardiovascular disease (CVD) were less frequent, affecting 5% (n = 15) and 4% (n = 12) of patients, respectively. These findings highlight the substantial burden of comorbidities in RA patients, with hypertension and diabetes representing significant contributors to the overall morbidity profile in this population</w:t>
      </w:r>
    </w:p>
    <w:p w14:paraId="174B8EEF" w14:textId="505E19B6" w:rsidR="00F95B1E" w:rsidRPr="00956057" w:rsidRDefault="00967FD1" w:rsidP="00E8060F">
      <w:pPr>
        <w:spacing w:after="0" w:line="240" w:lineRule="auto"/>
        <w:jc w:val="both"/>
        <w:rPr>
          <w:rFonts w:asciiTheme="majorBidi" w:hAnsiTheme="majorBidi" w:cstheme="majorBidi"/>
          <w:sz w:val="24"/>
          <w:szCs w:val="24"/>
        </w:rPr>
      </w:pPr>
      <w:r w:rsidRPr="00956057">
        <w:rPr>
          <w:rFonts w:ascii="Arial" w:hAnsi="Arial"/>
          <w:noProof/>
          <w:sz w:val="24"/>
          <w:szCs w:val="24"/>
          <w:lang w:val="en-GB" w:eastAsia="en-GB"/>
        </w:rPr>
        <w:drawing>
          <wp:anchor distT="0" distB="0" distL="114300" distR="114300" simplePos="0" relativeHeight="251663360" behindDoc="1" locked="0" layoutInCell="1" allowOverlap="1" wp14:anchorId="493FB715" wp14:editId="7FB20367">
            <wp:simplePos x="0" y="0"/>
            <wp:positionH relativeFrom="column">
              <wp:posOffset>379709</wp:posOffset>
            </wp:positionH>
            <wp:positionV relativeFrom="paragraph">
              <wp:posOffset>110253</wp:posOffset>
            </wp:positionV>
            <wp:extent cx="5160645" cy="2859405"/>
            <wp:effectExtent l="0" t="0" r="1905" b="0"/>
            <wp:wrapTight wrapText="bothSides">
              <wp:wrapPolygon edited="0">
                <wp:start x="0" y="0"/>
                <wp:lineTo x="0" y="21442"/>
                <wp:lineTo x="21528" y="21442"/>
                <wp:lineTo x="21528" y="0"/>
                <wp:lineTo x="0" y="0"/>
              </wp:wrapPolygon>
            </wp:wrapTight>
            <wp:docPr id="1039" name="صورة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صورة 17"/>
                    <pic:cNvPicPr/>
                  </pic:nvPicPr>
                  <pic:blipFill>
                    <a:blip r:embed="rId9" cstate="print"/>
                    <a:srcRect/>
                    <a:stretch/>
                  </pic:blipFill>
                  <pic:spPr>
                    <a:xfrm>
                      <a:off x="0" y="0"/>
                      <a:ext cx="5160645" cy="2859405"/>
                    </a:xfrm>
                    <a:prstGeom prst="rect">
                      <a:avLst/>
                    </a:prstGeom>
                  </pic:spPr>
                </pic:pic>
              </a:graphicData>
            </a:graphic>
            <wp14:sizeRelH relativeFrom="margin">
              <wp14:pctWidth>0</wp14:pctWidth>
            </wp14:sizeRelH>
            <wp14:sizeRelV relativeFrom="margin">
              <wp14:pctHeight>0</wp14:pctHeight>
            </wp14:sizeRelV>
          </wp:anchor>
        </w:drawing>
      </w:r>
    </w:p>
    <w:p w14:paraId="348195B2" w14:textId="6A589D50" w:rsidR="00F95B1E" w:rsidRPr="00956057" w:rsidRDefault="00F95B1E" w:rsidP="00E8060F">
      <w:pPr>
        <w:spacing w:after="0" w:line="240" w:lineRule="auto"/>
        <w:jc w:val="both"/>
        <w:rPr>
          <w:rFonts w:asciiTheme="majorBidi" w:hAnsiTheme="majorBidi" w:cstheme="majorBidi"/>
          <w:sz w:val="24"/>
          <w:szCs w:val="24"/>
        </w:rPr>
      </w:pPr>
    </w:p>
    <w:p w14:paraId="6497E31F" w14:textId="7A9EE05B" w:rsidR="00F95B1E" w:rsidRPr="00956057" w:rsidRDefault="00F95B1E" w:rsidP="00E8060F">
      <w:pPr>
        <w:spacing w:after="0" w:line="240" w:lineRule="auto"/>
        <w:jc w:val="both"/>
        <w:rPr>
          <w:rFonts w:asciiTheme="majorBidi" w:hAnsiTheme="majorBidi" w:cstheme="majorBidi"/>
          <w:sz w:val="24"/>
          <w:szCs w:val="24"/>
        </w:rPr>
      </w:pPr>
    </w:p>
    <w:p w14:paraId="078DAD8C" w14:textId="61478BD4" w:rsidR="00F95B1E" w:rsidRPr="00956057" w:rsidRDefault="00F95B1E" w:rsidP="00E8060F">
      <w:pPr>
        <w:spacing w:after="0" w:line="240" w:lineRule="auto"/>
        <w:jc w:val="both"/>
        <w:rPr>
          <w:rFonts w:asciiTheme="majorBidi" w:hAnsiTheme="majorBidi" w:cstheme="majorBidi"/>
          <w:sz w:val="24"/>
          <w:szCs w:val="24"/>
        </w:rPr>
      </w:pPr>
    </w:p>
    <w:p w14:paraId="10CC3828" w14:textId="05931ED7" w:rsidR="00F95B1E" w:rsidRPr="00956057" w:rsidRDefault="00F95B1E" w:rsidP="00E8060F">
      <w:pPr>
        <w:spacing w:after="0" w:line="240" w:lineRule="auto"/>
        <w:jc w:val="both"/>
        <w:rPr>
          <w:rFonts w:asciiTheme="majorBidi" w:hAnsiTheme="majorBidi" w:cstheme="majorBidi"/>
          <w:sz w:val="24"/>
          <w:szCs w:val="24"/>
        </w:rPr>
      </w:pPr>
    </w:p>
    <w:p w14:paraId="3E631615" w14:textId="7A5308C7" w:rsidR="00F95B1E" w:rsidRPr="00956057" w:rsidRDefault="00F95B1E" w:rsidP="00E8060F">
      <w:pPr>
        <w:spacing w:after="0" w:line="240" w:lineRule="auto"/>
        <w:jc w:val="both"/>
        <w:rPr>
          <w:rFonts w:asciiTheme="majorBidi" w:hAnsiTheme="majorBidi" w:cstheme="majorBidi"/>
          <w:sz w:val="24"/>
          <w:szCs w:val="24"/>
        </w:rPr>
      </w:pPr>
    </w:p>
    <w:p w14:paraId="5E84C2BC" w14:textId="262F9DA9" w:rsidR="00F95B1E" w:rsidRPr="00956057" w:rsidRDefault="00F95B1E" w:rsidP="00E8060F">
      <w:pPr>
        <w:spacing w:after="0" w:line="240" w:lineRule="auto"/>
        <w:jc w:val="both"/>
        <w:rPr>
          <w:rFonts w:asciiTheme="majorBidi" w:hAnsiTheme="majorBidi" w:cstheme="majorBidi"/>
          <w:sz w:val="24"/>
          <w:szCs w:val="24"/>
        </w:rPr>
      </w:pPr>
    </w:p>
    <w:p w14:paraId="0BC01D70" w14:textId="6435F846" w:rsidR="00F95B1E" w:rsidRPr="00956057" w:rsidRDefault="00F95B1E" w:rsidP="00E8060F">
      <w:pPr>
        <w:spacing w:after="0" w:line="240" w:lineRule="auto"/>
        <w:jc w:val="both"/>
        <w:rPr>
          <w:rFonts w:asciiTheme="majorBidi" w:hAnsiTheme="majorBidi" w:cstheme="majorBidi"/>
          <w:sz w:val="24"/>
          <w:szCs w:val="24"/>
        </w:rPr>
      </w:pPr>
    </w:p>
    <w:p w14:paraId="0582842D" w14:textId="7B1577A7" w:rsidR="00F95B1E" w:rsidRPr="00956057" w:rsidRDefault="00F95B1E" w:rsidP="00E8060F">
      <w:pPr>
        <w:spacing w:after="0" w:line="240" w:lineRule="auto"/>
        <w:jc w:val="both"/>
        <w:rPr>
          <w:rFonts w:asciiTheme="majorBidi" w:hAnsiTheme="majorBidi" w:cstheme="majorBidi"/>
          <w:sz w:val="24"/>
          <w:szCs w:val="24"/>
        </w:rPr>
      </w:pPr>
    </w:p>
    <w:p w14:paraId="019C428C" w14:textId="62B1B885" w:rsidR="00F95B1E" w:rsidRPr="00956057" w:rsidRDefault="00F95B1E" w:rsidP="00E8060F">
      <w:pPr>
        <w:spacing w:after="0" w:line="240" w:lineRule="auto"/>
        <w:jc w:val="both"/>
        <w:rPr>
          <w:rFonts w:asciiTheme="majorBidi" w:hAnsiTheme="majorBidi" w:cstheme="majorBidi"/>
          <w:sz w:val="24"/>
          <w:szCs w:val="24"/>
        </w:rPr>
      </w:pPr>
    </w:p>
    <w:p w14:paraId="5700A0FB" w14:textId="056009A1" w:rsidR="00F95B1E" w:rsidRPr="00956057" w:rsidRDefault="00F95B1E" w:rsidP="00E8060F">
      <w:pPr>
        <w:spacing w:after="0" w:line="240" w:lineRule="auto"/>
        <w:jc w:val="both"/>
        <w:rPr>
          <w:rFonts w:asciiTheme="majorBidi" w:hAnsiTheme="majorBidi" w:cstheme="majorBidi"/>
          <w:sz w:val="24"/>
          <w:szCs w:val="24"/>
        </w:rPr>
      </w:pPr>
    </w:p>
    <w:p w14:paraId="4031FDEF" w14:textId="77777777" w:rsidR="00967FD1" w:rsidRPr="00956057" w:rsidRDefault="00967FD1" w:rsidP="00E8060F">
      <w:pPr>
        <w:spacing w:after="0" w:line="240" w:lineRule="auto"/>
        <w:jc w:val="both"/>
        <w:rPr>
          <w:rFonts w:asciiTheme="majorBidi" w:hAnsiTheme="majorBidi" w:cstheme="majorBidi"/>
          <w:sz w:val="24"/>
          <w:szCs w:val="24"/>
        </w:rPr>
      </w:pPr>
    </w:p>
    <w:p w14:paraId="3D67764B" w14:textId="0E4535C2" w:rsidR="004A1DBC" w:rsidRPr="00956057" w:rsidRDefault="004A1DBC" w:rsidP="00E8060F">
      <w:pPr>
        <w:spacing w:after="0" w:line="240" w:lineRule="auto"/>
        <w:jc w:val="both"/>
        <w:rPr>
          <w:rFonts w:ascii="Arial" w:hAnsi="Arial"/>
          <w:noProof/>
        </w:rPr>
      </w:pPr>
    </w:p>
    <w:p w14:paraId="102C1E2F" w14:textId="46A110C8" w:rsidR="00F95B1E" w:rsidRPr="00956057" w:rsidRDefault="00F95B1E" w:rsidP="00E8060F">
      <w:pPr>
        <w:spacing w:after="0" w:line="240" w:lineRule="auto"/>
        <w:jc w:val="both"/>
        <w:rPr>
          <w:rFonts w:ascii="Arial" w:hAnsi="Arial"/>
          <w:noProof/>
        </w:rPr>
      </w:pPr>
    </w:p>
    <w:p w14:paraId="06D86090" w14:textId="77777777" w:rsidR="00F95B1E" w:rsidRPr="00956057" w:rsidRDefault="00F95B1E" w:rsidP="00E8060F">
      <w:pPr>
        <w:spacing w:after="0" w:line="240" w:lineRule="auto"/>
        <w:jc w:val="both"/>
        <w:rPr>
          <w:rFonts w:ascii="Arial" w:hAnsi="Arial"/>
          <w:noProof/>
        </w:rPr>
      </w:pPr>
    </w:p>
    <w:p w14:paraId="0D42CB92" w14:textId="76736ADC" w:rsidR="00715CC2" w:rsidRPr="00956057" w:rsidRDefault="00715CC2" w:rsidP="00E8060F">
      <w:pPr>
        <w:spacing w:after="0" w:line="240" w:lineRule="auto"/>
        <w:jc w:val="both"/>
        <w:rPr>
          <w:rFonts w:asciiTheme="majorBidi" w:hAnsiTheme="majorBidi" w:cstheme="majorBidi"/>
          <w:sz w:val="24"/>
          <w:szCs w:val="24"/>
          <w:lang w:val="en-GB"/>
        </w:rPr>
      </w:pPr>
    </w:p>
    <w:p w14:paraId="3356F0AA" w14:textId="7D4871EF" w:rsidR="004A1DBC" w:rsidRPr="00956057" w:rsidRDefault="00882063" w:rsidP="00E34AEF">
      <w:pPr>
        <w:spacing w:after="0" w:line="240" w:lineRule="auto"/>
        <w:jc w:val="center"/>
        <w:rPr>
          <w:rFonts w:asciiTheme="majorBidi" w:hAnsiTheme="majorBidi" w:cstheme="majorBidi"/>
          <w:sz w:val="24"/>
          <w:szCs w:val="24"/>
          <w:lang w:val="en-GB"/>
        </w:rPr>
      </w:pPr>
      <w:r w:rsidRPr="00956057">
        <w:rPr>
          <w:rFonts w:asciiTheme="majorBidi" w:hAnsiTheme="majorBidi" w:cstheme="majorBidi"/>
          <w:b/>
          <w:bCs/>
          <w:sz w:val="24"/>
          <w:szCs w:val="24"/>
        </w:rPr>
        <w:lastRenderedPageBreak/>
        <w:t xml:space="preserve">Figure </w:t>
      </w:r>
      <w:r w:rsidR="00D408EC" w:rsidRPr="00956057">
        <w:rPr>
          <w:rFonts w:asciiTheme="majorBidi" w:hAnsiTheme="majorBidi" w:cstheme="majorBidi"/>
          <w:b/>
          <w:bCs/>
          <w:sz w:val="24"/>
          <w:szCs w:val="24"/>
        </w:rPr>
        <w:t>3:</w:t>
      </w:r>
      <w:r w:rsidR="00D408EC" w:rsidRPr="00956057">
        <w:rPr>
          <w:rFonts w:asciiTheme="majorBidi" w:hAnsiTheme="majorBidi" w:cstheme="majorBidi"/>
          <w:sz w:val="24"/>
          <w:szCs w:val="24"/>
        </w:rPr>
        <w:t xml:space="preserve"> </w:t>
      </w:r>
      <w:r w:rsidRPr="00956057">
        <w:rPr>
          <w:rFonts w:asciiTheme="majorBidi" w:hAnsiTheme="majorBidi" w:cstheme="majorBidi"/>
          <w:sz w:val="24"/>
          <w:szCs w:val="24"/>
        </w:rPr>
        <w:t>The relationship between RA and other medical conditions.</w:t>
      </w:r>
      <w:r w:rsidR="00115E18" w:rsidRPr="00956057">
        <w:rPr>
          <w:rFonts w:asciiTheme="majorBidi" w:hAnsiTheme="majorBidi" w:cstheme="majorBidi"/>
          <w:sz w:val="24"/>
          <w:szCs w:val="24"/>
        </w:rPr>
        <w:t xml:space="preserve"> </w:t>
      </w:r>
    </w:p>
    <w:p w14:paraId="32E687B9" w14:textId="77777777" w:rsidR="00271C57" w:rsidRPr="00956057" w:rsidRDefault="00271C57" w:rsidP="00E8060F">
      <w:pPr>
        <w:spacing w:after="0" w:line="240" w:lineRule="auto"/>
        <w:jc w:val="both"/>
        <w:rPr>
          <w:rFonts w:asciiTheme="majorBidi" w:hAnsiTheme="majorBidi" w:cstheme="majorBidi"/>
          <w:sz w:val="24"/>
          <w:szCs w:val="24"/>
          <w:lang w:val="en-GB"/>
        </w:rPr>
      </w:pPr>
    </w:p>
    <w:p w14:paraId="4F39F3E6" w14:textId="61D491B4" w:rsidR="004A1DBC" w:rsidRPr="00956057" w:rsidRDefault="004A1DBC" w:rsidP="00E8060F">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The majority of patients, 41.5% (n = 122), had a body weight between 61-80 kg following their RA diagnosis. A further 30.6% (n = 90) weighed between 81-100 kg. The next group, 15.6% (n = 46), had a weight ranging from 41-60 kg. A smaller proportion, 9% (n = 26), had weights between 101-120 kg, while only 0.7% (n = 2) of patients were in the 121-140 kg range. A minimal 0.3% (n = 1) weighed between 20-40 kg. The dataset had 2.3% (n = 7) missing information, indicating incomplete data for a small portion of the 294 patients (</w:t>
      </w:r>
      <w:r w:rsidRPr="00956057">
        <w:rPr>
          <w:rFonts w:asciiTheme="majorBidi" w:hAnsiTheme="majorBidi" w:cstheme="majorBidi"/>
          <w:b/>
          <w:bCs/>
          <w:sz w:val="24"/>
          <w:szCs w:val="24"/>
        </w:rPr>
        <w:t xml:space="preserve">Figure </w:t>
      </w:r>
      <w:r w:rsidR="00D408EC" w:rsidRPr="00956057">
        <w:rPr>
          <w:rFonts w:asciiTheme="majorBidi" w:hAnsiTheme="majorBidi" w:cstheme="majorBidi"/>
          <w:b/>
          <w:bCs/>
          <w:sz w:val="24"/>
          <w:szCs w:val="24"/>
        </w:rPr>
        <w:t>4</w:t>
      </w:r>
      <w:r w:rsidRPr="00956057">
        <w:rPr>
          <w:rFonts w:asciiTheme="majorBidi" w:hAnsiTheme="majorBidi" w:cstheme="majorBidi"/>
          <w:sz w:val="24"/>
          <w:szCs w:val="24"/>
        </w:rPr>
        <w:t>).</w:t>
      </w:r>
    </w:p>
    <w:p w14:paraId="1E5A3136" w14:textId="146EA9EA" w:rsidR="004A1DBC" w:rsidRPr="00956057" w:rsidRDefault="00967FD1" w:rsidP="00E8060F">
      <w:pPr>
        <w:spacing w:after="0" w:line="240" w:lineRule="auto"/>
        <w:jc w:val="both"/>
        <w:rPr>
          <w:rFonts w:asciiTheme="majorBidi" w:hAnsiTheme="majorBidi" w:cstheme="majorBidi"/>
          <w:sz w:val="24"/>
          <w:szCs w:val="24"/>
        </w:rPr>
      </w:pPr>
      <w:r w:rsidRPr="00956057">
        <w:rPr>
          <w:rFonts w:ascii="Arial" w:hAnsi="Arial"/>
          <w:noProof/>
          <w:sz w:val="24"/>
          <w:szCs w:val="24"/>
          <w:lang w:val="en-GB" w:eastAsia="en-GB"/>
        </w:rPr>
        <w:drawing>
          <wp:anchor distT="0" distB="0" distL="114300" distR="114300" simplePos="0" relativeHeight="251665408" behindDoc="1" locked="0" layoutInCell="1" allowOverlap="1" wp14:anchorId="747933E5" wp14:editId="1E7AFF79">
            <wp:simplePos x="0" y="0"/>
            <wp:positionH relativeFrom="margin">
              <wp:posOffset>394970</wp:posOffset>
            </wp:positionH>
            <wp:positionV relativeFrom="paragraph">
              <wp:posOffset>106680</wp:posOffset>
            </wp:positionV>
            <wp:extent cx="5029200" cy="2743200"/>
            <wp:effectExtent l="0" t="0" r="0" b="0"/>
            <wp:wrapTight wrapText="bothSides">
              <wp:wrapPolygon edited="0">
                <wp:start x="0" y="0"/>
                <wp:lineTo x="0" y="21450"/>
                <wp:lineTo x="21518" y="21450"/>
                <wp:lineTo x="21518" y="0"/>
                <wp:lineTo x="0" y="0"/>
              </wp:wrapPolygon>
            </wp:wrapTight>
            <wp:docPr id="1040" name="صورة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صورة 19"/>
                    <pic:cNvPicPr/>
                  </pic:nvPicPr>
                  <pic:blipFill>
                    <a:blip r:embed="rId10" cstate="print"/>
                    <a:srcRect/>
                    <a:stretch/>
                  </pic:blipFill>
                  <pic:spPr>
                    <a:xfrm>
                      <a:off x="0" y="0"/>
                      <a:ext cx="5029200" cy="2743200"/>
                    </a:xfrm>
                    <a:prstGeom prst="rect">
                      <a:avLst/>
                    </a:prstGeom>
                  </pic:spPr>
                </pic:pic>
              </a:graphicData>
            </a:graphic>
            <wp14:sizeRelH relativeFrom="margin">
              <wp14:pctWidth>0</wp14:pctWidth>
            </wp14:sizeRelH>
            <wp14:sizeRelV relativeFrom="margin">
              <wp14:pctHeight>0</wp14:pctHeight>
            </wp14:sizeRelV>
          </wp:anchor>
        </w:drawing>
      </w:r>
    </w:p>
    <w:p w14:paraId="3FB72C9C" w14:textId="77777777" w:rsidR="00967FD1" w:rsidRPr="00956057" w:rsidRDefault="00967FD1" w:rsidP="00E8060F">
      <w:pPr>
        <w:spacing w:after="0" w:line="240" w:lineRule="auto"/>
        <w:jc w:val="both"/>
        <w:rPr>
          <w:rFonts w:asciiTheme="majorBidi" w:hAnsiTheme="majorBidi" w:cstheme="majorBidi"/>
          <w:sz w:val="24"/>
          <w:szCs w:val="24"/>
        </w:rPr>
      </w:pPr>
    </w:p>
    <w:p w14:paraId="6E94CCDD" w14:textId="77777777" w:rsidR="00967FD1" w:rsidRPr="00956057" w:rsidRDefault="00967FD1" w:rsidP="00E8060F">
      <w:pPr>
        <w:spacing w:after="0" w:line="240" w:lineRule="auto"/>
        <w:jc w:val="both"/>
        <w:rPr>
          <w:rFonts w:asciiTheme="majorBidi" w:hAnsiTheme="majorBidi" w:cstheme="majorBidi"/>
          <w:sz w:val="24"/>
          <w:szCs w:val="24"/>
        </w:rPr>
      </w:pPr>
    </w:p>
    <w:p w14:paraId="30F34B21" w14:textId="77777777" w:rsidR="00967FD1" w:rsidRPr="00956057" w:rsidRDefault="00967FD1" w:rsidP="00E8060F">
      <w:pPr>
        <w:spacing w:after="0" w:line="240" w:lineRule="auto"/>
        <w:jc w:val="both"/>
        <w:rPr>
          <w:rFonts w:asciiTheme="majorBidi" w:hAnsiTheme="majorBidi" w:cstheme="majorBidi"/>
          <w:sz w:val="24"/>
          <w:szCs w:val="24"/>
        </w:rPr>
      </w:pPr>
    </w:p>
    <w:p w14:paraId="1566ECFF" w14:textId="77777777" w:rsidR="00967FD1" w:rsidRPr="00956057" w:rsidRDefault="00967FD1" w:rsidP="00E8060F">
      <w:pPr>
        <w:spacing w:after="0" w:line="240" w:lineRule="auto"/>
        <w:jc w:val="both"/>
        <w:rPr>
          <w:rFonts w:asciiTheme="majorBidi" w:hAnsiTheme="majorBidi" w:cstheme="majorBidi"/>
          <w:sz w:val="24"/>
          <w:szCs w:val="24"/>
        </w:rPr>
      </w:pPr>
    </w:p>
    <w:p w14:paraId="687FED68" w14:textId="77777777" w:rsidR="00967FD1" w:rsidRPr="00956057" w:rsidRDefault="00967FD1" w:rsidP="00E8060F">
      <w:pPr>
        <w:spacing w:after="0" w:line="240" w:lineRule="auto"/>
        <w:jc w:val="both"/>
        <w:rPr>
          <w:rFonts w:asciiTheme="majorBidi" w:hAnsiTheme="majorBidi" w:cstheme="majorBidi"/>
          <w:sz w:val="24"/>
          <w:szCs w:val="24"/>
        </w:rPr>
      </w:pPr>
    </w:p>
    <w:p w14:paraId="00D12124" w14:textId="77777777" w:rsidR="00967FD1" w:rsidRPr="00956057" w:rsidRDefault="00967FD1" w:rsidP="00E8060F">
      <w:pPr>
        <w:spacing w:after="0" w:line="240" w:lineRule="auto"/>
        <w:jc w:val="both"/>
        <w:rPr>
          <w:rFonts w:asciiTheme="majorBidi" w:hAnsiTheme="majorBidi" w:cstheme="majorBidi"/>
          <w:sz w:val="24"/>
          <w:szCs w:val="24"/>
        </w:rPr>
      </w:pPr>
    </w:p>
    <w:p w14:paraId="4B475E11" w14:textId="77777777" w:rsidR="00967FD1" w:rsidRPr="00956057" w:rsidRDefault="00967FD1" w:rsidP="00E8060F">
      <w:pPr>
        <w:spacing w:after="0" w:line="240" w:lineRule="auto"/>
        <w:jc w:val="both"/>
        <w:rPr>
          <w:rFonts w:asciiTheme="majorBidi" w:hAnsiTheme="majorBidi" w:cstheme="majorBidi"/>
          <w:sz w:val="24"/>
          <w:szCs w:val="24"/>
        </w:rPr>
      </w:pPr>
    </w:p>
    <w:p w14:paraId="257A8FAA" w14:textId="77777777" w:rsidR="00967FD1" w:rsidRPr="00956057" w:rsidRDefault="00967FD1" w:rsidP="00E8060F">
      <w:pPr>
        <w:spacing w:after="0" w:line="240" w:lineRule="auto"/>
        <w:jc w:val="both"/>
        <w:rPr>
          <w:rFonts w:asciiTheme="majorBidi" w:hAnsiTheme="majorBidi" w:cstheme="majorBidi"/>
          <w:sz w:val="24"/>
          <w:szCs w:val="24"/>
        </w:rPr>
      </w:pPr>
    </w:p>
    <w:p w14:paraId="3CE26A4C" w14:textId="77777777" w:rsidR="00967FD1" w:rsidRPr="00956057" w:rsidRDefault="00967FD1" w:rsidP="00E8060F">
      <w:pPr>
        <w:spacing w:after="0" w:line="240" w:lineRule="auto"/>
        <w:jc w:val="both"/>
        <w:rPr>
          <w:rFonts w:asciiTheme="majorBidi" w:hAnsiTheme="majorBidi" w:cstheme="majorBidi"/>
          <w:sz w:val="24"/>
          <w:szCs w:val="24"/>
        </w:rPr>
      </w:pPr>
    </w:p>
    <w:p w14:paraId="163B44E3" w14:textId="77777777" w:rsidR="00967FD1" w:rsidRPr="00956057" w:rsidRDefault="00967FD1" w:rsidP="00E8060F">
      <w:pPr>
        <w:spacing w:after="0" w:line="240" w:lineRule="auto"/>
        <w:jc w:val="both"/>
        <w:rPr>
          <w:rFonts w:asciiTheme="majorBidi" w:hAnsiTheme="majorBidi" w:cstheme="majorBidi"/>
          <w:sz w:val="24"/>
          <w:szCs w:val="24"/>
        </w:rPr>
      </w:pPr>
    </w:p>
    <w:p w14:paraId="5BD650CF" w14:textId="77777777" w:rsidR="00967FD1" w:rsidRPr="00956057" w:rsidRDefault="00967FD1" w:rsidP="00E8060F">
      <w:pPr>
        <w:spacing w:after="0" w:line="240" w:lineRule="auto"/>
        <w:jc w:val="both"/>
        <w:rPr>
          <w:rFonts w:asciiTheme="majorBidi" w:hAnsiTheme="majorBidi" w:cstheme="majorBidi"/>
          <w:sz w:val="24"/>
          <w:szCs w:val="24"/>
        </w:rPr>
      </w:pPr>
    </w:p>
    <w:p w14:paraId="023C1AFF" w14:textId="77777777" w:rsidR="00967FD1" w:rsidRPr="00956057" w:rsidRDefault="00967FD1" w:rsidP="00E8060F">
      <w:pPr>
        <w:spacing w:after="0" w:line="240" w:lineRule="auto"/>
        <w:jc w:val="both"/>
        <w:rPr>
          <w:rFonts w:asciiTheme="majorBidi" w:hAnsiTheme="majorBidi" w:cstheme="majorBidi"/>
          <w:sz w:val="24"/>
          <w:szCs w:val="24"/>
        </w:rPr>
      </w:pPr>
    </w:p>
    <w:p w14:paraId="13244566" w14:textId="77777777" w:rsidR="00967FD1" w:rsidRPr="00956057" w:rsidRDefault="00967FD1" w:rsidP="00E8060F">
      <w:pPr>
        <w:spacing w:after="0" w:line="240" w:lineRule="auto"/>
        <w:jc w:val="both"/>
        <w:rPr>
          <w:rFonts w:asciiTheme="majorBidi" w:hAnsiTheme="majorBidi" w:cstheme="majorBidi"/>
          <w:sz w:val="24"/>
          <w:szCs w:val="24"/>
        </w:rPr>
      </w:pPr>
    </w:p>
    <w:p w14:paraId="68B3E2D2" w14:textId="77777777" w:rsidR="00967FD1" w:rsidRPr="00956057" w:rsidRDefault="00967FD1" w:rsidP="00E8060F">
      <w:pPr>
        <w:spacing w:after="0" w:line="240" w:lineRule="auto"/>
        <w:jc w:val="both"/>
        <w:rPr>
          <w:rFonts w:asciiTheme="majorBidi" w:hAnsiTheme="majorBidi" w:cstheme="majorBidi"/>
          <w:sz w:val="24"/>
          <w:szCs w:val="24"/>
        </w:rPr>
      </w:pPr>
    </w:p>
    <w:p w14:paraId="33958FD0" w14:textId="77777777" w:rsidR="00967FD1" w:rsidRPr="00956057" w:rsidRDefault="00967FD1" w:rsidP="00E8060F">
      <w:pPr>
        <w:spacing w:after="0" w:line="240" w:lineRule="auto"/>
        <w:jc w:val="both"/>
        <w:rPr>
          <w:rFonts w:asciiTheme="majorBidi" w:hAnsiTheme="majorBidi" w:cstheme="majorBidi"/>
          <w:sz w:val="24"/>
          <w:szCs w:val="24"/>
        </w:rPr>
      </w:pPr>
    </w:p>
    <w:p w14:paraId="1A7D0B45" w14:textId="77777777" w:rsidR="00967FD1" w:rsidRPr="00956057" w:rsidRDefault="00967FD1" w:rsidP="00E8060F">
      <w:pPr>
        <w:spacing w:after="0" w:line="240" w:lineRule="auto"/>
        <w:jc w:val="both"/>
        <w:rPr>
          <w:rFonts w:asciiTheme="majorBidi" w:hAnsiTheme="majorBidi" w:cstheme="majorBidi"/>
          <w:sz w:val="24"/>
          <w:szCs w:val="24"/>
        </w:rPr>
      </w:pPr>
    </w:p>
    <w:p w14:paraId="3D99C57C" w14:textId="16902B22" w:rsidR="004A1DBC" w:rsidRPr="00956057" w:rsidRDefault="00E34AEF" w:rsidP="00E34AEF">
      <w:pPr>
        <w:spacing w:after="0" w:line="240" w:lineRule="auto"/>
        <w:jc w:val="center"/>
        <w:rPr>
          <w:rFonts w:asciiTheme="majorBidi" w:hAnsiTheme="majorBidi" w:cstheme="majorBidi"/>
          <w:sz w:val="24"/>
          <w:szCs w:val="24"/>
        </w:rPr>
      </w:pPr>
      <w:r w:rsidRPr="00956057">
        <w:rPr>
          <w:rFonts w:asciiTheme="majorBidi" w:hAnsiTheme="majorBidi" w:cstheme="majorBidi"/>
          <w:b/>
          <w:bCs/>
          <w:sz w:val="24"/>
          <w:szCs w:val="24"/>
        </w:rPr>
        <w:t>Figure 4</w:t>
      </w:r>
      <w:r w:rsidR="00D408EC" w:rsidRPr="00956057">
        <w:rPr>
          <w:rFonts w:asciiTheme="majorBidi" w:hAnsiTheme="majorBidi" w:cstheme="majorBidi"/>
          <w:b/>
          <w:bCs/>
          <w:sz w:val="24"/>
          <w:szCs w:val="24"/>
        </w:rPr>
        <w:t>:</w:t>
      </w:r>
      <w:r w:rsidR="00D408EC" w:rsidRPr="00956057">
        <w:rPr>
          <w:rFonts w:asciiTheme="majorBidi" w:hAnsiTheme="majorBidi" w:cstheme="majorBidi"/>
          <w:sz w:val="24"/>
          <w:szCs w:val="24"/>
        </w:rPr>
        <w:t xml:space="preserve"> Post-RA diagnosis body weight distribution</w:t>
      </w:r>
    </w:p>
    <w:p w14:paraId="3702542F" w14:textId="60012743" w:rsidR="004A1DBC" w:rsidRPr="00956057" w:rsidRDefault="004A1DBC" w:rsidP="00E8060F">
      <w:pPr>
        <w:spacing w:after="0" w:line="240" w:lineRule="auto"/>
        <w:jc w:val="both"/>
        <w:rPr>
          <w:rFonts w:asciiTheme="majorBidi" w:hAnsiTheme="majorBidi" w:cstheme="majorBidi"/>
          <w:sz w:val="24"/>
          <w:szCs w:val="24"/>
          <w:lang w:val="en-GB"/>
        </w:rPr>
      </w:pPr>
    </w:p>
    <w:p w14:paraId="500CCA34" w14:textId="69E32D10" w:rsidR="004A1DBC" w:rsidRDefault="004A1DBC" w:rsidP="00271C57">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 xml:space="preserve">Weight change analysis before RA diagnosis, represented in </w:t>
      </w:r>
      <w:r w:rsidRPr="00956057">
        <w:rPr>
          <w:rFonts w:asciiTheme="majorBidi" w:hAnsiTheme="majorBidi" w:cstheme="majorBidi"/>
          <w:b/>
          <w:bCs/>
          <w:sz w:val="24"/>
          <w:szCs w:val="24"/>
        </w:rPr>
        <w:t xml:space="preserve">Figure </w:t>
      </w:r>
      <w:r w:rsidR="00271C57" w:rsidRPr="00956057">
        <w:rPr>
          <w:rFonts w:asciiTheme="majorBidi" w:hAnsiTheme="majorBidi" w:cstheme="majorBidi"/>
          <w:b/>
          <w:bCs/>
          <w:sz w:val="24"/>
          <w:szCs w:val="24"/>
        </w:rPr>
        <w:t>5</w:t>
      </w:r>
      <w:r w:rsidRPr="00956057">
        <w:rPr>
          <w:rFonts w:asciiTheme="majorBidi" w:hAnsiTheme="majorBidi" w:cstheme="majorBidi"/>
          <w:sz w:val="24"/>
          <w:szCs w:val="24"/>
        </w:rPr>
        <w:t>, shows that 35% (n = 106) of patients experienced weight loss after RA diagnosis, making it the most prevalent change. In contrast, 32% (n = 97) reported weight gain, and 33% (n = 98) remained weight-stable.</w:t>
      </w:r>
    </w:p>
    <w:p w14:paraId="4B44AC5B" w14:textId="77777777" w:rsidR="00AD270A" w:rsidRPr="00956057" w:rsidRDefault="00AD270A" w:rsidP="00271C57">
      <w:pPr>
        <w:spacing w:after="0" w:line="240" w:lineRule="auto"/>
        <w:jc w:val="both"/>
        <w:rPr>
          <w:rFonts w:asciiTheme="majorBidi" w:hAnsiTheme="majorBidi" w:cstheme="majorBidi"/>
          <w:sz w:val="24"/>
          <w:szCs w:val="24"/>
        </w:rPr>
      </w:pPr>
    </w:p>
    <w:p w14:paraId="7ECB5B5B" w14:textId="583C744F" w:rsidR="004A1DBC" w:rsidRPr="00956057" w:rsidRDefault="004A1DBC" w:rsidP="00E34AEF">
      <w:pPr>
        <w:spacing w:after="0" w:line="240" w:lineRule="auto"/>
        <w:jc w:val="center"/>
        <w:rPr>
          <w:rFonts w:asciiTheme="majorBidi" w:hAnsiTheme="majorBidi" w:cstheme="majorBidi"/>
          <w:sz w:val="24"/>
          <w:szCs w:val="24"/>
          <w:lang w:val="en-GB"/>
        </w:rPr>
      </w:pPr>
      <w:r w:rsidRPr="00956057">
        <w:rPr>
          <w:rFonts w:asciiTheme="majorBidi" w:hAnsiTheme="majorBidi" w:cstheme="majorBidi"/>
          <w:noProof/>
          <w:sz w:val="24"/>
          <w:szCs w:val="24"/>
          <w:lang w:val="en-GB" w:eastAsia="en-GB"/>
        </w:rPr>
        <w:drawing>
          <wp:inline distT="0" distB="0" distL="0" distR="0" wp14:anchorId="25A04E52" wp14:editId="0C321C54">
            <wp:extent cx="5385661" cy="2719070"/>
            <wp:effectExtent l="0" t="0" r="5715" b="5080"/>
            <wp:docPr id="105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3AD07B" w14:textId="66C121E5" w:rsidR="00D408EC" w:rsidRPr="00956057" w:rsidRDefault="00D408EC" w:rsidP="00271C57">
      <w:pPr>
        <w:spacing w:after="0" w:line="240" w:lineRule="auto"/>
        <w:jc w:val="center"/>
        <w:rPr>
          <w:rFonts w:asciiTheme="majorBidi" w:hAnsiTheme="majorBidi" w:cstheme="majorBidi"/>
          <w:noProof/>
          <w:sz w:val="24"/>
          <w:szCs w:val="24"/>
        </w:rPr>
      </w:pPr>
      <w:r w:rsidRPr="00956057">
        <w:rPr>
          <w:rFonts w:asciiTheme="majorBidi" w:hAnsiTheme="majorBidi" w:cstheme="majorBidi"/>
          <w:b/>
          <w:bCs/>
          <w:sz w:val="24"/>
          <w:szCs w:val="24"/>
        </w:rPr>
        <w:lastRenderedPageBreak/>
        <w:t>Figure</w:t>
      </w:r>
      <w:r w:rsidR="00271C57" w:rsidRPr="00956057">
        <w:rPr>
          <w:rFonts w:asciiTheme="majorBidi" w:hAnsiTheme="majorBidi" w:cstheme="majorBidi"/>
          <w:b/>
          <w:bCs/>
          <w:sz w:val="24"/>
          <w:szCs w:val="24"/>
        </w:rPr>
        <w:t xml:space="preserve"> 5</w:t>
      </w:r>
      <w:r w:rsidRPr="00956057">
        <w:rPr>
          <w:rFonts w:asciiTheme="majorBidi" w:hAnsiTheme="majorBidi" w:cstheme="majorBidi"/>
          <w:b/>
          <w:bCs/>
          <w:sz w:val="24"/>
          <w:szCs w:val="24"/>
        </w:rPr>
        <w:t>:</w:t>
      </w:r>
      <w:r w:rsidRPr="00956057">
        <w:rPr>
          <w:rFonts w:asciiTheme="majorBidi" w:hAnsiTheme="majorBidi" w:cstheme="majorBidi"/>
          <w:sz w:val="24"/>
          <w:szCs w:val="24"/>
        </w:rPr>
        <w:t xml:space="preserve"> Pre- RA diagnosis body weight changes.</w:t>
      </w:r>
    </w:p>
    <w:p w14:paraId="2246CD33" w14:textId="77777777" w:rsidR="00D408EC" w:rsidRPr="00956057" w:rsidRDefault="00D408EC" w:rsidP="00E8060F">
      <w:pPr>
        <w:spacing w:after="0" w:line="240" w:lineRule="auto"/>
        <w:jc w:val="both"/>
        <w:rPr>
          <w:rFonts w:asciiTheme="majorBidi" w:hAnsiTheme="majorBidi" w:cstheme="majorBidi"/>
          <w:sz w:val="24"/>
          <w:szCs w:val="24"/>
        </w:rPr>
      </w:pPr>
    </w:p>
    <w:p w14:paraId="6ECCEB71" w14:textId="7FA13C24" w:rsidR="004A1DBC" w:rsidRPr="00956057" w:rsidRDefault="004A1DBC" w:rsidP="00E8060F">
      <w:pPr>
        <w:spacing w:after="0" w:line="240" w:lineRule="auto"/>
        <w:jc w:val="both"/>
        <w:rPr>
          <w:rFonts w:asciiTheme="majorBidi" w:hAnsiTheme="majorBidi" w:cstheme="majorBidi"/>
          <w:noProof/>
          <w:sz w:val="24"/>
          <w:szCs w:val="24"/>
        </w:rPr>
      </w:pPr>
      <w:r w:rsidRPr="00956057">
        <w:rPr>
          <w:rFonts w:asciiTheme="majorBidi" w:hAnsiTheme="majorBidi" w:cstheme="majorBidi"/>
          <w:noProof/>
          <w:sz w:val="24"/>
          <w:szCs w:val="24"/>
        </w:rPr>
        <w:t>This comparison between pre- and post-diagnosis weights demonstrates a significant shift in body weight among RA patients, with a notable proportion experiencing weight reduction after diagnosis. The weight loss observed in 35% of patients may be attributed to RA-related inflammation, systemic effects, or treatment side effects, whereas the weight gain in 32% could be linked to corticosteroid use or reduced physical activity. The stability observed in 33% indicates that a substantial group maintained their pre-diagnosis weight despite the progression of RA, possibly due to lifestyle factors or balanced disease management strategies. These results underscore the variable impact of RA on body weight, suggesting that tailored interventions are necessary to manage both weight loss and gain in RA patients.</w:t>
      </w:r>
    </w:p>
    <w:p w14:paraId="6F647340" w14:textId="20C1007B" w:rsidR="004A1DBC" w:rsidRPr="00956057" w:rsidRDefault="004A1DBC" w:rsidP="00E8060F">
      <w:pPr>
        <w:spacing w:after="0" w:line="240" w:lineRule="auto"/>
        <w:jc w:val="both"/>
        <w:rPr>
          <w:rFonts w:asciiTheme="majorBidi" w:hAnsiTheme="majorBidi" w:cstheme="majorBidi"/>
          <w:sz w:val="24"/>
          <w:szCs w:val="24"/>
          <w:lang w:val="en-GB"/>
        </w:rPr>
      </w:pPr>
      <w:r w:rsidRPr="00956057">
        <w:rPr>
          <w:rFonts w:asciiTheme="majorBidi" w:hAnsiTheme="majorBidi" w:cstheme="majorBidi"/>
          <w:sz w:val="24"/>
          <w:szCs w:val="24"/>
          <w:lang w:val="en-GB"/>
        </w:rPr>
        <w:t>To identify environmental exposures that trigger or worsen RA symptoms.</w:t>
      </w:r>
    </w:p>
    <w:p w14:paraId="4C64091F" w14:textId="2347BAD4" w:rsidR="004A1DBC" w:rsidRPr="00956057" w:rsidRDefault="004A1DBC" w:rsidP="00271C57">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 xml:space="preserve">In our study of surveyed (RA) patients, we investigated the environmental factors that may trigger or exacerbate RA symptoms. The findings demonstrate that stress is the most significant environmental trigger, reported by 84.4% of the participants (n = 254). Exposure to environmental pollution and cold were also notable triggers, affecting 19.3% (n = 58) and 15.6% (n = 47) of participants, respectively. Detergent exposure was identified as the least common trigger, reported by only 2.3% (n = </w:t>
      </w:r>
      <w:bookmarkStart w:id="1" w:name="_Hlk180293492"/>
      <w:r w:rsidRPr="00956057">
        <w:rPr>
          <w:rFonts w:asciiTheme="majorBidi" w:hAnsiTheme="majorBidi" w:cstheme="majorBidi"/>
          <w:sz w:val="24"/>
          <w:szCs w:val="24"/>
        </w:rPr>
        <w:t>7) of the patients. These results highlight the importance of stress management and environmental exposure control in mitigating RA symptoms. (</w:t>
      </w:r>
      <w:r w:rsidRPr="00956057">
        <w:rPr>
          <w:rFonts w:asciiTheme="majorBidi" w:hAnsiTheme="majorBidi" w:cstheme="majorBidi"/>
          <w:b/>
          <w:bCs/>
          <w:sz w:val="24"/>
          <w:szCs w:val="24"/>
        </w:rPr>
        <w:t xml:space="preserve">Figure </w:t>
      </w:r>
      <w:r w:rsidR="00271C57" w:rsidRPr="00956057">
        <w:rPr>
          <w:rFonts w:asciiTheme="majorBidi" w:hAnsiTheme="majorBidi" w:cstheme="majorBidi"/>
          <w:b/>
          <w:bCs/>
          <w:sz w:val="24"/>
          <w:szCs w:val="24"/>
        </w:rPr>
        <w:t>6</w:t>
      </w:r>
      <w:r w:rsidRPr="00956057">
        <w:rPr>
          <w:rFonts w:asciiTheme="majorBidi" w:hAnsiTheme="majorBidi" w:cstheme="majorBidi"/>
          <w:sz w:val="24"/>
          <w:szCs w:val="24"/>
        </w:rPr>
        <w:t>).</w:t>
      </w:r>
    </w:p>
    <w:p w14:paraId="11D70CAB" w14:textId="77777777" w:rsidR="00271C57" w:rsidRPr="00956057" w:rsidRDefault="00271C57" w:rsidP="00271C57">
      <w:pPr>
        <w:spacing w:after="0" w:line="240" w:lineRule="auto"/>
        <w:jc w:val="both"/>
        <w:rPr>
          <w:rFonts w:asciiTheme="majorBidi" w:hAnsiTheme="majorBidi" w:cstheme="majorBidi"/>
          <w:sz w:val="24"/>
          <w:szCs w:val="24"/>
        </w:rPr>
      </w:pPr>
    </w:p>
    <w:p w14:paraId="5C993C0D" w14:textId="572E5A96" w:rsidR="004A1DBC" w:rsidRPr="00956057" w:rsidRDefault="004A1DBC" w:rsidP="00271C57">
      <w:pPr>
        <w:spacing w:after="0" w:line="240" w:lineRule="auto"/>
        <w:jc w:val="center"/>
        <w:rPr>
          <w:rFonts w:asciiTheme="majorBidi" w:hAnsiTheme="majorBidi" w:cstheme="majorBidi"/>
          <w:sz w:val="24"/>
          <w:szCs w:val="24"/>
        </w:rPr>
      </w:pPr>
      <w:r w:rsidRPr="00956057">
        <w:rPr>
          <w:rFonts w:asciiTheme="majorBidi" w:hAnsiTheme="majorBidi" w:cstheme="majorBidi"/>
          <w:noProof/>
          <w:sz w:val="24"/>
          <w:szCs w:val="24"/>
          <w:lang w:val="en-GB" w:eastAsia="en-GB"/>
        </w:rPr>
        <w:drawing>
          <wp:inline distT="0" distB="0" distL="0" distR="0" wp14:anchorId="36C422B3" wp14:editId="491076ED">
            <wp:extent cx="5612130" cy="2568736"/>
            <wp:effectExtent l="0" t="0" r="7620" b="3175"/>
            <wp:docPr id="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3C3904" w14:textId="54CBAA43" w:rsidR="004A1DBC" w:rsidRPr="00956057" w:rsidRDefault="00D408EC" w:rsidP="00271C57">
      <w:pPr>
        <w:spacing w:after="0" w:line="240" w:lineRule="auto"/>
        <w:jc w:val="center"/>
        <w:rPr>
          <w:rFonts w:asciiTheme="majorBidi" w:hAnsiTheme="majorBidi" w:cstheme="majorBidi"/>
          <w:sz w:val="24"/>
          <w:szCs w:val="24"/>
        </w:rPr>
      </w:pPr>
      <w:r w:rsidRPr="00956057">
        <w:rPr>
          <w:rFonts w:asciiTheme="majorBidi" w:hAnsiTheme="majorBidi" w:cstheme="majorBidi"/>
          <w:b/>
          <w:bCs/>
          <w:sz w:val="24"/>
          <w:szCs w:val="24"/>
        </w:rPr>
        <w:t xml:space="preserve">Figure </w:t>
      </w:r>
      <w:r w:rsidR="00271C57" w:rsidRPr="00956057">
        <w:rPr>
          <w:rFonts w:asciiTheme="majorBidi" w:hAnsiTheme="majorBidi" w:cstheme="majorBidi"/>
          <w:b/>
          <w:bCs/>
          <w:sz w:val="24"/>
          <w:szCs w:val="24"/>
        </w:rPr>
        <w:t>6</w:t>
      </w:r>
      <w:r w:rsidRPr="00956057">
        <w:rPr>
          <w:rFonts w:asciiTheme="majorBidi" w:hAnsiTheme="majorBidi" w:cstheme="majorBidi"/>
          <w:b/>
          <w:bCs/>
          <w:sz w:val="24"/>
          <w:szCs w:val="24"/>
        </w:rPr>
        <w:t>:</w:t>
      </w:r>
      <w:r w:rsidRPr="00956057">
        <w:rPr>
          <w:rFonts w:asciiTheme="majorBidi" w:hAnsiTheme="majorBidi" w:cstheme="majorBidi"/>
          <w:sz w:val="24"/>
          <w:szCs w:val="24"/>
        </w:rPr>
        <w:t xml:space="preserve"> Environmental exposures that trigger or intensify the manifestation of RA</w:t>
      </w:r>
      <w:bookmarkEnd w:id="1"/>
    </w:p>
    <w:p w14:paraId="2130A728" w14:textId="77777777" w:rsidR="00271C57" w:rsidRPr="00956057" w:rsidRDefault="00271C57" w:rsidP="00E8060F">
      <w:pPr>
        <w:spacing w:after="0" w:line="240" w:lineRule="auto"/>
        <w:jc w:val="both"/>
        <w:rPr>
          <w:rFonts w:asciiTheme="majorBidi" w:hAnsiTheme="majorBidi" w:cstheme="majorBidi"/>
          <w:sz w:val="24"/>
          <w:szCs w:val="24"/>
          <w:lang w:val="en-GB"/>
        </w:rPr>
      </w:pPr>
    </w:p>
    <w:p w14:paraId="7A56C431" w14:textId="0726D95B" w:rsidR="00D408EC" w:rsidRPr="00956057" w:rsidRDefault="008474E5" w:rsidP="00E8060F">
      <w:pPr>
        <w:spacing w:after="0" w:line="240" w:lineRule="auto"/>
        <w:jc w:val="both"/>
        <w:rPr>
          <w:rFonts w:asciiTheme="majorBidi" w:hAnsiTheme="majorBidi" w:cstheme="majorBidi"/>
          <w:sz w:val="24"/>
          <w:szCs w:val="24"/>
          <w:lang w:val="en-GB"/>
        </w:rPr>
      </w:pPr>
      <w:r w:rsidRPr="00956057">
        <w:rPr>
          <w:rFonts w:asciiTheme="majorBidi" w:hAnsiTheme="majorBidi" w:cstheme="majorBidi"/>
          <w:sz w:val="24"/>
          <w:szCs w:val="24"/>
          <w:lang w:val="en-GB"/>
        </w:rPr>
        <w:t>In our study of rheumatoid arthritis (RA) patients, we evaluated the impact of RA on emotional and psychological well-being. The data indicate that a significant proportion of patients, 70.4% (n = 212), reported experiencing emotional or psychological challenges such as depression, sadness, anxiety, and nervousness as a result of their condition. In contrast, 29.6% (n = 89) of patients reported no emotional or psychological impact. These findings emphasize the substantial emotional burden faced by RA patients, underscoring the need for comprehensive care that addresses both the physical and mental health aspects of the disease (</w:t>
      </w:r>
      <w:r w:rsidRPr="00956057">
        <w:rPr>
          <w:rFonts w:asciiTheme="majorBidi" w:hAnsiTheme="majorBidi" w:cstheme="majorBidi"/>
          <w:b/>
          <w:bCs/>
          <w:sz w:val="24"/>
          <w:szCs w:val="24"/>
          <w:lang w:val="en-GB"/>
        </w:rPr>
        <w:t xml:space="preserve">Figure </w:t>
      </w:r>
      <w:r w:rsidR="00271C57" w:rsidRPr="00956057">
        <w:rPr>
          <w:rFonts w:asciiTheme="majorBidi" w:hAnsiTheme="majorBidi" w:cstheme="majorBidi"/>
          <w:b/>
          <w:bCs/>
          <w:sz w:val="24"/>
          <w:szCs w:val="24"/>
          <w:lang w:val="en-GB"/>
        </w:rPr>
        <w:t>7</w:t>
      </w:r>
      <w:r w:rsidRPr="00956057">
        <w:rPr>
          <w:rFonts w:asciiTheme="majorBidi" w:hAnsiTheme="majorBidi" w:cstheme="majorBidi"/>
          <w:sz w:val="24"/>
          <w:szCs w:val="24"/>
          <w:lang w:val="en-GB"/>
        </w:rPr>
        <w:t>).</w:t>
      </w:r>
    </w:p>
    <w:p w14:paraId="4A46C398" w14:textId="77777777" w:rsidR="009213F9" w:rsidRPr="00956057" w:rsidRDefault="009213F9" w:rsidP="00E8060F">
      <w:pPr>
        <w:spacing w:after="0" w:line="240" w:lineRule="auto"/>
        <w:jc w:val="both"/>
        <w:rPr>
          <w:rFonts w:asciiTheme="majorBidi" w:hAnsiTheme="majorBidi" w:cstheme="majorBidi"/>
          <w:sz w:val="24"/>
          <w:szCs w:val="24"/>
          <w:lang w:val="en-GB"/>
        </w:rPr>
      </w:pPr>
    </w:p>
    <w:p w14:paraId="1854E106" w14:textId="13EB2EB9" w:rsidR="008474E5" w:rsidRPr="00956057" w:rsidRDefault="006D2391" w:rsidP="00271C57">
      <w:pPr>
        <w:spacing w:after="0" w:line="240" w:lineRule="auto"/>
        <w:jc w:val="center"/>
        <w:rPr>
          <w:rFonts w:asciiTheme="majorBidi" w:hAnsiTheme="majorBidi" w:cstheme="majorBidi"/>
          <w:sz w:val="24"/>
          <w:szCs w:val="24"/>
          <w:lang w:val="en-GB"/>
        </w:rPr>
      </w:pPr>
      <w:r w:rsidRPr="00956057">
        <w:rPr>
          <w:rFonts w:asciiTheme="majorBidi" w:hAnsiTheme="majorBidi" w:cstheme="majorBidi"/>
          <w:noProof/>
          <w:sz w:val="24"/>
          <w:szCs w:val="24"/>
          <w:lang w:val="en-GB" w:eastAsia="en-GB"/>
        </w:rPr>
        <w:lastRenderedPageBreak/>
        <w:drawing>
          <wp:inline distT="0" distB="0" distL="0" distR="0" wp14:anchorId="65FA0D21" wp14:editId="2AFE6222">
            <wp:extent cx="5439410" cy="2688956"/>
            <wp:effectExtent l="0" t="0" r="8890" b="16510"/>
            <wp:docPr id="105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B51D2D" w14:textId="77777777" w:rsidR="003A3E6F" w:rsidRPr="00956057" w:rsidRDefault="003A3E6F" w:rsidP="00E8060F">
      <w:pPr>
        <w:spacing w:after="0" w:line="240" w:lineRule="auto"/>
        <w:jc w:val="both"/>
        <w:rPr>
          <w:rFonts w:asciiTheme="majorBidi" w:hAnsiTheme="majorBidi" w:cstheme="majorBidi"/>
          <w:sz w:val="24"/>
          <w:szCs w:val="24"/>
        </w:rPr>
      </w:pPr>
    </w:p>
    <w:p w14:paraId="504EE8EF" w14:textId="75BD96ED" w:rsidR="00D408EC" w:rsidRPr="00956057" w:rsidRDefault="00271C57" w:rsidP="00271C57">
      <w:pPr>
        <w:spacing w:after="0" w:line="240" w:lineRule="auto"/>
        <w:jc w:val="center"/>
        <w:rPr>
          <w:rFonts w:asciiTheme="majorBidi" w:hAnsiTheme="majorBidi" w:cstheme="majorBidi"/>
          <w:sz w:val="24"/>
          <w:szCs w:val="24"/>
          <w:lang w:val="en-GB"/>
        </w:rPr>
      </w:pPr>
      <w:r w:rsidRPr="00956057">
        <w:rPr>
          <w:rFonts w:asciiTheme="majorBidi" w:hAnsiTheme="majorBidi" w:cstheme="majorBidi"/>
          <w:b/>
          <w:bCs/>
          <w:sz w:val="24"/>
          <w:szCs w:val="24"/>
        </w:rPr>
        <w:t>Figure 7</w:t>
      </w:r>
      <w:r w:rsidR="00D408EC" w:rsidRPr="00956057">
        <w:rPr>
          <w:rFonts w:asciiTheme="majorBidi" w:hAnsiTheme="majorBidi" w:cstheme="majorBidi"/>
          <w:b/>
          <w:bCs/>
          <w:sz w:val="24"/>
          <w:szCs w:val="24"/>
        </w:rPr>
        <w:t xml:space="preserve">: </w:t>
      </w:r>
      <w:r w:rsidR="00D408EC" w:rsidRPr="00956057">
        <w:rPr>
          <w:rFonts w:asciiTheme="majorBidi" w:hAnsiTheme="majorBidi" w:cstheme="majorBidi"/>
          <w:sz w:val="24"/>
          <w:szCs w:val="24"/>
        </w:rPr>
        <w:t>Impact of RA on patients' emotional wellness and psychological health</w:t>
      </w:r>
    </w:p>
    <w:p w14:paraId="01090B3F" w14:textId="77777777" w:rsidR="00271C57" w:rsidRPr="00956057" w:rsidRDefault="00271C57" w:rsidP="00E8060F">
      <w:pPr>
        <w:spacing w:after="0" w:line="240" w:lineRule="auto"/>
        <w:jc w:val="both"/>
        <w:rPr>
          <w:rFonts w:asciiTheme="majorBidi" w:hAnsiTheme="majorBidi" w:cstheme="majorBidi"/>
          <w:b/>
          <w:bCs/>
          <w:sz w:val="24"/>
          <w:szCs w:val="24"/>
          <w:lang w:val="en-GB"/>
        </w:rPr>
      </w:pPr>
    </w:p>
    <w:p w14:paraId="197DB6A9" w14:textId="0553F5CA" w:rsidR="008975A2" w:rsidRPr="00AD270A" w:rsidRDefault="00071E54" w:rsidP="00E8060F">
      <w:pPr>
        <w:spacing w:after="0" w:line="240" w:lineRule="auto"/>
        <w:jc w:val="both"/>
        <w:rPr>
          <w:rFonts w:asciiTheme="majorBidi" w:hAnsiTheme="majorBidi" w:cstheme="majorBidi"/>
          <w:b/>
          <w:bCs/>
          <w:sz w:val="28"/>
          <w:szCs w:val="28"/>
          <w:lang w:val="en-GB"/>
        </w:rPr>
      </w:pPr>
      <w:r w:rsidRPr="00AD270A">
        <w:rPr>
          <w:rFonts w:asciiTheme="majorBidi" w:hAnsiTheme="majorBidi" w:cstheme="majorBidi"/>
          <w:b/>
          <w:bCs/>
          <w:sz w:val="28"/>
          <w:szCs w:val="28"/>
          <w:lang w:val="en-GB"/>
        </w:rPr>
        <w:t xml:space="preserve">Discussion </w:t>
      </w:r>
    </w:p>
    <w:p w14:paraId="49A0DAF5" w14:textId="1E086F70" w:rsidR="00EF3927" w:rsidRPr="00956057" w:rsidRDefault="00EF3927" w:rsidP="000D12BD">
      <w:pPr>
        <w:spacing w:after="0" w:line="240" w:lineRule="auto"/>
        <w:jc w:val="both"/>
        <w:rPr>
          <w:rFonts w:asciiTheme="majorBidi" w:hAnsiTheme="majorBidi" w:cstheme="majorBidi"/>
          <w:sz w:val="24"/>
          <w:szCs w:val="24"/>
          <w:lang w:val="en-GB"/>
        </w:rPr>
      </w:pPr>
      <w:r w:rsidRPr="00956057">
        <w:rPr>
          <w:rFonts w:asciiTheme="majorBidi" w:hAnsiTheme="majorBidi" w:cstheme="majorBidi"/>
          <w:sz w:val="24"/>
          <w:szCs w:val="24"/>
        </w:rPr>
        <w:t xml:space="preserve">Clinically, Osteoarthritis (OA) usually affects the distal interphalangeal (DIP) joint, whereas RA mostly affects the proximal interphalangeal (PIP) and metacarpophalangeal (MP) joints. Since, clinical variations may lead to different diagnoses for RA and OA (Bullock </w:t>
      </w:r>
      <w:r w:rsidRPr="00956057">
        <w:rPr>
          <w:rFonts w:asciiTheme="majorBidi" w:hAnsiTheme="majorBidi" w:cstheme="majorBidi"/>
          <w:i/>
          <w:iCs/>
          <w:sz w:val="24"/>
          <w:szCs w:val="24"/>
        </w:rPr>
        <w:t>et al</w:t>
      </w:r>
      <w:r w:rsidRPr="00956057">
        <w:rPr>
          <w:rFonts w:asciiTheme="majorBidi" w:hAnsiTheme="majorBidi" w:cstheme="majorBidi"/>
          <w:sz w:val="24"/>
          <w:szCs w:val="24"/>
        </w:rPr>
        <w:t>., 2018).</w:t>
      </w:r>
      <w:r w:rsidR="00D82448" w:rsidRPr="00956057">
        <w:rPr>
          <w:rFonts w:asciiTheme="majorBidi" w:hAnsiTheme="majorBidi" w:cstheme="majorBidi"/>
          <w:sz w:val="24"/>
          <w:szCs w:val="24"/>
        </w:rPr>
        <w:t xml:space="preserve"> In addition, OA the most prevalent kind of arthritis, is not brought on by an inflammatory disease but rather by natural aging. The immune system, heart, or lungs are unaffected by it. Furthermore, RA is symmetrical, whereas OA often affects just one side of the body, patients with RA also vary in that their morning stiffness lasts for a minimum of sixty minutes. Likewise, our results demonstrated that pain and joint stiffness among patients in the morning period was highest at about 43.9%, followed by the whole day at 27.9%. Morning stiffness is common in patients with osteoarthritis, but it usually goes away or gets better after 20 to 30 minutes (McGonagle </w:t>
      </w:r>
      <w:r w:rsidR="00D82448" w:rsidRPr="00956057">
        <w:rPr>
          <w:rFonts w:asciiTheme="majorBidi" w:hAnsiTheme="majorBidi" w:cstheme="majorBidi"/>
          <w:i/>
          <w:iCs/>
          <w:sz w:val="24"/>
          <w:szCs w:val="24"/>
        </w:rPr>
        <w:t>et al</w:t>
      </w:r>
      <w:r w:rsidR="00D82448" w:rsidRPr="00956057">
        <w:rPr>
          <w:rFonts w:asciiTheme="majorBidi" w:hAnsiTheme="majorBidi" w:cstheme="majorBidi"/>
          <w:sz w:val="24"/>
          <w:szCs w:val="24"/>
        </w:rPr>
        <w:t xml:space="preserve">., 2014; Dasgupta &amp; </w:t>
      </w:r>
      <w:proofErr w:type="spellStart"/>
      <w:r w:rsidR="00D82448" w:rsidRPr="00956057">
        <w:rPr>
          <w:rFonts w:asciiTheme="majorBidi" w:hAnsiTheme="majorBidi" w:cstheme="majorBidi"/>
          <w:sz w:val="24"/>
          <w:szCs w:val="24"/>
        </w:rPr>
        <w:t>Koolaee</w:t>
      </w:r>
      <w:proofErr w:type="spellEnd"/>
      <w:r w:rsidR="00D82448" w:rsidRPr="00956057">
        <w:rPr>
          <w:rFonts w:asciiTheme="majorBidi" w:hAnsiTheme="majorBidi" w:cstheme="majorBidi"/>
          <w:sz w:val="24"/>
          <w:szCs w:val="24"/>
        </w:rPr>
        <w:t xml:space="preserve">., 2016). Rheumatoid arthritis (RA) is defined as a systemic autoimmune pathology associated with a chronic inflammatory process, which can damage both joints and extra-articular organs, including the heart, kidney, lung, digestive system, eye, skin and nervous system (Cojocaru </w:t>
      </w:r>
      <w:r w:rsidR="00D82448" w:rsidRPr="00956057">
        <w:rPr>
          <w:rFonts w:asciiTheme="majorBidi" w:hAnsiTheme="majorBidi" w:cstheme="majorBidi"/>
          <w:i/>
          <w:iCs/>
          <w:sz w:val="24"/>
          <w:szCs w:val="24"/>
        </w:rPr>
        <w:t>et al</w:t>
      </w:r>
      <w:r w:rsidR="00D82448" w:rsidRPr="00956057">
        <w:rPr>
          <w:rFonts w:asciiTheme="majorBidi" w:hAnsiTheme="majorBidi" w:cstheme="majorBidi"/>
          <w:sz w:val="24"/>
          <w:szCs w:val="24"/>
        </w:rPr>
        <w:t xml:space="preserve">., 2010; Conforti </w:t>
      </w:r>
      <w:r w:rsidR="00D82448" w:rsidRPr="00956057">
        <w:rPr>
          <w:rFonts w:asciiTheme="majorBidi" w:hAnsiTheme="majorBidi" w:cstheme="majorBidi"/>
          <w:i/>
          <w:iCs/>
          <w:sz w:val="24"/>
          <w:szCs w:val="24"/>
        </w:rPr>
        <w:t>et al</w:t>
      </w:r>
      <w:r w:rsidR="00D82448" w:rsidRPr="00956057">
        <w:rPr>
          <w:rFonts w:asciiTheme="majorBidi" w:hAnsiTheme="majorBidi" w:cstheme="majorBidi"/>
          <w:sz w:val="24"/>
          <w:szCs w:val="24"/>
        </w:rPr>
        <w:t xml:space="preserve">., 2020). Previous study, proposed that atopy and allergic diseases (such as asthma, allergic rhinitis, and atopic dermatitis) are negatively correlated with the risk of RA which is contrast with our study where we noticed that the minority of RA patients suffered from allergic diseases such as sinusitis (8.3%) and asthma (5%). Recent epidemiological research, however, refuted the hypothesis and showed that RA is becoming more common in allergic populations (Rolfes </w:t>
      </w:r>
      <w:r w:rsidR="00D82448" w:rsidRPr="00956057">
        <w:rPr>
          <w:rFonts w:asciiTheme="majorBidi" w:hAnsiTheme="majorBidi" w:cstheme="majorBidi"/>
          <w:i/>
          <w:iCs/>
          <w:sz w:val="24"/>
          <w:szCs w:val="24"/>
        </w:rPr>
        <w:t>et al</w:t>
      </w:r>
      <w:r w:rsidR="00D82448" w:rsidRPr="00956057">
        <w:rPr>
          <w:rFonts w:asciiTheme="majorBidi" w:hAnsiTheme="majorBidi" w:cstheme="majorBidi"/>
          <w:sz w:val="24"/>
          <w:szCs w:val="24"/>
        </w:rPr>
        <w:t xml:space="preserve">., 2017; Lai </w:t>
      </w:r>
      <w:r w:rsidR="00D82448" w:rsidRPr="00956057">
        <w:rPr>
          <w:rFonts w:asciiTheme="majorBidi" w:hAnsiTheme="majorBidi" w:cstheme="majorBidi"/>
          <w:i/>
          <w:iCs/>
          <w:sz w:val="24"/>
          <w:szCs w:val="24"/>
        </w:rPr>
        <w:t>et al</w:t>
      </w:r>
      <w:r w:rsidR="00D82448" w:rsidRPr="00956057">
        <w:rPr>
          <w:rFonts w:asciiTheme="majorBidi" w:hAnsiTheme="majorBidi" w:cstheme="majorBidi"/>
          <w:sz w:val="24"/>
          <w:szCs w:val="24"/>
        </w:rPr>
        <w:t>., 2015).</w:t>
      </w:r>
      <w:r w:rsidR="008534A9" w:rsidRPr="00956057">
        <w:rPr>
          <w:rFonts w:asciiTheme="majorBidi" w:hAnsiTheme="majorBidi" w:cstheme="majorBidi"/>
          <w:sz w:val="24"/>
          <w:szCs w:val="24"/>
        </w:rPr>
        <w:t xml:space="preserve"> Although multiple systems in the cardiac system have an impact on the progression of degenerative conditions, RA patients may have an increased risk of cardiovascular death (Roman &amp; Salmon, 2007). It might contain prognostic indications for diseases like hypertension and dyslipidemia (Baghdadi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2015). Because both RA and aging are associated with growing complications such as cardiovascular disease (CVD), likewise our results demonstrate that 27.2% of patients suffered from hypertension and only 4% suffered from cardiovascular disease (CVD). Infections, interstitial lung disease, and cancer, these factors will have a significant impact on worldwide RA care (Radu &amp; </w:t>
      </w:r>
      <w:proofErr w:type="spellStart"/>
      <w:r w:rsidR="008534A9" w:rsidRPr="00956057">
        <w:rPr>
          <w:rFonts w:asciiTheme="majorBidi" w:hAnsiTheme="majorBidi" w:cstheme="majorBidi"/>
          <w:sz w:val="24"/>
          <w:szCs w:val="24"/>
        </w:rPr>
        <w:t>Bungau</w:t>
      </w:r>
      <w:proofErr w:type="spellEnd"/>
      <w:r w:rsidR="008534A9" w:rsidRPr="00956057">
        <w:rPr>
          <w:rFonts w:asciiTheme="majorBidi" w:hAnsiTheme="majorBidi" w:cstheme="majorBidi"/>
          <w:sz w:val="24"/>
          <w:szCs w:val="24"/>
        </w:rPr>
        <w:t xml:space="preserve">, 2021). Different study done by, (Kronzer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2020) linked the acute and chronic respiratory disorders </w:t>
      </w:r>
      <w:r w:rsidR="008534A9" w:rsidRPr="00956057">
        <w:rPr>
          <w:rFonts w:asciiTheme="majorBidi" w:hAnsiTheme="majorBidi" w:cstheme="majorBidi"/>
          <w:sz w:val="24"/>
          <w:szCs w:val="24"/>
        </w:rPr>
        <w:lastRenderedPageBreak/>
        <w:t>that affect the upper or lower respiratory tract to a higher risk of both seropositive and seronegative RA. Similarly, our results revealed a correlation between diseases and RA as about 30.6% of patients had shortness of breath, 23.3% of them had chest pain while about</w:t>
      </w:r>
      <w:r w:rsidR="008534A9" w:rsidRPr="00956057">
        <w:rPr>
          <w:rFonts w:asciiTheme="majorBidi" w:hAnsiTheme="majorBidi" w:cstheme="majorBidi"/>
          <w:sz w:val="24"/>
          <w:szCs w:val="24"/>
          <w:rtl/>
        </w:rPr>
        <w:t xml:space="preserve"> </w:t>
      </w:r>
      <w:r w:rsidR="008534A9" w:rsidRPr="00956057">
        <w:rPr>
          <w:rFonts w:asciiTheme="majorBidi" w:hAnsiTheme="majorBidi" w:cstheme="majorBidi"/>
          <w:sz w:val="24"/>
          <w:szCs w:val="24"/>
        </w:rPr>
        <w:t xml:space="preserve">19.9% had cough.  However, the relationship was observed only in people who do not smoke, indicating the possibility of distinct or complementary pathogenic pathways between respiratory diseases and smoking. The correlation between persistent obstructive pulmonary disease and eventually RA has also been established by other research (Sheen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2017; Ford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2020; Bergstrom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2011; Friedlander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2019). Therefore, several other diseases have been identified as risk factors for incident  RA, most notably other non-rheumatological immune-mediated diseases, such as  autoimmune thyroid disease (i.e., Hashimoto thyroiditis and Graves' disease) (Somers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2009; Bengtsson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2013), type 1 diabetes mellitus (Somers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2009; Liao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2009), inflammatory bowel disease (Wilson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2015) and, possibly, multiple sclerosis (Tseng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2016) (less robust evidence) (Somers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2009). Various common genetic risk determinants have been identified and other host and external factors are also likely to be important (Okada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2013; Okada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2018; </w:t>
      </w:r>
      <w:proofErr w:type="spellStart"/>
      <w:r w:rsidR="008534A9" w:rsidRPr="00956057">
        <w:rPr>
          <w:rFonts w:asciiTheme="majorBidi" w:hAnsiTheme="majorBidi" w:cstheme="majorBidi"/>
          <w:sz w:val="24"/>
          <w:szCs w:val="24"/>
        </w:rPr>
        <w:t>Zhernakova</w:t>
      </w:r>
      <w:proofErr w:type="spellEnd"/>
      <w:r w:rsidR="008534A9" w:rsidRPr="00956057">
        <w:rPr>
          <w:rFonts w:asciiTheme="majorBidi" w:hAnsiTheme="majorBidi" w:cstheme="majorBidi"/>
          <w:sz w:val="24"/>
          <w:szCs w:val="24"/>
        </w:rPr>
        <w:t xml:space="preserve">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2007; Farh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2014; Costenbader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xml:space="preserve">., 2011; Liao </w:t>
      </w:r>
      <w:r w:rsidR="008534A9" w:rsidRPr="00956057">
        <w:rPr>
          <w:rFonts w:asciiTheme="majorBidi" w:hAnsiTheme="majorBidi" w:cstheme="majorBidi"/>
          <w:i/>
          <w:iCs/>
          <w:sz w:val="24"/>
          <w:szCs w:val="24"/>
        </w:rPr>
        <w:t>et al</w:t>
      </w:r>
      <w:r w:rsidR="008534A9" w:rsidRPr="00956057">
        <w:rPr>
          <w:rFonts w:asciiTheme="majorBidi" w:hAnsiTheme="majorBidi" w:cstheme="majorBidi"/>
          <w:sz w:val="24"/>
          <w:szCs w:val="24"/>
        </w:rPr>
        <w:t>., 2009).</w:t>
      </w:r>
      <w:r w:rsidR="00BE7CFD" w:rsidRPr="00956057">
        <w:rPr>
          <w:rFonts w:asciiTheme="majorBidi" w:hAnsiTheme="majorBidi" w:cstheme="majorBidi"/>
          <w:sz w:val="24"/>
          <w:szCs w:val="24"/>
        </w:rPr>
        <w:t xml:space="preserve"> Interestingly, despite being an important RA comorbidity, one population-based case-control study has associated type 2 diabetes mellitus with increased risk of incident RA, similarly to our study we demonstrated the association between RA and other autoimmune diseases the first of was diabetes about 19.6% patients suffering from it, Hypothyroidism 10%, and SLE 9%. (Lu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2014) although no effect had been reported in an earlier similar study (Liao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2009). Furthermore, several studies have reported a protective effect of increasing body mass for radiographic joint damage and mortality in RA (Crowson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2012; Flegal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2012). These findings may seem to contradict our findings of an association between obesity and the development of RA with 33%. However, patients with RA may experience weight loss associated with their disease severity, which can lead to rheumatoid cachexia; this confirms our study, which showed a 35% decrease in weight. Although the data above support a large impact of host on the development of RA, the environment also plays a fundamental role in determining the ultimate risk of disease. In fact, extrinsic factors have been identified to interact with at-risk subjects and confer a multiplicative increase in the likelihood of developing RA (Romão &amp; Fonseca, 2021). Environmental factors can </w:t>
      </w:r>
      <w:r w:rsidR="000D12BD" w:rsidRPr="00956057">
        <w:rPr>
          <w:rFonts w:asciiTheme="majorBidi" w:hAnsiTheme="majorBidi" w:cstheme="majorBidi"/>
          <w:sz w:val="24"/>
          <w:szCs w:val="24"/>
        </w:rPr>
        <w:t>have a large effect example;</w:t>
      </w:r>
      <w:r w:rsidR="00BE7CFD" w:rsidRPr="00956057">
        <w:rPr>
          <w:rFonts w:asciiTheme="majorBidi" w:hAnsiTheme="majorBidi" w:cstheme="majorBidi"/>
          <w:sz w:val="24"/>
          <w:szCs w:val="24"/>
        </w:rPr>
        <w:t xml:space="preserve"> </w:t>
      </w:r>
      <w:r w:rsidR="000D12BD" w:rsidRPr="00956057">
        <w:rPr>
          <w:rFonts w:asciiTheme="majorBidi" w:hAnsiTheme="majorBidi" w:cstheme="majorBidi"/>
          <w:sz w:val="24"/>
          <w:szCs w:val="24"/>
        </w:rPr>
        <w:t>A</w:t>
      </w:r>
      <w:r w:rsidR="00BE7CFD" w:rsidRPr="00956057">
        <w:rPr>
          <w:rFonts w:asciiTheme="majorBidi" w:hAnsiTheme="majorBidi" w:cstheme="majorBidi"/>
          <w:sz w:val="24"/>
          <w:szCs w:val="24"/>
        </w:rPr>
        <w:t xml:space="preserve">irborne exposures, </w:t>
      </w:r>
      <w:r w:rsidR="000D12BD" w:rsidRPr="00956057">
        <w:rPr>
          <w:rFonts w:asciiTheme="majorBidi" w:hAnsiTheme="majorBidi" w:cstheme="majorBidi"/>
          <w:sz w:val="24"/>
          <w:szCs w:val="24"/>
        </w:rPr>
        <w:t>just</w:t>
      </w:r>
      <w:r w:rsidR="00BE7CFD" w:rsidRPr="00956057">
        <w:rPr>
          <w:rFonts w:asciiTheme="majorBidi" w:hAnsiTheme="majorBidi" w:cstheme="majorBidi"/>
          <w:sz w:val="24"/>
          <w:szCs w:val="24"/>
        </w:rPr>
        <w:t xml:space="preserve"> as our results revealed that the association between environmental factors and RA</w:t>
      </w:r>
      <w:r w:rsidR="000D12BD" w:rsidRPr="00956057">
        <w:rPr>
          <w:rFonts w:asciiTheme="majorBidi" w:hAnsiTheme="majorBidi" w:cstheme="majorBidi"/>
          <w:sz w:val="24"/>
          <w:szCs w:val="24"/>
        </w:rPr>
        <w:t>. T</w:t>
      </w:r>
      <w:r w:rsidR="00BE7CFD" w:rsidRPr="00956057">
        <w:rPr>
          <w:rFonts w:asciiTheme="majorBidi" w:hAnsiTheme="majorBidi" w:cstheme="majorBidi"/>
          <w:sz w:val="24"/>
          <w:szCs w:val="24"/>
        </w:rPr>
        <w:t>he portion of exposure to air pollutants was 19.3% and to the cold was 15%. Notably including smoking; microbiota and infectious agents; diet; and socioeconomic factors, including occupational and recreational exposures.  Extensive data are available directly implicating these numerous aspects in the etiology of RA (Romão &amp; Fonseca, 2021). In addition, some studies have shown that incidence rates differ throughout areas, even within the same country. These variations could have been induced by exposure to contaminants in the environment, changes in the climate, infectious illnesses, and food (Taylor-</w:t>
      </w:r>
      <w:proofErr w:type="spellStart"/>
      <w:r w:rsidR="00BE7CFD" w:rsidRPr="00956057">
        <w:rPr>
          <w:rFonts w:asciiTheme="majorBidi" w:hAnsiTheme="majorBidi" w:cstheme="majorBidi"/>
          <w:sz w:val="24"/>
          <w:szCs w:val="24"/>
        </w:rPr>
        <w:t>Gjevre</w:t>
      </w:r>
      <w:proofErr w:type="spellEnd"/>
      <w:r w:rsidR="00BE7CFD" w:rsidRPr="00956057">
        <w:rPr>
          <w:rFonts w:asciiTheme="majorBidi" w:hAnsiTheme="majorBidi" w:cstheme="majorBidi"/>
          <w:sz w:val="24"/>
          <w:szCs w:val="24"/>
        </w:rPr>
        <w:t xml:space="preserve">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2018; </w:t>
      </w:r>
      <w:proofErr w:type="spellStart"/>
      <w:r w:rsidR="00BE7CFD" w:rsidRPr="00956057">
        <w:rPr>
          <w:rFonts w:asciiTheme="majorBidi" w:hAnsiTheme="majorBidi" w:cstheme="majorBidi"/>
          <w:sz w:val="24"/>
          <w:szCs w:val="24"/>
        </w:rPr>
        <w:t>Costenbader</w:t>
      </w:r>
      <w:proofErr w:type="spellEnd"/>
      <w:r w:rsidR="00BE7CFD" w:rsidRPr="00956057">
        <w:rPr>
          <w:rFonts w:asciiTheme="majorBidi" w:hAnsiTheme="majorBidi" w:cstheme="majorBidi"/>
          <w:sz w:val="24"/>
          <w:szCs w:val="24"/>
        </w:rPr>
        <w:t>, 2008</w:t>
      </w:r>
      <w:r w:rsidR="000D12BD" w:rsidRPr="00956057">
        <w:rPr>
          <w:rFonts w:asciiTheme="majorBidi" w:hAnsiTheme="majorBidi" w:cstheme="majorBidi"/>
          <w:sz w:val="24"/>
          <w:szCs w:val="24"/>
        </w:rPr>
        <w:t xml:space="preserve">; </w:t>
      </w:r>
      <w:proofErr w:type="spellStart"/>
      <w:r w:rsidR="000D12BD" w:rsidRPr="00956057">
        <w:rPr>
          <w:rFonts w:asciiTheme="majorBidi" w:hAnsiTheme="majorBidi" w:cstheme="majorBidi"/>
          <w:sz w:val="24"/>
          <w:szCs w:val="24"/>
        </w:rPr>
        <w:t>Solyman</w:t>
      </w:r>
      <w:proofErr w:type="spellEnd"/>
      <w:r w:rsidR="000D12BD" w:rsidRPr="00956057">
        <w:rPr>
          <w:rFonts w:asciiTheme="majorBidi" w:hAnsiTheme="majorBidi" w:cstheme="majorBidi"/>
          <w:sz w:val="24"/>
          <w:szCs w:val="24"/>
        </w:rPr>
        <w:t xml:space="preserve"> </w:t>
      </w:r>
      <w:r w:rsidR="000D12BD" w:rsidRPr="00956057">
        <w:rPr>
          <w:rFonts w:asciiTheme="majorBidi" w:hAnsiTheme="majorBidi" w:cstheme="majorBidi"/>
          <w:i/>
          <w:iCs/>
          <w:sz w:val="24"/>
          <w:szCs w:val="24"/>
        </w:rPr>
        <w:t xml:space="preserve">et al., </w:t>
      </w:r>
      <w:r w:rsidR="000D12BD" w:rsidRPr="00956057">
        <w:rPr>
          <w:rFonts w:asciiTheme="majorBidi" w:hAnsiTheme="majorBidi" w:cstheme="majorBidi"/>
          <w:sz w:val="24"/>
          <w:szCs w:val="24"/>
        </w:rPr>
        <w:t>2025</w:t>
      </w:r>
      <w:r w:rsidR="00BE7CFD" w:rsidRPr="00956057">
        <w:rPr>
          <w:rFonts w:asciiTheme="majorBidi" w:hAnsiTheme="majorBidi" w:cstheme="majorBidi"/>
          <w:sz w:val="24"/>
          <w:szCs w:val="24"/>
        </w:rPr>
        <w:t xml:space="preserve">). Moreover, stress is an important relationship between HPA axis disorders and mental health in RA. Some evidence suggests that a decrease in cooperative signaling between the HPA axis and the sympathetic nervous system, caused by chronic sympathetic nervous system activation and impaired regulation of acute physiological responses to stress, may make patients with RA who experience stress more susceptible to chronic inflammatory states (Straub, 2014). Our study revealed a strong correlation between rheumatoid arthritis (RA) and psychological stressors, with approximately 70.4% of patients reporting exposure to such factors as stress and depression. Thus, stress has been established as an exacerbating component in RA (Straub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2005). Two meta-analyses found </w:t>
      </w:r>
      <w:r w:rsidR="00BE7CFD" w:rsidRPr="00956057">
        <w:rPr>
          <w:rFonts w:asciiTheme="majorBidi" w:hAnsiTheme="majorBidi" w:cstheme="majorBidi"/>
          <w:sz w:val="24"/>
          <w:szCs w:val="24"/>
        </w:rPr>
        <w:lastRenderedPageBreak/>
        <w:t xml:space="preserve">that people with depression have higher circulating levels of pro-inflammatory cytokines (Dowlati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2009; Miller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xml:space="preserve">., 2009). Systemic vasculitis can cause cutaneous symptoms, gastrointestinal problems, heart dysfunction, and pulmonary signs. The most frequent skin symptoms are rheumatoid nodules in various places, which might appear primarily in seropositive individuals with erosive illness. Contrary to the results of our research, which showed that the majority of patients 58.8% did not suffer from any skin changes, some of the patients 11.3% suffered from dry skin and the minority 3.3% had vasculitis. Other skin indications include periungual inflammation, ulcers, and digital gangrene (Cojocaru </w:t>
      </w:r>
      <w:r w:rsidR="00BE7CFD" w:rsidRPr="00956057">
        <w:rPr>
          <w:rFonts w:asciiTheme="majorBidi" w:hAnsiTheme="majorBidi" w:cstheme="majorBidi"/>
          <w:i/>
          <w:iCs/>
          <w:sz w:val="24"/>
          <w:szCs w:val="24"/>
        </w:rPr>
        <w:t>et al</w:t>
      </w:r>
      <w:r w:rsidR="00BE7CFD" w:rsidRPr="00956057">
        <w:rPr>
          <w:rFonts w:asciiTheme="majorBidi" w:hAnsiTheme="majorBidi" w:cstheme="majorBidi"/>
          <w:sz w:val="24"/>
          <w:szCs w:val="24"/>
        </w:rPr>
        <w:t>. 2010).</w:t>
      </w:r>
    </w:p>
    <w:p w14:paraId="3200F5D1" w14:textId="77777777" w:rsidR="00AD270A" w:rsidRDefault="00AD270A" w:rsidP="00E8060F">
      <w:pPr>
        <w:spacing w:after="0" w:line="240" w:lineRule="auto"/>
        <w:jc w:val="both"/>
        <w:rPr>
          <w:rFonts w:asciiTheme="majorBidi" w:hAnsiTheme="majorBidi" w:cstheme="majorBidi"/>
          <w:b/>
          <w:bCs/>
          <w:sz w:val="28"/>
          <w:szCs w:val="28"/>
          <w:lang w:val="en-GB"/>
        </w:rPr>
      </w:pPr>
    </w:p>
    <w:p w14:paraId="47444E6D" w14:textId="5E02F1BE" w:rsidR="00071E54" w:rsidRPr="00AD270A" w:rsidRDefault="00071E54" w:rsidP="00E8060F">
      <w:pPr>
        <w:spacing w:after="0" w:line="240" w:lineRule="auto"/>
        <w:jc w:val="both"/>
        <w:rPr>
          <w:rFonts w:asciiTheme="majorBidi" w:hAnsiTheme="majorBidi" w:cstheme="majorBidi"/>
          <w:b/>
          <w:bCs/>
          <w:sz w:val="28"/>
          <w:szCs w:val="28"/>
          <w:lang w:val="en-GB"/>
        </w:rPr>
      </w:pPr>
      <w:r w:rsidRPr="00AD270A">
        <w:rPr>
          <w:rFonts w:asciiTheme="majorBidi" w:hAnsiTheme="majorBidi" w:cstheme="majorBidi"/>
          <w:b/>
          <w:bCs/>
          <w:sz w:val="28"/>
          <w:szCs w:val="28"/>
          <w:lang w:val="en-GB"/>
        </w:rPr>
        <w:t xml:space="preserve">Conclusion </w:t>
      </w:r>
    </w:p>
    <w:p w14:paraId="006FCA92" w14:textId="586B2B34" w:rsidR="00BE7CFD" w:rsidRPr="00956057" w:rsidRDefault="00BE7CFD" w:rsidP="00643045">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 xml:space="preserve">Our work gives good insight into the prevalence and clinical presentations of patients with rheumatoid arthritis seen in Benghazi, Libya. The common symptoms encountered among RA patients are as follows: stiffness of the joints, especially in the morning; RA affects more than just physical health—the psychological well-being and employment status of patients. In addition, the majority of RA patients had co-occurring conditions such as diabetes and hypertension, which further hampered the management of their illness. </w:t>
      </w:r>
    </w:p>
    <w:p w14:paraId="3153B103" w14:textId="77777777" w:rsidR="00643045" w:rsidRPr="00956057" w:rsidRDefault="00643045" w:rsidP="00643045">
      <w:pPr>
        <w:spacing w:after="0" w:line="240" w:lineRule="auto"/>
        <w:jc w:val="both"/>
        <w:rPr>
          <w:rFonts w:asciiTheme="majorBidi" w:hAnsiTheme="majorBidi" w:cstheme="majorBidi"/>
          <w:sz w:val="24"/>
          <w:szCs w:val="24"/>
        </w:rPr>
      </w:pPr>
    </w:p>
    <w:p w14:paraId="6652A8C1" w14:textId="4F896DC1" w:rsidR="00643045" w:rsidRPr="00956057" w:rsidRDefault="00643045" w:rsidP="00643045">
      <w:pPr>
        <w:spacing w:after="0" w:line="240" w:lineRule="auto"/>
        <w:jc w:val="both"/>
        <w:rPr>
          <w:rFonts w:asciiTheme="majorBidi" w:hAnsiTheme="majorBidi" w:cstheme="majorBidi"/>
          <w:sz w:val="24"/>
          <w:szCs w:val="24"/>
        </w:rPr>
      </w:pPr>
      <w:r w:rsidRPr="00956057">
        <w:rPr>
          <w:rFonts w:asciiTheme="majorBidi" w:hAnsiTheme="majorBidi" w:cstheme="majorBidi"/>
          <w:b/>
          <w:bCs/>
          <w:sz w:val="28"/>
          <w:szCs w:val="28"/>
        </w:rPr>
        <w:t>Ethical Approval</w:t>
      </w:r>
      <w:r w:rsidRPr="00956057">
        <w:rPr>
          <w:rFonts w:asciiTheme="majorBidi" w:hAnsiTheme="majorBidi" w:cstheme="majorBidi"/>
          <w:sz w:val="28"/>
          <w:szCs w:val="28"/>
        </w:rPr>
        <w:t xml:space="preserve"> </w:t>
      </w:r>
    </w:p>
    <w:p w14:paraId="226561EE" w14:textId="4644D771" w:rsidR="00643045" w:rsidRPr="00956057" w:rsidRDefault="00643045" w:rsidP="00643045">
      <w:pPr>
        <w:spacing w:after="0" w:line="240" w:lineRule="auto"/>
        <w:jc w:val="both"/>
        <w:rPr>
          <w:rFonts w:asciiTheme="majorBidi" w:hAnsiTheme="majorBidi" w:cstheme="majorBidi"/>
          <w:sz w:val="24"/>
          <w:szCs w:val="24"/>
        </w:rPr>
      </w:pPr>
      <w:r w:rsidRPr="00956057">
        <w:rPr>
          <w:rFonts w:asciiTheme="majorBidi" w:hAnsiTheme="majorBidi" w:cstheme="majorBidi"/>
          <w:sz w:val="24"/>
          <w:szCs w:val="24"/>
        </w:rPr>
        <w:t>This study was conducted in accordance with the Declaration of Helsinki and received ethical approval from the Ethics Scientific Committee at Faculty of Biomedical Sciences, University of Benghazi, Benghazi, Libya. Informed consent was obtained from all participants prior to their inclusion in the study.</w:t>
      </w:r>
    </w:p>
    <w:p w14:paraId="169B3CB6" w14:textId="77777777" w:rsidR="003A3E6F" w:rsidRPr="00956057" w:rsidRDefault="003A3E6F" w:rsidP="00E8060F">
      <w:pPr>
        <w:spacing w:after="0" w:line="240" w:lineRule="auto"/>
        <w:jc w:val="both"/>
        <w:rPr>
          <w:rFonts w:asciiTheme="majorBidi" w:hAnsiTheme="majorBidi" w:cstheme="majorBidi"/>
          <w:sz w:val="24"/>
          <w:szCs w:val="24"/>
        </w:rPr>
      </w:pPr>
    </w:p>
    <w:p w14:paraId="5F8B5CB1" w14:textId="22CA2E0C" w:rsidR="00BE7CFD" w:rsidRPr="00956057" w:rsidRDefault="00BE7CFD" w:rsidP="00E8060F">
      <w:pPr>
        <w:spacing w:after="0" w:line="240" w:lineRule="auto"/>
        <w:jc w:val="both"/>
        <w:rPr>
          <w:rFonts w:asciiTheme="majorBidi" w:hAnsiTheme="majorBidi" w:cstheme="majorBidi"/>
          <w:b/>
          <w:bCs/>
          <w:sz w:val="28"/>
          <w:szCs w:val="28"/>
        </w:rPr>
      </w:pPr>
      <w:r w:rsidRPr="00956057">
        <w:rPr>
          <w:rFonts w:asciiTheme="majorBidi" w:hAnsiTheme="majorBidi" w:cstheme="majorBidi"/>
          <w:b/>
          <w:bCs/>
          <w:sz w:val="28"/>
          <w:szCs w:val="28"/>
        </w:rPr>
        <w:t xml:space="preserve">References </w:t>
      </w:r>
    </w:p>
    <w:p w14:paraId="2CD9451D" w14:textId="28A774B2"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Aletaha</w:t>
      </w:r>
      <w:proofErr w:type="spellEnd"/>
      <w:r w:rsidRPr="00956057">
        <w:rPr>
          <w:rFonts w:asciiTheme="majorBidi" w:hAnsiTheme="majorBidi" w:cstheme="majorBidi"/>
          <w:sz w:val="24"/>
          <w:szCs w:val="24"/>
        </w:rPr>
        <w:t xml:space="preserve">, D., </w:t>
      </w:r>
      <w:proofErr w:type="spellStart"/>
      <w:r w:rsidRPr="00956057">
        <w:rPr>
          <w:rFonts w:asciiTheme="majorBidi" w:hAnsiTheme="majorBidi" w:cstheme="majorBidi"/>
          <w:sz w:val="24"/>
          <w:szCs w:val="24"/>
        </w:rPr>
        <w:t>Neogi</w:t>
      </w:r>
      <w:proofErr w:type="spellEnd"/>
      <w:r w:rsidRPr="00956057">
        <w:rPr>
          <w:rFonts w:asciiTheme="majorBidi" w:hAnsiTheme="majorBidi" w:cstheme="majorBidi"/>
          <w:sz w:val="24"/>
          <w:szCs w:val="24"/>
        </w:rPr>
        <w:t xml:space="preserve">, T., Silman, A. J., </w:t>
      </w:r>
      <w:proofErr w:type="spellStart"/>
      <w:r w:rsidRPr="00956057">
        <w:rPr>
          <w:rFonts w:asciiTheme="majorBidi" w:hAnsiTheme="majorBidi" w:cstheme="majorBidi"/>
          <w:sz w:val="24"/>
          <w:szCs w:val="24"/>
        </w:rPr>
        <w:t>Funovits</w:t>
      </w:r>
      <w:proofErr w:type="spellEnd"/>
      <w:r w:rsidRPr="00956057">
        <w:rPr>
          <w:rFonts w:asciiTheme="majorBidi" w:hAnsiTheme="majorBidi" w:cstheme="majorBidi"/>
          <w:sz w:val="24"/>
          <w:szCs w:val="24"/>
        </w:rPr>
        <w:t>, J., Felson, D. T., Bingham, C. O., ... &amp; Hawker, G. (2010). 2010 Rheumatoid arthritis classification criteria: An American College of Rheumatology/European League Against Rheumatism collaborative initiative. </w:t>
      </w:r>
      <w:r w:rsidRPr="00956057">
        <w:rPr>
          <w:rFonts w:asciiTheme="majorBidi" w:hAnsiTheme="majorBidi" w:cstheme="majorBidi"/>
          <w:i/>
          <w:iCs/>
          <w:sz w:val="24"/>
          <w:szCs w:val="24"/>
        </w:rPr>
        <w:t>Arthritis &amp; Rheumatism</w:t>
      </w:r>
      <w:r w:rsidRPr="00956057">
        <w:rPr>
          <w:rFonts w:asciiTheme="majorBidi" w:hAnsiTheme="majorBidi" w:cstheme="majorBidi"/>
          <w:sz w:val="24"/>
          <w:szCs w:val="24"/>
        </w:rPr>
        <w:t>, 62(9), 2569–2581.</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14" w:tgtFrame="_blank" w:history="1">
        <w:r w:rsidRPr="00956057">
          <w:rPr>
            <w:rStyle w:val="Hyperlink"/>
            <w:rFonts w:asciiTheme="majorBidi" w:hAnsiTheme="majorBidi" w:cstheme="majorBidi"/>
            <w:sz w:val="24"/>
            <w:szCs w:val="24"/>
          </w:rPr>
          <w:t>10.1002/art.27584</w:t>
        </w:r>
      </w:hyperlink>
    </w:p>
    <w:p w14:paraId="263D2E9F" w14:textId="698D2170"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Alamanos</w:t>
      </w:r>
      <w:proofErr w:type="spellEnd"/>
      <w:r w:rsidRPr="00956057">
        <w:rPr>
          <w:rFonts w:asciiTheme="majorBidi" w:hAnsiTheme="majorBidi" w:cstheme="majorBidi"/>
          <w:sz w:val="24"/>
          <w:szCs w:val="24"/>
        </w:rPr>
        <w:t>, Y., &amp; Drosos, A. (2005). Epidemiology of adult rheumatoid arthritis. </w:t>
      </w:r>
      <w:r w:rsidRPr="00956057">
        <w:rPr>
          <w:rFonts w:asciiTheme="majorBidi" w:hAnsiTheme="majorBidi" w:cstheme="majorBidi"/>
          <w:i/>
          <w:iCs/>
          <w:sz w:val="24"/>
          <w:szCs w:val="24"/>
        </w:rPr>
        <w:t>Autoimmunity Reviews</w:t>
      </w:r>
      <w:r w:rsidRPr="00956057">
        <w:rPr>
          <w:rFonts w:asciiTheme="majorBidi" w:hAnsiTheme="majorBidi" w:cstheme="majorBidi"/>
          <w:sz w:val="24"/>
          <w:szCs w:val="24"/>
        </w:rPr>
        <w:t>, 4(3), 130–136.</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15" w:tgtFrame="_blank" w:history="1">
        <w:r w:rsidRPr="00956057">
          <w:rPr>
            <w:rStyle w:val="Hyperlink"/>
            <w:rFonts w:asciiTheme="majorBidi" w:hAnsiTheme="majorBidi" w:cstheme="majorBidi"/>
            <w:sz w:val="24"/>
            <w:szCs w:val="24"/>
          </w:rPr>
          <w:t>10.1016/j.autrev.2004.09.002</w:t>
        </w:r>
      </w:hyperlink>
    </w:p>
    <w:p w14:paraId="14324F60" w14:textId="0C927EE8"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Aringer</w:t>
      </w:r>
      <w:proofErr w:type="spellEnd"/>
      <w:r w:rsidRPr="00956057">
        <w:rPr>
          <w:rFonts w:asciiTheme="majorBidi" w:hAnsiTheme="majorBidi" w:cstheme="majorBidi"/>
          <w:sz w:val="24"/>
          <w:szCs w:val="24"/>
        </w:rPr>
        <w:t xml:space="preserve">, M., &amp; Tony, H. (2012). </w:t>
      </w:r>
      <w:proofErr w:type="spellStart"/>
      <w:r w:rsidRPr="00956057">
        <w:rPr>
          <w:rFonts w:asciiTheme="majorBidi" w:hAnsiTheme="majorBidi" w:cstheme="majorBidi"/>
          <w:sz w:val="24"/>
          <w:szCs w:val="24"/>
        </w:rPr>
        <w:t>Systemerkrankung</w:t>
      </w:r>
      <w:proofErr w:type="spellEnd"/>
      <w:r w:rsidRPr="00956057">
        <w:rPr>
          <w:rFonts w:asciiTheme="majorBidi" w:hAnsiTheme="majorBidi" w:cstheme="majorBidi"/>
          <w:sz w:val="24"/>
          <w:szCs w:val="24"/>
        </w:rPr>
        <w:t xml:space="preserve"> </w:t>
      </w:r>
      <w:proofErr w:type="spellStart"/>
      <w:r w:rsidRPr="00956057">
        <w:rPr>
          <w:rFonts w:asciiTheme="majorBidi" w:hAnsiTheme="majorBidi" w:cstheme="majorBidi"/>
          <w:sz w:val="24"/>
          <w:szCs w:val="24"/>
        </w:rPr>
        <w:t>rheumatoide</w:t>
      </w:r>
      <w:proofErr w:type="spellEnd"/>
      <w:r w:rsidRPr="00956057">
        <w:rPr>
          <w:rFonts w:asciiTheme="majorBidi" w:hAnsiTheme="majorBidi" w:cstheme="majorBidi"/>
          <w:sz w:val="24"/>
          <w:szCs w:val="24"/>
        </w:rPr>
        <w:t xml:space="preserve"> Arthritis. </w:t>
      </w:r>
      <w:proofErr w:type="spellStart"/>
      <w:r w:rsidRPr="00956057">
        <w:rPr>
          <w:rFonts w:asciiTheme="majorBidi" w:hAnsiTheme="majorBidi" w:cstheme="majorBidi"/>
          <w:i/>
          <w:iCs/>
          <w:sz w:val="24"/>
          <w:szCs w:val="24"/>
        </w:rPr>
        <w:t>Zeitschrift</w:t>
      </w:r>
      <w:proofErr w:type="spellEnd"/>
      <w:r w:rsidRPr="00956057">
        <w:rPr>
          <w:rFonts w:asciiTheme="majorBidi" w:hAnsiTheme="majorBidi" w:cstheme="majorBidi"/>
          <w:i/>
          <w:iCs/>
          <w:sz w:val="24"/>
          <w:szCs w:val="24"/>
        </w:rPr>
        <w:t xml:space="preserve"> </w:t>
      </w:r>
      <w:proofErr w:type="spellStart"/>
      <w:r w:rsidRPr="00956057">
        <w:rPr>
          <w:rFonts w:asciiTheme="majorBidi" w:hAnsiTheme="majorBidi" w:cstheme="majorBidi"/>
          <w:i/>
          <w:iCs/>
          <w:sz w:val="24"/>
          <w:szCs w:val="24"/>
        </w:rPr>
        <w:t>Für</w:t>
      </w:r>
      <w:proofErr w:type="spellEnd"/>
      <w:r w:rsidRPr="00956057">
        <w:rPr>
          <w:rFonts w:asciiTheme="majorBidi" w:hAnsiTheme="majorBidi" w:cstheme="majorBidi"/>
          <w:i/>
          <w:iCs/>
          <w:sz w:val="24"/>
          <w:szCs w:val="24"/>
        </w:rPr>
        <w:t xml:space="preserve"> </w:t>
      </w:r>
      <w:proofErr w:type="spellStart"/>
      <w:r w:rsidRPr="00956057">
        <w:rPr>
          <w:rFonts w:asciiTheme="majorBidi" w:hAnsiTheme="majorBidi" w:cstheme="majorBidi"/>
          <w:i/>
          <w:iCs/>
          <w:sz w:val="24"/>
          <w:szCs w:val="24"/>
        </w:rPr>
        <w:t>Rheumatologie</w:t>
      </w:r>
      <w:proofErr w:type="spellEnd"/>
      <w:r w:rsidRPr="00956057">
        <w:rPr>
          <w:rFonts w:asciiTheme="majorBidi" w:hAnsiTheme="majorBidi" w:cstheme="majorBidi"/>
          <w:sz w:val="24"/>
          <w:szCs w:val="24"/>
        </w:rPr>
        <w:t>, 71(10), 840.</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16" w:tgtFrame="_blank" w:history="1">
        <w:r w:rsidRPr="00956057">
          <w:rPr>
            <w:rStyle w:val="Hyperlink"/>
            <w:rFonts w:asciiTheme="majorBidi" w:hAnsiTheme="majorBidi" w:cstheme="majorBidi"/>
            <w:sz w:val="24"/>
            <w:szCs w:val="24"/>
          </w:rPr>
          <w:t>10.1007/s00393-012-1033-5</w:t>
        </w:r>
      </w:hyperlink>
    </w:p>
    <w:p w14:paraId="691BBF88" w14:textId="076B8277"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Baghdadi, L. R., Woodman, R. J., Shanahan, E. M., &amp; </w:t>
      </w:r>
      <w:proofErr w:type="spellStart"/>
      <w:r w:rsidRPr="00956057">
        <w:rPr>
          <w:rFonts w:asciiTheme="majorBidi" w:hAnsiTheme="majorBidi" w:cstheme="majorBidi"/>
          <w:sz w:val="24"/>
          <w:szCs w:val="24"/>
        </w:rPr>
        <w:t>Mangoni</w:t>
      </w:r>
      <w:proofErr w:type="spellEnd"/>
      <w:r w:rsidRPr="00956057">
        <w:rPr>
          <w:rFonts w:asciiTheme="majorBidi" w:hAnsiTheme="majorBidi" w:cstheme="majorBidi"/>
          <w:sz w:val="24"/>
          <w:szCs w:val="24"/>
        </w:rPr>
        <w:t>, A. A. (2015). The impact of traditional cardiovascular risk factors on cardiovascular outcomes in patients with rheumatoid arthritis: A systematic review and meta-analysis. </w:t>
      </w:r>
      <w:proofErr w:type="spellStart"/>
      <w:r w:rsidRPr="00956057">
        <w:rPr>
          <w:rFonts w:asciiTheme="majorBidi" w:hAnsiTheme="majorBidi" w:cstheme="majorBidi"/>
          <w:i/>
          <w:iCs/>
          <w:sz w:val="24"/>
          <w:szCs w:val="24"/>
        </w:rPr>
        <w:t>PLoS</w:t>
      </w:r>
      <w:proofErr w:type="spellEnd"/>
      <w:r w:rsidRPr="00956057">
        <w:rPr>
          <w:rFonts w:asciiTheme="majorBidi" w:hAnsiTheme="majorBidi" w:cstheme="majorBidi"/>
          <w:i/>
          <w:iCs/>
          <w:sz w:val="24"/>
          <w:szCs w:val="24"/>
        </w:rPr>
        <w:t xml:space="preserve"> ONE</w:t>
      </w:r>
      <w:r w:rsidRPr="00956057">
        <w:rPr>
          <w:rFonts w:asciiTheme="majorBidi" w:hAnsiTheme="majorBidi" w:cstheme="majorBidi"/>
          <w:sz w:val="24"/>
          <w:szCs w:val="24"/>
        </w:rPr>
        <w:t>, 10(2), e0117952.DOI: </w:t>
      </w:r>
      <w:hyperlink r:id="rId17" w:tgtFrame="_blank" w:history="1">
        <w:r w:rsidRPr="00956057">
          <w:rPr>
            <w:rStyle w:val="Hyperlink"/>
            <w:rFonts w:asciiTheme="majorBidi" w:hAnsiTheme="majorBidi" w:cstheme="majorBidi"/>
            <w:sz w:val="24"/>
            <w:szCs w:val="24"/>
          </w:rPr>
          <w:t>10.1371/journal.pone.0117952</w:t>
        </w:r>
      </w:hyperlink>
    </w:p>
    <w:p w14:paraId="688FC44F" w14:textId="0F3F8B9A"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Bengtsson, C., </w:t>
      </w:r>
      <w:proofErr w:type="spellStart"/>
      <w:r w:rsidRPr="00956057">
        <w:rPr>
          <w:rFonts w:asciiTheme="majorBidi" w:hAnsiTheme="majorBidi" w:cstheme="majorBidi"/>
          <w:sz w:val="24"/>
          <w:szCs w:val="24"/>
        </w:rPr>
        <w:t>Padyukov</w:t>
      </w:r>
      <w:proofErr w:type="spellEnd"/>
      <w:r w:rsidRPr="00956057">
        <w:rPr>
          <w:rFonts w:asciiTheme="majorBidi" w:hAnsiTheme="majorBidi" w:cstheme="majorBidi"/>
          <w:sz w:val="24"/>
          <w:szCs w:val="24"/>
        </w:rPr>
        <w:t xml:space="preserve">, L., </w:t>
      </w:r>
      <w:proofErr w:type="spellStart"/>
      <w:r w:rsidRPr="00956057">
        <w:rPr>
          <w:rFonts w:asciiTheme="majorBidi" w:hAnsiTheme="majorBidi" w:cstheme="majorBidi"/>
          <w:sz w:val="24"/>
          <w:szCs w:val="24"/>
        </w:rPr>
        <w:t>Källberg</w:t>
      </w:r>
      <w:proofErr w:type="spellEnd"/>
      <w:r w:rsidRPr="00956057">
        <w:rPr>
          <w:rFonts w:asciiTheme="majorBidi" w:hAnsiTheme="majorBidi" w:cstheme="majorBidi"/>
          <w:sz w:val="24"/>
          <w:szCs w:val="24"/>
        </w:rPr>
        <w:t xml:space="preserve">, H., &amp; </w:t>
      </w:r>
      <w:proofErr w:type="spellStart"/>
      <w:r w:rsidRPr="00956057">
        <w:rPr>
          <w:rFonts w:asciiTheme="majorBidi" w:hAnsiTheme="majorBidi" w:cstheme="majorBidi"/>
          <w:sz w:val="24"/>
          <w:szCs w:val="24"/>
        </w:rPr>
        <w:t>Saevarsdottir</w:t>
      </w:r>
      <w:proofErr w:type="spellEnd"/>
      <w:r w:rsidRPr="00956057">
        <w:rPr>
          <w:rFonts w:asciiTheme="majorBidi" w:hAnsiTheme="majorBidi" w:cstheme="majorBidi"/>
          <w:sz w:val="24"/>
          <w:szCs w:val="24"/>
        </w:rPr>
        <w:t>, S. (2013). Thyroxin substitution and the risk of developing rheumatoid arthritis; results from the Swedish population-based EIRA study. </w:t>
      </w:r>
      <w:r w:rsidRPr="00956057">
        <w:rPr>
          <w:rFonts w:asciiTheme="majorBidi" w:hAnsiTheme="majorBidi" w:cstheme="majorBidi"/>
          <w:i/>
          <w:iCs/>
          <w:sz w:val="24"/>
          <w:szCs w:val="24"/>
        </w:rPr>
        <w:t>Annals of the Rheumatic Diseases</w:t>
      </w:r>
      <w:r w:rsidRPr="00956057">
        <w:rPr>
          <w:rFonts w:asciiTheme="majorBidi" w:hAnsiTheme="majorBidi" w:cstheme="majorBidi"/>
          <w:sz w:val="24"/>
          <w:szCs w:val="24"/>
        </w:rPr>
        <w:t>, 73(6), 1096–1100.</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18" w:tgtFrame="_blank" w:history="1">
        <w:r w:rsidRPr="00956057">
          <w:rPr>
            <w:rStyle w:val="Hyperlink"/>
            <w:rFonts w:asciiTheme="majorBidi" w:hAnsiTheme="majorBidi" w:cstheme="majorBidi"/>
            <w:sz w:val="24"/>
            <w:szCs w:val="24"/>
          </w:rPr>
          <w:t>10.1136/annrheumdis-2013-203715</w:t>
        </w:r>
      </w:hyperlink>
    </w:p>
    <w:p w14:paraId="6E6AE6DC" w14:textId="5C748290"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Bergstrom, U., Jacobsson, L. T. H., Nilsson, J., Berglund, G., &amp; Turesson, C. (2011). Pulmonary dysfunction, smoking, socioeconomic status and the risk of developing rheumatoid arthritis. </w:t>
      </w:r>
      <w:r w:rsidRPr="00956057">
        <w:rPr>
          <w:rFonts w:asciiTheme="majorBidi" w:hAnsiTheme="majorBidi" w:cstheme="majorBidi"/>
          <w:i/>
          <w:iCs/>
          <w:sz w:val="24"/>
          <w:szCs w:val="24"/>
        </w:rPr>
        <w:t>Rheumatology</w:t>
      </w:r>
      <w:r w:rsidRPr="00956057">
        <w:rPr>
          <w:rFonts w:asciiTheme="majorBidi" w:hAnsiTheme="majorBidi" w:cstheme="majorBidi"/>
          <w:sz w:val="24"/>
          <w:szCs w:val="24"/>
        </w:rPr>
        <w:t>, 50(11), 2005–2013.</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19" w:tgtFrame="_blank" w:history="1">
        <w:r w:rsidRPr="00956057">
          <w:rPr>
            <w:rStyle w:val="Hyperlink"/>
            <w:rFonts w:asciiTheme="majorBidi" w:hAnsiTheme="majorBidi" w:cstheme="majorBidi"/>
            <w:sz w:val="24"/>
            <w:szCs w:val="24"/>
          </w:rPr>
          <w:t>10.1093/rheumatology/ker258</w:t>
        </w:r>
      </w:hyperlink>
    </w:p>
    <w:p w14:paraId="16276FCC" w14:textId="2FEED31D"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Boscarino, J. A. (2004). Posttraumatic stress disorder and physical illness: Results from clinical and epidemiologic studies. </w:t>
      </w:r>
      <w:r w:rsidRPr="00956057">
        <w:rPr>
          <w:rFonts w:asciiTheme="majorBidi" w:hAnsiTheme="majorBidi" w:cstheme="majorBidi"/>
          <w:i/>
          <w:iCs/>
          <w:sz w:val="24"/>
          <w:szCs w:val="24"/>
        </w:rPr>
        <w:t>Annals of the New York Academy of Sciences</w:t>
      </w:r>
      <w:r w:rsidRPr="00956057">
        <w:rPr>
          <w:rFonts w:asciiTheme="majorBidi" w:hAnsiTheme="majorBidi" w:cstheme="majorBidi"/>
          <w:sz w:val="24"/>
          <w:szCs w:val="24"/>
        </w:rPr>
        <w:t>, 1032(1), 141–153. DOI: </w:t>
      </w:r>
      <w:hyperlink r:id="rId20" w:tgtFrame="_blank" w:history="1">
        <w:r w:rsidRPr="00956057">
          <w:rPr>
            <w:rStyle w:val="Hyperlink"/>
            <w:rFonts w:asciiTheme="majorBidi" w:hAnsiTheme="majorBidi" w:cstheme="majorBidi"/>
            <w:sz w:val="24"/>
            <w:szCs w:val="24"/>
          </w:rPr>
          <w:t>10.1196/annals.1314.011</w:t>
        </w:r>
      </w:hyperlink>
    </w:p>
    <w:p w14:paraId="01F8B1EA" w14:textId="5DE05741"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lastRenderedPageBreak/>
        <w:t>Bullock, J., Rizvi, S. A. A., Saleh, A. M., Ahmed, S. S., Do, D. P., Ansari, R. A., &amp; Ahmed, J. (2018). Rheumatoid arthritis: A brief overview of the treatment. </w:t>
      </w:r>
      <w:r w:rsidRPr="00956057">
        <w:rPr>
          <w:rFonts w:asciiTheme="majorBidi" w:hAnsiTheme="majorBidi" w:cstheme="majorBidi"/>
          <w:i/>
          <w:iCs/>
          <w:sz w:val="24"/>
          <w:szCs w:val="24"/>
        </w:rPr>
        <w:t>Medical Principles and Practice</w:t>
      </w:r>
      <w:r w:rsidRPr="00956057">
        <w:rPr>
          <w:rFonts w:asciiTheme="majorBidi" w:hAnsiTheme="majorBidi" w:cstheme="majorBidi"/>
          <w:sz w:val="24"/>
          <w:szCs w:val="24"/>
        </w:rPr>
        <w:t>, 27(6), 501–507. DOI: </w:t>
      </w:r>
      <w:hyperlink r:id="rId21" w:tgtFrame="_blank" w:history="1">
        <w:r w:rsidRPr="00956057">
          <w:rPr>
            <w:rStyle w:val="Hyperlink"/>
            <w:rFonts w:asciiTheme="majorBidi" w:hAnsiTheme="majorBidi" w:cstheme="majorBidi"/>
            <w:sz w:val="24"/>
            <w:szCs w:val="24"/>
          </w:rPr>
          <w:t>10.1159/000493390</w:t>
        </w:r>
      </w:hyperlink>
    </w:p>
    <w:p w14:paraId="3CCE1874" w14:textId="2E2E5CE4"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Chemin, K., </w:t>
      </w:r>
      <w:proofErr w:type="spellStart"/>
      <w:r w:rsidRPr="00956057">
        <w:rPr>
          <w:rFonts w:asciiTheme="majorBidi" w:hAnsiTheme="majorBidi" w:cstheme="majorBidi"/>
          <w:sz w:val="24"/>
          <w:szCs w:val="24"/>
        </w:rPr>
        <w:t>Klareskog</w:t>
      </w:r>
      <w:proofErr w:type="spellEnd"/>
      <w:r w:rsidRPr="00956057">
        <w:rPr>
          <w:rFonts w:asciiTheme="majorBidi" w:hAnsiTheme="majorBidi" w:cstheme="majorBidi"/>
          <w:sz w:val="24"/>
          <w:szCs w:val="24"/>
        </w:rPr>
        <w:t>, L., &amp; Malmström, V. (2016). Is rheumatoid arthritis an autoimmune disease? </w:t>
      </w:r>
      <w:r w:rsidRPr="00956057">
        <w:rPr>
          <w:rFonts w:asciiTheme="majorBidi" w:hAnsiTheme="majorBidi" w:cstheme="majorBidi"/>
          <w:i/>
          <w:iCs/>
          <w:sz w:val="24"/>
          <w:szCs w:val="24"/>
        </w:rPr>
        <w:t>Current Opinion in Rheumatology</w:t>
      </w:r>
      <w:r w:rsidRPr="00956057">
        <w:rPr>
          <w:rFonts w:asciiTheme="majorBidi" w:hAnsiTheme="majorBidi" w:cstheme="majorBidi"/>
          <w:sz w:val="24"/>
          <w:szCs w:val="24"/>
        </w:rPr>
        <w:t>, 28(2), 181–188.</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22" w:tgtFrame="_blank" w:history="1">
        <w:r w:rsidRPr="00956057">
          <w:rPr>
            <w:rStyle w:val="Hyperlink"/>
            <w:rFonts w:asciiTheme="majorBidi" w:hAnsiTheme="majorBidi" w:cstheme="majorBidi"/>
            <w:sz w:val="24"/>
            <w:szCs w:val="24"/>
          </w:rPr>
          <w:t>10.1097/BOR.0000000000000255</w:t>
        </w:r>
      </w:hyperlink>
    </w:p>
    <w:p w14:paraId="498CE7B2" w14:textId="58DD5190"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lang w:val="fr-FR"/>
        </w:rPr>
        <w:t>Cojocaru</w:t>
      </w:r>
      <w:proofErr w:type="spellEnd"/>
      <w:r w:rsidRPr="00956057">
        <w:rPr>
          <w:rFonts w:asciiTheme="majorBidi" w:hAnsiTheme="majorBidi" w:cstheme="majorBidi"/>
          <w:sz w:val="24"/>
          <w:szCs w:val="24"/>
          <w:lang w:val="fr-FR"/>
        </w:rPr>
        <w:t xml:space="preserve">, M., </w:t>
      </w:r>
      <w:proofErr w:type="spellStart"/>
      <w:r w:rsidRPr="00956057">
        <w:rPr>
          <w:rFonts w:asciiTheme="majorBidi" w:hAnsiTheme="majorBidi" w:cstheme="majorBidi"/>
          <w:sz w:val="24"/>
          <w:szCs w:val="24"/>
          <w:lang w:val="fr-FR"/>
        </w:rPr>
        <w:t>Cojocaru</w:t>
      </w:r>
      <w:proofErr w:type="spellEnd"/>
      <w:r w:rsidRPr="00956057">
        <w:rPr>
          <w:rFonts w:asciiTheme="majorBidi" w:hAnsiTheme="majorBidi" w:cstheme="majorBidi"/>
          <w:sz w:val="24"/>
          <w:szCs w:val="24"/>
          <w:lang w:val="fr-FR"/>
        </w:rPr>
        <w:t xml:space="preserve">, I. M., </w:t>
      </w:r>
      <w:proofErr w:type="spellStart"/>
      <w:r w:rsidRPr="00956057">
        <w:rPr>
          <w:rFonts w:asciiTheme="majorBidi" w:hAnsiTheme="majorBidi" w:cstheme="majorBidi"/>
          <w:sz w:val="24"/>
          <w:szCs w:val="24"/>
          <w:lang w:val="fr-FR"/>
        </w:rPr>
        <w:t>Silosi</w:t>
      </w:r>
      <w:proofErr w:type="spellEnd"/>
      <w:r w:rsidRPr="00956057">
        <w:rPr>
          <w:rFonts w:asciiTheme="majorBidi" w:hAnsiTheme="majorBidi" w:cstheme="majorBidi"/>
          <w:sz w:val="24"/>
          <w:szCs w:val="24"/>
          <w:lang w:val="fr-FR"/>
        </w:rPr>
        <w:t xml:space="preserve">, I., </w:t>
      </w:r>
      <w:proofErr w:type="spellStart"/>
      <w:r w:rsidRPr="00956057">
        <w:rPr>
          <w:rFonts w:asciiTheme="majorBidi" w:hAnsiTheme="majorBidi" w:cstheme="majorBidi"/>
          <w:sz w:val="24"/>
          <w:szCs w:val="24"/>
          <w:lang w:val="fr-FR"/>
        </w:rPr>
        <w:t>Vrabie</w:t>
      </w:r>
      <w:proofErr w:type="spellEnd"/>
      <w:r w:rsidRPr="00956057">
        <w:rPr>
          <w:rFonts w:asciiTheme="majorBidi" w:hAnsiTheme="majorBidi" w:cstheme="majorBidi"/>
          <w:sz w:val="24"/>
          <w:szCs w:val="24"/>
          <w:lang w:val="fr-FR"/>
        </w:rPr>
        <w:t xml:space="preserve">, C. D., &amp; </w:t>
      </w:r>
      <w:proofErr w:type="spellStart"/>
      <w:r w:rsidRPr="00956057">
        <w:rPr>
          <w:rFonts w:asciiTheme="majorBidi" w:hAnsiTheme="majorBidi" w:cstheme="majorBidi"/>
          <w:sz w:val="24"/>
          <w:szCs w:val="24"/>
          <w:lang w:val="fr-FR"/>
        </w:rPr>
        <w:t>Tanasescu</w:t>
      </w:r>
      <w:proofErr w:type="spellEnd"/>
      <w:r w:rsidRPr="00956057">
        <w:rPr>
          <w:rFonts w:asciiTheme="majorBidi" w:hAnsiTheme="majorBidi" w:cstheme="majorBidi"/>
          <w:sz w:val="24"/>
          <w:szCs w:val="24"/>
          <w:lang w:val="fr-FR"/>
        </w:rPr>
        <w:t xml:space="preserve">, R. (2010). </w:t>
      </w:r>
      <w:r w:rsidRPr="00956057">
        <w:rPr>
          <w:rFonts w:asciiTheme="majorBidi" w:hAnsiTheme="majorBidi" w:cstheme="majorBidi"/>
          <w:sz w:val="24"/>
          <w:szCs w:val="24"/>
        </w:rPr>
        <w:t>Extra-articular manifestations in rheumatoid arthritis. </w:t>
      </w:r>
      <w:proofErr w:type="spellStart"/>
      <w:r w:rsidRPr="00956057">
        <w:rPr>
          <w:rFonts w:asciiTheme="majorBidi" w:hAnsiTheme="majorBidi" w:cstheme="majorBidi"/>
          <w:i/>
          <w:iCs/>
          <w:sz w:val="24"/>
          <w:szCs w:val="24"/>
        </w:rPr>
        <w:t>Maedica</w:t>
      </w:r>
      <w:proofErr w:type="spellEnd"/>
      <w:r w:rsidR="00956057" w:rsidRPr="00956057">
        <w:rPr>
          <w:rFonts w:asciiTheme="majorBidi" w:hAnsiTheme="majorBidi" w:cstheme="majorBidi"/>
          <w:sz w:val="24"/>
          <w:szCs w:val="24"/>
        </w:rPr>
        <w:t>, 5(4), 286–291.DOI: </w:t>
      </w:r>
      <w:hyperlink r:id="rId23" w:history="1">
        <w:r w:rsidR="00956057" w:rsidRPr="00956057">
          <w:rPr>
            <w:rStyle w:val="Hyperlink"/>
            <w:rFonts w:asciiTheme="majorBidi" w:hAnsiTheme="majorBidi" w:cstheme="majorBidi"/>
            <w:sz w:val="24"/>
            <w:szCs w:val="24"/>
          </w:rPr>
          <w:t>21977172</w:t>
        </w:r>
      </w:hyperlink>
      <w:r w:rsidRPr="00956057">
        <w:rPr>
          <w:rFonts w:asciiTheme="majorBidi" w:hAnsiTheme="majorBidi" w:cstheme="majorBidi"/>
          <w:sz w:val="24"/>
          <w:szCs w:val="24"/>
        </w:rPr>
        <w:t>.</w:t>
      </w:r>
    </w:p>
    <w:p w14:paraId="3DA16211" w14:textId="08F115CB"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lang w:val="fr-FR"/>
        </w:rPr>
        <w:t>Conforti</w:t>
      </w:r>
      <w:proofErr w:type="spellEnd"/>
      <w:r w:rsidRPr="00956057">
        <w:rPr>
          <w:rFonts w:asciiTheme="majorBidi" w:hAnsiTheme="majorBidi" w:cstheme="majorBidi"/>
          <w:sz w:val="24"/>
          <w:szCs w:val="24"/>
          <w:lang w:val="fr-FR"/>
        </w:rPr>
        <w:t xml:space="preserve">, A., Di Cola, I., </w:t>
      </w:r>
      <w:proofErr w:type="spellStart"/>
      <w:r w:rsidRPr="00956057">
        <w:rPr>
          <w:rFonts w:asciiTheme="majorBidi" w:hAnsiTheme="majorBidi" w:cstheme="majorBidi"/>
          <w:sz w:val="24"/>
          <w:szCs w:val="24"/>
          <w:lang w:val="fr-FR"/>
        </w:rPr>
        <w:t>Pavlych</w:t>
      </w:r>
      <w:proofErr w:type="spellEnd"/>
      <w:r w:rsidRPr="00956057">
        <w:rPr>
          <w:rFonts w:asciiTheme="majorBidi" w:hAnsiTheme="majorBidi" w:cstheme="majorBidi"/>
          <w:sz w:val="24"/>
          <w:szCs w:val="24"/>
          <w:lang w:val="fr-FR"/>
        </w:rPr>
        <w:t xml:space="preserve">, V., </w:t>
      </w:r>
      <w:proofErr w:type="spellStart"/>
      <w:r w:rsidRPr="00956057">
        <w:rPr>
          <w:rFonts w:asciiTheme="majorBidi" w:hAnsiTheme="majorBidi" w:cstheme="majorBidi"/>
          <w:sz w:val="24"/>
          <w:szCs w:val="24"/>
          <w:lang w:val="fr-FR"/>
        </w:rPr>
        <w:t>Ruscitti</w:t>
      </w:r>
      <w:proofErr w:type="spellEnd"/>
      <w:r w:rsidRPr="00956057">
        <w:rPr>
          <w:rFonts w:asciiTheme="majorBidi" w:hAnsiTheme="majorBidi" w:cstheme="majorBidi"/>
          <w:sz w:val="24"/>
          <w:szCs w:val="24"/>
          <w:lang w:val="fr-FR"/>
        </w:rPr>
        <w:t xml:space="preserve">, P., </w:t>
      </w:r>
      <w:proofErr w:type="spellStart"/>
      <w:r w:rsidRPr="00956057">
        <w:rPr>
          <w:rFonts w:asciiTheme="majorBidi" w:hAnsiTheme="majorBidi" w:cstheme="majorBidi"/>
          <w:sz w:val="24"/>
          <w:szCs w:val="24"/>
          <w:lang w:val="fr-FR"/>
        </w:rPr>
        <w:t>Berardicurti</w:t>
      </w:r>
      <w:proofErr w:type="spellEnd"/>
      <w:r w:rsidRPr="00956057">
        <w:rPr>
          <w:rFonts w:asciiTheme="majorBidi" w:hAnsiTheme="majorBidi" w:cstheme="majorBidi"/>
          <w:sz w:val="24"/>
          <w:szCs w:val="24"/>
          <w:lang w:val="fr-FR"/>
        </w:rPr>
        <w:t xml:space="preserve">, O., </w:t>
      </w:r>
      <w:proofErr w:type="spellStart"/>
      <w:r w:rsidRPr="00956057">
        <w:rPr>
          <w:rFonts w:asciiTheme="majorBidi" w:hAnsiTheme="majorBidi" w:cstheme="majorBidi"/>
          <w:sz w:val="24"/>
          <w:szCs w:val="24"/>
          <w:lang w:val="fr-FR"/>
        </w:rPr>
        <w:t>Ursini</w:t>
      </w:r>
      <w:proofErr w:type="spellEnd"/>
      <w:r w:rsidRPr="00956057">
        <w:rPr>
          <w:rFonts w:asciiTheme="majorBidi" w:hAnsiTheme="majorBidi" w:cstheme="majorBidi"/>
          <w:sz w:val="24"/>
          <w:szCs w:val="24"/>
          <w:lang w:val="fr-FR"/>
        </w:rPr>
        <w:t xml:space="preserve">, F., ... </w:t>
      </w:r>
      <w:r w:rsidRPr="00956057">
        <w:rPr>
          <w:rFonts w:asciiTheme="majorBidi" w:hAnsiTheme="majorBidi" w:cstheme="majorBidi"/>
          <w:sz w:val="24"/>
          <w:szCs w:val="24"/>
        </w:rPr>
        <w:t>&amp; Cipriani, P. (2020). Beyond the joints, the extra-articular manifestations in rheumatoid arthritis. </w:t>
      </w:r>
      <w:r w:rsidRPr="00956057">
        <w:rPr>
          <w:rFonts w:asciiTheme="majorBidi" w:hAnsiTheme="majorBidi" w:cstheme="majorBidi"/>
          <w:i/>
          <w:iCs/>
          <w:sz w:val="24"/>
          <w:szCs w:val="24"/>
        </w:rPr>
        <w:t>Autoimmunity Reviews</w:t>
      </w:r>
      <w:r w:rsidRPr="00956057">
        <w:rPr>
          <w:rFonts w:asciiTheme="majorBidi" w:hAnsiTheme="majorBidi" w:cstheme="majorBidi"/>
          <w:sz w:val="24"/>
          <w:szCs w:val="24"/>
        </w:rPr>
        <w:t>, 20(2), 102735. DOI: </w:t>
      </w:r>
      <w:hyperlink r:id="rId24" w:tgtFrame="_blank" w:history="1">
        <w:r w:rsidRPr="00956057">
          <w:rPr>
            <w:rStyle w:val="Hyperlink"/>
            <w:rFonts w:asciiTheme="majorBidi" w:hAnsiTheme="majorBidi" w:cstheme="majorBidi"/>
            <w:sz w:val="24"/>
            <w:szCs w:val="24"/>
          </w:rPr>
          <w:t>10.1016/j.autrev.2020.102735</w:t>
        </w:r>
      </w:hyperlink>
    </w:p>
    <w:p w14:paraId="733C0E2C" w14:textId="13C3BD37"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Costenbader, K. H. (2008). Geographic variation in rheumatoid arthritis incidence among women in the United States. </w:t>
      </w:r>
      <w:r w:rsidRPr="00956057">
        <w:rPr>
          <w:rFonts w:asciiTheme="majorBidi" w:hAnsiTheme="majorBidi" w:cstheme="majorBidi"/>
          <w:i/>
          <w:iCs/>
          <w:sz w:val="24"/>
          <w:szCs w:val="24"/>
        </w:rPr>
        <w:t>Archives of Internal Medicine</w:t>
      </w:r>
      <w:r w:rsidRPr="00956057">
        <w:rPr>
          <w:rFonts w:asciiTheme="majorBidi" w:hAnsiTheme="majorBidi" w:cstheme="majorBidi"/>
          <w:sz w:val="24"/>
          <w:szCs w:val="24"/>
        </w:rPr>
        <w:t>, 168(15), 1664.</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25" w:tgtFrame="_blank" w:history="1">
        <w:r w:rsidRPr="00956057">
          <w:rPr>
            <w:rStyle w:val="Hyperlink"/>
            <w:rFonts w:asciiTheme="majorBidi" w:hAnsiTheme="majorBidi" w:cstheme="majorBidi"/>
            <w:sz w:val="24"/>
            <w:szCs w:val="24"/>
          </w:rPr>
          <w:t>10.1001/archinte.168.15.1664</w:t>
        </w:r>
      </w:hyperlink>
    </w:p>
    <w:p w14:paraId="61F8B2AE" w14:textId="16599BF5"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Costenbader, K. H., Gay, S., Alarcón-Riquelme, M. E., Iaccarino, L., &amp; Doria, A. (2011). Genes, epigenetic regulation and environmental factors: Which is the most relevant in developing autoimmune diseases? </w:t>
      </w:r>
      <w:r w:rsidRPr="00956057">
        <w:rPr>
          <w:rFonts w:asciiTheme="majorBidi" w:hAnsiTheme="majorBidi" w:cstheme="majorBidi"/>
          <w:i/>
          <w:iCs/>
          <w:sz w:val="24"/>
          <w:szCs w:val="24"/>
        </w:rPr>
        <w:t>Autoimmunity Reviews</w:t>
      </w:r>
      <w:r w:rsidRPr="00956057">
        <w:rPr>
          <w:rFonts w:asciiTheme="majorBidi" w:hAnsiTheme="majorBidi" w:cstheme="majorBidi"/>
          <w:sz w:val="24"/>
          <w:szCs w:val="24"/>
        </w:rPr>
        <w:t>, 11(8), 604–609.</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26" w:tgtFrame="_blank" w:history="1">
        <w:r w:rsidRPr="00956057">
          <w:rPr>
            <w:rStyle w:val="Hyperlink"/>
            <w:rFonts w:asciiTheme="majorBidi" w:hAnsiTheme="majorBidi" w:cstheme="majorBidi"/>
            <w:sz w:val="24"/>
            <w:szCs w:val="24"/>
          </w:rPr>
          <w:t>10.1016/j.autrev.2011.10.022</w:t>
        </w:r>
      </w:hyperlink>
    </w:p>
    <w:p w14:paraId="1CEBB16D" w14:textId="0F4A939E"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Crowson, C. S., Matteson, E. L., Davis, J. M., &amp; Gabriel, S. E. (2012). Contribution of obesity to the rise in incidence of rheumatoid arthritis. </w:t>
      </w:r>
      <w:r w:rsidRPr="00956057">
        <w:rPr>
          <w:rFonts w:asciiTheme="majorBidi" w:hAnsiTheme="majorBidi" w:cstheme="majorBidi"/>
          <w:i/>
          <w:iCs/>
          <w:sz w:val="24"/>
          <w:szCs w:val="24"/>
        </w:rPr>
        <w:t>Arthritis Care &amp; Research</w:t>
      </w:r>
      <w:r w:rsidRPr="00956057">
        <w:rPr>
          <w:rFonts w:asciiTheme="majorBidi" w:hAnsiTheme="majorBidi" w:cstheme="majorBidi"/>
          <w:sz w:val="24"/>
          <w:szCs w:val="24"/>
        </w:rPr>
        <w:t>, 65(1), 71–77. DOI: </w:t>
      </w:r>
      <w:hyperlink r:id="rId27" w:tgtFrame="_blank" w:history="1">
        <w:r w:rsidRPr="00956057">
          <w:rPr>
            <w:rStyle w:val="Hyperlink"/>
            <w:rFonts w:asciiTheme="majorBidi" w:hAnsiTheme="majorBidi" w:cstheme="majorBidi"/>
            <w:sz w:val="24"/>
            <w:szCs w:val="24"/>
          </w:rPr>
          <w:t>10.1002/acr.21660</w:t>
        </w:r>
      </w:hyperlink>
    </w:p>
    <w:p w14:paraId="190271E0" w14:textId="1A3F838C"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lang w:val="fr-FR"/>
        </w:rPr>
        <w:t>Curran</w:t>
      </w:r>
      <w:proofErr w:type="spellEnd"/>
      <w:r w:rsidRPr="00956057">
        <w:rPr>
          <w:rFonts w:asciiTheme="majorBidi" w:hAnsiTheme="majorBidi" w:cstheme="majorBidi"/>
          <w:sz w:val="24"/>
          <w:szCs w:val="24"/>
          <w:lang w:val="fr-FR"/>
        </w:rPr>
        <w:t xml:space="preserve">, A. M., Naik, P., Giles, J. T., &amp; </w:t>
      </w:r>
      <w:proofErr w:type="spellStart"/>
      <w:r w:rsidRPr="00956057">
        <w:rPr>
          <w:rFonts w:asciiTheme="majorBidi" w:hAnsiTheme="majorBidi" w:cstheme="majorBidi"/>
          <w:sz w:val="24"/>
          <w:szCs w:val="24"/>
          <w:lang w:val="fr-FR"/>
        </w:rPr>
        <w:t>Darrah</w:t>
      </w:r>
      <w:proofErr w:type="spellEnd"/>
      <w:r w:rsidRPr="00956057">
        <w:rPr>
          <w:rFonts w:asciiTheme="majorBidi" w:hAnsiTheme="majorBidi" w:cstheme="majorBidi"/>
          <w:sz w:val="24"/>
          <w:szCs w:val="24"/>
          <w:lang w:val="fr-FR"/>
        </w:rPr>
        <w:t xml:space="preserve">, E. (2020). </w:t>
      </w:r>
      <w:r w:rsidRPr="00956057">
        <w:rPr>
          <w:rFonts w:asciiTheme="majorBidi" w:hAnsiTheme="majorBidi" w:cstheme="majorBidi"/>
          <w:sz w:val="24"/>
          <w:szCs w:val="24"/>
        </w:rPr>
        <w:t>PAD enzymes in rheumatoid arthritis: Pathogenic effectors and autoimmune targets. </w:t>
      </w:r>
      <w:r w:rsidRPr="00956057">
        <w:rPr>
          <w:rFonts w:asciiTheme="majorBidi" w:hAnsiTheme="majorBidi" w:cstheme="majorBidi"/>
          <w:i/>
          <w:iCs/>
          <w:sz w:val="24"/>
          <w:szCs w:val="24"/>
        </w:rPr>
        <w:t>Nature Reviews Rheumatology</w:t>
      </w:r>
      <w:r w:rsidRPr="00956057">
        <w:rPr>
          <w:rFonts w:asciiTheme="majorBidi" w:hAnsiTheme="majorBidi" w:cstheme="majorBidi"/>
          <w:sz w:val="24"/>
          <w:szCs w:val="24"/>
        </w:rPr>
        <w:t>, 16(6), 301–315. DOI: </w:t>
      </w:r>
      <w:hyperlink r:id="rId28" w:tgtFrame="_blank" w:history="1">
        <w:r w:rsidRPr="00956057">
          <w:rPr>
            <w:rStyle w:val="Hyperlink"/>
            <w:rFonts w:asciiTheme="majorBidi" w:hAnsiTheme="majorBidi" w:cstheme="majorBidi"/>
            <w:sz w:val="24"/>
            <w:szCs w:val="24"/>
          </w:rPr>
          <w:t>10.1038/s41584-020-0403-7</w:t>
        </w:r>
      </w:hyperlink>
    </w:p>
    <w:p w14:paraId="0DD75899" w14:textId="47609B57"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Dasgupta, R., &amp; </w:t>
      </w:r>
      <w:proofErr w:type="spellStart"/>
      <w:r w:rsidRPr="00956057">
        <w:rPr>
          <w:rFonts w:asciiTheme="majorBidi" w:hAnsiTheme="majorBidi" w:cstheme="majorBidi"/>
          <w:sz w:val="24"/>
          <w:szCs w:val="24"/>
        </w:rPr>
        <w:t>Koolaee</w:t>
      </w:r>
      <w:proofErr w:type="spellEnd"/>
      <w:r w:rsidRPr="00956057">
        <w:rPr>
          <w:rFonts w:asciiTheme="majorBidi" w:hAnsiTheme="majorBidi" w:cstheme="majorBidi"/>
          <w:sz w:val="24"/>
          <w:szCs w:val="24"/>
        </w:rPr>
        <w:t>, R. M. (2016). Medicine morning report: Beyond the pearls e-book. </w:t>
      </w:r>
      <w:r w:rsidRPr="00956057">
        <w:rPr>
          <w:rFonts w:asciiTheme="majorBidi" w:hAnsiTheme="majorBidi" w:cstheme="majorBidi"/>
          <w:i/>
          <w:iCs/>
          <w:sz w:val="24"/>
          <w:szCs w:val="24"/>
        </w:rPr>
        <w:t>Elsevier Health Sciences</w:t>
      </w:r>
      <w:r w:rsidR="00956057" w:rsidRPr="00956057">
        <w:rPr>
          <w:rFonts w:asciiTheme="majorBidi" w:hAnsiTheme="majorBidi" w:cstheme="majorBidi"/>
          <w:sz w:val="24"/>
          <w:szCs w:val="24"/>
        </w:rPr>
        <w:t>.</w:t>
      </w:r>
    </w:p>
    <w:p w14:paraId="196E9E3B" w14:textId="330C626C"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Dowlati, Y., Herrmann, N., </w:t>
      </w:r>
      <w:proofErr w:type="spellStart"/>
      <w:r w:rsidRPr="00956057">
        <w:rPr>
          <w:rFonts w:asciiTheme="majorBidi" w:hAnsiTheme="majorBidi" w:cstheme="majorBidi"/>
          <w:sz w:val="24"/>
          <w:szCs w:val="24"/>
        </w:rPr>
        <w:t>Swardfager</w:t>
      </w:r>
      <w:proofErr w:type="spellEnd"/>
      <w:r w:rsidRPr="00956057">
        <w:rPr>
          <w:rFonts w:asciiTheme="majorBidi" w:hAnsiTheme="majorBidi" w:cstheme="majorBidi"/>
          <w:sz w:val="24"/>
          <w:szCs w:val="24"/>
        </w:rPr>
        <w:t xml:space="preserve">, W., Liu, H., Sham, L., Reim, E. K., &amp; </w:t>
      </w:r>
      <w:proofErr w:type="spellStart"/>
      <w:r w:rsidRPr="00956057">
        <w:rPr>
          <w:rFonts w:asciiTheme="majorBidi" w:hAnsiTheme="majorBidi" w:cstheme="majorBidi"/>
          <w:sz w:val="24"/>
          <w:szCs w:val="24"/>
        </w:rPr>
        <w:t>Lanctôt</w:t>
      </w:r>
      <w:proofErr w:type="spellEnd"/>
      <w:r w:rsidRPr="00956057">
        <w:rPr>
          <w:rFonts w:asciiTheme="majorBidi" w:hAnsiTheme="majorBidi" w:cstheme="majorBidi"/>
          <w:sz w:val="24"/>
          <w:szCs w:val="24"/>
        </w:rPr>
        <w:t>, K. L. (2009). A meta-analysis of cytokines in major depression. </w:t>
      </w:r>
      <w:r w:rsidRPr="00956057">
        <w:rPr>
          <w:rFonts w:asciiTheme="majorBidi" w:hAnsiTheme="majorBidi" w:cstheme="majorBidi"/>
          <w:i/>
          <w:iCs/>
          <w:sz w:val="24"/>
          <w:szCs w:val="24"/>
        </w:rPr>
        <w:t>Biological Psychiatry</w:t>
      </w:r>
      <w:r w:rsidRPr="00956057">
        <w:rPr>
          <w:rFonts w:asciiTheme="majorBidi" w:hAnsiTheme="majorBidi" w:cstheme="majorBidi"/>
          <w:sz w:val="24"/>
          <w:szCs w:val="24"/>
        </w:rPr>
        <w:t>, 67(5), 446–457. DOI: </w:t>
      </w:r>
      <w:hyperlink r:id="rId29" w:tgtFrame="_blank" w:history="1">
        <w:r w:rsidRPr="00956057">
          <w:rPr>
            <w:rStyle w:val="Hyperlink"/>
            <w:rFonts w:asciiTheme="majorBidi" w:hAnsiTheme="majorBidi" w:cstheme="majorBidi"/>
            <w:sz w:val="24"/>
            <w:szCs w:val="24"/>
          </w:rPr>
          <w:t>10.1016/j.biopsych.2009.09.033</w:t>
        </w:r>
      </w:hyperlink>
    </w:p>
    <w:p w14:paraId="43B8FD33" w14:textId="2B226F26"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Edilova</w:t>
      </w:r>
      <w:proofErr w:type="spellEnd"/>
      <w:r w:rsidRPr="00956057">
        <w:rPr>
          <w:rFonts w:asciiTheme="majorBidi" w:hAnsiTheme="majorBidi" w:cstheme="majorBidi"/>
          <w:sz w:val="24"/>
          <w:szCs w:val="24"/>
        </w:rPr>
        <w:t>, M. I., Akram, A., &amp; Abdul-Sater, A. A. (2021). Innate immunity drives pathogenesis of rheumatoid arthritis. </w:t>
      </w:r>
      <w:r w:rsidRPr="00956057">
        <w:rPr>
          <w:rFonts w:asciiTheme="majorBidi" w:hAnsiTheme="majorBidi" w:cstheme="majorBidi"/>
          <w:i/>
          <w:iCs/>
          <w:sz w:val="24"/>
          <w:szCs w:val="24"/>
        </w:rPr>
        <w:t>Biomedical Journal</w:t>
      </w:r>
      <w:r w:rsidRPr="00956057">
        <w:rPr>
          <w:rFonts w:asciiTheme="majorBidi" w:hAnsiTheme="majorBidi" w:cstheme="majorBidi"/>
          <w:sz w:val="24"/>
          <w:szCs w:val="24"/>
        </w:rPr>
        <w:t>, 44(2), 172–182.</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30" w:tgtFrame="_blank" w:history="1">
        <w:r w:rsidRPr="00956057">
          <w:rPr>
            <w:rStyle w:val="Hyperlink"/>
            <w:rFonts w:asciiTheme="majorBidi" w:hAnsiTheme="majorBidi" w:cstheme="majorBidi"/>
            <w:sz w:val="24"/>
            <w:szCs w:val="24"/>
          </w:rPr>
          <w:t>10.1016/j.bj.2020.12.005</w:t>
        </w:r>
      </w:hyperlink>
    </w:p>
    <w:p w14:paraId="2AD6571C" w14:textId="1B863BC2"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lang w:val="fr-FR"/>
        </w:rPr>
        <w:t xml:space="preserve">Fang, Q., Zhou, C., &amp; </w:t>
      </w:r>
      <w:proofErr w:type="spellStart"/>
      <w:r w:rsidRPr="00956057">
        <w:rPr>
          <w:rFonts w:asciiTheme="majorBidi" w:hAnsiTheme="majorBidi" w:cstheme="majorBidi"/>
          <w:sz w:val="24"/>
          <w:szCs w:val="24"/>
          <w:lang w:val="fr-FR"/>
        </w:rPr>
        <w:t>Nandakumar</w:t>
      </w:r>
      <w:proofErr w:type="spellEnd"/>
      <w:r w:rsidRPr="00956057">
        <w:rPr>
          <w:rFonts w:asciiTheme="majorBidi" w:hAnsiTheme="majorBidi" w:cstheme="majorBidi"/>
          <w:sz w:val="24"/>
          <w:szCs w:val="24"/>
          <w:lang w:val="fr-FR"/>
        </w:rPr>
        <w:t xml:space="preserve">, K. S. (2020). </w:t>
      </w:r>
      <w:r w:rsidRPr="00956057">
        <w:rPr>
          <w:rFonts w:asciiTheme="majorBidi" w:hAnsiTheme="majorBidi" w:cstheme="majorBidi"/>
          <w:sz w:val="24"/>
          <w:szCs w:val="24"/>
        </w:rPr>
        <w:t>Molecular and cellular pathways contributing to joint damage in rheumatoid arthritis. </w:t>
      </w:r>
      <w:r w:rsidRPr="00956057">
        <w:rPr>
          <w:rFonts w:asciiTheme="majorBidi" w:hAnsiTheme="majorBidi" w:cstheme="majorBidi"/>
          <w:i/>
          <w:iCs/>
          <w:sz w:val="24"/>
          <w:szCs w:val="24"/>
        </w:rPr>
        <w:t>Mediators of Inflammation</w:t>
      </w:r>
      <w:r w:rsidRPr="00956057">
        <w:rPr>
          <w:rFonts w:asciiTheme="majorBidi" w:hAnsiTheme="majorBidi" w:cstheme="majorBidi"/>
          <w:sz w:val="24"/>
          <w:szCs w:val="24"/>
        </w:rPr>
        <w:t>, 2020, 3830212. DOI: </w:t>
      </w:r>
      <w:hyperlink r:id="rId31" w:tgtFrame="_blank" w:history="1">
        <w:r w:rsidRPr="00956057">
          <w:rPr>
            <w:rStyle w:val="Hyperlink"/>
            <w:rFonts w:asciiTheme="majorBidi" w:hAnsiTheme="majorBidi" w:cstheme="majorBidi"/>
            <w:sz w:val="24"/>
            <w:szCs w:val="24"/>
          </w:rPr>
          <w:t>10.1155/2020/3830212</w:t>
        </w:r>
      </w:hyperlink>
    </w:p>
    <w:p w14:paraId="7BD88EE1" w14:textId="68753BF7"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Farh, K. K., Marson, A., Zhu, J., </w:t>
      </w:r>
      <w:proofErr w:type="spellStart"/>
      <w:r w:rsidRPr="00956057">
        <w:rPr>
          <w:rFonts w:asciiTheme="majorBidi" w:hAnsiTheme="majorBidi" w:cstheme="majorBidi"/>
          <w:sz w:val="24"/>
          <w:szCs w:val="24"/>
        </w:rPr>
        <w:t>Kleinewietfeld</w:t>
      </w:r>
      <w:proofErr w:type="spellEnd"/>
      <w:r w:rsidRPr="00956057">
        <w:rPr>
          <w:rFonts w:asciiTheme="majorBidi" w:hAnsiTheme="majorBidi" w:cstheme="majorBidi"/>
          <w:sz w:val="24"/>
          <w:szCs w:val="24"/>
        </w:rPr>
        <w:t>, M., Housley, W. J., Beik, S., ... &amp; Bernstein, B. E. (2014). Genetic and epigenetic fine mapping of causal autoimmune disease variants. </w:t>
      </w:r>
      <w:r w:rsidRPr="00956057">
        <w:rPr>
          <w:rFonts w:asciiTheme="majorBidi" w:hAnsiTheme="majorBidi" w:cstheme="majorBidi"/>
          <w:i/>
          <w:iCs/>
          <w:sz w:val="24"/>
          <w:szCs w:val="24"/>
        </w:rPr>
        <w:t>Nature</w:t>
      </w:r>
      <w:r w:rsidRPr="00956057">
        <w:rPr>
          <w:rFonts w:asciiTheme="majorBidi" w:hAnsiTheme="majorBidi" w:cstheme="majorBidi"/>
          <w:sz w:val="24"/>
          <w:szCs w:val="24"/>
        </w:rPr>
        <w:t>, 518(7539), 337–343. DOI: </w:t>
      </w:r>
      <w:hyperlink r:id="rId32" w:tgtFrame="_blank" w:history="1">
        <w:r w:rsidRPr="00956057">
          <w:rPr>
            <w:rStyle w:val="Hyperlink"/>
            <w:rFonts w:asciiTheme="majorBidi" w:hAnsiTheme="majorBidi" w:cstheme="majorBidi"/>
            <w:sz w:val="24"/>
            <w:szCs w:val="24"/>
          </w:rPr>
          <w:t>10.1038/nature13835</w:t>
        </w:r>
      </w:hyperlink>
    </w:p>
    <w:p w14:paraId="3DEE5968" w14:textId="7AECF495"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Flegal, K. M., Carroll, M. D., Kit, B. K., &amp; Ogden, C. L. (2012). Prevalence of obesity and trends in the distribution of body mass index among US adults, 1999-2010. </w:t>
      </w:r>
      <w:r w:rsidRPr="00956057">
        <w:rPr>
          <w:rFonts w:asciiTheme="majorBidi" w:hAnsiTheme="majorBidi" w:cstheme="majorBidi"/>
          <w:i/>
          <w:iCs/>
          <w:sz w:val="24"/>
          <w:szCs w:val="24"/>
        </w:rPr>
        <w:t>JAMA</w:t>
      </w:r>
      <w:r w:rsidRPr="00956057">
        <w:rPr>
          <w:rFonts w:asciiTheme="majorBidi" w:hAnsiTheme="majorBidi" w:cstheme="majorBidi"/>
          <w:sz w:val="24"/>
          <w:szCs w:val="24"/>
        </w:rPr>
        <w:t>, 307(5), 491. DOI: </w:t>
      </w:r>
      <w:hyperlink r:id="rId33" w:tgtFrame="_blank" w:history="1">
        <w:r w:rsidRPr="00956057">
          <w:rPr>
            <w:rStyle w:val="Hyperlink"/>
            <w:rFonts w:asciiTheme="majorBidi" w:hAnsiTheme="majorBidi" w:cstheme="majorBidi"/>
            <w:sz w:val="24"/>
            <w:szCs w:val="24"/>
          </w:rPr>
          <w:t>10.1001/jama.2012.39</w:t>
        </w:r>
      </w:hyperlink>
    </w:p>
    <w:p w14:paraId="7BE8B46F" w14:textId="3740137C"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Ford, J. A., Liu, X., Chu, S. H., Lu, B., Cho, M. H., Silverman, E. K., ... &amp; Sparks, J. A. (2020). Asthma, chronic obstructive pulmonary disease, and subsequent risk for incident rheumatoid arthritis among women: A prospective cohort study. </w:t>
      </w:r>
      <w:r w:rsidRPr="00956057">
        <w:rPr>
          <w:rFonts w:asciiTheme="majorBidi" w:hAnsiTheme="majorBidi" w:cstheme="majorBidi"/>
          <w:i/>
          <w:iCs/>
          <w:sz w:val="24"/>
          <w:szCs w:val="24"/>
        </w:rPr>
        <w:t>Arthritis &amp; Rheumatology</w:t>
      </w:r>
      <w:r w:rsidRPr="00956057">
        <w:rPr>
          <w:rFonts w:asciiTheme="majorBidi" w:hAnsiTheme="majorBidi" w:cstheme="majorBidi"/>
          <w:sz w:val="24"/>
          <w:szCs w:val="24"/>
        </w:rPr>
        <w:t>, 72(5), 704–713. DOI: </w:t>
      </w:r>
      <w:hyperlink r:id="rId34" w:tgtFrame="_blank" w:history="1">
        <w:r w:rsidRPr="00956057">
          <w:rPr>
            <w:rStyle w:val="Hyperlink"/>
            <w:rFonts w:asciiTheme="majorBidi" w:hAnsiTheme="majorBidi" w:cstheme="majorBidi"/>
            <w:sz w:val="24"/>
            <w:szCs w:val="24"/>
          </w:rPr>
          <w:t>10.1002/art.41171</w:t>
        </w:r>
      </w:hyperlink>
    </w:p>
    <w:p w14:paraId="295EF55F" w14:textId="7DD62507"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lastRenderedPageBreak/>
        <w:t>Friedlander, H. M., Ford, J. A., Zaccardelli, A., Terrio, A. V., Cho, M. H., &amp; Sparks, J. A. (2019). Obstructive lung diseases and risk of rheumatoid arthritis. </w:t>
      </w:r>
      <w:r w:rsidRPr="00956057">
        <w:rPr>
          <w:rFonts w:asciiTheme="majorBidi" w:hAnsiTheme="majorBidi" w:cstheme="majorBidi"/>
          <w:i/>
          <w:iCs/>
          <w:sz w:val="24"/>
          <w:szCs w:val="24"/>
        </w:rPr>
        <w:t>Expert Review of Clinical Immunology</w:t>
      </w:r>
      <w:r w:rsidRPr="00956057">
        <w:rPr>
          <w:rFonts w:asciiTheme="majorBidi" w:hAnsiTheme="majorBidi" w:cstheme="majorBidi"/>
          <w:sz w:val="24"/>
          <w:szCs w:val="24"/>
        </w:rPr>
        <w:t>, 16(1), 37–50. DOI: </w:t>
      </w:r>
      <w:hyperlink r:id="rId35" w:tgtFrame="_blank" w:history="1">
        <w:r w:rsidRPr="00956057">
          <w:rPr>
            <w:rStyle w:val="Hyperlink"/>
            <w:rFonts w:asciiTheme="majorBidi" w:hAnsiTheme="majorBidi" w:cstheme="majorBidi"/>
            <w:sz w:val="24"/>
            <w:szCs w:val="24"/>
          </w:rPr>
          <w:t>10.1080/1744666X.2019.1705784</w:t>
        </w:r>
      </w:hyperlink>
    </w:p>
    <w:p w14:paraId="3AF7F87B" w14:textId="06351D80"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Giles, J. T. (2019). Extra-articular manifestations and comorbidity in rheumatoid arthritis: Potential impact of pre–rheumatoid arthritis prevention. </w:t>
      </w:r>
      <w:r w:rsidRPr="00956057">
        <w:rPr>
          <w:rFonts w:asciiTheme="majorBidi" w:hAnsiTheme="majorBidi" w:cstheme="majorBidi"/>
          <w:i/>
          <w:iCs/>
          <w:sz w:val="24"/>
          <w:szCs w:val="24"/>
        </w:rPr>
        <w:t>Clinical Therapeutics</w:t>
      </w:r>
      <w:r w:rsidRPr="00956057">
        <w:rPr>
          <w:rFonts w:asciiTheme="majorBidi" w:hAnsiTheme="majorBidi" w:cstheme="majorBidi"/>
          <w:sz w:val="24"/>
          <w:szCs w:val="24"/>
        </w:rPr>
        <w:t>, 41(7), 1246–1255. DOI: </w:t>
      </w:r>
      <w:hyperlink r:id="rId36" w:tgtFrame="_blank" w:history="1">
        <w:r w:rsidRPr="00956057">
          <w:rPr>
            <w:rStyle w:val="Hyperlink"/>
            <w:rFonts w:asciiTheme="majorBidi" w:hAnsiTheme="majorBidi" w:cstheme="majorBidi"/>
            <w:sz w:val="24"/>
            <w:szCs w:val="24"/>
          </w:rPr>
          <w:t>10.1016/j.clinthera.2019.04.018</w:t>
        </w:r>
      </w:hyperlink>
    </w:p>
    <w:p w14:paraId="56045EA6" w14:textId="6A132CF2"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lang w:val="fr-FR"/>
        </w:rPr>
        <w:t>Karami</w:t>
      </w:r>
      <w:proofErr w:type="spellEnd"/>
      <w:r w:rsidRPr="00956057">
        <w:rPr>
          <w:rFonts w:asciiTheme="majorBidi" w:hAnsiTheme="majorBidi" w:cstheme="majorBidi"/>
          <w:sz w:val="24"/>
          <w:szCs w:val="24"/>
          <w:lang w:val="fr-FR"/>
        </w:rPr>
        <w:t xml:space="preserve">, J., Aslani, S., </w:t>
      </w:r>
      <w:proofErr w:type="spellStart"/>
      <w:r w:rsidRPr="00956057">
        <w:rPr>
          <w:rFonts w:asciiTheme="majorBidi" w:hAnsiTheme="majorBidi" w:cstheme="majorBidi"/>
          <w:sz w:val="24"/>
          <w:szCs w:val="24"/>
          <w:lang w:val="fr-FR"/>
        </w:rPr>
        <w:t>Jamshidi</w:t>
      </w:r>
      <w:proofErr w:type="spellEnd"/>
      <w:r w:rsidRPr="00956057">
        <w:rPr>
          <w:rFonts w:asciiTheme="majorBidi" w:hAnsiTheme="majorBidi" w:cstheme="majorBidi"/>
          <w:sz w:val="24"/>
          <w:szCs w:val="24"/>
          <w:lang w:val="fr-FR"/>
        </w:rPr>
        <w:t xml:space="preserve">, A., </w:t>
      </w:r>
      <w:proofErr w:type="spellStart"/>
      <w:r w:rsidRPr="00956057">
        <w:rPr>
          <w:rFonts w:asciiTheme="majorBidi" w:hAnsiTheme="majorBidi" w:cstheme="majorBidi"/>
          <w:sz w:val="24"/>
          <w:szCs w:val="24"/>
          <w:lang w:val="fr-FR"/>
        </w:rPr>
        <w:t>Garshasbi</w:t>
      </w:r>
      <w:proofErr w:type="spellEnd"/>
      <w:r w:rsidRPr="00956057">
        <w:rPr>
          <w:rFonts w:asciiTheme="majorBidi" w:hAnsiTheme="majorBidi" w:cstheme="majorBidi"/>
          <w:sz w:val="24"/>
          <w:szCs w:val="24"/>
          <w:lang w:val="fr-FR"/>
        </w:rPr>
        <w:t xml:space="preserve">, M., &amp; Mahmoudi, M. (2019). </w:t>
      </w:r>
      <w:r w:rsidRPr="00956057">
        <w:rPr>
          <w:rFonts w:asciiTheme="majorBidi" w:hAnsiTheme="majorBidi" w:cstheme="majorBidi"/>
          <w:sz w:val="24"/>
          <w:szCs w:val="24"/>
        </w:rPr>
        <w:t>Genetic implications in the pathogenesis of rheumatoid arthritis: An updated review. </w:t>
      </w:r>
      <w:r w:rsidRPr="00956057">
        <w:rPr>
          <w:rFonts w:asciiTheme="majorBidi" w:hAnsiTheme="majorBidi" w:cstheme="majorBidi"/>
          <w:i/>
          <w:iCs/>
          <w:sz w:val="24"/>
          <w:szCs w:val="24"/>
        </w:rPr>
        <w:t>Gene</w:t>
      </w:r>
      <w:r w:rsidRPr="00956057">
        <w:rPr>
          <w:rFonts w:asciiTheme="majorBidi" w:hAnsiTheme="majorBidi" w:cstheme="majorBidi"/>
          <w:sz w:val="24"/>
          <w:szCs w:val="24"/>
        </w:rPr>
        <w:t>, 702, 8–16. DOI: </w:t>
      </w:r>
      <w:hyperlink r:id="rId37" w:tgtFrame="_blank" w:history="1">
        <w:r w:rsidRPr="00956057">
          <w:rPr>
            <w:rStyle w:val="Hyperlink"/>
            <w:rFonts w:asciiTheme="majorBidi" w:hAnsiTheme="majorBidi" w:cstheme="majorBidi"/>
            <w:sz w:val="24"/>
            <w:szCs w:val="24"/>
          </w:rPr>
          <w:t>10.1016/j.gene.2019.03.049</w:t>
        </w:r>
      </w:hyperlink>
    </w:p>
    <w:p w14:paraId="00AFE997" w14:textId="10C3AEA2"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Kronzer, V. L., Westerlind, H., Alfredsson, L., Crowson, C. S., Nyberg, F., </w:t>
      </w:r>
      <w:proofErr w:type="spellStart"/>
      <w:r w:rsidRPr="00956057">
        <w:rPr>
          <w:rFonts w:asciiTheme="majorBidi" w:hAnsiTheme="majorBidi" w:cstheme="majorBidi"/>
          <w:sz w:val="24"/>
          <w:szCs w:val="24"/>
        </w:rPr>
        <w:t>Tornling</w:t>
      </w:r>
      <w:proofErr w:type="spellEnd"/>
      <w:r w:rsidRPr="00956057">
        <w:rPr>
          <w:rFonts w:asciiTheme="majorBidi" w:hAnsiTheme="majorBidi" w:cstheme="majorBidi"/>
          <w:sz w:val="24"/>
          <w:szCs w:val="24"/>
        </w:rPr>
        <w:t>, G., ... &amp; Askling, J. (2020). Respiratory diseases as risk factors for seropositive and seronegative rheumatoid arthritis and in relation to smoking. </w:t>
      </w:r>
      <w:r w:rsidRPr="00956057">
        <w:rPr>
          <w:rFonts w:asciiTheme="majorBidi" w:hAnsiTheme="majorBidi" w:cstheme="majorBidi"/>
          <w:i/>
          <w:iCs/>
          <w:sz w:val="24"/>
          <w:szCs w:val="24"/>
        </w:rPr>
        <w:t>Arthritis &amp; Rheumatology</w:t>
      </w:r>
      <w:r w:rsidRPr="00956057">
        <w:rPr>
          <w:rFonts w:asciiTheme="majorBidi" w:hAnsiTheme="majorBidi" w:cstheme="majorBidi"/>
          <w:sz w:val="24"/>
          <w:szCs w:val="24"/>
        </w:rPr>
        <w:t>, 73(1), 61–68. DOI: </w:t>
      </w:r>
      <w:hyperlink r:id="rId38" w:tgtFrame="_blank" w:history="1">
        <w:r w:rsidRPr="00956057">
          <w:rPr>
            <w:rStyle w:val="Hyperlink"/>
            <w:rFonts w:asciiTheme="majorBidi" w:hAnsiTheme="majorBidi" w:cstheme="majorBidi"/>
            <w:sz w:val="24"/>
            <w:szCs w:val="24"/>
          </w:rPr>
          <w:t>10.1002/art.41491</w:t>
        </w:r>
      </w:hyperlink>
    </w:p>
    <w:p w14:paraId="77A0ECD1" w14:textId="4B88FCBC"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Lee, Y. C., Agnew‐Blais, J., </w:t>
      </w:r>
      <w:proofErr w:type="spellStart"/>
      <w:r w:rsidRPr="00956057">
        <w:rPr>
          <w:rFonts w:asciiTheme="majorBidi" w:hAnsiTheme="majorBidi" w:cstheme="majorBidi"/>
          <w:sz w:val="24"/>
          <w:szCs w:val="24"/>
        </w:rPr>
        <w:t>Malspeis</w:t>
      </w:r>
      <w:proofErr w:type="spellEnd"/>
      <w:r w:rsidRPr="00956057">
        <w:rPr>
          <w:rFonts w:asciiTheme="majorBidi" w:hAnsiTheme="majorBidi" w:cstheme="majorBidi"/>
          <w:sz w:val="24"/>
          <w:szCs w:val="24"/>
        </w:rPr>
        <w:t xml:space="preserve">, S., Keyes, K., Costenbader, K., </w:t>
      </w:r>
      <w:proofErr w:type="spellStart"/>
      <w:r w:rsidRPr="00956057">
        <w:rPr>
          <w:rFonts w:asciiTheme="majorBidi" w:hAnsiTheme="majorBidi" w:cstheme="majorBidi"/>
          <w:sz w:val="24"/>
          <w:szCs w:val="24"/>
        </w:rPr>
        <w:t>Kubzansky</w:t>
      </w:r>
      <w:proofErr w:type="spellEnd"/>
      <w:r w:rsidRPr="00956057">
        <w:rPr>
          <w:rFonts w:asciiTheme="majorBidi" w:hAnsiTheme="majorBidi" w:cstheme="majorBidi"/>
          <w:sz w:val="24"/>
          <w:szCs w:val="24"/>
        </w:rPr>
        <w:t>, L. D., ... &amp; Karlson, E. W. (2015). Post‐traumatic stress disorder and risk for incident rheumatoid arthritis. </w:t>
      </w:r>
      <w:r w:rsidRPr="00956057">
        <w:rPr>
          <w:rFonts w:asciiTheme="majorBidi" w:hAnsiTheme="majorBidi" w:cstheme="majorBidi"/>
          <w:i/>
          <w:iCs/>
          <w:sz w:val="24"/>
          <w:szCs w:val="24"/>
        </w:rPr>
        <w:t>Arthritis Care &amp; Research</w:t>
      </w:r>
      <w:r w:rsidRPr="00956057">
        <w:rPr>
          <w:rFonts w:asciiTheme="majorBidi" w:hAnsiTheme="majorBidi" w:cstheme="majorBidi"/>
          <w:sz w:val="24"/>
          <w:szCs w:val="24"/>
        </w:rPr>
        <w:t>, 68(3), 292–298.</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39" w:tgtFrame="_blank" w:history="1">
        <w:r w:rsidRPr="00956057">
          <w:rPr>
            <w:rStyle w:val="Hyperlink"/>
            <w:rFonts w:asciiTheme="majorBidi" w:hAnsiTheme="majorBidi" w:cstheme="majorBidi"/>
            <w:sz w:val="24"/>
            <w:szCs w:val="24"/>
          </w:rPr>
          <w:t>10.1002/acr.22653</w:t>
        </w:r>
      </w:hyperlink>
    </w:p>
    <w:p w14:paraId="73A9F926" w14:textId="69EB7F19"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Liao, K. P., Gunnarsson, M., </w:t>
      </w:r>
      <w:proofErr w:type="spellStart"/>
      <w:r w:rsidRPr="00956057">
        <w:rPr>
          <w:rFonts w:asciiTheme="majorBidi" w:hAnsiTheme="majorBidi" w:cstheme="majorBidi"/>
          <w:sz w:val="24"/>
          <w:szCs w:val="24"/>
        </w:rPr>
        <w:t>Källberg</w:t>
      </w:r>
      <w:proofErr w:type="spellEnd"/>
      <w:r w:rsidRPr="00956057">
        <w:rPr>
          <w:rFonts w:asciiTheme="majorBidi" w:hAnsiTheme="majorBidi" w:cstheme="majorBidi"/>
          <w:sz w:val="24"/>
          <w:szCs w:val="24"/>
        </w:rPr>
        <w:t xml:space="preserve">, H., Ding, B., Plenge, R. M., </w:t>
      </w:r>
      <w:proofErr w:type="spellStart"/>
      <w:r w:rsidRPr="00956057">
        <w:rPr>
          <w:rFonts w:asciiTheme="majorBidi" w:hAnsiTheme="majorBidi" w:cstheme="majorBidi"/>
          <w:sz w:val="24"/>
          <w:szCs w:val="24"/>
        </w:rPr>
        <w:t>Padyukov</w:t>
      </w:r>
      <w:proofErr w:type="spellEnd"/>
      <w:r w:rsidRPr="00956057">
        <w:rPr>
          <w:rFonts w:asciiTheme="majorBidi" w:hAnsiTheme="majorBidi" w:cstheme="majorBidi"/>
          <w:sz w:val="24"/>
          <w:szCs w:val="24"/>
        </w:rPr>
        <w:t>, L., ... &amp; Alfredsson, L. (2009). Specific association of type 1 diabetes mellitus with anti–cyclic citrullinated peptide–positive rheumatoid arthritis. </w:t>
      </w:r>
      <w:r w:rsidRPr="00956057">
        <w:rPr>
          <w:rFonts w:asciiTheme="majorBidi" w:hAnsiTheme="majorBidi" w:cstheme="majorBidi"/>
          <w:i/>
          <w:iCs/>
          <w:sz w:val="24"/>
          <w:szCs w:val="24"/>
        </w:rPr>
        <w:t>Arthritis &amp; Rheumatism</w:t>
      </w:r>
      <w:r w:rsidRPr="00956057">
        <w:rPr>
          <w:rFonts w:asciiTheme="majorBidi" w:hAnsiTheme="majorBidi" w:cstheme="majorBidi"/>
          <w:sz w:val="24"/>
          <w:szCs w:val="24"/>
        </w:rPr>
        <w:t>, 60(3), 653–660. DOI: </w:t>
      </w:r>
      <w:hyperlink r:id="rId40" w:tgtFrame="_blank" w:history="1">
        <w:r w:rsidRPr="00956057">
          <w:rPr>
            <w:rStyle w:val="Hyperlink"/>
            <w:rFonts w:asciiTheme="majorBidi" w:hAnsiTheme="majorBidi" w:cstheme="majorBidi"/>
            <w:sz w:val="24"/>
            <w:szCs w:val="24"/>
          </w:rPr>
          <w:t>10.1002/art.24362</w:t>
        </w:r>
      </w:hyperlink>
    </w:p>
    <w:p w14:paraId="5AC8097C" w14:textId="2F4B9494"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Lu, M., Yan, S., Yin, W., Koo, M., &amp; Lai, N. (2014). Risk of rheumatoid arthritis in patients with type 2 diabetes: A nationwide population-based case-control study. </w:t>
      </w:r>
      <w:proofErr w:type="spellStart"/>
      <w:r w:rsidRPr="00956057">
        <w:rPr>
          <w:rFonts w:asciiTheme="majorBidi" w:hAnsiTheme="majorBidi" w:cstheme="majorBidi"/>
          <w:i/>
          <w:iCs/>
          <w:sz w:val="24"/>
          <w:szCs w:val="24"/>
        </w:rPr>
        <w:t>PLoS</w:t>
      </w:r>
      <w:proofErr w:type="spellEnd"/>
      <w:r w:rsidRPr="00956057">
        <w:rPr>
          <w:rFonts w:asciiTheme="majorBidi" w:hAnsiTheme="majorBidi" w:cstheme="majorBidi"/>
          <w:i/>
          <w:iCs/>
          <w:sz w:val="24"/>
          <w:szCs w:val="24"/>
        </w:rPr>
        <w:t xml:space="preserve"> ONE</w:t>
      </w:r>
      <w:r w:rsidRPr="00956057">
        <w:rPr>
          <w:rFonts w:asciiTheme="majorBidi" w:hAnsiTheme="majorBidi" w:cstheme="majorBidi"/>
          <w:sz w:val="24"/>
          <w:szCs w:val="24"/>
        </w:rPr>
        <w:t>, 9(7), e101528. DOI: </w:t>
      </w:r>
      <w:hyperlink r:id="rId41" w:tgtFrame="_blank" w:history="1">
        <w:r w:rsidRPr="00956057">
          <w:rPr>
            <w:rStyle w:val="Hyperlink"/>
            <w:rFonts w:asciiTheme="majorBidi" w:hAnsiTheme="majorBidi" w:cstheme="majorBidi"/>
            <w:sz w:val="24"/>
            <w:szCs w:val="24"/>
          </w:rPr>
          <w:t>10.1371/journal.pone.0101528</w:t>
        </w:r>
      </w:hyperlink>
    </w:p>
    <w:p w14:paraId="4720BC6D" w14:textId="038016A0"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McGonagle, D., Hermann, K. A., &amp; Tan, A. L. (2014). Differentiation between osteoarthritis and psoriatic arthritis: Implications for pathogenesis and treatment in the biologic therapy era. </w:t>
      </w:r>
      <w:r w:rsidRPr="00956057">
        <w:rPr>
          <w:rFonts w:asciiTheme="majorBidi" w:hAnsiTheme="majorBidi" w:cstheme="majorBidi"/>
          <w:i/>
          <w:iCs/>
          <w:sz w:val="24"/>
          <w:szCs w:val="24"/>
        </w:rPr>
        <w:t>Rheumatology</w:t>
      </w:r>
      <w:r w:rsidRPr="00956057">
        <w:rPr>
          <w:rFonts w:asciiTheme="majorBidi" w:hAnsiTheme="majorBidi" w:cstheme="majorBidi"/>
          <w:sz w:val="24"/>
          <w:szCs w:val="24"/>
        </w:rPr>
        <w:t>, 54(1), 29–38. DOI: </w:t>
      </w:r>
      <w:hyperlink r:id="rId42" w:tgtFrame="_blank" w:history="1">
        <w:r w:rsidRPr="00956057">
          <w:rPr>
            <w:rStyle w:val="Hyperlink"/>
            <w:rFonts w:asciiTheme="majorBidi" w:hAnsiTheme="majorBidi" w:cstheme="majorBidi"/>
            <w:sz w:val="24"/>
            <w:szCs w:val="24"/>
          </w:rPr>
          <w:t>10.1093/rheumatology/keu328</w:t>
        </w:r>
      </w:hyperlink>
    </w:p>
    <w:p w14:paraId="4DE98E65" w14:textId="20FA26E1"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Miller, A. H., Maletic, V., &amp; Raison, C. L. (2009). Inflammation and its discontents: The role of cytokines in the pathophysiology of major depression. </w:t>
      </w:r>
      <w:r w:rsidRPr="00956057">
        <w:rPr>
          <w:rFonts w:asciiTheme="majorBidi" w:hAnsiTheme="majorBidi" w:cstheme="majorBidi"/>
          <w:i/>
          <w:iCs/>
          <w:sz w:val="24"/>
          <w:szCs w:val="24"/>
        </w:rPr>
        <w:t>Biological Psychiatry</w:t>
      </w:r>
      <w:r w:rsidRPr="00956057">
        <w:rPr>
          <w:rFonts w:asciiTheme="majorBidi" w:hAnsiTheme="majorBidi" w:cstheme="majorBidi"/>
          <w:sz w:val="24"/>
          <w:szCs w:val="24"/>
        </w:rPr>
        <w:t>, 65(9), 732–741. DOI: </w:t>
      </w:r>
      <w:hyperlink r:id="rId43" w:tgtFrame="_blank" w:history="1">
        <w:r w:rsidRPr="00956057">
          <w:rPr>
            <w:rStyle w:val="Hyperlink"/>
            <w:rFonts w:asciiTheme="majorBidi" w:hAnsiTheme="majorBidi" w:cstheme="majorBidi"/>
            <w:sz w:val="24"/>
            <w:szCs w:val="24"/>
          </w:rPr>
          <w:t>10.1016/j.biopsych.2008.11.029</w:t>
        </w:r>
      </w:hyperlink>
    </w:p>
    <w:p w14:paraId="140888A5" w14:textId="05C48B64"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Okada, Y., Eyre, S., Suzuki, A., Kochi, Y., &amp; Yamamoto, K. (2018). Genetics of rheumatoid arthritis: 2018 status. </w:t>
      </w:r>
      <w:r w:rsidRPr="00956057">
        <w:rPr>
          <w:rFonts w:asciiTheme="majorBidi" w:hAnsiTheme="majorBidi" w:cstheme="majorBidi"/>
          <w:i/>
          <w:iCs/>
          <w:sz w:val="24"/>
          <w:szCs w:val="24"/>
        </w:rPr>
        <w:t>Annals of the Rheumatic Diseases</w:t>
      </w:r>
      <w:r w:rsidRPr="00956057">
        <w:rPr>
          <w:rFonts w:asciiTheme="majorBidi" w:hAnsiTheme="majorBidi" w:cstheme="majorBidi"/>
          <w:sz w:val="24"/>
          <w:szCs w:val="24"/>
        </w:rPr>
        <w:t>, 78(4), 446–453.</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44" w:tgtFrame="_blank" w:history="1">
        <w:r w:rsidRPr="00956057">
          <w:rPr>
            <w:rStyle w:val="Hyperlink"/>
            <w:rFonts w:asciiTheme="majorBidi" w:hAnsiTheme="majorBidi" w:cstheme="majorBidi"/>
            <w:sz w:val="24"/>
            <w:szCs w:val="24"/>
          </w:rPr>
          <w:t>10.1136/annrheumdis-2017-212852</w:t>
        </w:r>
      </w:hyperlink>
    </w:p>
    <w:p w14:paraId="266ECE27" w14:textId="4BBCBF7B"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Okada, Y., Wu, D., </w:t>
      </w:r>
      <w:proofErr w:type="spellStart"/>
      <w:r w:rsidRPr="00956057">
        <w:rPr>
          <w:rFonts w:asciiTheme="majorBidi" w:hAnsiTheme="majorBidi" w:cstheme="majorBidi"/>
          <w:sz w:val="24"/>
          <w:szCs w:val="24"/>
        </w:rPr>
        <w:t>Trynka</w:t>
      </w:r>
      <w:proofErr w:type="spellEnd"/>
      <w:r w:rsidRPr="00956057">
        <w:rPr>
          <w:rFonts w:asciiTheme="majorBidi" w:hAnsiTheme="majorBidi" w:cstheme="majorBidi"/>
          <w:sz w:val="24"/>
          <w:szCs w:val="24"/>
        </w:rPr>
        <w:t>, G., Raj, T., Terao, C., Ikari, K., ... &amp; Plenge, R. M. (2013). Genetics of rheumatoid arthritis contributes to biology and drug discovery. </w:t>
      </w:r>
      <w:r w:rsidRPr="00956057">
        <w:rPr>
          <w:rFonts w:asciiTheme="majorBidi" w:hAnsiTheme="majorBidi" w:cstheme="majorBidi"/>
          <w:i/>
          <w:iCs/>
          <w:sz w:val="24"/>
          <w:szCs w:val="24"/>
        </w:rPr>
        <w:t>Nature</w:t>
      </w:r>
      <w:r w:rsidRPr="00956057">
        <w:rPr>
          <w:rFonts w:asciiTheme="majorBidi" w:hAnsiTheme="majorBidi" w:cstheme="majorBidi"/>
          <w:sz w:val="24"/>
          <w:szCs w:val="24"/>
        </w:rPr>
        <w:t>, 506(7488), 376–381. DOI: </w:t>
      </w:r>
      <w:hyperlink r:id="rId45" w:tgtFrame="_blank" w:history="1">
        <w:r w:rsidRPr="00956057">
          <w:rPr>
            <w:rStyle w:val="Hyperlink"/>
            <w:rFonts w:asciiTheme="majorBidi" w:hAnsiTheme="majorBidi" w:cstheme="majorBidi"/>
            <w:sz w:val="24"/>
            <w:szCs w:val="24"/>
          </w:rPr>
          <w:t>10.1038/nature12873</w:t>
        </w:r>
      </w:hyperlink>
    </w:p>
    <w:p w14:paraId="03E76817" w14:textId="646CC5CE"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 xml:space="preserve">Orange, D. E., </w:t>
      </w:r>
      <w:proofErr w:type="spellStart"/>
      <w:r w:rsidRPr="00956057">
        <w:rPr>
          <w:rFonts w:asciiTheme="majorBidi" w:hAnsiTheme="majorBidi" w:cstheme="majorBidi"/>
          <w:sz w:val="24"/>
          <w:szCs w:val="24"/>
        </w:rPr>
        <w:t>Blachere</w:t>
      </w:r>
      <w:proofErr w:type="spellEnd"/>
      <w:r w:rsidRPr="00956057">
        <w:rPr>
          <w:rFonts w:asciiTheme="majorBidi" w:hAnsiTheme="majorBidi" w:cstheme="majorBidi"/>
          <w:sz w:val="24"/>
          <w:szCs w:val="24"/>
        </w:rPr>
        <w:t xml:space="preserve">, N. E., DiCarlo, E. F., Mirza, S., </w:t>
      </w:r>
      <w:proofErr w:type="spellStart"/>
      <w:r w:rsidRPr="00956057">
        <w:rPr>
          <w:rFonts w:asciiTheme="majorBidi" w:hAnsiTheme="majorBidi" w:cstheme="majorBidi"/>
          <w:sz w:val="24"/>
          <w:szCs w:val="24"/>
        </w:rPr>
        <w:t>Pannellini</w:t>
      </w:r>
      <w:proofErr w:type="spellEnd"/>
      <w:r w:rsidRPr="00956057">
        <w:rPr>
          <w:rFonts w:asciiTheme="majorBidi" w:hAnsiTheme="majorBidi" w:cstheme="majorBidi"/>
          <w:sz w:val="24"/>
          <w:szCs w:val="24"/>
        </w:rPr>
        <w:t>, T., Jiang, C. S., ... &amp; Goodman, S. M. (2020). Rheumatoid arthritis morning stiffness is associated with synovial fibrin and neutrophils. </w:t>
      </w:r>
      <w:r w:rsidRPr="00956057">
        <w:rPr>
          <w:rFonts w:asciiTheme="majorBidi" w:hAnsiTheme="majorBidi" w:cstheme="majorBidi"/>
          <w:i/>
          <w:iCs/>
          <w:sz w:val="24"/>
          <w:szCs w:val="24"/>
        </w:rPr>
        <w:t>Arthritis &amp; Rheumatology</w:t>
      </w:r>
      <w:r w:rsidRPr="00956057">
        <w:rPr>
          <w:rFonts w:asciiTheme="majorBidi" w:hAnsiTheme="majorBidi" w:cstheme="majorBidi"/>
          <w:sz w:val="24"/>
          <w:szCs w:val="24"/>
        </w:rPr>
        <w:t>, 72(4), 557–564.</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46" w:tgtFrame="_blank" w:history="1">
        <w:r w:rsidRPr="00956057">
          <w:rPr>
            <w:rStyle w:val="Hyperlink"/>
            <w:rFonts w:asciiTheme="majorBidi" w:hAnsiTheme="majorBidi" w:cstheme="majorBidi"/>
            <w:sz w:val="24"/>
            <w:szCs w:val="24"/>
          </w:rPr>
          <w:t>10.1002/art.41141</w:t>
        </w:r>
      </w:hyperlink>
    </w:p>
    <w:p w14:paraId="5F90FD7D" w14:textId="699CD9C8"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lang w:val="fr-FR"/>
        </w:rPr>
        <w:t xml:space="preserve">Radu, A., &amp; </w:t>
      </w:r>
      <w:proofErr w:type="spellStart"/>
      <w:r w:rsidRPr="00956057">
        <w:rPr>
          <w:rFonts w:asciiTheme="majorBidi" w:hAnsiTheme="majorBidi" w:cstheme="majorBidi"/>
          <w:sz w:val="24"/>
          <w:szCs w:val="24"/>
          <w:lang w:val="fr-FR"/>
        </w:rPr>
        <w:t>Bungau</w:t>
      </w:r>
      <w:proofErr w:type="spellEnd"/>
      <w:r w:rsidRPr="00956057">
        <w:rPr>
          <w:rFonts w:asciiTheme="majorBidi" w:hAnsiTheme="majorBidi" w:cstheme="majorBidi"/>
          <w:sz w:val="24"/>
          <w:szCs w:val="24"/>
          <w:lang w:val="fr-FR"/>
        </w:rPr>
        <w:t xml:space="preserve">, S. G. (2021). </w:t>
      </w:r>
      <w:r w:rsidRPr="00956057">
        <w:rPr>
          <w:rFonts w:asciiTheme="majorBidi" w:hAnsiTheme="majorBidi" w:cstheme="majorBidi"/>
          <w:sz w:val="24"/>
          <w:szCs w:val="24"/>
        </w:rPr>
        <w:t>Management of rheumatoid arthritis: An overview. </w:t>
      </w:r>
      <w:r w:rsidRPr="00956057">
        <w:rPr>
          <w:rFonts w:asciiTheme="majorBidi" w:hAnsiTheme="majorBidi" w:cstheme="majorBidi"/>
          <w:i/>
          <w:iCs/>
          <w:sz w:val="24"/>
          <w:szCs w:val="24"/>
        </w:rPr>
        <w:t>Cells</w:t>
      </w:r>
      <w:r w:rsidRPr="00956057">
        <w:rPr>
          <w:rFonts w:asciiTheme="majorBidi" w:hAnsiTheme="majorBidi" w:cstheme="majorBidi"/>
          <w:sz w:val="24"/>
          <w:szCs w:val="24"/>
        </w:rPr>
        <w:t>, 10(11), 2857. DOI: </w:t>
      </w:r>
      <w:hyperlink r:id="rId47" w:tgtFrame="_blank" w:history="1">
        <w:r w:rsidRPr="00956057">
          <w:rPr>
            <w:rStyle w:val="Hyperlink"/>
            <w:rFonts w:asciiTheme="majorBidi" w:hAnsiTheme="majorBidi" w:cstheme="majorBidi"/>
            <w:sz w:val="24"/>
            <w:szCs w:val="24"/>
          </w:rPr>
          <w:t>10.3390/cells10112857</w:t>
        </w:r>
      </w:hyperlink>
    </w:p>
    <w:p w14:paraId="58599B05" w14:textId="79BBC52D"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Rolfes, M. C., Juhn, Y. J., Wi, C., &amp; Sheen, Y. H. (2017). Association of asthma with rheumatoid arthritis: A population-based case-control study. </w:t>
      </w:r>
      <w:r w:rsidRPr="00956057">
        <w:rPr>
          <w:rFonts w:asciiTheme="majorBidi" w:hAnsiTheme="majorBidi" w:cstheme="majorBidi"/>
          <w:i/>
          <w:iCs/>
          <w:sz w:val="24"/>
          <w:szCs w:val="24"/>
        </w:rPr>
        <w:t>The Journal of Allergy and Clinical Immunology: In Practice</w:t>
      </w:r>
      <w:r w:rsidRPr="00956057">
        <w:rPr>
          <w:rFonts w:asciiTheme="majorBidi" w:hAnsiTheme="majorBidi" w:cstheme="majorBidi"/>
          <w:sz w:val="24"/>
          <w:szCs w:val="24"/>
        </w:rPr>
        <w:t>, 6(1), 219–226. DOI: </w:t>
      </w:r>
      <w:hyperlink r:id="rId48" w:tgtFrame="_blank" w:history="1">
        <w:r w:rsidRPr="00956057">
          <w:rPr>
            <w:rStyle w:val="Hyperlink"/>
            <w:rFonts w:asciiTheme="majorBidi" w:hAnsiTheme="majorBidi" w:cstheme="majorBidi"/>
            <w:sz w:val="24"/>
            <w:szCs w:val="24"/>
          </w:rPr>
          <w:t>10.1016/j.jaip.2017.05.012</w:t>
        </w:r>
      </w:hyperlink>
    </w:p>
    <w:p w14:paraId="009CFD44" w14:textId="46D09921"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Rome, K., &amp; Stewart, S. (2020). Rheumatic diseases. In </w:t>
      </w:r>
      <w:r w:rsidRPr="00956057">
        <w:rPr>
          <w:rFonts w:asciiTheme="majorBidi" w:hAnsiTheme="majorBidi" w:cstheme="majorBidi"/>
          <w:i/>
          <w:iCs/>
          <w:sz w:val="24"/>
          <w:szCs w:val="24"/>
        </w:rPr>
        <w:t>Elsevier eBooks</w:t>
      </w:r>
      <w:r w:rsidR="00956057" w:rsidRPr="00956057">
        <w:rPr>
          <w:rFonts w:asciiTheme="majorBidi" w:hAnsiTheme="majorBidi" w:cstheme="majorBidi"/>
          <w:sz w:val="24"/>
          <w:szCs w:val="24"/>
        </w:rPr>
        <w:t> (pp. 222–260).</w:t>
      </w:r>
    </w:p>
    <w:p w14:paraId="21ACC324" w14:textId="1029DCEB"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Romão, V. C., &amp; Fonseca, J. E. (2021). Etiology and risk factors for rheumatoid arthritis: A state-of-the-art review. </w:t>
      </w:r>
      <w:r w:rsidRPr="00956057">
        <w:rPr>
          <w:rFonts w:asciiTheme="majorBidi" w:hAnsiTheme="majorBidi" w:cstheme="majorBidi"/>
          <w:i/>
          <w:iCs/>
          <w:sz w:val="24"/>
          <w:szCs w:val="24"/>
        </w:rPr>
        <w:t>Frontiers in Medicine</w:t>
      </w:r>
      <w:r w:rsidRPr="00956057">
        <w:rPr>
          <w:rFonts w:asciiTheme="majorBidi" w:hAnsiTheme="majorBidi" w:cstheme="majorBidi"/>
          <w:sz w:val="24"/>
          <w:szCs w:val="24"/>
        </w:rPr>
        <w:t>, 8. DOI: </w:t>
      </w:r>
      <w:hyperlink r:id="rId49" w:tgtFrame="_blank" w:history="1">
        <w:r w:rsidRPr="00956057">
          <w:rPr>
            <w:rStyle w:val="Hyperlink"/>
            <w:rFonts w:asciiTheme="majorBidi" w:hAnsiTheme="majorBidi" w:cstheme="majorBidi"/>
            <w:sz w:val="24"/>
            <w:szCs w:val="24"/>
          </w:rPr>
          <w:t>10.3389/fmed.2021.689698</w:t>
        </w:r>
      </w:hyperlink>
    </w:p>
    <w:p w14:paraId="7BC700B6" w14:textId="58584970"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lastRenderedPageBreak/>
        <w:t xml:space="preserve">Scherer, H. U., </w:t>
      </w:r>
      <w:proofErr w:type="spellStart"/>
      <w:r w:rsidRPr="00956057">
        <w:rPr>
          <w:rFonts w:asciiTheme="majorBidi" w:hAnsiTheme="majorBidi" w:cstheme="majorBidi"/>
          <w:sz w:val="24"/>
          <w:szCs w:val="24"/>
        </w:rPr>
        <w:t>Häupl</w:t>
      </w:r>
      <w:proofErr w:type="spellEnd"/>
      <w:r w:rsidRPr="00956057">
        <w:rPr>
          <w:rFonts w:asciiTheme="majorBidi" w:hAnsiTheme="majorBidi" w:cstheme="majorBidi"/>
          <w:sz w:val="24"/>
          <w:szCs w:val="24"/>
        </w:rPr>
        <w:t>, T., &amp; Burmester, G. R. (2020). The etiology of rheumatoid arthritis. </w:t>
      </w:r>
      <w:r w:rsidRPr="00956057">
        <w:rPr>
          <w:rFonts w:asciiTheme="majorBidi" w:hAnsiTheme="majorBidi" w:cstheme="majorBidi"/>
          <w:i/>
          <w:iCs/>
          <w:sz w:val="24"/>
          <w:szCs w:val="24"/>
        </w:rPr>
        <w:t>Journal of Autoimmunity</w:t>
      </w:r>
      <w:r w:rsidRPr="00956057">
        <w:rPr>
          <w:rFonts w:asciiTheme="majorBidi" w:hAnsiTheme="majorBidi" w:cstheme="majorBidi"/>
          <w:sz w:val="24"/>
          <w:szCs w:val="24"/>
        </w:rPr>
        <w:t>, 110, 102400. DOI: </w:t>
      </w:r>
      <w:hyperlink r:id="rId50" w:tgtFrame="_blank" w:history="1">
        <w:r w:rsidRPr="00956057">
          <w:rPr>
            <w:rStyle w:val="Hyperlink"/>
            <w:rFonts w:asciiTheme="majorBidi" w:hAnsiTheme="majorBidi" w:cstheme="majorBidi"/>
            <w:sz w:val="24"/>
            <w:szCs w:val="24"/>
          </w:rPr>
          <w:t>10.1016/j.jaut.2020.102400</w:t>
        </w:r>
      </w:hyperlink>
    </w:p>
    <w:p w14:paraId="1C733A25" w14:textId="5E66495C"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Sheen, Y. H., Rolfes, M. C., Wi, C., Crowson, C. S., Pendegraft, R. S., King, K. S., ... &amp; Juhn, Y. J. (2017). Association of asthma with rheumatoid arthritis: A population-based case-control study. </w:t>
      </w:r>
      <w:r w:rsidRPr="00956057">
        <w:rPr>
          <w:rFonts w:asciiTheme="majorBidi" w:hAnsiTheme="majorBidi" w:cstheme="majorBidi"/>
          <w:i/>
          <w:iCs/>
          <w:sz w:val="24"/>
          <w:szCs w:val="24"/>
        </w:rPr>
        <w:t>The Journal of Allergy and Clinical Immunology: In Practice</w:t>
      </w:r>
      <w:r w:rsidRPr="00956057">
        <w:rPr>
          <w:rFonts w:asciiTheme="majorBidi" w:hAnsiTheme="majorBidi" w:cstheme="majorBidi"/>
          <w:sz w:val="24"/>
          <w:szCs w:val="24"/>
        </w:rPr>
        <w:t>, 6(1), 219–226. DOI: </w:t>
      </w:r>
      <w:hyperlink r:id="rId51" w:tgtFrame="_blank" w:history="1">
        <w:r w:rsidRPr="00956057">
          <w:rPr>
            <w:rStyle w:val="Hyperlink"/>
            <w:rFonts w:asciiTheme="majorBidi" w:hAnsiTheme="majorBidi" w:cstheme="majorBidi"/>
            <w:sz w:val="24"/>
            <w:szCs w:val="24"/>
          </w:rPr>
          <w:t>10.1016/j.jaip.2017.05.012</w:t>
        </w:r>
      </w:hyperlink>
    </w:p>
    <w:p w14:paraId="1C954281" w14:textId="5EE5A941" w:rsidR="00643045" w:rsidRPr="00956057" w:rsidRDefault="00643045"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Solyman</w:t>
      </w:r>
      <w:proofErr w:type="spellEnd"/>
      <w:r w:rsidRPr="00956057">
        <w:rPr>
          <w:rFonts w:asciiTheme="majorBidi" w:hAnsiTheme="majorBidi" w:cstheme="majorBidi"/>
          <w:sz w:val="24"/>
          <w:szCs w:val="24"/>
        </w:rPr>
        <w:t xml:space="preserve">, M. S. M., </w:t>
      </w:r>
      <w:proofErr w:type="spellStart"/>
      <w:r w:rsidRPr="00956057">
        <w:rPr>
          <w:rFonts w:asciiTheme="majorBidi" w:hAnsiTheme="majorBidi" w:cstheme="majorBidi"/>
          <w:sz w:val="24"/>
          <w:szCs w:val="24"/>
        </w:rPr>
        <w:t>Jaaka</w:t>
      </w:r>
      <w:proofErr w:type="spellEnd"/>
      <w:r w:rsidRPr="00956057">
        <w:rPr>
          <w:rFonts w:asciiTheme="majorBidi" w:hAnsiTheme="majorBidi" w:cstheme="majorBidi"/>
          <w:sz w:val="24"/>
          <w:szCs w:val="24"/>
        </w:rPr>
        <w:t xml:space="preserve">, R. I., </w:t>
      </w:r>
      <w:proofErr w:type="spellStart"/>
      <w:r w:rsidRPr="00956057">
        <w:rPr>
          <w:rFonts w:asciiTheme="majorBidi" w:hAnsiTheme="majorBidi" w:cstheme="majorBidi"/>
          <w:sz w:val="24"/>
          <w:szCs w:val="24"/>
        </w:rPr>
        <w:t>Boushiha</w:t>
      </w:r>
      <w:proofErr w:type="spellEnd"/>
      <w:r w:rsidRPr="00956057">
        <w:rPr>
          <w:rFonts w:asciiTheme="majorBidi" w:hAnsiTheme="majorBidi" w:cstheme="majorBidi"/>
          <w:sz w:val="24"/>
          <w:szCs w:val="24"/>
        </w:rPr>
        <w:t xml:space="preserve">, S. R., </w:t>
      </w:r>
      <w:proofErr w:type="spellStart"/>
      <w:r w:rsidRPr="00956057">
        <w:rPr>
          <w:rFonts w:asciiTheme="majorBidi" w:hAnsiTheme="majorBidi" w:cstheme="majorBidi"/>
          <w:sz w:val="24"/>
          <w:szCs w:val="24"/>
        </w:rPr>
        <w:t>Elmoghrby</w:t>
      </w:r>
      <w:proofErr w:type="spellEnd"/>
      <w:r w:rsidRPr="00956057">
        <w:rPr>
          <w:rFonts w:asciiTheme="majorBidi" w:hAnsiTheme="majorBidi" w:cstheme="majorBidi"/>
          <w:sz w:val="24"/>
          <w:szCs w:val="24"/>
        </w:rPr>
        <w:t xml:space="preserve">, H. A., </w:t>
      </w:r>
      <w:proofErr w:type="spellStart"/>
      <w:r w:rsidRPr="00956057">
        <w:rPr>
          <w:rFonts w:asciiTheme="majorBidi" w:hAnsiTheme="majorBidi" w:cstheme="majorBidi"/>
          <w:sz w:val="24"/>
          <w:szCs w:val="24"/>
        </w:rPr>
        <w:t>Gargoum</w:t>
      </w:r>
      <w:proofErr w:type="spellEnd"/>
      <w:r w:rsidRPr="00956057">
        <w:rPr>
          <w:rFonts w:asciiTheme="majorBidi" w:hAnsiTheme="majorBidi" w:cstheme="majorBidi"/>
          <w:sz w:val="24"/>
          <w:szCs w:val="24"/>
        </w:rPr>
        <w:t xml:space="preserve">, K. A., Amer, A. H. (2025). Clinical characteristics of rheumatoid arthritis in Benghazi, Libya. </w:t>
      </w:r>
      <w:r w:rsidRPr="00956057">
        <w:rPr>
          <w:rFonts w:asciiTheme="majorBidi" w:hAnsiTheme="majorBidi" w:cstheme="majorBidi"/>
          <w:i/>
          <w:iCs/>
          <w:sz w:val="24"/>
          <w:szCs w:val="24"/>
        </w:rPr>
        <w:t>International Journal of Frontiers in Life Science Research</w:t>
      </w:r>
      <w:r w:rsidRPr="00956057">
        <w:rPr>
          <w:rFonts w:asciiTheme="majorBidi" w:hAnsiTheme="majorBidi" w:cstheme="majorBidi"/>
          <w:sz w:val="24"/>
          <w:szCs w:val="24"/>
        </w:rPr>
        <w:t xml:space="preserve">, 8(1), 030-037. </w:t>
      </w:r>
      <w:hyperlink r:id="rId52" w:history="1">
        <w:r w:rsidR="00956057" w:rsidRPr="00956057">
          <w:rPr>
            <w:rStyle w:val="Hyperlink"/>
            <w:rFonts w:asciiTheme="majorBidi" w:hAnsiTheme="majorBidi" w:cstheme="majorBidi"/>
            <w:sz w:val="24"/>
            <w:szCs w:val="24"/>
          </w:rPr>
          <w:t>https://doi.org/10.53294/ijflsr.2025.8.1.0024</w:t>
        </w:r>
      </w:hyperlink>
      <w:r w:rsidR="00956057" w:rsidRPr="00956057">
        <w:rPr>
          <w:rFonts w:asciiTheme="majorBidi" w:hAnsiTheme="majorBidi" w:cstheme="majorBidi"/>
          <w:sz w:val="24"/>
          <w:szCs w:val="24"/>
        </w:rPr>
        <w:t xml:space="preserve"> </w:t>
      </w:r>
    </w:p>
    <w:p w14:paraId="0B8A6E98" w14:textId="2E2D57FD"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Somers, E. C., Thomas, S. L., Smeeth, L., &amp; Hall, A. J. (2009). Are individuals with an autoimmune disease at higher risk of a second autoimmune disorder? </w:t>
      </w:r>
      <w:r w:rsidRPr="00956057">
        <w:rPr>
          <w:rFonts w:asciiTheme="majorBidi" w:hAnsiTheme="majorBidi" w:cstheme="majorBidi"/>
          <w:i/>
          <w:iCs/>
          <w:sz w:val="24"/>
          <w:szCs w:val="24"/>
        </w:rPr>
        <w:t>American Journal of Epidemiology</w:t>
      </w:r>
      <w:r w:rsidRPr="00956057">
        <w:rPr>
          <w:rFonts w:asciiTheme="majorBidi" w:hAnsiTheme="majorBidi" w:cstheme="majorBidi"/>
          <w:sz w:val="24"/>
          <w:szCs w:val="24"/>
        </w:rPr>
        <w:t>, 169(6), 749–755. DOI: </w:t>
      </w:r>
      <w:hyperlink r:id="rId53" w:tgtFrame="_blank" w:history="1">
        <w:r w:rsidRPr="00956057">
          <w:rPr>
            <w:rStyle w:val="Hyperlink"/>
            <w:rFonts w:asciiTheme="majorBidi" w:hAnsiTheme="majorBidi" w:cstheme="majorBidi"/>
            <w:sz w:val="24"/>
            <w:szCs w:val="24"/>
          </w:rPr>
          <w:t>10.1093/</w:t>
        </w:r>
        <w:proofErr w:type="spellStart"/>
        <w:r w:rsidRPr="00956057">
          <w:rPr>
            <w:rStyle w:val="Hyperlink"/>
            <w:rFonts w:asciiTheme="majorBidi" w:hAnsiTheme="majorBidi" w:cstheme="majorBidi"/>
            <w:sz w:val="24"/>
            <w:szCs w:val="24"/>
          </w:rPr>
          <w:t>aje</w:t>
        </w:r>
        <w:proofErr w:type="spellEnd"/>
        <w:r w:rsidRPr="00956057">
          <w:rPr>
            <w:rStyle w:val="Hyperlink"/>
            <w:rFonts w:asciiTheme="majorBidi" w:hAnsiTheme="majorBidi" w:cstheme="majorBidi"/>
            <w:sz w:val="24"/>
            <w:szCs w:val="24"/>
          </w:rPr>
          <w:t>/kwn408</w:t>
        </w:r>
      </w:hyperlink>
    </w:p>
    <w:p w14:paraId="58C165D4" w14:textId="272EB39A"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Straub, R. H. (2014). Stress in RA: a trigger of proinflammatory pathways? </w:t>
      </w:r>
      <w:r w:rsidRPr="00956057">
        <w:rPr>
          <w:rFonts w:asciiTheme="majorBidi" w:hAnsiTheme="majorBidi" w:cstheme="majorBidi"/>
          <w:i/>
          <w:iCs/>
          <w:sz w:val="24"/>
          <w:szCs w:val="24"/>
        </w:rPr>
        <w:t>Nature Reviews Rheumatology</w:t>
      </w:r>
      <w:r w:rsidRPr="00956057">
        <w:rPr>
          <w:rFonts w:asciiTheme="majorBidi" w:hAnsiTheme="majorBidi" w:cstheme="majorBidi"/>
          <w:sz w:val="24"/>
          <w:szCs w:val="24"/>
        </w:rPr>
        <w:t>, 10(9), 516–518. DOI: </w:t>
      </w:r>
      <w:hyperlink r:id="rId54" w:tgtFrame="_blank" w:history="1">
        <w:r w:rsidRPr="00956057">
          <w:rPr>
            <w:rStyle w:val="Hyperlink"/>
            <w:rFonts w:asciiTheme="majorBidi" w:hAnsiTheme="majorBidi" w:cstheme="majorBidi"/>
            <w:sz w:val="24"/>
            <w:szCs w:val="24"/>
          </w:rPr>
          <w:t>10.1038/nrrheum.2014.103</w:t>
        </w:r>
      </w:hyperlink>
    </w:p>
    <w:p w14:paraId="0E6C6117" w14:textId="16A94B19"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lang w:val="fr-FR"/>
        </w:rPr>
        <w:t xml:space="preserve">Straub, R. H., </w:t>
      </w:r>
      <w:proofErr w:type="spellStart"/>
      <w:r w:rsidRPr="00956057">
        <w:rPr>
          <w:rFonts w:asciiTheme="majorBidi" w:hAnsiTheme="majorBidi" w:cstheme="majorBidi"/>
          <w:sz w:val="24"/>
          <w:szCs w:val="24"/>
          <w:lang w:val="fr-FR"/>
        </w:rPr>
        <w:t>Dhabhar</w:t>
      </w:r>
      <w:proofErr w:type="spellEnd"/>
      <w:r w:rsidRPr="00956057">
        <w:rPr>
          <w:rFonts w:asciiTheme="majorBidi" w:hAnsiTheme="majorBidi" w:cstheme="majorBidi"/>
          <w:sz w:val="24"/>
          <w:szCs w:val="24"/>
          <w:lang w:val="fr-FR"/>
        </w:rPr>
        <w:t xml:space="preserve">, F. S., </w:t>
      </w:r>
      <w:proofErr w:type="spellStart"/>
      <w:r w:rsidRPr="00956057">
        <w:rPr>
          <w:rFonts w:asciiTheme="majorBidi" w:hAnsiTheme="majorBidi" w:cstheme="majorBidi"/>
          <w:sz w:val="24"/>
          <w:szCs w:val="24"/>
          <w:lang w:val="fr-FR"/>
        </w:rPr>
        <w:t>Bijlsma</w:t>
      </w:r>
      <w:proofErr w:type="spellEnd"/>
      <w:r w:rsidRPr="00956057">
        <w:rPr>
          <w:rFonts w:asciiTheme="majorBidi" w:hAnsiTheme="majorBidi" w:cstheme="majorBidi"/>
          <w:sz w:val="24"/>
          <w:szCs w:val="24"/>
          <w:lang w:val="fr-FR"/>
        </w:rPr>
        <w:t xml:space="preserve">, J. W. J., &amp; </w:t>
      </w:r>
      <w:proofErr w:type="spellStart"/>
      <w:r w:rsidRPr="00956057">
        <w:rPr>
          <w:rFonts w:asciiTheme="majorBidi" w:hAnsiTheme="majorBidi" w:cstheme="majorBidi"/>
          <w:sz w:val="24"/>
          <w:szCs w:val="24"/>
          <w:lang w:val="fr-FR"/>
        </w:rPr>
        <w:t>Cutolo</w:t>
      </w:r>
      <w:proofErr w:type="spellEnd"/>
      <w:r w:rsidRPr="00956057">
        <w:rPr>
          <w:rFonts w:asciiTheme="majorBidi" w:hAnsiTheme="majorBidi" w:cstheme="majorBidi"/>
          <w:sz w:val="24"/>
          <w:szCs w:val="24"/>
          <w:lang w:val="fr-FR"/>
        </w:rPr>
        <w:t xml:space="preserve">, M. (2005). </w:t>
      </w:r>
      <w:r w:rsidRPr="00956057">
        <w:rPr>
          <w:rFonts w:asciiTheme="majorBidi" w:hAnsiTheme="majorBidi" w:cstheme="majorBidi"/>
          <w:sz w:val="24"/>
          <w:szCs w:val="24"/>
        </w:rPr>
        <w:t>How psychological stress via hormones and nerve fibers may exacerbate rheumatoid arthritis. </w:t>
      </w:r>
      <w:r w:rsidRPr="00956057">
        <w:rPr>
          <w:rFonts w:asciiTheme="majorBidi" w:hAnsiTheme="majorBidi" w:cstheme="majorBidi"/>
          <w:i/>
          <w:iCs/>
          <w:sz w:val="24"/>
          <w:szCs w:val="24"/>
        </w:rPr>
        <w:t>Arthritis &amp; Rheumatism</w:t>
      </w:r>
      <w:r w:rsidRPr="00956057">
        <w:rPr>
          <w:rFonts w:asciiTheme="majorBidi" w:hAnsiTheme="majorBidi" w:cstheme="majorBidi"/>
          <w:sz w:val="24"/>
          <w:szCs w:val="24"/>
        </w:rPr>
        <w:t>, 52(1), 16–26. DOI: </w:t>
      </w:r>
      <w:hyperlink r:id="rId55" w:tgtFrame="_blank" w:history="1">
        <w:r w:rsidRPr="00956057">
          <w:rPr>
            <w:rStyle w:val="Hyperlink"/>
            <w:rFonts w:asciiTheme="majorBidi" w:hAnsiTheme="majorBidi" w:cstheme="majorBidi"/>
            <w:sz w:val="24"/>
            <w:szCs w:val="24"/>
          </w:rPr>
          <w:t>10.1002/art.20747</w:t>
        </w:r>
      </w:hyperlink>
    </w:p>
    <w:p w14:paraId="6ED5787C" w14:textId="1919448F"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lang w:val="fr-FR"/>
        </w:rPr>
        <w:t>Taylor-</w:t>
      </w:r>
      <w:proofErr w:type="spellStart"/>
      <w:r w:rsidRPr="00956057">
        <w:rPr>
          <w:rFonts w:asciiTheme="majorBidi" w:hAnsiTheme="majorBidi" w:cstheme="majorBidi"/>
          <w:sz w:val="24"/>
          <w:szCs w:val="24"/>
          <w:lang w:val="fr-FR"/>
        </w:rPr>
        <w:t>Gjevre</w:t>
      </w:r>
      <w:proofErr w:type="spellEnd"/>
      <w:r w:rsidRPr="00956057">
        <w:rPr>
          <w:rFonts w:asciiTheme="majorBidi" w:hAnsiTheme="majorBidi" w:cstheme="majorBidi"/>
          <w:sz w:val="24"/>
          <w:szCs w:val="24"/>
          <w:lang w:val="fr-FR"/>
        </w:rPr>
        <w:t xml:space="preserve">, R., Nair, B., Jin, S., &amp; </w:t>
      </w:r>
      <w:proofErr w:type="spellStart"/>
      <w:r w:rsidRPr="00956057">
        <w:rPr>
          <w:rFonts w:asciiTheme="majorBidi" w:hAnsiTheme="majorBidi" w:cstheme="majorBidi"/>
          <w:sz w:val="24"/>
          <w:szCs w:val="24"/>
          <w:lang w:val="fr-FR"/>
        </w:rPr>
        <w:t>Quail</w:t>
      </w:r>
      <w:proofErr w:type="spellEnd"/>
      <w:r w:rsidRPr="00956057">
        <w:rPr>
          <w:rFonts w:asciiTheme="majorBidi" w:hAnsiTheme="majorBidi" w:cstheme="majorBidi"/>
          <w:sz w:val="24"/>
          <w:szCs w:val="24"/>
          <w:lang w:val="fr-FR"/>
        </w:rPr>
        <w:t xml:space="preserve">, J. (2018). </w:t>
      </w:r>
      <w:r w:rsidRPr="00956057">
        <w:rPr>
          <w:rFonts w:asciiTheme="majorBidi" w:hAnsiTheme="majorBidi" w:cstheme="majorBidi"/>
          <w:sz w:val="24"/>
          <w:szCs w:val="24"/>
        </w:rPr>
        <w:t>Geographic variation in incidence and prevalence rates for rheumatoid arthritis in Saskatchewan, Canada 2001–2014. </w:t>
      </w:r>
      <w:r w:rsidRPr="00956057">
        <w:rPr>
          <w:rFonts w:asciiTheme="majorBidi" w:hAnsiTheme="majorBidi" w:cstheme="majorBidi"/>
          <w:i/>
          <w:iCs/>
          <w:sz w:val="24"/>
          <w:szCs w:val="24"/>
        </w:rPr>
        <w:t>Canadian Journal of Public Health</w:t>
      </w:r>
      <w:r w:rsidRPr="00956057">
        <w:rPr>
          <w:rFonts w:asciiTheme="majorBidi" w:hAnsiTheme="majorBidi" w:cstheme="majorBidi"/>
          <w:sz w:val="24"/>
          <w:szCs w:val="24"/>
        </w:rPr>
        <w:t>, 109(3), 427–435.</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56" w:tgtFrame="_blank" w:history="1">
        <w:r w:rsidRPr="00956057">
          <w:rPr>
            <w:rStyle w:val="Hyperlink"/>
            <w:rFonts w:asciiTheme="majorBidi" w:hAnsiTheme="majorBidi" w:cstheme="majorBidi"/>
            <w:sz w:val="24"/>
            <w:szCs w:val="24"/>
          </w:rPr>
          <w:t>10.17269/s41997-018-0062-5</w:t>
        </w:r>
      </w:hyperlink>
    </w:p>
    <w:p w14:paraId="0E7C11AE" w14:textId="1E93525C"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lang w:val="fr-FR"/>
        </w:rPr>
        <w:t>Tseng</w:t>
      </w:r>
      <w:proofErr w:type="spellEnd"/>
      <w:r w:rsidRPr="00956057">
        <w:rPr>
          <w:rFonts w:asciiTheme="majorBidi" w:hAnsiTheme="majorBidi" w:cstheme="majorBidi"/>
          <w:sz w:val="24"/>
          <w:szCs w:val="24"/>
          <w:lang w:val="fr-FR"/>
        </w:rPr>
        <w:t xml:space="preserve">, C., Chang, S., </w:t>
      </w:r>
      <w:proofErr w:type="spellStart"/>
      <w:r w:rsidRPr="00956057">
        <w:rPr>
          <w:rFonts w:asciiTheme="majorBidi" w:hAnsiTheme="majorBidi" w:cstheme="majorBidi"/>
          <w:sz w:val="24"/>
          <w:szCs w:val="24"/>
          <w:lang w:val="fr-FR"/>
        </w:rPr>
        <w:t>Tsai</w:t>
      </w:r>
      <w:proofErr w:type="spellEnd"/>
      <w:r w:rsidRPr="00956057">
        <w:rPr>
          <w:rFonts w:asciiTheme="majorBidi" w:hAnsiTheme="majorBidi" w:cstheme="majorBidi"/>
          <w:sz w:val="24"/>
          <w:szCs w:val="24"/>
          <w:lang w:val="fr-FR"/>
        </w:rPr>
        <w:t xml:space="preserve">, W., Ou, T., Wu, C., Sung, W., ... &amp; Yen, J. (2016). </w:t>
      </w:r>
      <w:r w:rsidRPr="00956057">
        <w:rPr>
          <w:rFonts w:asciiTheme="majorBidi" w:hAnsiTheme="majorBidi" w:cstheme="majorBidi"/>
          <w:sz w:val="24"/>
          <w:szCs w:val="24"/>
        </w:rPr>
        <w:t>Increased incidence of rheumatoid arthritis in multiple sclerosis. </w:t>
      </w:r>
      <w:r w:rsidRPr="00956057">
        <w:rPr>
          <w:rFonts w:asciiTheme="majorBidi" w:hAnsiTheme="majorBidi" w:cstheme="majorBidi"/>
          <w:i/>
          <w:iCs/>
          <w:sz w:val="24"/>
          <w:szCs w:val="24"/>
        </w:rPr>
        <w:t>Medicine</w:t>
      </w:r>
      <w:r w:rsidRPr="00956057">
        <w:rPr>
          <w:rFonts w:asciiTheme="majorBidi" w:hAnsiTheme="majorBidi" w:cstheme="majorBidi"/>
          <w:sz w:val="24"/>
          <w:szCs w:val="24"/>
        </w:rPr>
        <w:t>, 95(26), e3999.</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57" w:tgtFrame="_blank" w:history="1">
        <w:r w:rsidRPr="00956057">
          <w:rPr>
            <w:rStyle w:val="Hyperlink"/>
            <w:rFonts w:asciiTheme="majorBidi" w:hAnsiTheme="majorBidi" w:cstheme="majorBidi"/>
            <w:sz w:val="24"/>
            <w:szCs w:val="24"/>
          </w:rPr>
          <w:t>10.1097/MD.0000000000003999</w:t>
        </w:r>
      </w:hyperlink>
    </w:p>
    <w:p w14:paraId="48BEF197" w14:textId="57881EEA"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Zhernakova</w:t>
      </w:r>
      <w:proofErr w:type="spellEnd"/>
      <w:r w:rsidRPr="00956057">
        <w:rPr>
          <w:rFonts w:asciiTheme="majorBidi" w:hAnsiTheme="majorBidi" w:cstheme="majorBidi"/>
          <w:sz w:val="24"/>
          <w:szCs w:val="24"/>
        </w:rPr>
        <w:t xml:space="preserve">, A., Alizadeh, B. Z., </w:t>
      </w:r>
      <w:proofErr w:type="spellStart"/>
      <w:r w:rsidRPr="00956057">
        <w:rPr>
          <w:rFonts w:asciiTheme="majorBidi" w:hAnsiTheme="majorBidi" w:cstheme="majorBidi"/>
          <w:sz w:val="24"/>
          <w:szCs w:val="24"/>
        </w:rPr>
        <w:t>Bevova</w:t>
      </w:r>
      <w:proofErr w:type="spellEnd"/>
      <w:r w:rsidRPr="00956057">
        <w:rPr>
          <w:rFonts w:asciiTheme="majorBidi" w:hAnsiTheme="majorBidi" w:cstheme="majorBidi"/>
          <w:sz w:val="24"/>
          <w:szCs w:val="24"/>
        </w:rPr>
        <w:t xml:space="preserve">, M., Van Leeuwen, M. A., Coenen, M. J., Franke, B., ... &amp; </w:t>
      </w:r>
      <w:proofErr w:type="spellStart"/>
      <w:r w:rsidRPr="00956057">
        <w:rPr>
          <w:rFonts w:asciiTheme="majorBidi" w:hAnsiTheme="majorBidi" w:cstheme="majorBidi"/>
          <w:sz w:val="24"/>
          <w:szCs w:val="24"/>
        </w:rPr>
        <w:t>Wijmenga</w:t>
      </w:r>
      <w:proofErr w:type="spellEnd"/>
      <w:r w:rsidRPr="00956057">
        <w:rPr>
          <w:rFonts w:asciiTheme="majorBidi" w:hAnsiTheme="majorBidi" w:cstheme="majorBidi"/>
          <w:sz w:val="24"/>
          <w:szCs w:val="24"/>
        </w:rPr>
        <w:t>, C. (2007). Novel association in chromosome 4q27 region with rheumatoid arthritis and confirmation of type 1 diabetes point to a general risk locus for autoimmune diseases. </w:t>
      </w:r>
      <w:r w:rsidRPr="00956057">
        <w:rPr>
          <w:rFonts w:asciiTheme="majorBidi" w:hAnsiTheme="majorBidi" w:cstheme="majorBidi"/>
          <w:i/>
          <w:iCs/>
          <w:sz w:val="24"/>
          <w:szCs w:val="24"/>
        </w:rPr>
        <w:t>The American Journal of Human Genetics</w:t>
      </w:r>
      <w:r w:rsidRPr="00956057">
        <w:rPr>
          <w:rFonts w:asciiTheme="majorBidi" w:hAnsiTheme="majorBidi" w:cstheme="majorBidi"/>
          <w:sz w:val="24"/>
          <w:szCs w:val="24"/>
        </w:rPr>
        <w:t>, 81(6), 1284–1288.</w:t>
      </w:r>
      <w:r w:rsidR="00956057">
        <w:rPr>
          <w:rFonts w:asciiTheme="majorBidi" w:hAnsiTheme="majorBidi" w:cstheme="majorBidi"/>
          <w:sz w:val="24"/>
          <w:szCs w:val="24"/>
        </w:rPr>
        <w:t xml:space="preserve"> </w:t>
      </w:r>
      <w:r w:rsidRPr="00956057">
        <w:rPr>
          <w:rFonts w:asciiTheme="majorBidi" w:hAnsiTheme="majorBidi" w:cstheme="majorBidi"/>
          <w:sz w:val="24"/>
          <w:szCs w:val="24"/>
        </w:rPr>
        <w:t>DOI: </w:t>
      </w:r>
      <w:hyperlink r:id="rId58" w:tgtFrame="_blank" w:history="1">
        <w:r w:rsidRPr="00956057">
          <w:rPr>
            <w:rStyle w:val="Hyperlink"/>
            <w:rFonts w:asciiTheme="majorBidi" w:hAnsiTheme="majorBidi" w:cstheme="majorBidi"/>
            <w:sz w:val="24"/>
            <w:szCs w:val="24"/>
          </w:rPr>
          <w:t>10.1086/522036</w:t>
        </w:r>
      </w:hyperlink>
    </w:p>
    <w:p w14:paraId="6046FC3B" w14:textId="1C35F96D"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Zielinski, M. R., Systrom, D. M., &amp; Rose, N. R. (2019). Fatigue, sleep, and autoimmune and related disorders. </w:t>
      </w:r>
      <w:r w:rsidRPr="00956057">
        <w:rPr>
          <w:rFonts w:asciiTheme="majorBidi" w:hAnsiTheme="majorBidi" w:cstheme="majorBidi"/>
          <w:i/>
          <w:iCs/>
          <w:sz w:val="24"/>
          <w:szCs w:val="24"/>
        </w:rPr>
        <w:t>Frontiers in Immunology</w:t>
      </w:r>
      <w:r w:rsidRPr="00956057">
        <w:rPr>
          <w:rFonts w:asciiTheme="majorBidi" w:hAnsiTheme="majorBidi" w:cstheme="majorBidi"/>
          <w:sz w:val="24"/>
          <w:szCs w:val="24"/>
        </w:rPr>
        <w:t>, 10, 1827. DOI: </w:t>
      </w:r>
      <w:hyperlink r:id="rId59" w:tgtFrame="_blank" w:history="1">
        <w:r w:rsidRPr="00956057">
          <w:rPr>
            <w:rStyle w:val="Hyperlink"/>
            <w:rFonts w:asciiTheme="majorBidi" w:hAnsiTheme="majorBidi" w:cstheme="majorBidi"/>
            <w:sz w:val="24"/>
            <w:szCs w:val="24"/>
          </w:rPr>
          <w:t>10.3389/fimmu.2019.01827</w:t>
        </w:r>
      </w:hyperlink>
    </w:p>
    <w:p w14:paraId="1E473D20" w14:textId="0DBF4731"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lang w:val="fr-FR"/>
        </w:rPr>
        <w:t xml:space="preserve">Roman, M. J., &amp; Salmon, J. E. (2007). </w:t>
      </w:r>
      <w:r w:rsidRPr="00956057">
        <w:rPr>
          <w:rFonts w:asciiTheme="majorBidi" w:hAnsiTheme="majorBidi" w:cstheme="majorBidi"/>
          <w:sz w:val="24"/>
          <w:szCs w:val="24"/>
        </w:rPr>
        <w:t>Cardiovascular manifestations of rheumatologic diseases. </w:t>
      </w:r>
      <w:r w:rsidRPr="00956057">
        <w:rPr>
          <w:rFonts w:asciiTheme="majorBidi" w:hAnsiTheme="majorBidi" w:cstheme="majorBidi"/>
          <w:i/>
          <w:iCs/>
          <w:sz w:val="24"/>
          <w:szCs w:val="24"/>
        </w:rPr>
        <w:t>Circulation</w:t>
      </w:r>
      <w:r w:rsidRPr="00956057">
        <w:rPr>
          <w:rFonts w:asciiTheme="majorBidi" w:hAnsiTheme="majorBidi" w:cstheme="majorBidi"/>
          <w:sz w:val="24"/>
          <w:szCs w:val="24"/>
        </w:rPr>
        <w:t>, 116(20), 2346–2355. DOI: </w:t>
      </w:r>
      <w:hyperlink r:id="rId60" w:tgtFrame="_blank" w:history="1">
        <w:r w:rsidRPr="00956057">
          <w:rPr>
            <w:rStyle w:val="Hyperlink"/>
            <w:rFonts w:asciiTheme="majorBidi" w:hAnsiTheme="majorBidi" w:cstheme="majorBidi"/>
            <w:sz w:val="24"/>
            <w:szCs w:val="24"/>
          </w:rPr>
          <w:t>10.1161/CIRCULATIONAHA.106.678334</w:t>
        </w:r>
      </w:hyperlink>
    </w:p>
    <w:p w14:paraId="2E00B85D" w14:textId="6A21CADB"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proofErr w:type="spellStart"/>
      <w:r w:rsidRPr="00956057">
        <w:rPr>
          <w:rFonts w:asciiTheme="majorBidi" w:hAnsiTheme="majorBidi" w:cstheme="majorBidi"/>
          <w:sz w:val="24"/>
          <w:szCs w:val="24"/>
        </w:rPr>
        <w:t>Saevarsdottir</w:t>
      </w:r>
      <w:proofErr w:type="spellEnd"/>
      <w:r w:rsidRPr="00956057">
        <w:rPr>
          <w:rFonts w:asciiTheme="majorBidi" w:hAnsiTheme="majorBidi" w:cstheme="majorBidi"/>
          <w:sz w:val="24"/>
          <w:szCs w:val="24"/>
        </w:rPr>
        <w:t xml:space="preserve">, S., </w:t>
      </w:r>
      <w:proofErr w:type="spellStart"/>
      <w:r w:rsidRPr="00956057">
        <w:rPr>
          <w:rFonts w:asciiTheme="majorBidi" w:hAnsiTheme="majorBidi" w:cstheme="majorBidi"/>
          <w:sz w:val="24"/>
          <w:szCs w:val="24"/>
        </w:rPr>
        <w:t>Wedrén</w:t>
      </w:r>
      <w:proofErr w:type="spellEnd"/>
      <w:r w:rsidRPr="00956057">
        <w:rPr>
          <w:rFonts w:asciiTheme="majorBidi" w:hAnsiTheme="majorBidi" w:cstheme="majorBidi"/>
          <w:sz w:val="24"/>
          <w:szCs w:val="24"/>
        </w:rPr>
        <w:t xml:space="preserve">, S., </w:t>
      </w:r>
      <w:proofErr w:type="spellStart"/>
      <w:r w:rsidRPr="00956057">
        <w:rPr>
          <w:rFonts w:asciiTheme="majorBidi" w:hAnsiTheme="majorBidi" w:cstheme="majorBidi"/>
          <w:sz w:val="24"/>
          <w:szCs w:val="24"/>
        </w:rPr>
        <w:t>Seddighzadeh</w:t>
      </w:r>
      <w:proofErr w:type="spellEnd"/>
      <w:r w:rsidRPr="00956057">
        <w:rPr>
          <w:rFonts w:asciiTheme="majorBidi" w:hAnsiTheme="majorBidi" w:cstheme="majorBidi"/>
          <w:sz w:val="24"/>
          <w:szCs w:val="24"/>
        </w:rPr>
        <w:t>, M., Bengtsson, C., Wesley, A., Lindblad, S., ... &amp; Alfredsson, L. (2011). Patients with early rheumatoid arthritis who smoke are less likely to respond to treatment with methotrexate and tumor necrosis factor inhibitors. </w:t>
      </w:r>
      <w:r w:rsidRPr="00956057">
        <w:rPr>
          <w:rFonts w:asciiTheme="majorBidi" w:hAnsiTheme="majorBidi" w:cstheme="majorBidi"/>
          <w:i/>
          <w:iCs/>
          <w:sz w:val="24"/>
          <w:szCs w:val="24"/>
        </w:rPr>
        <w:t>Arthritis &amp; Rheumatism</w:t>
      </w:r>
      <w:r w:rsidRPr="00956057">
        <w:rPr>
          <w:rFonts w:asciiTheme="majorBidi" w:hAnsiTheme="majorBidi" w:cstheme="majorBidi"/>
          <w:sz w:val="24"/>
          <w:szCs w:val="24"/>
        </w:rPr>
        <w:t>, 63(1), 26–36. DOI: </w:t>
      </w:r>
      <w:hyperlink r:id="rId61" w:tgtFrame="_blank" w:history="1">
        <w:r w:rsidRPr="00956057">
          <w:rPr>
            <w:rStyle w:val="Hyperlink"/>
            <w:rFonts w:asciiTheme="majorBidi" w:hAnsiTheme="majorBidi" w:cstheme="majorBidi"/>
            <w:sz w:val="24"/>
            <w:szCs w:val="24"/>
          </w:rPr>
          <w:t>10.1002/art.27758</w:t>
        </w:r>
      </w:hyperlink>
    </w:p>
    <w:p w14:paraId="6CAD830D" w14:textId="403A42A8" w:rsidR="003D5DC4" w:rsidRPr="00956057" w:rsidRDefault="003D5DC4" w:rsidP="00956057">
      <w:pPr>
        <w:numPr>
          <w:ilvl w:val="0"/>
          <w:numId w:val="2"/>
        </w:numPr>
        <w:tabs>
          <w:tab w:val="clear" w:pos="720"/>
          <w:tab w:val="num" w:pos="360"/>
        </w:tabs>
        <w:spacing w:after="0" w:line="240" w:lineRule="auto"/>
        <w:ind w:left="360"/>
        <w:jc w:val="both"/>
        <w:rPr>
          <w:rFonts w:asciiTheme="majorBidi" w:hAnsiTheme="majorBidi" w:cstheme="majorBidi"/>
          <w:sz w:val="24"/>
          <w:szCs w:val="24"/>
        </w:rPr>
      </w:pPr>
      <w:r w:rsidRPr="00956057">
        <w:rPr>
          <w:rFonts w:asciiTheme="majorBidi" w:hAnsiTheme="majorBidi" w:cstheme="majorBidi"/>
          <w:sz w:val="24"/>
          <w:szCs w:val="24"/>
        </w:rPr>
        <w:t>Sparks, J. A., Chang, S., Liao, K. P., Lu, B., Fine, A. R., Solomon, D. H., ... &amp; Karlson, E. W. (2016). Rheumatoid arthritis and mortality among women during 36 years of prospective follow-up: Results from the Nurses' Health Study. </w:t>
      </w:r>
      <w:r w:rsidRPr="00956057">
        <w:rPr>
          <w:rFonts w:asciiTheme="majorBidi" w:hAnsiTheme="majorBidi" w:cstheme="majorBidi"/>
          <w:i/>
          <w:iCs/>
          <w:sz w:val="24"/>
          <w:szCs w:val="24"/>
        </w:rPr>
        <w:t>Arthritis Care &amp; Research</w:t>
      </w:r>
      <w:r w:rsidRPr="00956057">
        <w:rPr>
          <w:rFonts w:asciiTheme="majorBidi" w:hAnsiTheme="majorBidi" w:cstheme="majorBidi"/>
          <w:sz w:val="24"/>
          <w:szCs w:val="24"/>
        </w:rPr>
        <w:t>, 68(6), 753–762. DOI: </w:t>
      </w:r>
      <w:hyperlink r:id="rId62" w:tgtFrame="_blank" w:history="1">
        <w:r w:rsidRPr="00956057">
          <w:rPr>
            <w:rStyle w:val="Hyperlink"/>
            <w:rFonts w:asciiTheme="majorBidi" w:hAnsiTheme="majorBidi" w:cstheme="majorBidi"/>
            <w:sz w:val="24"/>
            <w:szCs w:val="24"/>
          </w:rPr>
          <w:t>10.1002/acr.22752</w:t>
        </w:r>
      </w:hyperlink>
    </w:p>
    <w:p w14:paraId="41555707" w14:textId="77777777" w:rsidR="003D5DC4" w:rsidRPr="003A3E6F" w:rsidRDefault="003D5DC4" w:rsidP="00956057">
      <w:pPr>
        <w:spacing w:after="0" w:line="240" w:lineRule="auto"/>
        <w:jc w:val="both"/>
        <w:rPr>
          <w:rFonts w:asciiTheme="majorBidi" w:hAnsiTheme="majorBidi" w:cstheme="majorBidi"/>
          <w:b/>
          <w:bCs/>
          <w:sz w:val="24"/>
          <w:szCs w:val="24"/>
        </w:rPr>
      </w:pPr>
    </w:p>
    <w:sectPr w:rsidR="003D5DC4" w:rsidRPr="003A3E6F">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7F9BC" w14:textId="77777777" w:rsidR="00B0181F" w:rsidRDefault="00B0181F" w:rsidP="00011FAF">
      <w:pPr>
        <w:spacing w:after="0" w:line="240" w:lineRule="auto"/>
      </w:pPr>
      <w:r>
        <w:separator/>
      </w:r>
    </w:p>
  </w:endnote>
  <w:endnote w:type="continuationSeparator" w:id="0">
    <w:p w14:paraId="518C8D80" w14:textId="77777777" w:rsidR="00B0181F" w:rsidRDefault="00B0181F" w:rsidP="0001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C6F" w14:textId="77777777" w:rsidR="00011440" w:rsidRDefault="00011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150902"/>
      <w:docPartObj>
        <w:docPartGallery w:val="Page Numbers (Bottom of Page)"/>
        <w:docPartUnique/>
      </w:docPartObj>
    </w:sdtPr>
    <w:sdtEndPr>
      <w:rPr>
        <w:noProof/>
      </w:rPr>
    </w:sdtEndPr>
    <w:sdtContent>
      <w:p w14:paraId="3FACFCB0" w14:textId="3B7B1671" w:rsidR="00011FAF" w:rsidRDefault="00011FA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44ACD46" w14:textId="77777777" w:rsidR="00011FAF" w:rsidRDefault="00011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3863" w14:textId="77777777" w:rsidR="00011440" w:rsidRDefault="00011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85EC8" w14:textId="77777777" w:rsidR="00B0181F" w:rsidRDefault="00B0181F" w:rsidP="00011FAF">
      <w:pPr>
        <w:spacing w:after="0" w:line="240" w:lineRule="auto"/>
      </w:pPr>
      <w:r>
        <w:separator/>
      </w:r>
    </w:p>
  </w:footnote>
  <w:footnote w:type="continuationSeparator" w:id="0">
    <w:p w14:paraId="30C6279C" w14:textId="77777777" w:rsidR="00B0181F" w:rsidRDefault="00B0181F" w:rsidP="0001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501DA" w14:textId="22BFD89A" w:rsidR="00011440" w:rsidRDefault="00011440">
    <w:pPr>
      <w:pStyle w:val="Header"/>
    </w:pPr>
    <w:r>
      <w:rPr>
        <w:noProof/>
      </w:rPr>
      <w:pict w14:anchorId="7301A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930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7CFB" w14:textId="1D66441F" w:rsidR="00011440" w:rsidRDefault="00011440">
    <w:pPr>
      <w:pStyle w:val="Header"/>
    </w:pPr>
    <w:r>
      <w:rPr>
        <w:noProof/>
      </w:rPr>
      <w:pict w14:anchorId="4F702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930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956E" w14:textId="3788854C" w:rsidR="00011440" w:rsidRDefault="00011440">
    <w:pPr>
      <w:pStyle w:val="Header"/>
    </w:pPr>
    <w:r>
      <w:rPr>
        <w:noProof/>
      </w:rPr>
      <w:pict w14:anchorId="644EA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930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18EC7D94"/>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64AB424D"/>
    <w:multiLevelType w:val="multilevel"/>
    <w:tmpl w:val="716A7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DBC"/>
    <w:rsid w:val="00011440"/>
    <w:rsid w:val="00011FAF"/>
    <w:rsid w:val="00071E54"/>
    <w:rsid w:val="000777E4"/>
    <w:rsid w:val="000D12BD"/>
    <w:rsid w:val="000D5F24"/>
    <w:rsid w:val="000F5503"/>
    <w:rsid w:val="00115E18"/>
    <w:rsid w:val="001A17C4"/>
    <w:rsid w:val="001A7993"/>
    <w:rsid w:val="002308BA"/>
    <w:rsid w:val="00254A5B"/>
    <w:rsid w:val="00271C57"/>
    <w:rsid w:val="002C5E23"/>
    <w:rsid w:val="002F2156"/>
    <w:rsid w:val="00325CCE"/>
    <w:rsid w:val="003265F6"/>
    <w:rsid w:val="003A3E6F"/>
    <w:rsid w:val="003D5DC4"/>
    <w:rsid w:val="004357D5"/>
    <w:rsid w:val="004A1DBC"/>
    <w:rsid w:val="005206F7"/>
    <w:rsid w:val="00543D76"/>
    <w:rsid w:val="005851CC"/>
    <w:rsid w:val="005A1093"/>
    <w:rsid w:val="005A49A7"/>
    <w:rsid w:val="00643045"/>
    <w:rsid w:val="006D2391"/>
    <w:rsid w:val="00715CC2"/>
    <w:rsid w:val="0073753F"/>
    <w:rsid w:val="007D0486"/>
    <w:rsid w:val="007F719A"/>
    <w:rsid w:val="00834E9F"/>
    <w:rsid w:val="008474E5"/>
    <w:rsid w:val="008534A9"/>
    <w:rsid w:val="00882063"/>
    <w:rsid w:val="00884A56"/>
    <w:rsid w:val="008975A2"/>
    <w:rsid w:val="008A194C"/>
    <w:rsid w:val="009213F9"/>
    <w:rsid w:val="009272E1"/>
    <w:rsid w:val="00956057"/>
    <w:rsid w:val="00967FD1"/>
    <w:rsid w:val="009F67C1"/>
    <w:rsid w:val="00AD16FF"/>
    <w:rsid w:val="00AD270A"/>
    <w:rsid w:val="00B0181F"/>
    <w:rsid w:val="00B40DEC"/>
    <w:rsid w:val="00B55548"/>
    <w:rsid w:val="00BE2820"/>
    <w:rsid w:val="00BE7CFD"/>
    <w:rsid w:val="00C15D40"/>
    <w:rsid w:val="00C20CA0"/>
    <w:rsid w:val="00D408EC"/>
    <w:rsid w:val="00D82448"/>
    <w:rsid w:val="00E34AEF"/>
    <w:rsid w:val="00E73DCE"/>
    <w:rsid w:val="00E8060F"/>
    <w:rsid w:val="00EF3927"/>
    <w:rsid w:val="00F00B34"/>
    <w:rsid w:val="00F44621"/>
    <w:rsid w:val="00F95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FC9947"/>
  <w15:chartTrackingRefBased/>
  <w15:docId w15:val="{4817D213-D86B-432F-ADB2-35D4A0C7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DBC"/>
    <w:rPr>
      <w:rFonts w:ascii="Calibri" w:eastAsia="Calibri" w:hAnsi="Calibri" w:cs="Arial"/>
    </w:rPr>
  </w:style>
  <w:style w:type="paragraph" w:styleId="Heading1">
    <w:name w:val="heading 1"/>
    <w:basedOn w:val="Normal"/>
    <w:next w:val="Normal"/>
    <w:link w:val="Heading1Char"/>
    <w:uiPriority w:val="9"/>
    <w:qFormat/>
    <w:rsid w:val="008820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0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DBC"/>
    <w:pPr>
      <w:ind w:left="720"/>
      <w:contextualSpacing/>
    </w:pPr>
  </w:style>
  <w:style w:type="paragraph" w:styleId="Title">
    <w:name w:val="Title"/>
    <w:basedOn w:val="Normal"/>
    <w:next w:val="Normal"/>
    <w:link w:val="TitleChar"/>
    <w:uiPriority w:val="10"/>
    <w:qFormat/>
    <w:rsid w:val="008474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4E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20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206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D5DC4"/>
    <w:rPr>
      <w:color w:val="0563C1" w:themeColor="hyperlink"/>
      <w:u w:val="single"/>
    </w:rPr>
  </w:style>
  <w:style w:type="character" w:customStyle="1" w:styleId="UnresolvedMention1">
    <w:name w:val="Unresolved Mention1"/>
    <w:basedOn w:val="DefaultParagraphFont"/>
    <w:uiPriority w:val="99"/>
    <w:semiHidden/>
    <w:unhideWhenUsed/>
    <w:rsid w:val="003D5DC4"/>
    <w:rPr>
      <w:color w:val="605E5C"/>
      <w:shd w:val="clear" w:color="auto" w:fill="E1DFDD"/>
    </w:rPr>
  </w:style>
  <w:style w:type="paragraph" w:styleId="Header">
    <w:name w:val="header"/>
    <w:basedOn w:val="Normal"/>
    <w:link w:val="HeaderChar"/>
    <w:uiPriority w:val="99"/>
    <w:unhideWhenUsed/>
    <w:rsid w:val="00011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FAF"/>
    <w:rPr>
      <w:rFonts w:ascii="Calibri" w:eastAsia="Calibri" w:hAnsi="Calibri" w:cs="Arial"/>
    </w:rPr>
  </w:style>
  <w:style w:type="paragraph" w:styleId="Footer">
    <w:name w:val="footer"/>
    <w:basedOn w:val="Normal"/>
    <w:link w:val="FooterChar"/>
    <w:uiPriority w:val="99"/>
    <w:unhideWhenUsed/>
    <w:rsid w:val="00011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FAF"/>
    <w:rPr>
      <w:rFonts w:ascii="Calibri" w:eastAsia="Calibri" w:hAnsi="Calibri" w:cs="Arial"/>
    </w:rPr>
  </w:style>
  <w:style w:type="character" w:styleId="UnresolvedMention">
    <w:name w:val="Unresolved Mention"/>
    <w:basedOn w:val="DefaultParagraphFont"/>
    <w:uiPriority w:val="99"/>
    <w:semiHidden/>
    <w:unhideWhenUsed/>
    <w:rsid w:val="009F6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autrev.2011.10.022" TargetMode="External"/><Relationship Id="rId21" Type="http://schemas.openxmlformats.org/officeDocument/2006/relationships/hyperlink" Target="https://doi.org/10.1159/000493390" TargetMode="External"/><Relationship Id="rId42" Type="http://schemas.openxmlformats.org/officeDocument/2006/relationships/hyperlink" Target="https://doi.org/10.1093/rheumatology/keu328" TargetMode="External"/><Relationship Id="rId47" Type="http://schemas.openxmlformats.org/officeDocument/2006/relationships/hyperlink" Target="https://doi.org/10.3390/cells10112857"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07/s00393-012-1033-5" TargetMode="External"/><Relationship Id="rId29" Type="http://schemas.openxmlformats.org/officeDocument/2006/relationships/hyperlink" Target="https://doi.org/10.1016/j.biopsych.2009.09.033" TargetMode="External"/><Relationship Id="rId11" Type="http://schemas.openxmlformats.org/officeDocument/2006/relationships/chart" Target="charts/chart1.xml"/><Relationship Id="rId24" Type="http://schemas.openxmlformats.org/officeDocument/2006/relationships/hyperlink" Target="https://doi.org/10.1016/j.autrev.2020.102735" TargetMode="External"/><Relationship Id="rId32" Type="http://schemas.openxmlformats.org/officeDocument/2006/relationships/hyperlink" Target="https://doi.org/10.1038/nature13835" TargetMode="External"/><Relationship Id="rId37" Type="http://schemas.openxmlformats.org/officeDocument/2006/relationships/hyperlink" Target="https://doi.org/10.1016/j.gene.2019.03.049" TargetMode="External"/><Relationship Id="rId40" Type="http://schemas.openxmlformats.org/officeDocument/2006/relationships/hyperlink" Target="https://doi.org/10.1002/art.24362" TargetMode="External"/><Relationship Id="rId45" Type="http://schemas.openxmlformats.org/officeDocument/2006/relationships/hyperlink" Target="https://doi.org/10.1038/nature12873" TargetMode="External"/><Relationship Id="rId53" Type="http://schemas.openxmlformats.org/officeDocument/2006/relationships/hyperlink" Target="https://doi.org/10.1093/aje/kwn408" TargetMode="External"/><Relationship Id="rId58" Type="http://schemas.openxmlformats.org/officeDocument/2006/relationships/hyperlink" Target="https://doi.org/10.1086/522036"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doi.org/10.1002/art.27758" TargetMode="External"/><Relationship Id="rId19" Type="http://schemas.openxmlformats.org/officeDocument/2006/relationships/hyperlink" Target="https://doi.org/10.1093/rheumatology/ker258" TargetMode="External"/><Relationship Id="rId14" Type="http://schemas.openxmlformats.org/officeDocument/2006/relationships/hyperlink" Target="https://doi.org/10.1002/art.27584" TargetMode="External"/><Relationship Id="rId22" Type="http://schemas.openxmlformats.org/officeDocument/2006/relationships/hyperlink" Target="https://doi.org/10.1097/BOR.0000000000000255" TargetMode="External"/><Relationship Id="rId27" Type="http://schemas.openxmlformats.org/officeDocument/2006/relationships/hyperlink" Target="https://doi.org/10.1002/acr.21660" TargetMode="External"/><Relationship Id="rId30" Type="http://schemas.openxmlformats.org/officeDocument/2006/relationships/hyperlink" Target="https://doi.org/10.1016/j.bj.2020.12.005" TargetMode="External"/><Relationship Id="rId35" Type="http://schemas.openxmlformats.org/officeDocument/2006/relationships/hyperlink" Target="https://doi.org/10.1080/1744666X.2019.1705784" TargetMode="External"/><Relationship Id="rId43" Type="http://schemas.openxmlformats.org/officeDocument/2006/relationships/hyperlink" Target="https://doi.org/10.1016/j.biopsych.2008.11.029" TargetMode="External"/><Relationship Id="rId48" Type="http://schemas.openxmlformats.org/officeDocument/2006/relationships/hyperlink" Target="https://doi.org/10.1016/j.jaip.2017.05.012" TargetMode="External"/><Relationship Id="rId56" Type="http://schemas.openxmlformats.org/officeDocument/2006/relationships/hyperlink" Target="https://doi.org/10.17269/s41997-018-0062-5"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doi.org/10.1016/j.jaip.2017.05.012" TargetMode="External"/><Relationship Id="rId3"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s://doi.org/10.1371/journal.pone.0117952" TargetMode="External"/><Relationship Id="rId25" Type="http://schemas.openxmlformats.org/officeDocument/2006/relationships/hyperlink" Target="https://doi.org/10.1001/archinte.168.15.1664" TargetMode="External"/><Relationship Id="rId33" Type="http://schemas.openxmlformats.org/officeDocument/2006/relationships/hyperlink" Target="https://doi.org/10.1001/jama.2012.39" TargetMode="External"/><Relationship Id="rId38" Type="http://schemas.openxmlformats.org/officeDocument/2006/relationships/hyperlink" Target="https://doi.org/10.1002/art.41491" TargetMode="External"/><Relationship Id="rId46" Type="http://schemas.openxmlformats.org/officeDocument/2006/relationships/hyperlink" Target="https://doi.org/10.1002/art.41141" TargetMode="External"/><Relationship Id="rId59" Type="http://schemas.openxmlformats.org/officeDocument/2006/relationships/hyperlink" Target="https://doi.org/10.3389/fimmu.2019.01827" TargetMode="External"/><Relationship Id="rId67" Type="http://schemas.openxmlformats.org/officeDocument/2006/relationships/header" Target="header3.xml"/><Relationship Id="rId20" Type="http://schemas.openxmlformats.org/officeDocument/2006/relationships/hyperlink" Target="https://doi.org/10.1196/annals.1314.011" TargetMode="External"/><Relationship Id="rId41" Type="http://schemas.openxmlformats.org/officeDocument/2006/relationships/hyperlink" Target="https://doi.org/10.1371/journal.pone.0101528" TargetMode="External"/><Relationship Id="rId54" Type="http://schemas.openxmlformats.org/officeDocument/2006/relationships/hyperlink" Target="https://doi.org/10.1038/nrrheum.2014.103" TargetMode="External"/><Relationship Id="rId62" Type="http://schemas.openxmlformats.org/officeDocument/2006/relationships/hyperlink" Target="https://doi.org/10.1002/acr.22752"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autrev.2004.09.002" TargetMode="External"/><Relationship Id="rId23" Type="http://schemas.openxmlformats.org/officeDocument/2006/relationships/hyperlink" Target="https://pubmed.ncbi.nlm.nih.gov/21977172/" TargetMode="External"/><Relationship Id="rId28" Type="http://schemas.openxmlformats.org/officeDocument/2006/relationships/hyperlink" Target="https://doi.org/10.1038/s41584-020-0403-7" TargetMode="External"/><Relationship Id="rId36" Type="http://schemas.openxmlformats.org/officeDocument/2006/relationships/hyperlink" Target="https://doi.org/10.1016/j.clinthera.2019.04.018" TargetMode="External"/><Relationship Id="rId49" Type="http://schemas.openxmlformats.org/officeDocument/2006/relationships/hyperlink" Target="https://doi.org/10.3389/fmed.2021.689698" TargetMode="External"/><Relationship Id="rId57" Type="http://schemas.openxmlformats.org/officeDocument/2006/relationships/hyperlink" Target="https://doi.org/10.1097/MD.0000000000003999" TargetMode="External"/><Relationship Id="rId10" Type="http://schemas.openxmlformats.org/officeDocument/2006/relationships/image" Target="media/image4.png"/><Relationship Id="rId31" Type="http://schemas.openxmlformats.org/officeDocument/2006/relationships/hyperlink" Target="https://doi.org/10.1155/2020/3830212" TargetMode="External"/><Relationship Id="rId44" Type="http://schemas.openxmlformats.org/officeDocument/2006/relationships/hyperlink" Target="https://doi.org/10.1136/annrheumdis-2017-212852" TargetMode="External"/><Relationship Id="rId52" Type="http://schemas.openxmlformats.org/officeDocument/2006/relationships/hyperlink" Target="https://doi.org/10.53294/ijflsr.2025.8.1.0024" TargetMode="External"/><Relationship Id="rId60" Type="http://schemas.openxmlformats.org/officeDocument/2006/relationships/hyperlink" Target="https://doi.org/10.1161/CIRCULATIONAHA.106.678334"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chart" Target="charts/chart3.xml"/><Relationship Id="rId18" Type="http://schemas.openxmlformats.org/officeDocument/2006/relationships/hyperlink" Target="https://doi.org/10.1136/annrheumdis-2013-203715" TargetMode="External"/><Relationship Id="rId39" Type="http://schemas.openxmlformats.org/officeDocument/2006/relationships/hyperlink" Target="https://doi.org/10.1002/acr.22653" TargetMode="External"/><Relationship Id="rId34" Type="http://schemas.openxmlformats.org/officeDocument/2006/relationships/hyperlink" Target="https://doi.org/10.1002/art.41171" TargetMode="External"/><Relationship Id="rId50" Type="http://schemas.openxmlformats.org/officeDocument/2006/relationships/hyperlink" Target="https://doi.org/10.1016/j.jaut.2020.102400" TargetMode="External"/><Relationship Id="rId55" Type="http://schemas.openxmlformats.org/officeDocument/2006/relationships/hyperlink" Target="https://doi.org/10.1002/art.2074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3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597099398655822E-2"/>
          <c:y val="5.1377860812704346E-2"/>
          <c:w val="0.72974093615080182"/>
          <c:h val="0.94862213918729565"/>
        </c:manualLayout>
      </c:layout>
      <c:pie3DChart>
        <c:varyColors val="1"/>
        <c:ser>
          <c:idx val="0"/>
          <c:order val="0"/>
          <c:tx>
            <c:strRef>
              <c:f>ورقة1!$B$1</c:f>
              <c:strCache>
                <c:ptCount val="1"/>
                <c:pt idx="0">
                  <c:v>Frequency</c:v>
                </c:pt>
              </c:strCache>
            </c:strRef>
          </c:tx>
          <c:dPt>
            <c:idx val="0"/>
            <c:bubble3D val="0"/>
            <c:explosion val="13"/>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686-4F97-A191-C2E012EE2E78}"/>
              </c:ext>
            </c:extLst>
          </c:dPt>
          <c:dPt>
            <c:idx val="1"/>
            <c:bubble3D val="0"/>
            <c:spPr>
              <a:solidFill>
                <a:srgbClr val="92D05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686-4F97-A191-C2E012EE2E7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686-4F97-A191-C2E012EE2E78}"/>
              </c:ext>
            </c:extLst>
          </c:dPt>
          <c:dLbls>
            <c:dLbl>
              <c:idx val="0"/>
              <c:layout>
                <c:manualLayout>
                  <c:x val="-0.20652283535841115"/>
                  <c:y val="0.12884074334239282"/>
                </c:manualLayout>
              </c:layout>
              <c:tx>
                <c:rich>
                  <a:bodyPr/>
                  <a:lstStyle/>
                  <a:p>
                    <a:fld id="{FDFB9220-F66C-4B08-A5E5-F73456960507}" type="CATEGORYNAME">
                      <a:rPr lang="en-US" b="0">
                        <a:solidFill>
                          <a:schemeClr val="tx1"/>
                        </a:solidFill>
                      </a:rPr>
                      <a:pPr/>
                      <a:t>[CATEGORY NAME]</a:t>
                    </a:fld>
                    <a:r>
                      <a:rPr lang="en-US" b="0" baseline="0">
                        <a:solidFill>
                          <a:schemeClr val="tx1"/>
                        </a:solidFill>
                      </a:rPr>
                      <a:t>
</a:t>
                    </a:r>
                    <a:fld id="{3C9BDE94-F584-452C-B592-255280D10185}" type="PERCENTAGE">
                      <a:rPr lang="en-US" b="0" baseline="0">
                        <a:solidFill>
                          <a:schemeClr val="tx1"/>
                        </a:solidFill>
                      </a:rPr>
                      <a:pPr/>
                      <a:t>[PERCENTAGE]</a:t>
                    </a:fld>
                    <a:endParaRPr lang="en-US" b="0" baseline="0">
                      <a:solidFill>
                        <a:schemeClr val="tx1"/>
                      </a:solidFill>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24419551934826883"/>
                      <c:h val="0.17515179822512847"/>
                    </c:manualLayout>
                  </c15:layout>
                  <c15:dlblFieldTable/>
                  <c15:showDataLabelsRange val="0"/>
                </c:ext>
                <c:ext xmlns:c16="http://schemas.microsoft.com/office/drawing/2014/chart" uri="{C3380CC4-5D6E-409C-BE32-E72D297353CC}">
                  <c16:uniqueId val="{00000001-8686-4F97-A191-C2E012EE2E78}"/>
                </c:ext>
              </c:extLst>
            </c:dLbl>
            <c:dLbl>
              <c:idx val="1"/>
              <c:tx>
                <c:rich>
                  <a:bodyPr/>
                  <a:lstStyle/>
                  <a:p>
                    <a:fld id="{D059D547-1553-4FBC-9B3B-A9BFAE81E89E}" type="CATEGORYNAME">
                      <a:rPr lang="en-US" b="0">
                        <a:solidFill>
                          <a:schemeClr val="tx1"/>
                        </a:solidFill>
                      </a:rPr>
                      <a:pPr/>
                      <a:t>[CATEGORY NAME]</a:t>
                    </a:fld>
                    <a:r>
                      <a:rPr lang="en-US" b="0" baseline="0">
                        <a:solidFill>
                          <a:schemeClr val="tx1"/>
                        </a:solidFill>
                      </a:rPr>
                      <a:t>
</a:t>
                    </a:r>
                    <a:fld id="{3C9F8D3F-DDA4-4243-9149-994C8E659B50}" type="PERCENTAGE">
                      <a:rPr lang="en-US" b="0" baseline="0">
                        <a:solidFill>
                          <a:schemeClr val="tx1"/>
                        </a:solidFill>
                      </a:rPr>
                      <a:pPr/>
                      <a:t>[PERCENTAGE]</a:t>
                    </a:fld>
                    <a:endParaRPr lang="en-US" b="0" baseline="0">
                      <a:solidFill>
                        <a:schemeClr val="tx1"/>
                      </a:solidFill>
                    </a:endParaRP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686-4F97-A191-C2E012EE2E78}"/>
                </c:ext>
              </c:extLst>
            </c:dLbl>
            <c:dLbl>
              <c:idx val="2"/>
              <c:tx>
                <c:rich>
                  <a:bodyPr/>
                  <a:lstStyle/>
                  <a:p>
                    <a:fld id="{0B1E6767-A213-4775-9192-EE0F3B13BEDF}" type="CATEGORYNAME">
                      <a:rPr lang="en-US" b="0">
                        <a:solidFill>
                          <a:schemeClr val="tx1"/>
                        </a:solidFill>
                      </a:rPr>
                      <a:pPr/>
                      <a:t>[CATEGORY NAME]</a:t>
                    </a:fld>
                    <a:r>
                      <a:rPr lang="en-US" b="0" baseline="0">
                        <a:solidFill>
                          <a:schemeClr val="tx1"/>
                        </a:solidFill>
                      </a:rPr>
                      <a:t>
</a:t>
                    </a:r>
                    <a:fld id="{EDA216AD-8704-40BA-8184-E2E275B07C78}" type="PERCENTAGE">
                      <a:rPr lang="en-US" b="0" baseline="0">
                        <a:solidFill>
                          <a:schemeClr val="tx1"/>
                        </a:solidFill>
                      </a:rPr>
                      <a:pPr/>
                      <a:t>[PERCENTAGE]</a:t>
                    </a:fld>
                    <a:endParaRPr lang="en-US" b="0" baseline="0">
                      <a:solidFill>
                        <a:schemeClr val="tx1"/>
                      </a:solidFill>
                    </a:endParaRP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686-4F97-A191-C2E012EE2E78}"/>
                </c:ext>
              </c:extLst>
            </c:dLbl>
            <c:spPr>
              <a:noFill/>
              <a:ln>
                <a:noFill/>
              </a:ln>
              <a:effectLst>
                <a:outerShdw blurRad="50800" dist="38100" dir="2700000" sx="1000" sy="1000" algn="tl" rotWithShape="0">
                  <a:prstClr val="black"/>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ورقة1!$A$2:$A$4</c:f>
              <c:strCache>
                <c:ptCount val="3"/>
                <c:pt idx="0">
                  <c:v>Decreased in weight.</c:v>
                </c:pt>
                <c:pt idx="1">
                  <c:v>Increased in weight.</c:v>
                </c:pt>
                <c:pt idx="2">
                  <c:v>Stable.</c:v>
                </c:pt>
              </c:strCache>
            </c:strRef>
          </c:cat>
          <c:val>
            <c:numRef>
              <c:f>ورقة1!$B$2:$B$4</c:f>
              <c:numCache>
                <c:formatCode>General</c:formatCode>
                <c:ptCount val="3"/>
                <c:pt idx="0">
                  <c:v>106</c:v>
                </c:pt>
                <c:pt idx="1">
                  <c:v>97</c:v>
                </c:pt>
                <c:pt idx="2">
                  <c:v>98</c:v>
                </c:pt>
              </c:numCache>
            </c:numRef>
          </c:val>
          <c:extLst>
            <c:ext xmlns:c16="http://schemas.microsoft.com/office/drawing/2014/chart" uri="{C3380CC4-5D6E-409C-BE32-E72D297353CC}">
              <c16:uniqueId val="{00000006-8686-4F97-A191-C2E012EE2E78}"/>
            </c:ext>
          </c:extLst>
        </c:ser>
        <c:ser>
          <c:idx val="1"/>
          <c:order val="1"/>
          <c:tx>
            <c:strRef>
              <c:f>ورقة1!$C$1</c:f>
              <c:strCache>
                <c:ptCount val="1"/>
                <c:pt idx="0">
                  <c:v>Percent</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8686-4F97-A191-C2E012EE2E7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8686-4F97-A191-C2E012EE2E7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8686-4F97-A191-C2E012EE2E7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ورقة1!$A$2:$A$4</c:f>
              <c:strCache>
                <c:ptCount val="3"/>
                <c:pt idx="0">
                  <c:v>Decreased in weight.</c:v>
                </c:pt>
                <c:pt idx="1">
                  <c:v>Increased in weight.</c:v>
                </c:pt>
                <c:pt idx="2">
                  <c:v>Stable.</c:v>
                </c:pt>
              </c:strCache>
            </c:strRef>
          </c:cat>
          <c:val>
            <c:numRef>
              <c:f>ورقة1!$C$2:$C$4</c:f>
              <c:numCache>
                <c:formatCode>General</c:formatCode>
                <c:ptCount val="3"/>
                <c:pt idx="0">
                  <c:v>35.200000000000003</c:v>
                </c:pt>
                <c:pt idx="1">
                  <c:v>32.200000000000003</c:v>
                </c:pt>
                <c:pt idx="2">
                  <c:v>32.6</c:v>
                </c:pt>
              </c:numCache>
            </c:numRef>
          </c:val>
          <c:extLst>
            <c:ext xmlns:c16="http://schemas.microsoft.com/office/drawing/2014/chart" uri="{C3380CC4-5D6E-409C-BE32-E72D297353CC}">
              <c16:uniqueId val="{0000000D-8686-4F97-A191-C2E012EE2E78}"/>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3871489078121855"/>
          <c:y val="6.883382921366496E-2"/>
          <c:w val="0.24544442128033381"/>
          <c:h val="0.253380383734144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71956490513313"/>
          <c:y val="9.6618357487922704E-2"/>
          <c:w val="0.84522543134246697"/>
          <c:h val="0.67155388185172504"/>
        </c:manualLayout>
      </c:layout>
      <c:bar3DChart>
        <c:barDir val="col"/>
        <c:grouping val="clustered"/>
        <c:varyColors val="0"/>
        <c:ser>
          <c:idx val="0"/>
          <c:order val="0"/>
          <c:tx>
            <c:strRef>
              <c:f>ورقة1!$B$1</c:f>
              <c:strCache>
                <c:ptCount val="1"/>
                <c:pt idx="0">
                  <c:v>Yes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4.0537582194690522E-17"/>
                  <c:y val="-1.932367149758454E-2"/>
                </c:manualLayout>
              </c:layout>
              <c:tx>
                <c:rich>
                  <a:bodyPr/>
                  <a:lstStyle/>
                  <a:p>
                    <a:fld id="{7691DF02-D3C1-441E-8A27-EB8F7EA89342}"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9B0-4E13-B1EE-01F3A778A1D1}"/>
                </c:ext>
              </c:extLst>
            </c:dLbl>
            <c:dLbl>
              <c:idx val="1"/>
              <c:layout>
                <c:manualLayout>
                  <c:x val="-4.4223327805417356E-3"/>
                  <c:y val="-2.4154589371980676E-2"/>
                </c:manualLayout>
              </c:layout>
              <c:tx>
                <c:rich>
                  <a:bodyPr/>
                  <a:lstStyle/>
                  <a:p>
                    <a:fld id="{7D042D67-1F83-47AF-AA76-F950AD9C3C3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9B0-4E13-B1EE-01F3A778A1D1}"/>
                </c:ext>
              </c:extLst>
            </c:dLbl>
            <c:dLbl>
              <c:idx val="2"/>
              <c:layout>
                <c:manualLayout>
                  <c:x val="0"/>
                  <c:y val="-2.4154589371980766E-2"/>
                </c:manualLayout>
              </c:layout>
              <c:tx>
                <c:rich>
                  <a:bodyPr/>
                  <a:lstStyle/>
                  <a:p>
                    <a:fld id="{C3899132-8E29-4819-9CA2-AEDA33E6C4C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9B0-4E13-B1EE-01F3A778A1D1}"/>
                </c:ext>
              </c:extLst>
            </c:dLbl>
            <c:dLbl>
              <c:idx val="3"/>
              <c:layout>
                <c:manualLayout>
                  <c:x val="-1.5788835967805368E-2"/>
                  <c:y val="-2.8985332334076287E-2"/>
                </c:manualLayout>
              </c:layout>
              <c:tx>
                <c:rich>
                  <a:bodyPr/>
                  <a:lstStyle/>
                  <a:p>
                    <a:fld id="{74C16562-4B52-4B0D-ADC8-50F1230777F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9B0-4E13-B1EE-01F3A778A1D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ورقة1!$A$2:$A$5</c:f>
              <c:strCache>
                <c:ptCount val="4"/>
                <c:pt idx="0">
                  <c:v>Stress</c:v>
                </c:pt>
                <c:pt idx="1">
                  <c:v>Cold</c:v>
                </c:pt>
                <c:pt idx="2">
                  <c:v>Detergent</c:v>
                </c:pt>
                <c:pt idx="3">
                  <c:v>Environmental pollution</c:v>
                </c:pt>
              </c:strCache>
            </c:strRef>
          </c:cat>
          <c:val>
            <c:numRef>
              <c:f>ورقة1!$B$2:$B$5</c:f>
              <c:numCache>
                <c:formatCode>General</c:formatCode>
                <c:ptCount val="4"/>
                <c:pt idx="0">
                  <c:v>84.4</c:v>
                </c:pt>
                <c:pt idx="1">
                  <c:v>15.6</c:v>
                </c:pt>
                <c:pt idx="2">
                  <c:v>2.2999999999999998</c:v>
                </c:pt>
                <c:pt idx="3">
                  <c:v>19.3</c:v>
                </c:pt>
              </c:numCache>
            </c:numRef>
          </c:val>
          <c:extLst>
            <c:ext xmlns:c16="http://schemas.microsoft.com/office/drawing/2014/chart" uri="{C3380CC4-5D6E-409C-BE32-E72D297353CC}">
              <c16:uniqueId val="{00000004-B9B0-4E13-B1EE-01F3A778A1D1}"/>
            </c:ext>
          </c:extLst>
        </c:ser>
        <c:ser>
          <c:idx val="1"/>
          <c:order val="1"/>
          <c:tx>
            <c:strRef>
              <c:f>ورقة1!$C$1</c:f>
              <c:strCache>
                <c:ptCount val="1"/>
                <c:pt idx="0">
                  <c:v>No</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1.1055831951354339E-2"/>
                  <c:y val="-2.8985507246376812E-2"/>
                </c:manualLayout>
              </c:layout>
              <c:tx>
                <c:rich>
                  <a:bodyPr/>
                  <a:lstStyle/>
                  <a:p>
                    <a:fld id="{A59BAAF4-E355-45F5-9D76-F87F71C1025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9B0-4E13-B1EE-01F3A778A1D1}"/>
                </c:ext>
              </c:extLst>
            </c:dLbl>
            <c:dLbl>
              <c:idx val="1"/>
              <c:layout>
                <c:manualLayout>
                  <c:x val="0"/>
                  <c:y val="-1.932367149758454E-2"/>
                </c:manualLayout>
              </c:layout>
              <c:tx>
                <c:rich>
                  <a:bodyPr/>
                  <a:lstStyle/>
                  <a:p>
                    <a:fld id="{E9F63AC6-7434-416E-8DDB-3E026EAF8BF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9B0-4E13-B1EE-01F3A778A1D1}"/>
                </c:ext>
              </c:extLst>
            </c:dLbl>
            <c:dLbl>
              <c:idx val="2"/>
              <c:layout>
                <c:manualLayout>
                  <c:x val="0"/>
                  <c:y val="-1.4492753623188406E-2"/>
                </c:manualLayout>
              </c:layout>
              <c:tx>
                <c:rich>
                  <a:bodyPr/>
                  <a:lstStyle/>
                  <a:p>
                    <a:fld id="{850D7050-2D95-4E1E-899B-C373C2A8B82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9B0-4E13-B1EE-01F3A778A1D1}"/>
                </c:ext>
              </c:extLst>
            </c:dLbl>
            <c:dLbl>
              <c:idx val="3"/>
              <c:layout>
                <c:manualLayout>
                  <c:x val="-1.6215032877876209E-16"/>
                  <c:y val="-2.4154589371980676E-2"/>
                </c:manualLayout>
              </c:layout>
              <c:tx>
                <c:rich>
                  <a:bodyPr/>
                  <a:lstStyle/>
                  <a:p>
                    <a:fld id="{452D4F27-529A-4488-A735-4CA4DF2CC1A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B9B0-4E13-B1EE-01F3A778A1D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ورقة1!$A$2:$A$5</c:f>
              <c:strCache>
                <c:ptCount val="4"/>
                <c:pt idx="0">
                  <c:v>Stress</c:v>
                </c:pt>
                <c:pt idx="1">
                  <c:v>Cold</c:v>
                </c:pt>
                <c:pt idx="2">
                  <c:v>Detergent</c:v>
                </c:pt>
                <c:pt idx="3">
                  <c:v>Environmental pollution</c:v>
                </c:pt>
              </c:strCache>
            </c:strRef>
          </c:cat>
          <c:val>
            <c:numRef>
              <c:f>ورقة1!$C$2:$C$5</c:f>
              <c:numCache>
                <c:formatCode>General</c:formatCode>
                <c:ptCount val="4"/>
                <c:pt idx="0">
                  <c:v>15.6</c:v>
                </c:pt>
                <c:pt idx="1">
                  <c:v>84.4</c:v>
                </c:pt>
                <c:pt idx="2">
                  <c:v>97.7</c:v>
                </c:pt>
                <c:pt idx="3">
                  <c:v>80.7</c:v>
                </c:pt>
              </c:numCache>
            </c:numRef>
          </c:val>
          <c:extLst>
            <c:ext xmlns:c16="http://schemas.microsoft.com/office/drawing/2014/chart" uri="{C3380CC4-5D6E-409C-BE32-E72D297353CC}">
              <c16:uniqueId val="{00000009-B9B0-4E13-B1EE-01F3A778A1D1}"/>
            </c:ext>
          </c:extLst>
        </c:ser>
        <c:dLbls>
          <c:showLegendKey val="0"/>
          <c:showVal val="0"/>
          <c:showCatName val="0"/>
          <c:showSerName val="0"/>
          <c:showPercent val="0"/>
          <c:showBubbleSize val="0"/>
        </c:dLbls>
        <c:gapWidth val="65"/>
        <c:shape val="box"/>
        <c:axId val="436462448"/>
        <c:axId val="436463232"/>
        <c:axId val="0"/>
      </c:bar3DChart>
      <c:catAx>
        <c:axId val="43646244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Environmental factors</a:t>
                </a:r>
                <a:endParaRPr lang="ar-SA" sz="1200" b="1">
                  <a:solidFill>
                    <a:schemeClr val="tx1"/>
                  </a:solidFill>
                  <a:latin typeface="Arial" panose="020B0604020202020204" pitchFamily="34" charset="0"/>
                  <a:cs typeface="Arial" panose="020B0604020202020204" pitchFamily="34" charset="0"/>
                </a:endParaRPr>
              </a:p>
            </c:rich>
          </c:tx>
          <c:layout>
            <c:manualLayout>
              <c:xMode val="edge"/>
              <c:yMode val="edge"/>
              <c:x val="0.3702448387981353"/>
              <c:y val="0.8718129255582183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none" baseline="0">
                <a:solidFill>
                  <a:schemeClr val="tx1"/>
                </a:solidFill>
                <a:latin typeface="Arial" panose="020B0604020202020204" pitchFamily="34" charset="0"/>
                <a:ea typeface="+mn-ea"/>
                <a:cs typeface="Arial" panose="020B0604020202020204" pitchFamily="34" charset="0"/>
              </a:defRPr>
            </a:pPr>
            <a:endParaRPr lang="en-US"/>
          </a:p>
        </c:txPr>
        <c:crossAx val="436463232"/>
        <c:crosses val="autoZero"/>
        <c:auto val="1"/>
        <c:lblAlgn val="ctr"/>
        <c:lblOffset val="100"/>
        <c:noMultiLvlLbl val="0"/>
      </c:catAx>
      <c:valAx>
        <c:axId val="43646323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Percentage</a:t>
                </a:r>
                <a:endParaRPr lang="ar-SA" sz="1200" b="1">
                  <a:latin typeface="Arial" panose="020B0604020202020204" pitchFamily="34" charset="0"/>
                  <a:cs typeface="Arial" panose="020B0604020202020204" pitchFamily="34" charset="0"/>
                </a:endParaRPr>
              </a:p>
            </c:rich>
          </c:tx>
          <c:layout>
            <c:manualLayout>
              <c:xMode val="edge"/>
              <c:yMode val="edge"/>
              <c:x val="3.2727859119443072E-2"/>
              <c:y val="0.340682674245447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436462448"/>
        <c:crosses val="autoZero"/>
        <c:crossBetween val="between"/>
      </c:valAx>
      <c:spPr>
        <a:noFill/>
        <a:ln>
          <a:noFill/>
        </a:ln>
        <a:effectLst/>
      </c:spPr>
    </c:plotArea>
    <c:legend>
      <c:legendPos val="b"/>
      <c:layout>
        <c:manualLayout>
          <c:xMode val="edge"/>
          <c:yMode val="edge"/>
          <c:x val="0.86566519981022272"/>
          <c:y val="2.4757883525428841E-2"/>
          <c:w val="0.11333498735543629"/>
          <c:h val="8.1522309711286101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899106704587441E-2"/>
          <c:y val="7.8344836525063993E-2"/>
          <c:w val="0.9190529308836396"/>
          <c:h val="0.8211373578302712"/>
        </c:manualLayout>
      </c:layout>
      <c:bar3DChart>
        <c:barDir val="col"/>
        <c:grouping val="clustered"/>
        <c:varyColors val="0"/>
        <c:ser>
          <c:idx val="0"/>
          <c:order val="0"/>
          <c:tx>
            <c:strRef>
              <c:f>ورقة1!$B$1</c:f>
              <c:strCache>
                <c:ptCount val="1"/>
                <c:pt idx="0">
                  <c:v>Yes</c:v>
                </c:pt>
              </c:strCache>
            </c:strRef>
          </c:tx>
          <c:spPr>
            <a:solidFill>
              <a:schemeClr val="accent1"/>
            </a:solidFill>
            <a:ln>
              <a:noFill/>
            </a:ln>
            <a:effectLst/>
            <a:sp3d/>
          </c:spPr>
          <c:invertIfNegative val="0"/>
          <c:dLbls>
            <c:dLbl>
              <c:idx val="0"/>
              <c:layout>
                <c:manualLayout>
                  <c:x val="2.3148148148148147E-3"/>
                  <c:y val="-7.5396825396825393E-2"/>
                </c:manualLayout>
              </c:layout>
              <c:tx>
                <c:rich>
                  <a:bodyPr/>
                  <a:lstStyle/>
                  <a:p>
                    <a:fld id="{80B323C3-4656-47F9-8C6F-D2A433CFED0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A84-4A48-BC55-C2928906DE6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ورقة1!$A$2</c:f>
              <c:strCache>
                <c:ptCount val="1"/>
                <c:pt idx="0">
                  <c:v>Emotinal or psychological impacts</c:v>
                </c:pt>
              </c:strCache>
            </c:strRef>
          </c:cat>
          <c:val>
            <c:numRef>
              <c:f>ورقة1!$B$2</c:f>
              <c:numCache>
                <c:formatCode>General</c:formatCode>
                <c:ptCount val="1"/>
                <c:pt idx="0">
                  <c:v>70.400000000000006</c:v>
                </c:pt>
              </c:numCache>
            </c:numRef>
          </c:val>
          <c:extLst>
            <c:ext xmlns:c16="http://schemas.microsoft.com/office/drawing/2014/chart" uri="{C3380CC4-5D6E-409C-BE32-E72D297353CC}">
              <c16:uniqueId val="{00000001-EA84-4A48-BC55-C2928906DE6E}"/>
            </c:ext>
          </c:extLst>
        </c:ser>
        <c:ser>
          <c:idx val="1"/>
          <c:order val="1"/>
          <c:tx>
            <c:strRef>
              <c:f>ورقة1!$C$1</c:f>
              <c:strCache>
                <c:ptCount val="1"/>
                <c:pt idx="0">
                  <c:v>No</c:v>
                </c:pt>
              </c:strCache>
            </c:strRef>
          </c:tx>
          <c:spPr>
            <a:solidFill>
              <a:schemeClr val="accent2"/>
            </a:solidFill>
            <a:ln>
              <a:noFill/>
            </a:ln>
            <a:effectLst/>
            <a:sp3d/>
          </c:spPr>
          <c:invertIfNegative val="0"/>
          <c:dLbls>
            <c:dLbl>
              <c:idx val="0"/>
              <c:layout>
                <c:manualLayout>
                  <c:x val="4.6696240952603316E-3"/>
                  <c:y val="-8.1128932957454394E-2"/>
                </c:manualLayout>
              </c:layout>
              <c:tx>
                <c:rich>
                  <a:bodyPr/>
                  <a:lstStyle/>
                  <a:p>
                    <a:fld id="{86612E4F-84C3-48F0-9AA8-ED58FC72697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A84-4A48-BC55-C2928906DE6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ورقة1!$A$2</c:f>
              <c:strCache>
                <c:ptCount val="1"/>
                <c:pt idx="0">
                  <c:v>Emotinal or psychological impacts</c:v>
                </c:pt>
              </c:strCache>
            </c:strRef>
          </c:cat>
          <c:val>
            <c:numRef>
              <c:f>ورقة1!$C$2</c:f>
              <c:numCache>
                <c:formatCode>General</c:formatCode>
                <c:ptCount val="1"/>
                <c:pt idx="0">
                  <c:v>29.6</c:v>
                </c:pt>
              </c:numCache>
            </c:numRef>
          </c:val>
          <c:extLst>
            <c:ext xmlns:c16="http://schemas.microsoft.com/office/drawing/2014/chart" uri="{C3380CC4-5D6E-409C-BE32-E72D297353CC}">
              <c16:uniqueId val="{00000003-EA84-4A48-BC55-C2928906DE6E}"/>
            </c:ext>
          </c:extLst>
        </c:ser>
        <c:dLbls>
          <c:showLegendKey val="0"/>
          <c:showVal val="0"/>
          <c:showCatName val="0"/>
          <c:showSerName val="0"/>
          <c:showPercent val="0"/>
          <c:showBubbleSize val="0"/>
        </c:dLbls>
        <c:gapWidth val="150"/>
        <c:shape val="box"/>
        <c:axId val="423557832"/>
        <c:axId val="368722432"/>
        <c:axId val="0"/>
      </c:bar3DChart>
      <c:catAx>
        <c:axId val="423557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cap="none" spc="0" normalizeH="0" baseline="0">
                <a:solidFill>
                  <a:schemeClr val="tx1"/>
                </a:solidFill>
                <a:latin typeface="Arial" panose="020B0604020202020204" pitchFamily="34" charset="0"/>
                <a:ea typeface="+mn-ea"/>
                <a:cs typeface="Arial" panose="020B0604020202020204" pitchFamily="34" charset="0"/>
              </a:defRPr>
            </a:pPr>
            <a:endParaRPr lang="en-US"/>
          </a:p>
        </c:txPr>
        <c:crossAx val="368722432"/>
        <c:crosses val="autoZero"/>
        <c:auto val="1"/>
        <c:lblAlgn val="ctr"/>
        <c:lblOffset val="100"/>
        <c:noMultiLvlLbl val="0"/>
      </c:catAx>
      <c:valAx>
        <c:axId val="3687224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200" b="1" cap="none">
                    <a:latin typeface="Arial" panose="020B0604020202020204" pitchFamily="34" charset="0"/>
                    <a:cs typeface="Arial" panose="020B0604020202020204" pitchFamily="34" charset="0"/>
                  </a:rPr>
                  <a:t>percentage</a:t>
                </a:r>
                <a:endParaRPr lang="en-US" sz="1200" b="1">
                  <a:latin typeface="Arial" panose="020B0604020202020204" pitchFamily="34" charset="0"/>
                  <a:cs typeface="Arial" panose="020B0604020202020204" pitchFamily="34" charset="0"/>
                </a:endParaRPr>
              </a:p>
            </c:rich>
          </c:tx>
          <c:layout>
            <c:manualLayout>
              <c:xMode val="edge"/>
              <c:yMode val="edge"/>
              <c:x val="2.3498872120321875E-2"/>
              <c:y val="0.23842770774729391"/>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3557832"/>
        <c:crosses val="autoZero"/>
        <c:crossBetween val="between"/>
      </c:valAx>
      <c:spPr>
        <a:noFill/>
        <a:ln>
          <a:noFill/>
        </a:ln>
        <a:effectLst/>
      </c:spPr>
    </c:plotArea>
    <c:legend>
      <c:legendPos val="b"/>
      <c:layout>
        <c:manualLayout>
          <c:xMode val="edge"/>
          <c:yMode val="edge"/>
          <c:x val="5.585619492406866E-2"/>
          <c:y val="3.4745811053199856E-2"/>
          <c:w val="0.15804397903449088"/>
          <c:h val="9.0556040301777413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12</Pages>
  <Words>5351</Words>
  <Characters>30504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Abdualwahab Bingmeia</dc:creator>
  <cp:keywords/>
  <dc:description/>
  <cp:lastModifiedBy>SDI 1084</cp:lastModifiedBy>
  <cp:revision>6</cp:revision>
  <cp:lastPrinted>2025-03-19T11:05:00Z</cp:lastPrinted>
  <dcterms:created xsi:type="dcterms:W3CDTF">2025-03-22T18:33:00Z</dcterms:created>
  <dcterms:modified xsi:type="dcterms:W3CDTF">2025-03-27T06:12:00Z</dcterms:modified>
</cp:coreProperties>
</file>