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E7593" w14:textId="1CA1C0B9" w:rsidR="00B85B81" w:rsidRDefault="001D55D7" w:rsidP="001D55D7">
      <w:pPr>
        <w:spacing w:line="240" w:lineRule="auto"/>
        <w:jc w:val="both"/>
        <w:rPr>
          <w:rFonts w:asciiTheme="majorBidi" w:hAnsiTheme="majorBidi" w:cstheme="majorBidi"/>
          <w:sz w:val="24"/>
          <w:szCs w:val="24"/>
        </w:rPr>
      </w:pPr>
      <w:bookmarkStart w:id="0" w:name="_Hlk194658103"/>
      <w:r w:rsidRPr="001D55D7">
        <w:rPr>
          <w:rFonts w:asciiTheme="majorBidi" w:hAnsiTheme="majorBidi" w:cstheme="majorBidi"/>
          <w:sz w:val="24"/>
          <w:szCs w:val="24"/>
        </w:rPr>
        <w:t>Assessment of Hepatitis B Vaccine Efficacy</w:t>
      </w:r>
      <w:bookmarkEnd w:id="0"/>
      <w:r w:rsidRPr="001D55D7">
        <w:rPr>
          <w:rFonts w:asciiTheme="majorBidi" w:hAnsiTheme="majorBidi" w:cstheme="majorBidi"/>
          <w:sz w:val="24"/>
          <w:szCs w:val="24"/>
        </w:rPr>
        <w:t xml:space="preserve">, Prevalence of Infection, and Risk Determinants Among Expectant Mothers </w:t>
      </w:r>
      <w:proofErr w:type="gramStart"/>
      <w:r w:rsidRPr="001D55D7">
        <w:rPr>
          <w:rFonts w:asciiTheme="majorBidi" w:hAnsiTheme="majorBidi" w:cstheme="majorBidi"/>
          <w:sz w:val="24"/>
          <w:szCs w:val="24"/>
        </w:rPr>
        <w:t>At</w:t>
      </w:r>
      <w:proofErr w:type="gramEnd"/>
      <w:r w:rsidRPr="001D55D7">
        <w:rPr>
          <w:rFonts w:asciiTheme="majorBidi" w:hAnsiTheme="majorBidi" w:cstheme="majorBidi"/>
          <w:sz w:val="24"/>
          <w:szCs w:val="24"/>
        </w:rPr>
        <w:t xml:space="preserve"> Antenatal Care in Abyei, South Sudan</w:t>
      </w:r>
    </w:p>
    <w:p w14:paraId="31FF717E" w14:textId="77777777" w:rsidR="00604D00" w:rsidRPr="001D55D7" w:rsidRDefault="00604D00" w:rsidP="001D55D7">
      <w:pPr>
        <w:spacing w:line="240" w:lineRule="auto"/>
        <w:jc w:val="both"/>
        <w:rPr>
          <w:rFonts w:asciiTheme="majorBidi" w:hAnsiTheme="majorBidi" w:cstheme="majorBidi"/>
          <w:b/>
          <w:sz w:val="24"/>
          <w:szCs w:val="24"/>
        </w:rPr>
      </w:pPr>
    </w:p>
    <w:p w14:paraId="4FFCB92C" w14:textId="77777777" w:rsidR="00932894" w:rsidRDefault="00932894" w:rsidP="00A225BD">
      <w:pPr>
        <w:spacing w:before="240" w:line="240" w:lineRule="auto"/>
        <w:rPr>
          <w:rFonts w:ascii="Times New Roman" w:hAnsi="Times New Roman" w:cs="Times New Roman"/>
          <w:b/>
          <w:sz w:val="24"/>
          <w:szCs w:val="24"/>
        </w:rPr>
      </w:pPr>
    </w:p>
    <w:p w14:paraId="01A90AF3" w14:textId="2980DF21" w:rsidR="00A225BD" w:rsidRPr="00CE050E" w:rsidRDefault="00A225BD" w:rsidP="00A225BD">
      <w:pPr>
        <w:spacing w:before="240" w:line="240" w:lineRule="auto"/>
        <w:rPr>
          <w:rFonts w:ascii="Times New Roman" w:hAnsi="Times New Roman" w:cs="Times New Roman"/>
          <w:b/>
          <w:sz w:val="24"/>
          <w:szCs w:val="24"/>
        </w:rPr>
      </w:pPr>
      <w:r w:rsidRPr="004266C3">
        <w:rPr>
          <w:rFonts w:ascii="Times New Roman" w:hAnsi="Times New Roman" w:cs="Times New Roman"/>
          <w:b/>
          <w:sz w:val="24"/>
          <w:szCs w:val="24"/>
        </w:rPr>
        <w:t>Abstract</w:t>
      </w:r>
    </w:p>
    <w:p w14:paraId="4D15C0BA" w14:textId="77777777" w:rsidR="00A225BD" w:rsidRDefault="00A225BD" w:rsidP="00A225BD">
      <w:pPr>
        <w:spacing w:line="240" w:lineRule="auto"/>
        <w:jc w:val="both"/>
        <w:rPr>
          <w:rFonts w:ascii="Times New Roman" w:eastAsia="Times New Roman" w:hAnsi="Times New Roman" w:cs="Times New Roman"/>
          <w:sz w:val="24"/>
          <w:szCs w:val="24"/>
        </w:rPr>
      </w:pPr>
      <w:r w:rsidRPr="002050C7">
        <w:rPr>
          <w:rFonts w:ascii="Times New Roman" w:hAnsi="Times New Roman" w:cs="Times New Roman"/>
          <w:b/>
          <w:bCs/>
          <w:color w:val="000000" w:themeColor="text1"/>
          <w:sz w:val="24"/>
          <w:szCs w:val="24"/>
        </w:rPr>
        <w:t xml:space="preserve">Background: </w:t>
      </w:r>
      <w:r w:rsidRPr="00A225BD">
        <w:rPr>
          <w:rFonts w:ascii="Times New Roman" w:eastAsia="Times New Roman" w:hAnsi="Times New Roman" w:cs="Times New Roman"/>
          <w:sz w:val="24"/>
          <w:szCs w:val="24"/>
        </w:rPr>
        <w:t xml:space="preserve">The silent but deadly Hepatitis B virus (HBV) poses a threat to world health. Particularly in low and middle-income countries (LMICs), HBV is still underdiagnosed and not well controlled despite the availability of preventive measures like vaccines and antiviral medications. </w:t>
      </w:r>
      <w:r>
        <w:rPr>
          <w:rFonts w:ascii="Times New Roman" w:eastAsia="Times New Roman" w:hAnsi="Times New Roman" w:cs="Times New Roman"/>
          <w:sz w:val="24"/>
          <w:szCs w:val="24"/>
        </w:rPr>
        <w:t xml:space="preserve">The study aimed to assess the </w:t>
      </w:r>
      <w:r>
        <w:rPr>
          <w:rFonts w:ascii="Times New Roman" w:hAnsi="Times New Roman" w:cs="Times New Roman"/>
          <w:sz w:val="24"/>
          <w:szCs w:val="24"/>
        </w:rPr>
        <w:t>effectiveness o</w:t>
      </w:r>
      <w:r w:rsidRPr="00B85B81">
        <w:rPr>
          <w:rFonts w:ascii="Times New Roman" w:hAnsi="Times New Roman" w:cs="Times New Roman"/>
          <w:sz w:val="24"/>
          <w:szCs w:val="24"/>
        </w:rPr>
        <w:t xml:space="preserve">f </w:t>
      </w:r>
      <w:r>
        <w:rPr>
          <w:rFonts w:ascii="Times New Roman" w:hAnsi="Times New Roman" w:cs="Times New Roman"/>
          <w:sz w:val="24"/>
          <w:szCs w:val="24"/>
        </w:rPr>
        <w:t xml:space="preserve">the </w:t>
      </w:r>
      <w:r w:rsidRPr="00B85B81">
        <w:rPr>
          <w:rFonts w:ascii="Times New Roman" w:hAnsi="Times New Roman" w:cs="Times New Roman"/>
          <w:sz w:val="24"/>
          <w:szCs w:val="24"/>
        </w:rPr>
        <w:t>Hepatitis B Vaccine, Seroprevalence Of Hepatitis B</w:t>
      </w:r>
      <w:r>
        <w:rPr>
          <w:rFonts w:ascii="Times New Roman" w:hAnsi="Times New Roman" w:cs="Times New Roman"/>
          <w:sz w:val="24"/>
          <w:szCs w:val="24"/>
        </w:rPr>
        <w:t>,</w:t>
      </w:r>
      <w:r w:rsidRPr="00B85B81">
        <w:rPr>
          <w:rFonts w:ascii="Times New Roman" w:hAnsi="Times New Roman" w:cs="Times New Roman"/>
          <w:sz w:val="24"/>
          <w:szCs w:val="24"/>
        </w:rPr>
        <w:t xml:space="preserve"> And Associated Risk Factors Among Pregnant Mothers </w:t>
      </w:r>
      <w:proofErr w:type="gramStart"/>
      <w:r w:rsidRPr="00B85B81">
        <w:rPr>
          <w:rFonts w:ascii="Times New Roman" w:hAnsi="Times New Roman" w:cs="Times New Roman"/>
          <w:sz w:val="24"/>
          <w:szCs w:val="24"/>
        </w:rPr>
        <w:t>At</w:t>
      </w:r>
      <w:proofErr w:type="gramEnd"/>
      <w:r w:rsidRPr="00B85B81">
        <w:rPr>
          <w:rFonts w:ascii="Times New Roman" w:hAnsi="Times New Roman" w:cs="Times New Roman"/>
          <w:sz w:val="24"/>
          <w:szCs w:val="24"/>
        </w:rPr>
        <w:t xml:space="preserve"> Antenatal Clinics In Abyei, South Sudan</w:t>
      </w:r>
      <w:r>
        <w:rPr>
          <w:rFonts w:ascii="Times New Roman" w:hAnsi="Times New Roman" w:cs="Times New Roman"/>
          <w:sz w:val="24"/>
          <w:szCs w:val="24"/>
        </w:rPr>
        <w:t>.</w:t>
      </w:r>
    </w:p>
    <w:p w14:paraId="568F7F1B" w14:textId="3680A430" w:rsidR="00A225BD" w:rsidRPr="001C75CC" w:rsidRDefault="00A225BD" w:rsidP="00A225BD">
      <w:pPr>
        <w:spacing w:line="240" w:lineRule="auto"/>
        <w:jc w:val="both"/>
        <w:rPr>
          <w:rFonts w:ascii="Times New Roman" w:hAnsi="Times New Roman" w:cs="Times New Roman"/>
          <w:color w:val="000000" w:themeColor="text1"/>
          <w:sz w:val="24"/>
          <w:szCs w:val="24"/>
        </w:rPr>
      </w:pPr>
      <w:r w:rsidRPr="002050C7">
        <w:rPr>
          <w:rFonts w:ascii="Times New Roman" w:hAnsi="Times New Roman" w:cs="Times New Roman"/>
          <w:b/>
          <w:bCs/>
          <w:color w:val="000000" w:themeColor="text1"/>
          <w:sz w:val="24"/>
          <w:szCs w:val="24"/>
          <w14:ligatures w14:val="standardContextual"/>
        </w:rPr>
        <w:t>Methods: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shd w:val="clear" w:color="auto" w:fill="FFFFFF"/>
        </w:rPr>
        <w:t>A</w:t>
      </w:r>
      <w:r w:rsidRPr="00FE4EA4">
        <w:rPr>
          <w:rFonts w:ascii="Times New Roman" w:hAnsi="Times New Roman" w:cs="Times New Roman"/>
          <w:sz w:val="24"/>
          <w:szCs w:val="24"/>
          <w:shd w:val="clear" w:color="auto" w:fill="FFFFFF"/>
        </w:rPr>
        <w:t xml:space="preserve"> hybrid type 1 implementation design was adopted in this study.</w:t>
      </w:r>
      <w:r w:rsidRPr="00A225BD">
        <w:rPr>
          <w:rFonts w:ascii="Times New Roman" w:hAnsi="Times New Roman" w:cs="Times New Roman"/>
          <w:sz w:val="24"/>
          <w:szCs w:val="24"/>
        </w:rPr>
        <w:t xml:space="preserve"> </w:t>
      </w:r>
      <w:r>
        <w:rPr>
          <w:rFonts w:ascii="Times New Roman" w:hAnsi="Times New Roman" w:cs="Times New Roman"/>
          <w:sz w:val="24"/>
          <w:szCs w:val="24"/>
        </w:rPr>
        <w:t>In this study, both purposive and systematic random sampling were employed to recruit the study respondents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Both chi-square and </w:t>
      </w:r>
      <w:r w:rsidRPr="00FE4EA4">
        <w:rPr>
          <w:rFonts w:ascii="Times New Roman" w:eastAsia="Times New Roman" w:hAnsi="Times New Roman" w:cs="Times New Roman"/>
          <w:sz w:val="24"/>
          <w:szCs w:val="24"/>
        </w:rPr>
        <w:t>multilinear regression a</w:t>
      </w:r>
      <w:r>
        <w:rPr>
          <w:rFonts w:ascii="Times New Roman" w:eastAsia="Times New Roman" w:hAnsi="Times New Roman" w:cs="Times New Roman"/>
          <w:sz w:val="24"/>
          <w:szCs w:val="24"/>
        </w:rPr>
        <w:t>nalyses were employed. A significance level was set at a p-value of less or equal to</w:t>
      </w:r>
      <w:r w:rsidRPr="00FE4EA4">
        <w:rPr>
          <w:rFonts w:ascii="Times New Roman" w:eastAsia="Times New Roman" w:hAnsi="Times New Roman" w:cs="Times New Roman"/>
          <w:sz w:val="24"/>
          <w:szCs w:val="24"/>
        </w:rPr>
        <w:t xml:space="preserve"> 0.05</w:t>
      </w:r>
      <w:r>
        <w:rPr>
          <w:rFonts w:ascii="Times New Roman" w:eastAsia="Times New Roman" w:hAnsi="Times New Roman" w:cs="Times New Roman"/>
          <w:sz w:val="24"/>
          <w:szCs w:val="24"/>
        </w:rPr>
        <w:t>.</w:t>
      </w:r>
    </w:p>
    <w:p w14:paraId="5A0C0473" w14:textId="265D42CA" w:rsidR="00A225BD" w:rsidRPr="00A225BD" w:rsidRDefault="00A225BD" w:rsidP="00A225BD">
      <w:pPr>
        <w:spacing w:after="200" w:line="240" w:lineRule="auto"/>
        <w:contextualSpacing/>
        <w:jc w:val="both"/>
        <w:rPr>
          <w:rFonts w:ascii="Times New Roman" w:hAnsi="Times New Roman" w:cs="Times New Roman"/>
          <w:sz w:val="24"/>
          <w:szCs w:val="24"/>
        </w:rPr>
      </w:pPr>
      <w:r w:rsidRPr="002050C7">
        <w:rPr>
          <w:rFonts w:ascii="Times New Roman" w:hAnsi="Times New Roman" w:cs="Times New Roman"/>
          <w:b/>
          <w:bCs/>
          <w:color w:val="000000" w:themeColor="text1"/>
          <w:sz w:val="24"/>
          <w:szCs w:val="24"/>
        </w:rPr>
        <w:t>Results:</w:t>
      </w:r>
      <w:r w:rsidRPr="002050C7">
        <w:rPr>
          <w:rFonts w:ascii="Times New Roman" w:hAnsi="Times New Roman" w:cs="Times New Roman"/>
          <w:color w:val="000000" w:themeColor="text1"/>
          <w:sz w:val="24"/>
          <w:szCs w:val="24"/>
        </w:rPr>
        <w:t xml:space="preserve"> </w:t>
      </w:r>
      <w:r w:rsidRPr="00D40109">
        <w:rPr>
          <w:rFonts w:ascii="Times New Roman" w:eastAsia="Times New Roman" w:hAnsi="Times New Roman" w:cs="Times New Roman"/>
          <w:sz w:val="24"/>
          <w:szCs w:val="24"/>
        </w:rPr>
        <w:t>The seroprevalence</w:t>
      </w:r>
      <w:r>
        <w:rPr>
          <w:rFonts w:ascii="Times New Roman" w:eastAsia="Times New Roman" w:hAnsi="Times New Roman" w:cs="Times New Roman"/>
          <w:sz w:val="24"/>
          <w:szCs w:val="24"/>
        </w:rPr>
        <w:t xml:space="preserve"> of HBV</w:t>
      </w:r>
      <w:r w:rsidRPr="00D40109">
        <w:rPr>
          <w:rFonts w:ascii="Times New Roman" w:eastAsia="Times New Roman" w:hAnsi="Times New Roman" w:cs="Times New Roman"/>
          <w:sz w:val="24"/>
          <w:szCs w:val="24"/>
        </w:rPr>
        <w:t xml:space="preserve"> among expectant mothers</w:t>
      </w:r>
      <w:r>
        <w:rPr>
          <w:rFonts w:ascii="Times New Roman" w:eastAsia="Times New Roman" w:hAnsi="Times New Roman" w:cs="Times New Roman"/>
          <w:sz w:val="24"/>
          <w:szCs w:val="24"/>
        </w:rPr>
        <w:t xml:space="preserve"> was 19%.</w:t>
      </w:r>
      <w:r>
        <w:rPr>
          <w:rFonts w:ascii="Times New Roman" w:hAnsi="Times New Roman" w:cs="Times New Roman"/>
          <w:sz w:val="24"/>
          <w:szCs w:val="24"/>
        </w:rPr>
        <w:t xml:space="preserve"> </w:t>
      </w:r>
      <w:r w:rsidRPr="002A016F">
        <w:rPr>
          <w:rFonts w:ascii="Times New Roman" w:eastAsia="Times New Roman" w:hAnsi="Times New Roman" w:cs="Times New Roman"/>
          <w:sz w:val="24"/>
          <w:szCs w:val="24"/>
        </w:rPr>
        <w:t xml:space="preserve">According to logistic regression analysis, respondents with a history of STIs had a 12 times higher chance of testing positive for Hepatitis B </w:t>
      </w:r>
      <w:r>
        <w:rPr>
          <w:rFonts w:ascii="Times New Roman" w:eastAsia="Times New Roman" w:hAnsi="Times New Roman" w:cs="Times New Roman"/>
          <w:sz w:val="24"/>
          <w:szCs w:val="24"/>
        </w:rPr>
        <w:t>(A.</w:t>
      </w: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z w:val="24"/>
          <w:szCs w:val="24"/>
        </w:rPr>
        <w:t>=12.848, p=0.0001) while pregnant wom</w:t>
      </w:r>
      <w:r w:rsidR="00027711">
        <w:rPr>
          <w:rFonts w:ascii="Times New Roman" w:eastAsia="Times New Roman" w:hAnsi="Times New Roman" w:cs="Times New Roman"/>
          <w:sz w:val="24"/>
          <w:szCs w:val="24"/>
        </w:rPr>
        <w:t>e</w:t>
      </w:r>
      <w:r>
        <w:rPr>
          <w:rFonts w:ascii="Times New Roman" w:eastAsia="Times New Roman" w:hAnsi="Times New Roman" w:cs="Times New Roman"/>
          <w:sz w:val="24"/>
          <w:szCs w:val="24"/>
        </w:rPr>
        <w:t>n taking intravenous medication 2.3 times likely to test positive for Hepatitis B</w:t>
      </w:r>
      <w:r w:rsidRPr="002A016F">
        <w:rPr>
          <w:rFonts w:ascii="Times New Roman" w:eastAsia="Times New Roman" w:hAnsi="Times New Roman" w:cs="Times New Roman"/>
          <w:sz w:val="24"/>
          <w:szCs w:val="24"/>
        </w:rPr>
        <w:t xml:space="preserve"> (p=0.004, A.O. R=2.3)</w:t>
      </w:r>
      <w:r>
        <w:rPr>
          <w:rFonts w:ascii="Times New Roman" w:eastAsia="Times New Roman" w:hAnsi="Times New Roman" w:cs="Times New Roman"/>
          <w:sz w:val="24"/>
          <w:szCs w:val="24"/>
        </w:rPr>
        <w:t xml:space="preserve">. </w:t>
      </w:r>
      <w:r w:rsidRPr="00BC2966">
        <w:rPr>
          <w:rFonts w:ascii="Times New Roman" w:eastAsia="Times New Roman" w:hAnsi="Times New Roman" w:cs="Times New Roman"/>
          <w:sz w:val="24"/>
          <w:szCs w:val="24"/>
        </w:rPr>
        <w:t>Despite the availability of infants’ vaccination, vertical transmission of HBV f</w:t>
      </w:r>
      <w:r>
        <w:rPr>
          <w:rFonts w:ascii="Times New Roman" w:eastAsia="Times New Roman" w:hAnsi="Times New Roman" w:cs="Times New Roman"/>
          <w:sz w:val="24"/>
          <w:szCs w:val="24"/>
        </w:rPr>
        <w:t>rom mother to child occurre</w:t>
      </w:r>
      <w:r w:rsidR="006C250B">
        <w:rPr>
          <w:rFonts w:ascii="Times New Roman" w:eastAsia="Times New Roman" w:hAnsi="Times New Roman" w:cs="Times New Roman"/>
          <w:sz w:val="24"/>
          <w:szCs w:val="24"/>
        </w:rPr>
        <w:t>nce</w:t>
      </w:r>
      <w:r>
        <w:rPr>
          <w:rFonts w:ascii="Times New Roman" w:eastAsia="Times New Roman" w:hAnsi="Times New Roman" w:cs="Times New Roman"/>
          <w:sz w:val="24"/>
          <w:szCs w:val="24"/>
        </w:rPr>
        <w:t xml:space="preserve"> was </w:t>
      </w:r>
      <w:r w:rsidRPr="00BC2966">
        <w:rPr>
          <w:rFonts w:ascii="Times New Roman" w:eastAsia="Times New Roman" w:hAnsi="Times New Roman" w:cs="Times New Roman"/>
          <w:sz w:val="24"/>
          <w:szCs w:val="24"/>
        </w:rPr>
        <w:t>4.3%</w:t>
      </w:r>
      <w:r>
        <w:rPr>
          <w:rFonts w:ascii="Times New Roman" w:eastAsia="Times New Roman" w:hAnsi="Times New Roman" w:cs="Times New Roman"/>
          <w:sz w:val="24"/>
          <w:szCs w:val="24"/>
        </w:rPr>
        <w:t>.</w:t>
      </w:r>
    </w:p>
    <w:p w14:paraId="1A13A139" w14:textId="77777777" w:rsidR="00A225BD" w:rsidRPr="00A225BD" w:rsidRDefault="00A225BD" w:rsidP="00A225BD">
      <w:pPr>
        <w:spacing w:line="240" w:lineRule="auto"/>
        <w:jc w:val="both"/>
        <w:rPr>
          <w:rFonts w:ascii="Times New Roman" w:eastAsia="Times New Roman" w:hAnsi="Times New Roman" w:cs="Times New Roman"/>
          <w:sz w:val="24"/>
          <w:szCs w:val="24"/>
        </w:rPr>
      </w:pPr>
      <w:r w:rsidRPr="002050C7">
        <w:rPr>
          <w:rFonts w:ascii="Times New Roman" w:hAnsi="Times New Roman" w:cs="Times New Roman"/>
          <w:b/>
          <w:bCs/>
          <w:color w:val="000000" w:themeColor="text1"/>
          <w:sz w:val="24"/>
          <w:szCs w:val="24"/>
        </w:rPr>
        <w:t>Conclusion:</w:t>
      </w:r>
      <w:r w:rsidRPr="002050C7">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Infection with hepatitis B among</w:t>
      </w:r>
      <w:r w:rsidRPr="00A225BD">
        <w:rPr>
          <w:rFonts w:ascii="Times New Roman" w:eastAsia="Times New Roman" w:hAnsi="Times New Roman" w:cs="Times New Roman"/>
          <w:sz w:val="24"/>
          <w:szCs w:val="24"/>
        </w:rPr>
        <w:t xml:space="preserve"> pregnant women</w:t>
      </w:r>
      <w:r>
        <w:rPr>
          <w:rFonts w:ascii="Times New Roman" w:eastAsia="Times New Roman" w:hAnsi="Times New Roman" w:cs="Times New Roman"/>
          <w:sz w:val="24"/>
          <w:szCs w:val="24"/>
        </w:rPr>
        <w:t xml:space="preserve"> was 19%</w:t>
      </w:r>
      <w:r w:rsidRPr="00A225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w:t>
      </w:r>
      <w:r w:rsidRPr="00A225BD">
        <w:rPr>
          <w:rFonts w:ascii="Times New Roman" w:eastAsia="Times New Roman" w:hAnsi="Times New Roman" w:cs="Times New Roman"/>
          <w:sz w:val="24"/>
          <w:szCs w:val="24"/>
        </w:rPr>
        <w:t xml:space="preserve"> is a serious public health issue that needs immediate attention. This study emphasizes the need for focused interventions to reduce the risk factors of intravenous medication use and the presence of sexually transmitted infections (STIs), which are linked to increased risk.</w:t>
      </w:r>
    </w:p>
    <w:p w14:paraId="7E1CBB54" w14:textId="77777777" w:rsidR="00A225BD" w:rsidRPr="001C75CC" w:rsidRDefault="00A225BD" w:rsidP="00A225BD">
      <w:pPr>
        <w:spacing w:line="240" w:lineRule="auto"/>
        <w:jc w:val="both"/>
      </w:pPr>
    </w:p>
    <w:p w14:paraId="2F4B8B7D" w14:textId="15EAFF4B" w:rsidR="00A225BD" w:rsidRPr="00D65F39" w:rsidRDefault="00A225BD" w:rsidP="00A225BD">
      <w:pPr>
        <w:spacing w:after="0" w:line="240" w:lineRule="auto"/>
        <w:rPr>
          <w:rFonts w:ascii="Times New Roman" w:hAnsi="Times New Roman"/>
          <w:sz w:val="24"/>
          <w:szCs w:val="24"/>
        </w:rPr>
      </w:pPr>
      <w:r w:rsidRPr="002050C7">
        <w:rPr>
          <w:rFonts w:ascii="Times New Roman" w:hAnsi="Times New Roman" w:cs="Times New Roman"/>
          <w:b/>
          <w:bCs/>
          <w:color w:val="000000" w:themeColor="text1"/>
          <w:sz w:val="24"/>
          <w:szCs w:val="24"/>
        </w:rPr>
        <w:t>Keywords</w:t>
      </w:r>
      <w:r w:rsidRPr="002050C7">
        <w:rPr>
          <w:rFonts w:ascii="Times New Roman" w:hAnsi="Times New Roman" w:cs="Times New Roman"/>
          <w:bCs/>
          <w:color w:val="000000" w:themeColor="text1"/>
          <w:sz w:val="24"/>
          <w:szCs w:val="24"/>
        </w:rPr>
        <w:t>:</w:t>
      </w:r>
      <w:r w:rsidRPr="001C75CC">
        <w:rPr>
          <w:rFonts w:ascii="Georgia" w:eastAsia="Times New Roman" w:hAnsi="Georgia" w:cs="Times New Roman"/>
          <w:color w:val="1F1F1F"/>
          <w:sz w:val="24"/>
          <w:szCs w:val="24"/>
        </w:rPr>
        <w:t xml:space="preserve"> </w:t>
      </w:r>
      <w:r>
        <w:rPr>
          <w:rFonts w:ascii="Georgia" w:eastAsia="Times New Roman" w:hAnsi="Georgia" w:cs="Times New Roman"/>
          <w:color w:val="1F1F1F"/>
          <w:sz w:val="24"/>
          <w:szCs w:val="24"/>
        </w:rPr>
        <w:t xml:space="preserve"> </w:t>
      </w:r>
      <w:r w:rsidRPr="00A225BD">
        <w:rPr>
          <w:rFonts w:ascii="Times New Roman" w:eastAsia="Times New Roman" w:hAnsi="Times New Roman" w:cs="Times New Roman"/>
          <w:sz w:val="24"/>
          <w:szCs w:val="24"/>
        </w:rPr>
        <w:t xml:space="preserve">Hepatitis B, </w:t>
      </w:r>
      <w:r w:rsidRPr="00A225BD">
        <w:rPr>
          <w:rFonts w:ascii="Times New Roman" w:eastAsia="Times New Roman" w:hAnsi="Times New Roman" w:cs="Times New Roman"/>
          <w:color w:val="1F1F1F"/>
          <w:sz w:val="24"/>
          <w:szCs w:val="24"/>
        </w:rPr>
        <w:t xml:space="preserve">Risk </w:t>
      </w:r>
      <w:r w:rsidR="00A234D8">
        <w:rPr>
          <w:rFonts w:ascii="Times New Roman" w:eastAsia="Times New Roman" w:hAnsi="Times New Roman" w:cs="Times New Roman"/>
          <w:color w:val="1F1F1F"/>
          <w:sz w:val="24"/>
          <w:szCs w:val="24"/>
        </w:rPr>
        <w:t xml:space="preserve">determinants </w:t>
      </w:r>
      <w:proofErr w:type="gramStart"/>
      <w:r w:rsidRPr="00A225BD">
        <w:rPr>
          <w:rFonts w:ascii="Times New Roman" w:eastAsia="Times New Roman" w:hAnsi="Times New Roman" w:cs="Times New Roman"/>
          <w:color w:val="1F1F1F"/>
          <w:sz w:val="24"/>
          <w:szCs w:val="24"/>
        </w:rPr>
        <w:t xml:space="preserve">&amp; </w:t>
      </w:r>
      <w:r w:rsidRPr="00A225BD">
        <w:rPr>
          <w:rFonts w:ascii="Times New Roman" w:eastAsia="Times New Roman" w:hAnsi="Times New Roman" w:cs="Times New Roman"/>
          <w:sz w:val="24"/>
          <w:szCs w:val="24"/>
        </w:rPr>
        <w:t xml:space="preserve"> prevalence</w:t>
      </w:r>
      <w:proofErr w:type="gramEnd"/>
      <w:r w:rsidRPr="00A225BD">
        <w:rPr>
          <w:rFonts w:ascii="Times New Roman" w:eastAsia="Times New Roman" w:hAnsi="Times New Roman" w:cs="Times New Roman"/>
          <w:sz w:val="24"/>
          <w:szCs w:val="24"/>
        </w:rPr>
        <w:t>.</w:t>
      </w:r>
    </w:p>
    <w:p w14:paraId="009B37BF" w14:textId="77777777" w:rsidR="004E41CD" w:rsidRPr="00C95DA2" w:rsidRDefault="00C95DA2" w:rsidP="00A225BD">
      <w:pPr>
        <w:spacing w:line="240" w:lineRule="auto"/>
        <w:jc w:val="both"/>
        <w:rPr>
          <w:rFonts w:ascii="Times New Roman" w:hAnsi="Times New Roman" w:cs="Times New Roman"/>
          <w:b/>
          <w:sz w:val="24"/>
          <w:szCs w:val="24"/>
        </w:rPr>
      </w:pPr>
      <w:r w:rsidRPr="00C95DA2">
        <w:rPr>
          <w:rFonts w:ascii="Times New Roman" w:hAnsi="Times New Roman" w:cs="Times New Roman"/>
          <w:b/>
          <w:sz w:val="24"/>
          <w:szCs w:val="24"/>
        </w:rPr>
        <w:t>Introduction</w:t>
      </w:r>
    </w:p>
    <w:p w14:paraId="5DB64FF5" w14:textId="77777777" w:rsidR="004E41CD" w:rsidRPr="001B4373" w:rsidRDefault="004E41CD" w:rsidP="00A225BD">
      <w:pPr>
        <w:spacing w:after="240" w:line="240" w:lineRule="auto"/>
        <w:jc w:val="both"/>
        <w:rPr>
          <w:rFonts w:ascii="Times New Roman" w:eastAsia="Times New Roman" w:hAnsi="Times New Roman" w:cs="Times New Roman"/>
          <w:sz w:val="24"/>
          <w:szCs w:val="24"/>
        </w:rPr>
      </w:pPr>
      <w:r w:rsidRPr="004E41CD">
        <w:rPr>
          <w:rFonts w:ascii="Times New Roman" w:eastAsia="Times New Roman" w:hAnsi="Times New Roman" w:cs="Times New Roman"/>
          <w:sz w:val="24"/>
          <w:szCs w:val="24"/>
        </w:rPr>
        <w:t>A viral infection that targets the liver, hepatitis B can result in both acute and long-term illness</w:t>
      </w:r>
      <w:r w:rsidR="006E7CD4">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URL":"https://www.afro.who.int/countries/south-sudan/news/tackling-increasing-burden-viral-hepatitis-south-sudan","accessed":{"date-parts":[["2024","12","5"]]},"author":[{"dropping-particle":"","family":"WHO","given":"","non-dropping-particle":"","parse-names":false,"suffix":""}],"id":"ITEM-1","issued":{"date-parts":[["2024"]]},"title":"Tackling the increasing burden of viral hepatitis in South Sudan","type":"webpage"},"uris":["http://www.mendeley.com/documents/?uuid=44332265-cd35-4ece-a915-f5fc56af7f50"]}],"mendeley":{"formattedCitation":"(1)","manualFormatting":"(WHO, 2024)","plainTextFormattedCitation":"(1)","previouslyFormattedCitation":"(WHO, 2024)"},"properties":{"noteIndex":0},"schema":"https://github.com/citation-style-language/schema/raw/master/csl-citation.json"}</w:instrText>
      </w:r>
      <w:r w:rsidR="006E7CD4">
        <w:rPr>
          <w:rFonts w:ascii="Times New Roman" w:eastAsia="Times New Roman" w:hAnsi="Times New Roman" w:cs="Times New Roman"/>
          <w:sz w:val="24"/>
          <w:szCs w:val="24"/>
        </w:rPr>
        <w:fldChar w:fldCharType="separate"/>
      </w:r>
      <w:r w:rsidR="006E7CD4">
        <w:rPr>
          <w:rFonts w:ascii="Times New Roman" w:eastAsia="Times New Roman" w:hAnsi="Times New Roman" w:cs="Times New Roman"/>
          <w:noProof/>
          <w:sz w:val="24"/>
          <w:szCs w:val="24"/>
        </w:rPr>
        <w:t>(WHO, 2024</w:t>
      </w:r>
      <w:r w:rsidR="006E7CD4" w:rsidRPr="001B4373">
        <w:rPr>
          <w:rFonts w:ascii="Times New Roman" w:eastAsia="Times New Roman" w:hAnsi="Times New Roman" w:cs="Times New Roman"/>
          <w:noProof/>
          <w:sz w:val="24"/>
          <w:szCs w:val="24"/>
        </w:rPr>
        <w:t>)</w:t>
      </w:r>
      <w:r w:rsidR="006E7CD4">
        <w:rPr>
          <w:rFonts w:ascii="Times New Roman" w:eastAsia="Times New Roman" w:hAnsi="Times New Roman" w:cs="Times New Roman"/>
          <w:sz w:val="24"/>
          <w:szCs w:val="24"/>
        </w:rPr>
        <w:fldChar w:fldCharType="end"/>
      </w:r>
      <w:r w:rsidRPr="004E41CD">
        <w:rPr>
          <w:rFonts w:ascii="Times New Roman" w:eastAsia="Times New Roman" w:hAnsi="Times New Roman" w:cs="Times New Roman"/>
          <w:sz w:val="24"/>
          <w:szCs w:val="24"/>
        </w:rPr>
        <w:t>. In addition</w:t>
      </w:r>
      <w:r>
        <w:rPr>
          <w:rFonts w:ascii="Times New Roman" w:eastAsia="Times New Roman" w:hAnsi="Times New Roman" w:cs="Times New Roman"/>
          <w:sz w:val="24"/>
          <w:szCs w:val="24"/>
        </w:rPr>
        <w:t>,</w:t>
      </w:r>
      <w:r w:rsidRPr="004E41CD">
        <w:rPr>
          <w:rFonts w:ascii="Times New Roman" w:eastAsia="Times New Roman" w:hAnsi="Times New Roman" w:cs="Times New Roman"/>
          <w:sz w:val="24"/>
          <w:szCs w:val="24"/>
        </w:rPr>
        <w:t xml:space="preserve"> to contact with blood or other bodily fluids during intercourse with a partner who is infected, unsafe injections, or sharp object exposure, the virus is most frequently passed from mother to child during childbirth and early childhood.</w:t>
      </w:r>
      <w:r>
        <w:rPr>
          <w:rFonts w:ascii="Times New Roman" w:eastAsia="Times New Roman" w:hAnsi="Times New Roman" w:cs="Times New Roman"/>
          <w:sz w:val="24"/>
          <w:szCs w:val="24"/>
        </w:rPr>
        <w:t xml:space="preserve"> </w:t>
      </w:r>
      <w:r w:rsidRPr="004E41CD">
        <w:rPr>
          <w:rFonts w:ascii="Times New Roman" w:eastAsia="Times New Roman" w:hAnsi="Times New Roman" w:cs="Times New Roman"/>
          <w:sz w:val="24"/>
          <w:szCs w:val="24"/>
        </w:rPr>
        <w:t>According to WHO estimates, 1.2 million new cases of hepatitis B infection occur annually, and 254 million people have a chronic infection as of 2022</w:t>
      </w:r>
      <w:r w:rsidR="00C95DA2">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{"citationItems":[{"id":"ITEM-1","itemData":{"author":[{"dropping-particle":"","family":"WHO","given":"","non-dropping-particle":"","parse-names":false,"suffix":""}],"id":"ITEM-1","issued":{"date-parts":[["2023"]]},"title":"Hepatitis B","type":"article-journal"},"uris":["http://www.mendeley.com/documents/?uuid=c2ed0989-6174-4af5-9899-4e05d9581422"]}],"mendeley":{"formattedCitation":"(2)","plainTextFormattedCitation":"(2)","previouslyFormattedCitation":"(WHO, 2023)"},"properties":{"noteIndex":0},"schema":"https://github.com/citation-style-language/schema/raw/master/csl-citation.json"}</w:instrText>
      </w:r>
      <w:r w:rsidR="00C95DA2">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(2)</w:t>
      </w:r>
      <w:r w:rsidR="00C95DA2">
        <w:rPr>
          <w:rFonts w:ascii="Times New Roman" w:eastAsia="Times New Roman" w:hAnsi="Times New Roman" w:cs="Times New Roman"/>
          <w:sz w:val="24"/>
          <w:szCs w:val="24"/>
        </w:rPr>
        <w:fldChar w:fldCharType="end"/>
      </w:r>
      <w:r w:rsidRPr="004E41CD">
        <w:rPr>
          <w:rFonts w:ascii="Times New Roman" w:eastAsia="Times New Roman" w:hAnsi="Times New Roman" w:cs="Times New Roman"/>
          <w:sz w:val="24"/>
          <w:szCs w:val="24"/>
        </w:rPr>
        <w:t>. Approximately 1.1 million people died from cirrhosis and hepatocellular carcinoma (primary liver cancer) as a result of hepatitis B in 2022. Safe, accessible, and effective vaccines can prevent hepatitis B</w:t>
      </w:r>
      <w:r w:rsidR="006E7CD4">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URL":"https://www.afro.who.int/countries/south-sudan/news/tackling-increasing-burden-viral-hepatitis-south-sudan","accessed":{"date-parts":[["2024","12","5"]]},"author":[{"dropping-particle":"","family":"WHO","given":"","non-dropping-particle":"","parse-names":false,"suffix":""}],"id":"ITEM-1","issued":{"date-parts":[["2024"]]},"title":"Tackling the increasing burden of viral hepatitis in South Sudan","type":"webpage"},"uris":["http://www.mendeley.com/documents/?uuid=44332265-cd35-4ece-a915-f5fc56af7f50"]}],"mendeley":{"formattedCitation":"(1)","manualFormatting":"(WHO, 2024)","plainTextFormattedCitation":"(1)","previouslyFormattedCitation":"(WHO, 2024)"},"properties":{"noteIndex":0},"schema":"https://github.com/citation-style-language/schema/raw/master/csl-citation.json"}</w:instrText>
      </w:r>
      <w:r w:rsidR="006E7CD4">
        <w:rPr>
          <w:rFonts w:ascii="Times New Roman" w:eastAsia="Times New Roman" w:hAnsi="Times New Roman" w:cs="Times New Roman"/>
          <w:sz w:val="24"/>
          <w:szCs w:val="24"/>
        </w:rPr>
        <w:fldChar w:fldCharType="separate"/>
      </w:r>
      <w:r w:rsidR="006E7CD4">
        <w:rPr>
          <w:rFonts w:ascii="Times New Roman" w:eastAsia="Times New Roman" w:hAnsi="Times New Roman" w:cs="Times New Roman"/>
          <w:noProof/>
          <w:sz w:val="24"/>
          <w:szCs w:val="24"/>
        </w:rPr>
        <w:t>(WHO, 2024</w:t>
      </w:r>
      <w:r w:rsidR="006E7CD4" w:rsidRPr="001B4373">
        <w:rPr>
          <w:rFonts w:ascii="Times New Roman" w:eastAsia="Times New Roman" w:hAnsi="Times New Roman" w:cs="Times New Roman"/>
          <w:noProof/>
          <w:sz w:val="24"/>
          <w:szCs w:val="24"/>
        </w:rPr>
        <w:t>)</w:t>
      </w:r>
      <w:r w:rsidR="006E7CD4">
        <w:rPr>
          <w:rFonts w:ascii="Times New Roman" w:eastAsia="Times New Roman" w:hAnsi="Times New Roman" w:cs="Times New Roman"/>
          <w:sz w:val="24"/>
          <w:szCs w:val="24"/>
        </w:rPr>
        <w:fldChar w:fldCharType="end"/>
      </w:r>
      <w:r w:rsidRPr="004E41CD">
        <w:rPr>
          <w:rFonts w:ascii="Times New Roman" w:eastAsia="Times New Roman" w:hAnsi="Times New Roman" w:cs="Times New Roman"/>
          <w:sz w:val="24"/>
          <w:szCs w:val="24"/>
        </w:rPr>
        <w:t>.</w:t>
      </w:r>
    </w:p>
    <w:p w14:paraId="36266557" w14:textId="77777777" w:rsidR="004E41CD" w:rsidRPr="001B4373" w:rsidRDefault="001B4373" w:rsidP="00A225BD">
      <w:pPr>
        <w:spacing w:after="0" w:line="240" w:lineRule="auto"/>
        <w:jc w:val="both"/>
        <w:rPr>
          <w:rFonts w:ascii="Times New Roman" w:eastAsia="Times New Roman" w:hAnsi="Times New Roman" w:cs="Times New Roman"/>
          <w:sz w:val="24"/>
          <w:szCs w:val="24"/>
        </w:rPr>
      </w:pPr>
      <w:r w:rsidRPr="001B4373">
        <w:rPr>
          <w:rFonts w:ascii="Times New Roman" w:eastAsia="Times New Roman" w:hAnsi="Times New Roman" w:cs="Times New Roman"/>
          <w:sz w:val="24"/>
          <w:szCs w:val="24"/>
        </w:rPr>
        <w:t>Africa accounts for about 70% of all hepatitis B infections globally</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{"citationItems":[{"id":"ITEM-1","itemData":{"author":[{"dropping-particle":"","family":"WHO","given":"","non-dropping-particle":"","parse-names":false,"suffix":""}],"id":"ITEM-1","issued":{"date-parts":[["2022"]]},"title":"91 million Africans infected with Hepatitis B or C","type":"webpage"},"uris":["http://www.mendeley.com/documents/?uuid=68cea824-209a-46c3-b96b-1220920444d0"]}],"mendeley":{"formattedCitation":"(3)","plainTextFormattedCitation":"(3)","previouslyFormattedCitation":"(WHO,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Decades may pass after a person contracts the virus before they begin to show symptoms. With 4.5 million African children infected, the region is responsible for 70% of all Hepatitis B cases worldwide that occur in children under the age of five</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{"citationItems":[{"id":"ITEM-1","itemData":{"DOI":"10.1371/JOURNAL.PONE.0248045","ISBN":"1111111111","ISSN":"1932-6203","PMID":"33705419","abstract":"Introduction Hepatitis B virus (HBV) infection is hyper-endemic in Nigeria. Prisons are high-risk environments for the spread of infectious diseases. Worldwide, seroprevalence of HBV infection is substantially higher among individuals in correctional facilities when compared to general population. We determined the seroprevalence and risk factors associated with HBV infection among Kuje prison inmates, Nigeria.   Material and methods We conducted a prison facility based cross-sectional study. Interviewer administered questionnaires were used to obtain information on participants socio-demographic characteristics, HBV risk factors, previous HBV test and vaccination history. Blood samples collected from participants were analysed for HBsAg, HBsAb, HBcAb, HBeAg and HBeAb markers using rapid lateral chromatographic immunoassay kit. Univariate, bivariate, and multivariate analysis were performed.   Results A total of 271 inmates (63 convicts and 208 awaiting trial inmates) were recruited into the study as participants. The mean age of the participants was 32.7 SD±9 years. HBV seroprevalence (HBsAg) of 13.7% (95% CI: 9.8–18.3) was found. 55.4% (95% CI: 49.2–61.4) of inmates were susceptible to HBV infection, 20.7% (95%CI; 16.0–26.0) had past HBV infection while 10.3% (95% CI: 7.0–14.6) had acquired natural or artificial HBV immunity. Factors found to be associated with current HBV infection (HBsAg) include age-group ≤25years (aOR = 8.0,95% CI: 2.9–22.3), being ever married (aOR = 4.2, 95% CI: 1.7–10.4) and history of alcohol consumption (aOR = 3.4, 95% CI: 1.3–8.4).   Conclusion This study reveals a high seroprevalence of HBV infection among Kuje Prison inmates, hence the need to introduce prison-focused health intervention initiatives such as HBV screening, vaccination and care to reduce the transmission of HBV infection among inmates and ultimately the general population.","author":[{"dropping-particle":"","family":"Dan-Nwafor","given":"Chioma Cindy","non-dropping-particle":"","parse-names":false,"suffix":""},{"dropping-particle":"","family":"Adeoye","given":"Ikeola","non-dropping-particle":"","parse-names":false,"suffix":""},{"dropping-particle":"","family":"Aderemi","given":"Kehinde","non-dropping-particle":"","parse-names":false,"suffix":""},{"dropping-particle":"","family":"Adedire","given":"Martins Onu Elizabeth","non-dropping-particle":"","parse-names":false,"suffix":""},{"dropping-particle":"","family":"Bashorun","given":"Adebobola","non-dropping-particle":"","parse-names":false,"suffix":""},{"dropping-particle":"","family":"Osunkwo","given":"Damaris","non-dropping-particle":"","parse-names":false,"suffix":""},{"dropping-particle":"","family":"Gidado","given":"Saheed","non-dropping-particle":"","parse-names":false,"suffix":""},{"dropping-particle":"","family":"Balogun","given":"Muhammad","non-dropping-particle":"","parse-names":false,"suffix":""},{"dropping-particle":"","family":"Idris","given":"Suleiman","non-dropping-particle":"","parse-names":false,"suffix":""},{"dropping-particle":"","family":"Ade-Yusuf","given":"Ibrahim","non-dropping-particle":"","parse-names":false,"suffix":""},{"dropping-particle":"","family":"Udom","given":"Ekpedeme","non-dropping-particle":"","parse-names":false,"suffix":""},{"dropping-particle":"","family":"Nguku","given":"Patrick","non-dropping-particle":"","parse-names":false,"suffix":""}],"container-title":"PLOS ONE","id":"ITEM-1","issue":"3","issued":{"date-parts":[["2021","3","1"]]},"page":"e0248045","publisher":"Public Library of Science","title":"Serological markers and risk factors associated with Hepatitis B virus infection among Federal Capital Territory prison inmates, Nigeria: Should we be concerned?","type":"article-journal","volume":"16"},"uris":["http://www.mendeley.com/documents/?uuid=27ef2468-5da1-36cb-8efa-23231a941c2b"]}],"mendeley":{"formattedCitation":"(4)","plainTextFormattedCitation":"(4)","previouslyFormattedCitation":"(Dan-Nwafor et al.,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(4)</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xml:space="preserve">. This is especially concerning for the future. Compared to 40 countries in </w:t>
      </w:r>
      <w:r w:rsidRPr="001B4373">
        <w:rPr>
          <w:rFonts w:ascii="Times New Roman" w:eastAsia="Times New Roman" w:hAnsi="Times New Roman" w:cs="Times New Roman"/>
          <w:sz w:val="24"/>
          <w:szCs w:val="24"/>
        </w:rPr>
        <w:lastRenderedPageBreak/>
        <w:t>2019, 33 countries now have a prevalence of more than 1% for Hepatitis B in children under the age of five</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{"citationItems":[{"id":"ITEM-1","itemData":{"DOI":"10.4269/AJTMH.2010.10-0003","ISSN":"00029637","PMID":"20595501","abstract":"To assess the epidemiology of hepatitis B virus (HBV) infection among men who have sex with men (MSM) in Peru, we evaluated the prevalence and associated risk factors for HBV serologic markers among participants of a HIV sentinel surveillance conducted in 2002-2003. The standardized prevalences for total antibodies to hepatitis B core antigen (anti-HBc) and hepatitis B surface antigen (HBsAg) were 20.2% and 2.8%, respectively. Individuals with human immunodeficiency virus (HIV-1) infection had significantly higher anti-HBc (44.3% versus 19.3%) and HBsAg (9.5% versus 2.3%) prevalences than uninfected men. Increasing age (adjusted odds ratio [AOR] = 1.06), versatile sexual role (AOR = 1.59), sex in exchange for money/gifts (AOR = 1.58), syphilis (AOR = 1.74), HIV-1 infection (AOR = 1.64), and herpes simplex virus type 2 (HSV-2, AOR = 2.77) infection were independently associated with anti-HBc positivity, whereas only HIV-1 infection (AOR = 3.51) and generalized lymph node enlargement (AOR = 3.72) were associated with HBsAg positivity. Pre-existing HBV infection is very common among Peruvian MSM and was correlated with sexual risk factors. MSM in Peru constitute a target population for further HBV preventive and treatment interventions. Copyright © 2010 by The American Society of Tropical Medicine and Hygiene.","author":[{"dropping-particle":"","family":"Lama","given":"Javier R.","non-dropping-particle":"","parse-names":false,"suffix":""},{"dropping-particle":"","family":"Agurto","given":"Hellen S.","non-dropping-particle":"","parse-names":false,"suffix":""},{"dropping-particle":"V.","family":"Guanira","given":"Juan","non-dropping-particle":"","parse-names":false,"suffix":""},{"dropping-particle":"","family":"Ganoza","given":"Carmela","non-dropping-particle":"","parse-names":false,"suffix":""},{"dropping-particle":"","family":"Casapia","given":"Martin","non-dropping-particle":"","parse-names":false,"suffix":""},{"dropping-particle":"","family":"Ojeda","given":"Nora","non-dropping-particle":"","parse-names":false,"suffix":""},{"dropping-particle":"","family":"Ortiz","given":"Abner","non-dropping-particle":"","parse-names":false,"suffix":""},{"dropping-particle":"","family":"Zamalloa","given":"Victoria","non-dropping-particle":"","parse-names":false,"suffix":""},{"dropping-particle":"","family":"Suarez-Ognio","given":"Luis","non-dropping-particle":"","parse-names":false,"suffix":""},{"dropping-particle":"","family":"Cabezas","given":"Cesar","non-dropping-particle":"","parse-names":false,"suffix":""},{"dropping-particle":"","family":"Sanchez","given":"Jose L.","non-dropping-particle":"","parse-names":false,"suffix":""},{"dropping-particle":"","family":"Sanchez","given":"Jorge","non-dropping-particle":"","parse-names":false,"suffix":""}],"container-title":"The American Journal of Tropical Medicine and Hygiene","id":"ITEM-1","issue":"1","issued":{"date-parts":[["2021","7"]]},"page":"194","publisher":"The American Society of Tropical Medicine and Hygiene","title":"Hepatitis B Infection and Association with Other Sexually Transmitted Infections Among Men Who Have Sex with Men in Peru","type":"article-journal","volume":"83"},"uris":["http://www.mendeley.com/documents/?uuid=f51b32e8-0024-302c-88cd-f487142e06c6"]}],"mendeley":{"formattedCitation":"(5)","plainTextFormattedCitation":"(5)","previouslyFormattedCitation":"(Lama et al.,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xml:space="preserve">. </w:t>
      </w:r>
    </w:p>
    <w:p w14:paraId="7A0A78CB" w14:textId="77777777" w:rsidR="00C95DA2" w:rsidRPr="00C95DA2" w:rsidRDefault="00C95DA2" w:rsidP="00A225BD">
      <w:pPr>
        <w:spacing w:after="240" w:line="240" w:lineRule="auto"/>
        <w:jc w:val="both"/>
        <w:rPr>
          <w:rFonts w:ascii="Times New Roman" w:eastAsia="Times New Roman" w:hAnsi="Times New Roman" w:cs="Times New Roman"/>
          <w:sz w:val="24"/>
          <w:szCs w:val="24"/>
        </w:rPr>
      </w:pPr>
      <w:r w:rsidRPr="00C95DA2">
        <w:rPr>
          <w:rFonts w:ascii="Times New Roman" w:eastAsia="Times New Roman" w:hAnsi="Times New Roman" w:cs="Times New Roman"/>
          <w:sz w:val="24"/>
          <w:szCs w:val="24"/>
        </w:rPr>
        <w:t>With over 296 million cases worldwide, the hepatitis B virus (HBV) is a serious health concern that can cause serious illnesses like liver cancer and cirrhosis</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{"citationItems":[{"id":"ITEM-1","itemData":{"DOI":"10.1371/journal.pgph.0000478","abstract":"Hepatitis B Virus (HBV) infection remains a significant global public health challenge especially in low-and-middle income countries. Although there are significant global and national efforts to control Hepatitis B, equitable distribution and access to prevention services such as testing and vaccination remains a challenge. Efforts to increase access are hindered by inadequate evidence on the availability and distribution of HBV services. This cross-sectional study aimed at generating evidence of the distribution of HBV prevention services in Wakiso District, Uganda. A total of 55 healthcare facilities (HCFs) including 4 hospitals, and 51 primary care facilities were surveyed. Data were collected using an electronic structured questionnaire and analysed using STATA 14.0. A chi-square test was performed to establish the relationship between HCF characteristics and the availability of hepatitis B services. ArcGIS (version 10.1) was used to generate maps to illustrate the distribution of hepatitis B prevention services. We found out that the hepatitis B vaccine was available in only 27.3% (15) of the HCF, and 60% (33) had testing services. Receipt of the hepatitis B vaccine doses in the last 12 months was associated with the level (p = ≤0.001) and location (p = 0.030) of HCF. Availability of the hepatitis B vaccine at the time of the survey was associated with the level (p = 0.002) and location (p = 0.010) of HCF. The availability of hepatitis B testing services was associated with the level (p = 0.031), ownership (p≤0.001) and location (p = 0.010) of HCF. HCFs offering vaccination and testing services were mostly in urban areas, and close to Kampala, Uganda’s capital. Based on this study, hepatitis B prevention services were sub-optimal across all HCF levels, locations, and ownership. There is a need to extend hepatitis B prevention services to rural, public and private-not-for-profit HCFs.","author":[{"dropping-particle":"","family":"Ssekamatte","given":"Tonny","non-dropping-particle":"","parse-names":false,"suffix":""},{"dropping-particle":"","family":"Isunju","given":"John Bosco","non-dropping-particle":"","parse-names":false,"suffix":""},{"dropping-particle":"","family":"Nalugya","given":"Aisha","non-dropping-particle":"","parse-names":false,"suffix":""},{"dropping-particle":"","family":"Wafula","given":"Solomon Tsebeni","non-dropping-particle":"","parse-names":false,"suffix":""},{"dropping-particle":"","family":"Nuwematsiko","given":"Rebecca","non-dropping-particle":"","parse-names":false,"suffix":""},{"dropping-particle":"","family":"Nakalembe","given":"Doreen","non-dropping-particle":"","parse-names":false,"suffix":""},{"dropping-particle":"","family":"Kansiime","given":"Winnifred K.","non-dropping-particle":"","parse-names":false,"suffix":""},{"dropping-particle":"","family":"Muyanga","given":"Naume","non-dropping-particle":"","parse-names":false,"suffix":""},{"dropping-particle":"","family":"Nakiggala","given":"Joana","non-dropping-particle":"","parse-names":false,"suffix":""},{"dropping-particle":"","family":"Bukenya","given":"Justine N.","non-dropping-particle":"","parse-names":false,"suffix":""},{"dropping-particle":"","family":"Mugambe","given":"Richard K.","non-dropping-particle":"","parse-names":false,"suffix":""}],"container-title":"PLOS Global Public Health","id":"ITEM-1","issue":"9","issued":{"date-parts":[["2023","9","22"]]},"page":"e0000478","publisher":"Public Library of Science (PLoS)","title":"Distribution of Hepatitis B prevention services in Wakiso District, Central Uganda","type":"article-journal","volume":"3"},"uris":["http://www.mendeley.com/documents/?uuid=585b0e64-6049-3d7e-9a6b-792e1027a1cb"]}],"mendeley":{"formattedCitation":"(6)","plainTextFormattedCitation":"(6)","previouslyFormattedCitation":"(Ssekamatte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(6)</w:t>
      </w:r>
      <w:r>
        <w:rPr>
          <w:rFonts w:ascii="Times New Roman" w:eastAsia="Times New Roman" w:hAnsi="Times New Roman" w:cs="Times New Roman"/>
          <w:sz w:val="24"/>
          <w:szCs w:val="24"/>
        </w:rPr>
        <w:fldChar w:fldCharType="end"/>
      </w:r>
      <w:r w:rsidRPr="00C95DA2">
        <w:rPr>
          <w:rFonts w:ascii="Times New Roman" w:eastAsia="Times New Roman" w:hAnsi="Times New Roman" w:cs="Times New Roman"/>
          <w:sz w:val="24"/>
          <w:szCs w:val="24"/>
        </w:rPr>
        <w:t>. An estimated 523,000 deaths in 2019 were attributed to liver cancer</w:t>
      </w:r>
      <w:r>
        <w:rPr>
          <w:rFonts w:ascii="Times New Roman" w:eastAsia="Times New Roman" w:hAnsi="Times New Roman" w:cs="Times New Roman"/>
          <w:sz w:val="24"/>
          <w:szCs w:val="24"/>
        </w:rPr>
        <w:t xml:space="preserve"> and cirrhosis caused by HBV</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{"citationItems":[{"id":"ITEM-1","itemData":{"DOI":"10.1371/JOURNAL.PONE.0284646","ISBN":"1111111111","ISSN":"1932-6203","PMID":"37099607","abstract":"Background Hepatitis B Virus (HBV) infection is one of the serious public health problems worldwide and is a major cause of morbidity and mortality. Viral hepatitis during pregnancy poses problems like a high risk of maternal complications, mother-to-child transmission (MTCT), and challenges in the management of drugs. This study aimed to determine the magnitude of HBV infection and associated risk factors among pregnant women who attended public hospitals in Addis Ababa, Ethiopia.   Method A multicenter prospective cohort study with a nested case-control was conducted from January 2019 to December 2020 in 5 public hospitals with maternal and child health care services in Addis Ababa. Three hundred pregnant women whose screening results for Hepatitis B surface antigen (HBsAg) were positive and another 300 with negative HBsAg were involved. Laboratory test results of blood samples and structured questionnaires were used to collect the data. Data was entered and analyzed by SPSS version 20 software using descriptive and logistic regression analyses.   Results Of the 12,138 pregnant women who screened for HBsAg as routine antenatal care (ANC), 369 (3.04%) were positive. All of the sociodemographic characteristics did not significantly differ in both the cases and the controls. Body tattooing (AOR = 1.66; 95 CI: 1.008–2.728), multiple sexual partners (AOR = 2.5; 95% CI: 1.604–3.901), family history of HBV (AOR = 2.62; 95% CI: 1.239–5.547), and sharing sharp materials (AOR = 3.02; 95% CI: 1.87–4.87) were factors associated with increased risk of HBV infection.   Conclusions An intermediate endemicity of HBV infection was detected among pregnant women. Body tattooing, having multiple sexual partners, family history of HBV, and sharing sharp materials were significantly associated with HBV infection. Awareness creation on the mode of transmission and early screening of all pregnant women for HBsAg must be strengthened to minimize and control the spread of the infection.","author":[{"dropping-particle":"","family":"Tesfu","given":"Mebrihit Arefaine","non-dropping-particle":"","parse-names":false,"suffix":""},{"dropping-particle":"","family":"Habtemariam","given":"Tilahun Teklehaymanot","non-dropping-particle":"","parse-names":false,"suffix":""},{"dropping-particle":"","family":"Berhe Belay","given":"Nega","non-dropping-particle":"","parse-names":false,"suffix":""}],"container-title":"PLOS ONE","id":"ITEM-1","issue":"4","issued":{"date-parts":[["2023","4","1"]]},"page":"e0284646","publisher":"Public Library of Science","title":"Risk factors associated with Hepatitis B virus infection among pregnant women attending public hospitals in Addis Ababa, Ethiopia","type":"article-journal","volume":"18"},"uris":["http://www.mendeley.com/documents/?uuid=6e96ec5e-8ec8-3461-a7da-42e72e28a64a"]}],"mendeley":{"formattedCitation":"(7)","plainTextFormattedCitation":"(7)","previouslyFormattedCitation":"(Tesfu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fldChar w:fldCharType="end"/>
      </w:r>
      <w:r w:rsidRPr="00C95DA2">
        <w:rPr>
          <w:rFonts w:ascii="Times New Roman" w:eastAsia="Times New Roman" w:hAnsi="Times New Roman" w:cs="Times New Roman"/>
          <w:sz w:val="24"/>
          <w:szCs w:val="24"/>
        </w:rPr>
        <w:t>. Inadequate diagnosis and underutilization of preventive measures continue to exist despite their availability, which exacerbates the public health issue. The WHO wants to eradicate viral hepatitis by 2030, but if current trends continue, estimates indicate that HBV mortality will increase by 39%, with over 300 million cases and 1.5 million dea</w:t>
      </w:r>
      <w:r>
        <w:rPr>
          <w:rFonts w:ascii="Times New Roman" w:eastAsia="Times New Roman" w:hAnsi="Times New Roman" w:cs="Times New Roman"/>
          <w:sz w:val="24"/>
          <w:szCs w:val="24"/>
        </w:rPr>
        <w:t>ths anticipated by that year</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{"citationItems":[{"id":"ITEM-1","itemData":{"DOI":"10.2147/HMER.S407069","abstract":"Background: Hepatitis B virus infection (HBV) is an important clinical and public health problem that contributes to liver-related public health morbidity and mortality. Although childhood vaccination was introduced in 1980, hospital admissions, morbidity and mortality rates from HBV infection increased in Ethiopia. Risk factors for HBV infection and associated complications generally vary from case to case. No epidemiological studies have identified the risk factors for HBV infection in northern Ethiopia. Therefore, this study aimed to identify risk factors for HBV infection in specialist and teaching hospitals in Ayder. Method(s): From March 2019 to May 2019, an unmatched hospital-based case-control study has been carried out on a total of 213 patients [71 cases and 142 controls] in northern Ethiopia. Cases were selected sequentially and two consecutive controls were selected for each case by a simple random method. The data were collected using pretested questionnaires structured by the interviewer as part of a face-to-face interview. Data were entered in Epi Data version 3.1, exported and analyzed with SPSS version 22. Binary and multivariable logistic regression analyses were used. Statistical significance was given as P &lt;0.05. Result(s): Multivariate logistic regression analysis revealed that patients with familial exposure to hepatitis (AOR 3.7, 95% CI: 1.5- 9.01), prior traditional medical procedure (AOR 1.2, 95% CI: 1.08-3.4), any history of dental procedures (AOR 3.8, 95% CI: 1.8- 9.01) were associated risk factors to hepatitis B virus infection, and awareness of sexually transmitted hepatitis B virus infection (AOR 0.084, 95% CI: 0.01-0.6) is less likely to be infected with hepatitis B virus infection. Conclusion(s): This study (findings) demonstrated that contact with a case of hepatitis in the family, history of dentist visits, prior traditional medical procedure, and lack of awareness of its transmission through sexual contact have been identified as independent risk factors for the development of hepatitis B virus infection.Copyright © 2023 Weldebrhan et al.","author":[{"dropping-particle":"","family":"Weldebrhan","given":"Desalegn","non-dropping-particle":"","parse-names":false,"suffix":""},{"dropping-particle":"","family":"Berhe","given":"Hailemariam","non-dropping-particle":"","parse-names":false,"suffix":""},{"dropping-particle":"","family":"Tesfay","given":"Yohannes","non-dropping-particle":"","parse-names":false,"suffix":""}],"container-title":"Hepatic Medicine: Evidence and Research","id":"ITEM-1","issued":{"date-parts":[["2023","7"]]},"page":"79-91","publisher":"Informa UK Limited","title":"Risk Factors for Hepatitis B Virus Infection in North Ethiopia: A Case–Control Study","type":"article-journal","volume":"Volume 15"},"uris":["http://www.mendeley.com/documents/?uuid=ecd2d58d-c639-3560-850c-327bb91c3518"]}],"mendeley":{"formattedCitation":"(8)","plainTextFormattedCitation":"(8)","previouslyFormattedCitation":"(Weldebrhan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(8)</w:t>
      </w:r>
      <w:r>
        <w:rPr>
          <w:rFonts w:ascii="Times New Roman" w:eastAsia="Times New Roman" w:hAnsi="Times New Roman" w:cs="Times New Roman"/>
          <w:sz w:val="24"/>
          <w:szCs w:val="24"/>
        </w:rPr>
        <w:fldChar w:fldCharType="end"/>
      </w:r>
      <w:r w:rsidRPr="00C95DA2">
        <w:rPr>
          <w:rFonts w:ascii="Times New Roman" w:eastAsia="Times New Roman" w:hAnsi="Times New Roman" w:cs="Times New Roman"/>
          <w:sz w:val="24"/>
          <w:szCs w:val="24"/>
        </w:rPr>
        <w:t xml:space="preserve">. </w:t>
      </w:r>
    </w:p>
    <w:p w14:paraId="7EC8FACE" w14:textId="77777777" w:rsidR="001B4373" w:rsidRDefault="001B4373" w:rsidP="00A225BD">
      <w:pPr>
        <w:spacing w:before="240" w:line="240" w:lineRule="auto"/>
        <w:jc w:val="both"/>
        <w:rPr>
          <w:rFonts w:ascii="Times New Roman" w:hAnsi="Times New Roman" w:cs="Times New Roman"/>
          <w:sz w:val="24"/>
          <w:szCs w:val="24"/>
        </w:rPr>
      </w:pPr>
      <w:r w:rsidRPr="001B4373">
        <w:rPr>
          <w:rFonts w:ascii="Times New Roman" w:hAnsi="Times New Roman" w:cs="Times New Roman"/>
          <w:sz w:val="24"/>
          <w:szCs w:val="24"/>
        </w:rPr>
        <w:t>HBV primarily affects low and middle-income countries (LMICs), especially those in Africa, where more than 60% of new cases and fatalities occur. There are currently 65 million infected individuals in Africa alone, and by 2030, that f</w:t>
      </w:r>
      <w:r>
        <w:rPr>
          <w:rFonts w:ascii="Times New Roman" w:hAnsi="Times New Roman" w:cs="Times New Roman"/>
          <w:sz w:val="24"/>
          <w:szCs w:val="24"/>
        </w:rPr>
        <w:t>igure may rise to 80 million</w:t>
      </w:r>
      <w:r>
        <w:rPr>
          <w:rFonts w:ascii="Times New Roman" w:hAnsi="Times New Roman" w:cs="Times New Roman"/>
          <w:sz w:val="24"/>
          <w:szCs w:val="24"/>
        </w:rPr>
        <w:fldChar w:fldCharType="begin" w:fldLock="1"/>
      </w:r>
      <w:r w:rsidR="00A225BD">
        <w:rPr>
          <w:rFonts w:ascii="Times New Roman" w:hAnsi="Times New Roman" w:cs="Times New Roman"/>
          <w:sz w:val="24"/>
          <w:szCs w:val="24"/>
        </w:rPr>
        <w:instrText>ADDIN CSL_CITATION {"citationItems":[{"id":"ITEM-1","itemData":{"DOI":"10.14309/AJG.0000000000000588","ISSN":"15720241","PMID":"32149781","abstract":"OBJECTIVES:Previous exposure to hepatitis B virus (HBV) may increase the risk of hepatocellular carcinoma (HCC) in patients with chronic hepatitis C. We aim to study the impact of previous HBV infection on the severity and outcomes of patients with nonalcoholic fatty liver disease (NAFLD).METHODS:This was a multicenter study of 489 patients with biopsy-proven NAFLD and 69 patients with NAFLD-related or cryptogenic HCC. Antihepatitis B core antibody (anti-HBc) was used to detect the previous HBV infection.RESULTS:In the biopsy cohort, positive anti-HBc was associated with lower steatosis grade but higher fibrosis stage. 18.8% and 7.5% of patients with positive and negative anti-HBc had cirrhosis, respectively (P &lt; 0.001). The association between anti-HBc and cirrhosis remained significant after adjusting for age and metabolic factors (adjusted odds ratio 2.232; 95% confidence interval, 1.202-4.147). At a mean follow-up of 6.2 years, patients with positive anti-HBc had a higher incidence of HCC or cirrhotic complications (6.5% vs 2.2%; P = 0.039). Among patients with NAFLD-related or cryptogenic HCC, 73.9% had positive anti-HBc. None of the patients had positive serum HBV DNA. By contrast, antihepatitis B surface antibody did not correlate with histological severity.DISCUSSION:Positive anti-HBc is associated with cirrhosis and possibly HCC and cirrhotic complications in patients with NAFLD. Because a significant proportion of NAFLD-related HCC may develop in noncirrhotic patients, future studies should define the role of anti-HBc in selecting noncirrhotic patients with NAFLD for HCC surveillance.","author":[{"dropping-particle":"","family":"Chan","given":"Ting Ting","non-dropping-particle":"","parse-names":false,"suffix":""},{"dropping-particle":"","family":"Chan","given":"Wah Kheong","non-dropping-particle":"","parse-names":false,"suffix":""},{"dropping-particle":"","family":"Wong","given":"Grace Lai Hung","non-dropping-particle":"","parse-names":false,"suffix":""},{"dropping-particle":"","family":"Chan","given":"Anthony Wing Hung","non-dropping-particle":"","parse-names":false,"suffix":""},{"dropping-particle":"","family":"Nik Mustapha","given":"Nik Raihan","non-dropping-particle":"","parse-names":false,"suffix":""},{"dropping-particle":"","family":"Chan","given":"Stephen Lam","non-dropping-particle":"","parse-names":false,"suffix":""},{"dropping-particle":"","family":"Chong","given":"Charing Ching Ning","non-dropping-particle":"","parse-names":false,"suffix":""},{"dropping-particle":"","family":"Mahadeva","given":"Sanjiv","non-dropping-particle":"","parse-names":false,"suffix":""},{"dropping-particle":"","family":"Shu","given":"Sally She Ting","non-dropping-particle":"","parse-names":false,"suffix":""},{"dropping-particle":"","family":"Lai","given":"Paul Bo San","non-dropping-particle":"","parse-names":false,"suffix":""},{"dropping-particle":"","family":"Chan","given":"Henry Lik Yuen","non-dropping-particle":"","parse-names":false,"suffix":""},{"dropping-particle":"","family":"Wong","given":"Vincent Wai Sun","non-dropping-particle":"","parse-names":false,"suffix":""}],"container-title":"American Journal of Gastroenterology","id":"ITEM-1","issue":"6","issued":{"date-parts":[["2020","6","1"]]},"page":"867-875","publisher":"Wolters Kluwer Health","title":"Positive Hepatitis B Core Antibody Is Associated with Cirrhosis and Hepatocellular Carcinoma in Nonalcoholic Fatty Liver Disease","type":"article-journal","volume":"115"},"uris":["http://www.mendeley.com/documents/?uuid=42a54adc-28d4-3662-a686-d5095169cd83"]}],"mendeley":{"formattedCitation":"(9)","plainTextFormattedCitation":"(9)","previouslyFormattedCitation":"(Chan et al., 2020)"},"properties":{"noteIndex":0},"schema":"https://github.com/citation-style-language/schema/raw/master/csl-citation.json"}</w:instrText>
      </w:r>
      <w:r>
        <w:rPr>
          <w:rFonts w:ascii="Times New Roman" w:hAnsi="Times New Roman" w:cs="Times New Roman"/>
          <w:sz w:val="24"/>
          <w:szCs w:val="24"/>
        </w:rPr>
        <w:fldChar w:fldCharType="separate"/>
      </w:r>
      <w:r w:rsidR="00A225BD" w:rsidRPr="00A225BD">
        <w:rPr>
          <w:rFonts w:ascii="Times New Roman" w:hAnsi="Times New Roman" w:cs="Times New Roman"/>
          <w:noProof/>
          <w:sz w:val="24"/>
          <w:szCs w:val="24"/>
        </w:rPr>
        <w:t>(9)</w:t>
      </w:r>
      <w:r>
        <w:rPr>
          <w:rFonts w:ascii="Times New Roman" w:hAnsi="Times New Roman" w:cs="Times New Roman"/>
          <w:sz w:val="24"/>
          <w:szCs w:val="24"/>
        </w:rPr>
        <w:fldChar w:fldCharType="end"/>
      </w:r>
      <w:r w:rsidRPr="001B4373">
        <w:rPr>
          <w:rFonts w:ascii="Times New Roman" w:hAnsi="Times New Roman" w:cs="Times New Roman"/>
          <w:sz w:val="24"/>
          <w:szCs w:val="24"/>
        </w:rPr>
        <w:t>. Chronic HBV is a major health burden in Africa because it frequently results in serious complications like liver cirrhosis and cancer</w:t>
      </w:r>
      <w:r>
        <w:rPr>
          <w:rFonts w:ascii="Times New Roman" w:hAnsi="Times New Roman" w:cs="Times New Roman"/>
          <w:sz w:val="24"/>
          <w:szCs w:val="24"/>
        </w:rPr>
        <w:fldChar w:fldCharType="begin" w:fldLock="1"/>
      </w:r>
      <w:r w:rsidR="00A225BD">
        <w:rPr>
          <w:rFonts w:ascii="Times New Roman" w:hAnsi="Times New Roman" w:cs="Times New Roman"/>
          <w:sz w:val="24"/>
          <w:szCs w:val="24"/>
        </w:rPr>
        <w:instrText>ADDIN CSL_CITATION {"citationItems":[{"id":"ITEM-1","itemData":{"DOI":"10.1155/2020/8848561","ISSN":"16879198","PMID":"33133191","abstract":"Introduction. Hepatitis virus infection is a major public health burden and silent killer disease in sub-Saharan Africa, including Ethiopia. Therefore, this study aimed to investigate the prevalence of hepatitis B and C viruses and associated factors among pregnant women attending an antenatal clinic in three tertiary hospitals in Amhara National Regional State, Ethiopia. Methods. A cross-sectional study was conducted among 1121 pregnant women. Data on sociodemographic and associated factors were collected using a structured questionnaire. Serum samples were tested for hepatitis B surface antigen (HBsAg) and anti-hepatitis C virus antibody (anti-HCV) using ELISA. SPSS version 20 was used for data analysis, and a multivariable logistic regression analysis was used to assess the relationship between factors associated with hepatitis B virus and hepatitis virus C infection. Results. A total of 1121 pregnant women were included in the study. The mean age of study participants was 27.2 ± 4.8 yrs. The majority of pregnant women (895 (79.8%)) were from urban areas. The overall seroprevalence of HBsAg and anti-HCV antibody was 52 (4.6%) and 18 (1.6%), respectively. The coinfection rate of HBV/HCV was 1.4% (1/69). Ten (19.2%) of HBV positive cases were coinfected with HIV. There were no coinfections of HCV and HIV. Interestingly, pregnant women with a history of multiple sexual partners (AOR = 3.2, 95% CI, 1.7-7.6), blood transfusion (AOR = 7.6, 95% CI, 2.9-16.9), family history of HBV (AOR = 3.5, 95% CI, 1.7-7.6), being HIV-positive (AOR = 2.5, 95% CI, 1-5.9), and tattooing (AOR = 2, 95% CI, 1-3.8) were significant predictors of HBV infection. Similarly, young age (17-25 yrs) (AOR = 3.2, 95% CI, 1.8-8.6) and no educational background (AOR = 5, 95 CI, 1.7-14.8) were significant predictors of HCV infection. Conclusions. Hepatitis B and C viruses' infection was intermediate among pregnant women; some risk factors were significantly associated with the majority of cases. Infants born from these infected mothers are at risk of infection. This calls for screening and integration of HBV prevention of mother-to-child transmission (PMTCT) into HIV. Thus, the provision of health education on hepatitis B and C viruses' transmission, vaccination, and screening of all pregnant women routinely are essential for the prevention of these viruses.","author":[{"dropping-particle":"","family":"Dagnew","given":"Mulat","non-dropping-particle":"","parse-names":false,"suffix":""},{"dropping-particle":"","family":"Million","given":"Yihenew","non-dropping-particle":"","parse-names":false,"suffix":""},{"dropping-particle":"","family":"Gizachew","given":"Mucheye","non-dropping-particle":"","parse-names":false,"suffix":""},{"dropping-particle":"","family":"Eshetie","given":"Setegn","non-dropping-particle":"","parse-names":false,"suffix":""},{"dropping-particle":"","family":"Yitayew","given":"Gashaw","non-dropping-particle":"","parse-names":false,"suffix":""},{"dropping-particle":"","family":"Asrade","given":"Lakachew","non-dropping-particle":"","parse-names":false,"suffix":""},{"dropping-particle":"","family":"Adefris","given":"Mulat","non-dropping-particle":"","parse-names":false,"suffix":""},{"dropping-particle":"","family":"Moges","given":"Feleke","non-dropping-particle":"","parse-names":false,"suffix":""},{"dropping-particle":"","family":"Tiruneh","given":"Moges","non-dropping-particle":"","parse-names":false,"suffix":""}],"container-title":"International Journal of Microbiology","id":"ITEM-1","issued":{"date-parts":[["2020"]]},"publisher":"Hindawi Limited","title":"Hepatitis B and C Viruses' Infection and Associated Factors among Pregnant Women Attending Antenatal Care in Hospitals in the Amhara National Regional State, Ethiopia","type":"article-journal","volume":"2020"},"uris":["http://www.mendeley.com/documents/?uuid=09b67cd2-369f-3eb0-8958-72f00695886d"]}],"mendeley":{"formattedCitation":"(10)","plainTextFormattedCitation":"(10)","previouslyFormattedCitation":"(Dagnew et al., 2020)"},"properties":{"noteIndex":0},"schema":"https://github.com/citation-style-language/schema/raw/master/csl-citation.json"}</w:instrText>
      </w:r>
      <w:r>
        <w:rPr>
          <w:rFonts w:ascii="Times New Roman" w:hAnsi="Times New Roman" w:cs="Times New Roman"/>
          <w:sz w:val="24"/>
          <w:szCs w:val="24"/>
        </w:rPr>
        <w:fldChar w:fldCharType="separate"/>
      </w:r>
      <w:r w:rsidR="00A225BD" w:rsidRPr="00A225BD">
        <w:rPr>
          <w:rFonts w:ascii="Times New Roman" w:hAnsi="Times New Roman" w:cs="Times New Roman"/>
          <w:noProof/>
          <w:sz w:val="24"/>
          <w:szCs w:val="24"/>
        </w:rPr>
        <w:t>(10)</w:t>
      </w:r>
      <w:r>
        <w:rPr>
          <w:rFonts w:ascii="Times New Roman" w:hAnsi="Times New Roman" w:cs="Times New Roman"/>
          <w:sz w:val="24"/>
          <w:szCs w:val="24"/>
        </w:rPr>
        <w:fldChar w:fldCharType="end"/>
      </w:r>
      <w:r w:rsidRPr="001B4373">
        <w:rPr>
          <w:rFonts w:ascii="Times New Roman" w:hAnsi="Times New Roman" w:cs="Times New Roman"/>
          <w:sz w:val="24"/>
          <w:szCs w:val="24"/>
        </w:rPr>
        <w:t>. WHO's recommendations for routine vaccinations and better access to testing and treatment are part of the fight against HBV, but obstacles like a lack of public awareness and a lack of adequate healthcare in</w:t>
      </w:r>
      <w:r>
        <w:rPr>
          <w:rFonts w:ascii="Times New Roman" w:hAnsi="Times New Roman" w:cs="Times New Roman"/>
          <w:sz w:val="24"/>
          <w:szCs w:val="24"/>
        </w:rPr>
        <w:t>frastructure impede progress</w:t>
      </w:r>
      <w:r>
        <w:rPr>
          <w:rFonts w:ascii="Times New Roman" w:hAnsi="Times New Roman" w:cs="Times New Roman"/>
          <w:sz w:val="24"/>
          <w:szCs w:val="24"/>
        </w:rPr>
        <w:fldChar w:fldCharType="begin" w:fldLock="1"/>
      </w:r>
      <w:r w:rsidR="00A225BD">
        <w:rPr>
          <w:rFonts w:ascii="Times New Roman" w:hAnsi="Times New Roman" w:cs="Times New Roman"/>
          <w:sz w:val="24"/>
          <w:szCs w:val="24"/>
        </w:rPr>
        <w:instrText>ADDIN CSL_CITATION {"citationItems":[{"id":"ITEM-1","itemData":{"DOI":"10.3389/FPUBH.2023.986020","ISSN":"2296-2565","PMID":"36778557","abstract":"Background: Chronic Hepatitis B virus (HBV) infection causes liver cirrhosis and cancer and is a major public health concern in Kenya. However, so far no systematic review and meta-analysis has been conducted to estimate the burden of disease in the country. A better understanding of HBV infection prevalence will help the government implement efficient strategies at eliminating the disease. This systematic review and meta-analysis was therefore conducted to summarize and update the available information on the burden of HBV in Kenya. Method: We systematically searched PubMed, Science Direct, Web of Science, Scopus, African Journals OnLine, and Google Scholar databases to retrieve primary studies conducted between January 1990 and June 2021 that assessed the prevalence of HBV infection in Kenya based on measurement of the Hepatitis B Surface Antigen (HBsAg). Meta-analysis was performed using the random effects model where HBsAg prevalence was estimated at a 95% confidence interval (CI) after simple pooling analysis. Potential sources of heterogeneity were also investigated. Results: Fifty studies were included in the meta-analysis with a sample size of 108448. The overall pooled prevalence estimate of HBV in Kenya was 7.8% (95% CI: 5.8–10.1). Subgroup analysis revealed the highest prevalence among patients presenting with jaundice at 41.7% (95% CI: 13.5–73.3) whereas blood donors had the lowest prevalence at 4.1% (95% CI: 2.4–6.3). Prevalence in Human Immunodeficiency Virus (HIV)-infected individuals was 8.2% (95% CI: 5.8–11.0). An estimate of the total variation between studies revealed substantial heterogeneity (I2 = 99%) which could be explained by the study type, the risk status of individuals, and the region of study. Conclusion: We present the first systematic review and meta-analysis of the prevalence of HBV in Kenya. Our results show that the burden of HBV in Kenya is still enormous. This calls for an urgent need to implement public health intervention measures and strategic policies that will bring the disease under control and lead to final elimination. Systematic review registration: https://www.crd.york.ac.uk/prospero/display_record.php?RecordID=264859, identifier: CRD42021264859.","author":[{"dropping-particle":"","family":"Makokha","given":"Grace Naswa","non-dropping-particle":"","parse-names":false,"suffix":""},{"dropping-particle":"","family":"Zhang","given":"Peiyi","non-dropping-particle":"","parse-names":false,"suffix":""},{"dropping-particle":"","family":"Hayes","given":"C. Nelson","non-dropping-particle":"","parse-names":false,"suffix":""},{"dropping-particle":"","family":"Songok","given":"Elijah","non-dropping-particle":"","parse-names":false,"suffix":""},{"dropping-particle":"","family":"Chayama","given":"Kazuaki","non-dropping-particle":"","parse-names":false,"suffix":""}],"container-title":"Frontiers in public health","id":"ITEM-1","issued":{"date-parts":[["2023","1","26"]]},"publisher":"Front Public Health","title":"The burden of Hepatitis B virus infection in Kenya: A systematic review and meta-analysis","type":"article-journal","volume":"11"},"uris":["http://www.mendeley.com/documents/?uuid=ab4ad338-79bc-3fed-bfa5-418844ab4f42"]}],"mendeley":{"formattedCitation":"(11)","plainTextFormattedCitation":"(11)","previouslyFormattedCitation":"(Makokha et al., 2023)"},"properties":{"noteIndex":0},"schema":"https://github.com/citation-style-language/schema/raw/master/csl-citation.json"}</w:instrText>
      </w:r>
      <w:r>
        <w:rPr>
          <w:rFonts w:ascii="Times New Roman" w:hAnsi="Times New Roman" w:cs="Times New Roman"/>
          <w:sz w:val="24"/>
          <w:szCs w:val="24"/>
        </w:rPr>
        <w:fldChar w:fldCharType="separate"/>
      </w:r>
      <w:r w:rsidR="00A225BD" w:rsidRPr="00A225BD">
        <w:rPr>
          <w:rFonts w:ascii="Times New Roman" w:hAnsi="Times New Roman" w:cs="Times New Roman"/>
          <w:noProof/>
          <w:sz w:val="24"/>
          <w:szCs w:val="24"/>
        </w:rPr>
        <w:t>(11)</w:t>
      </w:r>
      <w:r>
        <w:rPr>
          <w:rFonts w:ascii="Times New Roman" w:hAnsi="Times New Roman" w:cs="Times New Roman"/>
          <w:sz w:val="24"/>
          <w:szCs w:val="24"/>
        </w:rPr>
        <w:fldChar w:fldCharType="end"/>
      </w:r>
      <w:r w:rsidRPr="001B4373">
        <w:rPr>
          <w:rFonts w:ascii="Times New Roman" w:hAnsi="Times New Roman" w:cs="Times New Roman"/>
          <w:sz w:val="24"/>
          <w:szCs w:val="24"/>
        </w:rPr>
        <w:t>.</w:t>
      </w:r>
    </w:p>
    <w:p w14:paraId="7F4AA2CC" w14:textId="77777777" w:rsidR="001B4373" w:rsidRPr="00A6026A" w:rsidRDefault="001B4373" w:rsidP="00A225BD">
      <w:pPr>
        <w:spacing w:after="0" w:line="240" w:lineRule="auto"/>
        <w:jc w:val="both"/>
        <w:rPr>
          <w:rFonts w:ascii="Times New Roman" w:eastAsia="Times New Roman" w:hAnsi="Times New Roman" w:cs="Times New Roman"/>
          <w:sz w:val="24"/>
          <w:szCs w:val="24"/>
        </w:rPr>
      </w:pPr>
      <w:r w:rsidRPr="001B4373">
        <w:rPr>
          <w:rFonts w:ascii="Times New Roman" w:eastAsia="Times New Roman" w:hAnsi="Times New Roman" w:cs="Times New Roman"/>
          <w:sz w:val="24"/>
          <w:szCs w:val="24"/>
        </w:rPr>
        <w:t xml:space="preserve">Due to the fact that HBV is endemic in many regions of the continent and spreads through unsafe healthcare practices, sexual contact, and mother-to-child transmission, the burden of the virus </w:t>
      </w:r>
      <w:r>
        <w:rPr>
          <w:rFonts w:ascii="Times New Roman" w:eastAsia="Times New Roman" w:hAnsi="Times New Roman" w:cs="Times New Roman"/>
          <w:sz w:val="24"/>
          <w:szCs w:val="24"/>
        </w:rPr>
        <w:t>is especially high in Africa</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{"citationItems":[{"id":"ITEM-1","itemData":{"DOI":"10.1155/2020/8848561","ISSN":"16879198","PMID":"33133191","abstract":"Introduction. Hepatitis virus infection is a major public health burden and silent killer disease in sub-Saharan Africa, including Ethiopia. Therefore, this study aimed to investigate the prevalence of hepatitis B and C viruses and associated factors among pregnant women attending an antenatal clinic in three tertiary hospitals in Amhara National Regional State, Ethiopia. Methods. A cross-sectional study was conducted among 1121 pregnant women. Data on sociodemographic and associated factors were collected using a structured questionnaire. Serum samples were tested for hepatitis B surface antigen (HBsAg) and anti-hepatitis C virus antibody (anti-HCV) using ELISA. SPSS version 20 was used for data analysis, and a multivariable logistic regression analysis was used to assess the relationship between factors associated with hepatitis B virus and hepatitis virus C infection. Results. A total of 1121 pregnant women were included in the study. The mean age of study participants was 27.2 ± 4.8 yrs. The majority of pregnant women (895 (79.8%)) were from urban areas. The overall seroprevalence of HBsAg and anti-HCV antibody was 52 (4.6%) and 18 (1.6%), respectively. The coinfection rate of HBV/HCV was 1.4% (1/69). Ten (19.2%) of HBV positive cases were coinfected with HIV. There were no coinfections of HCV and HIV. Interestingly, pregnant women with a history of multiple sexual partners (AOR = 3.2, 95% CI, 1.7-7.6), blood transfusion (AOR = 7.6, 95% CI, 2.9-16.9), family history of HBV (AOR = 3.5, 95% CI, 1.7-7.6), being HIV-positive (AOR = 2.5, 95% CI, 1-5.9), and tattooing (AOR = 2, 95% CI, 1-3.8) were significant predictors of HBV infection. Similarly, young age (17-25 yrs) (AOR = 3.2, 95% CI, 1.8-8.6) and no educational background (AOR = 5, 95 CI, 1.7-14.8) were significant predictors of HCV infection. Conclusions. Hepatitis B and C viruses' infection was intermediate among pregnant women; some risk factors were significantly associated with the majority of cases. Infants born from these infected mothers are at risk of infection. This calls for screening and integration of HBV prevention of mother-to-child transmission (PMTCT) into HIV. Thus, the provision of health education on hepatitis B and C viruses' transmission, vaccination, and screening of all pregnant women routinely are essential for the prevention of these viruses.","author":[{"dropping-particle":"","family":"Dagnew","given":"Mulat","non-dropping-particle":"","parse-names":false,"suffix":""},{"dropping-particle":"","family":"Million","given":"Yihenew","non-dropping-particle":"","parse-names":false,"suffix":""},{"dropping-particle":"","family":"Gizachew","given":"Mucheye","non-dropping-particle":"","parse-names":false,"suffix":""},{"dropping-particle":"","family":"Eshetie","given":"Setegn","non-dropping-particle":"","parse-names":false,"suffix":""},{"dropping-particle":"","family":"Yitayew","given":"Gashaw","non-dropping-particle":"","parse-names":false,"suffix":""},{"dropping-particle":"","family":"Asrade","given":"Lakachew","non-dropping-particle":"","parse-names":false,"suffix":""},{"dropping-particle":"","family":"Adefris","given":"Mulat","non-dropping-particle":"","parse-names":false,"suffix":""},{"dropping-particle":"","family":"Moges","given":"Feleke","non-dropping-particle":"","parse-names":false,"suffix":""},{"dropping-particle":"","family":"Tiruneh","given":"Moges","non-dropping-particle":"","parse-names":false,"suffix":""}],"container-title":"International Journal of Microbiology","id":"ITEM-1","issued":{"date-parts":[["2020"]]},"publisher":"Hindawi Limited","title":"Hepatitis B and C Viruses' Infection and Associated Factors among Pregnant Women Attending Antenatal Care in Hospitals in the Amhara National Regional State, Ethiopia","type":"article-journal","volume":"2020"},"uris":["http://www.mendeley.com/documents/?uuid=09b67cd2-369f-3eb0-8958-72f00695886d"]}],"mendeley":{"formattedCitation":"(10)","plainTextFormattedCitation":"(10)","previouslyFormattedCitation":"(Dagnew et al.,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(10)</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Many Africans lack access to effective vaccines or are not aware that they have hepatitis B</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{"citationItems":[{"id":"ITEM-1","itemData":{"DOI":"10.18502/IJPH.V49I11.4733","ISSN":"22516093","PMID":"33708736","abstract":"Background: Hepatitis B is a major global health problem. It can cause chronic infections and put people at high risk of death from cirrhosis and hepatocellular carcinoma. The aim of this study was to report the epidemiological features of hepatitis B virus (HBV) infection and risk factors based on the data from Azar Cohort. Methods: The population of this study comprised the people in the age range of 35-70 yr from Azar cohort, East Azerbaijan Province, Iran between 2015 and 2016. Based on cluster sampling, 4,949 people were selected and invited to complete the questionnaire and perform the tests. Blood samples were analyzed for serum HBV markers (HBsAg, HBsAb and HBcAb) by ELFA method. The data were analyzed using SPSS statistical software. Results: The mean (SD) age of the participants was 49.15 ± 9.02 years. The frequency rates of HBsAg, HBsAb and HBcAb were estimated as 1.03%, 16.9% and 24.95%, respectively. There was statistically significant association between family history of hepatitis (P&lt;0.001) and jaundice history (P&lt;0.001) with the presence of HBsAg. There was also a positive correlation between marital status (P=0.002), history of hospitalization (P&lt;0.001), smoking (P=0.001), dental procedures (P&lt;0.001), foreign travels (P=0.005), occupation status (P=0.002) and the presence of HBcAb. Conclusion: The frequency of hepatitis B in Azar Cohort was 1.03% which is a lower rate compared with other reports from Iran. The association of the population studied and the increase of public awareness in this area can probably prevent this disease.","author":[{"dropping-particle":"","family":"Pouri","given":"Ali Asghar","non-dropping-particle":"","parse-names":false,"suffix":""},{"dropping-particle":"","family":"Ghojazadeh","given":"Morteza","non-dropping-particle":"","parse-names":false,"suffix":""},{"dropping-particle":"","family":"Shirmohammadi","given":"Masoud","non-dropping-particle":"","parse-names":false,"suffix":""},{"dropping-particle":"","family":"Eftekhar-Sadat","given":"Amir Taher","non-dropping-particle":"","parse-names":false,"suffix":""},{"dropping-particle":"","family":"Somi","given":"Mohammad Hossein","non-dropping-particle":"","parse-names":false,"suffix":""}],"container-title":"Iranian Journal of Public Health","id":"ITEM-1","issue":"11","issued":{"date-parts":[["2020"]]},"page":"2152","publisher":"Tehran University of Medical Sciences","title":"Seroepidemiology and Risk Factors of Hepatitis B Virus Infection: A Population-Based Azar Cohort Study","type":"article-journal","volume":"49"},"uris":["http://www.mendeley.com/documents/?uuid=dd7cee39-a0a5-346e-9a6b-c3c166da5731"]}],"mendeley":{"formattedCitation":"(12)","plainTextFormattedCitation":"(12)","previouslyFormattedCitation":"(Pouri et al.,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(12)</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Liver cancer, which is mostly caused by HBV, is the third most common cause of can</w:t>
      </w:r>
      <w:r>
        <w:rPr>
          <w:rFonts w:ascii="Times New Roman" w:eastAsia="Times New Roman" w:hAnsi="Times New Roman" w:cs="Times New Roman"/>
          <w:sz w:val="24"/>
          <w:szCs w:val="24"/>
        </w:rPr>
        <w:t>cer-related deaths in Africa</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{"citationItems":[{"id":"ITEM-1","itemData":{"author":[{"dropping-particle":"","family":"Jr","given":"Joseph Kowo","non-dropping-particle":"","parse-names":false,"suffix":""}],"container-title":"Walden Dissertations and Doctoral Studies","id":"ITEM-1","issued":{"date-parts":[["2022","1","1"]]},"title":"Gender and Risk Behaviors Association With Hepatitis-B Infections Among Liberia Military Personnel","type":"article-journal"},"uris":["http://www.mendeley.com/documents/?uuid=56a987e9-0c20-3f6c-9db7-a19db9d1292d"]}],"mendeley":{"formattedCitation":"(13)","plainTextFormattedCitation":"(13)","previouslyFormattedCitation":"(Jr,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(13)</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The region's HBV public health problem is made worse by the lack of adequate healthcare services and vaccination coverage.</w:t>
      </w:r>
    </w:p>
    <w:p w14:paraId="6D5476F3" w14:textId="77777777" w:rsidR="001B4373" w:rsidRPr="001B4373" w:rsidRDefault="001B4373" w:rsidP="00A225BD">
      <w:pPr>
        <w:spacing w:after="0" w:line="240" w:lineRule="auto"/>
        <w:jc w:val="both"/>
        <w:rPr>
          <w:rFonts w:ascii="Times New Roman" w:eastAsia="Times New Roman" w:hAnsi="Times New Roman" w:cs="Times New Roman"/>
          <w:sz w:val="24"/>
          <w:szCs w:val="24"/>
        </w:rPr>
      </w:pPr>
      <w:r w:rsidRPr="001B4373">
        <w:rPr>
          <w:rFonts w:ascii="Times New Roman" w:eastAsia="Times New Roman" w:hAnsi="Times New Roman" w:cs="Times New Roman"/>
          <w:sz w:val="24"/>
          <w:szCs w:val="24"/>
        </w:rPr>
        <w:t>With a high HBV prevalence of 10-15% and notable mortality rates, South Sudan is a prime example of the difficulties encountered by many African countries</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URL":"https://www.afro.who.int/countries/south-sudan/news/tackling-increasing-burden-viral-hepatitis-south-sudan","accessed":{"date-parts":[["2024","12","5"]]},"author":[{"dropping-particle":"","family":"WHO","given":"","non-dropping-particle":"","parse-names":false,"suffix":""}],"id":"ITEM-1","issued":{"date-parts":[["2024"]]},"title":"Tackling the increasing burden of viral hepatitis in South Sudan","type":"webpage"},"uris":["http://www.mendeley.com/documents/?uuid=44332265-cd35-4ece-a915-f5fc56af7f50"]}],"mendeley":{"formattedCitation":"(1)","plainTextFormattedCitation":"(1)","previouslyFormattedCitation":"(WHO,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Inadequate healthcare infrastructure, ongoing conflict, and limited resources hinder the nation's efforts to integrate HBV vaccination into national immunization programs and raise public awareness</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{"citationItems":[{"id":"ITEM-1","itemData":{"DOI":"10.17352/AHR.000029","abstract":"Background: Hepatitis B is an infection caused by the Hepatitis B Virus (HBV), which is enveloped DNA virus that infects the liver, and the common complications are; cirrhosis, liver cancer and rest of organs failure.","author":[{"dropping-particle":"","family":"Michael Pou","given":"Machar","non-dropping-particle":"","parse-names":false,"suffix":""},{"dropping-particle":"","family":"Dube","given":"Jara","non-dropping-particle":"","parse-names":false,"suffix":""}],"container-title":"Archives of Hepatitis Research","id":"ITEM-1","issued":{"date-parts":[["2021","3","5"]]},"page":"004-013","publisher":"Peertechz Publications Private Limited","title":"Seroprevalence and associated risk factors for Hepatitis B Virus infections among apparently healthy pregnant mothers attending Anc in Rubkona primary health care center in Rubkona County, Unity State, South Sudan","type":"article-journal"},"uris":["http://www.mendeley.com/documents/?uuid=ba9e0514-20d6-3250-b172-0bdcedf6a88e"]}],"mendeley":{"formattedCitation":"(14)","plainTextFormattedCitation":"(14)","previouslyFormattedCitation":"(Michael Pou &amp; Dube,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(14)</w:t>
      </w:r>
      <w:r>
        <w:rPr>
          <w:rFonts w:ascii="Times New Roman" w:eastAsia="Times New Roman" w:hAnsi="Times New Roman" w:cs="Times New Roman"/>
          <w:sz w:val="24"/>
          <w:szCs w:val="24"/>
        </w:rPr>
        <w:fldChar w:fldCharType="end"/>
      </w:r>
      <w:r w:rsidRPr="001B4373">
        <w:rPr>
          <w:rFonts w:ascii="Times New Roman" w:eastAsia="Times New Roman" w:hAnsi="Times New Roman" w:cs="Times New Roman"/>
          <w:sz w:val="24"/>
          <w:szCs w:val="24"/>
        </w:rPr>
        <w:t xml:space="preserve">. Effective prevention and treatment strategies are desperately needed, as evidenced by the high rates of transmission from mother to child. Examining HBV seroprevalence and risk factors for hepatitis B transmission among expectant mothers visiting prenatal clinics in South Sudan's Abyei Area was </w:t>
      </w:r>
      <w:r>
        <w:rPr>
          <w:rFonts w:ascii="Times New Roman" w:eastAsia="Times New Roman" w:hAnsi="Times New Roman" w:cs="Times New Roman"/>
          <w:sz w:val="24"/>
          <w:szCs w:val="24"/>
        </w:rPr>
        <w:t>the objective of this study.</w:t>
      </w:r>
    </w:p>
    <w:p w14:paraId="5C643872" w14:textId="77777777" w:rsidR="00FE4EA4" w:rsidRDefault="00FE4EA4" w:rsidP="004E41CD">
      <w:pPr>
        <w:spacing w:line="360" w:lineRule="auto"/>
        <w:jc w:val="both"/>
        <w:rPr>
          <w:rFonts w:ascii="Times New Roman" w:hAnsi="Times New Roman" w:cs="Times New Roman"/>
          <w:sz w:val="24"/>
          <w:szCs w:val="24"/>
        </w:rPr>
      </w:pPr>
    </w:p>
    <w:p w14:paraId="0BD6441C" w14:textId="77777777" w:rsidR="00FE4EA4" w:rsidRDefault="00FE4EA4" w:rsidP="00A225BD">
      <w:pPr>
        <w:spacing w:line="240" w:lineRule="auto"/>
        <w:jc w:val="both"/>
        <w:rPr>
          <w:rStyle w:val="Strong"/>
          <w:rFonts w:ascii="Times New Roman" w:hAnsi="Times New Roman" w:cs="Times New Roman"/>
          <w:sz w:val="24"/>
          <w:szCs w:val="24"/>
          <w:shd w:val="clear" w:color="auto" w:fill="FFFFFF"/>
        </w:rPr>
      </w:pPr>
      <w:r>
        <w:rPr>
          <w:rStyle w:val="Strong"/>
          <w:rFonts w:ascii="Times New Roman" w:hAnsi="Times New Roman" w:cs="Times New Roman"/>
          <w:sz w:val="24"/>
          <w:szCs w:val="24"/>
          <w:shd w:val="clear" w:color="auto" w:fill="FFFFFF"/>
        </w:rPr>
        <w:t>Materials a</w:t>
      </w:r>
      <w:r w:rsidRPr="00FE4EA4">
        <w:rPr>
          <w:rStyle w:val="Strong"/>
          <w:rFonts w:ascii="Times New Roman" w:hAnsi="Times New Roman" w:cs="Times New Roman"/>
          <w:sz w:val="24"/>
          <w:szCs w:val="24"/>
          <w:shd w:val="clear" w:color="auto" w:fill="FFFFFF"/>
        </w:rPr>
        <w:t>nd Methods</w:t>
      </w:r>
    </w:p>
    <w:p w14:paraId="35FF9FB8" w14:textId="77777777" w:rsidR="00FE4EA4" w:rsidRDefault="00FE4EA4" w:rsidP="00A225BD">
      <w:pPr>
        <w:spacing w:line="240" w:lineRule="auto"/>
        <w:jc w:val="both"/>
        <w:rPr>
          <w:rFonts w:ascii="Times New Roman" w:hAnsi="Times New Roman" w:cs="Times New Roman"/>
          <w:b/>
          <w:sz w:val="24"/>
          <w:szCs w:val="24"/>
        </w:rPr>
      </w:pPr>
      <w:r>
        <w:rPr>
          <w:rFonts w:ascii="Times New Roman" w:hAnsi="Times New Roman" w:cs="Times New Roman"/>
          <w:b/>
          <w:sz w:val="24"/>
          <w:szCs w:val="24"/>
        </w:rPr>
        <w:t>Study design</w:t>
      </w:r>
    </w:p>
    <w:p w14:paraId="2A9F1C81" w14:textId="77777777" w:rsidR="00FE4EA4" w:rsidRPr="00FE4EA4" w:rsidRDefault="00FE4EA4" w:rsidP="00A225BD">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Pr="00FE4EA4">
        <w:rPr>
          <w:rFonts w:ascii="Times New Roman" w:hAnsi="Times New Roman" w:cs="Times New Roman"/>
          <w:sz w:val="24"/>
          <w:szCs w:val="24"/>
          <w:shd w:val="clear" w:color="auto" w:fill="FFFFFF"/>
        </w:rPr>
        <w:t xml:space="preserve"> hybrid type 1 implementation design was adopted in this study. It allowed the researcher to evaluate the effectiveness of intervention in this case, the hepatitis B vaccination, and the contextual factors that influence it. This type of study design allowed the researcher to investigate both the prevalence (seroprevalence) of an outcome or exposure at a specific point in time (cross-sectional) and the development of that outcome or exposure over a defined period (cohort).</w:t>
      </w:r>
    </w:p>
    <w:p w14:paraId="35153F5B" w14:textId="77777777" w:rsidR="00FE4EA4" w:rsidRDefault="00FE4EA4" w:rsidP="00A225BD">
      <w:pPr>
        <w:spacing w:line="240"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0B2C4C45" w14:textId="77777777" w:rsidR="00FE4EA4" w:rsidRPr="00AC6286" w:rsidRDefault="00FE4EA4" w:rsidP="00A225BD">
      <w:pPr>
        <w:spacing w:after="0" w:line="240" w:lineRule="auto"/>
        <w:jc w:val="both"/>
        <w:rPr>
          <w:rFonts w:ascii="Times New Roman" w:eastAsia="Times New Roman" w:hAnsi="Times New Roman" w:cs="Times New Roman"/>
          <w:sz w:val="24"/>
          <w:szCs w:val="24"/>
        </w:rPr>
      </w:pPr>
      <w:r w:rsidRPr="00FE4EA4">
        <w:rPr>
          <w:rFonts w:ascii="Times New Roman" w:eastAsia="Times New Roman" w:hAnsi="Times New Roman" w:cs="Times New Roman"/>
          <w:sz w:val="24"/>
          <w:szCs w:val="24"/>
        </w:rPr>
        <w:t xml:space="preserve">Geopolitically significant, Abyei is at the center of border disputes between the governments of Sudan and South Sudan. Abyei is strategically significant because it is situated on the border between the two countries. Its geographic coordinates, which range from latitudes 11.5° N to 10.5° </w:t>
      </w:r>
      <w:r w:rsidRPr="00FE4EA4">
        <w:rPr>
          <w:rFonts w:ascii="Times New Roman" w:eastAsia="Times New Roman" w:hAnsi="Times New Roman" w:cs="Times New Roman"/>
          <w:sz w:val="24"/>
          <w:szCs w:val="24"/>
        </w:rPr>
        <w:lastRenderedPageBreak/>
        <w:t>N and longitudes 29.5° E to 27.5° E, define a specific area. Five primary health clinics in the Abyei region of South Sudan were chosen to participate in this study. In the Abyei region, providing health services is fraught with difficulties because the government and its partners only fund a small number of medical facilities to serve the populace.</w:t>
      </w:r>
      <w:r>
        <w:rPr>
          <w:rFonts w:ascii="Times New Roman" w:eastAsia="Times New Roman" w:hAnsi="Times New Roman" w:cs="Times New Roman"/>
          <w:sz w:val="24"/>
          <w:szCs w:val="24"/>
        </w:rPr>
        <w:t xml:space="preserve"> </w:t>
      </w:r>
      <w:r w:rsidRPr="00FE4EA4">
        <w:rPr>
          <w:rFonts w:ascii="Times New Roman" w:eastAsia="Times New Roman" w:hAnsi="Times New Roman" w:cs="Times New Roman"/>
          <w:sz w:val="24"/>
          <w:szCs w:val="24"/>
        </w:rPr>
        <w:t xml:space="preserve">The region was chosen due to its proximity to northern Sudan and its status as a hub for individuals from various ethnic backgrounds. </w:t>
      </w:r>
    </w:p>
    <w:p w14:paraId="3D76AE1C" w14:textId="77777777" w:rsidR="000F7102" w:rsidRDefault="000F7102" w:rsidP="00A225B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Study population</w:t>
      </w:r>
    </w:p>
    <w:p w14:paraId="0D02471C" w14:textId="77777777" w:rsidR="000F7102" w:rsidRPr="000F7102" w:rsidRDefault="000F7102" w:rsidP="00A225BD">
      <w:pPr>
        <w:spacing w:line="240" w:lineRule="auto"/>
        <w:jc w:val="both"/>
        <w:rPr>
          <w:rFonts w:ascii="Times New Roman" w:hAnsi="Times New Roman" w:cs="Times New Roman"/>
          <w:sz w:val="24"/>
          <w:szCs w:val="24"/>
        </w:rPr>
      </w:pPr>
      <w:r w:rsidRPr="000F7102">
        <w:rPr>
          <w:rFonts w:ascii="Times New Roman" w:hAnsi="Times New Roman" w:cs="Times New Roman"/>
          <w:sz w:val="24"/>
          <w:szCs w:val="24"/>
        </w:rPr>
        <w:t xml:space="preserve">The study population for this study comprised pregnant women attending antenatal care and their newborns in the Abyei Area, South Sudan. Specifically, the focus was on mothers residing in the southern and northern regions along the banks of River Kiir within the Abyei area. </w:t>
      </w:r>
    </w:p>
    <w:p w14:paraId="2B6EB5F8" w14:textId="77777777" w:rsidR="000F7102" w:rsidRDefault="000F7102" w:rsidP="00A225B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Sample size determination</w:t>
      </w:r>
    </w:p>
    <w:p w14:paraId="5147B8CB" w14:textId="77777777" w:rsidR="000F7102" w:rsidRPr="000F7102" w:rsidRDefault="000F7102" w:rsidP="00A225BD">
      <w:pPr>
        <w:spacing w:after="0" w:line="240" w:lineRule="auto"/>
        <w:jc w:val="both"/>
        <w:rPr>
          <w:rFonts w:ascii="Times New Roman" w:eastAsia="Times New Roman" w:hAnsi="Times New Roman" w:cs="Times New Roman"/>
          <w:sz w:val="24"/>
          <w:szCs w:val="24"/>
        </w:rPr>
      </w:pPr>
      <w:r w:rsidRPr="000F7102">
        <w:rPr>
          <w:rFonts w:ascii="Times New Roman" w:eastAsia="Times New Roman" w:hAnsi="Times New Roman" w:cs="Times New Roman"/>
          <w:sz w:val="24"/>
          <w:szCs w:val="24"/>
        </w:rPr>
        <w:t>The sample size for this study was determined to be roughly 384 study participants using the Fisher formula.</w:t>
      </w:r>
    </w:p>
    <w:p w14:paraId="47892B72" w14:textId="77777777" w:rsidR="000F7102" w:rsidRDefault="000F7102" w:rsidP="00A225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Sampling technique</w:t>
      </w:r>
    </w:p>
    <w:p w14:paraId="74549D3C" w14:textId="77777777" w:rsidR="000F7102" w:rsidRPr="000F7102" w:rsidRDefault="000F7102" w:rsidP="00A225BD">
      <w:pPr>
        <w:spacing w:line="240" w:lineRule="auto"/>
        <w:jc w:val="both"/>
        <w:rPr>
          <w:rFonts w:ascii="Times New Roman" w:hAnsi="Times New Roman" w:cs="Times New Roman"/>
          <w:sz w:val="24"/>
          <w:szCs w:val="24"/>
        </w:rPr>
      </w:pPr>
      <w:r>
        <w:rPr>
          <w:rFonts w:ascii="Times New Roman" w:hAnsi="Times New Roman" w:cs="Times New Roman"/>
          <w:sz w:val="24"/>
          <w:szCs w:val="24"/>
        </w:rPr>
        <w:t>In this study, both purposive and systematic random sampling were employed to recruit the study respondents for this research. Abyei which was the study area was selected purposively. Health facilities where the study respondents were obtained were also selected purposively. Lastly, systematic random sampling was employed to select study respondents for this study from the chosen health facility.</w:t>
      </w:r>
    </w:p>
    <w:p w14:paraId="6D210B6B" w14:textId="77777777" w:rsidR="00FE4EA4" w:rsidRDefault="000F7102" w:rsidP="00A225BD">
      <w:pPr>
        <w:spacing w:line="240" w:lineRule="auto"/>
        <w:jc w:val="both"/>
        <w:rPr>
          <w:rFonts w:ascii="Times New Roman" w:hAnsi="Times New Roman" w:cs="Times New Roman"/>
          <w:sz w:val="24"/>
          <w:szCs w:val="24"/>
        </w:rPr>
      </w:pPr>
      <w:r>
        <w:rPr>
          <w:rFonts w:ascii="Times New Roman" w:hAnsi="Times New Roman" w:cs="Times New Roman"/>
          <w:b/>
          <w:sz w:val="24"/>
          <w:szCs w:val="24"/>
        </w:rPr>
        <w:t>Data collection tools and procedures</w:t>
      </w:r>
    </w:p>
    <w:p w14:paraId="27BFF531" w14:textId="77777777" w:rsidR="00FE4EA4" w:rsidRDefault="000F7102" w:rsidP="00A225BD">
      <w:pPr>
        <w:spacing w:line="240" w:lineRule="auto"/>
        <w:jc w:val="both"/>
        <w:rPr>
          <w:rFonts w:ascii="Times New Roman" w:hAnsi="Times New Roman" w:cs="Times New Roman"/>
          <w:sz w:val="24"/>
          <w:szCs w:val="24"/>
        </w:rPr>
      </w:pPr>
      <w:r w:rsidRPr="000F7102">
        <w:rPr>
          <w:rFonts w:ascii="Times New Roman" w:hAnsi="Times New Roman" w:cs="Times New Roman"/>
          <w:sz w:val="24"/>
          <w:szCs w:val="24"/>
        </w:rPr>
        <w:t>Structured Questionnaires were used to collect quantitative data on pregnant women seeking antenatal care in the selected facilities.  Quantitative data collection focused on the prevalence of hepatitis B, Risk factors of hepatitis B among pregnant mothers</w:t>
      </w:r>
      <w:r w:rsidRPr="000F7102">
        <w:rPr>
          <w:rFonts w:ascii="Times New Roman" w:hAnsi="Times New Roman" w:cs="Times New Roman"/>
          <w:b/>
          <w:sz w:val="24"/>
          <w:szCs w:val="24"/>
        </w:rPr>
        <w:t>,</w:t>
      </w:r>
      <w:r w:rsidRPr="000F7102">
        <w:rPr>
          <w:rFonts w:ascii="Times New Roman" w:hAnsi="Times New Roman" w:cs="Times New Roman"/>
          <w:sz w:val="24"/>
          <w:szCs w:val="24"/>
        </w:rPr>
        <w:t xml:space="preserve"> and effectiveness of the Hepatitis B vaccine. Blood samples were collected and analyzed for Hepatitis B surface antigen (HBsAg) using enzyme-linked immunosorbent assay (</w:t>
      </w:r>
      <w:proofErr w:type="gramStart"/>
      <w:r w:rsidRPr="000F7102">
        <w:rPr>
          <w:rFonts w:ascii="Times New Roman" w:hAnsi="Times New Roman" w:cs="Times New Roman"/>
          <w:sz w:val="24"/>
          <w:szCs w:val="24"/>
        </w:rPr>
        <w:t>ELISA)  Blood</w:t>
      </w:r>
      <w:proofErr w:type="gramEnd"/>
      <w:r w:rsidRPr="000F7102">
        <w:rPr>
          <w:rFonts w:ascii="Times New Roman" w:hAnsi="Times New Roman" w:cs="Times New Roman"/>
          <w:sz w:val="24"/>
          <w:szCs w:val="24"/>
        </w:rPr>
        <w:t xml:space="preserve"> samples were tested for HBsAg, and positive and negative mothers were followed until delivery. Newborns received the Hepatitis B vaccine and were tested after six months to assess the vaccine's protective effectiveness.</w:t>
      </w:r>
    </w:p>
    <w:p w14:paraId="0A2E333E" w14:textId="77777777" w:rsidR="00FE4EA4" w:rsidRPr="00FE4EA4" w:rsidRDefault="00FE4EA4" w:rsidP="00A225B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Statistical analysis </w:t>
      </w:r>
    </w:p>
    <w:p w14:paraId="29708E38" w14:textId="77777777" w:rsidR="00FE4EA4" w:rsidRDefault="00FE4EA4" w:rsidP="00A225BD">
      <w:pPr>
        <w:spacing w:after="240" w:line="240" w:lineRule="auto"/>
        <w:jc w:val="both"/>
        <w:rPr>
          <w:rFonts w:ascii="Times New Roman" w:eastAsia="Times New Roman" w:hAnsi="Times New Roman" w:cs="Times New Roman"/>
          <w:sz w:val="24"/>
          <w:szCs w:val="24"/>
        </w:rPr>
      </w:pPr>
      <w:r w:rsidRPr="00FE4EA4">
        <w:rPr>
          <w:rFonts w:ascii="Times New Roman" w:eastAsia="Times New Roman" w:hAnsi="Times New Roman" w:cs="Times New Roman"/>
          <w:sz w:val="24"/>
          <w:szCs w:val="24"/>
        </w:rPr>
        <w:t>Before being examined using the Statistical Package for the Social Sciences (SPSS) version 29.0, the quantitative data was carefully cleaned, arranged, and coded. To show how various research aspects relate to one another, descr</w:t>
      </w:r>
      <w:r>
        <w:rPr>
          <w:rFonts w:ascii="Times New Roman" w:eastAsia="Times New Roman" w:hAnsi="Times New Roman" w:cs="Times New Roman"/>
          <w:sz w:val="24"/>
          <w:szCs w:val="24"/>
        </w:rPr>
        <w:t>iptive statistics such as frequencies</w:t>
      </w:r>
      <w:r w:rsidRPr="00FE4EA4">
        <w:rPr>
          <w:rFonts w:ascii="Times New Roman" w:eastAsia="Times New Roman" w:hAnsi="Times New Roman" w:cs="Times New Roman"/>
          <w:sz w:val="24"/>
          <w:szCs w:val="24"/>
        </w:rPr>
        <w:t>, percentages, means, and standard deviations were used. Inferential statistics were also performed, including multilinear regression a</w:t>
      </w:r>
      <w:r>
        <w:rPr>
          <w:rFonts w:ascii="Times New Roman" w:eastAsia="Times New Roman" w:hAnsi="Times New Roman" w:cs="Times New Roman"/>
          <w:sz w:val="24"/>
          <w:szCs w:val="24"/>
        </w:rPr>
        <w:t>nalysis. A significance level was set at a p-value of less or equal to</w:t>
      </w:r>
      <w:r w:rsidRPr="00FE4EA4">
        <w:rPr>
          <w:rFonts w:ascii="Times New Roman" w:eastAsia="Times New Roman" w:hAnsi="Times New Roman" w:cs="Times New Roman"/>
          <w:sz w:val="24"/>
          <w:szCs w:val="24"/>
        </w:rPr>
        <w:t xml:space="preserve"> 0.05. A thorough grasp of the relationships between the variables in the research framework was made possible by this method, which also provided insights into possible trends, patterns, and causal relationships. </w:t>
      </w:r>
    </w:p>
    <w:p w14:paraId="5E0CB2C3" w14:textId="77777777" w:rsidR="00FE4EA4" w:rsidRDefault="00FE4EA4" w:rsidP="00A225B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Ethical consideration </w:t>
      </w:r>
    </w:p>
    <w:p w14:paraId="2832DA6D" w14:textId="77777777" w:rsidR="00FE4EA4" w:rsidRDefault="00FE4EA4" w:rsidP="00A225BD">
      <w:pPr>
        <w:spacing w:after="0" w:line="240" w:lineRule="auto"/>
        <w:jc w:val="both"/>
        <w:rPr>
          <w:rFonts w:ascii="Times New Roman" w:eastAsia="Times New Roman" w:hAnsi="Times New Roman" w:cs="Times New Roman"/>
          <w:sz w:val="24"/>
          <w:szCs w:val="24"/>
        </w:rPr>
      </w:pPr>
      <w:r w:rsidRPr="00FE4EA4">
        <w:rPr>
          <w:rFonts w:ascii="Times New Roman" w:eastAsia="Times New Roman" w:hAnsi="Times New Roman" w:cs="Times New Roman"/>
          <w:sz w:val="24"/>
          <w:szCs w:val="24"/>
        </w:rPr>
        <w:t xml:space="preserve">The Institutional Scientific, Research Ethical Review Committee (ISREC) at Mount Kenya University was consulted carefully before the study started. Furthermore, to support the study on behalf of the government, approval from the Abyei State/National Ministry of Health was required. Explicit informed consent was diligently obtained from each participant </w:t>
      </w:r>
      <w:r>
        <w:rPr>
          <w:rFonts w:ascii="Times New Roman" w:eastAsia="Times New Roman" w:hAnsi="Times New Roman" w:cs="Times New Roman"/>
          <w:sz w:val="24"/>
          <w:szCs w:val="24"/>
        </w:rPr>
        <w:t>before</w:t>
      </w:r>
      <w:r w:rsidRPr="00FE4EA4">
        <w:rPr>
          <w:rFonts w:ascii="Times New Roman" w:eastAsia="Times New Roman" w:hAnsi="Times New Roman" w:cs="Times New Roman"/>
          <w:sz w:val="24"/>
          <w:szCs w:val="24"/>
        </w:rPr>
        <w:t xml:space="preserve"> participation in the study. </w:t>
      </w:r>
      <w:r>
        <w:t xml:space="preserve"> </w:t>
      </w:r>
      <w:r w:rsidRPr="00FE4EA4">
        <w:rPr>
          <w:rFonts w:ascii="Times New Roman" w:eastAsia="Times New Roman" w:hAnsi="Times New Roman" w:cs="Times New Roman"/>
          <w:sz w:val="24"/>
          <w:szCs w:val="24"/>
        </w:rPr>
        <w:t xml:space="preserve">It was made clear that participation in the study was completely voluntary and free from </w:t>
      </w:r>
      <w:r w:rsidRPr="00FE4EA4">
        <w:rPr>
          <w:rFonts w:ascii="Times New Roman" w:eastAsia="Times New Roman" w:hAnsi="Times New Roman" w:cs="Times New Roman"/>
          <w:sz w:val="24"/>
          <w:szCs w:val="24"/>
        </w:rPr>
        <w:lastRenderedPageBreak/>
        <w:t>any kind of pressure or compulsion. Strict procedures were put in place to protect participant data, guaranteeing the integrity of their privacy and confidentiality. Any personal identifiers were carefully avoided in study documentation or publications, and all collected data was anonymized and stored secure</w:t>
      </w:r>
      <w:r>
        <w:rPr>
          <w:rFonts w:ascii="Times New Roman" w:eastAsia="Times New Roman" w:hAnsi="Times New Roman" w:cs="Times New Roman"/>
          <w:sz w:val="24"/>
          <w:szCs w:val="24"/>
        </w:rPr>
        <w:t xml:space="preserve">ly to prevent unwanted access.  </w:t>
      </w:r>
      <w:r w:rsidRPr="00FE4EA4">
        <w:rPr>
          <w:rFonts w:ascii="Times New Roman" w:eastAsia="Times New Roman" w:hAnsi="Times New Roman" w:cs="Times New Roman"/>
          <w:sz w:val="24"/>
          <w:szCs w:val="24"/>
        </w:rPr>
        <w:t xml:space="preserve">At the same time, careful measures were taken to reduce any possible risks to the participants, guaranteeing that the study procedures were safe and did not cause them any unnecessary pain or injury. </w:t>
      </w:r>
      <w:r>
        <w:rPr>
          <w:rFonts w:ascii="Times New Roman" w:eastAsia="Times New Roman" w:hAnsi="Times New Roman" w:cs="Times New Roman"/>
          <w:sz w:val="24"/>
          <w:szCs w:val="24"/>
        </w:rPr>
        <w:t>T</w:t>
      </w:r>
      <w:r w:rsidRPr="00FE4EA4">
        <w:rPr>
          <w:rFonts w:ascii="Times New Roman" w:eastAsia="Times New Roman" w:hAnsi="Times New Roman" w:cs="Times New Roman"/>
          <w:sz w:val="24"/>
          <w:szCs w:val="24"/>
        </w:rPr>
        <w:t xml:space="preserve">o prevent the spread of any infectious agents, strict infection control procedures were also strictly followed when drawing blood samples. </w:t>
      </w:r>
    </w:p>
    <w:p w14:paraId="41F25D8A" w14:textId="77777777" w:rsidR="00A225BD" w:rsidRDefault="00A225BD" w:rsidP="00A225BD">
      <w:pPr>
        <w:spacing w:after="0" w:line="240" w:lineRule="auto"/>
        <w:jc w:val="both"/>
        <w:rPr>
          <w:rFonts w:ascii="Times New Roman" w:eastAsia="Times New Roman" w:hAnsi="Times New Roman" w:cs="Times New Roman"/>
          <w:sz w:val="24"/>
          <w:szCs w:val="24"/>
        </w:rPr>
      </w:pPr>
    </w:p>
    <w:p w14:paraId="09FB5E17" w14:textId="77777777" w:rsidR="00A225BD" w:rsidRDefault="00A225BD" w:rsidP="00A225BD">
      <w:pPr>
        <w:spacing w:after="0" w:line="240" w:lineRule="auto"/>
        <w:jc w:val="both"/>
        <w:rPr>
          <w:rFonts w:ascii="Times New Roman" w:eastAsia="Times New Roman" w:hAnsi="Times New Roman" w:cs="Times New Roman"/>
          <w:sz w:val="24"/>
          <w:szCs w:val="24"/>
        </w:rPr>
      </w:pPr>
    </w:p>
    <w:p w14:paraId="0B553B80" w14:textId="77777777" w:rsidR="00A225BD" w:rsidRDefault="00A225BD" w:rsidP="00A225BD">
      <w:pPr>
        <w:spacing w:after="0" w:line="240" w:lineRule="auto"/>
        <w:jc w:val="both"/>
        <w:rPr>
          <w:rFonts w:ascii="Times New Roman" w:eastAsia="Times New Roman" w:hAnsi="Times New Roman" w:cs="Times New Roman"/>
          <w:sz w:val="24"/>
          <w:szCs w:val="24"/>
        </w:rPr>
      </w:pPr>
    </w:p>
    <w:p w14:paraId="5FD8583E" w14:textId="77777777" w:rsidR="00A225BD" w:rsidRDefault="00A225BD" w:rsidP="00A225BD">
      <w:pPr>
        <w:spacing w:after="0" w:line="240" w:lineRule="auto"/>
        <w:jc w:val="both"/>
        <w:rPr>
          <w:rFonts w:ascii="Times New Roman" w:eastAsia="Times New Roman" w:hAnsi="Times New Roman" w:cs="Times New Roman"/>
          <w:sz w:val="24"/>
          <w:szCs w:val="24"/>
        </w:rPr>
      </w:pPr>
    </w:p>
    <w:p w14:paraId="09BE2BF4" w14:textId="77777777" w:rsidR="00A225BD" w:rsidRDefault="00A225BD" w:rsidP="00A225BD">
      <w:pPr>
        <w:spacing w:after="0" w:line="240" w:lineRule="auto"/>
        <w:jc w:val="both"/>
        <w:rPr>
          <w:rFonts w:ascii="Times New Roman" w:eastAsia="Times New Roman" w:hAnsi="Times New Roman" w:cs="Times New Roman"/>
          <w:sz w:val="24"/>
          <w:szCs w:val="24"/>
        </w:rPr>
      </w:pPr>
    </w:p>
    <w:p w14:paraId="5FA8D28E" w14:textId="77777777" w:rsidR="00A225BD" w:rsidRDefault="00A225BD" w:rsidP="00A225BD">
      <w:pPr>
        <w:spacing w:after="0" w:line="240" w:lineRule="auto"/>
        <w:jc w:val="both"/>
        <w:rPr>
          <w:rFonts w:ascii="Times New Roman" w:eastAsia="Times New Roman" w:hAnsi="Times New Roman" w:cs="Times New Roman"/>
          <w:sz w:val="24"/>
          <w:szCs w:val="24"/>
        </w:rPr>
      </w:pPr>
    </w:p>
    <w:p w14:paraId="6AA28426" w14:textId="77777777" w:rsidR="00A225BD" w:rsidRDefault="00A225BD" w:rsidP="00A225BD">
      <w:pPr>
        <w:spacing w:after="0" w:line="240" w:lineRule="auto"/>
        <w:jc w:val="both"/>
        <w:rPr>
          <w:rFonts w:ascii="Times New Roman" w:eastAsia="Times New Roman" w:hAnsi="Times New Roman" w:cs="Times New Roman"/>
          <w:sz w:val="24"/>
          <w:szCs w:val="24"/>
        </w:rPr>
      </w:pPr>
    </w:p>
    <w:p w14:paraId="77B49B97" w14:textId="77777777" w:rsidR="00A225BD" w:rsidRDefault="00A225BD" w:rsidP="00A225BD">
      <w:pPr>
        <w:spacing w:after="0" w:line="240" w:lineRule="auto"/>
        <w:jc w:val="both"/>
        <w:rPr>
          <w:rFonts w:ascii="Times New Roman" w:eastAsia="Times New Roman" w:hAnsi="Times New Roman" w:cs="Times New Roman"/>
          <w:sz w:val="24"/>
          <w:szCs w:val="24"/>
        </w:rPr>
      </w:pPr>
    </w:p>
    <w:p w14:paraId="66C1DE5F" w14:textId="77777777" w:rsidR="00A225BD" w:rsidRDefault="00A225BD" w:rsidP="00A225BD">
      <w:pPr>
        <w:spacing w:after="0" w:line="240" w:lineRule="auto"/>
        <w:jc w:val="both"/>
        <w:rPr>
          <w:rFonts w:ascii="Times New Roman" w:eastAsia="Times New Roman" w:hAnsi="Times New Roman" w:cs="Times New Roman"/>
          <w:sz w:val="24"/>
          <w:szCs w:val="24"/>
        </w:rPr>
      </w:pPr>
    </w:p>
    <w:p w14:paraId="367CDFB8" w14:textId="77777777" w:rsidR="00A225BD" w:rsidRDefault="00A225BD" w:rsidP="00A225BD">
      <w:pPr>
        <w:spacing w:after="0" w:line="240" w:lineRule="auto"/>
        <w:jc w:val="both"/>
        <w:rPr>
          <w:rFonts w:ascii="Times New Roman" w:eastAsia="Times New Roman" w:hAnsi="Times New Roman" w:cs="Times New Roman"/>
          <w:sz w:val="24"/>
          <w:szCs w:val="24"/>
        </w:rPr>
      </w:pPr>
    </w:p>
    <w:p w14:paraId="6F9F5D53" w14:textId="77777777" w:rsidR="00A225BD" w:rsidRDefault="00A225BD" w:rsidP="00A225BD">
      <w:pPr>
        <w:spacing w:after="0" w:line="240" w:lineRule="auto"/>
        <w:jc w:val="both"/>
        <w:rPr>
          <w:rFonts w:ascii="Times New Roman" w:eastAsia="Times New Roman" w:hAnsi="Times New Roman" w:cs="Times New Roman"/>
          <w:sz w:val="24"/>
          <w:szCs w:val="24"/>
        </w:rPr>
      </w:pPr>
    </w:p>
    <w:p w14:paraId="4FCC1DEE" w14:textId="77777777" w:rsidR="00A225BD" w:rsidRDefault="00A225BD" w:rsidP="00A225BD">
      <w:pPr>
        <w:spacing w:after="0" w:line="240" w:lineRule="auto"/>
        <w:jc w:val="both"/>
        <w:rPr>
          <w:rFonts w:ascii="Times New Roman" w:eastAsia="Times New Roman" w:hAnsi="Times New Roman" w:cs="Times New Roman"/>
          <w:sz w:val="24"/>
          <w:szCs w:val="24"/>
        </w:rPr>
      </w:pPr>
    </w:p>
    <w:p w14:paraId="64A51923" w14:textId="77777777" w:rsidR="00A225BD" w:rsidRDefault="00A225BD" w:rsidP="00A225BD">
      <w:pPr>
        <w:spacing w:after="0" w:line="240" w:lineRule="auto"/>
        <w:jc w:val="both"/>
        <w:rPr>
          <w:rFonts w:ascii="Times New Roman" w:eastAsia="Times New Roman" w:hAnsi="Times New Roman" w:cs="Times New Roman"/>
          <w:sz w:val="24"/>
          <w:szCs w:val="24"/>
        </w:rPr>
      </w:pPr>
    </w:p>
    <w:p w14:paraId="2CC24036" w14:textId="77777777" w:rsidR="00A225BD" w:rsidRDefault="00A225BD" w:rsidP="00A225BD">
      <w:pPr>
        <w:spacing w:after="0" w:line="240" w:lineRule="auto"/>
        <w:jc w:val="both"/>
        <w:rPr>
          <w:rFonts w:ascii="Times New Roman" w:eastAsia="Times New Roman" w:hAnsi="Times New Roman" w:cs="Times New Roman"/>
          <w:sz w:val="24"/>
          <w:szCs w:val="24"/>
        </w:rPr>
      </w:pPr>
    </w:p>
    <w:p w14:paraId="3326320F" w14:textId="77777777" w:rsidR="00A225BD" w:rsidRDefault="00A225BD" w:rsidP="00A225BD">
      <w:pPr>
        <w:spacing w:after="0" w:line="240" w:lineRule="auto"/>
        <w:jc w:val="both"/>
        <w:rPr>
          <w:rFonts w:ascii="Times New Roman" w:eastAsia="Times New Roman" w:hAnsi="Times New Roman" w:cs="Times New Roman"/>
          <w:sz w:val="24"/>
          <w:szCs w:val="24"/>
        </w:rPr>
      </w:pPr>
    </w:p>
    <w:p w14:paraId="5B5B2624" w14:textId="77777777" w:rsidR="00A225BD" w:rsidRDefault="00A225BD" w:rsidP="00A225BD">
      <w:pPr>
        <w:spacing w:after="0" w:line="240" w:lineRule="auto"/>
        <w:jc w:val="both"/>
        <w:rPr>
          <w:rFonts w:ascii="Times New Roman" w:eastAsia="Times New Roman" w:hAnsi="Times New Roman" w:cs="Times New Roman"/>
          <w:sz w:val="24"/>
          <w:szCs w:val="24"/>
        </w:rPr>
      </w:pPr>
    </w:p>
    <w:p w14:paraId="52D311DD" w14:textId="77777777" w:rsidR="00A225BD" w:rsidRDefault="00A225BD" w:rsidP="00A225BD">
      <w:pPr>
        <w:spacing w:after="0" w:line="240" w:lineRule="auto"/>
        <w:jc w:val="both"/>
        <w:rPr>
          <w:rFonts w:ascii="Times New Roman" w:eastAsia="Times New Roman" w:hAnsi="Times New Roman" w:cs="Times New Roman"/>
          <w:sz w:val="24"/>
          <w:szCs w:val="24"/>
        </w:rPr>
      </w:pPr>
    </w:p>
    <w:p w14:paraId="06611C83" w14:textId="77777777" w:rsidR="00A225BD" w:rsidRDefault="00A225BD" w:rsidP="00A225BD">
      <w:pPr>
        <w:spacing w:after="0" w:line="240" w:lineRule="auto"/>
        <w:jc w:val="both"/>
        <w:rPr>
          <w:rFonts w:ascii="Times New Roman" w:eastAsia="Times New Roman" w:hAnsi="Times New Roman" w:cs="Times New Roman"/>
          <w:sz w:val="24"/>
          <w:szCs w:val="24"/>
        </w:rPr>
      </w:pPr>
    </w:p>
    <w:p w14:paraId="568F7D2B" w14:textId="77777777" w:rsidR="00A225BD" w:rsidRDefault="00A225BD" w:rsidP="00A225BD">
      <w:pPr>
        <w:spacing w:after="0" w:line="240" w:lineRule="auto"/>
        <w:jc w:val="both"/>
        <w:rPr>
          <w:rFonts w:ascii="Times New Roman" w:eastAsia="Times New Roman" w:hAnsi="Times New Roman" w:cs="Times New Roman"/>
          <w:sz w:val="24"/>
          <w:szCs w:val="24"/>
        </w:rPr>
      </w:pPr>
    </w:p>
    <w:p w14:paraId="59C1C192" w14:textId="77777777" w:rsidR="00A225BD" w:rsidRDefault="00A225BD" w:rsidP="00A225BD">
      <w:pPr>
        <w:spacing w:after="0" w:line="240" w:lineRule="auto"/>
        <w:jc w:val="both"/>
        <w:rPr>
          <w:rFonts w:ascii="Times New Roman" w:eastAsia="Times New Roman" w:hAnsi="Times New Roman" w:cs="Times New Roman"/>
          <w:sz w:val="24"/>
          <w:szCs w:val="24"/>
        </w:rPr>
      </w:pPr>
    </w:p>
    <w:p w14:paraId="792BEDE7" w14:textId="77777777" w:rsidR="00A225BD" w:rsidRDefault="00A225BD" w:rsidP="00A225BD">
      <w:pPr>
        <w:spacing w:after="0" w:line="240" w:lineRule="auto"/>
        <w:jc w:val="both"/>
        <w:rPr>
          <w:rFonts w:ascii="Times New Roman" w:eastAsia="Times New Roman" w:hAnsi="Times New Roman" w:cs="Times New Roman"/>
          <w:sz w:val="24"/>
          <w:szCs w:val="24"/>
        </w:rPr>
      </w:pPr>
    </w:p>
    <w:p w14:paraId="2552BE64" w14:textId="77777777" w:rsidR="00A225BD" w:rsidRDefault="00A225BD" w:rsidP="00A225BD">
      <w:pPr>
        <w:spacing w:after="0" w:line="240" w:lineRule="auto"/>
        <w:jc w:val="both"/>
        <w:rPr>
          <w:rFonts w:ascii="Times New Roman" w:eastAsia="Times New Roman" w:hAnsi="Times New Roman" w:cs="Times New Roman"/>
          <w:sz w:val="24"/>
          <w:szCs w:val="24"/>
        </w:rPr>
      </w:pPr>
    </w:p>
    <w:p w14:paraId="725EC563" w14:textId="77777777" w:rsidR="00A225BD" w:rsidRDefault="00A225BD" w:rsidP="00A225BD">
      <w:pPr>
        <w:spacing w:after="0" w:line="240" w:lineRule="auto"/>
        <w:jc w:val="both"/>
        <w:rPr>
          <w:rFonts w:ascii="Times New Roman" w:eastAsia="Times New Roman" w:hAnsi="Times New Roman" w:cs="Times New Roman"/>
          <w:sz w:val="24"/>
          <w:szCs w:val="24"/>
        </w:rPr>
      </w:pPr>
    </w:p>
    <w:p w14:paraId="38C7569C" w14:textId="77777777" w:rsidR="00A225BD" w:rsidRDefault="00A225BD" w:rsidP="00A225BD">
      <w:pPr>
        <w:spacing w:after="0" w:line="240" w:lineRule="auto"/>
        <w:jc w:val="both"/>
        <w:rPr>
          <w:rFonts w:ascii="Times New Roman" w:eastAsia="Times New Roman" w:hAnsi="Times New Roman" w:cs="Times New Roman"/>
          <w:sz w:val="24"/>
          <w:szCs w:val="24"/>
        </w:rPr>
      </w:pPr>
    </w:p>
    <w:p w14:paraId="52526B06" w14:textId="77777777" w:rsidR="00A225BD" w:rsidRPr="00FE4EA4" w:rsidRDefault="00A225BD" w:rsidP="00A225BD">
      <w:pPr>
        <w:spacing w:after="0" w:line="240" w:lineRule="auto"/>
        <w:jc w:val="both"/>
      </w:pPr>
    </w:p>
    <w:p w14:paraId="3EE0A28A" w14:textId="77777777" w:rsidR="00FE4EA4" w:rsidRDefault="00AC6286" w:rsidP="00A225BD">
      <w:pPr>
        <w:spacing w:line="240" w:lineRule="auto"/>
        <w:jc w:val="both"/>
        <w:rPr>
          <w:rFonts w:ascii="Times New Roman" w:hAnsi="Times New Roman" w:cs="Times New Roman"/>
          <w:b/>
          <w:sz w:val="24"/>
          <w:szCs w:val="24"/>
        </w:rPr>
      </w:pPr>
      <w:r w:rsidRPr="00AC6286">
        <w:rPr>
          <w:rFonts w:ascii="Times New Roman" w:hAnsi="Times New Roman" w:cs="Times New Roman"/>
          <w:b/>
          <w:sz w:val="24"/>
          <w:szCs w:val="24"/>
        </w:rPr>
        <w:t>Results</w:t>
      </w:r>
    </w:p>
    <w:p w14:paraId="4AC86E69" w14:textId="77777777" w:rsidR="00AC6286" w:rsidRPr="00AC6286" w:rsidRDefault="00AC6286" w:rsidP="00A225BD">
      <w:pPr>
        <w:spacing w:line="240" w:lineRule="auto"/>
        <w:jc w:val="both"/>
        <w:rPr>
          <w:rFonts w:ascii="Times New Roman" w:hAnsi="Times New Roman" w:cs="Times New Roman"/>
          <w:b/>
          <w:sz w:val="24"/>
          <w:szCs w:val="24"/>
        </w:rPr>
      </w:pPr>
      <w:r w:rsidRPr="00AC6286">
        <w:rPr>
          <w:rFonts w:ascii="Times New Roman" w:eastAsia="WenQuanYi Micro Hei" w:hAnsi="Times New Roman" w:cs="Times New Roman"/>
          <w:b/>
          <w:sz w:val="24"/>
          <w:szCs w:val="24"/>
          <w:shd w:val="clear" w:color="auto" w:fill="FFFFFF"/>
        </w:rPr>
        <w:t>Socio-demographic charac</w:t>
      </w:r>
      <w:r>
        <w:rPr>
          <w:rFonts w:ascii="Times New Roman" w:eastAsia="WenQuanYi Micro Hei" w:hAnsi="Times New Roman" w:cs="Times New Roman"/>
          <w:b/>
          <w:sz w:val="24"/>
          <w:szCs w:val="24"/>
          <w:shd w:val="clear" w:color="auto" w:fill="FFFFFF"/>
        </w:rPr>
        <w:t>teristics of study participants</w:t>
      </w:r>
    </w:p>
    <w:p w14:paraId="064089AA" w14:textId="77777777" w:rsidR="00D40109" w:rsidRPr="00D40109" w:rsidRDefault="00D40109" w:rsidP="00A225BD">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below provides the social demographic characteristics of the study respondents. </w:t>
      </w:r>
      <w:r w:rsidRPr="00D40109">
        <w:rPr>
          <w:rFonts w:ascii="Times New Roman" w:eastAsia="Times New Roman" w:hAnsi="Times New Roman" w:cs="Times New Roman"/>
          <w:sz w:val="24"/>
          <w:szCs w:val="24"/>
        </w:rPr>
        <w:t>A third (30.1%) of study participants were between the ages of 26 and 30, 24.9% were over 30, and 45% were between the ages of 15 and 25. Just 12.6% of respondents had completed secondary school, while more than half (52.</w:t>
      </w:r>
      <w:r>
        <w:rPr>
          <w:rFonts w:ascii="Times New Roman" w:eastAsia="Times New Roman" w:hAnsi="Times New Roman" w:cs="Times New Roman"/>
          <w:sz w:val="24"/>
          <w:szCs w:val="24"/>
        </w:rPr>
        <w:t xml:space="preserve">1%) had never attended school. </w:t>
      </w:r>
      <w:r w:rsidRPr="00D40109">
        <w:rPr>
          <w:rFonts w:ascii="Times New Roman" w:eastAsia="Times New Roman" w:hAnsi="Times New Roman" w:cs="Times New Roman"/>
          <w:sz w:val="24"/>
          <w:szCs w:val="24"/>
        </w:rPr>
        <w:t xml:space="preserve">According to marital status, the majority of the mothers were in monogamous marriages (46.9%), polygamy was 43.7%, which was somewhat close to the study population's monogamous rate, and the lowest percentage of participants were unmarried (9.4%). Regarding employment status, only 36.4% of respondents were employed, while 53.1% of respondents were unemployed. In terms of income, a sizable fraction made over 20,000 South Sudanese pounds. In terms of gestational age, the majority of women (59.4%) were multipara, and all were in the third trimester. The majority of mothers (65.1%) have working husbands, while 34.9% have non-working husbands. </w:t>
      </w:r>
    </w:p>
    <w:p w14:paraId="74EDF83A" w14:textId="77777777" w:rsidR="00AC6286" w:rsidRDefault="00AC6286" w:rsidP="00FE4EA4">
      <w:pPr>
        <w:spacing w:line="360" w:lineRule="auto"/>
        <w:jc w:val="both"/>
        <w:rPr>
          <w:rFonts w:ascii="Times New Roman" w:hAnsi="Times New Roman" w:cs="Times New Roman"/>
          <w:sz w:val="24"/>
          <w:szCs w:val="24"/>
        </w:rPr>
      </w:pPr>
    </w:p>
    <w:p w14:paraId="6858AF1F" w14:textId="77777777" w:rsidR="00AC6286" w:rsidRDefault="00AC6286" w:rsidP="00FE4EA4">
      <w:pPr>
        <w:spacing w:line="360" w:lineRule="auto"/>
        <w:jc w:val="both"/>
        <w:rPr>
          <w:rFonts w:ascii="Times New Roman" w:hAnsi="Times New Roman" w:cs="Times New Roman"/>
          <w:sz w:val="24"/>
          <w:szCs w:val="24"/>
        </w:rPr>
      </w:pPr>
    </w:p>
    <w:p w14:paraId="2D432163" w14:textId="77777777" w:rsidR="00AC6286" w:rsidRDefault="00AC6286" w:rsidP="00FE4EA4">
      <w:pPr>
        <w:spacing w:line="360" w:lineRule="auto"/>
        <w:jc w:val="both"/>
        <w:rPr>
          <w:rFonts w:ascii="Times New Roman" w:hAnsi="Times New Roman" w:cs="Times New Roman"/>
          <w:sz w:val="24"/>
          <w:szCs w:val="24"/>
        </w:rPr>
      </w:pPr>
    </w:p>
    <w:p w14:paraId="0364A6BD" w14:textId="77777777" w:rsidR="00AC6286" w:rsidRDefault="00AC6286" w:rsidP="00FE4EA4">
      <w:pPr>
        <w:spacing w:line="360" w:lineRule="auto"/>
        <w:jc w:val="both"/>
        <w:rPr>
          <w:rFonts w:ascii="Times New Roman" w:hAnsi="Times New Roman" w:cs="Times New Roman"/>
          <w:sz w:val="24"/>
          <w:szCs w:val="24"/>
        </w:rPr>
      </w:pPr>
    </w:p>
    <w:p w14:paraId="475D56FC" w14:textId="77777777" w:rsidR="00AC6286" w:rsidRDefault="00AC6286" w:rsidP="00FE4EA4">
      <w:pPr>
        <w:spacing w:line="360" w:lineRule="auto"/>
        <w:jc w:val="both"/>
        <w:rPr>
          <w:rFonts w:ascii="Times New Roman" w:hAnsi="Times New Roman" w:cs="Times New Roman"/>
          <w:sz w:val="24"/>
          <w:szCs w:val="24"/>
        </w:rPr>
      </w:pPr>
    </w:p>
    <w:p w14:paraId="62DECF78" w14:textId="77777777" w:rsidR="00AC6286" w:rsidRDefault="00AC6286" w:rsidP="00FE4EA4">
      <w:pPr>
        <w:spacing w:line="360" w:lineRule="auto"/>
        <w:jc w:val="both"/>
        <w:rPr>
          <w:rFonts w:ascii="Times New Roman" w:hAnsi="Times New Roman" w:cs="Times New Roman"/>
          <w:sz w:val="24"/>
          <w:szCs w:val="24"/>
        </w:rPr>
      </w:pPr>
    </w:p>
    <w:p w14:paraId="18CA2B34" w14:textId="77777777" w:rsidR="00AC6286" w:rsidRDefault="00AC6286" w:rsidP="00FE4EA4">
      <w:pPr>
        <w:spacing w:line="360" w:lineRule="auto"/>
        <w:jc w:val="both"/>
        <w:rPr>
          <w:rFonts w:ascii="Times New Roman" w:hAnsi="Times New Roman" w:cs="Times New Roman"/>
          <w:sz w:val="24"/>
          <w:szCs w:val="24"/>
        </w:rPr>
      </w:pPr>
    </w:p>
    <w:p w14:paraId="1EE81FFE" w14:textId="77777777" w:rsidR="00AC6286" w:rsidRDefault="00AC6286" w:rsidP="00FE4EA4">
      <w:pPr>
        <w:spacing w:line="360" w:lineRule="auto"/>
        <w:jc w:val="both"/>
        <w:rPr>
          <w:rFonts w:ascii="Times New Roman" w:hAnsi="Times New Roman" w:cs="Times New Roman"/>
          <w:sz w:val="24"/>
          <w:szCs w:val="24"/>
        </w:rPr>
      </w:pPr>
    </w:p>
    <w:p w14:paraId="4A200C4B" w14:textId="77777777" w:rsidR="00AC6286" w:rsidRDefault="00AC6286" w:rsidP="00FE4EA4">
      <w:pPr>
        <w:spacing w:line="360" w:lineRule="auto"/>
        <w:jc w:val="both"/>
        <w:rPr>
          <w:rFonts w:ascii="Times New Roman" w:hAnsi="Times New Roman" w:cs="Times New Roman"/>
          <w:sz w:val="24"/>
          <w:szCs w:val="24"/>
        </w:rPr>
      </w:pPr>
    </w:p>
    <w:p w14:paraId="4A847BDA" w14:textId="77777777" w:rsidR="00AC6286" w:rsidRDefault="00AC6286" w:rsidP="00FE4EA4">
      <w:pPr>
        <w:spacing w:line="360" w:lineRule="auto"/>
        <w:jc w:val="both"/>
        <w:rPr>
          <w:rFonts w:ascii="Times New Roman" w:hAnsi="Times New Roman" w:cs="Times New Roman"/>
          <w:sz w:val="24"/>
          <w:szCs w:val="24"/>
        </w:rPr>
      </w:pPr>
    </w:p>
    <w:p w14:paraId="57903588" w14:textId="77777777" w:rsidR="00AC6286" w:rsidRDefault="00AC6286" w:rsidP="00FE4EA4">
      <w:pPr>
        <w:spacing w:line="360" w:lineRule="auto"/>
        <w:jc w:val="both"/>
        <w:rPr>
          <w:rFonts w:ascii="Times New Roman" w:hAnsi="Times New Roman" w:cs="Times New Roman"/>
          <w:sz w:val="24"/>
          <w:szCs w:val="24"/>
        </w:rPr>
      </w:pPr>
    </w:p>
    <w:p w14:paraId="52628C5B" w14:textId="77777777" w:rsidR="00AC6286" w:rsidRDefault="00AC6286" w:rsidP="00FE4EA4">
      <w:pPr>
        <w:spacing w:line="360" w:lineRule="auto"/>
        <w:jc w:val="both"/>
        <w:rPr>
          <w:rFonts w:ascii="Times New Roman" w:hAnsi="Times New Roman" w:cs="Times New Roman"/>
          <w:sz w:val="24"/>
          <w:szCs w:val="24"/>
        </w:rPr>
      </w:pPr>
    </w:p>
    <w:p w14:paraId="29AF52C1" w14:textId="77777777" w:rsidR="00A225BD" w:rsidRDefault="00A225BD" w:rsidP="00FE4EA4">
      <w:pPr>
        <w:spacing w:line="360" w:lineRule="auto"/>
        <w:jc w:val="both"/>
        <w:rPr>
          <w:rFonts w:ascii="Times New Roman" w:hAnsi="Times New Roman" w:cs="Times New Roman"/>
          <w:sz w:val="24"/>
          <w:szCs w:val="24"/>
        </w:rPr>
      </w:pPr>
    </w:p>
    <w:p w14:paraId="46068BD5" w14:textId="77777777" w:rsidR="002A016F" w:rsidRDefault="002A016F" w:rsidP="00FE4EA4">
      <w:pPr>
        <w:spacing w:line="360" w:lineRule="auto"/>
        <w:jc w:val="both"/>
        <w:rPr>
          <w:rFonts w:ascii="Times New Roman" w:hAnsi="Times New Roman" w:cs="Times New Roman"/>
          <w:sz w:val="24"/>
          <w:szCs w:val="24"/>
        </w:rPr>
      </w:pPr>
    </w:p>
    <w:p w14:paraId="042F3C6E" w14:textId="77777777" w:rsidR="006C5EB3" w:rsidRDefault="006C5EB3" w:rsidP="00FE4EA4">
      <w:pPr>
        <w:spacing w:line="360" w:lineRule="auto"/>
        <w:jc w:val="both"/>
        <w:rPr>
          <w:rFonts w:ascii="Times New Roman" w:hAnsi="Times New Roman" w:cs="Times New Roman"/>
          <w:sz w:val="24"/>
          <w:szCs w:val="24"/>
        </w:rPr>
      </w:pPr>
    </w:p>
    <w:p w14:paraId="232DF778" w14:textId="77777777" w:rsidR="00D40109" w:rsidRPr="00D40109" w:rsidRDefault="00D40109" w:rsidP="00A225BD">
      <w:pPr>
        <w:spacing w:line="240" w:lineRule="auto"/>
        <w:rPr>
          <w:rFonts w:ascii="Times New Roman" w:hAnsi="Times New Roman" w:cs="Times New Roman"/>
          <w:b/>
          <w:sz w:val="24"/>
          <w:szCs w:val="24"/>
        </w:rPr>
      </w:pPr>
      <w:r w:rsidRPr="00D40109">
        <w:rPr>
          <w:rFonts w:ascii="Times New Roman" w:hAnsi="Times New Roman" w:cs="Times New Roman"/>
          <w:b/>
          <w:sz w:val="24"/>
          <w:szCs w:val="24"/>
        </w:rPr>
        <w:t xml:space="preserve">Seroprevalence of Hepatitis B among Pregnant Mothers </w:t>
      </w:r>
    </w:p>
    <w:p w14:paraId="357B7037" w14:textId="77777777" w:rsidR="00D40109" w:rsidRPr="00D40109" w:rsidRDefault="00D40109" w:rsidP="00A225BD">
      <w:pPr>
        <w:spacing w:after="0" w:line="240" w:lineRule="auto"/>
        <w:jc w:val="both"/>
        <w:rPr>
          <w:rFonts w:ascii="Times New Roman" w:eastAsia="Times New Roman" w:hAnsi="Times New Roman" w:cs="Times New Roman"/>
          <w:sz w:val="24"/>
          <w:szCs w:val="24"/>
        </w:rPr>
      </w:pPr>
      <w:r w:rsidRPr="00D40109">
        <w:rPr>
          <w:rFonts w:ascii="Times New Roman" w:eastAsia="Times New Roman" w:hAnsi="Times New Roman" w:cs="Times New Roman"/>
          <w:sz w:val="24"/>
          <w:szCs w:val="24"/>
        </w:rPr>
        <w:t xml:space="preserve">The seroprevalence among expectant mothers in Abyei, South Sudan, who seek prenatal care is shown in Figure 1. 81% of research participants (N=73) tested negative for viral hepatitis B, while 19% had a diagnosis. </w:t>
      </w:r>
    </w:p>
    <w:p w14:paraId="161D6C14" w14:textId="77777777" w:rsidR="006C5EB3" w:rsidRDefault="006C5EB3" w:rsidP="00FE4EA4">
      <w:pPr>
        <w:spacing w:line="360" w:lineRule="auto"/>
        <w:jc w:val="both"/>
        <w:rPr>
          <w:rFonts w:ascii="Times New Roman" w:hAnsi="Times New Roman" w:cs="Times New Roman"/>
          <w:sz w:val="24"/>
          <w:szCs w:val="24"/>
        </w:rPr>
      </w:pPr>
    </w:p>
    <w:p w14:paraId="01C80201" w14:textId="77777777" w:rsidR="002A016F" w:rsidRPr="002A016F" w:rsidRDefault="002A016F" w:rsidP="00A225BD">
      <w:pPr>
        <w:spacing w:line="240" w:lineRule="auto"/>
        <w:jc w:val="both"/>
        <w:rPr>
          <w:rFonts w:ascii="Times New Roman" w:hAnsi="Times New Roman" w:cs="Times New Roman"/>
          <w:b/>
          <w:sz w:val="24"/>
          <w:szCs w:val="24"/>
        </w:rPr>
      </w:pPr>
      <w:r w:rsidRPr="002A016F">
        <w:rPr>
          <w:rFonts w:ascii="Times New Roman" w:hAnsi="Times New Roman" w:cs="Times New Roman"/>
          <w:b/>
          <w:sz w:val="24"/>
          <w:szCs w:val="24"/>
        </w:rPr>
        <w:t xml:space="preserve">Risk factors associated with viral hepatitis B infection among pregnant mothers </w:t>
      </w:r>
    </w:p>
    <w:p w14:paraId="71017F75" w14:textId="77777777" w:rsidR="002A016F" w:rsidRPr="002A016F" w:rsidRDefault="002A016F" w:rsidP="00A225BD">
      <w:pPr>
        <w:spacing w:line="240" w:lineRule="auto"/>
        <w:jc w:val="both"/>
        <w:rPr>
          <w:rFonts w:ascii="Times New Roman" w:hAnsi="Times New Roman" w:cs="Times New Roman"/>
          <w:sz w:val="24"/>
          <w:szCs w:val="24"/>
        </w:rPr>
      </w:pPr>
      <w:r w:rsidRPr="002A016F">
        <w:rPr>
          <w:rFonts w:ascii="Times New Roman" w:hAnsi="Times New Roman" w:cs="Times New Roman"/>
          <w:sz w:val="24"/>
          <w:szCs w:val="24"/>
        </w:rPr>
        <w:t>To determine the risk factors associated with hepatitis B infections,  a chi-square test for independence was first carried out, Age of first sexual life χ</w:t>
      </w:r>
      <w:r w:rsidRPr="002A016F">
        <w:rPr>
          <w:rFonts w:ascii="Times New Roman" w:hAnsi="Times New Roman" w:cs="Times New Roman"/>
          <w:sz w:val="24"/>
          <w:szCs w:val="24"/>
          <w:vertAlign w:val="superscript"/>
        </w:rPr>
        <w:t>2</w:t>
      </w:r>
      <w:r w:rsidRPr="002A016F">
        <w:rPr>
          <w:rFonts w:ascii="Times New Roman" w:hAnsi="Times New Roman" w:cs="Times New Roman"/>
          <w:color w:val="000000"/>
          <w:sz w:val="24"/>
          <w:szCs w:val="24"/>
        </w:rPr>
        <w:t xml:space="preserve"> (</w:t>
      </w:r>
      <w:r w:rsidRPr="002A016F">
        <w:rPr>
          <w:rFonts w:ascii="Times New Roman" w:hAnsi="Times New Roman" w:cs="Times New Roman"/>
          <w:i/>
          <w:iCs/>
          <w:color w:val="000000"/>
          <w:sz w:val="24"/>
          <w:szCs w:val="24"/>
        </w:rPr>
        <w:t>6.1212 (1), p= 0.013)</w:t>
      </w:r>
      <w:r w:rsidRPr="002A016F">
        <w:rPr>
          <w:rFonts w:ascii="Times New Roman" w:hAnsi="Times New Roman" w:cs="Times New Roman"/>
          <w:sz w:val="24"/>
          <w:szCs w:val="24"/>
        </w:rPr>
        <w:t>, having an incident of STI χ</w:t>
      </w:r>
      <w:r w:rsidRPr="002A016F">
        <w:rPr>
          <w:rFonts w:ascii="Times New Roman" w:hAnsi="Times New Roman" w:cs="Times New Roman"/>
          <w:sz w:val="24"/>
          <w:szCs w:val="24"/>
          <w:vertAlign w:val="superscript"/>
        </w:rPr>
        <w:t>2</w:t>
      </w:r>
      <w:r w:rsidRPr="002A016F">
        <w:rPr>
          <w:rFonts w:ascii="Times New Roman" w:hAnsi="Times New Roman" w:cs="Times New Roman"/>
          <w:color w:val="000000"/>
          <w:sz w:val="24"/>
          <w:szCs w:val="24"/>
        </w:rPr>
        <w:t xml:space="preserve"> (154.6550, (df=2), </w:t>
      </w:r>
      <w:r w:rsidRPr="002A016F">
        <w:rPr>
          <w:rFonts w:ascii="Times New Roman" w:hAnsi="Times New Roman" w:cs="Times New Roman"/>
          <w:i/>
          <w:iCs/>
          <w:color w:val="000000"/>
          <w:sz w:val="24"/>
          <w:szCs w:val="24"/>
        </w:rPr>
        <w:t>p = 0.000)</w:t>
      </w:r>
      <w:r w:rsidRPr="002A016F">
        <w:rPr>
          <w:rFonts w:ascii="Times New Roman" w:hAnsi="Times New Roman" w:cs="Times New Roman"/>
          <w:sz w:val="24"/>
          <w:szCs w:val="24"/>
        </w:rPr>
        <w:t>, use of IV drugs χ</w:t>
      </w:r>
      <w:r w:rsidRPr="002A016F">
        <w:rPr>
          <w:rFonts w:ascii="Times New Roman" w:hAnsi="Times New Roman" w:cs="Times New Roman"/>
          <w:sz w:val="24"/>
          <w:szCs w:val="24"/>
          <w:vertAlign w:val="superscript"/>
        </w:rPr>
        <w:t>2</w:t>
      </w:r>
      <w:r w:rsidRPr="002A016F">
        <w:rPr>
          <w:rFonts w:ascii="Times New Roman" w:hAnsi="Times New Roman" w:cs="Times New Roman"/>
          <w:color w:val="000000"/>
          <w:sz w:val="24"/>
          <w:szCs w:val="24"/>
        </w:rPr>
        <w:t xml:space="preserve"> (54.7617, (df=1</w:t>
      </w:r>
      <w:r w:rsidRPr="002A016F">
        <w:rPr>
          <w:rFonts w:ascii="Times New Roman" w:hAnsi="Times New Roman" w:cs="Times New Roman"/>
          <w:i/>
          <w:iCs/>
          <w:color w:val="000000"/>
          <w:sz w:val="24"/>
          <w:szCs w:val="24"/>
        </w:rPr>
        <w:t>) p= 0.000)</w:t>
      </w:r>
      <w:r w:rsidRPr="002A016F">
        <w:rPr>
          <w:rFonts w:ascii="Times New Roman" w:hAnsi="Times New Roman" w:cs="Times New Roman"/>
          <w:sz w:val="24"/>
          <w:szCs w:val="24"/>
        </w:rPr>
        <w:t>,  having a husband living with HBV χ</w:t>
      </w:r>
      <w:r w:rsidRPr="002A016F">
        <w:rPr>
          <w:rFonts w:ascii="Times New Roman" w:hAnsi="Times New Roman" w:cs="Times New Roman"/>
          <w:sz w:val="24"/>
          <w:szCs w:val="24"/>
          <w:vertAlign w:val="superscript"/>
        </w:rPr>
        <w:t>2</w:t>
      </w:r>
      <w:r w:rsidRPr="002A016F">
        <w:rPr>
          <w:rFonts w:ascii="Times New Roman" w:hAnsi="Times New Roman" w:cs="Times New Roman"/>
          <w:sz w:val="24"/>
          <w:szCs w:val="24"/>
        </w:rPr>
        <w:t>(</w:t>
      </w:r>
      <w:r w:rsidRPr="002A016F">
        <w:rPr>
          <w:rFonts w:ascii="Times New Roman" w:hAnsi="Times New Roman" w:cs="Times New Roman"/>
          <w:color w:val="000000"/>
          <w:sz w:val="24"/>
          <w:szCs w:val="24"/>
        </w:rPr>
        <w:t xml:space="preserve">42.545,7 (df=1) </w:t>
      </w:r>
      <w:r w:rsidRPr="002A016F">
        <w:rPr>
          <w:rFonts w:ascii="Times New Roman" w:hAnsi="Times New Roman" w:cs="Times New Roman"/>
          <w:i/>
          <w:iCs/>
          <w:color w:val="000000"/>
          <w:sz w:val="24"/>
          <w:szCs w:val="24"/>
        </w:rPr>
        <w:t xml:space="preserve">p = 0.000), </w:t>
      </w:r>
      <w:r w:rsidRPr="002A016F">
        <w:rPr>
          <w:rFonts w:ascii="Times New Roman" w:hAnsi="Times New Roman" w:cs="Times New Roman"/>
          <w:sz w:val="24"/>
          <w:szCs w:val="24"/>
        </w:rPr>
        <w:t>and piercing nose or ear χ</w:t>
      </w:r>
      <w:r w:rsidRPr="002A016F">
        <w:rPr>
          <w:rFonts w:ascii="Times New Roman" w:hAnsi="Times New Roman" w:cs="Times New Roman"/>
          <w:sz w:val="24"/>
          <w:szCs w:val="24"/>
          <w:vertAlign w:val="superscript"/>
        </w:rPr>
        <w:t>2</w:t>
      </w:r>
      <w:r w:rsidRPr="002A016F">
        <w:rPr>
          <w:rFonts w:ascii="Times New Roman" w:hAnsi="Times New Roman" w:cs="Times New Roman"/>
          <w:color w:val="000000"/>
          <w:sz w:val="24"/>
          <w:szCs w:val="24"/>
        </w:rPr>
        <w:t xml:space="preserve"> (</w:t>
      </w:r>
      <w:r w:rsidRPr="002A016F">
        <w:rPr>
          <w:rFonts w:ascii="Times New Roman" w:hAnsi="Times New Roman" w:cs="Times New Roman"/>
          <w:i/>
          <w:iCs/>
          <w:color w:val="000000"/>
          <w:sz w:val="24"/>
          <w:szCs w:val="24"/>
        </w:rPr>
        <w:t xml:space="preserve">18.4305 (df=1) p= 0.000) </w:t>
      </w:r>
      <w:r w:rsidRPr="002A016F">
        <w:rPr>
          <w:rFonts w:ascii="Times New Roman" w:hAnsi="Times New Roman" w:cs="Times New Roman"/>
          <w:sz w:val="24"/>
          <w:szCs w:val="24"/>
        </w:rPr>
        <w:t>were significantly associated with Hepatitis B seroprevalence.</w:t>
      </w:r>
    </w:p>
    <w:p w14:paraId="618393F4" w14:textId="77777777" w:rsidR="002A016F" w:rsidRPr="002A016F" w:rsidRDefault="002A016F" w:rsidP="00A225BD">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As provided in Table 2 below,</w:t>
      </w:r>
      <w:r w:rsidRPr="002A016F">
        <w:t xml:space="preserve"> </w:t>
      </w:r>
      <w:r w:rsidRPr="002A016F">
        <w:rPr>
          <w:rFonts w:ascii="Times New Roman" w:eastAsia="Times New Roman" w:hAnsi="Times New Roman" w:cs="Times New Roman"/>
          <w:sz w:val="24"/>
          <w:szCs w:val="24"/>
        </w:rPr>
        <w:t>According to logistic regression analysis, respondents with a history of STIs had a 12 times higher chance of testing positive for Hepatitis B than those without a history of STIs (A.</w:t>
      </w:r>
      <w:proofErr w:type="gramStart"/>
      <w:r w:rsidRPr="002A016F">
        <w:rPr>
          <w:rFonts w:ascii="Times New Roman" w:eastAsia="Times New Roman" w:hAnsi="Times New Roman" w:cs="Times New Roman"/>
          <w:sz w:val="24"/>
          <w:szCs w:val="24"/>
        </w:rPr>
        <w:t>O.R</w:t>
      </w:r>
      <w:proofErr w:type="gramEnd"/>
      <w:r w:rsidRPr="002A016F">
        <w:rPr>
          <w:rFonts w:ascii="Times New Roman" w:eastAsia="Times New Roman" w:hAnsi="Times New Roman" w:cs="Times New Roman"/>
          <w:sz w:val="24"/>
          <w:szCs w:val="24"/>
        </w:rPr>
        <w:t>=12.848, p=0.0001). Another predictor of a positive hepatitis B test was intravenous medication use. If a pregnant woman takes intravenous medication, her chances of testing positive for Hepatitis B are 2.3 times higher. (p=0.004, A.O. R=2.3)</w:t>
      </w:r>
      <w:r>
        <w:rPr>
          <w:rFonts w:ascii="Times New Roman" w:eastAsia="Times New Roman" w:hAnsi="Times New Roman" w:cs="Times New Roman"/>
          <w:sz w:val="24"/>
          <w:szCs w:val="24"/>
        </w:rPr>
        <w:t>.</w:t>
      </w:r>
    </w:p>
    <w:p w14:paraId="4E4A5A12" w14:textId="77777777" w:rsidR="00434405" w:rsidRPr="00434405" w:rsidRDefault="00434405" w:rsidP="00A225BD">
      <w:pPr>
        <w:spacing w:line="240" w:lineRule="auto"/>
        <w:jc w:val="both"/>
        <w:rPr>
          <w:rFonts w:ascii="Times New Roman" w:hAnsi="Times New Roman" w:cs="Times New Roman"/>
          <w:b/>
          <w:sz w:val="24"/>
          <w:szCs w:val="24"/>
        </w:rPr>
      </w:pPr>
      <w:r w:rsidRPr="00434405">
        <w:rPr>
          <w:rFonts w:ascii="Times New Roman" w:hAnsi="Times New Roman" w:cs="Times New Roman"/>
          <w:b/>
          <w:sz w:val="24"/>
          <w:szCs w:val="24"/>
        </w:rPr>
        <w:t xml:space="preserve">Effectiveness of Hepatitis B vaccine alone in preventing mother-to-child transmission among pregnant mothers </w:t>
      </w:r>
    </w:p>
    <w:p w14:paraId="156E4CFE" w14:textId="77777777" w:rsidR="00434405" w:rsidRPr="00434405" w:rsidRDefault="00434405" w:rsidP="00A225BD">
      <w:pPr>
        <w:spacing w:after="0" w:line="240" w:lineRule="auto"/>
        <w:jc w:val="both"/>
        <w:rPr>
          <w:rFonts w:ascii="Times New Roman" w:eastAsia="Times New Roman" w:hAnsi="Times New Roman" w:cs="Times New Roman"/>
          <w:sz w:val="24"/>
          <w:szCs w:val="24"/>
        </w:rPr>
      </w:pPr>
      <w:r w:rsidRPr="00434405">
        <w:rPr>
          <w:rFonts w:ascii="Times New Roman" w:eastAsia="Times New Roman" w:hAnsi="Times New Roman" w:cs="Times New Roman"/>
          <w:sz w:val="24"/>
          <w:szCs w:val="24"/>
        </w:rPr>
        <w:t>To determine the efficacy of the hepatitis B vaccine in preventing mother-to-child transmission among their infants, a cohort of 47 pregnant mothers' infants who tested positive were monitored. For comparison, a comparable percentage was compared to cases. Two children of cases (mothers with a hepatitis B diagnosis) tested positive among those who did. 2.044 was the risk ratio (C.I. 1.659-2.519). Fisher's exact p-value was 0.4946, indicating no statistical association.</w:t>
      </w:r>
    </w:p>
    <w:p w14:paraId="438C67B1" w14:textId="77777777" w:rsidR="00434405" w:rsidRPr="00434405" w:rsidRDefault="00434405" w:rsidP="00A225BD">
      <w:pPr>
        <w:spacing w:after="0" w:line="240" w:lineRule="auto"/>
        <w:jc w:val="both"/>
        <w:rPr>
          <w:rFonts w:ascii="Times New Roman" w:eastAsia="Times New Roman" w:hAnsi="Times New Roman" w:cs="Times New Roman"/>
          <w:sz w:val="24"/>
          <w:szCs w:val="24"/>
        </w:rPr>
      </w:pPr>
      <w:r w:rsidRPr="00434405">
        <w:rPr>
          <w:rFonts w:ascii="Times New Roman" w:eastAsia="Times New Roman" w:hAnsi="Times New Roman" w:cs="Times New Roman"/>
          <w:sz w:val="24"/>
          <w:szCs w:val="24"/>
        </w:rPr>
        <w:t xml:space="preserve">The results of children who received all recommended vaccinations and the likelihood of testing positive for hepatitis B were monitored in this survey. Hepatitis seroprevalence and child vaccination status did not significantly </w:t>
      </w:r>
      <w:r>
        <w:rPr>
          <w:rFonts w:ascii="Times New Roman" w:eastAsia="Times New Roman" w:hAnsi="Times New Roman" w:cs="Times New Roman"/>
          <w:sz w:val="24"/>
          <w:szCs w:val="24"/>
        </w:rPr>
        <w:t>correlate, as shown in Table 3</w:t>
      </w:r>
      <w:r w:rsidRPr="00434405">
        <w:rPr>
          <w:rFonts w:ascii="Times New Roman" w:eastAsia="Times New Roman" w:hAnsi="Times New Roman" w:cs="Times New Roman"/>
          <w:sz w:val="24"/>
          <w:szCs w:val="24"/>
        </w:rPr>
        <w:t xml:space="preserve"> (RR: 0.719 (C.I. 0.179-2.893) </w:t>
      </w:r>
      <w:r>
        <w:rPr>
          <w:rFonts w:ascii="Times New Roman" w:eastAsia="Times New Roman" w:hAnsi="Times New Roman" w:cs="Times New Roman"/>
          <w:sz w:val="24"/>
          <w:szCs w:val="24"/>
        </w:rPr>
        <w:t xml:space="preserve">Fisher's exact p = 0.5241). </w:t>
      </w:r>
      <w:r w:rsidRPr="00434405">
        <w:rPr>
          <w:rFonts w:ascii="Times New Roman" w:eastAsia="Times New Roman" w:hAnsi="Times New Roman" w:cs="Times New Roman"/>
          <w:sz w:val="24"/>
          <w:szCs w:val="24"/>
        </w:rPr>
        <w:t xml:space="preserve">According to Table 3, all exposed infants are cases because the exposed group's risk of becoming a case is 1. About 48.9% of the infants in the unexposed group are cases, according to the risk of 0.489. The risk difference is 0.511, indicating a 51.1 percentage point absolute difference in risk between the exposed and unexposed groups. </w:t>
      </w:r>
    </w:p>
    <w:p w14:paraId="7C72CCB6" w14:textId="77777777" w:rsidR="00434405" w:rsidRDefault="00434405" w:rsidP="00A225BD">
      <w:pPr>
        <w:spacing w:line="240" w:lineRule="auto"/>
        <w:jc w:val="both"/>
        <w:rPr>
          <w:rFonts w:ascii="Times New Roman" w:eastAsia="Times New Roman" w:hAnsi="Times New Roman" w:cs="Times New Roman"/>
          <w:sz w:val="24"/>
          <w:szCs w:val="24"/>
        </w:rPr>
      </w:pPr>
      <w:r w:rsidRPr="00434405">
        <w:br/>
      </w:r>
      <w:r>
        <w:rPr>
          <w:rFonts w:ascii="Times New Roman" w:eastAsia="Times New Roman" w:hAnsi="Times New Roman" w:cs="Times New Roman"/>
          <w:sz w:val="24"/>
          <w:szCs w:val="24"/>
        </w:rPr>
        <w:t>From this study, the ratio of risk was</w:t>
      </w:r>
      <w:r w:rsidRPr="00434405">
        <w:rPr>
          <w:rFonts w:ascii="Times New Roman" w:eastAsia="Times New Roman" w:hAnsi="Times New Roman" w:cs="Times New Roman"/>
          <w:sz w:val="24"/>
          <w:szCs w:val="24"/>
        </w:rPr>
        <w:t xml:space="preserve"> 2.044. This indicates that the exposed group's risk of the outcome is roughly 2.044 times higher than the unexposed group's risk. Therefore, the risk of the outcome being measured is more than doubled when exposed to hepatitis B. Fraction attributable to the exposure (</w:t>
      </w:r>
      <w:proofErr w:type="spellStart"/>
      <w:r w:rsidRPr="00434405">
        <w:rPr>
          <w:rFonts w:ascii="Times New Roman" w:eastAsia="Times New Roman" w:hAnsi="Times New Roman" w:cs="Times New Roman"/>
          <w:sz w:val="24"/>
          <w:szCs w:val="24"/>
        </w:rPr>
        <w:t>Attr</w:t>
      </w:r>
      <w:proofErr w:type="spellEnd"/>
      <w:r w:rsidRPr="00434405">
        <w:rPr>
          <w:rFonts w:ascii="Times New Roman" w:eastAsia="Times New Roman" w:hAnsi="Times New Roman" w:cs="Times New Roman"/>
          <w:sz w:val="24"/>
          <w:szCs w:val="24"/>
        </w:rPr>
        <w:t>. frac. ex.) This value of 0.511 means that exposure to Hepatitis B accounts for 51.1% of the risk in the exposed group.</w:t>
      </w:r>
      <w:r>
        <w:rPr>
          <w:rFonts w:ascii="Times New Roman" w:eastAsia="Times New Roman" w:hAnsi="Times New Roman" w:cs="Times New Roman"/>
          <w:sz w:val="24"/>
          <w:szCs w:val="24"/>
        </w:rPr>
        <w:t xml:space="preserve"> </w:t>
      </w:r>
      <w:r w:rsidRPr="00434405">
        <w:rPr>
          <w:rFonts w:ascii="Times New Roman" w:eastAsia="Times New Roman" w:hAnsi="Times New Roman" w:cs="Times New Roman"/>
          <w:sz w:val="24"/>
          <w:szCs w:val="24"/>
        </w:rPr>
        <w:t>Attributable Population Fraction (</w:t>
      </w:r>
      <w:proofErr w:type="spellStart"/>
      <w:r w:rsidRPr="00434405">
        <w:rPr>
          <w:rFonts w:ascii="Times New Roman" w:eastAsia="Times New Roman" w:hAnsi="Times New Roman" w:cs="Times New Roman"/>
          <w:sz w:val="24"/>
          <w:szCs w:val="24"/>
        </w:rPr>
        <w:t>Attr</w:t>
      </w:r>
      <w:proofErr w:type="spellEnd"/>
      <w:r w:rsidRPr="00434405">
        <w:rPr>
          <w:rFonts w:ascii="Times New Roman" w:eastAsia="Times New Roman" w:hAnsi="Times New Roman" w:cs="Times New Roman"/>
          <w:sz w:val="24"/>
          <w:szCs w:val="24"/>
        </w:rPr>
        <w:t>. frac. Pop) At 0.022, this value indicates that 2.2% of the population's overall risk (exposed and unexposed) can be attributed to belonging to the exposed group. Interval of 95% Confidence for the Risk Ratio The confidence interval's upper and lower bounds are 0.613 and 0.409, respectively. Due to the small sample size, especially of the exposed group (just two infants), there is a high degree of uncertainty surrounding the risk ratio estimate, as indicated by this wide confidence interval.</w:t>
      </w:r>
    </w:p>
    <w:p w14:paraId="341CF42C" w14:textId="77777777" w:rsidR="00B527FC" w:rsidRPr="00B527FC" w:rsidRDefault="00B527FC" w:rsidP="00B527F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5D01A18" w14:textId="77777777" w:rsidR="00B527FC" w:rsidRPr="00D35876" w:rsidRDefault="00B527FC" w:rsidP="00D35876">
      <w:pPr>
        <w:spacing w:after="0" w:line="240" w:lineRule="auto"/>
        <w:jc w:val="both"/>
        <w:rPr>
          <w:rFonts w:ascii="Times New Roman" w:eastAsia="Times New Roman" w:hAnsi="Times New Roman" w:cs="Times New Roman"/>
          <w:sz w:val="24"/>
          <w:szCs w:val="24"/>
        </w:rPr>
      </w:pPr>
      <w:r w:rsidRPr="00B527FC">
        <w:rPr>
          <w:rFonts w:ascii="Times New Roman" w:eastAsia="Times New Roman" w:hAnsi="Times New Roman" w:cs="Times New Roman"/>
          <w:sz w:val="24"/>
          <w:szCs w:val="24"/>
        </w:rPr>
        <w:t xml:space="preserve">A remarkable seroprevalence rate of 19% </w:t>
      </w:r>
      <w:r>
        <w:rPr>
          <w:rFonts w:ascii="Times New Roman" w:eastAsia="Times New Roman" w:hAnsi="Times New Roman" w:cs="Times New Roman"/>
          <w:sz w:val="24"/>
          <w:szCs w:val="24"/>
        </w:rPr>
        <w:t>was found in this study</w:t>
      </w:r>
      <w:r w:rsidRPr="00B527FC">
        <w:rPr>
          <w:rFonts w:ascii="Times New Roman" w:eastAsia="Times New Roman" w:hAnsi="Times New Roman" w:cs="Times New Roman"/>
          <w:sz w:val="24"/>
          <w:szCs w:val="24"/>
        </w:rPr>
        <w:t>, which highlights the high prevalence of viral hepatitis B among expectant mothers seeking antenatal care. Abyei is classified as a high endemic area for hepatitis B due to this remarkably high rate; regions with a prevalence of 8% or higher are classified as such, while those with a prevalence of 2% or less are classified as low endemic areas</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{"citationItems":[{"id":"ITEM-1","itemData":{"author":[{"dropping-particle":"","family":"WHO","given":"","non-dropping-particle":"","parse-names":false,"suffix":""}],"id":"ITEM-1","issued":{"date-parts":[["2022"]]},"title":"91 million Africans infected with Hepatitis B or C","type":"webpage"},"uris":["http://www.mendeley.com/documents/?uuid=68cea824-209a-46c3-b96b-1220920444d0"]}],"mendeley":{"formattedCitation":"(3)","plainTextFormattedCitation":"(3)","previouslyFormattedCitation":"(WHO,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D35876">
        <w:rPr>
          <w:rFonts w:ascii="Times New Roman" w:eastAsia="Times New Roman" w:hAnsi="Times New Roman" w:cs="Times New Roman"/>
          <w:sz w:val="24"/>
          <w:szCs w:val="24"/>
        </w:rPr>
        <w:t xml:space="preserve"> </w:t>
      </w:r>
      <w:r w:rsidRPr="00B527FC">
        <w:rPr>
          <w:rFonts w:ascii="Times New Roman" w:eastAsia="Times New Roman" w:hAnsi="Times New Roman" w:cs="Times New Roman"/>
          <w:sz w:val="24"/>
          <w:szCs w:val="24"/>
        </w:rPr>
        <w:t>A study co</w:t>
      </w:r>
      <w:r>
        <w:rPr>
          <w:rFonts w:ascii="Times New Roman" w:eastAsia="Times New Roman" w:hAnsi="Times New Roman" w:cs="Times New Roman"/>
          <w:sz w:val="24"/>
          <w:szCs w:val="24"/>
        </w:rPr>
        <w:t>nducted in Burkina Faso</w:t>
      </w:r>
      <w:r w:rsidRPr="00B527FC">
        <w:rPr>
          <w:rFonts w:ascii="Times New Roman" w:eastAsia="Times New Roman" w:hAnsi="Times New Roman" w:cs="Times New Roman"/>
          <w:sz w:val="24"/>
          <w:szCs w:val="24"/>
        </w:rPr>
        <w:t xml:space="preserve"> found that the seroprevalence rate among pregnant women was 19.1%, which is marginally higher than the prevalence found </w:t>
      </w:r>
      <w:r>
        <w:rPr>
          <w:rFonts w:ascii="Times New Roman" w:eastAsia="Times New Roman" w:hAnsi="Times New Roman" w:cs="Times New Roman"/>
          <w:sz w:val="24"/>
          <w:szCs w:val="24"/>
        </w:rPr>
        <w:t>in Abyei</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{"citationItems":[{"id":"ITEM-1","itemData":{"DOI":"10.1038/s41598-023-32766-3","ISSN":"2045-2322","PMID":"37059812","abstract":"In highly endemic countries for hepatitis B virus (HBV) infection, childhood infection, including mother-to-child transmission (MTCT), represents the primary transmission route. High maternal DNA level (viral load ≥ 200,000&amp;nbsp;IU/mL) is a significant factor for MTCT. We investigated the prevalence of HBsAg, HBeAg, and high HBV DNA among pregnant women in three hospitals in Burkina Faso and assessed the performance of HBeAg to predict high viral load. Consenting pregnant women were interviewed on their sociodemographic characteristics and tested for HBsAg by a rapid diagnostic test, and dried blood spot (DBS) samples were collected for laboratory analyses. Of the 1622 participants, HBsAg prevalence was 6.5% (95% CI, 5.4–7.8%). Among 102 HBsAg-positive pregnant women in DBS samples, HBeAg was positive in 22.6% (95% CI, 14.9–31.9%), and viral load was quantified in 94 cases, with 19.1% having HBV DNA&amp;nbsp;≥&amp;nbsp;200,000 IU/mL. HBV genotypes were identified in 63 samples and predominant genotypes were E (58.7%) and A (36.5%). The sensitivity of HBeAg by using DBS samples to identify high viral load in the 94 cases was 55.6%, and the specificity was 86.8%. These findings highlight the need to implement routine HBV screening and effective MTCT risk assessment for all pregnant women in Burkina Faso to enable early interventions that can effectively reduce MTCT.","author":[{"dropping-particle":"","family":"Ouoba","given":"Serge","non-dropping-particle":"","parse-names":false,"suffix":""},{"dropping-particle":"","family":"Ko","given":"Ko","non-dropping-particle":"","parse-names":false,"suffix":""},{"dropping-particle":"","family":"Lingani","given":"Moussa","non-dropping-particle":"","parse-names":false,"suffix":""},{"dropping-particle":"","family":"Nagashima","given":"Shintaro","non-dropping-particle":"","parse-names":false,"suffix":""},{"dropping-particle":"","family":"Guingané","given":"Alice N.","non-dropping-particle":"","parse-names":false,"suffix":""},{"dropping-particle":"","family":"Bunthen","given":"E.","non-dropping-particle":"","parse-names":false,"suffix":""},{"dropping-particle":"","family":"Hussain","given":"Md Razeen Ashraf","non-dropping-particle":"","parse-names":false,"suffix":""},{"dropping-particle":"","family":"Sugiyama","given":"Aya","non-dropping-particle":"","parse-names":false,"suffix":""},{"dropping-particle":"","family":"Akita","given":"Tomoyuki","non-dropping-particle":"","parse-names":false,"suffix":""},{"dropping-particle":"","family":"Ohisa","given":"Masayuki","non-dropping-particle":"","parse-names":false,"suffix":""},{"dropping-particle":"","family":"Sanou","given":"Moussa Abdel","non-dropping-particle":"","parse-names":false,"suffix":""},{"dropping-particle":"","family":"Traore","given":"Ousmane","non-dropping-particle":"","parse-names":false,"suffix":""},{"dropping-particle":"","family":"Nassa","given":"Job Wilfried","non-dropping-particle":"","parse-names":false,"suffix":""},{"dropping-particle":"","family":"Sanou","given":"Maimouna","non-dropping-particle":"","parse-names":false,"suffix":""},{"dropping-particle":"","family":"Takahashi","given":"Kazuaki","non-dropping-particle":"","parse-names":false,"suffix":""},{"dropping-particle":"","family":"Tinto","given":"Halidou","non-dropping-particle":"","parse-names":false,"suffix":""},{"dropping-particle":"","family":"Tanaka","given":"Junko","non-dropping-particle":"","parse-names":false,"suffix":""}],"container-title":"Scientific Reports 2023 13:1","id":"ITEM-1","issue":"1","issued":{"date-parts":[["2023","4","14"]]},"page":"1-9","publisher":"Nature Publishing Group","title":"Intermediate hepatitis B virus infection prevalence among 1622 pregnant women in rural Burkina Faso and implications for mother-to-child transmission","type":"article-journal","volume":"13"},"uris":["http://www.mendeley.com/documents/?uuid=f890fbac-05b5-3dbc-905a-ecca21eb0213"]}],"mendeley":{"formattedCitation":"(15)","plainTextFormattedCitation":"(15)","previouslyFormattedCitation":"(Ouoba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(15)</w:t>
      </w:r>
      <w:r>
        <w:rPr>
          <w:rFonts w:ascii="Times New Roman" w:eastAsia="Times New Roman" w:hAnsi="Times New Roman" w:cs="Times New Roman"/>
          <w:sz w:val="24"/>
          <w:szCs w:val="24"/>
        </w:rPr>
        <w:fldChar w:fldCharType="end"/>
      </w:r>
      <w:r w:rsidRPr="00B527FC">
        <w:rPr>
          <w:rFonts w:ascii="Times New Roman" w:eastAsia="Times New Roman" w:hAnsi="Times New Roman" w:cs="Times New Roman"/>
          <w:sz w:val="24"/>
          <w:szCs w:val="24"/>
        </w:rPr>
        <w:t>. Similarly</w:t>
      </w:r>
      <w:r w:rsidR="00D35876">
        <w:rPr>
          <w:rFonts w:ascii="Times New Roman" w:eastAsia="Times New Roman" w:hAnsi="Times New Roman" w:cs="Times New Roman"/>
          <w:sz w:val="24"/>
          <w:szCs w:val="24"/>
        </w:rPr>
        <w:t xml:space="preserve">, research in Ethiopia </w:t>
      </w:r>
      <w:r w:rsidRPr="00B527FC">
        <w:rPr>
          <w:rFonts w:ascii="Times New Roman" w:eastAsia="Times New Roman" w:hAnsi="Times New Roman" w:cs="Times New Roman"/>
          <w:sz w:val="24"/>
          <w:szCs w:val="24"/>
        </w:rPr>
        <w:t>showed s</w:t>
      </w:r>
      <w:r w:rsidR="00D35876">
        <w:rPr>
          <w:rFonts w:ascii="Times New Roman" w:eastAsia="Times New Roman" w:hAnsi="Times New Roman" w:cs="Times New Roman"/>
          <w:sz w:val="24"/>
          <w:szCs w:val="24"/>
        </w:rPr>
        <w:t>eroprevalence rates between 7.7% and 8.5</w:t>
      </w:r>
      <w:r w:rsidRPr="00B527FC">
        <w:rPr>
          <w:rFonts w:ascii="Times New Roman" w:eastAsia="Times New Roman" w:hAnsi="Times New Roman" w:cs="Times New Roman"/>
          <w:sz w:val="24"/>
          <w:szCs w:val="24"/>
        </w:rPr>
        <w:t>%, which</w:t>
      </w:r>
      <w:r>
        <w:rPr>
          <w:rFonts w:ascii="Times New Roman" w:eastAsia="Times New Roman" w:hAnsi="Times New Roman" w:cs="Times New Roman"/>
          <w:sz w:val="24"/>
          <w:szCs w:val="24"/>
        </w:rPr>
        <w:t xml:space="preserve"> was lower than </w:t>
      </w:r>
      <w:r w:rsidRPr="00B527FC">
        <w:rPr>
          <w:rFonts w:ascii="Times New Roman" w:eastAsia="Times New Roman" w:hAnsi="Times New Roman" w:cs="Times New Roman"/>
          <w:sz w:val="24"/>
          <w:szCs w:val="24"/>
        </w:rPr>
        <w:t>the pr</w:t>
      </w:r>
      <w:r w:rsidR="00D35876">
        <w:rPr>
          <w:rFonts w:ascii="Times New Roman" w:eastAsia="Times New Roman" w:hAnsi="Times New Roman" w:cs="Times New Roman"/>
          <w:sz w:val="24"/>
          <w:szCs w:val="24"/>
        </w:rPr>
        <w:t>evalence in Abyei</w:t>
      </w:r>
      <w:r w:rsidR="00D35876">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{"citationItems":[{"id":"ITEM-1","itemData":{"DOI":"10.1371/JOURNAL.PONE.0232208","ISSN":"19326203","PMID":"32320459","abstract":"Introduction Hepatitis B virus infection is a global public health problem. Though, the disease is endemic in sub-Saharan Africa, little is known about its epidemiology among pregnant women in Ghana. This study sought to determine the seroprevalence of Hepatitis B virus infection and associated factors among pregnant women attending antenatal care at Korle-Bu Teaching Hospital; Ghana's largest hospital. Methods We conducted a facility-based cross-sectional survey among 232 antenatal attendants. Participants were recruited using systematic random sampling technique and screened with HBsAg Rapid Test. Data was analyzed with the aid of Statistical Package for Social Sciences (SPSS), version 23.0. Results were presented using descriptive statistics, Fisher's Exact test and Logistic Regression analysis. Results Two hundred and twenty-one (221) of the total sample (n = 232) agreed to participate in this study; representing a response rate of 95%. The mean age of the participants was 31 years and standard deviation of 5.3. The mean gestational period at recruitment was 28 weeks and standard deviation of 6.8. Majority of the participants were married (83.3%), parous (69.6%), educated (91.4%) and employed (90.5%). The prevalence of HBsAg was 7.7%. We found no significant association between socio-demographic characteristics of the participants and HBV infection. Conclusion Seroprevalence of 7.7% indicates moderate endemicity. Socio-demographic characteristics did not influence HBV infection among pregnant women attending antenatal care at Korle-Bu Teaching Hospital. The findings provide empirical evidence that will contribute to knowledge of HBV epidemiology in Ghana.","author":[{"dropping-particle":"","family":"Dortey","given":"Benjamin Ansah","non-dropping-particle":"","parse-names":false,"suffix":""},{"dropping-particle":"","family":"Anaba","given":"Emmanuel Anongeba","non-dropping-particle":"","parse-names":false,"suffix":""},{"dropping-particle":"","family":"Lassey","given":"A. T.","non-dropping-particle":"","parse-names":false,"suffix":""},{"dropping-particle":"","family":"Damale","given":"N. K.R.","non-dropping-particle":"","parse-names":false,"suffix":""},{"dropping-particle":"","family":"Maya","given":"Ernest T.","non-dropping-particle":"","parse-names":false,"suffix":""}],"container-title":"PLoS ONE","id":"ITEM-1","issue":"4","issued":{"date-parts":[["2020","4","1"]]},"page":"e0232208","publisher":"Public Library of Science","title":"Seroprevalence of Hepatitis B virus infection and associated factors among pregnant women at Korle-Bu Teaching Hospital, Ghana","type":"article-journal","volume":"15"},"uris":["http://www.mendeley.com/documents/?uuid=4114f33b-dafe-32bd-bda1-668a1379cfc5"]},{"id":"ITEM-2","itemData":{"DOI":"10.2147/IJWH.S276526","ISSN":"1179-1411","PMID":"33447090","abstract":"Background: Hepatitis B virus (HBV) remains a major global public health problem affecting millions of people across the world. The risk of developing a chronic hepatitis B virus infection is affected by the age at the time of acquiring infection. For instance, around 95% of these infections are acquired during the perinatal period. Although evidences indicate the wider effects of hepatitis B virus and its negative consequences, there are limited studies and a scarcity of data in Eastern Ethiopia. Therefore, this study was aimed at determining seroprevalence of HBV and associated factors among pregnant women attending antenatal care in the public health facilities of Jigjiga town, Eastern Ethiopia, from March 4 to April 4, 2019. Methods: A facility-based cross-sectional study was employed among pregnant women in the public health facilities of Jigjiga town, Eastern Ethiopia. A total of 589 pregnant women were enrolled in the study using a systematic sampling technique. Data were collected using a pretested interviewer administered questionnaire. Five milliliters of venous blood samples was collected and tested for HBV using ELISA diagnostic test. The collected data were entered in to Epidata version 3.1 and exported to SPSS version 20 for statistical analysis. Descriptive statistics was carried out using frequency tables and summary measures. Multivariable analysis was done to identify the true effects of the selected predictor variables on the outcome variable after controlling for possible confounders. Statistical significance was declared at p-value &lt;0.05. Results: Overall, 8.5% (95% CI: 6.5–10.7) of the study participants were seropositive for HBsAg. Having any surgical history [AOR = 3.41, 95% CI (1.26–9.24)], family history of HBV [AOR = 4.96, 95% CI (2.11–10.60)], history of sharing sharps [AOR = 2.78, 95% CI (1.13–6.83)] and having multiple sexual partners [AOR = 6.12, 95% CI (2.12–17.64)] were significant predictors of HBV infection. Conclusion: The seroprevalence of HBV was relatively high in this study area. Having a history of surgery, family history of hepatitis, history of sharing sharps and multiple sexual partners were significantly associated with HBV infection. Therefore, health information dissemination and awareness creation on mode of transmission of HBV are very crucial.","author":[{"dropping-particle":"","family":"Roble","given":"Abdurahman Kedir","non-dropping-particle":"","parse-names":false,"suffix":""},{"dropping-particle":"","family":"Roba","given":"Kedir Teji","non-dropping-particle":"","parse-names":false,"suffix":""},{"dropping-particle":"","family":"Mengistie","given":"Bizatu","non-dropping-particle":"","parse-names":false,"suffix":""},{"dropping-particle":"","family":"Kure","given":"Mohammed Abdurke","non-dropping-particle":"","parse-names":false,"suffix":""}],"container-title":"International journal of women's health","id":"ITEM-2","issued":{"date-parts":[["2021"]]},"page":"1299-1310","publisher":"Int J Womens Health","title":"Seroprevalence of Hepatitis B Virus and Associated Factors Among Pregnant Women Attending Antenatal Care in Public Health Facilities in Jigjiga Town, Eastern Ethiopia","type":"article-journal","volume":"12"},"uris":["http://www.mendeley.com/documents/?uuid=945070b6-8c34-36ec-9303-58abd8da6929"]}],"mendeley":{"formattedCitation":"(16,17)","plainTextFormattedCitation":"(16,17)","previouslyFormattedCitation":"(Dortey et al., 2020; Roble et al., 2021)"},"properties":{"noteIndex":0},"schema":"https://github.com/citation-style-language/schema/raw/master/csl-citation.json"}</w:instrText>
      </w:r>
      <w:r w:rsidR="00D35876">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(16,17)</w:t>
      </w:r>
      <w:r w:rsidR="00D35876">
        <w:rPr>
          <w:rFonts w:ascii="Times New Roman" w:eastAsia="Times New Roman" w:hAnsi="Times New Roman" w:cs="Times New Roman"/>
          <w:sz w:val="24"/>
          <w:szCs w:val="24"/>
        </w:rPr>
        <w:fldChar w:fldCharType="end"/>
      </w:r>
      <w:r w:rsidR="00D35876">
        <w:rPr>
          <w:rFonts w:ascii="Times New Roman" w:eastAsia="Times New Roman" w:hAnsi="Times New Roman" w:cs="Times New Roman"/>
          <w:sz w:val="24"/>
          <w:szCs w:val="24"/>
        </w:rPr>
        <w:t xml:space="preserve">. </w:t>
      </w:r>
      <w:r w:rsidR="00D35876" w:rsidRPr="00D35876">
        <w:rPr>
          <w:rFonts w:ascii="Times New Roman" w:eastAsia="Times New Roman" w:hAnsi="Times New Roman" w:cs="Times New Roman"/>
          <w:sz w:val="24"/>
          <w:szCs w:val="24"/>
        </w:rPr>
        <w:t>The significance of routine prenatal hepatitis B screening is emphasized by the World Health Organization. Finding pregnant women with high viral loads who require antiviral therapy to lower the risk of mother-to-child transmission depends on this screening</w:t>
      </w:r>
      <w:r w:rsidR="00D35876">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{"citationItems":[{"id":"ITEM-1","itemData":{"author":[{"dropping-particle":"","family":"WHO","given":"","non-dropping-particle":"","parse-names":false,"suffix":""}],"id":"ITEM-1","issued":{"date-parts":[["2023"]]},"title":"Hepatitis B","type":"article-journal"},"uris":["http://www.mendeley.com/documents/?uuid=c2ed0989-6174-4af5-9899-4e05d9581422"]}],"mendeley":{"formattedCitation":"(2)","plainTextFormattedCitation":"(2)","previouslyFormattedCitation":"(WHO, 2023)"},"properties":{"noteIndex":0},"schema":"https://github.com/citation-style-language/schema/raw/master/csl-citation.json"}</w:instrText>
      </w:r>
      <w:r w:rsidR="00D35876">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(2)</w:t>
      </w:r>
      <w:r w:rsidR="00D35876">
        <w:rPr>
          <w:rFonts w:ascii="Times New Roman" w:eastAsia="Times New Roman" w:hAnsi="Times New Roman" w:cs="Times New Roman"/>
          <w:sz w:val="24"/>
          <w:szCs w:val="24"/>
        </w:rPr>
        <w:fldChar w:fldCharType="end"/>
      </w:r>
      <w:r w:rsidR="00D35876" w:rsidRPr="00D35876">
        <w:rPr>
          <w:rFonts w:ascii="Times New Roman" w:eastAsia="Times New Roman" w:hAnsi="Times New Roman" w:cs="Times New Roman"/>
          <w:sz w:val="24"/>
          <w:szCs w:val="24"/>
        </w:rPr>
        <w:t xml:space="preserve">. </w:t>
      </w:r>
      <w:r w:rsidR="00D35876">
        <w:rPr>
          <w:rFonts w:ascii="Times New Roman" w:eastAsia="Times New Roman" w:hAnsi="Times New Roman" w:cs="Times New Roman"/>
          <w:sz w:val="24"/>
          <w:szCs w:val="24"/>
        </w:rPr>
        <w:t>T</w:t>
      </w:r>
      <w:r w:rsidR="00D35876" w:rsidRPr="00D35876">
        <w:rPr>
          <w:rFonts w:ascii="Times New Roman" w:eastAsia="Times New Roman" w:hAnsi="Times New Roman" w:cs="Times New Roman"/>
          <w:sz w:val="24"/>
          <w:szCs w:val="24"/>
        </w:rPr>
        <w:t>o prevent the disease in the following generation, it is also essential to guarantee that infants born to mothers who are positive for HBV have access to the hepatitis B vaccine.</w:t>
      </w:r>
    </w:p>
    <w:p w14:paraId="2B85E9F4" w14:textId="77777777" w:rsidR="002A016F" w:rsidRPr="005A6880" w:rsidRDefault="00D35876" w:rsidP="005A6880">
      <w:pPr>
        <w:jc w:val="both"/>
        <w:rPr>
          <w:rFonts w:ascii="Times New Roman" w:hAnsi="Times New Roman" w:cs="Times New Roman"/>
          <w:sz w:val="24"/>
          <w:szCs w:val="24"/>
          <w:lang w:val="en-CA"/>
        </w:rPr>
      </w:pPr>
      <w:r w:rsidRPr="00D35876">
        <w:rPr>
          <w:rFonts w:ascii="Times New Roman" w:hAnsi="Times New Roman" w:cs="Times New Roman"/>
          <w:sz w:val="24"/>
          <w:szCs w:val="24"/>
        </w:rPr>
        <w:lastRenderedPageBreak/>
        <w:t>From this study,</w:t>
      </w:r>
      <w:r w:rsidRPr="00D35876">
        <w:rPr>
          <w:rFonts w:ascii="Times New Roman" w:eastAsia="Times New Roman" w:hAnsi="Times New Roman" w:cs="Times New Roman"/>
          <w:sz w:val="24"/>
          <w:szCs w:val="24"/>
        </w:rPr>
        <w:t xml:space="preserve"> respondents with a history of STIs had a 12 times higher chance of testing positive for Hepatitis B than those without a history of </w:t>
      </w:r>
      <w:proofErr w:type="spellStart"/>
      <w:r w:rsidRPr="00D35876">
        <w:rPr>
          <w:rFonts w:ascii="Times New Roman" w:eastAsia="Times New Roman" w:hAnsi="Times New Roman" w:cs="Times New Roman"/>
          <w:sz w:val="24"/>
          <w:szCs w:val="24"/>
        </w:rPr>
        <w:t>STIs.</w:t>
      </w:r>
      <w:r w:rsidRPr="00D35876">
        <w:rPr>
          <w:rFonts w:ascii="Times New Roman" w:hAnsi="Times New Roman" w:cs="Times New Roman"/>
          <w:sz w:val="24"/>
          <w:szCs w:val="24"/>
        </w:rPr>
        <w:t>Individuals</w:t>
      </w:r>
      <w:proofErr w:type="spellEnd"/>
      <w:r w:rsidRPr="00D35876">
        <w:rPr>
          <w:rFonts w:ascii="Times New Roman" w:hAnsi="Times New Roman" w:cs="Times New Roman"/>
          <w:sz w:val="24"/>
          <w:szCs w:val="24"/>
        </w:rPr>
        <w:t xml:space="preserve"> with a history of STIs often have multiple sexual partners, increasing their exposure to HBV through high-risk sexual behaviors. </w:t>
      </w:r>
      <w:r w:rsidRPr="00D35876">
        <w:rPr>
          <w:rFonts w:ascii="Times New Roman" w:eastAsia="Times New Roman" w:hAnsi="Times New Roman" w:cs="Times New Roman"/>
          <w:sz w:val="24"/>
          <w:szCs w:val="24"/>
        </w:rPr>
        <w:t xml:space="preserve">Behaviors such as inconsistent condom use, engaging in casual or transactional sex, and substance abuse increase the likelihood of acquiring STIs, including HBV. People with a history of one STI are more likely to have had similar exposures that also put them at risk for HBV. </w:t>
      </w:r>
      <w:r w:rsidRPr="00D35876">
        <w:rPr>
          <w:rFonts w:ascii="Times New Roman" w:hAnsi="Times New Roman" w:cs="Times New Roman"/>
          <w:sz w:val="24"/>
          <w:szCs w:val="24"/>
          <w:lang w:val="en-CA"/>
        </w:rPr>
        <w:t>This study's findings are similar to a study conducted in Ethiopia assessing the seroprevalence of HBV infection and associated factors among women who were pregnant which showed that a history of sexually transmitted infection was a predictor of HBV infection</w:t>
      </w:r>
      <w:r w:rsidRPr="00D35876">
        <w:rPr>
          <w:rFonts w:ascii="Times New Roman" w:hAnsi="Times New Roman" w:cs="Times New Roman"/>
          <w:sz w:val="24"/>
          <w:szCs w:val="24"/>
          <w:lang w:val="en-CA"/>
        </w:rPr>
        <w:fldChar w:fldCharType="begin" w:fldLock="1"/>
      </w:r>
      <w:r w:rsidR="00A225BD">
        <w:rPr>
          <w:rFonts w:ascii="Times New Roman" w:hAnsi="Times New Roman" w:cs="Times New Roman"/>
          <w:sz w:val="24"/>
          <w:szCs w:val="24"/>
          <w:lang w:val="en-CA"/>
        </w:rPr>
        <w:instrText>ADDIN CSL_CITATION {"citationItems":[{"id":"ITEM-1","itemData":{"DOI":"10.1177/23333928231161946","ISSN":"2333-3928","PMID":"36970374","abstract":"Background: Hepatitis B virus (HBV) is one of the major threats to global health, affecting millions of people each year and causing morbidity and mortality. The risk of acquiring chronic HVV infection varies with age, with 90% of infections acquired during the perinatal period. Despite many studies, there is little evidence of this virus in the Borena Zone. Objectives: This study was done to assess seroprevalence HBVinfection and associated factors among pregnant women attending antenatal care at selected Borena Zone public hospitals from June 1 to September 30, 2022. Methods: A cross-institutional study was conducted on 368 randomly selected pregnant women who received antenatal care at Yabelo General Hospital and Moyale Primary Hospital. Data on sociodemographic and HBV-related factors were collected using a structured questionnaire. A 5 mL blood sample is then taken and tested using a diagnostic method, the enzyme-linked immunosorbent assay. Finally, data were entered using Epidata version 3.1 and exported to SPSS version 25 and Stata version 14 for analysis. Independent predictors were identified using logistic regression analysis and P &lt;.05 was considered statistically significant. Results: The prevalence of HBV infection was 21 (5.7%) (95% confidence interval [CI], 3.74-8.61). History of hospitalization (adjusted odds ratio [AOR] = 3.44, 95% CI, 1.07-11.09), traditional tonsillectomy (AOR = 4.16, 95% CI, 1.29-13.40), history of sexually transmitted infection (AOR = 5.99, 95% CI, 1.81-19.85), human immunodeficiency virus (HIV) (AOR = 8.28, 95% CI, 1.66-41.41), and alcohol drinking (AOR = 5.08, 95% CI, 1.49-17.31) were independent predictors of HBV infection. Conclusions: The results of this study indicate a moderate prevalence of HBV in selected public hospitals in the Borena Zone. History of hospitalization, traditional tonsillectomy, sexually transmitted infections, HIV, and alcohol use was significantly associated with HBV infection. Therefore, there is a need to conduct health education and more community-based research on disease transmission routes.","author":[{"dropping-particle":"","family":"Kampe","given":"Abdo","non-dropping-particle":"","parse-names":false,"suffix":""},{"dropping-particle":"","family":"Kannaiyan Abbai","given":"Moorthy","non-dropping-particle":"","parse-names":false,"suffix":""},{"dropping-particle":"","family":"Tilahun","given":"Dagnamyelew","non-dropping-particle":"","parse-names":false,"suffix":""},{"dropping-particle":"","family":"Daka","given":"Deresse","non-dropping-particle":"","parse-names":false,"suffix":""},{"dropping-particle":"","family":"Aliyo","given":"Alqeer","non-dropping-particle":"","parse-names":false,"suffix":""},{"dropping-particle":"","family":"Dedecha","given":"Wako","non-dropping-particle":"","parse-names":false,"suffix":""},{"dropping-particle":"","family":"Edin","given":"Alo","non-dropping-particle":"","parse-names":false,"suffix":""}],"container-title":"Health services research and managerial epidemiology","id":"ITEM-1","issued":{"date-parts":[["2023","1","1"]]},"publisher":"Health Serv Res Manag Epidemiol","title":"Seroprevalence of Hepatitis B Virus Infection and Associated Factors Among Pregnant Women Attending Antenatal Care At Public Hospitals in Borena Zone, Southern Ethiopia","type":"article-journal","volume":"10"},"uris":["http://www.mendeley.com/documents/?uuid=de091aa0-fe46-3c50-9542-de7369bf9348"]}],"mendeley":{"formattedCitation":"(18)","plainTextFormattedCitation":"(18)","previouslyFormattedCitation":"(Kampe et al., 2023)"},"properties":{"noteIndex":0},"schema":"https://github.com/citation-style-language/schema/raw/master/csl-citation.json"}</w:instrText>
      </w:r>
      <w:r w:rsidRPr="00D35876">
        <w:rPr>
          <w:rFonts w:ascii="Times New Roman" w:hAnsi="Times New Roman" w:cs="Times New Roman"/>
          <w:sz w:val="24"/>
          <w:szCs w:val="24"/>
          <w:lang w:val="en-CA"/>
        </w:rPr>
        <w:fldChar w:fldCharType="separate"/>
      </w:r>
      <w:r w:rsidR="00A225BD" w:rsidRPr="00A225BD">
        <w:rPr>
          <w:rFonts w:ascii="Times New Roman" w:hAnsi="Times New Roman" w:cs="Times New Roman"/>
          <w:noProof/>
          <w:sz w:val="24"/>
          <w:szCs w:val="24"/>
          <w:lang w:val="en-CA"/>
        </w:rPr>
        <w:t>(18)</w:t>
      </w:r>
      <w:r w:rsidRPr="00D35876">
        <w:rPr>
          <w:rFonts w:ascii="Times New Roman" w:hAnsi="Times New Roman" w:cs="Times New Roman"/>
          <w:sz w:val="24"/>
          <w:szCs w:val="24"/>
          <w:lang w:val="en-CA"/>
        </w:rPr>
        <w:fldChar w:fldCharType="end"/>
      </w:r>
      <w:r w:rsidRPr="00D35876">
        <w:rPr>
          <w:rFonts w:ascii="Times New Roman" w:hAnsi="Times New Roman" w:cs="Times New Roman"/>
          <w:sz w:val="24"/>
          <w:szCs w:val="24"/>
          <w:lang w:val="en-CA"/>
        </w:rPr>
        <w:t xml:space="preserve"> (Kampe et al., 2023). Another meta-analysis and systematic review revealed similar findings to this study showing that current and past sexually transmitted diseases were associated with HBV </w:t>
      </w:r>
      <w:r w:rsidRPr="005A6880">
        <w:rPr>
          <w:rFonts w:ascii="Times New Roman" w:hAnsi="Times New Roman" w:cs="Times New Roman"/>
          <w:sz w:val="24"/>
          <w:szCs w:val="24"/>
          <w:lang w:val="en-CA"/>
        </w:rPr>
        <w:t>infection</w:t>
      </w:r>
      <w:r w:rsidRPr="005A6880">
        <w:rPr>
          <w:rFonts w:ascii="Times New Roman" w:hAnsi="Times New Roman" w:cs="Times New Roman"/>
          <w:sz w:val="24"/>
          <w:szCs w:val="24"/>
          <w:lang w:val="en-CA"/>
        </w:rPr>
        <w:fldChar w:fldCharType="begin" w:fldLock="1"/>
      </w:r>
      <w:r w:rsidR="00A225BD">
        <w:rPr>
          <w:rFonts w:ascii="Times New Roman" w:hAnsi="Times New Roman" w:cs="Times New Roman"/>
          <w:sz w:val="24"/>
          <w:szCs w:val="24"/>
          <w:lang w:val="en-CA"/>
        </w:rPr>
        <w:instrText>ADDIN CSL_CITATION {"citationItems":[{"id":"ITEM-1","itemData":{"DOI":"10.1071/SH20185","ISSN":"14498987","PMID":"34183114","abstract":"Background: Hepatitis B vaccination is recommended for persons with current or past sexually transmitted infections (STI). Our aim is to systematically assess the association of hepatitis B virus (HBV) sero-markers for current or past infection with syphilis, chlamydia, gonorrhoea, or unspecified STIs. Methods: We conducted a systematic review and meta-analysis. PubMed, Embase, and Web of Science from 1982 to 2018 were searched using medical subject headings (MeSH) terms for HBV, STIs and epidemiology. We included studies conducted in Organisation for Economic Cooperation and Development countries or Latin America that permit the calculation of prevalence ratios (PRs) for HBV and STIs and extracted PRs and counts by HBV and STI status. Results: Of 3144 identified studies, 43 met inclusion requirements, yielding 72 PRs. We stratified outcomes by HBV sero-markers [surface antigen (HBsAg), hepatitis B core antibody (anti-HBc), combined], STI pathogen (syphilis, gonorrhoea/chlamydia, unspecified), and STI history (current, past) resulting in 18 potential outcome groups, for which results were available for 14. For the four outcome groups related to HBsAg, PR point estimates ranged from 1.65 to 6.76. For the five outcome groups related to anti-HBc, PRs ranged from 1.30 to 1.82; and for the five outcome groups related to combined HBV markers, PRs ranged from 1.15 to 1.89). The median HBsAg prevalence among people with a current or past STI was 4.17; not all studies reported HBsAg. Study settings and populations varied. Conclusion: This review found evidence of association between HBV infection and current or past STIs.","author":[{"dropping-particle":"","family":"Marseille","given":"Elliot","non-dropping-particle":"","parse-names":false,"suffix":""},{"dropping-particle":"","family":"Harris","given":"Aaron M.","non-dropping-particle":"","parse-names":false,"suffix":""},{"dropping-particle":"","family":"Horvath","given":"Hacsi","non-dropping-particle":"","parse-names":false,"suffix":""},{"dropping-particle":"","family":"Parriott","given":"Andrea","non-dropping-particle":"","parse-names":false,"suffix":""},{"dropping-particle":"","family":"Malekinejad","given":"Mohsen","non-dropping-particle":"","parse-names":false,"suffix":""},{"dropping-particle":"","family":"Nelson","given":"Noele P.","non-dropping-particle":"","parse-names":false,"suffix":""},{"dropping-particle":"","family":"Handel","given":"Michelle","non-dropping-particle":"Van","parse-names":false,"suffix":""},{"dropping-particle":"","family":"Kahn","given":"James G.","non-dropping-particle":"","parse-names":false,"suffix":""}],"container-title":"Sexual health","id":"ITEM-1","issue":"3","issued":{"date-parts":[["2021","7","1"]]},"page":"269","publisher":"NIH Public Access","title":"Hepatitis B prevalence association with sexually transmitted\ninfections: A systematic review and meta-analysis","type":"article-journal","volume":"18"},"uris":["http://www.mendeley.com/documents/?uuid=6af7c93c-0ae1-345c-824c-eebc3e771224"]}],"mendeley":{"formattedCitation":"(19)","plainTextFormattedCitation":"(19)","previouslyFormattedCitation":"(Marseille et al., 2021)"},"properties":{"noteIndex":0},"schema":"https://github.com/citation-style-language/schema/raw/master/csl-citation.json"}</w:instrText>
      </w:r>
      <w:r w:rsidRPr="005A6880">
        <w:rPr>
          <w:rFonts w:ascii="Times New Roman" w:hAnsi="Times New Roman" w:cs="Times New Roman"/>
          <w:sz w:val="24"/>
          <w:szCs w:val="24"/>
          <w:lang w:val="en-CA"/>
        </w:rPr>
        <w:fldChar w:fldCharType="separate"/>
      </w:r>
      <w:r w:rsidR="00A225BD" w:rsidRPr="00A225BD">
        <w:rPr>
          <w:rFonts w:ascii="Times New Roman" w:hAnsi="Times New Roman" w:cs="Times New Roman"/>
          <w:noProof/>
          <w:sz w:val="24"/>
          <w:szCs w:val="24"/>
          <w:lang w:val="en-CA"/>
        </w:rPr>
        <w:t>(19)</w:t>
      </w:r>
      <w:r w:rsidRPr="005A6880">
        <w:rPr>
          <w:rFonts w:ascii="Times New Roman" w:hAnsi="Times New Roman" w:cs="Times New Roman"/>
          <w:sz w:val="24"/>
          <w:szCs w:val="24"/>
          <w:lang w:val="en-CA"/>
        </w:rPr>
        <w:fldChar w:fldCharType="end"/>
      </w:r>
      <w:r w:rsidRPr="005A6880">
        <w:rPr>
          <w:rFonts w:ascii="Times New Roman" w:hAnsi="Times New Roman" w:cs="Times New Roman"/>
          <w:sz w:val="24"/>
          <w:szCs w:val="24"/>
          <w:lang w:val="en-CA"/>
        </w:rPr>
        <w:t>.</w:t>
      </w:r>
    </w:p>
    <w:p w14:paraId="4B6D0A4F" w14:textId="77777777" w:rsidR="001C43FF" w:rsidRDefault="005A6880" w:rsidP="005A6880">
      <w:pPr>
        <w:jc w:val="both"/>
        <w:rPr>
          <w:rFonts w:ascii="Times New Roman" w:eastAsia="Times New Roman" w:hAnsi="Times New Roman" w:cs="Times New Roman"/>
          <w:sz w:val="24"/>
          <w:szCs w:val="24"/>
        </w:rPr>
      </w:pPr>
      <w:r w:rsidRPr="005A6880">
        <w:rPr>
          <w:rFonts w:ascii="Times New Roman" w:eastAsia="Times New Roman" w:hAnsi="Times New Roman" w:cs="Times New Roman"/>
          <w:sz w:val="24"/>
          <w:szCs w:val="24"/>
        </w:rPr>
        <w:t>From this research, intravenous medication use raised the odds of hepatitis B by 2.3.</w:t>
      </w:r>
      <w:r>
        <w:rPr>
          <w:rFonts w:ascii="Times New Roman" w:eastAsia="Times New Roman" w:hAnsi="Times New Roman" w:cs="Times New Roman"/>
          <w:sz w:val="24"/>
          <w:szCs w:val="24"/>
        </w:rPr>
        <w:t xml:space="preserve"> </w:t>
      </w:r>
      <w:r w:rsidRPr="005A6880">
        <w:rPr>
          <w:rFonts w:ascii="Times New Roman" w:hAnsi="Times New Roman" w:cs="Times New Roman"/>
          <w:sz w:val="24"/>
          <w:szCs w:val="24"/>
        </w:rPr>
        <w:t xml:space="preserve">The association between </w:t>
      </w:r>
      <w:r w:rsidRPr="005A6880">
        <w:rPr>
          <w:rStyle w:val="Strong"/>
          <w:rFonts w:ascii="Times New Roman" w:hAnsi="Times New Roman" w:cs="Times New Roman"/>
          <w:b w:val="0"/>
          <w:sz w:val="24"/>
          <w:szCs w:val="24"/>
        </w:rPr>
        <w:t>intravenous (IV) medication use</w:t>
      </w:r>
      <w:r w:rsidRPr="005A6880">
        <w:rPr>
          <w:rFonts w:ascii="Times New Roman" w:hAnsi="Times New Roman" w:cs="Times New Roman"/>
          <w:b/>
          <w:sz w:val="24"/>
          <w:szCs w:val="24"/>
        </w:rPr>
        <w:t xml:space="preserve"> </w:t>
      </w:r>
      <w:r w:rsidRPr="005A6880">
        <w:rPr>
          <w:rFonts w:ascii="Times New Roman" w:hAnsi="Times New Roman" w:cs="Times New Roman"/>
          <w:sz w:val="24"/>
          <w:szCs w:val="24"/>
        </w:rPr>
        <w:t>and</w:t>
      </w:r>
      <w:r w:rsidRPr="005A6880">
        <w:rPr>
          <w:rFonts w:ascii="Times New Roman" w:hAnsi="Times New Roman" w:cs="Times New Roman"/>
          <w:b/>
          <w:sz w:val="24"/>
          <w:szCs w:val="24"/>
        </w:rPr>
        <w:t xml:space="preserve"> </w:t>
      </w:r>
      <w:r w:rsidRPr="005A6880">
        <w:rPr>
          <w:rStyle w:val="Strong"/>
          <w:rFonts w:ascii="Times New Roman" w:hAnsi="Times New Roman" w:cs="Times New Roman"/>
          <w:b w:val="0"/>
          <w:sz w:val="24"/>
          <w:szCs w:val="24"/>
        </w:rPr>
        <w:t>hepatitis B (HBV)</w:t>
      </w:r>
      <w:r w:rsidRPr="005A6880">
        <w:rPr>
          <w:rFonts w:ascii="Times New Roman" w:hAnsi="Times New Roman" w:cs="Times New Roman"/>
          <w:sz w:val="24"/>
          <w:szCs w:val="24"/>
        </w:rPr>
        <w:t xml:space="preserve"> is primarily related to the potential for exposure to contaminated needles, syringes, or IV drug equipment. </w:t>
      </w:r>
      <w:r w:rsidRPr="005A6880">
        <w:rPr>
          <w:rFonts w:ascii="Times New Roman" w:eastAsia="Times New Roman" w:hAnsi="Times New Roman" w:cs="Times New Roman"/>
          <w:sz w:val="24"/>
          <w:szCs w:val="24"/>
        </w:rPr>
        <w:t>HBV is highly infectious and can survive outside the body for up to 7 days. If intravenous medication or drugs are administered using contaminated needles or syringes, there is a significant risk of HBV transmission. Findings from this research were concurrent with those of two other studies carried out in Iran</w:t>
      </w:r>
      <w:r w:rsidRPr="005A6880">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{"citationItems":[{"id":"ITEM-1","itemData":{"DOI":"10.1186/S12954-020-00424-W/TABLES/6","ISSN":"14777517","PMID":"33087141","abstract":"Background: People who use drugs (PWUD) are considered as one of the main at-risk populations for Hepatitis B virus (HBV) infection. We conducted a systematic review on the prevalence of HBV infection among PWUD in Iran. Methods: Consistent with PRISMA guideline, international (Medline, Web of Science, Scopus, and Embase) and national (Scientific Information Database) databases were searched using a comprehensive search strategy up to September 2019. The retrieved records were reviewed, and experts were contacted for unpublished studies. Studies on Iranian PWUD reporting HBV surface Antigen (HBsAg) prevalence among people who inject drugs (PWID) and non-injecting PWUD were included. HBsAg prevalence was pooled for PWID and non-injecting PWUD and for other subgroups using random-effects model meta-analysis. The trend of HBV prevalence over time was investigated using meta-regression analysis. Results: Overall, 35 studies reported data on HBV infection among PWID (33 studies) and non-injecting PWUD (11 studies). The pooled prevalence of HBsAg among PWID was 4.8% (95% CI 3.7–6.2). The only risk factor significantly associated with the odds of positive HBsAg in PWID was the previous history of imprisonment (OR 1.72, 95% CI 1.29–2.30, p value = 0.000). The pooled estimate of HBsAg among non-injecting PWUD was 2.9% (95% CI 2.5–3.2). Time trend analyses showed significant decrease in HBV prevalence among PWID reaching from 8.2% (95% CI 3.9–16.5) in 2004–2006 to 3.1% (95% CI 2.3–4.1) in 2016 and later (b = -0.07; p value = 0.05). No significant trend was detected for non-injecting PWUD. Conclusion: The prevalence of HBV infection among non-injecting PWUD and even PWID was not considerably higher than the Iranian general population. This might be the result of extensive harm reduction interventions in Iran. However, it seems that there are subgroups of PWID, who do not adequately benefit from existing harm reduction interventions. Future programs should more specifically target these high-risk groups.","author":[{"dropping-particle":"","family":"Rostam-Abadi","given":"Yasna","non-dropping-particle":"","parse-names":false,"suffix":""},{"dropping-particle":"","family":"Rafiemanesh","given":"Hossein","non-dropping-particle":"","parse-names":false,"suffix":""},{"dropping-particle":"","family":"Gholami","given":"Jaleh","non-dropping-particle":"","parse-names":false,"suffix":""},{"dropping-particle":"","family":"Shadloo","given":"Behrang","non-dropping-particle":"","parse-names":false,"suffix":""},{"dropping-particle":"","family":"Amin-Esmaeili","given":"Masoumeh","non-dropping-particle":"","parse-names":false,"suffix":""},{"dropping-particle":"","family":"Rahimi-Movaghar","given":"Afarin","non-dropping-particle":"","parse-names":false,"suffix":""}],"container-title":"Harm Reduction Journal","id":"ITEM-1","issue":"1","issued":{"date-parts":[["2020","12","1"]]},"page":"1-19","publisher":"BioMed Central Ltd","title":"Hepatitis B virus infection among people who use drugs in Iran: a systematic review, meta-analysis, and trend analysis","type":"article-journal","volume":"17"},"uris":["http://www.mendeley.com/documents/?uuid=4eac213a-ddae-30ba-bdae-b3c80d46852c"]},{"id":"ITEM-2","itemData":{"ISSN":"17351995","PMID":"24672567","abstract":"Background: Hepatitis B with its complications has become one of the universal problems. Injection drug use is one of the most important risk factors in the transmission of hepatitis B. Therefore, we assessed hepatitis B virus prevalence among cases with a history of intravenous drug use (IVDU) as the first announcement-based study in this regard. Materials and Methods: The announcement-based detection of hepatitis B seroprevalence in volunteers with a history of intravenous drug use was conducted in the Isfahan province. A comprehensive community announcement was made in all the public places and to all physicians, in all the regions. One thousand five hundred and eighty-eight volunteers were invited to the Isfahan reference laboratories and serum samples were tested for HBs-Ag, HBc Ab, and HBs-Ab, using the enzyme-linked immunosorbent assay (ELISA) method. Results: In this study, 1588 individuals volunteered, who were estimated to be 50% of all the expected intravenous drug users in the community. HBs Ag was detected in 4.2% of them. HBc Ab and HBs Ab were detected in order in 11.4 and 17.3%, respectively. Conclusion: We estimated that the seroprevalence of hepatitis B positivity in intravenous drug users was moderate to high. Therefore, it was suggested that this group be encouraged to prevent acquiring infection by vaccination, education, counseling for risk reduction, and treatment of substance abuse, and finally hepatitis B virus (HBV) screening.","author":[{"dropping-particle":"","family":"Khodadoostan","given":"Mahsa","non-dropping-particle":"","parse-names":false,"suffix":""},{"dropping-particle":"","family":"Ataei","given":"Behrooz","non-dropping-particle":"","parse-names":false,"suffix":""},{"dropping-particle":"","family":"Shavakhi","given":"Ahmad","non-dropping-particle":"","parse-names":false,"suffix":""},{"dropping-particle":"","family":"Tavakoli","given":"Tahmine","non-dropping-particle":"","parse-names":false,"suffix":""},{"dropping-particle":"","family":"Nokhodian","given":"Zary","non-dropping-particle":"","parse-names":false,"suffix":""},{"dropping-particle":"","family":"Yaran","given":"Majid","non-dropping-particle":"","parse-names":false,"suffix":""}],"container-title":"Journal of Research in Medical Sciences : The Official Journal of Isfahan University of Medical Sciences","id":"ITEM-2","issue":"1","issued":{"date-parts":[["2014"]]},"page":"65","title":"The assessment of hepatitis B seroprevalence in persons with intravenous drug use history in the Isfahan province: Community-based study","type":"article-journal","volume":"19"},"uris":["http://www.mendeley.com/documents/?uuid=8d5444a7-1a2c-32a3-a6f1-12a7ccaf42a2"]}],"mendeley":{"formattedCitation":"(20,21)","plainTextFormattedCitation":"(20,21)","previouslyFormattedCitation":"(Khodadoostan et al., 2014; Rostam-Abadi et al., 2020)"},"properties":{"noteIndex":0},"schema":"https://github.com/citation-style-language/schema/raw/master/csl-citation.json"}</w:instrText>
      </w:r>
      <w:r w:rsidRPr="005A6880">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(20,21)</w:t>
      </w:r>
      <w:r w:rsidRPr="005A6880">
        <w:rPr>
          <w:rFonts w:ascii="Times New Roman" w:eastAsia="Times New Roman" w:hAnsi="Times New Roman" w:cs="Times New Roman"/>
          <w:sz w:val="24"/>
          <w:szCs w:val="24"/>
        </w:rPr>
        <w:fldChar w:fldCharType="end"/>
      </w:r>
      <w:r w:rsidRPr="005A6880">
        <w:rPr>
          <w:rFonts w:ascii="Times New Roman" w:eastAsia="Times New Roman" w:hAnsi="Times New Roman" w:cs="Times New Roman"/>
          <w:sz w:val="24"/>
          <w:szCs w:val="24"/>
        </w:rPr>
        <w:t>.</w:t>
      </w:r>
    </w:p>
    <w:p w14:paraId="31315C48" w14:textId="77777777" w:rsidR="001C43FF" w:rsidRDefault="001C43FF" w:rsidP="00706D7A">
      <w:pPr>
        <w:spacing w:after="0" w:line="240" w:lineRule="auto"/>
        <w:jc w:val="both"/>
        <w:rPr>
          <w:rFonts w:ascii="Times New Roman" w:eastAsia="Times New Roman" w:hAnsi="Times New Roman" w:cs="Times New Roman"/>
          <w:sz w:val="24"/>
          <w:szCs w:val="24"/>
        </w:rPr>
      </w:pPr>
      <w:r w:rsidRPr="001C43FF">
        <w:rPr>
          <w:rFonts w:ascii="Times New Roman" w:eastAsia="Times New Roman" w:hAnsi="Times New Roman" w:cs="Times New Roman"/>
          <w:sz w:val="24"/>
          <w:szCs w:val="24"/>
        </w:rPr>
        <w:t>The findings showed that 2 children, or 4.26% of the cohort, tested positive for Hepatitis B out of 47 children born to HBV-positive mothers who were vaccinated. These results highlight how crucial it is to put in place all-encompassing vaccination plans that involve more than just giving the HBV vaccine. Interestingly, the study emphasizes how important it is to include other preventive measures like the zero-dose vaccine and the administration of Hepatitis B Immunoglobulin (HBIG). In contrast, research from China has produced conflicting findings about how well the HBV vaccine works to prevent MTCT. For instance, a study found that when vaccinated with the HBV vaccine either by itself or in conjunction with HBIG, 0% of children born to mothers who tested negative for HBV developed Hepatitis B</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{"citationItems":[{"id":"ITEM-1","itemData":{"DOI":"10.1016/J.JVE.2022.100076","ISSN":"2055-6640","PMID":"35813576","abstract":"Background: Vertical mother-to-child transmission (MTCT) of the hepatitis B virus (HBV) remains an important issue. Timely administration of hepatitis B immunoglobulin (HBIG) and of the HBV vaccine is effective in preventing MTCT in infants born to HBV-infected mothers. However, HBIG is often not easily available in low-income countries or regions. Methods: We compared in a retrospective cohort study the HBV vaccine efficacy alone and in combination with HBIG in preventing vertical MTCT in infants born to HBeAg-negative carrier mothers in Jiangsu province, China. Based on the administration of the HBV vaccine and HBIG shortly after birth, children were divided into two groups: Group 1, administration of the HBV vaccine alone, and Group 2, concurrent use of HBIG and of the HBV vaccine. Results: A total of 620 infants born to HBeAg-negative carrier mothers were enrolled into this study. Group 1 included 195 children who had received the HBV vaccine alone after birth, and Group 2, 425 children who had received both HBIG and the HBV vaccine. Children were followed up to the age of 68 and 42 months, respectively. MTCT of HBV occurred in 0% (0/195) in Group 1 (HBV vaccine alone) and 0% (0/425) in Group 2 (HBV vaccine and HBIG) (p = 1.00). Conclusion: In this retrospective cohort study, we found that HBV vaccination alone shortly after birth was effective in preventing MTCT of HBV in infants born to HBeAg-negative carrier mothers.","author":[{"dropping-particle":"","family":"Zhang","given":"Wenjun","non-dropping-particle":"","parse-names":false,"suffix":""},{"dropping-particle":"","family":"Xu","given":"Chenyu","non-dropping-particle":"","parse-names":false,"suffix":""},{"dropping-particle":"","family":"Rui","given":"Yanjing","non-dropping-particle":"","parse-names":false,"suffix":""},{"dropping-particle":"","family":"Chen","given":"Jie","non-dropping-particle":"","parse-names":false,"suffix":""},{"dropping-particle":"","family":"Chen","given":"Tingmei","non-dropping-particle":"","parse-names":false,"suffix":""},{"dropping-particle":"","family":"Dai","given":"Yimin","non-dropping-particle":"","parse-names":false,"suffix":""},{"dropping-particle":"","family":"Xu","given":"Biyun","non-dropping-particle":"","parse-names":false,"suffix":""},{"dropping-particle":"","family":"Hu","given":"Yali","non-dropping-particle":"","parse-names":false,"suffix":""},{"dropping-particle":"","family":"Chen","given":"Junhao","non-dropping-particle":"","parse-names":false,"suffix":""},{"dropping-particle":"","family":"Zhou","given":"Yi Hua","non-dropping-particle":"","parse-names":false,"suffix":""}],"container-title":"Journal of virus eradication","id":"ITEM-1","issue":"2","issued":{"date-parts":[["2022","6","1"]]},"publisher":"J Virus Erad","title":"Efficacy of the hepatitis B vaccine alone in the prevention of hepatitis B perinatal transmission in infants born to hepatitis B e antigen-negative carrier mothers","type":"article-journal","volume":"8"},"uris":["http://www.mendeley.com/documents/?uuid=a973e7cd-b154-3769-8c2d-120d0a3a3b05"]}],"mendeley":{"formattedCitation":"(22)","plainTextFormattedCitation":"(22)","previouslyFormattedCitation":"(Zhang et al.,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(22)</w:t>
      </w:r>
      <w:r>
        <w:rPr>
          <w:rFonts w:ascii="Times New Roman" w:eastAsia="Times New Roman" w:hAnsi="Times New Roman" w:cs="Times New Roman"/>
          <w:sz w:val="24"/>
          <w:szCs w:val="24"/>
        </w:rPr>
        <w:fldChar w:fldCharType="end"/>
      </w:r>
      <w:r w:rsidRPr="001C43FF">
        <w:rPr>
          <w:rFonts w:ascii="Times New Roman" w:eastAsia="Times New Roman" w:hAnsi="Times New Roman" w:cs="Times New Roman"/>
          <w:sz w:val="24"/>
          <w:szCs w:val="24"/>
        </w:rPr>
        <w:t xml:space="preserve">. Infants born to mothers with HBV after vaccination had a 1.9% transmission rate, according to another study </w:t>
      </w:r>
      <w:r>
        <w:rPr>
          <w:rFonts w:ascii="Times New Roman" w:eastAsia="Times New Roman" w:hAnsi="Times New Roman" w:cs="Times New Roman"/>
          <w:sz w:val="24"/>
          <w:szCs w:val="24"/>
        </w:rPr>
        <w:fldChar w:fldCharType="begin" w:fldLock="1"/>
      </w:r>
      <w:r w:rsidR="00A225BD">
        <w:rPr>
          <w:rFonts w:ascii="Times New Roman" w:eastAsia="Times New Roman" w:hAnsi="Times New Roman" w:cs="Times New Roman"/>
          <w:sz w:val="24"/>
          <w:szCs w:val="24"/>
        </w:rPr>
        <w:instrText>ADDIN CSL_CITATION {"citationItems":[{"id":"ITEM-1","itemData":{"DOI":"10.1038/s41598-022-15744-z","ISSN":"2045-2322","PMID":"35817837","abstract":"To evaluate the efficiency of a 20&amp;nbsp;μg hepatitis B vaccine(HepB) for disease prevention in two counties in Henan Province, China. A questionnaire was designed to examine the information of hepatitis B surface antigen (HBsAg) positive pregnant women, and their blood samples were collected to test for hepatitis B e antigen (HBeAg), hepatitis B e antibody, and hepatitis B virus (HBV) DNA. Three doses of 20&amp;nbsp;μg HepB and one dose of hepatitis B immune globulin(HBIG) were administered to newborns. Blood samples were collected from children one month after their complete immunization to test for HBsAg and hepatitis B surface antibody(HBsAb). A total of 419 HBsAg positive-pregnant women and 430 newborns were investigated. The average age of pregnant women was 29.6 ± 4.3&amp;nbsp;years, with an HBeAg positive rate of 29.1% (122/419). All newborns received their first dose of 20&amp;nbsp;μg hepatitis B vaccine and 100&amp;nbsp;IU HBIG within 12&amp;nbsp;h after birth. Six infants (1.9%, 6/319) tested positive for HBsAg and negative for HBsAb after one month of receiving the three basic doses of HepB. The geometric mean concentration(GMC) of HBsAb-positive infants was 861.6 mIU/mL, and their HBsAb antibody titers decreased with age. Immunization of children born to HBsAg-positive mothers with 20&amp;nbsp;μg HepB got the satisfactory effect on preventing mother-to-child transmission.","author":[{"dropping-particle":"","family":"Yonghao","given":"Guo","non-dropping-particle":"","parse-names":false,"suffix":""},{"dropping-particle":"","family":"Yanping","given":"Chen","non-dropping-particle":"","parse-names":false,"suffix":""},{"dropping-particle":"","family":"Qiaohua","given":"Dou","non-dropping-particle":"","parse-names":false,"suffix":""},{"dropping-particle":"","family":"Daxing","given":"Feng","non-dropping-particle":"","parse-names":false,"suffix":""},{"dropping-particle":"","family":"Yanyang","given":"Zhang","non-dropping-particle":"","parse-names":false,"suffix":""},{"dropping-particle":"","family":"Dongyang","given":"Zhao","non-dropping-particle":"","parse-names":false,"suffix":""},{"dropping-particle":"","family":"Wanshen","given":"Guo","non-dropping-particle":"","parse-names":false,"suffix":""}],"container-title":"Scientific Reports 2022 12:1","id":"ITEM-1","issue":"1","issued":{"date-parts":[["2022","7","11"]]},"page":"1-8","publisher":"Nature Publishing Group","title":"The effectiveness of 20 μg hepatitis B vaccine used for the prevention of HBV vertical transmission","type":"article-journal","volume":"12"},"uris":["http://www.mendeley.com/documents/?uuid=c4dbf38e-6a9f-3adf-ae5e-4773910959e8"]}],"mendeley":{"formattedCitation":"(23)","plainTextFormattedCitation":"(23)","previouslyFormattedCitation":"(Yonghao et al.,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225BD" w:rsidRPr="00A225BD">
        <w:rPr>
          <w:rFonts w:ascii="Times New Roman" w:eastAsia="Times New Roman" w:hAnsi="Times New Roman" w:cs="Times New Roman"/>
          <w:noProof/>
          <w:sz w:val="24"/>
          <w:szCs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DADF8FE" w14:textId="77777777" w:rsidR="00706D7A" w:rsidRPr="00706D7A" w:rsidRDefault="00706D7A" w:rsidP="00706D7A">
      <w:pPr>
        <w:spacing w:after="0" w:line="240" w:lineRule="auto"/>
        <w:jc w:val="both"/>
        <w:rPr>
          <w:rFonts w:ascii="Times New Roman" w:eastAsia="Times New Roman" w:hAnsi="Times New Roman" w:cs="Times New Roman"/>
          <w:sz w:val="24"/>
          <w:szCs w:val="24"/>
        </w:rPr>
      </w:pPr>
    </w:p>
    <w:p w14:paraId="26360303" w14:textId="77777777" w:rsidR="001C43FF" w:rsidRPr="00B85B81" w:rsidRDefault="001C43FF" w:rsidP="005A6880">
      <w:pPr>
        <w:jc w:val="both"/>
        <w:rPr>
          <w:rFonts w:ascii="Times New Roman" w:eastAsia="Times New Roman" w:hAnsi="Times New Roman" w:cs="Times New Roman"/>
          <w:b/>
          <w:sz w:val="24"/>
          <w:szCs w:val="24"/>
        </w:rPr>
      </w:pPr>
      <w:r w:rsidRPr="001C43FF">
        <w:rPr>
          <w:rFonts w:ascii="Times New Roman" w:eastAsia="Times New Roman" w:hAnsi="Times New Roman" w:cs="Times New Roman"/>
          <w:b/>
          <w:sz w:val="24"/>
          <w:szCs w:val="24"/>
        </w:rPr>
        <w:t>Conclusion</w:t>
      </w:r>
    </w:p>
    <w:p w14:paraId="011E62A9" w14:textId="77777777" w:rsidR="00C15F92" w:rsidRPr="00B85B81" w:rsidRDefault="00C15F92" w:rsidP="00C15F92">
      <w:pPr>
        <w:jc w:val="both"/>
        <w:rPr>
          <w:rFonts w:ascii="Times New Roman" w:hAnsi="Times New Roman" w:cs="Times New Roman"/>
          <w:sz w:val="24"/>
          <w:szCs w:val="24"/>
        </w:rPr>
      </w:pPr>
      <w:r w:rsidRPr="00B85B81">
        <w:rPr>
          <w:rFonts w:ascii="Times New Roman" w:hAnsi="Times New Roman" w:cs="Times New Roman"/>
          <w:sz w:val="24"/>
          <w:szCs w:val="24"/>
        </w:rPr>
        <w:t xml:space="preserve">In conclusion, hepatitis B infection among pregnant women in Abyei, South Sudan, represents a significant public health challenge that requires urgent attention. This study highlights the heightened risk associated with the presence of sexually transmitted infections (STIs) and the use of intravenous medication, emphasizing the need for targeted interventions to mitigate these risk factors. Integrating hepatitis B preventive services into routine antenatal care, including screening, vaccination, and awareness programs, is crucial. This can be achieved by training healthcare professionals, ensuring necessary resources, and providing prophylactic services for infants born to HBV-positive mothers. Antiviral treatment should be made available for pregnant women with high viral loads to mitigate mother-to-child transmission risks. </w:t>
      </w:r>
    </w:p>
    <w:p w14:paraId="15CF9E03" w14:textId="2D58B210" w:rsidR="00B85B81" w:rsidRDefault="00B85B81" w:rsidP="00B85B81">
      <w:pPr>
        <w:spacing w:line="240" w:lineRule="auto"/>
        <w:jc w:val="both"/>
        <w:rPr>
          <w:rFonts w:ascii="Times New Roman" w:hAnsi="Times New Roman" w:cs="Times New Roman"/>
          <w:color w:val="000000" w:themeColor="text1"/>
          <w:sz w:val="24"/>
          <w:szCs w:val="24"/>
        </w:rPr>
      </w:pPr>
    </w:p>
    <w:p w14:paraId="3EB3EAED" w14:textId="77777777" w:rsidR="00932894" w:rsidRDefault="00932894" w:rsidP="00B85B81">
      <w:pPr>
        <w:spacing w:line="240" w:lineRule="auto"/>
        <w:jc w:val="both"/>
        <w:rPr>
          <w:rFonts w:ascii="Times New Roman" w:hAnsi="Times New Roman" w:cs="Times New Roman"/>
          <w:color w:val="000000" w:themeColor="text1"/>
          <w:sz w:val="24"/>
          <w:szCs w:val="24"/>
        </w:rPr>
      </w:pPr>
      <w:bookmarkStart w:id="1" w:name="_GoBack"/>
      <w:bookmarkEnd w:id="1"/>
    </w:p>
    <w:p w14:paraId="58ED9E2C" w14:textId="77777777" w:rsidR="00B85B81" w:rsidRPr="006E7CD4" w:rsidRDefault="006E7CD4" w:rsidP="00A225BD">
      <w:pPr>
        <w:spacing w:line="240" w:lineRule="auto"/>
        <w:jc w:val="both"/>
        <w:rPr>
          <w:rFonts w:ascii="Times New Roman" w:hAnsi="Times New Roman" w:cs="Times New Roman"/>
          <w:b/>
          <w:color w:val="000000" w:themeColor="text1"/>
          <w:sz w:val="24"/>
          <w:szCs w:val="24"/>
        </w:rPr>
      </w:pPr>
      <w:r w:rsidRPr="006E7CD4">
        <w:rPr>
          <w:rFonts w:ascii="Times New Roman" w:hAnsi="Times New Roman" w:cs="Times New Roman"/>
          <w:b/>
          <w:color w:val="000000" w:themeColor="text1"/>
          <w:sz w:val="24"/>
          <w:szCs w:val="24"/>
        </w:rPr>
        <w:lastRenderedPageBreak/>
        <w:t>References</w:t>
      </w:r>
    </w:p>
    <w:p w14:paraId="2ED9E9F5" w14:textId="77777777" w:rsidR="00A225BD" w:rsidRPr="00A225BD" w:rsidRDefault="006E7CD4"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Mendeley Bibliography CSL_BIBLIOGRAPHY </w:instrText>
      </w:r>
      <w:r>
        <w:rPr>
          <w:rFonts w:ascii="Times New Roman" w:hAnsi="Times New Roman" w:cs="Times New Roman"/>
          <w:color w:val="000000" w:themeColor="text1"/>
          <w:sz w:val="24"/>
          <w:szCs w:val="24"/>
        </w:rPr>
        <w:fldChar w:fldCharType="separate"/>
      </w:r>
      <w:r w:rsidR="00A225BD" w:rsidRPr="00A225BD">
        <w:rPr>
          <w:rFonts w:ascii="Times New Roman" w:hAnsi="Times New Roman" w:cs="Times New Roman"/>
          <w:noProof/>
          <w:sz w:val="24"/>
          <w:szCs w:val="24"/>
        </w:rPr>
        <w:t xml:space="preserve">1. </w:t>
      </w:r>
      <w:r w:rsidR="00A225BD" w:rsidRPr="00A225BD">
        <w:rPr>
          <w:rFonts w:ascii="Times New Roman" w:hAnsi="Times New Roman" w:cs="Times New Roman"/>
          <w:noProof/>
          <w:sz w:val="24"/>
          <w:szCs w:val="24"/>
        </w:rPr>
        <w:tab/>
        <w:t>WHO. Tackling the increasing burden of viral hepatitis in South Sudan [Internet]. 2024 [cited 2024 Dec 5]. Available from: https://www.afro.who.int/countries/south-sudan/news/tackling-increasing-burden-viral-hepatitis-south-sudan</w:t>
      </w:r>
    </w:p>
    <w:p w14:paraId="78F12C06"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2. </w:t>
      </w:r>
      <w:r w:rsidRPr="00A225BD">
        <w:rPr>
          <w:rFonts w:ascii="Times New Roman" w:hAnsi="Times New Roman" w:cs="Times New Roman"/>
          <w:noProof/>
          <w:sz w:val="24"/>
          <w:szCs w:val="24"/>
        </w:rPr>
        <w:tab/>
        <w:t>WHO. Hepatitis B. 2023; Available from: https://www.who.int/news-room/fact-sheets/detail/hepatitis-b</w:t>
      </w:r>
    </w:p>
    <w:p w14:paraId="5732E215"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3. </w:t>
      </w:r>
      <w:r w:rsidRPr="00A225BD">
        <w:rPr>
          <w:rFonts w:ascii="Times New Roman" w:hAnsi="Times New Roman" w:cs="Times New Roman"/>
          <w:noProof/>
          <w:sz w:val="24"/>
          <w:szCs w:val="24"/>
        </w:rPr>
        <w:tab/>
        <w:t xml:space="preserve">WHO. 91 million Africans infected with Hepatitis B or C. 2022. </w:t>
      </w:r>
    </w:p>
    <w:p w14:paraId="56181BDD"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4. </w:t>
      </w:r>
      <w:r w:rsidRPr="00A225BD">
        <w:rPr>
          <w:rFonts w:ascii="Times New Roman" w:hAnsi="Times New Roman" w:cs="Times New Roman"/>
          <w:noProof/>
          <w:sz w:val="24"/>
          <w:szCs w:val="24"/>
        </w:rPr>
        <w:tab/>
        <w:t>Dan-Nwafor CC, Adeoye I, Aderemi K, Adedire MOE, Bashorun A, Osunkwo D, et al. Serological markers and risk factors associated with Hepatitis B virus infection among Federal Capital Territory prison inmates, Nigeria: Should we be concerned? PLoS One [Internet]. 2021 Mar 1 [cited 2024 May 30];16(3):e0248045. Available from: https://journals.plos.org/plosone/article?id=10.1371/journal.pone.0248045</w:t>
      </w:r>
    </w:p>
    <w:p w14:paraId="75F1DE20"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5. </w:t>
      </w:r>
      <w:r w:rsidRPr="00A225BD">
        <w:rPr>
          <w:rFonts w:ascii="Times New Roman" w:hAnsi="Times New Roman" w:cs="Times New Roman"/>
          <w:noProof/>
          <w:sz w:val="24"/>
          <w:szCs w:val="24"/>
        </w:rPr>
        <w:tab/>
        <w:t>Lama JR, Agurto HS, Guanira J V., Ganoza C, Casapia M, Ojeda N, et al. Hepatitis B Infection and Association with Other Sexually Transmitted Infections Among Men Who Have Sex with Men in Peru. Am J Trop Med Hyg [Internet]. 2021 Jul [cited 2024 May 30];83(1):194. Available from: /pmc/articles/PMC2912599/</w:t>
      </w:r>
    </w:p>
    <w:p w14:paraId="5AE36098"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6. </w:t>
      </w:r>
      <w:r w:rsidRPr="00A225BD">
        <w:rPr>
          <w:rFonts w:ascii="Times New Roman" w:hAnsi="Times New Roman" w:cs="Times New Roman"/>
          <w:noProof/>
          <w:sz w:val="24"/>
          <w:szCs w:val="24"/>
        </w:rPr>
        <w:tab/>
        <w:t xml:space="preserve">Ssekamatte T, Isunju JB, Nalugya A, Wafula ST, Nuwematsiko R, Nakalembe D, et al. Distribution of Hepatitis B prevention services in Wakiso District, Central Uganda. PLOS Glob Public Heal. 2023 Sep 22;3(9):e0000478. </w:t>
      </w:r>
    </w:p>
    <w:p w14:paraId="5FFD8181"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7. </w:t>
      </w:r>
      <w:r w:rsidRPr="00A225BD">
        <w:rPr>
          <w:rFonts w:ascii="Times New Roman" w:hAnsi="Times New Roman" w:cs="Times New Roman"/>
          <w:noProof/>
          <w:sz w:val="24"/>
          <w:szCs w:val="24"/>
        </w:rPr>
        <w:tab/>
        <w:t>Tesfu MA, Habtemariam TT, Berhe Belay N. Risk factors associated with Hepatitis B virus infection among pregnant women attending public hospitals in Addis Ababa, Ethiopia. PLoS One [Internet]. 2023 Apr 1 [cited 2024 May 30];18(4):e0284646. Available from: https://journals.plos.org/plosone/article?id=10.1371/journal.pone.0284646</w:t>
      </w:r>
    </w:p>
    <w:p w14:paraId="1B5E2D59"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8. </w:t>
      </w:r>
      <w:r w:rsidRPr="00A225BD">
        <w:rPr>
          <w:rFonts w:ascii="Times New Roman" w:hAnsi="Times New Roman" w:cs="Times New Roman"/>
          <w:noProof/>
          <w:sz w:val="24"/>
          <w:szCs w:val="24"/>
        </w:rPr>
        <w:tab/>
        <w:t xml:space="preserve">Weldebrhan D, Berhe H, Tesfay Y. Risk Factors for Hepatitis B Virus Infection in North Ethiopia: A Case–Control Study. Hepatic Med Evid Res. 2023 Jul;Volume 15:79–91. </w:t>
      </w:r>
    </w:p>
    <w:p w14:paraId="06FE7000"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9. </w:t>
      </w:r>
      <w:r w:rsidRPr="00A225BD">
        <w:rPr>
          <w:rFonts w:ascii="Times New Roman" w:hAnsi="Times New Roman" w:cs="Times New Roman"/>
          <w:noProof/>
          <w:sz w:val="24"/>
          <w:szCs w:val="24"/>
        </w:rPr>
        <w:tab/>
        <w:t>Chan TT, Chan WK, Wong GLH, Chan AWH, Nik Mustapha NR, Chan SL, et al. Positive Hepatitis B Core Antibody Is Associated with Cirrhosis and Hepatocellular Carcinoma in Nonalcoholic Fatty Liver Disease. Am J Gastroenterol [Internet]. 2020 Jun 1 [cited 2024 May 31];115(6):867–75. Available from: https://journals.lww.com/ajg/fulltext/2020/06000/positive_hepatitis_b_core_antibody_is_associated.16.aspx</w:t>
      </w:r>
    </w:p>
    <w:p w14:paraId="6A1B5A1C"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10. </w:t>
      </w:r>
      <w:r w:rsidRPr="00A225BD">
        <w:rPr>
          <w:rFonts w:ascii="Times New Roman" w:hAnsi="Times New Roman" w:cs="Times New Roman"/>
          <w:noProof/>
          <w:sz w:val="24"/>
          <w:szCs w:val="24"/>
        </w:rPr>
        <w:tab/>
        <w:t>Dagnew M, Million Y, Gizachew M, Eshetie S, Yitayew G, Asrade L, et al. Hepatitis B and C Viruses’ Infection and Associated Factors among Pregnant Women Attending Antenatal Care in Hospitals in the Amhara National Regional State, Ethiopia. Int J Microbiol [Internet]. 2020 [cited 2024 May 30];2020. Available from: /pmc/articles/PMC7568777/</w:t>
      </w:r>
    </w:p>
    <w:p w14:paraId="365CC129"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11. </w:t>
      </w:r>
      <w:r w:rsidRPr="00A225BD">
        <w:rPr>
          <w:rFonts w:ascii="Times New Roman" w:hAnsi="Times New Roman" w:cs="Times New Roman"/>
          <w:noProof/>
          <w:sz w:val="24"/>
          <w:szCs w:val="24"/>
        </w:rPr>
        <w:tab/>
        <w:t>Makokha GN, Zhang P, Hayes CN, Songok E, Chayama K. The burden of Hepatitis B virus infection in Kenya: A systematic review and meta-analysis. Front public Heal [Internet]. 2023 Jan 26 [cited 2024 Mar 6];11. Available from: https://pubmed.ncbi.nlm.nih.gov/36778557/</w:t>
      </w:r>
    </w:p>
    <w:p w14:paraId="1F6B0555"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12. </w:t>
      </w:r>
      <w:r w:rsidRPr="00A225BD">
        <w:rPr>
          <w:rFonts w:ascii="Times New Roman" w:hAnsi="Times New Roman" w:cs="Times New Roman"/>
          <w:noProof/>
          <w:sz w:val="24"/>
          <w:szCs w:val="24"/>
        </w:rPr>
        <w:tab/>
        <w:t xml:space="preserve">Pouri AA, Ghojazadeh M, Shirmohammadi M, Eftekhar-Sadat AT, Somi MH. </w:t>
      </w:r>
      <w:r w:rsidRPr="00A225BD">
        <w:rPr>
          <w:rFonts w:ascii="Times New Roman" w:hAnsi="Times New Roman" w:cs="Times New Roman"/>
          <w:noProof/>
          <w:sz w:val="24"/>
          <w:szCs w:val="24"/>
        </w:rPr>
        <w:lastRenderedPageBreak/>
        <w:t>Seroepidemiology and Risk Factors of Hepatitis B Virus Infection: A Population-Based Azar Cohort Study. Iran J Public Health [Internet]. 2020 [cited 2024 May 30];49(11):2152. Available from: /pmc/articles/PMC7917508/</w:t>
      </w:r>
    </w:p>
    <w:p w14:paraId="67B853A3"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13. </w:t>
      </w:r>
      <w:r w:rsidRPr="00A225BD">
        <w:rPr>
          <w:rFonts w:ascii="Times New Roman" w:hAnsi="Times New Roman" w:cs="Times New Roman"/>
          <w:noProof/>
          <w:sz w:val="24"/>
          <w:szCs w:val="24"/>
        </w:rPr>
        <w:tab/>
        <w:t>Jr JK. Gender and Risk Behaviors Association With Hepatitis-B Infections Among Liberia Military Personnel. Walden Diss Dr Stud [Internet]. 2022 Jan 1 [cited 2024 May 30]; Available from: https://scholarworks.waldenu.edu/dissertations/13507</w:t>
      </w:r>
    </w:p>
    <w:p w14:paraId="256D722D"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14. </w:t>
      </w:r>
      <w:r w:rsidRPr="00A225BD">
        <w:rPr>
          <w:rFonts w:ascii="Times New Roman" w:hAnsi="Times New Roman" w:cs="Times New Roman"/>
          <w:noProof/>
          <w:sz w:val="24"/>
          <w:szCs w:val="24"/>
        </w:rPr>
        <w:tab/>
        <w:t xml:space="preserve">Michael Pou M, Dube J. Seroprevalence and associated risk factors for Hepatitis B Virus infections among apparently healthy pregnant mothers attending Anc in Rubkona primary health care center in Rubkona County, Unity State, South Sudan. Arch Hepat Res. 2021 Mar 5;004–13. </w:t>
      </w:r>
    </w:p>
    <w:p w14:paraId="72C1F9A4"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15. </w:t>
      </w:r>
      <w:r w:rsidRPr="00A225BD">
        <w:rPr>
          <w:rFonts w:ascii="Times New Roman" w:hAnsi="Times New Roman" w:cs="Times New Roman"/>
          <w:noProof/>
          <w:sz w:val="24"/>
          <w:szCs w:val="24"/>
        </w:rPr>
        <w:tab/>
        <w:t>Ouoba S, Ko K, Lingani M, Nagashima S, Guingané AN, Bunthen E, et al. Intermediate hepatitis B virus infection prevalence among 1622 pregnant women in rural Burkina Faso and implications for mother-to-child transmission. Sci Reports 2023 131 [Internet]. 2023 Apr 14 [cited 2024 Dec 5];13(1):1–9. Available from: https://www.nature.com/articles/s41598-023-32766-3</w:t>
      </w:r>
    </w:p>
    <w:p w14:paraId="16930BDB"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16. </w:t>
      </w:r>
      <w:r w:rsidRPr="00A225BD">
        <w:rPr>
          <w:rFonts w:ascii="Times New Roman" w:hAnsi="Times New Roman" w:cs="Times New Roman"/>
          <w:noProof/>
          <w:sz w:val="24"/>
          <w:szCs w:val="24"/>
        </w:rPr>
        <w:tab/>
        <w:t>Dortey BA, Anaba EA, Lassey AT, Damale NKR, Maya ET. Seroprevalence of Hepatitis B virus infection and associated factors among pregnant women at Korle-Bu Teaching Hospital, Ghana. PLoS One [Internet]. 2020 Apr 1 [cited 2024 Dec 5];15(4):e0232208. Available from: https://pmc.ncbi.nlm.nih.gov/articles/PMC7176112/</w:t>
      </w:r>
    </w:p>
    <w:p w14:paraId="223A8D07"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17. </w:t>
      </w:r>
      <w:r w:rsidRPr="00A225BD">
        <w:rPr>
          <w:rFonts w:ascii="Times New Roman" w:hAnsi="Times New Roman" w:cs="Times New Roman"/>
          <w:noProof/>
          <w:sz w:val="24"/>
          <w:szCs w:val="24"/>
        </w:rPr>
        <w:tab/>
        <w:t>Roble AK, Roba KT, Mengistie B, Kure MA. Seroprevalence of Hepatitis B Virus and Associated Factors Among Pregnant Women Attending Antenatal Care in Public Health Facilities in Jigjiga Town, Eastern Ethiopia. Int J Womens Health [Internet]. 2021 [cited 2024 Dec 5];12:1299–310. Available from: https://pubmed.ncbi.nlm.nih.gov/33447090/</w:t>
      </w:r>
    </w:p>
    <w:p w14:paraId="3B410F6C"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18. </w:t>
      </w:r>
      <w:r w:rsidRPr="00A225BD">
        <w:rPr>
          <w:rFonts w:ascii="Times New Roman" w:hAnsi="Times New Roman" w:cs="Times New Roman"/>
          <w:noProof/>
          <w:sz w:val="24"/>
          <w:szCs w:val="24"/>
        </w:rPr>
        <w:tab/>
        <w:t>Kampe A, Kannaiyan Abbai M, Tilahun D, Daka D, Aliyo A, Dedecha W, et al. Seroprevalence of Hepatitis B Virus Infection and Associated Factors Among Pregnant Women Attending Antenatal Care At Public Hospitals in Borena Zone, Southern Ethiopia. Heal Serv Res Manag Epidemiol [Internet]. 2023 Jan 1 [cited 2024 Dec 5];10. Available from: https://pubmed.ncbi.nlm.nih.gov/36970374/</w:t>
      </w:r>
    </w:p>
    <w:p w14:paraId="49F97FD2"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19. </w:t>
      </w:r>
      <w:r w:rsidRPr="00A225BD">
        <w:rPr>
          <w:rFonts w:ascii="Times New Roman" w:hAnsi="Times New Roman" w:cs="Times New Roman"/>
          <w:noProof/>
          <w:sz w:val="24"/>
          <w:szCs w:val="24"/>
        </w:rPr>
        <w:tab/>
        <w:t>Marseille E, Harris AM, Horvath H, Parriott A, Malekinejad M, Nelson NP, et al. Hepatitis B prevalence association with sexually transmittedinfections: A systematic review and meta-analysis. Sex Health [Internet]. 2021 Jul 1 [cited 2024 May 30];18(3):269. Available from: /pmc/articles/PMC8457403/</w:t>
      </w:r>
    </w:p>
    <w:p w14:paraId="03A9701D"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20. </w:t>
      </w:r>
      <w:r w:rsidRPr="00A225BD">
        <w:rPr>
          <w:rFonts w:ascii="Times New Roman" w:hAnsi="Times New Roman" w:cs="Times New Roman"/>
          <w:noProof/>
          <w:sz w:val="24"/>
          <w:szCs w:val="24"/>
        </w:rPr>
        <w:tab/>
        <w:t>Rostam-Abadi Y, Rafiemanesh H, Gholami J, Shadloo B, Amin-Esmaeili M, Rahimi-Movaghar A. Hepatitis B virus infection among people who use drugs in Iran: a systematic review, meta-analysis, and trend analysis. Harm Reduct J [Internet]. 2020 Dec 1 [cited 2024 Dec 5];17(1):1–19. Available from: https://harmreductionjournal.biomedcentral.com/articles/10.1186/s12954-020-00424-w</w:t>
      </w:r>
    </w:p>
    <w:p w14:paraId="163EAD54"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t xml:space="preserve">21. </w:t>
      </w:r>
      <w:r w:rsidRPr="00A225BD">
        <w:rPr>
          <w:rFonts w:ascii="Times New Roman" w:hAnsi="Times New Roman" w:cs="Times New Roman"/>
          <w:noProof/>
          <w:sz w:val="24"/>
          <w:szCs w:val="24"/>
        </w:rPr>
        <w:tab/>
        <w:t>Khodadoostan M, Ataei B, Shavakhi A, Tavakoli T, Nokhodian Z, Yaran M. The assessment of hepatitis B seroprevalence in persons with intravenous drug use history in the Isfahan province: Community-based study. J Res Med Sci [Internet]. 2014 [cited 2024 Dec 5];19(1):65. Available from: https://pmc.ncbi.nlm.nih.gov/articles/PMC3963325/</w:t>
      </w:r>
    </w:p>
    <w:p w14:paraId="7D8C2A1B"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A225BD">
        <w:rPr>
          <w:rFonts w:ascii="Times New Roman" w:hAnsi="Times New Roman" w:cs="Times New Roman"/>
          <w:noProof/>
          <w:sz w:val="24"/>
          <w:szCs w:val="24"/>
        </w:rPr>
        <w:lastRenderedPageBreak/>
        <w:t xml:space="preserve">22. </w:t>
      </w:r>
      <w:r w:rsidRPr="00A225BD">
        <w:rPr>
          <w:rFonts w:ascii="Times New Roman" w:hAnsi="Times New Roman" w:cs="Times New Roman"/>
          <w:noProof/>
          <w:sz w:val="24"/>
          <w:szCs w:val="24"/>
        </w:rPr>
        <w:tab/>
        <w:t>Zhang W, Xu C, Rui Y, Chen J, Chen T, Dai Y, et al. Efficacy of the hepatitis B vaccine alone in the prevention of hepatitis B perinatal transmission in infants born to hepatitis B e antigen-negative carrier mothers. J virus Erad [Internet]. 2022 Jun 1 [cited 2024 Dec 5];8(2). Available from: https://pubmed.ncbi.nlm.nih.gov/35813576/</w:t>
      </w:r>
    </w:p>
    <w:p w14:paraId="05384FAA" w14:textId="77777777" w:rsidR="00A225BD" w:rsidRPr="00A225BD" w:rsidRDefault="00A225BD" w:rsidP="00A225BD">
      <w:pPr>
        <w:widowControl w:val="0"/>
        <w:autoSpaceDE w:val="0"/>
        <w:autoSpaceDN w:val="0"/>
        <w:adjustRightInd w:val="0"/>
        <w:spacing w:line="240" w:lineRule="auto"/>
        <w:ind w:left="640" w:hanging="640"/>
        <w:jc w:val="both"/>
        <w:rPr>
          <w:rFonts w:ascii="Times New Roman" w:hAnsi="Times New Roman" w:cs="Times New Roman"/>
          <w:noProof/>
          <w:sz w:val="24"/>
        </w:rPr>
      </w:pPr>
      <w:r w:rsidRPr="00A225BD">
        <w:rPr>
          <w:rFonts w:ascii="Times New Roman" w:hAnsi="Times New Roman" w:cs="Times New Roman"/>
          <w:noProof/>
          <w:sz w:val="24"/>
          <w:szCs w:val="24"/>
        </w:rPr>
        <w:t xml:space="preserve">23. </w:t>
      </w:r>
      <w:r w:rsidRPr="00A225BD">
        <w:rPr>
          <w:rFonts w:ascii="Times New Roman" w:hAnsi="Times New Roman" w:cs="Times New Roman"/>
          <w:noProof/>
          <w:sz w:val="24"/>
          <w:szCs w:val="24"/>
        </w:rPr>
        <w:tab/>
        <w:t>Yonghao G, Yanping C, Qiaohua D, Daxing F, Yanyang Z, Dongyang Z, et al. The effectiveness of 20 μg hepatitis B vaccine used for the prevention of HBV vertical transmission. Sci Reports 2022 121 [Internet]. 2022 Jul 11 [cited 2024 Dec 5];12(1):1–8. Available from: https://www.nature.com/articles/s41598-022-15744-z</w:t>
      </w:r>
    </w:p>
    <w:p w14:paraId="5C54D7FD" w14:textId="77777777" w:rsidR="006E7CD4" w:rsidRDefault="006E7CD4" w:rsidP="00A225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p>
    <w:p w14:paraId="3DEEFDB2"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14876803"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29AE0678"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143AF918"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3572DCD8"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128F1D1E"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175CC8CA"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5D8FAC65"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6BD595AD"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7BDBF8C4"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40E37F33"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72939513"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22CAFA08"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5FE6CFC2"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34BD30ED"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590AB9B4"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0B8324C8"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4126BFD5"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069A2A8B"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635EDA01"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48DE4B74"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13017AFC"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3AD7C0DB" w14:textId="77777777" w:rsidR="006C5EB3" w:rsidRDefault="006C5EB3" w:rsidP="00A225BD">
      <w:pPr>
        <w:spacing w:line="240" w:lineRule="auto"/>
        <w:jc w:val="both"/>
        <w:rPr>
          <w:rFonts w:ascii="Times New Roman" w:hAnsi="Times New Roman" w:cs="Times New Roman"/>
          <w:color w:val="000000" w:themeColor="text1"/>
          <w:sz w:val="24"/>
          <w:szCs w:val="24"/>
        </w:rPr>
      </w:pPr>
    </w:p>
    <w:p w14:paraId="020E6AF4" w14:textId="77777777" w:rsidR="006C5EB3" w:rsidRDefault="006C5EB3" w:rsidP="00A225BD">
      <w:pPr>
        <w:spacing w:line="240" w:lineRule="auto"/>
        <w:jc w:val="both"/>
        <w:rPr>
          <w:rFonts w:ascii="Times New Roman" w:hAnsi="Times New Roman" w:cs="Times New Roman"/>
          <w:b/>
          <w:color w:val="000000" w:themeColor="text1"/>
          <w:sz w:val="24"/>
          <w:szCs w:val="24"/>
        </w:rPr>
      </w:pPr>
      <w:r w:rsidRPr="006C5EB3">
        <w:rPr>
          <w:rFonts w:ascii="Times New Roman" w:hAnsi="Times New Roman" w:cs="Times New Roman"/>
          <w:b/>
          <w:color w:val="000000" w:themeColor="text1"/>
          <w:sz w:val="24"/>
          <w:szCs w:val="24"/>
        </w:rPr>
        <w:lastRenderedPageBreak/>
        <w:t>Tables</w:t>
      </w:r>
    </w:p>
    <w:p w14:paraId="7E29BA80" w14:textId="77777777" w:rsidR="006C5EB3" w:rsidRDefault="006C5EB3" w:rsidP="006C5EB3">
      <w:pPr>
        <w:rPr>
          <w:rFonts w:ascii="Times New Roman" w:hAnsi="Times New Roman" w:cs="Times New Roman"/>
          <w:b/>
          <w:sz w:val="24"/>
          <w:szCs w:val="24"/>
        </w:rPr>
      </w:pPr>
      <w:bookmarkStart w:id="2" w:name="_Toc166157201"/>
      <w:r w:rsidRPr="00AC6286">
        <w:rPr>
          <w:rFonts w:ascii="Times New Roman" w:hAnsi="Times New Roman" w:cs="Times New Roman"/>
          <w:b/>
          <w:sz w:val="24"/>
          <w:szCs w:val="24"/>
        </w:rPr>
        <w:t>Table 1: Socio-demographic characteristics of study participants</w:t>
      </w:r>
      <w:bookmarkEnd w:id="2"/>
      <w:r w:rsidRPr="00AC6286">
        <w:rPr>
          <w:rFonts w:ascii="Times New Roman" w:hAnsi="Times New Roman" w:cs="Times New Roman"/>
          <w:b/>
          <w:sz w:val="24"/>
          <w:szCs w:val="24"/>
        </w:rPr>
        <w:t xml:space="preserve"> </w:t>
      </w:r>
    </w:p>
    <w:p w14:paraId="21E4B29F" w14:textId="77777777" w:rsidR="006C5EB3" w:rsidRPr="00AC6286" w:rsidRDefault="006C5EB3" w:rsidP="006C5EB3">
      <w:pPr>
        <w:rPr>
          <w:rFonts w:ascii="Times New Roman" w:hAnsi="Times New Roman" w:cs="Times New Roman"/>
          <w:b/>
          <w:sz w:val="24"/>
          <w:szCs w:val="24"/>
        </w:rPr>
      </w:pPr>
    </w:p>
    <w:tbl>
      <w:tblPr>
        <w:tblStyle w:val="PlainTable2"/>
        <w:tblW w:w="4773" w:type="pct"/>
        <w:tblBorders>
          <w:top w:val="none" w:sz="0" w:space="0" w:color="auto"/>
          <w:bottom w:val="none" w:sz="0" w:space="0" w:color="auto"/>
        </w:tblBorders>
        <w:tblLook w:val="04A0" w:firstRow="1" w:lastRow="0" w:firstColumn="1" w:lastColumn="0" w:noHBand="0" w:noVBand="1"/>
      </w:tblPr>
      <w:tblGrid>
        <w:gridCol w:w="2832"/>
        <w:gridCol w:w="2840"/>
        <w:gridCol w:w="1701"/>
        <w:gridCol w:w="1562"/>
      </w:tblGrid>
      <w:tr w:rsidR="006C5EB3" w:rsidRPr="002A016F" w14:paraId="31C7AF84" w14:textId="77777777" w:rsidTr="00135CF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5" w:type="pct"/>
            <w:tcBorders>
              <w:top w:val="single" w:sz="4" w:space="0" w:color="auto"/>
              <w:bottom w:val="single" w:sz="4" w:space="0" w:color="auto"/>
            </w:tcBorders>
          </w:tcPr>
          <w:p w14:paraId="5DA53A61" w14:textId="77777777" w:rsidR="006C5EB3" w:rsidRPr="002A016F" w:rsidRDefault="006C5EB3" w:rsidP="00135CF7">
            <w:pPr>
              <w:spacing w:line="360" w:lineRule="auto"/>
              <w:rPr>
                <w:rFonts w:ascii="Times New Roman" w:hAnsi="Times New Roman" w:cs="Times New Roman"/>
                <w:color w:val="000000"/>
              </w:rPr>
            </w:pPr>
            <w:r w:rsidRPr="002A016F">
              <w:rPr>
                <w:rFonts w:ascii="Times New Roman" w:hAnsi="Times New Roman" w:cs="Times New Roman"/>
                <w:color w:val="000000"/>
              </w:rPr>
              <w:t>Variables</w:t>
            </w:r>
          </w:p>
        </w:tc>
        <w:tc>
          <w:tcPr>
            <w:tcW w:w="1589" w:type="pct"/>
            <w:tcBorders>
              <w:top w:val="single" w:sz="4" w:space="0" w:color="auto"/>
              <w:bottom w:val="single" w:sz="4" w:space="0" w:color="auto"/>
            </w:tcBorders>
            <w:hideMark/>
          </w:tcPr>
          <w:p w14:paraId="26BD730E" w14:textId="77777777" w:rsidR="006C5EB3" w:rsidRPr="002A016F" w:rsidRDefault="006C5EB3" w:rsidP="00135CF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2A016F">
              <w:rPr>
                <w:rFonts w:ascii="Times New Roman" w:hAnsi="Times New Roman" w:cs="Times New Roman"/>
                <w:bCs w:val="0"/>
                <w:color w:val="000000"/>
              </w:rPr>
              <w:t>Categories</w:t>
            </w:r>
          </w:p>
        </w:tc>
        <w:tc>
          <w:tcPr>
            <w:tcW w:w="952" w:type="pct"/>
            <w:tcBorders>
              <w:top w:val="single" w:sz="4" w:space="0" w:color="auto"/>
              <w:bottom w:val="single" w:sz="4" w:space="0" w:color="auto"/>
            </w:tcBorders>
            <w:hideMark/>
          </w:tcPr>
          <w:p w14:paraId="4CF3B56E" w14:textId="77777777" w:rsidR="006C5EB3" w:rsidRPr="002A016F" w:rsidRDefault="006C5EB3" w:rsidP="00135CF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Freq.</w:t>
            </w:r>
          </w:p>
        </w:tc>
        <w:tc>
          <w:tcPr>
            <w:tcW w:w="874" w:type="pct"/>
            <w:tcBorders>
              <w:top w:val="single" w:sz="4" w:space="0" w:color="auto"/>
              <w:bottom w:val="single" w:sz="4" w:space="0" w:color="auto"/>
            </w:tcBorders>
            <w:hideMark/>
          </w:tcPr>
          <w:p w14:paraId="3C841288" w14:textId="77777777" w:rsidR="006C5EB3" w:rsidRPr="002A016F" w:rsidRDefault="006C5EB3" w:rsidP="00135CF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 xml:space="preserve">Percent </w:t>
            </w:r>
          </w:p>
        </w:tc>
      </w:tr>
      <w:tr w:rsidR="006C5EB3" w:rsidRPr="002A016F" w14:paraId="34220976" w14:textId="77777777" w:rsidTr="00135CF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585" w:type="pct"/>
            <w:vMerge w:val="restart"/>
            <w:tcBorders>
              <w:top w:val="single" w:sz="4" w:space="0" w:color="auto"/>
              <w:bottom w:val="none" w:sz="0" w:space="0" w:color="auto"/>
            </w:tcBorders>
          </w:tcPr>
          <w:p w14:paraId="54A53910" w14:textId="77777777" w:rsidR="006C5EB3" w:rsidRPr="002A016F" w:rsidRDefault="006C5EB3" w:rsidP="00135CF7">
            <w:pPr>
              <w:spacing w:line="360" w:lineRule="auto"/>
              <w:rPr>
                <w:rFonts w:ascii="Times New Roman" w:hAnsi="Times New Roman" w:cs="Times New Roman"/>
                <w:b w:val="0"/>
                <w:color w:val="000000"/>
              </w:rPr>
            </w:pPr>
            <w:r w:rsidRPr="002A016F">
              <w:rPr>
                <w:rFonts w:ascii="Times New Roman" w:hAnsi="Times New Roman" w:cs="Times New Roman"/>
                <w:b w:val="0"/>
                <w:bCs w:val="0"/>
                <w:color w:val="000000"/>
              </w:rPr>
              <w:t>Age of Respondents</w:t>
            </w:r>
          </w:p>
        </w:tc>
        <w:tc>
          <w:tcPr>
            <w:tcW w:w="1589" w:type="pct"/>
            <w:tcBorders>
              <w:top w:val="single" w:sz="4" w:space="0" w:color="auto"/>
              <w:bottom w:val="none" w:sz="0" w:space="0" w:color="auto"/>
            </w:tcBorders>
            <w:hideMark/>
          </w:tcPr>
          <w:p w14:paraId="618AFA0B"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15-25 years</w:t>
            </w:r>
          </w:p>
        </w:tc>
        <w:tc>
          <w:tcPr>
            <w:tcW w:w="952" w:type="pct"/>
            <w:tcBorders>
              <w:top w:val="single" w:sz="4" w:space="0" w:color="auto"/>
              <w:bottom w:val="none" w:sz="0" w:space="0" w:color="auto"/>
            </w:tcBorders>
            <w:hideMark/>
          </w:tcPr>
          <w:p w14:paraId="2BA77308"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172</w:t>
            </w:r>
          </w:p>
        </w:tc>
        <w:tc>
          <w:tcPr>
            <w:tcW w:w="874" w:type="pct"/>
            <w:tcBorders>
              <w:top w:val="single" w:sz="4" w:space="0" w:color="auto"/>
              <w:bottom w:val="none" w:sz="0" w:space="0" w:color="auto"/>
            </w:tcBorders>
            <w:hideMark/>
          </w:tcPr>
          <w:p w14:paraId="51F4B71F"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45.0</w:t>
            </w:r>
          </w:p>
        </w:tc>
      </w:tr>
      <w:tr w:rsidR="006C5EB3" w:rsidRPr="002A016F" w14:paraId="260B2AE6" w14:textId="77777777" w:rsidTr="00135CF7">
        <w:trPr>
          <w:trHeight w:val="308"/>
        </w:trPr>
        <w:tc>
          <w:tcPr>
            <w:cnfStyle w:val="001000000000" w:firstRow="0" w:lastRow="0" w:firstColumn="1" w:lastColumn="0" w:oddVBand="0" w:evenVBand="0" w:oddHBand="0" w:evenHBand="0" w:firstRowFirstColumn="0" w:firstRowLastColumn="0" w:lastRowFirstColumn="0" w:lastRowLastColumn="0"/>
            <w:tcW w:w="1585" w:type="pct"/>
            <w:vMerge/>
          </w:tcPr>
          <w:p w14:paraId="18D1CE9C" w14:textId="77777777" w:rsidR="006C5EB3" w:rsidRPr="002A016F" w:rsidRDefault="006C5EB3" w:rsidP="00135CF7">
            <w:pPr>
              <w:spacing w:line="360" w:lineRule="auto"/>
              <w:rPr>
                <w:rFonts w:ascii="Times New Roman" w:hAnsi="Times New Roman" w:cs="Times New Roman"/>
                <w:b w:val="0"/>
                <w:color w:val="000000"/>
              </w:rPr>
            </w:pPr>
          </w:p>
        </w:tc>
        <w:tc>
          <w:tcPr>
            <w:tcW w:w="1589" w:type="pct"/>
            <w:hideMark/>
          </w:tcPr>
          <w:p w14:paraId="43EFE8E0"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26-30 years</w:t>
            </w:r>
          </w:p>
        </w:tc>
        <w:tc>
          <w:tcPr>
            <w:tcW w:w="952" w:type="pct"/>
            <w:hideMark/>
          </w:tcPr>
          <w:p w14:paraId="65C5A7AC"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115</w:t>
            </w:r>
          </w:p>
        </w:tc>
        <w:tc>
          <w:tcPr>
            <w:tcW w:w="874" w:type="pct"/>
            <w:hideMark/>
          </w:tcPr>
          <w:p w14:paraId="6ABE6A91"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30.1</w:t>
            </w:r>
          </w:p>
        </w:tc>
      </w:tr>
      <w:tr w:rsidR="006C5EB3" w:rsidRPr="002A016F" w14:paraId="7887D3D5" w14:textId="77777777" w:rsidTr="00135C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5" w:type="pct"/>
            <w:vMerge/>
            <w:tcBorders>
              <w:top w:val="none" w:sz="0" w:space="0" w:color="auto"/>
              <w:bottom w:val="none" w:sz="0" w:space="0" w:color="auto"/>
            </w:tcBorders>
          </w:tcPr>
          <w:p w14:paraId="15797474" w14:textId="77777777" w:rsidR="006C5EB3" w:rsidRPr="002A016F" w:rsidRDefault="006C5EB3" w:rsidP="00135CF7">
            <w:pPr>
              <w:spacing w:line="360" w:lineRule="auto"/>
              <w:rPr>
                <w:rFonts w:ascii="Times New Roman" w:hAnsi="Times New Roman" w:cs="Times New Roman"/>
                <w:b w:val="0"/>
                <w:color w:val="000000"/>
              </w:rPr>
            </w:pPr>
          </w:p>
        </w:tc>
        <w:tc>
          <w:tcPr>
            <w:tcW w:w="1589" w:type="pct"/>
            <w:tcBorders>
              <w:top w:val="none" w:sz="0" w:space="0" w:color="auto"/>
              <w:bottom w:val="none" w:sz="0" w:space="0" w:color="auto"/>
            </w:tcBorders>
            <w:hideMark/>
          </w:tcPr>
          <w:p w14:paraId="6F7530C6"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&gt;30</w:t>
            </w:r>
          </w:p>
        </w:tc>
        <w:tc>
          <w:tcPr>
            <w:tcW w:w="952" w:type="pct"/>
            <w:tcBorders>
              <w:top w:val="none" w:sz="0" w:space="0" w:color="auto"/>
              <w:bottom w:val="none" w:sz="0" w:space="0" w:color="auto"/>
            </w:tcBorders>
            <w:hideMark/>
          </w:tcPr>
          <w:p w14:paraId="7DDD0354"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95</w:t>
            </w:r>
          </w:p>
        </w:tc>
        <w:tc>
          <w:tcPr>
            <w:tcW w:w="874" w:type="pct"/>
            <w:tcBorders>
              <w:top w:val="none" w:sz="0" w:space="0" w:color="auto"/>
              <w:bottom w:val="none" w:sz="0" w:space="0" w:color="auto"/>
            </w:tcBorders>
            <w:hideMark/>
          </w:tcPr>
          <w:p w14:paraId="22D5A0D5"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24.9</w:t>
            </w:r>
          </w:p>
        </w:tc>
      </w:tr>
      <w:tr w:rsidR="006C5EB3" w:rsidRPr="002A016F" w14:paraId="2D8207C7" w14:textId="77777777" w:rsidTr="00135CF7">
        <w:trPr>
          <w:trHeight w:val="219"/>
        </w:trPr>
        <w:tc>
          <w:tcPr>
            <w:cnfStyle w:val="001000000000" w:firstRow="0" w:lastRow="0" w:firstColumn="1" w:lastColumn="0" w:oddVBand="0" w:evenVBand="0" w:oddHBand="0" w:evenHBand="0" w:firstRowFirstColumn="0" w:firstRowLastColumn="0" w:lastRowFirstColumn="0" w:lastRowLastColumn="0"/>
            <w:tcW w:w="1585" w:type="pct"/>
            <w:vMerge w:val="restart"/>
          </w:tcPr>
          <w:p w14:paraId="0DD68506" w14:textId="77777777" w:rsidR="006C5EB3" w:rsidRPr="002A016F" w:rsidRDefault="006C5EB3" w:rsidP="00135CF7">
            <w:pPr>
              <w:spacing w:line="360" w:lineRule="auto"/>
              <w:rPr>
                <w:rFonts w:ascii="Times New Roman" w:hAnsi="Times New Roman" w:cs="Times New Roman"/>
                <w:b w:val="0"/>
                <w:bCs w:val="0"/>
                <w:color w:val="000000"/>
              </w:rPr>
            </w:pPr>
            <w:r w:rsidRPr="002A016F">
              <w:rPr>
                <w:rFonts w:ascii="Times New Roman" w:hAnsi="Times New Roman" w:cs="Times New Roman"/>
                <w:b w:val="0"/>
                <w:bCs w:val="0"/>
                <w:color w:val="000000"/>
              </w:rPr>
              <w:t>Level of Education</w:t>
            </w:r>
          </w:p>
        </w:tc>
        <w:tc>
          <w:tcPr>
            <w:tcW w:w="1589" w:type="pct"/>
          </w:tcPr>
          <w:p w14:paraId="79B9E75B"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r w:rsidRPr="002A016F">
              <w:rPr>
                <w:rFonts w:ascii="Times New Roman" w:hAnsi="Times New Roman" w:cs="Times New Roman"/>
                <w:color w:val="000000"/>
              </w:rPr>
              <w:t>Not been to school</w:t>
            </w:r>
          </w:p>
        </w:tc>
        <w:tc>
          <w:tcPr>
            <w:tcW w:w="952" w:type="pct"/>
            <w:hideMark/>
          </w:tcPr>
          <w:p w14:paraId="6BED8664"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2A016F">
              <w:rPr>
                <w:rFonts w:ascii="Times New Roman" w:hAnsi="Times New Roman" w:cs="Times New Roman"/>
                <w:color w:val="000000"/>
              </w:rPr>
              <w:t xml:space="preserve">        199</w:t>
            </w:r>
          </w:p>
        </w:tc>
        <w:tc>
          <w:tcPr>
            <w:tcW w:w="874" w:type="pct"/>
            <w:hideMark/>
          </w:tcPr>
          <w:p w14:paraId="12499FBE"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2A016F">
              <w:rPr>
                <w:rFonts w:ascii="Times New Roman" w:hAnsi="Times New Roman" w:cs="Times New Roman"/>
                <w:color w:val="000000"/>
              </w:rPr>
              <w:t xml:space="preserve">       52.1</w:t>
            </w:r>
          </w:p>
        </w:tc>
      </w:tr>
      <w:tr w:rsidR="006C5EB3" w:rsidRPr="002A016F" w14:paraId="433BC615" w14:textId="77777777" w:rsidTr="00135CF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85" w:type="pct"/>
            <w:vMerge/>
            <w:tcBorders>
              <w:top w:val="none" w:sz="0" w:space="0" w:color="auto"/>
              <w:bottom w:val="none" w:sz="0" w:space="0" w:color="auto"/>
            </w:tcBorders>
          </w:tcPr>
          <w:p w14:paraId="70712945" w14:textId="77777777" w:rsidR="006C5EB3" w:rsidRPr="002A016F" w:rsidRDefault="006C5EB3" w:rsidP="00135CF7">
            <w:pPr>
              <w:spacing w:line="360" w:lineRule="auto"/>
              <w:rPr>
                <w:rFonts w:ascii="Times New Roman" w:hAnsi="Times New Roman" w:cs="Times New Roman"/>
                <w:b w:val="0"/>
                <w:color w:val="000000"/>
              </w:rPr>
            </w:pPr>
          </w:p>
        </w:tc>
        <w:tc>
          <w:tcPr>
            <w:tcW w:w="1589" w:type="pct"/>
            <w:tcBorders>
              <w:top w:val="none" w:sz="0" w:space="0" w:color="auto"/>
              <w:bottom w:val="none" w:sz="0" w:space="0" w:color="auto"/>
            </w:tcBorders>
            <w:hideMark/>
          </w:tcPr>
          <w:p w14:paraId="40491CF3"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Primary</w:t>
            </w:r>
          </w:p>
        </w:tc>
        <w:tc>
          <w:tcPr>
            <w:tcW w:w="952" w:type="pct"/>
            <w:tcBorders>
              <w:top w:val="none" w:sz="0" w:space="0" w:color="auto"/>
              <w:bottom w:val="none" w:sz="0" w:space="0" w:color="auto"/>
            </w:tcBorders>
            <w:hideMark/>
          </w:tcPr>
          <w:p w14:paraId="4FE86ADF"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135</w:t>
            </w:r>
          </w:p>
        </w:tc>
        <w:tc>
          <w:tcPr>
            <w:tcW w:w="874" w:type="pct"/>
            <w:tcBorders>
              <w:top w:val="none" w:sz="0" w:space="0" w:color="auto"/>
              <w:bottom w:val="none" w:sz="0" w:space="0" w:color="auto"/>
            </w:tcBorders>
            <w:hideMark/>
          </w:tcPr>
          <w:p w14:paraId="2258C9A0"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35.3</w:t>
            </w:r>
          </w:p>
        </w:tc>
      </w:tr>
      <w:tr w:rsidR="006C5EB3" w:rsidRPr="002A016F" w14:paraId="7951593F" w14:textId="77777777" w:rsidTr="00135CF7">
        <w:trPr>
          <w:trHeight w:val="288"/>
        </w:trPr>
        <w:tc>
          <w:tcPr>
            <w:cnfStyle w:val="001000000000" w:firstRow="0" w:lastRow="0" w:firstColumn="1" w:lastColumn="0" w:oddVBand="0" w:evenVBand="0" w:oddHBand="0" w:evenHBand="0" w:firstRowFirstColumn="0" w:firstRowLastColumn="0" w:lastRowFirstColumn="0" w:lastRowLastColumn="0"/>
            <w:tcW w:w="1585" w:type="pct"/>
            <w:vMerge/>
          </w:tcPr>
          <w:p w14:paraId="672AEDFE" w14:textId="77777777" w:rsidR="006C5EB3" w:rsidRPr="002A016F" w:rsidRDefault="006C5EB3" w:rsidP="00135CF7">
            <w:pPr>
              <w:spacing w:line="360" w:lineRule="auto"/>
              <w:rPr>
                <w:rFonts w:ascii="Times New Roman" w:hAnsi="Times New Roman" w:cs="Times New Roman"/>
                <w:b w:val="0"/>
                <w:color w:val="000000"/>
              </w:rPr>
            </w:pPr>
          </w:p>
        </w:tc>
        <w:tc>
          <w:tcPr>
            <w:tcW w:w="1589" w:type="pct"/>
            <w:hideMark/>
          </w:tcPr>
          <w:p w14:paraId="74F9055B"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Secondary</w:t>
            </w:r>
          </w:p>
        </w:tc>
        <w:tc>
          <w:tcPr>
            <w:tcW w:w="952" w:type="pct"/>
            <w:hideMark/>
          </w:tcPr>
          <w:p w14:paraId="104F7D55"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48</w:t>
            </w:r>
          </w:p>
        </w:tc>
        <w:tc>
          <w:tcPr>
            <w:tcW w:w="874" w:type="pct"/>
            <w:hideMark/>
          </w:tcPr>
          <w:p w14:paraId="5487D05D"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12.6</w:t>
            </w:r>
          </w:p>
        </w:tc>
      </w:tr>
      <w:tr w:rsidR="006C5EB3" w:rsidRPr="002A016F" w14:paraId="0F8A6FCE" w14:textId="77777777" w:rsidTr="00135CF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585" w:type="pct"/>
            <w:vMerge w:val="restart"/>
            <w:tcBorders>
              <w:top w:val="none" w:sz="0" w:space="0" w:color="auto"/>
              <w:bottom w:val="none" w:sz="0" w:space="0" w:color="auto"/>
            </w:tcBorders>
          </w:tcPr>
          <w:p w14:paraId="40D9C172" w14:textId="77777777" w:rsidR="006C5EB3" w:rsidRPr="002A016F" w:rsidRDefault="006C5EB3" w:rsidP="00135CF7">
            <w:pPr>
              <w:spacing w:line="360" w:lineRule="auto"/>
              <w:rPr>
                <w:rFonts w:ascii="Times New Roman" w:hAnsi="Times New Roman" w:cs="Times New Roman"/>
                <w:b w:val="0"/>
                <w:color w:val="000000"/>
              </w:rPr>
            </w:pPr>
            <w:r w:rsidRPr="002A016F">
              <w:rPr>
                <w:rFonts w:ascii="Times New Roman" w:hAnsi="Times New Roman" w:cs="Times New Roman"/>
                <w:b w:val="0"/>
                <w:bCs w:val="0"/>
                <w:color w:val="000000"/>
              </w:rPr>
              <w:t>Employment status</w:t>
            </w:r>
          </w:p>
        </w:tc>
        <w:tc>
          <w:tcPr>
            <w:tcW w:w="1589" w:type="pct"/>
            <w:tcBorders>
              <w:top w:val="none" w:sz="0" w:space="0" w:color="auto"/>
              <w:bottom w:val="none" w:sz="0" w:space="0" w:color="auto"/>
            </w:tcBorders>
            <w:hideMark/>
          </w:tcPr>
          <w:p w14:paraId="7CDEFA1E"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Employed</w:t>
            </w:r>
          </w:p>
        </w:tc>
        <w:tc>
          <w:tcPr>
            <w:tcW w:w="952" w:type="pct"/>
            <w:tcBorders>
              <w:top w:val="none" w:sz="0" w:space="0" w:color="auto"/>
              <w:bottom w:val="none" w:sz="0" w:space="0" w:color="auto"/>
            </w:tcBorders>
            <w:hideMark/>
          </w:tcPr>
          <w:p w14:paraId="112E4A96"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139</w:t>
            </w:r>
          </w:p>
        </w:tc>
        <w:tc>
          <w:tcPr>
            <w:tcW w:w="874" w:type="pct"/>
            <w:tcBorders>
              <w:top w:val="none" w:sz="0" w:space="0" w:color="auto"/>
              <w:bottom w:val="none" w:sz="0" w:space="0" w:color="auto"/>
            </w:tcBorders>
            <w:hideMark/>
          </w:tcPr>
          <w:p w14:paraId="37F00F5F"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36.4</w:t>
            </w:r>
          </w:p>
        </w:tc>
      </w:tr>
      <w:tr w:rsidR="006C5EB3" w:rsidRPr="002A016F" w14:paraId="4270163B" w14:textId="77777777" w:rsidTr="00135CF7">
        <w:trPr>
          <w:trHeight w:val="278"/>
        </w:trPr>
        <w:tc>
          <w:tcPr>
            <w:cnfStyle w:val="001000000000" w:firstRow="0" w:lastRow="0" w:firstColumn="1" w:lastColumn="0" w:oddVBand="0" w:evenVBand="0" w:oddHBand="0" w:evenHBand="0" w:firstRowFirstColumn="0" w:firstRowLastColumn="0" w:lastRowFirstColumn="0" w:lastRowLastColumn="0"/>
            <w:tcW w:w="1585" w:type="pct"/>
            <w:vMerge/>
          </w:tcPr>
          <w:p w14:paraId="4CEFDF78" w14:textId="77777777" w:rsidR="006C5EB3" w:rsidRPr="002A016F" w:rsidRDefault="006C5EB3" w:rsidP="00135CF7">
            <w:pPr>
              <w:spacing w:line="360" w:lineRule="auto"/>
              <w:rPr>
                <w:rFonts w:ascii="Times New Roman" w:hAnsi="Times New Roman" w:cs="Times New Roman"/>
                <w:b w:val="0"/>
                <w:color w:val="000000"/>
              </w:rPr>
            </w:pPr>
          </w:p>
        </w:tc>
        <w:tc>
          <w:tcPr>
            <w:tcW w:w="1589" w:type="pct"/>
            <w:hideMark/>
          </w:tcPr>
          <w:p w14:paraId="295CC9D3"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Student</w:t>
            </w:r>
          </w:p>
        </w:tc>
        <w:tc>
          <w:tcPr>
            <w:tcW w:w="952" w:type="pct"/>
            <w:hideMark/>
          </w:tcPr>
          <w:p w14:paraId="67B76536"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40</w:t>
            </w:r>
          </w:p>
        </w:tc>
        <w:tc>
          <w:tcPr>
            <w:tcW w:w="874" w:type="pct"/>
            <w:hideMark/>
          </w:tcPr>
          <w:p w14:paraId="01B2C65A"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10.5</w:t>
            </w:r>
          </w:p>
        </w:tc>
      </w:tr>
      <w:tr w:rsidR="006C5EB3" w:rsidRPr="002A016F" w14:paraId="5D678DC6" w14:textId="77777777" w:rsidTr="00135CF7">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585" w:type="pct"/>
            <w:vMerge/>
            <w:tcBorders>
              <w:top w:val="none" w:sz="0" w:space="0" w:color="auto"/>
              <w:bottom w:val="none" w:sz="0" w:space="0" w:color="auto"/>
            </w:tcBorders>
          </w:tcPr>
          <w:p w14:paraId="61119D5E" w14:textId="77777777" w:rsidR="006C5EB3" w:rsidRPr="002A016F" w:rsidRDefault="006C5EB3" w:rsidP="00135CF7">
            <w:pPr>
              <w:spacing w:line="360" w:lineRule="auto"/>
              <w:rPr>
                <w:rFonts w:ascii="Times New Roman" w:hAnsi="Times New Roman" w:cs="Times New Roman"/>
                <w:b w:val="0"/>
                <w:color w:val="000000"/>
              </w:rPr>
            </w:pPr>
          </w:p>
        </w:tc>
        <w:tc>
          <w:tcPr>
            <w:tcW w:w="1589" w:type="pct"/>
            <w:tcBorders>
              <w:top w:val="none" w:sz="0" w:space="0" w:color="auto"/>
              <w:bottom w:val="none" w:sz="0" w:space="0" w:color="auto"/>
            </w:tcBorders>
            <w:hideMark/>
          </w:tcPr>
          <w:p w14:paraId="7BCEF803"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Unemployed</w:t>
            </w:r>
          </w:p>
        </w:tc>
        <w:tc>
          <w:tcPr>
            <w:tcW w:w="952" w:type="pct"/>
            <w:tcBorders>
              <w:top w:val="none" w:sz="0" w:space="0" w:color="auto"/>
              <w:bottom w:val="none" w:sz="0" w:space="0" w:color="auto"/>
            </w:tcBorders>
            <w:hideMark/>
          </w:tcPr>
          <w:p w14:paraId="4E0D7543"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203</w:t>
            </w:r>
          </w:p>
        </w:tc>
        <w:tc>
          <w:tcPr>
            <w:tcW w:w="874" w:type="pct"/>
            <w:tcBorders>
              <w:top w:val="none" w:sz="0" w:space="0" w:color="auto"/>
              <w:bottom w:val="none" w:sz="0" w:space="0" w:color="auto"/>
            </w:tcBorders>
            <w:hideMark/>
          </w:tcPr>
          <w:p w14:paraId="75587403"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53.1</w:t>
            </w:r>
          </w:p>
        </w:tc>
      </w:tr>
      <w:tr w:rsidR="006C5EB3" w:rsidRPr="002A016F" w14:paraId="5E9CE852" w14:textId="77777777" w:rsidTr="00135CF7">
        <w:trPr>
          <w:trHeight w:val="288"/>
        </w:trPr>
        <w:tc>
          <w:tcPr>
            <w:cnfStyle w:val="001000000000" w:firstRow="0" w:lastRow="0" w:firstColumn="1" w:lastColumn="0" w:oddVBand="0" w:evenVBand="0" w:oddHBand="0" w:evenHBand="0" w:firstRowFirstColumn="0" w:firstRowLastColumn="0" w:lastRowFirstColumn="0" w:lastRowLastColumn="0"/>
            <w:tcW w:w="1585" w:type="pct"/>
            <w:vMerge w:val="restart"/>
          </w:tcPr>
          <w:p w14:paraId="68B6DA57" w14:textId="77777777" w:rsidR="006C5EB3" w:rsidRPr="002A016F" w:rsidRDefault="006C5EB3" w:rsidP="00135CF7">
            <w:pPr>
              <w:spacing w:line="360" w:lineRule="auto"/>
              <w:rPr>
                <w:rFonts w:ascii="Times New Roman" w:hAnsi="Times New Roman" w:cs="Times New Roman"/>
                <w:b w:val="0"/>
                <w:color w:val="000000"/>
              </w:rPr>
            </w:pPr>
            <w:r w:rsidRPr="002A016F">
              <w:rPr>
                <w:rFonts w:ascii="Times New Roman" w:hAnsi="Times New Roman" w:cs="Times New Roman"/>
                <w:b w:val="0"/>
                <w:bCs w:val="0"/>
                <w:color w:val="000000"/>
              </w:rPr>
              <w:t>Level of income</w:t>
            </w:r>
          </w:p>
        </w:tc>
        <w:tc>
          <w:tcPr>
            <w:tcW w:w="1589" w:type="pct"/>
            <w:hideMark/>
          </w:tcPr>
          <w:p w14:paraId="49E32DA5"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10,000-20,000 SSP</w:t>
            </w:r>
          </w:p>
        </w:tc>
        <w:tc>
          <w:tcPr>
            <w:tcW w:w="952" w:type="pct"/>
            <w:hideMark/>
          </w:tcPr>
          <w:p w14:paraId="2B5AFE51"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51</w:t>
            </w:r>
          </w:p>
        </w:tc>
        <w:tc>
          <w:tcPr>
            <w:tcW w:w="874" w:type="pct"/>
            <w:hideMark/>
          </w:tcPr>
          <w:p w14:paraId="5CDB2810"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34.7</w:t>
            </w:r>
          </w:p>
        </w:tc>
      </w:tr>
      <w:tr w:rsidR="006C5EB3" w:rsidRPr="002A016F" w14:paraId="7FCB61D1" w14:textId="77777777" w:rsidTr="00135C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5" w:type="pct"/>
            <w:vMerge/>
            <w:tcBorders>
              <w:top w:val="none" w:sz="0" w:space="0" w:color="auto"/>
              <w:bottom w:val="none" w:sz="0" w:space="0" w:color="auto"/>
            </w:tcBorders>
          </w:tcPr>
          <w:p w14:paraId="44896AF4" w14:textId="77777777" w:rsidR="006C5EB3" w:rsidRPr="002A016F" w:rsidRDefault="006C5EB3" w:rsidP="00135CF7">
            <w:pPr>
              <w:spacing w:line="360" w:lineRule="auto"/>
              <w:rPr>
                <w:rFonts w:ascii="Times New Roman" w:hAnsi="Times New Roman" w:cs="Times New Roman"/>
                <w:b w:val="0"/>
                <w:color w:val="000000"/>
              </w:rPr>
            </w:pPr>
          </w:p>
        </w:tc>
        <w:tc>
          <w:tcPr>
            <w:tcW w:w="1589" w:type="pct"/>
            <w:tcBorders>
              <w:top w:val="none" w:sz="0" w:space="0" w:color="auto"/>
              <w:bottom w:val="none" w:sz="0" w:space="0" w:color="auto"/>
            </w:tcBorders>
            <w:hideMark/>
          </w:tcPr>
          <w:p w14:paraId="66D8F252"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&gt;20,000 SSP</w:t>
            </w:r>
          </w:p>
        </w:tc>
        <w:tc>
          <w:tcPr>
            <w:tcW w:w="952" w:type="pct"/>
            <w:tcBorders>
              <w:top w:val="none" w:sz="0" w:space="0" w:color="auto"/>
              <w:bottom w:val="none" w:sz="0" w:space="0" w:color="auto"/>
            </w:tcBorders>
            <w:hideMark/>
          </w:tcPr>
          <w:p w14:paraId="2BD53245"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96</w:t>
            </w:r>
          </w:p>
        </w:tc>
        <w:tc>
          <w:tcPr>
            <w:tcW w:w="874" w:type="pct"/>
            <w:tcBorders>
              <w:top w:val="none" w:sz="0" w:space="0" w:color="auto"/>
              <w:bottom w:val="none" w:sz="0" w:space="0" w:color="auto"/>
            </w:tcBorders>
            <w:hideMark/>
          </w:tcPr>
          <w:p w14:paraId="2CF64BEC"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65.3</w:t>
            </w:r>
          </w:p>
        </w:tc>
      </w:tr>
      <w:tr w:rsidR="006C5EB3" w:rsidRPr="002A016F" w14:paraId="2F5C9A37" w14:textId="77777777" w:rsidTr="00135CF7">
        <w:trPr>
          <w:trHeight w:val="288"/>
        </w:trPr>
        <w:tc>
          <w:tcPr>
            <w:cnfStyle w:val="001000000000" w:firstRow="0" w:lastRow="0" w:firstColumn="1" w:lastColumn="0" w:oddVBand="0" w:evenVBand="0" w:oddHBand="0" w:evenHBand="0" w:firstRowFirstColumn="0" w:firstRowLastColumn="0" w:lastRowFirstColumn="0" w:lastRowLastColumn="0"/>
            <w:tcW w:w="1585" w:type="pct"/>
            <w:vMerge w:val="restart"/>
          </w:tcPr>
          <w:p w14:paraId="38747AE6" w14:textId="77777777" w:rsidR="006C5EB3" w:rsidRPr="002A016F" w:rsidRDefault="006C5EB3" w:rsidP="00135CF7">
            <w:pPr>
              <w:spacing w:line="360" w:lineRule="auto"/>
              <w:rPr>
                <w:rFonts w:ascii="Times New Roman" w:hAnsi="Times New Roman" w:cs="Times New Roman"/>
                <w:b w:val="0"/>
                <w:color w:val="000000"/>
              </w:rPr>
            </w:pPr>
            <w:r w:rsidRPr="002A016F">
              <w:rPr>
                <w:rFonts w:ascii="Times New Roman" w:hAnsi="Times New Roman" w:cs="Times New Roman"/>
                <w:b w:val="0"/>
                <w:bCs w:val="0"/>
                <w:color w:val="000000"/>
              </w:rPr>
              <w:t>Marital status</w:t>
            </w:r>
          </w:p>
        </w:tc>
        <w:tc>
          <w:tcPr>
            <w:tcW w:w="1589" w:type="pct"/>
            <w:hideMark/>
          </w:tcPr>
          <w:p w14:paraId="679B99A7"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Monogamy</w:t>
            </w:r>
          </w:p>
        </w:tc>
        <w:tc>
          <w:tcPr>
            <w:tcW w:w="952" w:type="pct"/>
            <w:hideMark/>
          </w:tcPr>
          <w:p w14:paraId="57627C2D"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179</w:t>
            </w:r>
          </w:p>
        </w:tc>
        <w:tc>
          <w:tcPr>
            <w:tcW w:w="874" w:type="pct"/>
            <w:hideMark/>
          </w:tcPr>
          <w:p w14:paraId="7842A263"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46.9</w:t>
            </w:r>
          </w:p>
        </w:tc>
      </w:tr>
      <w:tr w:rsidR="006C5EB3" w:rsidRPr="002A016F" w14:paraId="1FFBBBF7" w14:textId="77777777" w:rsidTr="00135CF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85" w:type="pct"/>
            <w:vMerge/>
            <w:tcBorders>
              <w:top w:val="none" w:sz="0" w:space="0" w:color="auto"/>
              <w:bottom w:val="none" w:sz="0" w:space="0" w:color="auto"/>
            </w:tcBorders>
          </w:tcPr>
          <w:p w14:paraId="0E94F957" w14:textId="77777777" w:rsidR="006C5EB3" w:rsidRPr="002A016F" w:rsidRDefault="006C5EB3" w:rsidP="00135CF7">
            <w:pPr>
              <w:spacing w:line="360" w:lineRule="auto"/>
              <w:rPr>
                <w:rFonts w:ascii="Times New Roman" w:hAnsi="Times New Roman" w:cs="Times New Roman"/>
                <w:b w:val="0"/>
                <w:color w:val="000000"/>
              </w:rPr>
            </w:pPr>
          </w:p>
        </w:tc>
        <w:tc>
          <w:tcPr>
            <w:tcW w:w="1589" w:type="pct"/>
            <w:tcBorders>
              <w:top w:val="none" w:sz="0" w:space="0" w:color="auto"/>
              <w:bottom w:val="none" w:sz="0" w:space="0" w:color="auto"/>
            </w:tcBorders>
            <w:hideMark/>
          </w:tcPr>
          <w:p w14:paraId="042E2B6B"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Polygamy</w:t>
            </w:r>
          </w:p>
        </w:tc>
        <w:tc>
          <w:tcPr>
            <w:tcW w:w="952" w:type="pct"/>
            <w:tcBorders>
              <w:top w:val="none" w:sz="0" w:space="0" w:color="auto"/>
              <w:bottom w:val="none" w:sz="0" w:space="0" w:color="auto"/>
            </w:tcBorders>
            <w:hideMark/>
          </w:tcPr>
          <w:p w14:paraId="7A444CCF"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167</w:t>
            </w:r>
          </w:p>
        </w:tc>
        <w:tc>
          <w:tcPr>
            <w:tcW w:w="874" w:type="pct"/>
            <w:tcBorders>
              <w:top w:val="none" w:sz="0" w:space="0" w:color="auto"/>
              <w:bottom w:val="none" w:sz="0" w:space="0" w:color="auto"/>
            </w:tcBorders>
            <w:hideMark/>
          </w:tcPr>
          <w:p w14:paraId="29439018"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 xml:space="preserve">43.7 </w:t>
            </w:r>
          </w:p>
        </w:tc>
      </w:tr>
      <w:tr w:rsidR="006C5EB3" w:rsidRPr="002A016F" w14:paraId="055B17A1" w14:textId="77777777" w:rsidTr="00135CF7">
        <w:trPr>
          <w:trHeight w:val="288"/>
        </w:trPr>
        <w:tc>
          <w:tcPr>
            <w:cnfStyle w:val="001000000000" w:firstRow="0" w:lastRow="0" w:firstColumn="1" w:lastColumn="0" w:oddVBand="0" w:evenVBand="0" w:oddHBand="0" w:evenHBand="0" w:firstRowFirstColumn="0" w:firstRowLastColumn="0" w:lastRowFirstColumn="0" w:lastRowLastColumn="0"/>
            <w:tcW w:w="1585" w:type="pct"/>
            <w:vMerge/>
          </w:tcPr>
          <w:p w14:paraId="1766C501" w14:textId="77777777" w:rsidR="006C5EB3" w:rsidRPr="002A016F" w:rsidRDefault="006C5EB3" w:rsidP="00135CF7">
            <w:pPr>
              <w:spacing w:line="360" w:lineRule="auto"/>
              <w:rPr>
                <w:rFonts w:ascii="Times New Roman" w:hAnsi="Times New Roman" w:cs="Times New Roman"/>
                <w:b w:val="0"/>
                <w:color w:val="000000"/>
              </w:rPr>
            </w:pPr>
          </w:p>
        </w:tc>
        <w:tc>
          <w:tcPr>
            <w:tcW w:w="1589" w:type="pct"/>
            <w:hideMark/>
          </w:tcPr>
          <w:p w14:paraId="5CA07BC5"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Unmarried</w:t>
            </w:r>
          </w:p>
        </w:tc>
        <w:tc>
          <w:tcPr>
            <w:tcW w:w="952" w:type="pct"/>
            <w:hideMark/>
          </w:tcPr>
          <w:p w14:paraId="13B92E8D"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36</w:t>
            </w:r>
          </w:p>
        </w:tc>
        <w:tc>
          <w:tcPr>
            <w:tcW w:w="874" w:type="pct"/>
            <w:hideMark/>
          </w:tcPr>
          <w:p w14:paraId="423BA5F9"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9.4</w:t>
            </w:r>
          </w:p>
        </w:tc>
      </w:tr>
      <w:tr w:rsidR="006C5EB3" w:rsidRPr="002A016F" w14:paraId="38D53BF3" w14:textId="77777777" w:rsidTr="00135C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5" w:type="pct"/>
            <w:tcBorders>
              <w:top w:val="none" w:sz="0" w:space="0" w:color="auto"/>
              <w:bottom w:val="none" w:sz="0" w:space="0" w:color="auto"/>
            </w:tcBorders>
          </w:tcPr>
          <w:p w14:paraId="12A62A9F" w14:textId="77777777" w:rsidR="006C5EB3" w:rsidRPr="002A016F" w:rsidRDefault="006C5EB3" w:rsidP="00135CF7">
            <w:pPr>
              <w:spacing w:line="360" w:lineRule="auto"/>
              <w:rPr>
                <w:rFonts w:ascii="Times New Roman" w:hAnsi="Times New Roman" w:cs="Times New Roman"/>
                <w:b w:val="0"/>
                <w:color w:val="000000"/>
              </w:rPr>
            </w:pPr>
            <w:r w:rsidRPr="002A016F">
              <w:rPr>
                <w:rFonts w:ascii="Times New Roman" w:hAnsi="Times New Roman" w:cs="Times New Roman"/>
                <w:b w:val="0"/>
                <w:bCs w:val="0"/>
                <w:color w:val="000000"/>
              </w:rPr>
              <w:t xml:space="preserve">Gestational age                              </w:t>
            </w:r>
          </w:p>
        </w:tc>
        <w:tc>
          <w:tcPr>
            <w:tcW w:w="1589" w:type="pct"/>
            <w:tcBorders>
              <w:top w:val="none" w:sz="0" w:space="0" w:color="auto"/>
              <w:bottom w:val="none" w:sz="0" w:space="0" w:color="auto"/>
            </w:tcBorders>
            <w:hideMark/>
          </w:tcPr>
          <w:p w14:paraId="0BBDD2E8"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third trimester</w:t>
            </w:r>
          </w:p>
        </w:tc>
        <w:tc>
          <w:tcPr>
            <w:tcW w:w="952" w:type="pct"/>
            <w:tcBorders>
              <w:top w:val="none" w:sz="0" w:space="0" w:color="auto"/>
              <w:bottom w:val="none" w:sz="0" w:space="0" w:color="auto"/>
            </w:tcBorders>
            <w:hideMark/>
          </w:tcPr>
          <w:p w14:paraId="0C50CA27"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382</w:t>
            </w:r>
          </w:p>
        </w:tc>
        <w:tc>
          <w:tcPr>
            <w:tcW w:w="874" w:type="pct"/>
            <w:tcBorders>
              <w:top w:val="none" w:sz="0" w:space="0" w:color="auto"/>
              <w:bottom w:val="none" w:sz="0" w:space="0" w:color="auto"/>
            </w:tcBorders>
            <w:hideMark/>
          </w:tcPr>
          <w:p w14:paraId="1267F2AB"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100</w:t>
            </w:r>
          </w:p>
        </w:tc>
      </w:tr>
      <w:tr w:rsidR="006C5EB3" w:rsidRPr="002A016F" w14:paraId="123697B6" w14:textId="77777777" w:rsidTr="00135CF7">
        <w:trPr>
          <w:trHeight w:val="288"/>
        </w:trPr>
        <w:tc>
          <w:tcPr>
            <w:cnfStyle w:val="001000000000" w:firstRow="0" w:lastRow="0" w:firstColumn="1" w:lastColumn="0" w:oddVBand="0" w:evenVBand="0" w:oddHBand="0" w:evenHBand="0" w:firstRowFirstColumn="0" w:firstRowLastColumn="0" w:lastRowFirstColumn="0" w:lastRowLastColumn="0"/>
            <w:tcW w:w="1585" w:type="pct"/>
            <w:vMerge w:val="restart"/>
          </w:tcPr>
          <w:p w14:paraId="6769AB19" w14:textId="77777777" w:rsidR="006C5EB3" w:rsidRPr="002A016F" w:rsidRDefault="006C5EB3" w:rsidP="00135CF7">
            <w:pPr>
              <w:spacing w:line="360" w:lineRule="auto"/>
              <w:rPr>
                <w:rFonts w:ascii="Times New Roman" w:hAnsi="Times New Roman" w:cs="Times New Roman"/>
                <w:b w:val="0"/>
                <w:color w:val="000000"/>
              </w:rPr>
            </w:pPr>
            <w:r w:rsidRPr="002A016F">
              <w:rPr>
                <w:rFonts w:ascii="Times New Roman" w:hAnsi="Times New Roman" w:cs="Times New Roman"/>
                <w:b w:val="0"/>
                <w:bCs w:val="0"/>
                <w:color w:val="000000"/>
              </w:rPr>
              <w:t xml:space="preserve">Parity   </w:t>
            </w:r>
          </w:p>
        </w:tc>
        <w:tc>
          <w:tcPr>
            <w:tcW w:w="1589" w:type="pct"/>
            <w:hideMark/>
          </w:tcPr>
          <w:p w14:paraId="5BD5C568"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roofErr w:type="spellStart"/>
            <w:r w:rsidRPr="002A016F">
              <w:rPr>
                <w:rFonts w:ascii="Times New Roman" w:hAnsi="Times New Roman" w:cs="Times New Roman"/>
                <w:color w:val="000000"/>
              </w:rPr>
              <w:t>Granmultipara</w:t>
            </w:r>
            <w:proofErr w:type="spellEnd"/>
            <w:r w:rsidRPr="002A016F">
              <w:rPr>
                <w:rFonts w:ascii="Times New Roman" w:hAnsi="Times New Roman" w:cs="Times New Roman"/>
                <w:color w:val="000000"/>
              </w:rPr>
              <w:t xml:space="preserve"> &gt;4 children</w:t>
            </w:r>
          </w:p>
        </w:tc>
        <w:tc>
          <w:tcPr>
            <w:tcW w:w="952" w:type="pct"/>
            <w:hideMark/>
          </w:tcPr>
          <w:p w14:paraId="33031321"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96</w:t>
            </w:r>
          </w:p>
        </w:tc>
        <w:tc>
          <w:tcPr>
            <w:tcW w:w="874" w:type="pct"/>
            <w:hideMark/>
          </w:tcPr>
          <w:p w14:paraId="1801A57E"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25.1</w:t>
            </w:r>
          </w:p>
        </w:tc>
      </w:tr>
      <w:tr w:rsidR="006C5EB3" w:rsidRPr="002A016F" w14:paraId="29002375" w14:textId="77777777" w:rsidTr="00135C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5" w:type="pct"/>
            <w:vMerge/>
            <w:tcBorders>
              <w:top w:val="none" w:sz="0" w:space="0" w:color="auto"/>
              <w:bottom w:val="none" w:sz="0" w:space="0" w:color="auto"/>
            </w:tcBorders>
          </w:tcPr>
          <w:p w14:paraId="5366D8CA" w14:textId="77777777" w:rsidR="006C5EB3" w:rsidRPr="002A016F" w:rsidRDefault="006C5EB3" w:rsidP="00135CF7">
            <w:pPr>
              <w:spacing w:line="360" w:lineRule="auto"/>
              <w:rPr>
                <w:rFonts w:ascii="Times New Roman" w:hAnsi="Times New Roman" w:cs="Times New Roman"/>
                <w:b w:val="0"/>
                <w:color w:val="000000"/>
              </w:rPr>
            </w:pPr>
          </w:p>
        </w:tc>
        <w:tc>
          <w:tcPr>
            <w:tcW w:w="1589" w:type="pct"/>
            <w:tcBorders>
              <w:top w:val="none" w:sz="0" w:space="0" w:color="auto"/>
              <w:bottom w:val="none" w:sz="0" w:space="0" w:color="auto"/>
            </w:tcBorders>
            <w:hideMark/>
          </w:tcPr>
          <w:p w14:paraId="2B9795A6"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Multipara 2-4 children</w:t>
            </w:r>
          </w:p>
        </w:tc>
        <w:tc>
          <w:tcPr>
            <w:tcW w:w="952" w:type="pct"/>
            <w:tcBorders>
              <w:top w:val="none" w:sz="0" w:space="0" w:color="auto"/>
              <w:bottom w:val="none" w:sz="0" w:space="0" w:color="auto"/>
            </w:tcBorders>
            <w:hideMark/>
          </w:tcPr>
          <w:p w14:paraId="7154DA18"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227</w:t>
            </w:r>
          </w:p>
        </w:tc>
        <w:tc>
          <w:tcPr>
            <w:tcW w:w="874" w:type="pct"/>
            <w:tcBorders>
              <w:top w:val="none" w:sz="0" w:space="0" w:color="auto"/>
              <w:bottom w:val="none" w:sz="0" w:space="0" w:color="auto"/>
            </w:tcBorders>
            <w:hideMark/>
          </w:tcPr>
          <w:p w14:paraId="5F3FADEC"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59.4</w:t>
            </w:r>
          </w:p>
        </w:tc>
      </w:tr>
      <w:tr w:rsidR="006C5EB3" w:rsidRPr="002A016F" w14:paraId="3A2B1D98" w14:textId="77777777" w:rsidTr="00135CF7">
        <w:trPr>
          <w:trHeight w:val="317"/>
        </w:trPr>
        <w:tc>
          <w:tcPr>
            <w:cnfStyle w:val="001000000000" w:firstRow="0" w:lastRow="0" w:firstColumn="1" w:lastColumn="0" w:oddVBand="0" w:evenVBand="0" w:oddHBand="0" w:evenHBand="0" w:firstRowFirstColumn="0" w:firstRowLastColumn="0" w:lastRowFirstColumn="0" w:lastRowLastColumn="0"/>
            <w:tcW w:w="1585" w:type="pct"/>
            <w:vMerge/>
          </w:tcPr>
          <w:p w14:paraId="055D087D" w14:textId="77777777" w:rsidR="006C5EB3" w:rsidRPr="002A016F" w:rsidRDefault="006C5EB3" w:rsidP="00135CF7">
            <w:pPr>
              <w:spacing w:line="360" w:lineRule="auto"/>
              <w:rPr>
                <w:rFonts w:ascii="Times New Roman" w:hAnsi="Times New Roman" w:cs="Times New Roman"/>
                <w:b w:val="0"/>
                <w:color w:val="000000"/>
              </w:rPr>
            </w:pPr>
          </w:p>
        </w:tc>
        <w:tc>
          <w:tcPr>
            <w:tcW w:w="1589" w:type="pct"/>
            <w:hideMark/>
          </w:tcPr>
          <w:p w14:paraId="5D1B53BD"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Primipara 1 child</w:t>
            </w:r>
          </w:p>
        </w:tc>
        <w:tc>
          <w:tcPr>
            <w:tcW w:w="952" w:type="pct"/>
            <w:hideMark/>
          </w:tcPr>
          <w:p w14:paraId="7C685991"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59</w:t>
            </w:r>
          </w:p>
        </w:tc>
        <w:tc>
          <w:tcPr>
            <w:tcW w:w="874" w:type="pct"/>
            <w:hideMark/>
          </w:tcPr>
          <w:p w14:paraId="4A40FCB2"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15.5</w:t>
            </w:r>
          </w:p>
        </w:tc>
      </w:tr>
      <w:tr w:rsidR="006C5EB3" w:rsidRPr="002A016F" w14:paraId="089F8096" w14:textId="77777777" w:rsidTr="00135C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5" w:type="pct"/>
            <w:vMerge w:val="restart"/>
            <w:tcBorders>
              <w:top w:val="none" w:sz="0" w:space="0" w:color="auto"/>
              <w:bottom w:val="none" w:sz="0" w:space="0" w:color="auto"/>
            </w:tcBorders>
          </w:tcPr>
          <w:p w14:paraId="231B1D66" w14:textId="77777777" w:rsidR="006C5EB3" w:rsidRPr="002A016F" w:rsidRDefault="006C5EB3" w:rsidP="00135CF7">
            <w:pPr>
              <w:spacing w:line="360" w:lineRule="auto"/>
              <w:rPr>
                <w:rFonts w:ascii="Times New Roman" w:hAnsi="Times New Roman" w:cs="Times New Roman"/>
                <w:b w:val="0"/>
                <w:color w:val="000000"/>
              </w:rPr>
            </w:pPr>
            <w:r w:rsidRPr="002A016F">
              <w:rPr>
                <w:rFonts w:ascii="Times New Roman" w:hAnsi="Times New Roman" w:cs="Times New Roman"/>
                <w:b w:val="0"/>
                <w:bCs w:val="0"/>
                <w:color w:val="000000"/>
              </w:rPr>
              <w:t>Husband/spouse's working status</w:t>
            </w:r>
          </w:p>
        </w:tc>
        <w:tc>
          <w:tcPr>
            <w:tcW w:w="1589" w:type="pct"/>
            <w:tcBorders>
              <w:top w:val="none" w:sz="0" w:space="0" w:color="auto"/>
              <w:bottom w:val="none" w:sz="0" w:space="0" w:color="auto"/>
            </w:tcBorders>
          </w:tcPr>
          <w:p w14:paraId="624388FA" w14:textId="77777777" w:rsidR="006C5EB3" w:rsidRPr="002A016F" w:rsidRDefault="006C5EB3" w:rsidP="00135CF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Not working</w:t>
            </w:r>
          </w:p>
        </w:tc>
        <w:tc>
          <w:tcPr>
            <w:tcW w:w="952" w:type="pct"/>
            <w:tcBorders>
              <w:top w:val="none" w:sz="0" w:space="0" w:color="auto"/>
              <w:bottom w:val="none" w:sz="0" w:space="0" w:color="auto"/>
            </w:tcBorders>
          </w:tcPr>
          <w:p w14:paraId="53EABE21"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127</w:t>
            </w:r>
          </w:p>
        </w:tc>
        <w:tc>
          <w:tcPr>
            <w:tcW w:w="874" w:type="pct"/>
            <w:tcBorders>
              <w:top w:val="none" w:sz="0" w:space="0" w:color="auto"/>
              <w:bottom w:val="none" w:sz="0" w:space="0" w:color="auto"/>
            </w:tcBorders>
          </w:tcPr>
          <w:p w14:paraId="6F8CD39F" w14:textId="77777777" w:rsidR="006C5EB3" w:rsidRPr="002A016F" w:rsidRDefault="006C5EB3" w:rsidP="00135CF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34.9</w:t>
            </w:r>
          </w:p>
        </w:tc>
      </w:tr>
      <w:tr w:rsidR="006C5EB3" w:rsidRPr="002A016F" w14:paraId="05677866" w14:textId="77777777" w:rsidTr="00135CF7">
        <w:trPr>
          <w:trHeight w:val="288"/>
        </w:trPr>
        <w:tc>
          <w:tcPr>
            <w:cnfStyle w:val="001000000000" w:firstRow="0" w:lastRow="0" w:firstColumn="1" w:lastColumn="0" w:oddVBand="0" w:evenVBand="0" w:oddHBand="0" w:evenHBand="0" w:firstRowFirstColumn="0" w:firstRowLastColumn="0" w:lastRowFirstColumn="0" w:lastRowLastColumn="0"/>
            <w:tcW w:w="1585" w:type="pct"/>
            <w:vMerge/>
            <w:tcBorders>
              <w:bottom w:val="single" w:sz="4" w:space="0" w:color="auto"/>
            </w:tcBorders>
          </w:tcPr>
          <w:p w14:paraId="6A14BDDA" w14:textId="77777777" w:rsidR="006C5EB3" w:rsidRPr="002A016F" w:rsidRDefault="006C5EB3" w:rsidP="00135CF7">
            <w:pPr>
              <w:spacing w:line="360" w:lineRule="auto"/>
              <w:rPr>
                <w:rFonts w:ascii="Times New Roman" w:hAnsi="Times New Roman" w:cs="Times New Roman"/>
                <w:b w:val="0"/>
                <w:color w:val="000000"/>
              </w:rPr>
            </w:pPr>
          </w:p>
        </w:tc>
        <w:tc>
          <w:tcPr>
            <w:tcW w:w="1589" w:type="pct"/>
            <w:tcBorders>
              <w:bottom w:val="single" w:sz="4" w:space="0" w:color="auto"/>
            </w:tcBorders>
          </w:tcPr>
          <w:p w14:paraId="38C43959" w14:textId="77777777" w:rsidR="006C5EB3" w:rsidRPr="002A016F" w:rsidRDefault="006C5EB3" w:rsidP="00135CF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Working</w:t>
            </w:r>
          </w:p>
        </w:tc>
        <w:tc>
          <w:tcPr>
            <w:tcW w:w="952" w:type="pct"/>
            <w:tcBorders>
              <w:bottom w:val="single" w:sz="4" w:space="0" w:color="auto"/>
            </w:tcBorders>
          </w:tcPr>
          <w:p w14:paraId="5AD8ED69"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137</w:t>
            </w:r>
          </w:p>
        </w:tc>
        <w:tc>
          <w:tcPr>
            <w:tcW w:w="874" w:type="pct"/>
            <w:tcBorders>
              <w:bottom w:val="single" w:sz="4" w:space="0" w:color="auto"/>
            </w:tcBorders>
          </w:tcPr>
          <w:p w14:paraId="4F18CC6E" w14:textId="77777777" w:rsidR="006C5EB3" w:rsidRPr="002A016F" w:rsidRDefault="006C5EB3" w:rsidP="00135CF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2A016F">
              <w:rPr>
                <w:rFonts w:ascii="Times New Roman" w:hAnsi="Times New Roman" w:cs="Times New Roman"/>
                <w:color w:val="000000"/>
              </w:rPr>
              <w:t>65.1</w:t>
            </w:r>
          </w:p>
        </w:tc>
      </w:tr>
    </w:tbl>
    <w:p w14:paraId="6D828BC3" w14:textId="77777777" w:rsidR="006C5EB3" w:rsidRPr="00224E75" w:rsidRDefault="006C5EB3" w:rsidP="006C5EB3">
      <w:pPr>
        <w:rPr>
          <w:b/>
          <w:szCs w:val="24"/>
        </w:rPr>
      </w:pPr>
    </w:p>
    <w:p w14:paraId="4438A636" w14:textId="77777777" w:rsidR="006C5EB3" w:rsidRDefault="006C5EB3" w:rsidP="006C5EB3">
      <w:pPr>
        <w:spacing w:line="360" w:lineRule="auto"/>
        <w:jc w:val="both"/>
        <w:rPr>
          <w:rFonts w:ascii="Times New Roman" w:hAnsi="Times New Roman" w:cs="Times New Roman"/>
          <w:sz w:val="24"/>
          <w:szCs w:val="24"/>
        </w:rPr>
      </w:pPr>
    </w:p>
    <w:p w14:paraId="4C4D2E86" w14:textId="77777777" w:rsidR="006C5EB3" w:rsidRDefault="006C5EB3" w:rsidP="006C5EB3">
      <w:pPr>
        <w:spacing w:line="360" w:lineRule="auto"/>
        <w:jc w:val="both"/>
        <w:rPr>
          <w:rFonts w:ascii="Times New Roman" w:hAnsi="Times New Roman" w:cs="Times New Roman"/>
          <w:sz w:val="24"/>
          <w:szCs w:val="24"/>
        </w:rPr>
      </w:pPr>
    </w:p>
    <w:p w14:paraId="47FE9A67"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0D764573"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0D531310"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470F0ED3" w14:textId="77777777" w:rsidR="006C5EB3" w:rsidRPr="006C5EB3" w:rsidRDefault="006C5EB3" w:rsidP="006C5EB3">
      <w:pPr>
        <w:rPr>
          <w:rFonts w:ascii="Times New Roman" w:hAnsi="Times New Roman" w:cs="Times New Roman"/>
          <w:b/>
          <w:sz w:val="24"/>
          <w:szCs w:val="24"/>
        </w:rPr>
      </w:pPr>
      <w:r w:rsidRPr="006C5EB3">
        <w:rPr>
          <w:rFonts w:ascii="Times New Roman" w:hAnsi="Times New Roman" w:cs="Times New Roman"/>
          <w:b/>
          <w:sz w:val="24"/>
          <w:szCs w:val="24"/>
        </w:rPr>
        <w:lastRenderedPageBreak/>
        <w:t>Table 2: Predictors of HBV</w:t>
      </w:r>
    </w:p>
    <w:p w14:paraId="27B88F78" w14:textId="77777777" w:rsidR="006C5EB3" w:rsidRPr="002A016F" w:rsidRDefault="006C5EB3" w:rsidP="006C5EB3"/>
    <w:tbl>
      <w:tblPr>
        <w:tblW w:w="5000" w:type="pct"/>
        <w:tblLook w:val="04A0" w:firstRow="1" w:lastRow="0" w:firstColumn="1" w:lastColumn="0" w:noHBand="0" w:noVBand="1"/>
      </w:tblPr>
      <w:tblGrid>
        <w:gridCol w:w="2919"/>
        <w:gridCol w:w="1213"/>
        <w:gridCol w:w="964"/>
        <w:gridCol w:w="1118"/>
        <w:gridCol w:w="996"/>
        <w:gridCol w:w="958"/>
        <w:gridCol w:w="1192"/>
      </w:tblGrid>
      <w:tr w:rsidR="006C5EB3" w:rsidRPr="002A016F" w14:paraId="5A1A367B" w14:textId="77777777" w:rsidTr="00135CF7">
        <w:trPr>
          <w:trHeight w:val="506"/>
        </w:trPr>
        <w:tc>
          <w:tcPr>
            <w:tcW w:w="1559" w:type="pct"/>
            <w:tcBorders>
              <w:top w:val="single" w:sz="4" w:space="0" w:color="auto"/>
              <w:bottom w:val="single" w:sz="4" w:space="0" w:color="auto"/>
            </w:tcBorders>
            <w:shd w:val="clear" w:color="auto" w:fill="auto"/>
            <w:vAlign w:val="center"/>
            <w:hideMark/>
          </w:tcPr>
          <w:p w14:paraId="6E64A7C3"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Age of start of sexual life</w:t>
            </w:r>
          </w:p>
        </w:tc>
        <w:tc>
          <w:tcPr>
            <w:tcW w:w="648" w:type="pct"/>
            <w:tcBorders>
              <w:top w:val="single" w:sz="4" w:space="0" w:color="auto"/>
              <w:bottom w:val="single" w:sz="4" w:space="0" w:color="auto"/>
            </w:tcBorders>
            <w:shd w:val="clear" w:color="auto" w:fill="auto"/>
            <w:vAlign w:val="center"/>
            <w:hideMark/>
          </w:tcPr>
          <w:p w14:paraId="2684D462"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Odds ratio</w:t>
            </w:r>
          </w:p>
        </w:tc>
        <w:tc>
          <w:tcPr>
            <w:tcW w:w="515" w:type="pct"/>
            <w:tcBorders>
              <w:top w:val="single" w:sz="4" w:space="0" w:color="auto"/>
              <w:bottom w:val="single" w:sz="4" w:space="0" w:color="auto"/>
            </w:tcBorders>
            <w:shd w:val="clear" w:color="auto" w:fill="auto"/>
            <w:vAlign w:val="center"/>
            <w:hideMark/>
          </w:tcPr>
          <w:p w14:paraId="50D486D9"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 xml:space="preserve">Std. </w:t>
            </w:r>
            <w:proofErr w:type="gramStart"/>
            <w:r w:rsidRPr="002A016F">
              <w:rPr>
                <w:rFonts w:ascii="Times New Roman" w:hAnsi="Times New Roman" w:cs="Times New Roman"/>
                <w:b/>
              </w:rPr>
              <w:t>err</w:t>
            </w:r>
            <w:proofErr w:type="gramEnd"/>
            <w:r w:rsidRPr="002A016F">
              <w:rPr>
                <w:rFonts w:ascii="Times New Roman" w:hAnsi="Times New Roman" w:cs="Times New Roman"/>
                <w:b/>
              </w:rPr>
              <w:t>.</w:t>
            </w:r>
          </w:p>
        </w:tc>
        <w:tc>
          <w:tcPr>
            <w:tcW w:w="597" w:type="pct"/>
            <w:tcBorders>
              <w:top w:val="single" w:sz="4" w:space="0" w:color="auto"/>
              <w:bottom w:val="single" w:sz="4" w:space="0" w:color="auto"/>
            </w:tcBorders>
            <w:shd w:val="clear" w:color="auto" w:fill="auto"/>
            <w:vAlign w:val="center"/>
            <w:hideMark/>
          </w:tcPr>
          <w:p w14:paraId="0446051B"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z</w:t>
            </w:r>
          </w:p>
        </w:tc>
        <w:tc>
          <w:tcPr>
            <w:tcW w:w="532" w:type="pct"/>
            <w:tcBorders>
              <w:top w:val="single" w:sz="4" w:space="0" w:color="auto"/>
              <w:bottom w:val="single" w:sz="4" w:space="0" w:color="auto"/>
            </w:tcBorders>
            <w:shd w:val="clear" w:color="auto" w:fill="auto"/>
            <w:vAlign w:val="center"/>
            <w:hideMark/>
          </w:tcPr>
          <w:p w14:paraId="0D3EA139"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P&gt;z</w:t>
            </w:r>
          </w:p>
        </w:tc>
        <w:tc>
          <w:tcPr>
            <w:tcW w:w="1150" w:type="pct"/>
            <w:gridSpan w:val="2"/>
            <w:tcBorders>
              <w:top w:val="single" w:sz="4" w:space="0" w:color="auto"/>
              <w:bottom w:val="single" w:sz="4" w:space="0" w:color="auto"/>
            </w:tcBorders>
            <w:shd w:val="clear" w:color="auto" w:fill="auto"/>
            <w:vAlign w:val="center"/>
            <w:hideMark/>
          </w:tcPr>
          <w:p w14:paraId="36BBB4F7"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[95% conf. interval]</w:t>
            </w:r>
          </w:p>
        </w:tc>
      </w:tr>
      <w:tr w:rsidR="006C5EB3" w:rsidRPr="002A016F" w14:paraId="23EE572B" w14:textId="77777777" w:rsidTr="00135CF7">
        <w:trPr>
          <w:trHeight w:val="307"/>
        </w:trPr>
        <w:tc>
          <w:tcPr>
            <w:tcW w:w="1559" w:type="pct"/>
            <w:tcBorders>
              <w:top w:val="single" w:sz="4" w:space="0" w:color="auto"/>
            </w:tcBorders>
            <w:shd w:val="clear" w:color="auto" w:fill="auto"/>
            <w:vAlign w:val="center"/>
            <w:hideMark/>
          </w:tcPr>
          <w:p w14:paraId="3AA8E2DA"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13-15 years</w:t>
            </w:r>
          </w:p>
        </w:tc>
        <w:tc>
          <w:tcPr>
            <w:tcW w:w="648" w:type="pct"/>
            <w:tcBorders>
              <w:top w:val="single" w:sz="4" w:space="0" w:color="auto"/>
            </w:tcBorders>
            <w:shd w:val="clear" w:color="auto" w:fill="auto"/>
            <w:vAlign w:val="center"/>
            <w:hideMark/>
          </w:tcPr>
          <w:p w14:paraId="7C139AAF" w14:textId="77777777" w:rsidR="006C5EB3" w:rsidRPr="002A016F" w:rsidRDefault="006C5EB3" w:rsidP="00135CF7">
            <w:pPr>
              <w:rPr>
                <w:rFonts w:ascii="Times New Roman" w:hAnsi="Times New Roman" w:cs="Times New Roman"/>
                <w:b/>
                <w:i/>
              </w:rPr>
            </w:pPr>
            <w:r w:rsidRPr="002A016F">
              <w:rPr>
                <w:rFonts w:ascii="Times New Roman" w:hAnsi="Times New Roman" w:cs="Times New Roman"/>
                <w:b/>
                <w:i/>
              </w:rPr>
              <w:t>Ref</w:t>
            </w:r>
          </w:p>
        </w:tc>
        <w:tc>
          <w:tcPr>
            <w:tcW w:w="515" w:type="pct"/>
            <w:tcBorders>
              <w:top w:val="single" w:sz="4" w:space="0" w:color="auto"/>
            </w:tcBorders>
            <w:shd w:val="clear" w:color="auto" w:fill="auto"/>
            <w:vAlign w:val="center"/>
            <w:hideMark/>
          </w:tcPr>
          <w:p w14:paraId="17223572" w14:textId="77777777" w:rsidR="006C5EB3" w:rsidRPr="002A016F" w:rsidRDefault="006C5EB3" w:rsidP="00135CF7">
            <w:pPr>
              <w:rPr>
                <w:rFonts w:ascii="Times New Roman" w:hAnsi="Times New Roman" w:cs="Times New Roman"/>
              </w:rPr>
            </w:pPr>
          </w:p>
        </w:tc>
        <w:tc>
          <w:tcPr>
            <w:tcW w:w="597" w:type="pct"/>
            <w:tcBorders>
              <w:top w:val="single" w:sz="4" w:space="0" w:color="auto"/>
            </w:tcBorders>
            <w:shd w:val="clear" w:color="auto" w:fill="auto"/>
            <w:noWrap/>
            <w:vAlign w:val="bottom"/>
            <w:hideMark/>
          </w:tcPr>
          <w:p w14:paraId="16691249" w14:textId="77777777" w:rsidR="006C5EB3" w:rsidRPr="002A016F" w:rsidRDefault="006C5EB3" w:rsidP="00135CF7">
            <w:pPr>
              <w:rPr>
                <w:rFonts w:ascii="Times New Roman" w:hAnsi="Times New Roman" w:cs="Times New Roman"/>
              </w:rPr>
            </w:pPr>
          </w:p>
        </w:tc>
        <w:tc>
          <w:tcPr>
            <w:tcW w:w="532" w:type="pct"/>
            <w:vMerge w:val="restart"/>
            <w:tcBorders>
              <w:top w:val="single" w:sz="4" w:space="0" w:color="auto"/>
            </w:tcBorders>
            <w:shd w:val="clear" w:color="auto" w:fill="auto"/>
            <w:vAlign w:val="center"/>
            <w:hideMark/>
          </w:tcPr>
          <w:p w14:paraId="57EF3304"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0.968</w:t>
            </w:r>
          </w:p>
        </w:tc>
        <w:tc>
          <w:tcPr>
            <w:tcW w:w="512" w:type="pct"/>
            <w:tcBorders>
              <w:top w:val="single" w:sz="4" w:space="0" w:color="auto"/>
            </w:tcBorders>
            <w:shd w:val="clear" w:color="auto" w:fill="auto"/>
            <w:noWrap/>
            <w:vAlign w:val="bottom"/>
            <w:hideMark/>
          </w:tcPr>
          <w:p w14:paraId="0E84F8A6"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xml:space="preserve">Lower </w:t>
            </w:r>
          </w:p>
        </w:tc>
        <w:tc>
          <w:tcPr>
            <w:tcW w:w="638" w:type="pct"/>
            <w:tcBorders>
              <w:top w:val="single" w:sz="4" w:space="0" w:color="auto"/>
            </w:tcBorders>
            <w:shd w:val="clear" w:color="auto" w:fill="auto"/>
            <w:noWrap/>
            <w:vAlign w:val="bottom"/>
            <w:hideMark/>
          </w:tcPr>
          <w:p w14:paraId="1E43A3C4"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Upper</w:t>
            </w:r>
          </w:p>
        </w:tc>
      </w:tr>
      <w:tr w:rsidR="006C5EB3" w:rsidRPr="002A016F" w14:paraId="65E17E76" w14:textId="77777777" w:rsidTr="00135CF7">
        <w:trPr>
          <w:trHeight w:val="317"/>
        </w:trPr>
        <w:tc>
          <w:tcPr>
            <w:tcW w:w="1559" w:type="pct"/>
            <w:shd w:val="clear" w:color="auto" w:fill="auto"/>
            <w:vAlign w:val="center"/>
            <w:hideMark/>
          </w:tcPr>
          <w:p w14:paraId="0992D29C"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16 years and above</w:t>
            </w:r>
          </w:p>
        </w:tc>
        <w:tc>
          <w:tcPr>
            <w:tcW w:w="648" w:type="pct"/>
            <w:shd w:val="clear" w:color="auto" w:fill="auto"/>
            <w:vAlign w:val="center"/>
            <w:hideMark/>
          </w:tcPr>
          <w:p w14:paraId="60A650CF"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0.982</w:t>
            </w:r>
          </w:p>
        </w:tc>
        <w:tc>
          <w:tcPr>
            <w:tcW w:w="515" w:type="pct"/>
            <w:shd w:val="clear" w:color="auto" w:fill="auto"/>
            <w:vAlign w:val="center"/>
            <w:hideMark/>
          </w:tcPr>
          <w:p w14:paraId="6777007F"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0.434</w:t>
            </w:r>
          </w:p>
        </w:tc>
        <w:tc>
          <w:tcPr>
            <w:tcW w:w="597" w:type="pct"/>
            <w:shd w:val="clear" w:color="auto" w:fill="auto"/>
            <w:vAlign w:val="center"/>
            <w:hideMark/>
          </w:tcPr>
          <w:p w14:paraId="5B5AE62C"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-0.041</w:t>
            </w:r>
          </w:p>
        </w:tc>
        <w:tc>
          <w:tcPr>
            <w:tcW w:w="532" w:type="pct"/>
            <w:vMerge/>
            <w:vAlign w:val="center"/>
            <w:hideMark/>
          </w:tcPr>
          <w:p w14:paraId="493CFE40" w14:textId="77777777" w:rsidR="006C5EB3" w:rsidRPr="002A016F" w:rsidRDefault="006C5EB3" w:rsidP="00135CF7">
            <w:pPr>
              <w:rPr>
                <w:rFonts w:ascii="Times New Roman" w:hAnsi="Times New Roman" w:cs="Times New Roman"/>
              </w:rPr>
            </w:pPr>
          </w:p>
        </w:tc>
        <w:tc>
          <w:tcPr>
            <w:tcW w:w="512" w:type="pct"/>
            <w:shd w:val="clear" w:color="auto" w:fill="auto"/>
            <w:vAlign w:val="center"/>
            <w:hideMark/>
          </w:tcPr>
          <w:p w14:paraId="43F2B60A"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0.413</w:t>
            </w:r>
          </w:p>
        </w:tc>
        <w:tc>
          <w:tcPr>
            <w:tcW w:w="638" w:type="pct"/>
            <w:shd w:val="clear" w:color="auto" w:fill="auto"/>
            <w:vAlign w:val="center"/>
            <w:hideMark/>
          </w:tcPr>
          <w:p w14:paraId="513E80D6"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2.337</w:t>
            </w:r>
          </w:p>
        </w:tc>
      </w:tr>
      <w:tr w:rsidR="006C5EB3" w:rsidRPr="002A016F" w14:paraId="20D73A0F" w14:textId="77777777" w:rsidTr="00135CF7">
        <w:trPr>
          <w:trHeight w:val="317"/>
        </w:trPr>
        <w:tc>
          <w:tcPr>
            <w:tcW w:w="1559" w:type="pct"/>
            <w:shd w:val="clear" w:color="auto" w:fill="auto"/>
            <w:vAlign w:val="center"/>
            <w:hideMark/>
          </w:tcPr>
          <w:p w14:paraId="16BD6437"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Had surgical operation</w:t>
            </w:r>
          </w:p>
        </w:tc>
        <w:tc>
          <w:tcPr>
            <w:tcW w:w="648" w:type="pct"/>
            <w:shd w:val="clear" w:color="auto" w:fill="auto"/>
            <w:noWrap/>
            <w:vAlign w:val="bottom"/>
            <w:hideMark/>
          </w:tcPr>
          <w:p w14:paraId="7ABA424E"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5" w:type="pct"/>
            <w:shd w:val="clear" w:color="auto" w:fill="auto"/>
            <w:noWrap/>
            <w:vAlign w:val="bottom"/>
            <w:hideMark/>
          </w:tcPr>
          <w:p w14:paraId="568EB09B"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97" w:type="pct"/>
            <w:shd w:val="clear" w:color="auto" w:fill="auto"/>
            <w:noWrap/>
            <w:vAlign w:val="bottom"/>
            <w:hideMark/>
          </w:tcPr>
          <w:p w14:paraId="3B1A1754"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32" w:type="pct"/>
            <w:shd w:val="clear" w:color="auto" w:fill="auto"/>
            <w:noWrap/>
            <w:vAlign w:val="bottom"/>
            <w:hideMark/>
          </w:tcPr>
          <w:p w14:paraId="72FDD65E"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2" w:type="pct"/>
            <w:shd w:val="clear" w:color="auto" w:fill="auto"/>
            <w:noWrap/>
            <w:vAlign w:val="bottom"/>
            <w:hideMark/>
          </w:tcPr>
          <w:p w14:paraId="0F15C0B9"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638" w:type="pct"/>
            <w:shd w:val="clear" w:color="auto" w:fill="auto"/>
            <w:noWrap/>
            <w:vAlign w:val="bottom"/>
            <w:hideMark/>
          </w:tcPr>
          <w:p w14:paraId="508F3453"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r>
      <w:tr w:rsidR="006C5EB3" w:rsidRPr="002A016F" w14:paraId="4D526CA7" w14:textId="77777777" w:rsidTr="00135CF7">
        <w:trPr>
          <w:trHeight w:val="307"/>
        </w:trPr>
        <w:tc>
          <w:tcPr>
            <w:tcW w:w="1559" w:type="pct"/>
            <w:shd w:val="clear" w:color="auto" w:fill="auto"/>
            <w:vAlign w:val="center"/>
            <w:hideMark/>
          </w:tcPr>
          <w:p w14:paraId="7BDB061F"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No</w:t>
            </w:r>
          </w:p>
        </w:tc>
        <w:tc>
          <w:tcPr>
            <w:tcW w:w="648" w:type="pct"/>
            <w:shd w:val="clear" w:color="auto" w:fill="auto"/>
            <w:vAlign w:val="center"/>
            <w:hideMark/>
          </w:tcPr>
          <w:p w14:paraId="1C86C7B4" w14:textId="77777777" w:rsidR="006C5EB3" w:rsidRPr="002A016F" w:rsidRDefault="006C5EB3" w:rsidP="00135CF7">
            <w:pPr>
              <w:rPr>
                <w:rFonts w:ascii="Times New Roman" w:hAnsi="Times New Roman" w:cs="Times New Roman"/>
                <w:b/>
                <w:i/>
              </w:rPr>
            </w:pPr>
            <w:r w:rsidRPr="002A016F">
              <w:rPr>
                <w:rFonts w:ascii="Times New Roman" w:hAnsi="Times New Roman" w:cs="Times New Roman"/>
                <w:b/>
                <w:i/>
              </w:rPr>
              <w:t>Ref</w:t>
            </w:r>
          </w:p>
        </w:tc>
        <w:tc>
          <w:tcPr>
            <w:tcW w:w="515" w:type="pct"/>
            <w:shd w:val="clear" w:color="auto" w:fill="auto"/>
            <w:vAlign w:val="center"/>
            <w:hideMark/>
          </w:tcPr>
          <w:p w14:paraId="79A8025A" w14:textId="77777777" w:rsidR="006C5EB3" w:rsidRPr="002A016F" w:rsidRDefault="006C5EB3" w:rsidP="00135CF7">
            <w:pPr>
              <w:rPr>
                <w:rFonts w:ascii="Times New Roman" w:hAnsi="Times New Roman" w:cs="Times New Roman"/>
              </w:rPr>
            </w:pPr>
          </w:p>
        </w:tc>
        <w:tc>
          <w:tcPr>
            <w:tcW w:w="597" w:type="pct"/>
            <w:shd w:val="clear" w:color="auto" w:fill="auto"/>
            <w:noWrap/>
            <w:vAlign w:val="bottom"/>
            <w:hideMark/>
          </w:tcPr>
          <w:p w14:paraId="3D6F3F37" w14:textId="77777777" w:rsidR="006C5EB3" w:rsidRPr="002A016F" w:rsidRDefault="006C5EB3" w:rsidP="00135CF7">
            <w:pPr>
              <w:rPr>
                <w:rFonts w:ascii="Times New Roman" w:hAnsi="Times New Roman" w:cs="Times New Roman"/>
              </w:rPr>
            </w:pPr>
          </w:p>
        </w:tc>
        <w:tc>
          <w:tcPr>
            <w:tcW w:w="532" w:type="pct"/>
            <w:vMerge w:val="restart"/>
            <w:shd w:val="clear" w:color="auto" w:fill="auto"/>
            <w:vAlign w:val="center"/>
            <w:hideMark/>
          </w:tcPr>
          <w:p w14:paraId="6FD8F905"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0.726</w:t>
            </w:r>
          </w:p>
        </w:tc>
        <w:tc>
          <w:tcPr>
            <w:tcW w:w="512" w:type="pct"/>
            <w:shd w:val="clear" w:color="auto" w:fill="auto"/>
            <w:noWrap/>
            <w:vAlign w:val="bottom"/>
            <w:hideMark/>
          </w:tcPr>
          <w:p w14:paraId="71D61F10" w14:textId="77777777" w:rsidR="006C5EB3" w:rsidRPr="002A016F" w:rsidRDefault="006C5EB3" w:rsidP="00135CF7">
            <w:pPr>
              <w:rPr>
                <w:rFonts w:ascii="Times New Roman" w:hAnsi="Times New Roman" w:cs="Times New Roman"/>
              </w:rPr>
            </w:pPr>
          </w:p>
        </w:tc>
        <w:tc>
          <w:tcPr>
            <w:tcW w:w="638" w:type="pct"/>
            <w:shd w:val="clear" w:color="auto" w:fill="auto"/>
            <w:noWrap/>
            <w:vAlign w:val="bottom"/>
            <w:hideMark/>
          </w:tcPr>
          <w:p w14:paraId="3E729888" w14:textId="77777777" w:rsidR="006C5EB3" w:rsidRPr="002A016F" w:rsidRDefault="006C5EB3" w:rsidP="00135CF7">
            <w:pPr>
              <w:rPr>
                <w:rFonts w:ascii="Times New Roman" w:hAnsi="Times New Roman" w:cs="Times New Roman"/>
              </w:rPr>
            </w:pPr>
          </w:p>
        </w:tc>
      </w:tr>
      <w:tr w:rsidR="006C5EB3" w:rsidRPr="002A016F" w14:paraId="3A80ABD2" w14:textId="77777777" w:rsidTr="00135CF7">
        <w:trPr>
          <w:trHeight w:val="317"/>
        </w:trPr>
        <w:tc>
          <w:tcPr>
            <w:tcW w:w="1559" w:type="pct"/>
            <w:shd w:val="clear" w:color="auto" w:fill="auto"/>
            <w:vAlign w:val="center"/>
            <w:hideMark/>
          </w:tcPr>
          <w:p w14:paraId="6E1F14F0"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Yes</w:t>
            </w:r>
          </w:p>
        </w:tc>
        <w:tc>
          <w:tcPr>
            <w:tcW w:w="648" w:type="pct"/>
            <w:shd w:val="clear" w:color="auto" w:fill="auto"/>
            <w:vAlign w:val="center"/>
            <w:hideMark/>
          </w:tcPr>
          <w:p w14:paraId="397325F6"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1.169</w:t>
            </w:r>
          </w:p>
        </w:tc>
        <w:tc>
          <w:tcPr>
            <w:tcW w:w="515" w:type="pct"/>
            <w:shd w:val="clear" w:color="auto" w:fill="auto"/>
            <w:vAlign w:val="center"/>
            <w:hideMark/>
          </w:tcPr>
          <w:p w14:paraId="11842211"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0.52</w:t>
            </w:r>
          </w:p>
        </w:tc>
        <w:tc>
          <w:tcPr>
            <w:tcW w:w="597" w:type="pct"/>
            <w:shd w:val="clear" w:color="auto" w:fill="auto"/>
            <w:vAlign w:val="center"/>
            <w:hideMark/>
          </w:tcPr>
          <w:p w14:paraId="151B9589"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0.35</w:t>
            </w:r>
          </w:p>
        </w:tc>
        <w:tc>
          <w:tcPr>
            <w:tcW w:w="532" w:type="pct"/>
            <w:vMerge/>
            <w:vAlign w:val="center"/>
            <w:hideMark/>
          </w:tcPr>
          <w:p w14:paraId="5E445474" w14:textId="77777777" w:rsidR="006C5EB3" w:rsidRPr="002A016F" w:rsidRDefault="006C5EB3" w:rsidP="00135CF7">
            <w:pPr>
              <w:rPr>
                <w:rFonts w:ascii="Times New Roman" w:hAnsi="Times New Roman" w:cs="Times New Roman"/>
              </w:rPr>
            </w:pPr>
          </w:p>
        </w:tc>
        <w:tc>
          <w:tcPr>
            <w:tcW w:w="512" w:type="pct"/>
            <w:shd w:val="clear" w:color="auto" w:fill="auto"/>
            <w:vAlign w:val="center"/>
            <w:hideMark/>
          </w:tcPr>
          <w:p w14:paraId="7E68BC01"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0.489</w:t>
            </w:r>
          </w:p>
        </w:tc>
        <w:tc>
          <w:tcPr>
            <w:tcW w:w="638" w:type="pct"/>
            <w:shd w:val="clear" w:color="auto" w:fill="auto"/>
            <w:vAlign w:val="center"/>
            <w:hideMark/>
          </w:tcPr>
          <w:p w14:paraId="130178B6"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2.794</w:t>
            </w:r>
          </w:p>
        </w:tc>
      </w:tr>
      <w:tr w:rsidR="006C5EB3" w:rsidRPr="002A016F" w14:paraId="3F456F0E" w14:textId="77777777" w:rsidTr="00135CF7">
        <w:trPr>
          <w:trHeight w:val="317"/>
        </w:trPr>
        <w:tc>
          <w:tcPr>
            <w:tcW w:w="1559" w:type="pct"/>
            <w:shd w:val="clear" w:color="auto" w:fill="auto"/>
            <w:vAlign w:val="center"/>
            <w:hideMark/>
          </w:tcPr>
          <w:p w14:paraId="754C58A0"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Have STI</w:t>
            </w:r>
          </w:p>
        </w:tc>
        <w:tc>
          <w:tcPr>
            <w:tcW w:w="648" w:type="pct"/>
            <w:shd w:val="clear" w:color="auto" w:fill="auto"/>
            <w:noWrap/>
            <w:vAlign w:val="bottom"/>
            <w:hideMark/>
          </w:tcPr>
          <w:p w14:paraId="0CF0DAF4"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5" w:type="pct"/>
            <w:shd w:val="clear" w:color="auto" w:fill="auto"/>
            <w:noWrap/>
            <w:vAlign w:val="bottom"/>
            <w:hideMark/>
          </w:tcPr>
          <w:p w14:paraId="0F0C7A9E"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97" w:type="pct"/>
            <w:shd w:val="clear" w:color="auto" w:fill="auto"/>
            <w:noWrap/>
            <w:vAlign w:val="bottom"/>
            <w:hideMark/>
          </w:tcPr>
          <w:p w14:paraId="6CC8A6CF"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32" w:type="pct"/>
            <w:shd w:val="clear" w:color="auto" w:fill="auto"/>
            <w:noWrap/>
            <w:vAlign w:val="bottom"/>
            <w:hideMark/>
          </w:tcPr>
          <w:p w14:paraId="68B441DE"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2" w:type="pct"/>
            <w:shd w:val="clear" w:color="auto" w:fill="auto"/>
            <w:noWrap/>
            <w:vAlign w:val="bottom"/>
            <w:hideMark/>
          </w:tcPr>
          <w:p w14:paraId="664FC66D"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638" w:type="pct"/>
            <w:shd w:val="clear" w:color="auto" w:fill="auto"/>
            <w:noWrap/>
            <w:vAlign w:val="bottom"/>
            <w:hideMark/>
          </w:tcPr>
          <w:p w14:paraId="1D7C2934"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r>
      <w:tr w:rsidR="006C5EB3" w:rsidRPr="002A016F" w14:paraId="0AD27AE1" w14:textId="77777777" w:rsidTr="00135CF7">
        <w:trPr>
          <w:trHeight w:val="307"/>
        </w:trPr>
        <w:tc>
          <w:tcPr>
            <w:tcW w:w="1559" w:type="pct"/>
            <w:shd w:val="clear" w:color="auto" w:fill="auto"/>
            <w:vAlign w:val="center"/>
            <w:hideMark/>
          </w:tcPr>
          <w:p w14:paraId="65C24AA5"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No</w:t>
            </w:r>
          </w:p>
        </w:tc>
        <w:tc>
          <w:tcPr>
            <w:tcW w:w="648" w:type="pct"/>
            <w:shd w:val="clear" w:color="auto" w:fill="auto"/>
            <w:vAlign w:val="center"/>
            <w:hideMark/>
          </w:tcPr>
          <w:p w14:paraId="69B67E9F" w14:textId="77777777" w:rsidR="006C5EB3" w:rsidRPr="002A016F" w:rsidRDefault="006C5EB3" w:rsidP="00135CF7">
            <w:pPr>
              <w:rPr>
                <w:rFonts w:ascii="Times New Roman" w:hAnsi="Times New Roman" w:cs="Times New Roman"/>
                <w:b/>
                <w:i/>
              </w:rPr>
            </w:pPr>
            <w:r w:rsidRPr="002A016F">
              <w:rPr>
                <w:rFonts w:ascii="Times New Roman" w:hAnsi="Times New Roman" w:cs="Times New Roman"/>
                <w:b/>
                <w:i/>
              </w:rPr>
              <w:t>Ref</w:t>
            </w:r>
          </w:p>
        </w:tc>
        <w:tc>
          <w:tcPr>
            <w:tcW w:w="515" w:type="pct"/>
            <w:shd w:val="clear" w:color="auto" w:fill="auto"/>
            <w:vAlign w:val="center"/>
            <w:hideMark/>
          </w:tcPr>
          <w:p w14:paraId="19247C12" w14:textId="77777777" w:rsidR="006C5EB3" w:rsidRPr="002A016F" w:rsidRDefault="006C5EB3" w:rsidP="00135CF7">
            <w:pPr>
              <w:rPr>
                <w:rFonts w:ascii="Times New Roman" w:hAnsi="Times New Roman" w:cs="Times New Roman"/>
              </w:rPr>
            </w:pPr>
          </w:p>
        </w:tc>
        <w:tc>
          <w:tcPr>
            <w:tcW w:w="597" w:type="pct"/>
            <w:shd w:val="clear" w:color="auto" w:fill="auto"/>
            <w:noWrap/>
            <w:vAlign w:val="bottom"/>
            <w:hideMark/>
          </w:tcPr>
          <w:p w14:paraId="27B87E01" w14:textId="77777777" w:rsidR="006C5EB3" w:rsidRPr="002A016F" w:rsidRDefault="006C5EB3" w:rsidP="00135CF7">
            <w:pPr>
              <w:rPr>
                <w:rFonts w:ascii="Times New Roman" w:hAnsi="Times New Roman" w:cs="Times New Roman"/>
              </w:rPr>
            </w:pPr>
          </w:p>
        </w:tc>
        <w:tc>
          <w:tcPr>
            <w:tcW w:w="532" w:type="pct"/>
            <w:vMerge w:val="restart"/>
            <w:shd w:val="clear" w:color="auto" w:fill="auto"/>
            <w:vAlign w:val="center"/>
            <w:hideMark/>
          </w:tcPr>
          <w:p w14:paraId="6BC6C06E"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0.0001</w:t>
            </w:r>
          </w:p>
        </w:tc>
        <w:tc>
          <w:tcPr>
            <w:tcW w:w="512" w:type="pct"/>
            <w:shd w:val="clear" w:color="auto" w:fill="auto"/>
            <w:noWrap/>
            <w:vAlign w:val="bottom"/>
            <w:hideMark/>
          </w:tcPr>
          <w:p w14:paraId="42D13485" w14:textId="77777777" w:rsidR="006C5EB3" w:rsidRPr="002A016F" w:rsidRDefault="006C5EB3" w:rsidP="00135CF7">
            <w:pPr>
              <w:rPr>
                <w:rFonts w:ascii="Times New Roman" w:hAnsi="Times New Roman" w:cs="Times New Roman"/>
              </w:rPr>
            </w:pPr>
          </w:p>
        </w:tc>
        <w:tc>
          <w:tcPr>
            <w:tcW w:w="638" w:type="pct"/>
            <w:shd w:val="clear" w:color="auto" w:fill="auto"/>
            <w:noWrap/>
            <w:vAlign w:val="bottom"/>
            <w:hideMark/>
          </w:tcPr>
          <w:p w14:paraId="6ED8B631" w14:textId="77777777" w:rsidR="006C5EB3" w:rsidRPr="002A016F" w:rsidRDefault="006C5EB3" w:rsidP="00135CF7">
            <w:pPr>
              <w:rPr>
                <w:rFonts w:ascii="Times New Roman" w:hAnsi="Times New Roman" w:cs="Times New Roman"/>
              </w:rPr>
            </w:pPr>
          </w:p>
        </w:tc>
      </w:tr>
      <w:tr w:rsidR="006C5EB3" w:rsidRPr="002A016F" w14:paraId="24E72BEA" w14:textId="77777777" w:rsidTr="00135CF7">
        <w:trPr>
          <w:trHeight w:val="317"/>
        </w:trPr>
        <w:tc>
          <w:tcPr>
            <w:tcW w:w="1559" w:type="pct"/>
            <w:shd w:val="clear" w:color="auto" w:fill="auto"/>
            <w:vAlign w:val="center"/>
            <w:hideMark/>
          </w:tcPr>
          <w:p w14:paraId="47C0ADA1"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Yes</w:t>
            </w:r>
          </w:p>
        </w:tc>
        <w:tc>
          <w:tcPr>
            <w:tcW w:w="648" w:type="pct"/>
            <w:shd w:val="clear" w:color="auto" w:fill="auto"/>
            <w:vAlign w:val="center"/>
            <w:hideMark/>
          </w:tcPr>
          <w:p w14:paraId="45D1D38D"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12.848</w:t>
            </w:r>
          </w:p>
        </w:tc>
        <w:tc>
          <w:tcPr>
            <w:tcW w:w="515" w:type="pct"/>
            <w:shd w:val="clear" w:color="auto" w:fill="auto"/>
            <w:vAlign w:val="center"/>
            <w:hideMark/>
          </w:tcPr>
          <w:p w14:paraId="1DADAECD"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6.388</w:t>
            </w:r>
          </w:p>
        </w:tc>
        <w:tc>
          <w:tcPr>
            <w:tcW w:w="597" w:type="pct"/>
            <w:shd w:val="clear" w:color="auto" w:fill="auto"/>
            <w:vAlign w:val="center"/>
            <w:hideMark/>
          </w:tcPr>
          <w:p w14:paraId="2B17BB80"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5.135</w:t>
            </w:r>
          </w:p>
        </w:tc>
        <w:tc>
          <w:tcPr>
            <w:tcW w:w="532" w:type="pct"/>
            <w:vMerge/>
            <w:vAlign w:val="center"/>
            <w:hideMark/>
          </w:tcPr>
          <w:p w14:paraId="4880ECD9" w14:textId="77777777" w:rsidR="006C5EB3" w:rsidRPr="002A016F" w:rsidRDefault="006C5EB3" w:rsidP="00135CF7">
            <w:pPr>
              <w:rPr>
                <w:rFonts w:ascii="Times New Roman" w:hAnsi="Times New Roman" w:cs="Times New Roman"/>
              </w:rPr>
            </w:pPr>
          </w:p>
        </w:tc>
        <w:tc>
          <w:tcPr>
            <w:tcW w:w="512" w:type="pct"/>
            <w:shd w:val="clear" w:color="auto" w:fill="auto"/>
            <w:vAlign w:val="center"/>
            <w:hideMark/>
          </w:tcPr>
          <w:p w14:paraId="150B2863"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4.848</w:t>
            </w:r>
          </w:p>
        </w:tc>
        <w:tc>
          <w:tcPr>
            <w:tcW w:w="638" w:type="pct"/>
            <w:shd w:val="clear" w:color="auto" w:fill="auto"/>
            <w:vAlign w:val="center"/>
            <w:hideMark/>
          </w:tcPr>
          <w:p w14:paraId="6819127D"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34.045</w:t>
            </w:r>
          </w:p>
        </w:tc>
      </w:tr>
      <w:tr w:rsidR="006C5EB3" w:rsidRPr="002A016F" w14:paraId="58571F82" w14:textId="77777777" w:rsidTr="00135CF7">
        <w:trPr>
          <w:trHeight w:val="317"/>
        </w:trPr>
        <w:tc>
          <w:tcPr>
            <w:tcW w:w="1559" w:type="pct"/>
            <w:shd w:val="clear" w:color="auto" w:fill="auto"/>
            <w:vAlign w:val="center"/>
            <w:hideMark/>
          </w:tcPr>
          <w:p w14:paraId="538C7611"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Currently using IV drugs</w:t>
            </w:r>
          </w:p>
        </w:tc>
        <w:tc>
          <w:tcPr>
            <w:tcW w:w="648" w:type="pct"/>
            <w:shd w:val="clear" w:color="auto" w:fill="auto"/>
            <w:noWrap/>
            <w:vAlign w:val="bottom"/>
            <w:hideMark/>
          </w:tcPr>
          <w:p w14:paraId="4E9A3DA5"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5" w:type="pct"/>
            <w:shd w:val="clear" w:color="auto" w:fill="auto"/>
            <w:noWrap/>
            <w:vAlign w:val="bottom"/>
            <w:hideMark/>
          </w:tcPr>
          <w:p w14:paraId="0E3BCA1F"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97" w:type="pct"/>
            <w:shd w:val="clear" w:color="auto" w:fill="auto"/>
            <w:noWrap/>
            <w:vAlign w:val="bottom"/>
            <w:hideMark/>
          </w:tcPr>
          <w:p w14:paraId="26C5BF4F"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32" w:type="pct"/>
            <w:shd w:val="clear" w:color="auto" w:fill="auto"/>
            <w:noWrap/>
            <w:vAlign w:val="bottom"/>
            <w:hideMark/>
          </w:tcPr>
          <w:p w14:paraId="0B490E72"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2" w:type="pct"/>
            <w:shd w:val="clear" w:color="auto" w:fill="auto"/>
            <w:noWrap/>
            <w:vAlign w:val="bottom"/>
            <w:hideMark/>
          </w:tcPr>
          <w:p w14:paraId="0CBBEF9A"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638" w:type="pct"/>
            <w:shd w:val="clear" w:color="auto" w:fill="auto"/>
            <w:noWrap/>
            <w:vAlign w:val="bottom"/>
            <w:hideMark/>
          </w:tcPr>
          <w:p w14:paraId="20E3A5AA"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r>
      <w:tr w:rsidR="006C5EB3" w:rsidRPr="002A016F" w14:paraId="635EAAB8" w14:textId="77777777" w:rsidTr="00135CF7">
        <w:trPr>
          <w:trHeight w:val="307"/>
        </w:trPr>
        <w:tc>
          <w:tcPr>
            <w:tcW w:w="1559" w:type="pct"/>
            <w:shd w:val="clear" w:color="auto" w:fill="auto"/>
            <w:vAlign w:val="center"/>
            <w:hideMark/>
          </w:tcPr>
          <w:p w14:paraId="21609346"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No</w:t>
            </w:r>
          </w:p>
        </w:tc>
        <w:tc>
          <w:tcPr>
            <w:tcW w:w="648" w:type="pct"/>
            <w:shd w:val="clear" w:color="auto" w:fill="auto"/>
            <w:vAlign w:val="center"/>
            <w:hideMark/>
          </w:tcPr>
          <w:p w14:paraId="10FE9E21" w14:textId="77777777" w:rsidR="006C5EB3" w:rsidRPr="002A016F" w:rsidRDefault="006C5EB3" w:rsidP="00135CF7">
            <w:pPr>
              <w:rPr>
                <w:rFonts w:ascii="Times New Roman" w:hAnsi="Times New Roman" w:cs="Times New Roman"/>
                <w:b/>
                <w:i/>
              </w:rPr>
            </w:pPr>
            <w:r w:rsidRPr="002A016F">
              <w:rPr>
                <w:rFonts w:ascii="Times New Roman" w:hAnsi="Times New Roman" w:cs="Times New Roman"/>
                <w:b/>
                <w:i/>
              </w:rPr>
              <w:t>Ref</w:t>
            </w:r>
          </w:p>
        </w:tc>
        <w:tc>
          <w:tcPr>
            <w:tcW w:w="515" w:type="pct"/>
            <w:shd w:val="clear" w:color="auto" w:fill="auto"/>
            <w:noWrap/>
            <w:vAlign w:val="bottom"/>
            <w:hideMark/>
          </w:tcPr>
          <w:p w14:paraId="13050639" w14:textId="77777777" w:rsidR="006C5EB3" w:rsidRPr="002A016F" w:rsidRDefault="006C5EB3" w:rsidP="00135CF7">
            <w:pPr>
              <w:rPr>
                <w:rFonts w:ascii="Times New Roman" w:hAnsi="Times New Roman" w:cs="Times New Roman"/>
              </w:rPr>
            </w:pPr>
          </w:p>
        </w:tc>
        <w:tc>
          <w:tcPr>
            <w:tcW w:w="597" w:type="pct"/>
            <w:shd w:val="clear" w:color="auto" w:fill="auto"/>
            <w:noWrap/>
            <w:vAlign w:val="bottom"/>
            <w:hideMark/>
          </w:tcPr>
          <w:p w14:paraId="42CC6EF5" w14:textId="77777777" w:rsidR="006C5EB3" w:rsidRPr="002A016F" w:rsidRDefault="006C5EB3" w:rsidP="00135CF7">
            <w:pPr>
              <w:rPr>
                <w:rFonts w:ascii="Times New Roman" w:hAnsi="Times New Roman" w:cs="Times New Roman"/>
              </w:rPr>
            </w:pPr>
          </w:p>
        </w:tc>
        <w:tc>
          <w:tcPr>
            <w:tcW w:w="532" w:type="pct"/>
            <w:vMerge w:val="restart"/>
            <w:shd w:val="clear" w:color="auto" w:fill="auto"/>
            <w:vAlign w:val="center"/>
            <w:hideMark/>
          </w:tcPr>
          <w:p w14:paraId="37C973F6"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0.04</w:t>
            </w:r>
          </w:p>
        </w:tc>
        <w:tc>
          <w:tcPr>
            <w:tcW w:w="512" w:type="pct"/>
            <w:shd w:val="clear" w:color="auto" w:fill="auto"/>
            <w:noWrap/>
            <w:vAlign w:val="bottom"/>
            <w:hideMark/>
          </w:tcPr>
          <w:p w14:paraId="46727EBB" w14:textId="77777777" w:rsidR="006C5EB3" w:rsidRPr="002A016F" w:rsidRDefault="006C5EB3" w:rsidP="00135CF7">
            <w:pPr>
              <w:rPr>
                <w:rFonts w:ascii="Times New Roman" w:hAnsi="Times New Roman" w:cs="Times New Roman"/>
              </w:rPr>
            </w:pPr>
          </w:p>
        </w:tc>
        <w:tc>
          <w:tcPr>
            <w:tcW w:w="638" w:type="pct"/>
            <w:shd w:val="clear" w:color="auto" w:fill="auto"/>
            <w:noWrap/>
            <w:vAlign w:val="bottom"/>
            <w:hideMark/>
          </w:tcPr>
          <w:p w14:paraId="3174A806" w14:textId="77777777" w:rsidR="006C5EB3" w:rsidRPr="002A016F" w:rsidRDefault="006C5EB3" w:rsidP="00135CF7">
            <w:pPr>
              <w:rPr>
                <w:rFonts w:ascii="Times New Roman" w:hAnsi="Times New Roman" w:cs="Times New Roman"/>
              </w:rPr>
            </w:pPr>
          </w:p>
        </w:tc>
      </w:tr>
      <w:tr w:rsidR="006C5EB3" w:rsidRPr="002A016F" w14:paraId="5444CC9E" w14:textId="77777777" w:rsidTr="00135CF7">
        <w:trPr>
          <w:trHeight w:val="317"/>
        </w:trPr>
        <w:tc>
          <w:tcPr>
            <w:tcW w:w="1559" w:type="pct"/>
            <w:shd w:val="clear" w:color="auto" w:fill="auto"/>
            <w:vAlign w:val="center"/>
            <w:hideMark/>
          </w:tcPr>
          <w:p w14:paraId="41C84C0E"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Yes</w:t>
            </w:r>
          </w:p>
        </w:tc>
        <w:tc>
          <w:tcPr>
            <w:tcW w:w="648" w:type="pct"/>
            <w:shd w:val="clear" w:color="auto" w:fill="auto"/>
            <w:vAlign w:val="center"/>
            <w:hideMark/>
          </w:tcPr>
          <w:p w14:paraId="3C1A8E8D"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2.3</w:t>
            </w:r>
          </w:p>
        </w:tc>
        <w:tc>
          <w:tcPr>
            <w:tcW w:w="515" w:type="pct"/>
            <w:shd w:val="clear" w:color="auto" w:fill="auto"/>
            <w:vAlign w:val="center"/>
            <w:hideMark/>
          </w:tcPr>
          <w:p w14:paraId="61DB8C6A"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0.894</w:t>
            </w:r>
          </w:p>
        </w:tc>
        <w:tc>
          <w:tcPr>
            <w:tcW w:w="597" w:type="pct"/>
            <w:shd w:val="clear" w:color="auto" w:fill="auto"/>
            <w:vAlign w:val="center"/>
            <w:hideMark/>
          </w:tcPr>
          <w:p w14:paraId="3EA6AC81"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2.051</w:t>
            </w:r>
          </w:p>
        </w:tc>
        <w:tc>
          <w:tcPr>
            <w:tcW w:w="532" w:type="pct"/>
            <w:vMerge/>
            <w:vAlign w:val="center"/>
            <w:hideMark/>
          </w:tcPr>
          <w:p w14:paraId="1B349D38" w14:textId="77777777" w:rsidR="006C5EB3" w:rsidRPr="002A016F" w:rsidRDefault="006C5EB3" w:rsidP="00135CF7">
            <w:pPr>
              <w:rPr>
                <w:rFonts w:ascii="Times New Roman" w:hAnsi="Times New Roman" w:cs="Times New Roman"/>
              </w:rPr>
            </w:pPr>
          </w:p>
        </w:tc>
        <w:tc>
          <w:tcPr>
            <w:tcW w:w="512" w:type="pct"/>
            <w:shd w:val="clear" w:color="auto" w:fill="auto"/>
            <w:vAlign w:val="center"/>
            <w:hideMark/>
          </w:tcPr>
          <w:p w14:paraId="4C802457"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1.037</w:t>
            </w:r>
          </w:p>
        </w:tc>
        <w:tc>
          <w:tcPr>
            <w:tcW w:w="638" w:type="pct"/>
            <w:shd w:val="clear" w:color="auto" w:fill="auto"/>
            <w:vAlign w:val="center"/>
            <w:hideMark/>
          </w:tcPr>
          <w:p w14:paraId="6AFF03E1"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4.904</w:t>
            </w:r>
          </w:p>
        </w:tc>
      </w:tr>
      <w:tr w:rsidR="006C5EB3" w:rsidRPr="002A016F" w14:paraId="3A41F426" w14:textId="77777777" w:rsidTr="00135CF7">
        <w:trPr>
          <w:trHeight w:val="317"/>
        </w:trPr>
        <w:tc>
          <w:tcPr>
            <w:tcW w:w="1559" w:type="pct"/>
            <w:shd w:val="clear" w:color="auto" w:fill="auto"/>
            <w:vAlign w:val="center"/>
            <w:hideMark/>
          </w:tcPr>
          <w:p w14:paraId="6E6AA93B"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Living with someone infected with Hepatitis B</w:t>
            </w:r>
          </w:p>
        </w:tc>
        <w:tc>
          <w:tcPr>
            <w:tcW w:w="648" w:type="pct"/>
            <w:shd w:val="clear" w:color="auto" w:fill="auto"/>
            <w:noWrap/>
            <w:vAlign w:val="bottom"/>
            <w:hideMark/>
          </w:tcPr>
          <w:p w14:paraId="0CEB227D"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5" w:type="pct"/>
            <w:shd w:val="clear" w:color="auto" w:fill="auto"/>
            <w:noWrap/>
            <w:vAlign w:val="bottom"/>
            <w:hideMark/>
          </w:tcPr>
          <w:p w14:paraId="3396D82C"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97" w:type="pct"/>
            <w:shd w:val="clear" w:color="auto" w:fill="auto"/>
            <w:noWrap/>
            <w:vAlign w:val="bottom"/>
            <w:hideMark/>
          </w:tcPr>
          <w:p w14:paraId="3CEFE3C1"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32" w:type="pct"/>
            <w:shd w:val="clear" w:color="auto" w:fill="auto"/>
            <w:noWrap/>
            <w:vAlign w:val="bottom"/>
            <w:hideMark/>
          </w:tcPr>
          <w:p w14:paraId="5A013FCC"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512" w:type="pct"/>
            <w:shd w:val="clear" w:color="auto" w:fill="auto"/>
            <w:noWrap/>
            <w:vAlign w:val="bottom"/>
            <w:hideMark/>
          </w:tcPr>
          <w:p w14:paraId="7CF96965"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c>
          <w:tcPr>
            <w:tcW w:w="638" w:type="pct"/>
            <w:shd w:val="clear" w:color="auto" w:fill="auto"/>
            <w:noWrap/>
            <w:vAlign w:val="bottom"/>
            <w:hideMark/>
          </w:tcPr>
          <w:p w14:paraId="074D444D"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 </w:t>
            </w:r>
          </w:p>
        </w:tc>
      </w:tr>
      <w:tr w:rsidR="006C5EB3" w:rsidRPr="002A016F" w14:paraId="0047F679" w14:textId="77777777" w:rsidTr="00135CF7">
        <w:trPr>
          <w:trHeight w:val="307"/>
        </w:trPr>
        <w:tc>
          <w:tcPr>
            <w:tcW w:w="1559" w:type="pct"/>
            <w:shd w:val="clear" w:color="auto" w:fill="auto"/>
            <w:vAlign w:val="center"/>
            <w:hideMark/>
          </w:tcPr>
          <w:p w14:paraId="0F4015CC"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No</w:t>
            </w:r>
          </w:p>
        </w:tc>
        <w:tc>
          <w:tcPr>
            <w:tcW w:w="648" w:type="pct"/>
            <w:shd w:val="clear" w:color="auto" w:fill="auto"/>
            <w:vAlign w:val="center"/>
            <w:hideMark/>
          </w:tcPr>
          <w:p w14:paraId="2890EB3C" w14:textId="77777777" w:rsidR="006C5EB3" w:rsidRPr="002A016F" w:rsidRDefault="006C5EB3" w:rsidP="00135CF7">
            <w:pPr>
              <w:rPr>
                <w:rFonts w:ascii="Times New Roman" w:hAnsi="Times New Roman" w:cs="Times New Roman"/>
                <w:b/>
                <w:i/>
              </w:rPr>
            </w:pPr>
            <w:r w:rsidRPr="002A016F">
              <w:rPr>
                <w:rFonts w:ascii="Times New Roman" w:hAnsi="Times New Roman" w:cs="Times New Roman"/>
                <w:b/>
                <w:i/>
              </w:rPr>
              <w:t>Ref</w:t>
            </w:r>
          </w:p>
        </w:tc>
        <w:tc>
          <w:tcPr>
            <w:tcW w:w="515" w:type="pct"/>
            <w:shd w:val="clear" w:color="auto" w:fill="auto"/>
            <w:vAlign w:val="center"/>
            <w:hideMark/>
          </w:tcPr>
          <w:p w14:paraId="5A9D1225" w14:textId="77777777" w:rsidR="006C5EB3" w:rsidRPr="002A016F" w:rsidRDefault="006C5EB3" w:rsidP="00135CF7">
            <w:pPr>
              <w:rPr>
                <w:rFonts w:ascii="Times New Roman" w:hAnsi="Times New Roman" w:cs="Times New Roman"/>
              </w:rPr>
            </w:pPr>
          </w:p>
        </w:tc>
        <w:tc>
          <w:tcPr>
            <w:tcW w:w="597" w:type="pct"/>
            <w:shd w:val="clear" w:color="auto" w:fill="auto"/>
            <w:noWrap/>
            <w:vAlign w:val="bottom"/>
            <w:hideMark/>
          </w:tcPr>
          <w:p w14:paraId="56CDFBDE" w14:textId="77777777" w:rsidR="006C5EB3" w:rsidRPr="002A016F" w:rsidRDefault="006C5EB3" w:rsidP="00135CF7">
            <w:pPr>
              <w:rPr>
                <w:rFonts w:ascii="Times New Roman" w:hAnsi="Times New Roman" w:cs="Times New Roman"/>
              </w:rPr>
            </w:pPr>
          </w:p>
        </w:tc>
        <w:tc>
          <w:tcPr>
            <w:tcW w:w="532" w:type="pct"/>
            <w:vMerge w:val="restart"/>
            <w:shd w:val="clear" w:color="auto" w:fill="auto"/>
            <w:vAlign w:val="center"/>
            <w:hideMark/>
          </w:tcPr>
          <w:p w14:paraId="3744591A"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0.25</w:t>
            </w:r>
          </w:p>
        </w:tc>
        <w:tc>
          <w:tcPr>
            <w:tcW w:w="512" w:type="pct"/>
            <w:shd w:val="clear" w:color="auto" w:fill="auto"/>
            <w:noWrap/>
            <w:vAlign w:val="bottom"/>
            <w:hideMark/>
          </w:tcPr>
          <w:p w14:paraId="541B1209" w14:textId="77777777" w:rsidR="006C5EB3" w:rsidRPr="002A016F" w:rsidRDefault="006C5EB3" w:rsidP="00135CF7">
            <w:pPr>
              <w:rPr>
                <w:rFonts w:ascii="Times New Roman" w:hAnsi="Times New Roman" w:cs="Times New Roman"/>
              </w:rPr>
            </w:pPr>
          </w:p>
        </w:tc>
        <w:tc>
          <w:tcPr>
            <w:tcW w:w="638" w:type="pct"/>
            <w:shd w:val="clear" w:color="auto" w:fill="auto"/>
            <w:noWrap/>
            <w:vAlign w:val="bottom"/>
            <w:hideMark/>
          </w:tcPr>
          <w:p w14:paraId="2D8FCA13" w14:textId="77777777" w:rsidR="006C5EB3" w:rsidRPr="002A016F" w:rsidRDefault="006C5EB3" w:rsidP="00135CF7">
            <w:pPr>
              <w:rPr>
                <w:rFonts w:ascii="Times New Roman" w:hAnsi="Times New Roman" w:cs="Times New Roman"/>
              </w:rPr>
            </w:pPr>
          </w:p>
        </w:tc>
      </w:tr>
      <w:tr w:rsidR="006C5EB3" w:rsidRPr="002A016F" w14:paraId="0251F7D6" w14:textId="77777777" w:rsidTr="00135CF7">
        <w:trPr>
          <w:trHeight w:val="317"/>
        </w:trPr>
        <w:tc>
          <w:tcPr>
            <w:tcW w:w="1559" w:type="pct"/>
            <w:tcBorders>
              <w:bottom w:val="single" w:sz="4" w:space="0" w:color="auto"/>
            </w:tcBorders>
            <w:shd w:val="clear" w:color="auto" w:fill="auto"/>
            <w:vAlign w:val="center"/>
            <w:hideMark/>
          </w:tcPr>
          <w:p w14:paraId="63C742F1"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Yes</w:t>
            </w:r>
          </w:p>
        </w:tc>
        <w:tc>
          <w:tcPr>
            <w:tcW w:w="648" w:type="pct"/>
            <w:tcBorders>
              <w:bottom w:val="single" w:sz="4" w:space="0" w:color="auto"/>
            </w:tcBorders>
            <w:shd w:val="clear" w:color="auto" w:fill="auto"/>
            <w:vAlign w:val="center"/>
            <w:hideMark/>
          </w:tcPr>
          <w:p w14:paraId="6E600039"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1.84</w:t>
            </w:r>
          </w:p>
        </w:tc>
        <w:tc>
          <w:tcPr>
            <w:tcW w:w="515" w:type="pct"/>
            <w:tcBorders>
              <w:bottom w:val="single" w:sz="4" w:space="0" w:color="auto"/>
            </w:tcBorders>
            <w:shd w:val="clear" w:color="auto" w:fill="auto"/>
            <w:vAlign w:val="center"/>
            <w:hideMark/>
          </w:tcPr>
          <w:p w14:paraId="73F58FC7"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0.976</w:t>
            </w:r>
          </w:p>
        </w:tc>
        <w:tc>
          <w:tcPr>
            <w:tcW w:w="597" w:type="pct"/>
            <w:tcBorders>
              <w:bottom w:val="single" w:sz="4" w:space="0" w:color="auto"/>
            </w:tcBorders>
            <w:shd w:val="clear" w:color="auto" w:fill="auto"/>
            <w:vAlign w:val="center"/>
            <w:hideMark/>
          </w:tcPr>
          <w:p w14:paraId="2E99B5E9"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1.15</w:t>
            </w:r>
          </w:p>
        </w:tc>
        <w:tc>
          <w:tcPr>
            <w:tcW w:w="532" w:type="pct"/>
            <w:vMerge/>
            <w:tcBorders>
              <w:bottom w:val="single" w:sz="4" w:space="0" w:color="auto"/>
            </w:tcBorders>
            <w:vAlign w:val="center"/>
            <w:hideMark/>
          </w:tcPr>
          <w:p w14:paraId="59E485C8" w14:textId="77777777" w:rsidR="006C5EB3" w:rsidRPr="002A016F" w:rsidRDefault="006C5EB3" w:rsidP="00135CF7">
            <w:pPr>
              <w:rPr>
                <w:rFonts w:ascii="Times New Roman" w:hAnsi="Times New Roman" w:cs="Times New Roman"/>
              </w:rPr>
            </w:pPr>
          </w:p>
        </w:tc>
        <w:tc>
          <w:tcPr>
            <w:tcW w:w="512" w:type="pct"/>
            <w:tcBorders>
              <w:bottom w:val="single" w:sz="4" w:space="0" w:color="auto"/>
            </w:tcBorders>
            <w:shd w:val="clear" w:color="auto" w:fill="auto"/>
            <w:vAlign w:val="center"/>
            <w:hideMark/>
          </w:tcPr>
          <w:p w14:paraId="2EED3734"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0.651</w:t>
            </w:r>
          </w:p>
        </w:tc>
        <w:tc>
          <w:tcPr>
            <w:tcW w:w="638" w:type="pct"/>
            <w:tcBorders>
              <w:bottom w:val="single" w:sz="4" w:space="0" w:color="auto"/>
            </w:tcBorders>
            <w:shd w:val="clear" w:color="auto" w:fill="auto"/>
            <w:vAlign w:val="center"/>
            <w:hideMark/>
          </w:tcPr>
          <w:p w14:paraId="5D6B8ECB" w14:textId="77777777" w:rsidR="006C5EB3" w:rsidRPr="002A016F" w:rsidRDefault="006C5EB3" w:rsidP="00135CF7">
            <w:pPr>
              <w:rPr>
                <w:rFonts w:ascii="Times New Roman" w:hAnsi="Times New Roman" w:cs="Times New Roman"/>
              </w:rPr>
            </w:pPr>
            <w:r w:rsidRPr="002A016F">
              <w:rPr>
                <w:rFonts w:ascii="Times New Roman" w:hAnsi="Times New Roman" w:cs="Times New Roman"/>
              </w:rPr>
              <w:t>5.205</w:t>
            </w:r>
          </w:p>
        </w:tc>
      </w:tr>
      <w:tr w:rsidR="006C5EB3" w:rsidRPr="002A016F" w14:paraId="296313D2" w14:textId="77777777" w:rsidTr="00135CF7">
        <w:trPr>
          <w:trHeight w:val="317"/>
        </w:trPr>
        <w:tc>
          <w:tcPr>
            <w:tcW w:w="1559" w:type="pct"/>
            <w:tcBorders>
              <w:top w:val="single" w:sz="4" w:space="0" w:color="auto"/>
              <w:bottom w:val="single" w:sz="4" w:space="0" w:color="auto"/>
            </w:tcBorders>
            <w:shd w:val="clear" w:color="auto" w:fill="auto"/>
            <w:vAlign w:val="center"/>
            <w:hideMark/>
          </w:tcPr>
          <w:p w14:paraId="1D9D8A69"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Constant</w:t>
            </w:r>
          </w:p>
        </w:tc>
        <w:tc>
          <w:tcPr>
            <w:tcW w:w="648" w:type="pct"/>
            <w:tcBorders>
              <w:top w:val="single" w:sz="4" w:space="0" w:color="auto"/>
              <w:bottom w:val="single" w:sz="4" w:space="0" w:color="auto"/>
            </w:tcBorders>
            <w:shd w:val="clear" w:color="auto" w:fill="auto"/>
            <w:vAlign w:val="center"/>
            <w:hideMark/>
          </w:tcPr>
          <w:p w14:paraId="3FD3A46E"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0.059</w:t>
            </w:r>
          </w:p>
        </w:tc>
        <w:tc>
          <w:tcPr>
            <w:tcW w:w="515" w:type="pct"/>
            <w:tcBorders>
              <w:top w:val="single" w:sz="4" w:space="0" w:color="auto"/>
              <w:bottom w:val="single" w:sz="4" w:space="0" w:color="auto"/>
            </w:tcBorders>
            <w:shd w:val="clear" w:color="auto" w:fill="auto"/>
            <w:vAlign w:val="center"/>
            <w:hideMark/>
          </w:tcPr>
          <w:p w14:paraId="3557E8FA"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0.026</w:t>
            </w:r>
          </w:p>
        </w:tc>
        <w:tc>
          <w:tcPr>
            <w:tcW w:w="597" w:type="pct"/>
            <w:tcBorders>
              <w:top w:val="single" w:sz="4" w:space="0" w:color="auto"/>
              <w:bottom w:val="single" w:sz="4" w:space="0" w:color="auto"/>
            </w:tcBorders>
            <w:shd w:val="clear" w:color="auto" w:fill="auto"/>
            <w:vAlign w:val="center"/>
            <w:hideMark/>
          </w:tcPr>
          <w:p w14:paraId="08919092"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-6.517</w:t>
            </w:r>
          </w:p>
        </w:tc>
        <w:tc>
          <w:tcPr>
            <w:tcW w:w="532" w:type="pct"/>
            <w:tcBorders>
              <w:top w:val="single" w:sz="4" w:space="0" w:color="auto"/>
              <w:bottom w:val="single" w:sz="4" w:space="0" w:color="auto"/>
            </w:tcBorders>
            <w:shd w:val="clear" w:color="auto" w:fill="auto"/>
            <w:vAlign w:val="center"/>
            <w:hideMark/>
          </w:tcPr>
          <w:p w14:paraId="5363EB08"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0</w:t>
            </w:r>
          </w:p>
        </w:tc>
        <w:tc>
          <w:tcPr>
            <w:tcW w:w="512" w:type="pct"/>
            <w:tcBorders>
              <w:top w:val="single" w:sz="4" w:space="0" w:color="auto"/>
              <w:bottom w:val="single" w:sz="4" w:space="0" w:color="auto"/>
            </w:tcBorders>
            <w:shd w:val="clear" w:color="auto" w:fill="auto"/>
            <w:vAlign w:val="center"/>
            <w:hideMark/>
          </w:tcPr>
          <w:p w14:paraId="3B3C8260"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0.025</w:t>
            </w:r>
          </w:p>
        </w:tc>
        <w:tc>
          <w:tcPr>
            <w:tcW w:w="638" w:type="pct"/>
            <w:tcBorders>
              <w:top w:val="single" w:sz="4" w:space="0" w:color="auto"/>
              <w:bottom w:val="single" w:sz="4" w:space="0" w:color="auto"/>
            </w:tcBorders>
            <w:shd w:val="clear" w:color="auto" w:fill="auto"/>
            <w:vAlign w:val="center"/>
            <w:hideMark/>
          </w:tcPr>
          <w:p w14:paraId="1B626901" w14:textId="77777777" w:rsidR="006C5EB3" w:rsidRPr="002A016F" w:rsidRDefault="006C5EB3" w:rsidP="00135CF7">
            <w:pPr>
              <w:rPr>
                <w:rFonts w:ascii="Times New Roman" w:hAnsi="Times New Roman" w:cs="Times New Roman"/>
                <w:b/>
              </w:rPr>
            </w:pPr>
            <w:r w:rsidRPr="002A016F">
              <w:rPr>
                <w:rFonts w:ascii="Times New Roman" w:hAnsi="Times New Roman" w:cs="Times New Roman"/>
                <w:b/>
              </w:rPr>
              <w:t>0.139</w:t>
            </w:r>
          </w:p>
        </w:tc>
      </w:tr>
    </w:tbl>
    <w:p w14:paraId="58FC2B91" w14:textId="77777777" w:rsidR="006C5EB3" w:rsidRDefault="006C5EB3" w:rsidP="006C5EB3">
      <w:pPr>
        <w:spacing w:line="360" w:lineRule="auto"/>
        <w:jc w:val="both"/>
        <w:rPr>
          <w:rFonts w:ascii="Times New Roman" w:hAnsi="Times New Roman" w:cs="Times New Roman"/>
          <w:sz w:val="24"/>
          <w:szCs w:val="24"/>
        </w:rPr>
      </w:pPr>
    </w:p>
    <w:p w14:paraId="5D203011" w14:textId="77777777" w:rsidR="006C5EB3" w:rsidRDefault="006C5EB3" w:rsidP="006C5EB3">
      <w:pPr>
        <w:spacing w:line="360" w:lineRule="auto"/>
        <w:jc w:val="both"/>
        <w:rPr>
          <w:rFonts w:ascii="Times New Roman" w:hAnsi="Times New Roman" w:cs="Times New Roman"/>
          <w:sz w:val="24"/>
          <w:szCs w:val="24"/>
        </w:rPr>
      </w:pPr>
    </w:p>
    <w:p w14:paraId="36E0E693"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6CFA6C8B"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5E22F3D9"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7DF1C6A3"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3F5E5041"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20399CF7"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5D4770EB"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18C3C243"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2900447B" w14:textId="77777777" w:rsidR="006C5EB3" w:rsidRPr="006C5EB3" w:rsidRDefault="006C5EB3" w:rsidP="006C5EB3">
      <w:pPr>
        <w:jc w:val="both"/>
        <w:rPr>
          <w:rFonts w:ascii="Times New Roman" w:hAnsi="Times New Roman" w:cs="Times New Roman"/>
          <w:b/>
          <w:color w:val="000000" w:themeColor="text1"/>
          <w:sz w:val="24"/>
          <w:szCs w:val="24"/>
        </w:rPr>
      </w:pPr>
      <w:bookmarkStart w:id="3" w:name="_Toc161569877"/>
      <w:bookmarkStart w:id="4" w:name="_Toc166157208"/>
      <w:r w:rsidRPr="006C5EB3">
        <w:rPr>
          <w:rFonts w:ascii="Times New Roman" w:hAnsi="Times New Roman" w:cs="Times New Roman"/>
          <w:b/>
          <w:color w:val="000000" w:themeColor="text1"/>
          <w:sz w:val="24"/>
          <w:szCs w:val="24"/>
        </w:rPr>
        <w:lastRenderedPageBreak/>
        <w:t>Table 3: Cohort Analysis of pregnant mothers who tested for Hep B and Child Hep B outcome.</w:t>
      </w:r>
      <w:bookmarkEnd w:id="3"/>
      <w:bookmarkEnd w:id="4"/>
    </w:p>
    <w:p w14:paraId="0A4FE8BF" w14:textId="77777777" w:rsidR="006C5EB3" w:rsidRPr="00434405" w:rsidRDefault="006C5EB3" w:rsidP="006C5EB3"/>
    <w:tbl>
      <w:tblPr>
        <w:tblW w:w="5000" w:type="pct"/>
        <w:tblLook w:val="04A0" w:firstRow="1" w:lastRow="0" w:firstColumn="1" w:lastColumn="0" w:noHBand="0" w:noVBand="1"/>
      </w:tblPr>
      <w:tblGrid>
        <w:gridCol w:w="3418"/>
        <w:gridCol w:w="1788"/>
        <w:gridCol w:w="2263"/>
        <w:gridCol w:w="1891"/>
      </w:tblGrid>
      <w:tr w:rsidR="006C5EB3" w:rsidRPr="00434405" w14:paraId="267A25C3" w14:textId="77777777" w:rsidTr="00135CF7">
        <w:trPr>
          <w:trHeight w:val="272"/>
        </w:trPr>
        <w:tc>
          <w:tcPr>
            <w:tcW w:w="1826" w:type="pct"/>
            <w:tcBorders>
              <w:top w:val="single" w:sz="8" w:space="0" w:color="auto"/>
              <w:left w:val="nil"/>
              <w:bottom w:val="single" w:sz="12" w:space="0" w:color="auto"/>
              <w:right w:val="nil"/>
            </w:tcBorders>
            <w:shd w:val="clear" w:color="auto" w:fill="auto"/>
            <w:vAlign w:val="center"/>
            <w:hideMark/>
          </w:tcPr>
          <w:p w14:paraId="36A0947F"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c>
          <w:tcPr>
            <w:tcW w:w="955" w:type="pct"/>
            <w:tcBorders>
              <w:top w:val="single" w:sz="8" w:space="0" w:color="auto"/>
              <w:left w:val="nil"/>
              <w:bottom w:val="single" w:sz="12" w:space="0" w:color="auto"/>
              <w:right w:val="nil"/>
            </w:tcBorders>
            <w:shd w:val="clear" w:color="auto" w:fill="auto"/>
            <w:vAlign w:val="center"/>
            <w:hideMark/>
          </w:tcPr>
          <w:p w14:paraId="496D8CF3" w14:textId="77777777" w:rsidR="006C5EB3" w:rsidRPr="00434405" w:rsidRDefault="006C5EB3" w:rsidP="00135CF7">
            <w:pPr>
              <w:spacing w:after="0" w:line="240" w:lineRule="auto"/>
              <w:jc w:val="center"/>
              <w:rPr>
                <w:rFonts w:ascii="Times New Roman" w:hAnsi="Times New Roman" w:cs="Times New Roman"/>
                <w:b/>
                <w:bCs/>
                <w:color w:val="000000"/>
                <w:sz w:val="24"/>
                <w:szCs w:val="24"/>
              </w:rPr>
            </w:pPr>
            <w:r w:rsidRPr="00434405">
              <w:rPr>
                <w:rFonts w:ascii="Times New Roman" w:hAnsi="Times New Roman" w:cs="Times New Roman"/>
                <w:b/>
                <w:bCs/>
                <w:color w:val="000000"/>
                <w:sz w:val="24"/>
                <w:szCs w:val="24"/>
              </w:rPr>
              <w:t>Exposed</w:t>
            </w:r>
          </w:p>
        </w:tc>
        <w:tc>
          <w:tcPr>
            <w:tcW w:w="1209" w:type="pct"/>
            <w:tcBorders>
              <w:top w:val="single" w:sz="8" w:space="0" w:color="auto"/>
              <w:left w:val="nil"/>
              <w:bottom w:val="single" w:sz="12" w:space="0" w:color="auto"/>
              <w:right w:val="nil"/>
            </w:tcBorders>
            <w:shd w:val="clear" w:color="auto" w:fill="auto"/>
            <w:vAlign w:val="center"/>
            <w:hideMark/>
          </w:tcPr>
          <w:p w14:paraId="0AC524B1" w14:textId="77777777" w:rsidR="006C5EB3" w:rsidRPr="00434405" w:rsidRDefault="006C5EB3" w:rsidP="00135CF7">
            <w:pPr>
              <w:spacing w:after="0" w:line="240" w:lineRule="auto"/>
              <w:jc w:val="center"/>
              <w:rPr>
                <w:rFonts w:ascii="Times New Roman" w:hAnsi="Times New Roman" w:cs="Times New Roman"/>
                <w:b/>
                <w:bCs/>
                <w:color w:val="000000"/>
                <w:sz w:val="24"/>
                <w:szCs w:val="24"/>
              </w:rPr>
            </w:pPr>
            <w:r w:rsidRPr="00434405">
              <w:rPr>
                <w:rFonts w:ascii="Times New Roman" w:hAnsi="Times New Roman" w:cs="Times New Roman"/>
                <w:b/>
                <w:bCs/>
                <w:color w:val="000000"/>
                <w:sz w:val="24"/>
                <w:szCs w:val="24"/>
              </w:rPr>
              <w:t>Unexposed</w:t>
            </w:r>
          </w:p>
        </w:tc>
        <w:tc>
          <w:tcPr>
            <w:tcW w:w="1010" w:type="pct"/>
            <w:tcBorders>
              <w:top w:val="single" w:sz="8" w:space="0" w:color="auto"/>
              <w:left w:val="nil"/>
              <w:bottom w:val="single" w:sz="12" w:space="0" w:color="auto"/>
              <w:right w:val="nil"/>
            </w:tcBorders>
            <w:shd w:val="clear" w:color="auto" w:fill="auto"/>
            <w:vAlign w:val="center"/>
            <w:hideMark/>
          </w:tcPr>
          <w:p w14:paraId="481D48AE" w14:textId="77777777" w:rsidR="006C5EB3" w:rsidRPr="00434405" w:rsidRDefault="006C5EB3" w:rsidP="00135CF7">
            <w:pPr>
              <w:spacing w:after="0" w:line="240" w:lineRule="auto"/>
              <w:jc w:val="center"/>
              <w:rPr>
                <w:rFonts w:ascii="Times New Roman" w:hAnsi="Times New Roman" w:cs="Times New Roman"/>
                <w:b/>
                <w:bCs/>
                <w:color w:val="000000"/>
                <w:sz w:val="24"/>
                <w:szCs w:val="24"/>
              </w:rPr>
            </w:pPr>
            <w:r w:rsidRPr="00434405">
              <w:rPr>
                <w:rFonts w:ascii="Times New Roman" w:hAnsi="Times New Roman" w:cs="Times New Roman"/>
                <w:b/>
                <w:bCs/>
                <w:color w:val="000000"/>
                <w:sz w:val="24"/>
                <w:szCs w:val="24"/>
              </w:rPr>
              <w:t>Total</w:t>
            </w:r>
          </w:p>
        </w:tc>
      </w:tr>
      <w:tr w:rsidR="006C5EB3" w:rsidRPr="00434405" w14:paraId="50C1462D" w14:textId="77777777" w:rsidTr="00135CF7">
        <w:trPr>
          <w:trHeight w:val="272"/>
        </w:trPr>
        <w:tc>
          <w:tcPr>
            <w:tcW w:w="1826" w:type="pct"/>
            <w:tcBorders>
              <w:top w:val="nil"/>
              <w:left w:val="nil"/>
              <w:bottom w:val="nil"/>
              <w:right w:val="nil"/>
            </w:tcBorders>
            <w:shd w:val="clear" w:color="auto" w:fill="auto"/>
            <w:vAlign w:val="center"/>
            <w:hideMark/>
          </w:tcPr>
          <w:p w14:paraId="3707688E"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xml:space="preserve">Cases </w:t>
            </w:r>
          </w:p>
        </w:tc>
        <w:tc>
          <w:tcPr>
            <w:tcW w:w="955" w:type="pct"/>
            <w:tcBorders>
              <w:top w:val="nil"/>
              <w:left w:val="nil"/>
              <w:bottom w:val="nil"/>
              <w:right w:val="nil"/>
            </w:tcBorders>
            <w:shd w:val="clear" w:color="auto" w:fill="auto"/>
            <w:vAlign w:val="center"/>
            <w:hideMark/>
          </w:tcPr>
          <w:p w14:paraId="3242EAB3"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2</w:t>
            </w:r>
          </w:p>
        </w:tc>
        <w:tc>
          <w:tcPr>
            <w:tcW w:w="1209" w:type="pct"/>
            <w:tcBorders>
              <w:top w:val="nil"/>
              <w:left w:val="nil"/>
              <w:bottom w:val="nil"/>
              <w:right w:val="nil"/>
            </w:tcBorders>
            <w:shd w:val="clear" w:color="auto" w:fill="auto"/>
            <w:vAlign w:val="center"/>
            <w:hideMark/>
          </w:tcPr>
          <w:p w14:paraId="4C32AA12"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45</w:t>
            </w:r>
          </w:p>
        </w:tc>
        <w:tc>
          <w:tcPr>
            <w:tcW w:w="1010" w:type="pct"/>
            <w:tcBorders>
              <w:top w:val="nil"/>
              <w:left w:val="nil"/>
              <w:bottom w:val="nil"/>
              <w:right w:val="nil"/>
            </w:tcBorders>
            <w:shd w:val="clear" w:color="auto" w:fill="auto"/>
            <w:vAlign w:val="center"/>
            <w:hideMark/>
          </w:tcPr>
          <w:p w14:paraId="4EB35499"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47</w:t>
            </w:r>
          </w:p>
        </w:tc>
      </w:tr>
      <w:tr w:rsidR="006C5EB3" w:rsidRPr="00434405" w14:paraId="7723CC89" w14:textId="77777777" w:rsidTr="00135CF7">
        <w:trPr>
          <w:trHeight w:val="263"/>
        </w:trPr>
        <w:tc>
          <w:tcPr>
            <w:tcW w:w="1826" w:type="pct"/>
            <w:tcBorders>
              <w:top w:val="nil"/>
              <w:left w:val="nil"/>
              <w:bottom w:val="nil"/>
              <w:right w:val="nil"/>
            </w:tcBorders>
            <w:shd w:val="clear" w:color="auto" w:fill="auto"/>
            <w:vAlign w:val="center"/>
            <w:hideMark/>
          </w:tcPr>
          <w:p w14:paraId="21AE08F6"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xml:space="preserve">Non-cases </w:t>
            </w:r>
          </w:p>
        </w:tc>
        <w:tc>
          <w:tcPr>
            <w:tcW w:w="955" w:type="pct"/>
            <w:tcBorders>
              <w:top w:val="nil"/>
              <w:left w:val="nil"/>
              <w:bottom w:val="nil"/>
              <w:right w:val="nil"/>
            </w:tcBorders>
            <w:shd w:val="clear" w:color="auto" w:fill="auto"/>
            <w:vAlign w:val="center"/>
            <w:hideMark/>
          </w:tcPr>
          <w:p w14:paraId="2C9A8C53"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w:t>
            </w:r>
          </w:p>
        </w:tc>
        <w:tc>
          <w:tcPr>
            <w:tcW w:w="1209" w:type="pct"/>
            <w:tcBorders>
              <w:top w:val="nil"/>
              <w:left w:val="nil"/>
              <w:bottom w:val="nil"/>
              <w:right w:val="nil"/>
            </w:tcBorders>
            <w:shd w:val="clear" w:color="auto" w:fill="auto"/>
            <w:vAlign w:val="center"/>
            <w:hideMark/>
          </w:tcPr>
          <w:p w14:paraId="40062684"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47</w:t>
            </w:r>
          </w:p>
        </w:tc>
        <w:tc>
          <w:tcPr>
            <w:tcW w:w="1010" w:type="pct"/>
            <w:tcBorders>
              <w:top w:val="nil"/>
              <w:left w:val="nil"/>
              <w:bottom w:val="nil"/>
              <w:right w:val="nil"/>
            </w:tcBorders>
            <w:shd w:val="clear" w:color="auto" w:fill="auto"/>
            <w:vAlign w:val="center"/>
            <w:hideMark/>
          </w:tcPr>
          <w:p w14:paraId="4700720A"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47</w:t>
            </w:r>
          </w:p>
        </w:tc>
      </w:tr>
      <w:tr w:rsidR="006C5EB3" w:rsidRPr="00434405" w14:paraId="3DE4B7FB" w14:textId="77777777" w:rsidTr="00135CF7">
        <w:trPr>
          <w:trHeight w:val="263"/>
        </w:trPr>
        <w:tc>
          <w:tcPr>
            <w:tcW w:w="1826" w:type="pct"/>
            <w:tcBorders>
              <w:top w:val="nil"/>
              <w:left w:val="nil"/>
              <w:bottom w:val="nil"/>
              <w:right w:val="nil"/>
            </w:tcBorders>
            <w:shd w:val="clear" w:color="auto" w:fill="auto"/>
            <w:vAlign w:val="center"/>
            <w:hideMark/>
          </w:tcPr>
          <w:p w14:paraId="336A9AFB"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xml:space="preserve">Total </w:t>
            </w:r>
          </w:p>
        </w:tc>
        <w:tc>
          <w:tcPr>
            <w:tcW w:w="955" w:type="pct"/>
            <w:tcBorders>
              <w:top w:val="nil"/>
              <w:left w:val="nil"/>
              <w:bottom w:val="nil"/>
              <w:right w:val="nil"/>
            </w:tcBorders>
            <w:shd w:val="clear" w:color="auto" w:fill="auto"/>
            <w:vAlign w:val="center"/>
            <w:hideMark/>
          </w:tcPr>
          <w:p w14:paraId="1BC868BA"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2</w:t>
            </w:r>
          </w:p>
        </w:tc>
        <w:tc>
          <w:tcPr>
            <w:tcW w:w="1209" w:type="pct"/>
            <w:tcBorders>
              <w:top w:val="nil"/>
              <w:left w:val="nil"/>
              <w:bottom w:val="nil"/>
              <w:right w:val="nil"/>
            </w:tcBorders>
            <w:shd w:val="clear" w:color="auto" w:fill="auto"/>
            <w:vAlign w:val="center"/>
            <w:hideMark/>
          </w:tcPr>
          <w:p w14:paraId="72665D5E"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92</w:t>
            </w:r>
          </w:p>
        </w:tc>
        <w:tc>
          <w:tcPr>
            <w:tcW w:w="1010" w:type="pct"/>
            <w:tcBorders>
              <w:top w:val="nil"/>
              <w:left w:val="nil"/>
              <w:bottom w:val="nil"/>
              <w:right w:val="nil"/>
            </w:tcBorders>
            <w:shd w:val="clear" w:color="auto" w:fill="auto"/>
            <w:vAlign w:val="center"/>
            <w:hideMark/>
          </w:tcPr>
          <w:p w14:paraId="5C18C905"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94</w:t>
            </w:r>
          </w:p>
        </w:tc>
      </w:tr>
      <w:tr w:rsidR="006C5EB3" w:rsidRPr="00434405" w14:paraId="23C04CA8" w14:textId="77777777" w:rsidTr="00135CF7">
        <w:trPr>
          <w:trHeight w:val="272"/>
        </w:trPr>
        <w:tc>
          <w:tcPr>
            <w:tcW w:w="1826" w:type="pct"/>
            <w:tcBorders>
              <w:top w:val="nil"/>
              <w:left w:val="nil"/>
              <w:bottom w:val="single" w:sz="8" w:space="0" w:color="auto"/>
              <w:right w:val="nil"/>
            </w:tcBorders>
            <w:shd w:val="clear" w:color="auto" w:fill="auto"/>
            <w:vAlign w:val="center"/>
            <w:hideMark/>
          </w:tcPr>
          <w:p w14:paraId="0A72F8FF"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xml:space="preserve">Risk </w:t>
            </w:r>
          </w:p>
        </w:tc>
        <w:tc>
          <w:tcPr>
            <w:tcW w:w="955" w:type="pct"/>
            <w:tcBorders>
              <w:top w:val="nil"/>
              <w:left w:val="nil"/>
              <w:bottom w:val="single" w:sz="8" w:space="0" w:color="auto"/>
              <w:right w:val="nil"/>
            </w:tcBorders>
            <w:shd w:val="clear" w:color="auto" w:fill="auto"/>
            <w:vAlign w:val="center"/>
            <w:hideMark/>
          </w:tcPr>
          <w:p w14:paraId="77C6F5D2"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1</w:t>
            </w:r>
          </w:p>
        </w:tc>
        <w:tc>
          <w:tcPr>
            <w:tcW w:w="1209" w:type="pct"/>
            <w:tcBorders>
              <w:top w:val="nil"/>
              <w:left w:val="nil"/>
              <w:bottom w:val="single" w:sz="8" w:space="0" w:color="auto"/>
              <w:right w:val="nil"/>
            </w:tcBorders>
            <w:shd w:val="clear" w:color="auto" w:fill="auto"/>
            <w:vAlign w:val="center"/>
            <w:hideMark/>
          </w:tcPr>
          <w:p w14:paraId="26D1796B"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0.489</w:t>
            </w:r>
          </w:p>
        </w:tc>
        <w:tc>
          <w:tcPr>
            <w:tcW w:w="1010" w:type="pct"/>
            <w:tcBorders>
              <w:top w:val="nil"/>
              <w:left w:val="nil"/>
              <w:bottom w:val="single" w:sz="8" w:space="0" w:color="auto"/>
              <w:right w:val="nil"/>
            </w:tcBorders>
            <w:shd w:val="clear" w:color="auto" w:fill="auto"/>
            <w:vAlign w:val="center"/>
            <w:hideMark/>
          </w:tcPr>
          <w:p w14:paraId="4D2BC8B9"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0.5</w:t>
            </w:r>
          </w:p>
        </w:tc>
      </w:tr>
      <w:tr w:rsidR="006C5EB3" w:rsidRPr="00434405" w14:paraId="7901627B" w14:textId="77777777" w:rsidTr="00135CF7">
        <w:trPr>
          <w:trHeight w:val="254"/>
        </w:trPr>
        <w:tc>
          <w:tcPr>
            <w:tcW w:w="1826" w:type="pct"/>
            <w:tcBorders>
              <w:top w:val="nil"/>
              <w:left w:val="nil"/>
              <w:bottom w:val="nil"/>
              <w:right w:val="nil"/>
            </w:tcBorders>
            <w:shd w:val="clear" w:color="auto" w:fill="auto"/>
            <w:vAlign w:val="center"/>
            <w:hideMark/>
          </w:tcPr>
          <w:p w14:paraId="23498EA4"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c>
          <w:tcPr>
            <w:tcW w:w="3174" w:type="pct"/>
            <w:gridSpan w:val="3"/>
            <w:tcBorders>
              <w:top w:val="single" w:sz="8" w:space="0" w:color="auto"/>
              <w:left w:val="nil"/>
              <w:bottom w:val="nil"/>
              <w:right w:val="nil"/>
            </w:tcBorders>
            <w:shd w:val="clear" w:color="auto" w:fill="auto"/>
            <w:vAlign w:val="center"/>
            <w:hideMark/>
          </w:tcPr>
          <w:p w14:paraId="57F1F99A" w14:textId="77777777" w:rsidR="006C5EB3" w:rsidRPr="00434405" w:rsidRDefault="006C5EB3" w:rsidP="00135CF7">
            <w:pPr>
              <w:spacing w:after="0" w:line="240" w:lineRule="auto"/>
              <w:jc w:val="center"/>
              <w:rPr>
                <w:rFonts w:ascii="Times New Roman" w:hAnsi="Times New Roman" w:cs="Times New Roman"/>
                <w:b/>
                <w:bCs/>
                <w:color w:val="000000"/>
                <w:sz w:val="24"/>
                <w:szCs w:val="24"/>
              </w:rPr>
            </w:pPr>
            <w:r w:rsidRPr="00434405">
              <w:rPr>
                <w:rFonts w:ascii="Times New Roman" w:hAnsi="Times New Roman" w:cs="Times New Roman"/>
                <w:b/>
                <w:bCs/>
                <w:color w:val="000000"/>
                <w:sz w:val="24"/>
                <w:szCs w:val="24"/>
              </w:rPr>
              <w:t>Point estimate [95% conf. interval]</w:t>
            </w:r>
          </w:p>
        </w:tc>
      </w:tr>
      <w:tr w:rsidR="006C5EB3" w:rsidRPr="00434405" w14:paraId="7ACD99DD" w14:textId="77777777" w:rsidTr="00135CF7">
        <w:trPr>
          <w:trHeight w:val="272"/>
        </w:trPr>
        <w:tc>
          <w:tcPr>
            <w:tcW w:w="1826" w:type="pct"/>
            <w:tcBorders>
              <w:top w:val="nil"/>
              <w:left w:val="nil"/>
              <w:bottom w:val="single" w:sz="8" w:space="0" w:color="auto"/>
              <w:right w:val="nil"/>
            </w:tcBorders>
            <w:shd w:val="clear" w:color="auto" w:fill="auto"/>
            <w:vAlign w:val="center"/>
            <w:hideMark/>
          </w:tcPr>
          <w:p w14:paraId="452C0B35"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c>
          <w:tcPr>
            <w:tcW w:w="955" w:type="pct"/>
            <w:tcBorders>
              <w:top w:val="nil"/>
              <w:left w:val="nil"/>
              <w:bottom w:val="single" w:sz="8" w:space="0" w:color="auto"/>
              <w:right w:val="nil"/>
            </w:tcBorders>
            <w:shd w:val="clear" w:color="auto" w:fill="auto"/>
            <w:vAlign w:val="center"/>
            <w:hideMark/>
          </w:tcPr>
          <w:p w14:paraId="45B6DA47"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c>
          <w:tcPr>
            <w:tcW w:w="1209" w:type="pct"/>
            <w:tcBorders>
              <w:top w:val="nil"/>
              <w:left w:val="nil"/>
              <w:bottom w:val="single" w:sz="8" w:space="0" w:color="auto"/>
              <w:right w:val="nil"/>
            </w:tcBorders>
            <w:shd w:val="clear" w:color="auto" w:fill="auto"/>
            <w:vAlign w:val="center"/>
            <w:hideMark/>
          </w:tcPr>
          <w:p w14:paraId="12E0B076" w14:textId="77777777" w:rsidR="006C5EB3" w:rsidRPr="00434405" w:rsidRDefault="006C5EB3" w:rsidP="00135CF7">
            <w:pPr>
              <w:spacing w:after="0" w:line="240" w:lineRule="auto"/>
              <w:rPr>
                <w:rFonts w:ascii="Times New Roman" w:hAnsi="Times New Roman" w:cs="Times New Roman"/>
                <w:b/>
                <w:bCs/>
                <w:color w:val="000000"/>
                <w:sz w:val="24"/>
                <w:szCs w:val="24"/>
              </w:rPr>
            </w:pPr>
            <w:r w:rsidRPr="00434405">
              <w:rPr>
                <w:rFonts w:ascii="Times New Roman" w:hAnsi="Times New Roman" w:cs="Times New Roman"/>
                <w:b/>
                <w:bCs/>
                <w:color w:val="000000"/>
                <w:sz w:val="24"/>
                <w:szCs w:val="24"/>
              </w:rPr>
              <w:t>Lower</w:t>
            </w:r>
          </w:p>
        </w:tc>
        <w:tc>
          <w:tcPr>
            <w:tcW w:w="1010" w:type="pct"/>
            <w:tcBorders>
              <w:top w:val="nil"/>
              <w:left w:val="nil"/>
              <w:bottom w:val="single" w:sz="8" w:space="0" w:color="auto"/>
              <w:right w:val="nil"/>
            </w:tcBorders>
            <w:shd w:val="clear" w:color="auto" w:fill="auto"/>
            <w:vAlign w:val="center"/>
            <w:hideMark/>
          </w:tcPr>
          <w:p w14:paraId="50DE4A1A" w14:textId="77777777" w:rsidR="006C5EB3" w:rsidRPr="00434405" w:rsidRDefault="006C5EB3" w:rsidP="00135CF7">
            <w:pPr>
              <w:spacing w:after="0" w:line="240" w:lineRule="auto"/>
              <w:rPr>
                <w:rFonts w:ascii="Times New Roman" w:hAnsi="Times New Roman" w:cs="Times New Roman"/>
                <w:b/>
                <w:bCs/>
                <w:color w:val="000000"/>
                <w:sz w:val="24"/>
                <w:szCs w:val="24"/>
              </w:rPr>
            </w:pPr>
            <w:r w:rsidRPr="00434405">
              <w:rPr>
                <w:rFonts w:ascii="Times New Roman" w:hAnsi="Times New Roman" w:cs="Times New Roman"/>
                <w:b/>
                <w:bCs/>
                <w:color w:val="000000"/>
                <w:sz w:val="24"/>
                <w:szCs w:val="24"/>
              </w:rPr>
              <w:t>Upper</w:t>
            </w:r>
          </w:p>
        </w:tc>
      </w:tr>
      <w:tr w:rsidR="006C5EB3" w:rsidRPr="00434405" w14:paraId="3C8A5221" w14:textId="77777777" w:rsidTr="00135CF7">
        <w:trPr>
          <w:trHeight w:val="263"/>
        </w:trPr>
        <w:tc>
          <w:tcPr>
            <w:tcW w:w="1826" w:type="pct"/>
            <w:tcBorders>
              <w:top w:val="nil"/>
              <w:left w:val="nil"/>
              <w:bottom w:val="nil"/>
              <w:right w:val="nil"/>
            </w:tcBorders>
            <w:shd w:val="clear" w:color="auto" w:fill="auto"/>
            <w:vAlign w:val="center"/>
            <w:hideMark/>
          </w:tcPr>
          <w:p w14:paraId="3C94ABFF"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xml:space="preserve">Risk difference </w:t>
            </w:r>
          </w:p>
        </w:tc>
        <w:tc>
          <w:tcPr>
            <w:tcW w:w="955" w:type="pct"/>
            <w:tcBorders>
              <w:top w:val="nil"/>
              <w:left w:val="nil"/>
              <w:bottom w:val="nil"/>
              <w:right w:val="nil"/>
            </w:tcBorders>
            <w:shd w:val="clear" w:color="auto" w:fill="auto"/>
            <w:vAlign w:val="center"/>
            <w:hideMark/>
          </w:tcPr>
          <w:p w14:paraId="2E972117"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0.511</w:t>
            </w:r>
          </w:p>
        </w:tc>
        <w:tc>
          <w:tcPr>
            <w:tcW w:w="1209" w:type="pct"/>
            <w:tcBorders>
              <w:top w:val="nil"/>
              <w:left w:val="nil"/>
              <w:bottom w:val="nil"/>
              <w:right w:val="nil"/>
            </w:tcBorders>
            <w:shd w:val="clear" w:color="auto" w:fill="auto"/>
            <w:vAlign w:val="center"/>
            <w:hideMark/>
          </w:tcPr>
          <w:p w14:paraId="76DD45D2"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0.409</w:t>
            </w:r>
          </w:p>
        </w:tc>
        <w:tc>
          <w:tcPr>
            <w:tcW w:w="1010" w:type="pct"/>
            <w:tcBorders>
              <w:top w:val="nil"/>
              <w:left w:val="nil"/>
              <w:bottom w:val="nil"/>
              <w:right w:val="nil"/>
            </w:tcBorders>
            <w:shd w:val="clear" w:color="auto" w:fill="auto"/>
            <w:vAlign w:val="center"/>
            <w:hideMark/>
          </w:tcPr>
          <w:p w14:paraId="21CC7AA8"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0.613</w:t>
            </w:r>
          </w:p>
        </w:tc>
      </w:tr>
      <w:tr w:rsidR="006C5EB3" w:rsidRPr="00434405" w14:paraId="155279E1" w14:textId="77777777" w:rsidTr="00135CF7">
        <w:trPr>
          <w:trHeight w:val="263"/>
        </w:trPr>
        <w:tc>
          <w:tcPr>
            <w:tcW w:w="1826" w:type="pct"/>
            <w:tcBorders>
              <w:top w:val="nil"/>
              <w:left w:val="nil"/>
              <w:bottom w:val="nil"/>
              <w:right w:val="nil"/>
            </w:tcBorders>
            <w:shd w:val="clear" w:color="auto" w:fill="auto"/>
            <w:vAlign w:val="center"/>
            <w:hideMark/>
          </w:tcPr>
          <w:p w14:paraId="217D8053"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xml:space="preserve">Risk ratio </w:t>
            </w:r>
          </w:p>
        </w:tc>
        <w:tc>
          <w:tcPr>
            <w:tcW w:w="955" w:type="pct"/>
            <w:tcBorders>
              <w:top w:val="nil"/>
              <w:left w:val="nil"/>
              <w:bottom w:val="nil"/>
              <w:right w:val="nil"/>
            </w:tcBorders>
            <w:shd w:val="clear" w:color="auto" w:fill="auto"/>
            <w:vAlign w:val="center"/>
            <w:hideMark/>
          </w:tcPr>
          <w:p w14:paraId="66B0BCCD"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2.044</w:t>
            </w:r>
          </w:p>
        </w:tc>
        <w:tc>
          <w:tcPr>
            <w:tcW w:w="1209" w:type="pct"/>
            <w:tcBorders>
              <w:top w:val="nil"/>
              <w:left w:val="nil"/>
              <w:bottom w:val="nil"/>
              <w:right w:val="nil"/>
            </w:tcBorders>
            <w:shd w:val="clear" w:color="auto" w:fill="auto"/>
            <w:vAlign w:val="center"/>
            <w:hideMark/>
          </w:tcPr>
          <w:p w14:paraId="2547FDB5"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1.659</w:t>
            </w:r>
          </w:p>
        </w:tc>
        <w:tc>
          <w:tcPr>
            <w:tcW w:w="1010" w:type="pct"/>
            <w:tcBorders>
              <w:top w:val="nil"/>
              <w:left w:val="nil"/>
              <w:bottom w:val="nil"/>
              <w:right w:val="nil"/>
            </w:tcBorders>
            <w:shd w:val="clear" w:color="auto" w:fill="auto"/>
            <w:vAlign w:val="center"/>
            <w:hideMark/>
          </w:tcPr>
          <w:p w14:paraId="55DCDE8C"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2.519</w:t>
            </w:r>
          </w:p>
        </w:tc>
      </w:tr>
      <w:tr w:rsidR="006C5EB3" w:rsidRPr="00434405" w14:paraId="691820BF" w14:textId="77777777" w:rsidTr="00135CF7">
        <w:trPr>
          <w:trHeight w:val="263"/>
        </w:trPr>
        <w:tc>
          <w:tcPr>
            <w:tcW w:w="1826" w:type="pct"/>
            <w:tcBorders>
              <w:top w:val="nil"/>
              <w:left w:val="nil"/>
              <w:bottom w:val="nil"/>
              <w:right w:val="nil"/>
            </w:tcBorders>
            <w:shd w:val="clear" w:color="auto" w:fill="auto"/>
            <w:vAlign w:val="center"/>
            <w:hideMark/>
          </w:tcPr>
          <w:p w14:paraId="181A5820" w14:textId="77777777" w:rsidR="006C5EB3" w:rsidRPr="00434405" w:rsidRDefault="006C5EB3" w:rsidP="00135CF7">
            <w:pPr>
              <w:spacing w:after="0" w:line="240" w:lineRule="auto"/>
              <w:rPr>
                <w:rFonts w:ascii="Times New Roman" w:hAnsi="Times New Roman" w:cs="Times New Roman"/>
                <w:color w:val="000000"/>
                <w:sz w:val="24"/>
                <w:szCs w:val="24"/>
              </w:rPr>
            </w:pPr>
            <w:proofErr w:type="spellStart"/>
            <w:r w:rsidRPr="00434405">
              <w:rPr>
                <w:rFonts w:ascii="Times New Roman" w:hAnsi="Times New Roman" w:cs="Times New Roman"/>
                <w:color w:val="000000"/>
                <w:sz w:val="24"/>
                <w:szCs w:val="24"/>
              </w:rPr>
              <w:t>Attr</w:t>
            </w:r>
            <w:proofErr w:type="spellEnd"/>
            <w:r w:rsidRPr="00434405">
              <w:rPr>
                <w:rFonts w:ascii="Times New Roman" w:hAnsi="Times New Roman" w:cs="Times New Roman"/>
                <w:color w:val="000000"/>
                <w:sz w:val="24"/>
                <w:szCs w:val="24"/>
              </w:rPr>
              <w:t>. frac. ex.</w:t>
            </w:r>
          </w:p>
        </w:tc>
        <w:tc>
          <w:tcPr>
            <w:tcW w:w="955" w:type="pct"/>
            <w:tcBorders>
              <w:top w:val="nil"/>
              <w:left w:val="nil"/>
              <w:bottom w:val="nil"/>
              <w:right w:val="nil"/>
            </w:tcBorders>
            <w:shd w:val="clear" w:color="auto" w:fill="auto"/>
            <w:vAlign w:val="center"/>
            <w:hideMark/>
          </w:tcPr>
          <w:p w14:paraId="45B37D9F"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0.511</w:t>
            </w:r>
          </w:p>
        </w:tc>
        <w:tc>
          <w:tcPr>
            <w:tcW w:w="1209" w:type="pct"/>
            <w:tcBorders>
              <w:top w:val="nil"/>
              <w:left w:val="nil"/>
              <w:bottom w:val="nil"/>
              <w:right w:val="nil"/>
            </w:tcBorders>
            <w:shd w:val="clear" w:color="auto" w:fill="auto"/>
            <w:vAlign w:val="center"/>
            <w:hideMark/>
          </w:tcPr>
          <w:p w14:paraId="11E706DE"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0.397</w:t>
            </w:r>
          </w:p>
        </w:tc>
        <w:tc>
          <w:tcPr>
            <w:tcW w:w="1010" w:type="pct"/>
            <w:tcBorders>
              <w:top w:val="nil"/>
              <w:left w:val="nil"/>
              <w:bottom w:val="nil"/>
              <w:right w:val="nil"/>
            </w:tcBorders>
            <w:shd w:val="clear" w:color="auto" w:fill="auto"/>
            <w:vAlign w:val="center"/>
            <w:hideMark/>
          </w:tcPr>
          <w:p w14:paraId="66FF3EC6"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0.603</w:t>
            </w:r>
          </w:p>
        </w:tc>
      </w:tr>
      <w:tr w:rsidR="006C5EB3" w:rsidRPr="00434405" w14:paraId="0602B431" w14:textId="77777777" w:rsidTr="00135CF7">
        <w:trPr>
          <w:trHeight w:val="272"/>
        </w:trPr>
        <w:tc>
          <w:tcPr>
            <w:tcW w:w="1826" w:type="pct"/>
            <w:tcBorders>
              <w:top w:val="nil"/>
              <w:left w:val="nil"/>
              <w:bottom w:val="single" w:sz="8" w:space="0" w:color="auto"/>
              <w:right w:val="nil"/>
            </w:tcBorders>
            <w:shd w:val="clear" w:color="auto" w:fill="auto"/>
            <w:vAlign w:val="center"/>
            <w:hideMark/>
          </w:tcPr>
          <w:p w14:paraId="5DAD3207" w14:textId="77777777" w:rsidR="006C5EB3" w:rsidRPr="00434405" w:rsidRDefault="006C5EB3" w:rsidP="00135CF7">
            <w:pPr>
              <w:spacing w:after="0" w:line="240" w:lineRule="auto"/>
              <w:rPr>
                <w:rFonts w:ascii="Times New Roman" w:hAnsi="Times New Roman" w:cs="Times New Roman"/>
                <w:color w:val="000000"/>
                <w:sz w:val="24"/>
                <w:szCs w:val="24"/>
              </w:rPr>
            </w:pPr>
            <w:proofErr w:type="spellStart"/>
            <w:r w:rsidRPr="00434405">
              <w:rPr>
                <w:rFonts w:ascii="Times New Roman" w:hAnsi="Times New Roman" w:cs="Times New Roman"/>
                <w:color w:val="000000"/>
                <w:sz w:val="24"/>
                <w:szCs w:val="24"/>
              </w:rPr>
              <w:t>Attr</w:t>
            </w:r>
            <w:proofErr w:type="spellEnd"/>
            <w:r w:rsidRPr="00434405">
              <w:rPr>
                <w:rFonts w:ascii="Times New Roman" w:hAnsi="Times New Roman" w:cs="Times New Roman"/>
                <w:color w:val="000000"/>
                <w:sz w:val="24"/>
                <w:szCs w:val="24"/>
              </w:rPr>
              <w:t>. frac. Pop</w:t>
            </w:r>
          </w:p>
        </w:tc>
        <w:tc>
          <w:tcPr>
            <w:tcW w:w="955" w:type="pct"/>
            <w:tcBorders>
              <w:top w:val="nil"/>
              <w:left w:val="nil"/>
              <w:bottom w:val="single" w:sz="8" w:space="0" w:color="auto"/>
              <w:right w:val="nil"/>
            </w:tcBorders>
            <w:shd w:val="clear" w:color="auto" w:fill="auto"/>
            <w:vAlign w:val="center"/>
            <w:hideMark/>
          </w:tcPr>
          <w:p w14:paraId="58650CEF"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0.022</w:t>
            </w:r>
          </w:p>
        </w:tc>
        <w:tc>
          <w:tcPr>
            <w:tcW w:w="1209" w:type="pct"/>
            <w:tcBorders>
              <w:top w:val="nil"/>
              <w:left w:val="nil"/>
              <w:bottom w:val="single" w:sz="8" w:space="0" w:color="auto"/>
              <w:right w:val="nil"/>
            </w:tcBorders>
            <w:shd w:val="clear" w:color="auto" w:fill="auto"/>
            <w:noWrap/>
            <w:vAlign w:val="bottom"/>
            <w:hideMark/>
          </w:tcPr>
          <w:p w14:paraId="37AE1739"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c>
          <w:tcPr>
            <w:tcW w:w="1010" w:type="pct"/>
            <w:tcBorders>
              <w:top w:val="nil"/>
              <w:left w:val="nil"/>
              <w:bottom w:val="single" w:sz="8" w:space="0" w:color="auto"/>
              <w:right w:val="nil"/>
            </w:tcBorders>
            <w:shd w:val="clear" w:color="auto" w:fill="auto"/>
            <w:noWrap/>
            <w:vAlign w:val="bottom"/>
            <w:hideMark/>
          </w:tcPr>
          <w:p w14:paraId="2CBDBCDA" w14:textId="77777777" w:rsidR="006C5EB3" w:rsidRPr="00434405" w:rsidRDefault="006C5EB3" w:rsidP="00135CF7">
            <w:pPr>
              <w:spacing w:after="0" w:line="240" w:lineRule="auto"/>
              <w:jc w:val="center"/>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r>
      <w:tr w:rsidR="006C5EB3" w:rsidRPr="00434405" w14:paraId="6830BAB5" w14:textId="77777777" w:rsidTr="00135CF7">
        <w:trPr>
          <w:trHeight w:val="263"/>
        </w:trPr>
        <w:tc>
          <w:tcPr>
            <w:tcW w:w="3990" w:type="pct"/>
            <w:gridSpan w:val="3"/>
            <w:tcBorders>
              <w:top w:val="single" w:sz="8" w:space="0" w:color="auto"/>
              <w:left w:val="nil"/>
              <w:bottom w:val="nil"/>
              <w:right w:val="nil"/>
            </w:tcBorders>
            <w:shd w:val="clear" w:color="auto" w:fill="auto"/>
            <w:noWrap/>
            <w:vAlign w:val="bottom"/>
            <w:hideMark/>
          </w:tcPr>
          <w:p w14:paraId="30C769BC" w14:textId="77777777" w:rsidR="006C5EB3" w:rsidRPr="00434405" w:rsidRDefault="006C5EB3" w:rsidP="00135CF7">
            <w:pPr>
              <w:spacing w:after="0" w:line="240" w:lineRule="auto"/>
              <w:rPr>
                <w:rFonts w:ascii="Times New Roman" w:hAnsi="Times New Roman" w:cs="Times New Roman"/>
                <w:i/>
                <w:iCs/>
                <w:color w:val="000000"/>
                <w:sz w:val="24"/>
                <w:szCs w:val="24"/>
              </w:rPr>
            </w:pPr>
            <w:r w:rsidRPr="00434405">
              <w:rPr>
                <w:rFonts w:ascii="Times New Roman" w:hAnsi="Times New Roman" w:cs="Times New Roman"/>
                <w:i/>
                <w:iCs/>
                <w:color w:val="000000"/>
                <w:sz w:val="24"/>
                <w:szCs w:val="24"/>
              </w:rPr>
              <w:t xml:space="preserve">                                  1-sided Fisher's exact p = 0.2473</w:t>
            </w:r>
          </w:p>
        </w:tc>
        <w:tc>
          <w:tcPr>
            <w:tcW w:w="1010" w:type="pct"/>
            <w:tcBorders>
              <w:top w:val="nil"/>
              <w:left w:val="nil"/>
              <w:bottom w:val="nil"/>
              <w:right w:val="nil"/>
            </w:tcBorders>
            <w:shd w:val="clear" w:color="auto" w:fill="auto"/>
            <w:noWrap/>
            <w:vAlign w:val="bottom"/>
            <w:hideMark/>
          </w:tcPr>
          <w:p w14:paraId="6D301208"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r>
      <w:tr w:rsidR="006C5EB3" w:rsidRPr="00434405" w14:paraId="25AF308D" w14:textId="77777777" w:rsidTr="00135CF7">
        <w:trPr>
          <w:trHeight w:val="272"/>
        </w:trPr>
        <w:tc>
          <w:tcPr>
            <w:tcW w:w="3990" w:type="pct"/>
            <w:gridSpan w:val="3"/>
            <w:tcBorders>
              <w:top w:val="nil"/>
              <w:left w:val="nil"/>
              <w:bottom w:val="single" w:sz="8" w:space="0" w:color="auto"/>
              <w:right w:val="nil"/>
            </w:tcBorders>
            <w:shd w:val="clear" w:color="auto" w:fill="auto"/>
            <w:noWrap/>
            <w:vAlign w:val="bottom"/>
            <w:hideMark/>
          </w:tcPr>
          <w:p w14:paraId="3077B10F" w14:textId="77777777" w:rsidR="006C5EB3" w:rsidRPr="00434405" w:rsidRDefault="006C5EB3" w:rsidP="00135CF7">
            <w:pPr>
              <w:spacing w:after="0" w:line="240" w:lineRule="auto"/>
              <w:rPr>
                <w:rFonts w:ascii="Times New Roman" w:hAnsi="Times New Roman" w:cs="Times New Roman"/>
                <w:i/>
                <w:iCs/>
                <w:color w:val="000000"/>
                <w:sz w:val="24"/>
                <w:szCs w:val="24"/>
              </w:rPr>
            </w:pPr>
            <w:r w:rsidRPr="00434405">
              <w:rPr>
                <w:rFonts w:ascii="Times New Roman" w:hAnsi="Times New Roman" w:cs="Times New Roman"/>
                <w:i/>
                <w:iCs/>
                <w:color w:val="000000"/>
                <w:sz w:val="24"/>
                <w:szCs w:val="24"/>
              </w:rPr>
              <w:t xml:space="preserve">                                  2-sided Fisher's exact p = 0.4946</w:t>
            </w:r>
          </w:p>
        </w:tc>
        <w:tc>
          <w:tcPr>
            <w:tcW w:w="1010" w:type="pct"/>
            <w:tcBorders>
              <w:top w:val="nil"/>
              <w:left w:val="nil"/>
              <w:bottom w:val="single" w:sz="8" w:space="0" w:color="auto"/>
              <w:right w:val="nil"/>
            </w:tcBorders>
            <w:shd w:val="clear" w:color="auto" w:fill="auto"/>
            <w:noWrap/>
            <w:vAlign w:val="bottom"/>
            <w:hideMark/>
          </w:tcPr>
          <w:p w14:paraId="7AD05739" w14:textId="77777777" w:rsidR="006C5EB3" w:rsidRPr="00434405" w:rsidRDefault="006C5EB3" w:rsidP="00135CF7">
            <w:pPr>
              <w:spacing w:after="0" w:line="240" w:lineRule="auto"/>
              <w:rPr>
                <w:rFonts w:ascii="Times New Roman" w:hAnsi="Times New Roman" w:cs="Times New Roman"/>
                <w:color w:val="000000"/>
                <w:sz w:val="24"/>
                <w:szCs w:val="24"/>
              </w:rPr>
            </w:pPr>
            <w:r w:rsidRPr="00434405">
              <w:rPr>
                <w:rFonts w:ascii="Times New Roman" w:hAnsi="Times New Roman" w:cs="Times New Roman"/>
                <w:color w:val="000000"/>
                <w:sz w:val="24"/>
                <w:szCs w:val="24"/>
              </w:rPr>
              <w:t> </w:t>
            </w:r>
          </w:p>
        </w:tc>
      </w:tr>
    </w:tbl>
    <w:p w14:paraId="4CE65B07" w14:textId="77777777" w:rsidR="006C5EB3" w:rsidRDefault="006C5EB3" w:rsidP="006C5EB3">
      <w:pPr>
        <w:spacing w:line="360" w:lineRule="auto"/>
        <w:jc w:val="both"/>
        <w:rPr>
          <w:rFonts w:ascii="Times New Roman" w:eastAsia="Times New Roman" w:hAnsi="Times New Roman" w:cs="Times New Roman"/>
          <w:sz w:val="24"/>
          <w:szCs w:val="24"/>
        </w:rPr>
      </w:pPr>
    </w:p>
    <w:p w14:paraId="3C3EF229"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1023D48C" w14:textId="77777777" w:rsidR="006C5EB3" w:rsidRDefault="006C5EB3" w:rsidP="00A225B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Figures</w:t>
      </w:r>
    </w:p>
    <w:p w14:paraId="499DC36B"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445EC16E"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022F5F79" w14:textId="77777777" w:rsidR="006C5EB3" w:rsidRDefault="006C5EB3" w:rsidP="00A225BD">
      <w:pPr>
        <w:spacing w:line="240" w:lineRule="auto"/>
        <w:jc w:val="both"/>
        <w:rPr>
          <w:rFonts w:ascii="Times New Roman" w:hAnsi="Times New Roman" w:cs="Times New Roman"/>
          <w:b/>
          <w:color w:val="000000" w:themeColor="text1"/>
          <w:sz w:val="24"/>
          <w:szCs w:val="24"/>
        </w:rPr>
      </w:pPr>
    </w:p>
    <w:p w14:paraId="6E6E5582" w14:textId="77777777" w:rsidR="006C5EB3" w:rsidRPr="004B724F" w:rsidRDefault="006C5EB3" w:rsidP="006C5EB3">
      <w:pPr>
        <w:spacing w:line="240" w:lineRule="auto"/>
        <w:rPr>
          <w:szCs w:val="24"/>
        </w:rPr>
      </w:pPr>
      <w:r w:rsidRPr="004B724F">
        <w:rPr>
          <w:noProof/>
          <w:szCs w:val="24"/>
        </w:rPr>
        <w:drawing>
          <wp:inline distT="0" distB="0" distL="0" distR="0" wp14:anchorId="59D754AA" wp14:editId="34D7DB58">
            <wp:extent cx="5350042" cy="2705100"/>
            <wp:effectExtent l="0" t="0" r="3175" b="0"/>
            <wp:docPr id="307202491" name="Chart 1">
              <a:extLst xmlns:a="http://schemas.openxmlformats.org/drawingml/2006/main">
                <a:ext uri="{FF2B5EF4-FFF2-40B4-BE49-F238E27FC236}">
                  <a16:creationId xmlns:a16="http://schemas.microsoft.com/office/drawing/2014/main" id="{BC2E6B15-75B4-6342-9762-E7FD1603B6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D3510B" w14:textId="77777777" w:rsidR="006C5EB3" w:rsidRDefault="006C5EB3" w:rsidP="006C5EB3">
      <w:pPr>
        <w:rPr>
          <w:rFonts w:ascii="Times New Roman" w:hAnsi="Times New Roman" w:cs="Times New Roman"/>
          <w:b/>
          <w:sz w:val="24"/>
          <w:szCs w:val="24"/>
        </w:rPr>
      </w:pPr>
      <w:bookmarkStart w:id="5" w:name="_Toc166157169"/>
    </w:p>
    <w:p w14:paraId="5AD8E44B" w14:textId="77777777" w:rsidR="006C5EB3" w:rsidRPr="00D40109" w:rsidRDefault="006C5EB3" w:rsidP="006C5EB3">
      <w:pPr>
        <w:rPr>
          <w:rFonts w:ascii="Times New Roman" w:hAnsi="Times New Roman" w:cs="Times New Roman"/>
          <w:b/>
          <w:sz w:val="24"/>
          <w:szCs w:val="24"/>
        </w:rPr>
      </w:pPr>
      <w:r w:rsidRPr="00D40109">
        <w:rPr>
          <w:rFonts w:ascii="Times New Roman" w:hAnsi="Times New Roman" w:cs="Times New Roman"/>
          <w:b/>
          <w:sz w:val="24"/>
          <w:szCs w:val="24"/>
        </w:rPr>
        <w:t>Figure 1: Seroprevalence of Hepatitis B among pregnant mothers</w:t>
      </w:r>
      <w:bookmarkEnd w:id="5"/>
    </w:p>
    <w:p w14:paraId="4DBAEE28" w14:textId="77777777" w:rsidR="006C5EB3" w:rsidRPr="006C5EB3" w:rsidRDefault="006C5EB3" w:rsidP="00A225BD">
      <w:pPr>
        <w:spacing w:line="240" w:lineRule="auto"/>
        <w:jc w:val="both"/>
        <w:rPr>
          <w:rFonts w:ascii="Times New Roman" w:hAnsi="Times New Roman" w:cs="Times New Roman"/>
          <w:b/>
          <w:color w:val="000000" w:themeColor="text1"/>
          <w:sz w:val="24"/>
          <w:szCs w:val="24"/>
        </w:rPr>
      </w:pPr>
    </w:p>
    <w:p w14:paraId="174F575D" w14:textId="77777777" w:rsidR="00C15F92" w:rsidRPr="005A6880" w:rsidRDefault="00C15F92" w:rsidP="005A6880">
      <w:pPr>
        <w:jc w:val="both"/>
        <w:rPr>
          <w:rFonts w:ascii="Times New Roman" w:eastAsia="Times New Roman" w:hAnsi="Times New Roman" w:cs="Times New Roman"/>
          <w:sz w:val="24"/>
          <w:szCs w:val="24"/>
        </w:rPr>
      </w:pPr>
    </w:p>
    <w:sectPr w:rsidR="00C15F92" w:rsidRPr="005A68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F039B" w14:textId="77777777" w:rsidR="005E7C93" w:rsidRDefault="005E7C93" w:rsidP="00932894">
      <w:pPr>
        <w:spacing w:after="0" w:line="240" w:lineRule="auto"/>
      </w:pPr>
      <w:r>
        <w:separator/>
      </w:r>
    </w:p>
  </w:endnote>
  <w:endnote w:type="continuationSeparator" w:id="0">
    <w:p w14:paraId="6AB249D9" w14:textId="77777777" w:rsidR="005E7C93" w:rsidRDefault="005E7C93" w:rsidP="0093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WenQuanYi Micro He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FD0E" w14:textId="77777777" w:rsidR="00932894" w:rsidRDefault="00932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B1F6" w14:textId="77777777" w:rsidR="00932894" w:rsidRDefault="00932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B2B4" w14:textId="77777777" w:rsidR="00932894" w:rsidRDefault="0093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BBD1" w14:textId="77777777" w:rsidR="005E7C93" w:rsidRDefault="005E7C93" w:rsidP="00932894">
      <w:pPr>
        <w:spacing w:after="0" w:line="240" w:lineRule="auto"/>
      </w:pPr>
      <w:r>
        <w:separator/>
      </w:r>
    </w:p>
  </w:footnote>
  <w:footnote w:type="continuationSeparator" w:id="0">
    <w:p w14:paraId="7E36B8B6" w14:textId="77777777" w:rsidR="005E7C93" w:rsidRDefault="005E7C93" w:rsidP="0093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B26C" w14:textId="3A0A4CE7" w:rsidR="00932894" w:rsidRDefault="00932894">
    <w:pPr>
      <w:pStyle w:val="Header"/>
    </w:pPr>
    <w:r>
      <w:rPr>
        <w:noProof/>
      </w:rPr>
      <w:pict w14:anchorId="5FF0F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95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29C3" w14:textId="4CCEE0F5" w:rsidR="00932894" w:rsidRDefault="00932894">
    <w:pPr>
      <w:pStyle w:val="Header"/>
    </w:pPr>
    <w:r>
      <w:rPr>
        <w:noProof/>
      </w:rPr>
      <w:pict w14:anchorId="15C54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95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BA8C" w14:textId="197DD915" w:rsidR="00932894" w:rsidRDefault="00932894">
    <w:pPr>
      <w:pStyle w:val="Header"/>
    </w:pPr>
    <w:r>
      <w:rPr>
        <w:noProof/>
      </w:rPr>
      <w:pict w14:anchorId="1E576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95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A85"/>
    <w:multiLevelType w:val="multilevel"/>
    <w:tmpl w:val="607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608D4"/>
    <w:multiLevelType w:val="multilevel"/>
    <w:tmpl w:val="9B7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3789D"/>
    <w:multiLevelType w:val="hybridMultilevel"/>
    <w:tmpl w:val="414ED814"/>
    <w:lvl w:ilvl="0" w:tplc="9606EF02">
      <w:start w:val="1"/>
      <w:numFmt w:val="decimal"/>
      <w:lvlText w:val="%1."/>
      <w:lvlJc w:val="right"/>
      <w:pPr>
        <w:ind w:left="360" w:hanging="360"/>
      </w:pPr>
      <w:rPr>
        <w:rFonts w:ascii="Times New Roman" w:eastAsia="Times New Roman" w:hAnsi="Times New Roman" w:cs="Times New Roman"/>
      </w:rPr>
    </w:lvl>
    <w:lvl w:ilvl="1" w:tplc="2B000910">
      <w:start w:val="1"/>
      <w:numFmt w:val="decimal"/>
      <w:lvlText w:val="%2."/>
      <w:lvlJc w:val="left"/>
      <w:pPr>
        <w:ind w:left="36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3A000E0"/>
    <w:multiLevelType w:val="multilevel"/>
    <w:tmpl w:val="8EA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wNTU0srSwMAFBJR2l4NTi4sz8PJACk1oADK2y4ywAAAA="/>
  </w:docVars>
  <w:rsids>
    <w:rsidRoot w:val="004E41CD"/>
    <w:rsid w:val="00027711"/>
    <w:rsid w:val="0003427F"/>
    <w:rsid w:val="00053063"/>
    <w:rsid w:val="000F7102"/>
    <w:rsid w:val="001B4373"/>
    <w:rsid w:val="001C43FF"/>
    <w:rsid w:val="001D55D7"/>
    <w:rsid w:val="001F4074"/>
    <w:rsid w:val="0026084E"/>
    <w:rsid w:val="002A016F"/>
    <w:rsid w:val="003F352F"/>
    <w:rsid w:val="00434405"/>
    <w:rsid w:val="004E41CD"/>
    <w:rsid w:val="005526E3"/>
    <w:rsid w:val="005A6880"/>
    <w:rsid w:val="005B1179"/>
    <w:rsid w:val="005E7C93"/>
    <w:rsid w:val="00604D00"/>
    <w:rsid w:val="00660FE5"/>
    <w:rsid w:val="006C250B"/>
    <w:rsid w:val="006C5EB3"/>
    <w:rsid w:val="006E7CD4"/>
    <w:rsid w:val="00706D7A"/>
    <w:rsid w:val="00710097"/>
    <w:rsid w:val="00775963"/>
    <w:rsid w:val="008C1CCD"/>
    <w:rsid w:val="00932894"/>
    <w:rsid w:val="009937F1"/>
    <w:rsid w:val="00A225BD"/>
    <w:rsid w:val="00A234D8"/>
    <w:rsid w:val="00A6026A"/>
    <w:rsid w:val="00AC18A3"/>
    <w:rsid w:val="00AC6286"/>
    <w:rsid w:val="00B527FC"/>
    <w:rsid w:val="00B85B81"/>
    <w:rsid w:val="00C15F92"/>
    <w:rsid w:val="00C46DE3"/>
    <w:rsid w:val="00C800D0"/>
    <w:rsid w:val="00C95DA2"/>
    <w:rsid w:val="00D35876"/>
    <w:rsid w:val="00D40109"/>
    <w:rsid w:val="00DD56EC"/>
    <w:rsid w:val="00FC29BC"/>
    <w:rsid w:val="00FE4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FBBDD"/>
  <w15:chartTrackingRefBased/>
  <w15:docId w15:val="{0DDD085D-7ECB-4F7A-9B97-1C152191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1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01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C6286"/>
    <w:pPr>
      <w:keepNext/>
      <w:spacing w:after="0" w:line="240" w:lineRule="auto"/>
      <w:jc w:val="both"/>
      <w:outlineLvl w:val="3"/>
    </w:pPr>
    <w:rPr>
      <w:rFonts w:ascii="Times New Roman" w:eastAsiaTheme="minorEastAsia" w:hAnsi="Times New Roman"/>
      <w:b/>
      <w:bCs/>
      <w:iCs/>
      <w:color w:val="000000" w:themeColor="text1" w:themeShade="BF"/>
      <w:sz w:val="24"/>
      <w:szCs w:val="24"/>
      <w:u w:color="0000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1CD"/>
    <w:pPr>
      <w:adjustRightInd w:val="0"/>
      <w:snapToGrid w:val="0"/>
      <w:spacing w:after="120" w:line="480" w:lineRule="auto"/>
      <w:ind w:left="720"/>
      <w:contextualSpacing/>
      <w:jc w:val="both"/>
    </w:pPr>
    <w:rPr>
      <w:rFonts w:ascii="Times New Roman" w:eastAsia="Times New Roman" w:hAnsi="Times New Roman" w:cs="Times New Roman"/>
      <w:sz w:val="24"/>
      <w:u w:color="0000EE"/>
    </w:rPr>
  </w:style>
  <w:style w:type="character" w:customStyle="1" w:styleId="ListParagraphChar">
    <w:name w:val="List Paragraph Char"/>
    <w:link w:val="ListParagraph"/>
    <w:uiPriority w:val="34"/>
    <w:locked/>
    <w:rsid w:val="004E41CD"/>
    <w:rPr>
      <w:rFonts w:ascii="Times New Roman" w:eastAsia="Times New Roman" w:hAnsi="Times New Roman" w:cs="Times New Roman"/>
      <w:sz w:val="24"/>
      <w:u w:color="0000EE"/>
    </w:rPr>
  </w:style>
  <w:style w:type="character" w:styleId="Strong">
    <w:name w:val="Strong"/>
    <w:basedOn w:val="DefaultParagraphFont"/>
    <w:uiPriority w:val="22"/>
    <w:qFormat/>
    <w:rsid w:val="00FE4EA4"/>
    <w:rPr>
      <w:b/>
      <w:bCs/>
    </w:rPr>
  </w:style>
  <w:style w:type="character" w:customStyle="1" w:styleId="Heading4Char">
    <w:name w:val="Heading 4 Char"/>
    <w:basedOn w:val="DefaultParagraphFont"/>
    <w:link w:val="Heading4"/>
    <w:uiPriority w:val="9"/>
    <w:rsid w:val="00AC6286"/>
    <w:rPr>
      <w:rFonts w:ascii="Times New Roman" w:eastAsiaTheme="minorEastAsia" w:hAnsi="Times New Roman"/>
      <w:b/>
      <w:bCs/>
      <w:iCs/>
      <w:color w:val="000000" w:themeColor="text1" w:themeShade="BF"/>
      <w:sz w:val="24"/>
      <w:szCs w:val="24"/>
      <w:u w:color="0000EE"/>
    </w:rPr>
  </w:style>
  <w:style w:type="table" w:styleId="PlainTable2">
    <w:name w:val="Plain Table 2"/>
    <w:basedOn w:val="TableNormal"/>
    <w:uiPriority w:val="42"/>
    <w:rsid w:val="00AC6286"/>
    <w:pPr>
      <w:spacing w:after="0" w:line="240" w:lineRule="auto"/>
    </w:pPr>
    <w:rPr>
      <w:rFonts w:eastAsia="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D40109"/>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A016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434405"/>
    <w:pPr>
      <w:adjustRightInd w:val="0"/>
      <w:snapToGrid w:val="0"/>
      <w:spacing w:after="0" w:line="240" w:lineRule="auto"/>
      <w:jc w:val="both"/>
    </w:pPr>
    <w:rPr>
      <w:rFonts w:ascii="Times New Roman" w:eastAsia="Times New Roman" w:hAnsi="Times New Roman" w:cs="Times New Roman"/>
      <w:sz w:val="24"/>
      <w:u w:color="0000EE"/>
    </w:rPr>
  </w:style>
  <w:style w:type="paragraph" w:styleId="NormalWeb">
    <w:name w:val="Normal (Web)"/>
    <w:basedOn w:val="Normal"/>
    <w:uiPriority w:val="99"/>
    <w:semiHidden/>
    <w:unhideWhenUsed/>
    <w:rsid w:val="00D35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4074"/>
    <w:rPr>
      <w:color w:val="0563C1" w:themeColor="hyperlink"/>
      <w:u w:val="single"/>
    </w:rPr>
  </w:style>
  <w:style w:type="character" w:styleId="UnresolvedMention">
    <w:name w:val="Unresolved Mention"/>
    <w:basedOn w:val="DefaultParagraphFont"/>
    <w:uiPriority w:val="99"/>
    <w:semiHidden/>
    <w:unhideWhenUsed/>
    <w:rsid w:val="001F4074"/>
    <w:rPr>
      <w:color w:val="605E5C"/>
      <w:shd w:val="clear" w:color="auto" w:fill="E1DFDD"/>
    </w:rPr>
  </w:style>
  <w:style w:type="paragraph" w:styleId="Header">
    <w:name w:val="header"/>
    <w:basedOn w:val="Normal"/>
    <w:link w:val="HeaderChar"/>
    <w:uiPriority w:val="99"/>
    <w:unhideWhenUsed/>
    <w:rsid w:val="0093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94"/>
  </w:style>
  <w:style w:type="paragraph" w:styleId="Footer">
    <w:name w:val="footer"/>
    <w:basedOn w:val="Normal"/>
    <w:link w:val="FooterChar"/>
    <w:uiPriority w:val="99"/>
    <w:unhideWhenUsed/>
    <w:rsid w:val="0093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859">
      <w:bodyDiv w:val="1"/>
      <w:marLeft w:val="0"/>
      <w:marRight w:val="0"/>
      <w:marTop w:val="0"/>
      <w:marBottom w:val="0"/>
      <w:divBdr>
        <w:top w:val="none" w:sz="0" w:space="0" w:color="auto"/>
        <w:left w:val="none" w:sz="0" w:space="0" w:color="auto"/>
        <w:bottom w:val="none" w:sz="0" w:space="0" w:color="auto"/>
        <w:right w:val="none" w:sz="0" w:space="0" w:color="auto"/>
      </w:divBdr>
    </w:div>
    <w:div w:id="30807819">
      <w:bodyDiv w:val="1"/>
      <w:marLeft w:val="0"/>
      <w:marRight w:val="0"/>
      <w:marTop w:val="0"/>
      <w:marBottom w:val="0"/>
      <w:divBdr>
        <w:top w:val="none" w:sz="0" w:space="0" w:color="auto"/>
        <w:left w:val="none" w:sz="0" w:space="0" w:color="auto"/>
        <w:bottom w:val="none" w:sz="0" w:space="0" w:color="auto"/>
        <w:right w:val="none" w:sz="0" w:space="0" w:color="auto"/>
      </w:divBdr>
    </w:div>
    <w:div w:id="42877689">
      <w:bodyDiv w:val="1"/>
      <w:marLeft w:val="0"/>
      <w:marRight w:val="0"/>
      <w:marTop w:val="0"/>
      <w:marBottom w:val="0"/>
      <w:divBdr>
        <w:top w:val="none" w:sz="0" w:space="0" w:color="auto"/>
        <w:left w:val="none" w:sz="0" w:space="0" w:color="auto"/>
        <w:bottom w:val="none" w:sz="0" w:space="0" w:color="auto"/>
        <w:right w:val="none" w:sz="0" w:space="0" w:color="auto"/>
      </w:divBdr>
    </w:div>
    <w:div w:id="191112793">
      <w:bodyDiv w:val="1"/>
      <w:marLeft w:val="0"/>
      <w:marRight w:val="0"/>
      <w:marTop w:val="0"/>
      <w:marBottom w:val="0"/>
      <w:divBdr>
        <w:top w:val="none" w:sz="0" w:space="0" w:color="auto"/>
        <w:left w:val="none" w:sz="0" w:space="0" w:color="auto"/>
        <w:bottom w:val="none" w:sz="0" w:space="0" w:color="auto"/>
        <w:right w:val="none" w:sz="0" w:space="0" w:color="auto"/>
      </w:divBdr>
    </w:div>
    <w:div w:id="298151324">
      <w:bodyDiv w:val="1"/>
      <w:marLeft w:val="0"/>
      <w:marRight w:val="0"/>
      <w:marTop w:val="0"/>
      <w:marBottom w:val="0"/>
      <w:divBdr>
        <w:top w:val="none" w:sz="0" w:space="0" w:color="auto"/>
        <w:left w:val="none" w:sz="0" w:space="0" w:color="auto"/>
        <w:bottom w:val="none" w:sz="0" w:space="0" w:color="auto"/>
        <w:right w:val="none" w:sz="0" w:space="0" w:color="auto"/>
      </w:divBdr>
    </w:div>
    <w:div w:id="341400182">
      <w:bodyDiv w:val="1"/>
      <w:marLeft w:val="0"/>
      <w:marRight w:val="0"/>
      <w:marTop w:val="0"/>
      <w:marBottom w:val="0"/>
      <w:divBdr>
        <w:top w:val="none" w:sz="0" w:space="0" w:color="auto"/>
        <w:left w:val="none" w:sz="0" w:space="0" w:color="auto"/>
        <w:bottom w:val="none" w:sz="0" w:space="0" w:color="auto"/>
        <w:right w:val="none" w:sz="0" w:space="0" w:color="auto"/>
      </w:divBdr>
    </w:div>
    <w:div w:id="456796523">
      <w:bodyDiv w:val="1"/>
      <w:marLeft w:val="0"/>
      <w:marRight w:val="0"/>
      <w:marTop w:val="0"/>
      <w:marBottom w:val="0"/>
      <w:divBdr>
        <w:top w:val="none" w:sz="0" w:space="0" w:color="auto"/>
        <w:left w:val="none" w:sz="0" w:space="0" w:color="auto"/>
        <w:bottom w:val="none" w:sz="0" w:space="0" w:color="auto"/>
        <w:right w:val="none" w:sz="0" w:space="0" w:color="auto"/>
      </w:divBdr>
    </w:div>
    <w:div w:id="560096039">
      <w:bodyDiv w:val="1"/>
      <w:marLeft w:val="0"/>
      <w:marRight w:val="0"/>
      <w:marTop w:val="0"/>
      <w:marBottom w:val="0"/>
      <w:divBdr>
        <w:top w:val="none" w:sz="0" w:space="0" w:color="auto"/>
        <w:left w:val="none" w:sz="0" w:space="0" w:color="auto"/>
        <w:bottom w:val="none" w:sz="0" w:space="0" w:color="auto"/>
        <w:right w:val="none" w:sz="0" w:space="0" w:color="auto"/>
      </w:divBdr>
    </w:div>
    <w:div w:id="563639283">
      <w:bodyDiv w:val="1"/>
      <w:marLeft w:val="0"/>
      <w:marRight w:val="0"/>
      <w:marTop w:val="0"/>
      <w:marBottom w:val="0"/>
      <w:divBdr>
        <w:top w:val="none" w:sz="0" w:space="0" w:color="auto"/>
        <w:left w:val="none" w:sz="0" w:space="0" w:color="auto"/>
        <w:bottom w:val="none" w:sz="0" w:space="0" w:color="auto"/>
        <w:right w:val="none" w:sz="0" w:space="0" w:color="auto"/>
      </w:divBdr>
    </w:div>
    <w:div w:id="573249331">
      <w:bodyDiv w:val="1"/>
      <w:marLeft w:val="0"/>
      <w:marRight w:val="0"/>
      <w:marTop w:val="0"/>
      <w:marBottom w:val="0"/>
      <w:divBdr>
        <w:top w:val="none" w:sz="0" w:space="0" w:color="auto"/>
        <w:left w:val="none" w:sz="0" w:space="0" w:color="auto"/>
        <w:bottom w:val="none" w:sz="0" w:space="0" w:color="auto"/>
        <w:right w:val="none" w:sz="0" w:space="0" w:color="auto"/>
      </w:divBdr>
    </w:div>
    <w:div w:id="838891549">
      <w:bodyDiv w:val="1"/>
      <w:marLeft w:val="0"/>
      <w:marRight w:val="0"/>
      <w:marTop w:val="0"/>
      <w:marBottom w:val="0"/>
      <w:divBdr>
        <w:top w:val="none" w:sz="0" w:space="0" w:color="auto"/>
        <w:left w:val="none" w:sz="0" w:space="0" w:color="auto"/>
        <w:bottom w:val="none" w:sz="0" w:space="0" w:color="auto"/>
        <w:right w:val="none" w:sz="0" w:space="0" w:color="auto"/>
      </w:divBdr>
    </w:div>
    <w:div w:id="903182164">
      <w:bodyDiv w:val="1"/>
      <w:marLeft w:val="0"/>
      <w:marRight w:val="0"/>
      <w:marTop w:val="0"/>
      <w:marBottom w:val="0"/>
      <w:divBdr>
        <w:top w:val="none" w:sz="0" w:space="0" w:color="auto"/>
        <w:left w:val="none" w:sz="0" w:space="0" w:color="auto"/>
        <w:bottom w:val="none" w:sz="0" w:space="0" w:color="auto"/>
        <w:right w:val="none" w:sz="0" w:space="0" w:color="auto"/>
      </w:divBdr>
    </w:div>
    <w:div w:id="913200574">
      <w:bodyDiv w:val="1"/>
      <w:marLeft w:val="0"/>
      <w:marRight w:val="0"/>
      <w:marTop w:val="0"/>
      <w:marBottom w:val="0"/>
      <w:divBdr>
        <w:top w:val="none" w:sz="0" w:space="0" w:color="auto"/>
        <w:left w:val="none" w:sz="0" w:space="0" w:color="auto"/>
        <w:bottom w:val="none" w:sz="0" w:space="0" w:color="auto"/>
        <w:right w:val="none" w:sz="0" w:space="0" w:color="auto"/>
      </w:divBdr>
    </w:div>
    <w:div w:id="967779214">
      <w:bodyDiv w:val="1"/>
      <w:marLeft w:val="0"/>
      <w:marRight w:val="0"/>
      <w:marTop w:val="0"/>
      <w:marBottom w:val="0"/>
      <w:divBdr>
        <w:top w:val="none" w:sz="0" w:space="0" w:color="auto"/>
        <w:left w:val="none" w:sz="0" w:space="0" w:color="auto"/>
        <w:bottom w:val="none" w:sz="0" w:space="0" w:color="auto"/>
        <w:right w:val="none" w:sz="0" w:space="0" w:color="auto"/>
      </w:divBdr>
    </w:div>
    <w:div w:id="1000305272">
      <w:bodyDiv w:val="1"/>
      <w:marLeft w:val="0"/>
      <w:marRight w:val="0"/>
      <w:marTop w:val="0"/>
      <w:marBottom w:val="0"/>
      <w:divBdr>
        <w:top w:val="none" w:sz="0" w:space="0" w:color="auto"/>
        <w:left w:val="none" w:sz="0" w:space="0" w:color="auto"/>
        <w:bottom w:val="none" w:sz="0" w:space="0" w:color="auto"/>
        <w:right w:val="none" w:sz="0" w:space="0" w:color="auto"/>
      </w:divBdr>
    </w:div>
    <w:div w:id="1048068985">
      <w:bodyDiv w:val="1"/>
      <w:marLeft w:val="0"/>
      <w:marRight w:val="0"/>
      <w:marTop w:val="0"/>
      <w:marBottom w:val="0"/>
      <w:divBdr>
        <w:top w:val="none" w:sz="0" w:space="0" w:color="auto"/>
        <w:left w:val="none" w:sz="0" w:space="0" w:color="auto"/>
        <w:bottom w:val="none" w:sz="0" w:space="0" w:color="auto"/>
        <w:right w:val="none" w:sz="0" w:space="0" w:color="auto"/>
      </w:divBdr>
    </w:div>
    <w:div w:id="1122654413">
      <w:bodyDiv w:val="1"/>
      <w:marLeft w:val="0"/>
      <w:marRight w:val="0"/>
      <w:marTop w:val="0"/>
      <w:marBottom w:val="0"/>
      <w:divBdr>
        <w:top w:val="none" w:sz="0" w:space="0" w:color="auto"/>
        <w:left w:val="none" w:sz="0" w:space="0" w:color="auto"/>
        <w:bottom w:val="none" w:sz="0" w:space="0" w:color="auto"/>
        <w:right w:val="none" w:sz="0" w:space="0" w:color="auto"/>
      </w:divBdr>
    </w:div>
    <w:div w:id="1123772118">
      <w:bodyDiv w:val="1"/>
      <w:marLeft w:val="0"/>
      <w:marRight w:val="0"/>
      <w:marTop w:val="0"/>
      <w:marBottom w:val="0"/>
      <w:divBdr>
        <w:top w:val="none" w:sz="0" w:space="0" w:color="auto"/>
        <w:left w:val="none" w:sz="0" w:space="0" w:color="auto"/>
        <w:bottom w:val="none" w:sz="0" w:space="0" w:color="auto"/>
        <w:right w:val="none" w:sz="0" w:space="0" w:color="auto"/>
      </w:divBdr>
    </w:div>
    <w:div w:id="1442068807">
      <w:bodyDiv w:val="1"/>
      <w:marLeft w:val="0"/>
      <w:marRight w:val="0"/>
      <w:marTop w:val="0"/>
      <w:marBottom w:val="0"/>
      <w:divBdr>
        <w:top w:val="none" w:sz="0" w:space="0" w:color="auto"/>
        <w:left w:val="none" w:sz="0" w:space="0" w:color="auto"/>
        <w:bottom w:val="none" w:sz="0" w:space="0" w:color="auto"/>
        <w:right w:val="none" w:sz="0" w:space="0" w:color="auto"/>
      </w:divBdr>
    </w:div>
    <w:div w:id="1476727120">
      <w:bodyDiv w:val="1"/>
      <w:marLeft w:val="0"/>
      <w:marRight w:val="0"/>
      <w:marTop w:val="0"/>
      <w:marBottom w:val="0"/>
      <w:divBdr>
        <w:top w:val="none" w:sz="0" w:space="0" w:color="auto"/>
        <w:left w:val="none" w:sz="0" w:space="0" w:color="auto"/>
        <w:bottom w:val="none" w:sz="0" w:space="0" w:color="auto"/>
        <w:right w:val="none" w:sz="0" w:space="0" w:color="auto"/>
      </w:divBdr>
    </w:div>
    <w:div w:id="1478034129">
      <w:bodyDiv w:val="1"/>
      <w:marLeft w:val="0"/>
      <w:marRight w:val="0"/>
      <w:marTop w:val="0"/>
      <w:marBottom w:val="0"/>
      <w:divBdr>
        <w:top w:val="none" w:sz="0" w:space="0" w:color="auto"/>
        <w:left w:val="none" w:sz="0" w:space="0" w:color="auto"/>
        <w:bottom w:val="none" w:sz="0" w:space="0" w:color="auto"/>
        <w:right w:val="none" w:sz="0" w:space="0" w:color="auto"/>
      </w:divBdr>
    </w:div>
    <w:div w:id="1536843659">
      <w:bodyDiv w:val="1"/>
      <w:marLeft w:val="0"/>
      <w:marRight w:val="0"/>
      <w:marTop w:val="0"/>
      <w:marBottom w:val="0"/>
      <w:divBdr>
        <w:top w:val="none" w:sz="0" w:space="0" w:color="auto"/>
        <w:left w:val="none" w:sz="0" w:space="0" w:color="auto"/>
        <w:bottom w:val="none" w:sz="0" w:space="0" w:color="auto"/>
        <w:right w:val="none" w:sz="0" w:space="0" w:color="auto"/>
      </w:divBdr>
    </w:div>
    <w:div w:id="1558055544">
      <w:bodyDiv w:val="1"/>
      <w:marLeft w:val="0"/>
      <w:marRight w:val="0"/>
      <w:marTop w:val="0"/>
      <w:marBottom w:val="0"/>
      <w:divBdr>
        <w:top w:val="none" w:sz="0" w:space="0" w:color="auto"/>
        <w:left w:val="none" w:sz="0" w:space="0" w:color="auto"/>
        <w:bottom w:val="none" w:sz="0" w:space="0" w:color="auto"/>
        <w:right w:val="none" w:sz="0" w:space="0" w:color="auto"/>
      </w:divBdr>
    </w:div>
    <w:div w:id="1623877042">
      <w:bodyDiv w:val="1"/>
      <w:marLeft w:val="0"/>
      <w:marRight w:val="0"/>
      <w:marTop w:val="0"/>
      <w:marBottom w:val="0"/>
      <w:divBdr>
        <w:top w:val="none" w:sz="0" w:space="0" w:color="auto"/>
        <w:left w:val="none" w:sz="0" w:space="0" w:color="auto"/>
        <w:bottom w:val="none" w:sz="0" w:space="0" w:color="auto"/>
        <w:right w:val="none" w:sz="0" w:space="0" w:color="auto"/>
      </w:divBdr>
    </w:div>
    <w:div w:id="1751609890">
      <w:bodyDiv w:val="1"/>
      <w:marLeft w:val="0"/>
      <w:marRight w:val="0"/>
      <w:marTop w:val="0"/>
      <w:marBottom w:val="0"/>
      <w:divBdr>
        <w:top w:val="none" w:sz="0" w:space="0" w:color="auto"/>
        <w:left w:val="none" w:sz="0" w:space="0" w:color="auto"/>
        <w:bottom w:val="none" w:sz="0" w:space="0" w:color="auto"/>
        <w:right w:val="none" w:sz="0" w:space="0" w:color="auto"/>
      </w:divBdr>
    </w:div>
    <w:div w:id="1814640641">
      <w:bodyDiv w:val="1"/>
      <w:marLeft w:val="0"/>
      <w:marRight w:val="0"/>
      <w:marTop w:val="0"/>
      <w:marBottom w:val="0"/>
      <w:divBdr>
        <w:top w:val="none" w:sz="0" w:space="0" w:color="auto"/>
        <w:left w:val="none" w:sz="0" w:space="0" w:color="auto"/>
        <w:bottom w:val="none" w:sz="0" w:space="0" w:color="auto"/>
        <w:right w:val="none" w:sz="0" w:space="0" w:color="auto"/>
      </w:divBdr>
    </w:div>
    <w:div w:id="1851213514">
      <w:bodyDiv w:val="1"/>
      <w:marLeft w:val="0"/>
      <w:marRight w:val="0"/>
      <w:marTop w:val="0"/>
      <w:marBottom w:val="0"/>
      <w:divBdr>
        <w:top w:val="none" w:sz="0" w:space="0" w:color="auto"/>
        <w:left w:val="none" w:sz="0" w:space="0" w:color="auto"/>
        <w:bottom w:val="none" w:sz="0" w:space="0" w:color="auto"/>
        <w:right w:val="none" w:sz="0" w:space="0" w:color="auto"/>
      </w:divBdr>
    </w:div>
    <w:div w:id="18807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enovo\Desktop\Consulting\RAMZY\Ramzy%20Outp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ea typeface="Tahoma" panose="020B0604030504040204" pitchFamily="34" charset="0"/>
                <a:cs typeface="Times New Roman" panose="02020603050405020304" pitchFamily="18" charset="0"/>
              </a:rPr>
              <a:t>Seroprevalence of HBsAg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Sheet1!$E$240</c:f>
              <c:strCache>
                <c:ptCount val="1"/>
                <c:pt idx="0">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FC-4EF0-980E-25877910BE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FC-4EF0-980E-25877910BEC0}"/>
              </c:ext>
            </c:extLst>
          </c:dPt>
          <c:dLbls>
            <c:dLbl>
              <c:idx val="0"/>
              <c:tx>
                <c:rich>
                  <a:bodyPr/>
                  <a:lstStyle/>
                  <a:p>
                    <a:fld id="{88D5D1AC-FC90-4B50-A793-B5A9647CFE80}" type="CATEGORYNAME">
                      <a:rPr lang="en-US" b="1"/>
                      <a:pPr/>
                      <a:t>[CATEGORY NAME]</a:t>
                    </a:fld>
                    <a:r>
                      <a:rPr lang="en-US" b="1" baseline="0"/>
                      <a:t>
81%</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FC-4EF0-980E-25877910BEC0}"/>
                </c:ext>
              </c:extLst>
            </c:dLbl>
            <c:dLbl>
              <c:idx val="1"/>
              <c:tx>
                <c:rich>
                  <a:bodyPr/>
                  <a:lstStyle/>
                  <a:p>
                    <a:fld id="{F86E6B43-3B9A-4B9D-90F4-B44FC8645649}" type="CATEGORYNAME">
                      <a:rPr lang="en-US" b="1"/>
                      <a:pPr/>
                      <a:t>[CATEGORY NAME]</a:t>
                    </a:fld>
                    <a:r>
                      <a:rPr lang="en-US" b="1" baseline="0"/>
                      <a:t>
19%</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CFC-4EF0-980E-25877910BEC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Sheet1!$C$241:$C$242</c:f>
              <c:strCache>
                <c:ptCount val="2"/>
                <c:pt idx="0">
                  <c:v>Negative </c:v>
                </c:pt>
                <c:pt idx="1">
                  <c:v>Positive</c:v>
                </c:pt>
              </c:strCache>
            </c:strRef>
          </c:cat>
          <c:val>
            <c:numRef>
              <c:f>Sheet1!$E$241:$E$242</c:f>
              <c:numCache>
                <c:formatCode>0.0</c:formatCode>
                <c:ptCount val="2"/>
                <c:pt idx="0">
                  <c:v>80.37</c:v>
                </c:pt>
                <c:pt idx="1">
                  <c:v>19.63</c:v>
                </c:pt>
              </c:numCache>
            </c:numRef>
          </c:val>
          <c:extLst>
            <c:ext xmlns:c16="http://schemas.microsoft.com/office/drawing/2014/chart" uri="{C3380CC4-5D6E-409C-BE32-E72D297353CC}">
              <c16:uniqueId val="{00000004-9CFC-4EF0-980E-25877910BEC0}"/>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EF0C87E-8F66-4BBE-8ACD-836967CF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15562</Words>
  <Characters>88706</Characters>
  <Application>Microsoft Office Word</Application>
  <DocSecurity>0</DocSecurity>
  <Lines>739</Lines>
  <Paragraphs>208</Paragraphs>
  <ScaleCrop>false</ScaleCrop>
  <Company/>
  <LinksUpToDate>false</LinksUpToDate>
  <CharactersWithSpaces>104060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dcterms:created xsi:type="dcterms:W3CDTF">2025-04-04T04:04:00Z</dcterms:created>
  <dcterms:modified xsi:type="dcterms:W3CDTF">2025-04-04T06:26:00Z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875ddfb5-7a79-34fb-8b71-91f9674f36d8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