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9BE33" w14:textId="691EFE14" w:rsidR="00DD002F" w:rsidRPr="00197DCB" w:rsidRDefault="00DD002F" w:rsidP="00DD002F">
      <w:pPr>
        <w:pStyle w:val="NoSpacing"/>
        <w:jc w:val="both"/>
        <w:rPr>
          <w:rFonts w:ascii="Times New Roman" w:hAnsi="Times New Roman" w:cs="Times New Roman"/>
          <w:i/>
          <w:iCs/>
          <w:lang w:val="en-GB"/>
        </w:rPr>
      </w:pPr>
      <w:r w:rsidRPr="00197DCB">
        <w:rPr>
          <w:rFonts w:ascii="Times New Roman" w:hAnsi="Times New Roman" w:cs="Times New Roman"/>
          <w:i/>
          <w:iCs/>
          <w:lang w:val="en-GB"/>
        </w:rPr>
        <w:t>Original Research Article</w:t>
      </w:r>
    </w:p>
    <w:p w14:paraId="1CF291AC" w14:textId="77777777" w:rsidR="00DD002F" w:rsidRDefault="00DD002F" w:rsidP="00DD002F">
      <w:pPr>
        <w:pStyle w:val="NoSpacing"/>
        <w:jc w:val="both"/>
        <w:rPr>
          <w:b/>
          <w:bCs/>
          <w:lang w:val="en-GB"/>
        </w:rPr>
      </w:pPr>
    </w:p>
    <w:p w14:paraId="2EBFD29B" w14:textId="18FC2A61" w:rsidR="006A5028" w:rsidRDefault="00B33296" w:rsidP="00DD002F">
      <w:pPr>
        <w:pStyle w:val="NoSpacing"/>
        <w:jc w:val="both"/>
        <w:rPr>
          <w:b/>
          <w:bCs/>
          <w:sz w:val="26"/>
          <w:szCs w:val="26"/>
          <w:lang w:val="en-GB"/>
        </w:rPr>
      </w:pPr>
      <w:r w:rsidRPr="00DD002F">
        <w:rPr>
          <w:b/>
          <w:bCs/>
          <w:sz w:val="26"/>
          <w:szCs w:val="26"/>
          <w:lang w:val="en-GB"/>
        </w:rPr>
        <w:t>HYDROXYVITAMIN D INSUFFICIENCY IN DIABETIC FOOT ULCER AND ASSOCIATED FACTORS IN RIVERS STATE, NIGERIA</w:t>
      </w:r>
    </w:p>
    <w:p w14:paraId="45F2BF40" w14:textId="77777777" w:rsidR="004A1EF3" w:rsidRPr="00DD002F" w:rsidRDefault="004A1EF3" w:rsidP="00DD002F">
      <w:pPr>
        <w:pStyle w:val="NoSpacing"/>
        <w:jc w:val="both"/>
        <w:rPr>
          <w:b/>
          <w:bCs/>
          <w:sz w:val="26"/>
          <w:szCs w:val="26"/>
          <w:lang w:val="en-GB"/>
        </w:rPr>
      </w:pPr>
    </w:p>
    <w:p w14:paraId="12E7B87B" w14:textId="77777777" w:rsidR="00DD002F" w:rsidRDefault="00DD002F" w:rsidP="00DD002F">
      <w:pPr>
        <w:pStyle w:val="NoSpacing"/>
        <w:rPr>
          <w:lang w:val="en-GB"/>
        </w:rPr>
      </w:pPr>
      <w:bookmarkStart w:id="0" w:name="_GoBack"/>
      <w:bookmarkEnd w:id="0"/>
    </w:p>
    <w:p w14:paraId="4F3714F1" w14:textId="77777777" w:rsidR="00DD002F" w:rsidRDefault="00DD002F" w:rsidP="00DD002F">
      <w:pPr>
        <w:pStyle w:val="NoSpacing"/>
        <w:rPr>
          <w:lang w:val="en-GB"/>
        </w:rPr>
      </w:pPr>
    </w:p>
    <w:p w14:paraId="7E60569D" w14:textId="7062F878" w:rsidR="006A5028" w:rsidRPr="00F60CB5" w:rsidRDefault="00F60CB5" w:rsidP="00F60CB5">
      <w:pPr>
        <w:pStyle w:val="NoSpacing"/>
        <w:spacing w:line="360" w:lineRule="auto"/>
        <w:rPr>
          <w:b/>
          <w:bCs/>
          <w:lang w:val="en-GB"/>
        </w:rPr>
      </w:pPr>
      <w:r w:rsidRPr="00F60CB5">
        <w:rPr>
          <w:b/>
          <w:bCs/>
          <w:lang w:val="en-GB"/>
        </w:rPr>
        <w:t>ABSTRACT</w:t>
      </w:r>
    </w:p>
    <w:p w14:paraId="50E7C7DC" w14:textId="77777777" w:rsidR="006A5028" w:rsidRDefault="00B33296" w:rsidP="00F60CB5">
      <w:pPr>
        <w:pStyle w:val="NoSpacing"/>
        <w:spacing w:line="360" w:lineRule="auto"/>
        <w:rPr>
          <w:lang w:val="en-GB"/>
        </w:rPr>
      </w:pPr>
      <w:r w:rsidRPr="00F60CB5">
        <w:rPr>
          <w:b/>
          <w:bCs/>
          <w:lang w:val="en-GB"/>
        </w:rPr>
        <w:t>Background:</w:t>
      </w:r>
      <w:r>
        <w:rPr>
          <w:lang w:val="en-GB"/>
        </w:rPr>
        <w:t xml:space="preserve"> Hypovitaminosis D is considerably prevalent among individuals with Type 2 Diabetes Mellitus (T2DM), with vascular complications, and delayed wound healing.</w:t>
      </w:r>
      <w:r>
        <w:t xml:space="preserve"> </w:t>
      </w:r>
      <w:r>
        <w:rPr>
          <w:lang w:val="en-GB"/>
        </w:rPr>
        <w:t>This study aims t</w:t>
      </w:r>
      <w:r>
        <w:rPr>
          <w:lang w:val="en-GB"/>
        </w:rPr>
        <w:t xml:space="preserve">o assess the pattern of this of hydroxyvitamin D levels and associated factors among diabetics and diabetics with diabetic foot ulcers (DFU) in Southern Nigeria. </w:t>
      </w:r>
    </w:p>
    <w:p w14:paraId="122FCCD1" w14:textId="77777777" w:rsidR="005E63A0" w:rsidRDefault="00B33296" w:rsidP="00F60CB5">
      <w:pPr>
        <w:pStyle w:val="NoSpacing"/>
        <w:spacing w:line="360" w:lineRule="auto"/>
        <w:jc w:val="both"/>
        <w:rPr>
          <w:lang w:val="en-GB"/>
        </w:rPr>
      </w:pPr>
      <w:r>
        <w:rPr>
          <w:b/>
          <w:bCs/>
          <w:lang w:val="en-GB"/>
        </w:rPr>
        <w:t xml:space="preserve">Method: </w:t>
      </w:r>
      <w:r>
        <w:rPr>
          <w:lang w:val="en-GB"/>
        </w:rPr>
        <w:t>The study population comprised of 176 individuals (88 individuals diagnosed with diab</w:t>
      </w:r>
      <w:r>
        <w:rPr>
          <w:lang w:val="en-GB"/>
        </w:rPr>
        <w:t>etic foot ulcers (DFUs) and 88 individuals diagnosed of type II diabetes but do not have DFU). Hydroxyvitamin D levels were assessed using blood samples according to standard</w:t>
      </w:r>
      <w:r w:rsidR="005E63A0">
        <w:rPr>
          <w:lang w:val="en-GB"/>
        </w:rPr>
        <w:t xml:space="preserve"> ELISA</w:t>
      </w:r>
      <w:r>
        <w:rPr>
          <w:lang w:val="en-GB"/>
        </w:rPr>
        <w:t xml:space="preserve"> methods. </w:t>
      </w:r>
    </w:p>
    <w:p w14:paraId="66EB2274" w14:textId="5521B199" w:rsidR="006A5028" w:rsidRDefault="00B33296" w:rsidP="00F60CB5">
      <w:pPr>
        <w:pStyle w:val="NoSpacing"/>
        <w:spacing w:line="360" w:lineRule="auto"/>
        <w:jc w:val="both"/>
        <w:rPr>
          <w:rFonts w:cs="Times New Roman"/>
          <w:lang w:val="en-GB"/>
        </w:rPr>
      </w:pPr>
      <w:r>
        <w:rPr>
          <w:b/>
          <w:bCs/>
          <w:lang w:val="en-GB"/>
        </w:rPr>
        <w:t xml:space="preserve">Results: </w:t>
      </w:r>
      <w:r>
        <w:rPr>
          <w:rFonts w:cs="Times New Roman"/>
          <w:lang w:val="en-GB"/>
        </w:rPr>
        <w:t xml:space="preserve"> </w:t>
      </w:r>
      <w:bookmarkStart w:id="1" w:name="_Hlk193867879"/>
      <w:r w:rsidR="005E63A0">
        <w:rPr>
          <w:rFonts w:cs="Times New Roman"/>
          <w:lang w:val="en-GB"/>
        </w:rPr>
        <w:t xml:space="preserve">There was a total of 176 participants. </w:t>
      </w:r>
      <w:bookmarkEnd w:id="1"/>
      <w:r w:rsidR="005E63A0">
        <w:rPr>
          <w:rFonts w:cs="Times New Roman"/>
          <w:lang w:val="en-GB"/>
        </w:rPr>
        <w:t xml:space="preserve">About </w:t>
      </w:r>
      <w:r>
        <w:rPr>
          <w:rFonts w:cs="Times New Roman"/>
          <w:lang w:val="en-GB"/>
        </w:rPr>
        <w:t>76 (43.2%)</w:t>
      </w:r>
      <w:r>
        <w:rPr>
          <w:rFonts w:cs="Times New Roman"/>
          <w:lang w:val="en-GB"/>
        </w:rPr>
        <w:t xml:space="preserve"> of all study participants (persons with </w:t>
      </w:r>
      <w:r w:rsidR="005E63A0">
        <w:rPr>
          <w:rFonts w:cs="Times New Roman"/>
          <w:lang w:val="en-GB"/>
        </w:rPr>
        <w:t xml:space="preserve">and without </w:t>
      </w:r>
      <w:r>
        <w:rPr>
          <w:rFonts w:cs="Times New Roman"/>
          <w:lang w:val="en-GB"/>
        </w:rPr>
        <w:t>DFU) had sufficient Vitamin D levels and 69 (39.2%) of all study participants ha</w:t>
      </w:r>
      <w:r w:rsidR="005E63A0">
        <w:rPr>
          <w:rFonts w:cs="Times New Roman"/>
          <w:lang w:val="en-GB"/>
        </w:rPr>
        <w:t>d</w:t>
      </w:r>
      <w:r>
        <w:rPr>
          <w:rFonts w:cs="Times New Roman"/>
          <w:lang w:val="en-GB"/>
        </w:rPr>
        <w:t xml:space="preserve"> deficient Vitamin D levels and 31 (17.6%) ha</w:t>
      </w:r>
      <w:r w:rsidR="005E63A0">
        <w:rPr>
          <w:rFonts w:cs="Times New Roman"/>
          <w:lang w:val="en-GB"/>
        </w:rPr>
        <w:t>d</w:t>
      </w:r>
      <w:r>
        <w:rPr>
          <w:rFonts w:cs="Times New Roman"/>
          <w:lang w:val="en-GB"/>
        </w:rPr>
        <w:t xml:space="preserve"> insufficient vitamin D levels. Individuals aged 50 years and above exhibite</w:t>
      </w:r>
      <w:r>
        <w:rPr>
          <w:rFonts w:cs="Times New Roman"/>
          <w:lang w:val="en-GB"/>
        </w:rPr>
        <w:t>d a notably higher likelihood of the condition compared to their younger counterparts, with a crude Odds Ratio (O.R.) of 7.7 (95% C.I: 3.6 – 16.4). After adjusting for other factors, this association remained significant, although the strength of the assoc</w:t>
      </w:r>
      <w:r>
        <w:rPr>
          <w:rFonts w:cs="Times New Roman"/>
          <w:lang w:val="en-GB"/>
        </w:rPr>
        <w:t>iation decreased, with an adjusted O.R. of 2.2 (95% C.I: 1.1 – 4.6), suggesting age as a significant predictor.</w:t>
      </w:r>
    </w:p>
    <w:p w14:paraId="6595ACAE" w14:textId="77777777" w:rsidR="006A5028" w:rsidRDefault="00B33296" w:rsidP="00F60CB5">
      <w:pPr>
        <w:pStyle w:val="NoSpacing"/>
        <w:spacing w:line="360" w:lineRule="auto"/>
        <w:jc w:val="both"/>
        <w:rPr>
          <w:rFonts w:cs="Times New Roman"/>
          <w:lang w:val="en-GB"/>
        </w:rPr>
      </w:pPr>
      <w:r>
        <w:rPr>
          <w:rFonts w:cs="Times New Roman"/>
          <w:lang w:val="en-GB"/>
        </w:rPr>
        <w:t xml:space="preserve"> </w:t>
      </w:r>
      <w:r>
        <w:rPr>
          <w:b/>
          <w:bCs/>
          <w:lang w:val="en-GB"/>
        </w:rPr>
        <w:t xml:space="preserve">Conclusion: </w:t>
      </w:r>
      <w:r>
        <w:rPr>
          <w:lang w:val="en-GB"/>
        </w:rPr>
        <w:t>The study reveals strong links between demographic/biochemical factors and insufficient hydroxyvitamin D levels. People aged 50+ ar</w:t>
      </w:r>
      <w:r>
        <w:rPr>
          <w:lang w:val="en-GB"/>
        </w:rPr>
        <w:t>e more prone to deficiency, even when other factors are considered. While abnormal waist-to-hip ratios initially reduce risk, this effect weakens with adjustment, suggesting other influences. Abnormal albumin levels remain a significant predictor, emphasiz</w:t>
      </w:r>
      <w:r>
        <w:rPr>
          <w:lang w:val="en-GB"/>
        </w:rPr>
        <w:t>ing the necessity of targeted interventions in high-risk groups.</w:t>
      </w:r>
    </w:p>
    <w:p w14:paraId="22D5E845" w14:textId="77777777" w:rsidR="00F60CB5" w:rsidRDefault="00F60CB5" w:rsidP="00F60CB5">
      <w:pPr>
        <w:pStyle w:val="NoSpacing"/>
        <w:spacing w:line="360" w:lineRule="auto"/>
        <w:jc w:val="both"/>
        <w:rPr>
          <w:b/>
          <w:bCs/>
          <w:lang w:val="en-GB"/>
        </w:rPr>
      </w:pPr>
    </w:p>
    <w:p w14:paraId="3A0E88AC" w14:textId="60727A97" w:rsidR="006A5028" w:rsidRDefault="00B33296" w:rsidP="00F60CB5">
      <w:pPr>
        <w:pStyle w:val="NoSpacing"/>
        <w:spacing w:line="360" w:lineRule="auto"/>
        <w:jc w:val="both"/>
        <w:rPr>
          <w:b/>
          <w:bCs/>
          <w:i/>
          <w:iCs/>
          <w:lang w:val="en-GB"/>
        </w:rPr>
      </w:pPr>
      <w:r>
        <w:rPr>
          <w:b/>
          <w:bCs/>
          <w:lang w:val="en-GB"/>
        </w:rPr>
        <w:t xml:space="preserve">Keywords: </w:t>
      </w:r>
      <w:r>
        <w:rPr>
          <w:i/>
          <w:iCs/>
          <w:lang w:val="en-GB"/>
        </w:rPr>
        <w:t>Hydroxyvitamin D, Diabetes Mellitus, Diabetic foot ulcer, Risk factors</w:t>
      </w:r>
    </w:p>
    <w:p w14:paraId="5A9DF2D1" w14:textId="794E2C77" w:rsidR="006A5028" w:rsidRPr="00F60CB5" w:rsidRDefault="00F60CB5" w:rsidP="005642C5">
      <w:pPr>
        <w:spacing w:line="360" w:lineRule="auto"/>
        <w:rPr>
          <w:b/>
          <w:bCs/>
        </w:rPr>
      </w:pPr>
      <w:r w:rsidRPr="00F60CB5">
        <w:rPr>
          <w:b/>
          <w:bCs/>
          <w:lang w:val="en-GB"/>
        </w:rPr>
        <w:t>INTRODUCTION</w:t>
      </w:r>
    </w:p>
    <w:p w14:paraId="78792EF0" w14:textId="77777777" w:rsidR="006A5028" w:rsidRDefault="00B33296">
      <w:pPr>
        <w:spacing w:line="360" w:lineRule="auto"/>
        <w:jc w:val="both"/>
        <w:rPr>
          <w:color w:val="000000"/>
        </w:rPr>
      </w:pPr>
      <w:r>
        <w:rPr>
          <w:color w:val="000000"/>
        </w:rPr>
        <w:t xml:space="preserve">Diabetes mellitus (DM) is a chronic metabolic disorder characterized by hyperglycemia resulting </w:t>
      </w:r>
      <w:r>
        <w:rPr>
          <w:color w:val="000000"/>
        </w:rPr>
        <w:t>from defects in insulin secretion, insulin action, or both. It has become a major public health concern globally, with its prevalence steadily increasing, particularly in low- and middle-income countries like Nigeria.</w:t>
      </w:r>
      <w:r>
        <w:rPr>
          <w:color w:val="000000"/>
          <w:vertAlign w:val="superscript"/>
        </w:rPr>
        <w:t>1–3</w:t>
      </w:r>
      <w:r>
        <w:rPr>
          <w:color w:val="000000"/>
        </w:rPr>
        <w:t xml:space="preserve"> Among the complications associated </w:t>
      </w:r>
      <w:r>
        <w:rPr>
          <w:color w:val="000000"/>
        </w:rPr>
        <w:t>with diabetes, diabetic foot ulcer (DFU) stands out as one of the most debilitating and costly, often leading to severe morbidity, limb amputation, and increased mortality rates.</w:t>
      </w:r>
      <w:r>
        <w:rPr>
          <w:color w:val="000000"/>
          <w:vertAlign w:val="superscript"/>
        </w:rPr>
        <w:t>4,5</w:t>
      </w:r>
    </w:p>
    <w:p w14:paraId="5C0AA66C" w14:textId="77777777" w:rsidR="006A5028" w:rsidRDefault="00B33296">
      <w:pPr>
        <w:spacing w:line="360" w:lineRule="auto"/>
        <w:jc w:val="both"/>
        <w:rPr>
          <w:color w:val="000000"/>
        </w:rPr>
      </w:pPr>
      <w:r>
        <w:rPr>
          <w:color w:val="000000"/>
        </w:rPr>
        <w:lastRenderedPageBreak/>
        <w:t>Hydroxyvitamin D, a precursor to the active form of vitamin D, plays a cru</w:t>
      </w:r>
      <w:r>
        <w:rPr>
          <w:color w:val="000000"/>
        </w:rPr>
        <w:t>cial role in calcium homeostasis, bone health, and immune function. Recent research has suggested a potential link between vitamin D insufficiency and the development and progression of various chronic diseases, including diabetes and its complications.</w:t>
      </w:r>
      <w:r>
        <w:rPr>
          <w:color w:val="000000"/>
          <w:vertAlign w:val="superscript"/>
        </w:rPr>
        <w:t>6</w:t>
      </w:r>
      <w:r>
        <w:rPr>
          <w:color w:val="000000"/>
        </w:rPr>
        <w:t xml:space="preserve"> H</w:t>
      </w:r>
      <w:r>
        <w:rPr>
          <w:color w:val="000000"/>
        </w:rPr>
        <w:t>ypovitaminosis D is considerably prevalent among individuals with Type 2 Diabetes Mellitus (T2DM), and having a considerable relationship with impaired glycemic control, vascular complications, and delayed wound healing.</w:t>
      </w:r>
      <w:r>
        <w:rPr>
          <w:color w:val="000000"/>
          <w:vertAlign w:val="superscript"/>
        </w:rPr>
        <w:t>3,7,8</w:t>
      </w:r>
      <w:r>
        <w:rPr>
          <w:color w:val="000000"/>
        </w:rPr>
        <w:t xml:space="preserve"> </w:t>
      </w:r>
    </w:p>
    <w:p w14:paraId="1F9F532E" w14:textId="77777777" w:rsidR="006A5028" w:rsidRDefault="00B33296">
      <w:pPr>
        <w:spacing w:line="360" w:lineRule="auto"/>
        <w:jc w:val="both"/>
        <w:rPr>
          <w:color w:val="000000"/>
        </w:rPr>
      </w:pPr>
      <w:r>
        <w:rPr>
          <w:color w:val="000000"/>
        </w:rPr>
        <w:t>Various factors influence vit</w:t>
      </w:r>
      <w:r>
        <w:rPr>
          <w:color w:val="000000"/>
        </w:rPr>
        <w:t>amin D status, including sunlight exposure, geographical location, and skin characteristics. Sunlight exposure, particularly at wavelengths around 297nm, is crucial for optimal vitamin D synthesis, with regions closer to the equator experiencing consistent</w:t>
      </w:r>
      <w:r>
        <w:rPr>
          <w:color w:val="000000"/>
        </w:rPr>
        <w:t xml:space="preserve"> sunlight throughout the year.</w:t>
      </w:r>
      <w:r>
        <w:rPr>
          <w:color w:val="000000"/>
          <w:vertAlign w:val="superscript"/>
        </w:rPr>
        <w:t>9,10</w:t>
      </w:r>
      <w:r>
        <w:rPr>
          <w:color w:val="000000"/>
        </w:rPr>
        <w:t xml:space="preserve"> Factors such as sunscreen use and melanin levels in the skin can affect UV radiation absorption and subsequently impact vitamin D production. Additionally, age-related declines in 7-dehydrocholesterol levels may decrease </w:t>
      </w:r>
      <w:r>
        <w:rPr>
          <w:color w:val="000000"/>
        </w:rPr>
        <w:t>vitamin D synthesis efficiency.</w:t>
      </w:r>
      <w:r>
        <w:rPr>
          <w:color w:val="000000"/>
          <w:vertAlign w:val="superscript"/>
        </w:rPr>
        <w:t>11,12</w:t>
      </w:r>
      <w:r>
        <w:rPr>
          <w:color w:val="000000"/>
        </w:rPr>
        <w:t xml:space="preserve"> Clothing density also plays a role, with lighter fabrics allowing for more UV light absorption and vitamin D synthesis. Gastrointestinal conditions like malabsorption syndromes can impair vitamin D absorption, while obe</w:t>
      </w:r>
      <w:r>
        <w:rPr>
          <w:color w:val="000000"/>
        </w:rPr>
        <w:t>sity is associated with lower serum vitamin D levels due to altered storage and bioavailability.</w:t>
      </w:r>
      <w:r>
        <w:rPr>
          <w:color w:val="000000"/>
          <w:vertAlign w:val="superscript"/>
        </w:rPr>
        <w:t>1,13</w:t>
      </w:r>
      <w:r>
        <w:rPr>
          <w:color w:val="000000"/>
        </w:rPr>
        <w:t xml:space="preserve"> Certain medications, chronic kidney disease, liver disease, and granulomatous disorders further influence vitamin D metabolism and levels in the body.</w:t>
      </w:r>
      <w:r>
        <w:rPr>
          <w:color w:val="000000"/>
          <w:vertAlign w:val="superscript"/>
        </w:rPr>
        <w:t>14–16</w:t>
      </w:r>
      <w:r>
        <w:rPr>
          <w:color w:val="000000"/>
        </w:rPr>
        <w:t xml:space="preserve"> Understanding these factors is vital for effectively managing vitamin D status, particularly in vulnerable populations. However, the precise relationship between hydroxyvitamin D levels and DFUs remains a subject of ongoing investigation especially in Nig</w:t>
      </w:r>
      <w:r>
        <w:rPr>
          <w:color w:val="000000"/>
        </w:rPr>
        <w:t xml:space="preserve">eria. Studies exploring the pattern of hydroxyvitamin D in individuals with DFUs have yielded intriguing findings, suggesting both deficiency and insufficiency in a significant proportion of patients. </w:t>
      </w:r>
      <w:r>
        <w:rPr>
          <w:color w:val="000000"/>
          <w:lang w:val="en-GB"/>
        </w:rPr>
        <w:t>This study aims to fill this gap in knowledge by examin</w:t>
      </w:r>
      <w:r>
        <w:rPr>
          <w:color w:val="000000"/>
          <w:lang w:val="en-GB"/>
        </w:rPr>
        <w:t>ing the prevalence of hydroxyvitamin D insufficiency among individuals with DFU in Rivers State, Nigeria, and exploring potential demographic, clinical, and environmental factors associated with low vitamin D levels.</w:t>
      </w:r>
    </w:p>
    <w:p w14:paraId="3E46CC4D" w14:textId="43CD3EC4" w:rsidR="006A5028" w:rsidRPr="00B8690E" w:rsidRDefault="00F60CB5" w:rsidP="00B8690E">
      <w:pPr>
        <w:spacing w:line="360" w:lineRule="auto"/>
        <w:rPr>
          <w:b/>
          <w:bCs/>
        </w:rPr>
      </w:pPr>
      <w:r w:rsidRPr="00B8690E">
        <w:rPr>
          <w:b/>
          <w:bCs/>
        </w:rPr>
        <w:t>METHOD</w:t>
      </w:r>
      <w:r>
        <w:rPr>
          <w:b/>
          <w:bCs/>
        </w:rPr>
        <w:t>S</w:t>
      </w:r>
    </w:p>
    <w:p w14:paraId="6D797C6D" w14:textId="77777777" w:rsidR="006A5028" w:rsidRDefault="00B33296">
      <w:pPr>
        <w:spacing w:line="360" w:lineRule="auto"/>
        <w:jc w:val="both"/>
      </w:pPr>
      <w:r>
        <w:t xml:space="preserve">The study population comprised </w:t>
      </w:r>
      <w:r>
        <w:t xml:space="preserve">of 176 individuals (88 individuals diagnosed with diabetic foot ulcers (DFUs) and 88 individuals diagnosed of type II diabetes but do not have DFU) who are receiving treatment at Rivers State University Teaching Hospital between October 2021 and May 2022. </w:t>
      </w:r>
      <w:r>
        <w:t>Participants were selected based on specific inclusion criteria, including a confirmed diagnosis of Type 2 Diabetes Mellitus (T2DM) and the presence of DFUs. Exclusion criteria were individuals with other significant comorbidities affecting vitamin D metab</w:t>
      </w:r>
      <w:r>
        <w:t xml:space="preserve">olism, such as chronic kidney disease or liver disorders. </w:t>
      </w:r>
    </w:p>
    <w:p w14:paraId="74F5EE88" w14:textId="77777777" w:rsidR="006A5028" w:rsidRDefault="00B33296">
      <w:pPr>
        <w:spacing w:line="360" w:lineRule="auto"/>
        <w:jc w:val="both"/>
        <w:rPr>
          <w:b/>
          <w:bCs/>
        </w:rPr>
      </w:pPr>
      <w:r>
        <w:lastRenderedPageBreak/>
        <w:t>This study was conducted in accordance with the ethical principles outlined in the Declaration of Helsinki and relevant national regulations. Ethical approval was obtained from the Institutional Re</w:t>
      </w:r>
      <w:r>
        <w:t>view Board (IRB) of Rivers State University Teaching Hospital prior to the commencement of the study. All participants provided informed consent before enrollment, emphasizing their right to withdraw from the study at any time without repercussions. Confid</w:t>
      </w:r>
      <w:r>
        <w:t>entiality of participant information was strictly maintained throughout the study, with data anonymization protocols implemented during analysis and reporting.</w:t>
      </w:r>
    </w:p>
    <w:p w14:paraId="1C384362" w14:textId="43B865A6" w:rsidR="006A5028" w:rsidRDefault="00B33296">
      <w:pPr>
        <w:spacing w:line="360" w:lineRule="auto"/>
        <w:jc w:val="both"/>
      </w:pPr>
      <w:r>
        <w:t>Five milliliters of Blood samples were collected from consenting participants for the assessment</w:t>
      </w:r>
      <w:r>
        <w:t xml:space="preserve"> of hydroxyvitamin D levels as previously stated.</w:t>
      </w:r>
      <w:r>
        <w:rPr>
          <w:color w:val="000000"/>
          <w:vertAlign w:val="superscript"/>
        </w:rPr>
        <w:t>12,17</w:t>
      </w:r>
      <w:r>
        <w:t xml:space="preserve"> The glycated haemoglobin was estimated using fluorescence immunoassay using the fine care </w:t>
      </w:r>
      <w:r>
        <w:rPr>
          <w:vertAlign w:val="superscript"/>
        </w:rPr>
        <w:t xml:space="preserve">TM </w:t>
      </w:r>
      <w:r>
        <w:t>FIA system.</w:t>
      </w:r>
      <w:r>
        <w:rPr>
          <w:rFonts w:eastAsia="Times New Roman"/>
          <w:color w:val="000000"/>
          <w:vertAlign w:val="superscript"/>
        </w:rPr>
        <w:t>17</w:t>
      </w:r>
      <w:r>
        <w:t xml:space="preserve">   In addition to blood samples, relevant clinical data was collected from participants, includ</w:t>
      </w:r>
      <w:r>
        <w:t xml:space="preserve">ing demographic information, medical history, duration of diabetes, presence of diabetic complications, and details pertaining to DFUs from the patients folders. </w:t>
      </w:r>
    </w:p>
    <w:p w14:paraId="38128C7E" w14:textId="77777777" w:rsidR="006A5028" w:rsidRDefault="00B33296">
      <w:pPr>
        <w:spacing w:line="360" w:lineRule="auto"/>
        <w:jc w:val="both"/>
      </w:pPr>
      <w:r>
        <w:t>All the data was analyzed using the SPSS v25 software at a 95% confidence interval and a p-va</w:t>
      </w:r>
      <w:r>
        <w:t>lue less than 0.05 was considered statistically significant. The difference in the level of Vitamin D among T2DM with DFU and those without DFU was tested using an independent t-test analysis. and logistic regression analysis done to explore factors associ</w:t>
      </w:r>
      <w:r>
        <w:t>ated with Vitamin D levels in all the patients.</w:t>
      </w:r>
    </w:p>
    <w:p w14:paraId="3A81BEB3" w14:textId="77777777" w:rsidR="00B8690E" w:rsidRDefault="00B8690E">
      <w:pPr>
        <w:spacing w:line="360" w:lineRule="auto"/>
        <w:jc w:val="both"/>
      </w:pPr>
    </w:p>
    <w:p w14:paraId="580CF744" w14:textId="77777777" w:rsidR="00B8690E" w:rsidRDefault="00B8690E">
      <w:pPr>
        <w:spacing w:line="360" w:lineRule="auto"/>
        <w:jc w:val="both"/>
      </w:pPr>
    </w:p>
    <w:p w14:paraId="5E371821" w14:textId="77777777" w:rsidR="00B8690E" w:rsidRDefault="00B8690E">
      <w:pPr>
        <w:spacing w:line="360" w:lineRule="auto"/>
        <w:jc w:val="both"/>
      </w:pPr>
    </w:p>
    <w:p w14:paraId="23EFDFFB" w14:textId="77777777" w:rsidR="00B8690E" w:rsidRDefault="00B8690E">
      <w:pPr>
        <w:spacing w:line="360" w:lineRule="auto"/>
        <w:jc w:val="both"/>
      </w:pPr>
    </w:p>
    <w:p w14:paraId="27BBBB3D" w14:textId="77777777" w:rsidR="00B8690E" w:rsidRDefault="00B8690E">
      <w:pPr>
        <w:spacing w:line="360" w:lineRule="auto"/>
        <w:jc w:val="both"/>
      </w:pPr>
    </w:p>
    <w:p w14:paraId="3AA48E8C" w14:textId="2A1AF252" w:rsidR="006A5028" w:rsidRDefault="00F60CB5" w:rsidP="00B8690E">
      <w:pPr>
        <w:spacing w:line="360" w:lineRule="auto"/>
        <w:rPr>
          <w:b/>
          <w:bCs/>
        </w:rPr>
      </w:pPr>
      <w:r w:rsidRPr="00B8690E">
        <w:rPr>
          <w:b/>
          <w:bCs/>
        </w:rPr>
        <w:t>RESULTS</w:t>
      </w:r>
    </w:p>
    <w:p w14:paraId="25C3DAE7" w14:textId="15B3E6D9" w:rsidR="00F60CB5" w:rsidRDefault="00F60CB5" w:rsidP="00F60CB5">
      <w:pPr>
        <w:spacing w:line="360" w:lineRule="auto"/>
        <w:jc w:val="both"/>
        <w:rPr>
          <w:rFonts w:cs="Times New Roman"/>
          <w:lang w:val="en-GB"/>
        </w:rPr>
      </w:pPr>
      <w:r>
        <w:rPr>
          <w:rFonts w:cs="Times New Roman"/>
          <w:lang w:val="en-GB"/>
        </w:rPr>
        <w:t>There was a total of 176 participants of which 60 (34.1%) were males and 116 (65.9%) were females, giving a male to female ratio of 1:1.9. Table 1 gives the demographic distribution of the study participants.</w:t>
      </w:r>
    </w:p>
    <w:p w14:paraId="255F6AB1" w14:textId="77777777" w:rsidR="00F60CB5" w:rsidRPr="00B8690E" w:rsidRDefault="00F60CB5" w:rsidP="00B8690E">
      <w:pPr>
        <w:spacing w:line="360" w:lineRule="auto"/>
        <w:rPr>
          <w:b/>
          <w:bCs/>
        </w:rPr>
      </w:pPr>
    </w:p>
    <w:p w14:paraId="55FD635B" w14:textId="206DCBE9"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1</w:t>
      </w:r>
      <w:r>
        <w:rPr>
          <w:rFonts w:ascii="Aptos" w:hAnsi="Aptos"/>
          <w:sz w:val="22"/>
          <w:szCs w:val="22"/>
        </w:rPr>
        <w:fldChar w:fldCharType="end"/>
      </w:r>
      <w:r>
        <w:rPr>
          <w:rFonts w:ascii="Aptos" w:hAnsi="Aptos"/>
          <w:sz w:val="22"/>
          <w:szCs w:val="22"/>
        </w:rPr>
        <w:t>: Demographic Distribution of Patients</w:t>
      </w:r>
    </w:p>
    <w:tbl>
      <w:tblPr>
        <w:tblStyle w:val="TableGrid"/>
        <w:tblW w:w="77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059"/>
        <w:gridCol w:w="1927"/>
        <w:gridCol w:w="1587"/>
      </w:tblGrid>
      <w:tr w:rsidR="006A5028" w14:paraId="431DFDC7" w14:textId="77777777">
        <w:trPr>
          <w:trHeight w:val="286"/>
          <w:jc w:val="center"/>
        </w:trPr>
        <w:tc>
          <w:tcPr>
            <w:tcW w:w="2160" w:type="dxa"/>
            <w:tcBorders>
              <w:top w:val="single" w:sz="4" w:space="0" w:color="auto"/>
              <w:bottom w:val="single" w:sz="4" w:space="0" w:color="auto"/>
            </w:tcBorders>
            <w:noWrap/>
            <w:hideMark/>
          </w:tcPr>
          <w:p w14:paraId="74D9735F" w14:textId="77777777" w:rsidR="006A5028" w:rsidRDefault="00B33296">
            <w:pPr>
              <w:spacing w:line="360" w:lineRule="auto"/>
              <w:ind w:left="180"/>
              <w:rPr>
                <w:rFonts w:cs="Times New Roman"/>
                <w:b/>
                <w:bCs/>
                <w:lang w:val="en-GB"/>
              </w:rPr>
            </w:pPr>
            <w:r>
              <w:rPr>
                <w:rFonts w:cs="Times New Roman"/>
                <w:b/>
                <w:bCs/>
                <w:lang w:val="en-GB"/>
              </w:rPr>
              <w:t>Variable</w:t>
            </w:r>
          </w:p>
        </w:tc>
        <w:tc>
          <w:tcPr>
            <w:tcW w:w="2059" w:type="dxa"/>
            <w:tcBorders>
              <w:top w:val="single" w:sz="4" w:space="0" w:color="auto"/>
              <w:bottom w:val="single" w:sz="4" w:space="0" w:color="auto"/>
            </w:tcBorders>
            <w:noWrap/>
            <w:hideMark/>
          </w:tcPr>
          <w:p w14:paraId="552BF121" w14:textId="77777777" w:rsidR="006A5028" w:rsidRDefault="00B33296">
            <w:pPr>
              <w:spacing w:line="360" w:lineRule="auto"/>
              <w:ind w:left="180"/>
              <w:rPr>
                <w:rFonts w:cs="Times New Roman"/>
                <w:b/>
                <w:bCs/>
                <w:lang w:val="en-GB"/>
              </w:rPr>
            </w:pPr>
            <w:r>
              <w:rPr>
                <w:rFonts w:cs="Times New Roman"/>
                <w:b/>
                <w:bCs/>
                <w:lang w:val="en-GB"/>
              </w:rPr>
              <w:t>Units</w:t>
            </w:r>
          </w:p>
        </w:tc>
        <w:tc>
          <w:tcPr>
            <w:tcW w:w="1927" w:type="dxa"/>
            <w:tcBorders>
              <w:top w:val="single" w:sz="4" w:space="0" w:color="auto"/>
              <w:bottom w:val="single" w:sz="4" w:space="0" w:color="auto"/>
            </w:tcBorders>
            <w:noWrap/>
            <w:hideMark/>
          </w:tcPr>
          <w:p w14:paraId="11CE754E" w14:textId="77777777" w:rsidR="006A5028" w:rsidRDefault="00B33296">
            <w:pPr>
              <w:spacing w:line="360" w:lineRule="auto"/>
              <w:ind w:left="180"/>
              <w:rPr>
                <w:rFonts w:cs="Times New Roman"/>
                <w:b/>
                <w:bCs/>
                <w:lang w:val="en-GB"/>
              </w:rPr>
            </w:pPr>
            <w:r>
              <w:rPr>
                <w:rFonts w:cs="Times New Roman"/>
                <w:b/>
                <w:bCs/>
                <w:lang w:val="en-GB"/>
              </w:rPr>
              <w:t>Frequency, n</w:t>
            </w:r>
          </w:p>
        </w:tc>
        <w:tc>
          <w:tcPr>
            <w:tcW w:w="1587" w:type="dxa"/>
            <w:tcBorders>
              <w:top w:val="single" w:sz="4" w:space="0" w:color="auto"/>
              <w:bottom w:val="single" w:sz="4" w:space="0" w:color="auto"/>
            </w:tcBorders>
            <w:noWrap/>
            <w:hideMark/>
          </w:tcPr>
          <w:p w14:paraId="3876DD8B" w14:textId="77777777" w:rsidR="006A5028" w:rsidRDefault="00B33296">
            <w:pPr>
              <w:spacing w:line="360" w:lineRule="auto"/>
              <w:ind w:left="180"/>
              <w:rPr>
                <w:rFonts w:cs="Times New Roman"/>
                <w:b/>
                <w:bCs/>
                <w:lang w:val="en-GB"/>
              </w:rPr>
            </w:pPr>
            <w:r>
              <w:rPr>
                <w:rFonts w:cs="Times New Roman"/>
                <w:b/>
                <w:bCs/>
                <w:lang w:val="en-GB"/>
              </w:rPr>
              <w:t>Percent (%)</w:t>
            </w:r>
          </w:p>
        </w:tc>
      </w:tr>
      <w:tr w:rsidR="006A5028" w14:paraId="34D4DB57" w14:textId="77777777">
        <w:trPr>
          <w:trHeight w:val="286"/>
          <w:jc w:val="center"/>
        </w:trPr>
        <w:tc>
          <w:tcPr>
            <w:tcW w:w="2160" w:type="dxa"/>
            <w:noWrap/>
          </w:tcPr>
          <w:p w14:paraId="709DA4CA" w14:textId="77777777" w:rsidR="006A5028" w:rsidRDefault="006A5028">
            <w:pPr>
              <w:spacing w:line="360" w:lineRule="auto"/>
              <w:ind w:left="180"/>
              <w:rPr>
                <w:rFonts w:cs="Times New Roman"/>
                <w:lang w:val="en-GB"/>
              </w:rPr>
            </w:pPr>
          </w:p>
        </w:tc>
        <w:tc>
          <w:tcPr>
            <w:tcW w:w="2059" w:type="dxa"/>
            <w:noWrap/>
            <w:hideMark/>
          </w:tcPr>
          <w:p w14:paraId="6AC7CFFE" w14:textId="77777777" w:rsidR="006A5028" w:rsidRDefault="00B33296">
            <w:pPr>
              <w:spacing w:line="360" w:lineRule="auto"/>
              <w:ind w:left="180"/>
              <w:rPr>
                <w:rFonts w:cs="Times New Roman"/>
                <w:lang w:val="en-GB"/>
              </w:rPr>
            </w:pPr>
            <w:r>
              <w:rPr>
                <w:rFonts w:cs="Times New Roman"/>
                <w:lang w:val="en-GB"/>
              </w:rPr>
              <w:t>30 - 39</w:t>
            </w:r>
          </w:p>
        </w:tc>
        <w:tc>
          <w:tcPr>
            <w:tcW w:w="1927" w:type="dxa"/>
            <w:noWrap/>
            <w:vAlign w:val="bottom"/>
            <w:hideMark/>
          </w:tcPr>
          <w:p w14:paraId="0E8331CC" w14:textId="77777777" w:rsidR="006A5028" w:rsidRDefault="00B33296">
            <w:pPr>
              <w:spacing w:line="360" w:lineRule="auto"/>
              <w:ind w:left="180"/>
              <w:jc w:val="center"/>
              <w:rPr>
                <w:rFonts w:cs="Times New Roman"/>
                <w:lang w:val="en-GB"/>
              </w:rPr>
            </w:pPr>
            <w:r>
              <w:rPr>
                <w:color w:val="000000"/>
              </w:rPr>
              <w:t>11</w:t>
            </w:r>
          </w:p>
        </w:tc>
        <w:tc>
          <w:tcPr>
            <w:tcW w:w="1587" w:type="dxa"/>
            <w:noWrap/>
            <w:vAlign w:val="bottom"/>
            <w:hideMark/>
          </w:tcPr>
          <w:p w14:paraId="5A1A0F96" w14:textId="77777777" w:rsidR="006A5028" w:rsidRDefault="00B33296">
            <w:pPr>
              <w:spacing w:line="360" w:lineRule="auto"/>
              <w:ind w:left="180"/>
              <w:jc w:val="center"/>
              <w:rPr>
                <w:rFonts w:cs="Times New Roman"/>
                <w:lang w:val="en-GB"/>
              </w:rPr>
            </w:pPr>
            <w:r>
              <w:rPr>
                <w:color w:val="000000"/>
              </w:rPr>
              <w:t>6.25</w:t>
            </w:r>
          </w:p>
        </w:tc>
      </w:tr>
      <w:tr w:rsidR="006A5028" w14:paraId="1C28B2B8" w14:textId="77777777">
        <w:trPr>
          <w:trHeight w:val="286"/>
          <w:jc w:val="center"/>
        </w:trPr>
        <w:tc>
          <w:tcPr>
            <w:tcW w:w="2160" w:type="dxa"/>
            <w:noWrap/>
            <w:hideMark/>
          </w:tcPr>
          <w:p w14:paraId="64EF5705" w14:textId="77777777" w:rsidR="006A5028" w:rsidRDefault="00B33296">
            <w:pPr>
              <w:spacing w:line="360" w:lineRule="auto"/>
              <w:ind w:left="180"/>
              <w:rPr>
                <w:rFonts w:cs="Times New Roman"/>
                <w:lang w:val="en-GB"/>
              </w:rPr>
            </w:pPr>
            <w:r>
              <w:rPr>
                <w:rFonts w:cs="Times New Roman"/>
                <w:lang w:val="en-GB"/>
              </w:rPr>
              <w:t>Age groups (years)</w:t>
            </w:r>
          </w:p>
        </w:tc>
        <w:tc>
          <w:tcPr>
            <w:tcW w:w="2059" w:type="dxa"/>
            <w:noWrap/>
            <w:hideMark/>
          </w:tcPr>
          <w:p w14:paraId="4CEA406B" w14:textId="77777777" w:rsidR="006A5028" w:rsidRDefault="00B33296">
            <w:pPr>
              <w:spacing w:line="360" w:lineRule="auto"/>
              <w:ind w:left="180"/>
              <w:rPr>
                <w:rFonts w:cs="Times New Roman"/>
                <w:lang w:val="en-GB"/>
              </w:rPr>
            </w:pPr>
            <w:r>
              <w:rPr>
                <w:rFonts w:cs="Times New Roman"/>
                <w:lang w:val="en-GB"/>
              </w:rPr>
              <w:t>40 - 49</w:t>
            </w:r>
          </w:p>
        </w:tc>
        <w:tc>
          <w:tcPr>
            <w:tcW w:w="1927" w:type="dxa"/>
            <w:noWrap/>
            <w:vAlign w:val="bottom"/>
            <w:hideMark/>
          </w:tcPr>
          <w:p w14:paraId="51B62E66" w14:textId="77777777" w:rsidR="006A5028" w:rsidRDefault="00B33296">
            <w:pPr>
              <w:spacing w:line="360" w:lineRule="auto"/>
              <w:ind w:left="180"/>
              <w:jc w:val="center"/>
              <w:rPr>
                <w:rFonts w:cs="Times New Roman"/>
                <w:lang w:val="en-GB"/>
              </w:rPr>
            </w:pPr>
            <w:r>
              <w:rPr>
                <w:color w:val="000000"/>
              </w:rPr>
              <w:t>40</w:t>
            </w:r>
          </w:p>
        </w:tc>
        <w:tc>
          <w:tcPr>
            <w:tcW w:w="1587" w:type="dxa"/>
            <w:noWrap/>
            <w:vAlign w:val="bottom"/>
            <w:hideMark/>
          </w:tcPr>
          <w:p w14:paraId="551EDD9D" w14:textId="77777777" w:rsidR="006A5028" w:rsidRDefault="00B33296">
            <w:pPr>
              <w:spacing w:line="360" w:lineRule="auto"/>
              <w:ind w:left="180"/>
              <w:jc w:val="center"/>
              <w:rPr>
                <w:rFonts w:cs="Times New Roman"/>
                <w:lang w:val="en-GB"/>
              </w:rPr>
            </w:pPr>
            <w:r>
              <w:rPr>
                <w:color w:val="000000"/>
              </w:rPr>
              <w:t>22.73</w:t>
            </w:r>
          </w:p>
        </w:tc>
      </w:tr>
      <w:tr w:rsidR="006A5028" w14:paraId="01249058" w14:textId="77777777">
        <w:trPr>
          <w:trHeight w:val="286"/>
          <w:jc w:val="center"/>
        </w:trPr>
        <w:tc>
          <w:tcPr>
            <w:tcW w:w="2160" w:type="dxa"/>
            <w:noWrap/>
            <w:hideMark/>
          </w:tcPr>
          <w:p w14:paraId="605CF8C9" w14:textId="77777777" w:rsidR="006A5028" w:rsidRDefault="006A5028">
            <w:pPr>
              <w:spacing w:line="360" w:lineRule="auto"/>
              <w:ind w:left="180"/>
              <w:rPr>
                <w:rFonts w:cs="Times New Roman"/>
                <w:lang w:val="en-GB"/>
              </w:rPr>
            </w:pPr>
          </w:p>
        </w:tc>
        <w:tc>
          <w:tcPr>
            <w:tcW w:w="2059" w:type="dxa"/>
            <w:noWrap/>
            <w:hideMark/>
          </w:tcPr>
          <w:p w14:paraId="69C11CD8" w14:textId="77777777" w:rsidR="006A5028" w:rsidRDefault="00B33296">
            <w:pPr>
              <w:spacing w:line="360" w:lineRule="auto"/>
              <w:ind w:left="180"/>
              <w:rPr>
                <w:rFonts w:cs="Times New Roman"/>
                <w:lang w:val="en-GB"/>
              </w:rPr>
            </w:pPr>
            <w:r>
              <w:rPr>
                <w:rFonts w:cs="Times New Roman"/>
                <w:lang w:val="en-GB"/>
              </w:rPr>
              <w:t>50 - 59</w:t>
            </w:r>
          </w:p>
        </w:tc>
        <w:tc>
          <w:tcPr>
            <w:tcW w:w="1927" w:type="dxa"/>
            <w:noWrap/>
            <w:vAlign w:val="bottom"/>
            <w:hideMark/>
          </w:tcPr>
          <w:p w14:paraId="307C84E7" w14:textId="77777777" w:rsidR="006A5028" w:rsidRDefault="00B33296">
            <w:pPr>
              <w:spacing w:line="360" w:lineRule="auto"/>
              <w:ind w:left="180"/>
              <w:jc w:val="center"/>
              <w:rPr>
                <w:rFonts w:cs="Times New Roman"/>
                <w:lang w:val="en-GB"/>
              </w:rPr>
            </w:pPr>
            <w:r>
              <w:rPr>
                <w:color w:val="000000"/>
              </w:rPr>
              <w:t>55</w:t>
            </w:r>
          </w:p>
        </w:tc>
        <w:tc>
          <w:tcPr>
            <w:tcW w:w="1587" w:type="dxa"/>
            <w:noWrap/>
            <w:vAlign w:val="bottom"/>
            <w:hideMark/>
          </w:tcPr>
          <w:p w14:paraId="3403641E" w14:textId="77777777" w:rsidR="006A5028" w:rsidRDefault="00B33296">
            <w:pPr>
              <w:spacing w:line="360" w:lineRule="auto"/>
              <w:ind w:left="180"/>
              <w:jc w:val="center"/>
              <w:rPr>
                <w:rFonts w:cs="Times New Roman"/>
                <w:lang w:val="en-GB"/>
              </w:rPr>
            </w:pPr>
            <w:r>
              <w:rPr>
                <w:color w:val="000000"/>
              </w:rPr>
              <w:t>31.25</w:t>
            </w:r>
          </w:p>
        </w:tc>
      </w:tr>
      <w:tr w:rsidR="006A5028" w14:paraId="67975199" w14:textId="77777777">
        <w:trPr>
          <w:trHeight w:val="286"/>
          <w:jc w:val="center"/>
        </w:trPr>
        <w:tc>
          <w:tcPr>
            <w:tcW w:w="2160" w:type="dxa"/>
            <w:noWrap/>
            <w:hideMark/>
          </w:tcPr>
          <w:p w14:paraId="72C23158" w14:textId="77777777" w:rsidR="006A5028" w:rsidRDefault="006A5028">
            <w:pPr>
              <w:spacing w:line="360" w:lineRule="auto"/>
              <w:ind w:left="180"/>
              <w:rPr>
                <w:rFonts w:cs="Times New Roman"/>
                <w:lang w:val="en-GB"/>
              </w:rPr>
            </w:pPr>
          </w:p>
        </w:tc>
        <w:tc>
          <w:tcPr>
            <w:tcW w:w="2059" w:type="dxa"/>
            <w:noWrap/>
            <w:hideMark/>
          </w:tcPr>
          <w:p w14:paraId="1EEBF1B6" w14:textId="77777777" w:rsidR="006A5028" w:rsidRDefault="00B33296">
            <w:pPr>
              <w:spacing w:line="360" w:lineRule="auto"/>
              <w:ind w:left="180"/>
              <w:rPr>
                <w:rFonts w:cs="Times New Roman"/>
                <w:lang w:val="en-GB"/>
              </w:rPr>
            </w:pPr>
            <w:r>
              <w:rPr>
                <w:rFonts w:cs="Times New Roman"/>
                <w:lang w:val="en-GB"/>
              </w:rPr>
              <w:t>60 - 69</w:t>
            </w:r>
          </w:p>
        </w:tc>
        <w:tc>
          <w:tcPr>
            <w:tcW w:w="1927" w:type="dxa"/>
            <w:noWrap/>
            <w:vAlign w:val="bottom"/>
            <w:hideMark/>
          </w:tcPr>
          <w:p w14:paraId="5CA491FB" w14:textId="77777777" w:rsidR="006A5028" w:rsidRDefault="00B33296">
            <w:pPr>
              <w:spacing w:line="360" w:lineRule="auto"/>
              <w:ind w:left="180"/>
              <w:jc w:val="center"/>
              <w:rPr>
                <w:rFonts w:cs="Times New Roman"/>
                <w:lang w:val="en-GB"/>
              </w:rPr>
            </w:pPr>
            <w:r>
              <w:rPr>
                <w:color w:val="000000"/>
              </w:rPr>
              <w:t>59</w:t>
            </w:r>
          </w:p>
        </w:tc>
        <w:tc>
          <w:tcPr>
            <w:tcW w:w="1587" w:type="dxa"/>
            <w:noWrap/>
            <w:vAlign w:val="bottom"/>
            <w:hideMark/>
          </w:tcPr>
          <w:p w14:paraId="3081333C" w14:textId="77777777" w:rsidR="006A5028" w:rsidRDefault="00B33296">
            <w:pPr>
              <w:spacing w:line="360" w:lineRule="auto"/>
              <w:ind w:left="180"/>
              <w:jc w:val="center"/>
              <w:rPr>
                <w:rFonts w:cs="Times New Roman"/>
                <w:lang w:val="en-GB"/>
              </w:rPr>
            </w:pPr>
            <w:r>
              <w:rPr>
                <w:color w:val="000000"/>
              </w:rPr>
              <w:t>33.52</w:t>
            </w:r>
          </w:p>
        </w:tc>
      </w:tr>
      <w:tr w:rsidR="006A5028" w14:paraId="6E46CC2F" w14:textId="77777777">
        <w:trPr>
          <w:trHeight w:val="286"/>
          <w:jc w:val="center"/>
        </w:trPr>
        <w:tc>
          <w:tcPr>
            <w:tcW w:w="2160" w:type="dxa"/>
            <w:tcBorders>
              <w:bottom w:val="single" w:sz="4" w:space="0" w:color="auto"/>
            </w:tcBorders>
            <w:noWrap/>
            <w:hideMark/>
          </w:tcPr>
          <w:p w14:paraId="33223B64"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434D38E1" w14:textId="77777777" w:rsidR="006A5028" w:rsidRDefault="00B33296">
            <w:pPr>
              <w:spacing w:line="360" w:lineRule="auto"/>
              <w:ind w:left="180"/>
              <w:rPr>
                <w:rFonts w:cs="Times New Roman"/>
                <w:lang w:val="en-GB"/>
              </w:rPr>
            </w:pPr>
            <w:r>
              <w:rPr>
                <w:rFonts w:cs="Times New Roman"/>
                <w:lang w:val="en-GB"/>
              </w:rPr>
              <w:t>70 and above</w:t>
            </w:r>
          </w:p>
        </w:tc>
        <w:tc>
          <w:tcPr>
            <w:tcW w:w="1927" w:type="dxa"/>
            <w:tcBorders>
              <w:bottom w:val="single" w:sz="4" w:space="0" w:color="auto"/>
            </w:tcBorders>
            <w:noWrap/>
            <w:vAlign w:val="bottom"/>
            <w:hideMark/>
          </w:tcPr>
          <w:p w14:paraId="048BE982" w14:textId="77777777" w:rsidR="006A5028" w:rsidRDefault="00B33296">
            <w:pPr>
              <w:spacing w:line="360" w:lineRule="auto"/>
              <w:ind w:left="180"/>
              <w:jc w:val="center"/>
              <w:rPr>
                <w:rFonts w:cs="Times New Roman"/>
                <w:lang w:val="en-GB"/>
              </w:rPr>
            </w:pPr>
            <w:r>
              <w:rPr>
                <w:color w:val="000000"/>
              </w:rPr>
              <w:t>11</w:t>
            </w:r>
          </w:p>
        </w:tc>
        <w:tc>
          <w:tcPr>
            <w:tcW w:w="1587" w:type="dxa"/>
            <w:tcBorders>
              <w:bottom w:val="single" w:sz="4" w:space="0" w:color="auto"/>
            </w:tcBorders>
            <w:noWrap/>
            <w:vAlign w:val="bottom"/>
            <w:hideMark/>
          </w:tcPr>
          <w:p w14:paraId="0689C492" w14:textId="77777777" w:rsidR="006A5028" w:rsidRDefault="00B33296">
            <w:pPr>
              <w:spacing w:line="360" w:lineRule="auto"/>
              <w:ind w:left="180"/>
              <w:jc w:val="center"/>
              <w:rPr>
                <w:rFonts w:cs="Times New Roman"/>
                <w:lang w:val="en-GB"/>
              </w:rPr>
            </w:pPr>
            <w:r>
              <w:rPr>
                <w:color w:val="000000"/>
              </w:rPr>
              <w:t>6.25</w:t>
            </w:r>
          </w:p>
        </w:tc>
      </w:tr>
      <w:tr w:rsidR="006A5028" w14:paraId="1CC16592" w14:textId="77777777">
        <w:trPr>
          <w:trHeight w:val="286"/>
          <w:jc w:val="center"/>
        </w:trPr>
        <w:tc>
          <w:tcPr>
            <w:tcW w:w="2160" w:type="dxa"/>
            <w:tcBorders>
              <w:top w:val="single" w:sz="4" w:space="0" w:color="auto"/>
            </w:tcBorders>
            <w:noWrap/>
            <w:hideMark/>
          </w:tcPr>
          <w:p w14:paraId="2D141B4A" w14:textId="77777777" w:rsidR="006A5028" w:rsidRDefault="00B33296">
            <w:pPr>
              <w:spacing w:line="360" w:lineRule="auto"/>
              <w:ind w:left="180"/>
              <w:rPr>
                <w:rFonts w:cs="Times New Roman"/>
                <w:lang w:val="en-GB"/>
              </w:rPr>
            </w:pPr>
            <w:r>
              <w:rPr>
                <w:rFonts w:cs="Times New Roman"/>
                <w:lang w:val="en-GB"/>
              </w:rPr>
              <w:t xml:space="preserve"> Gender</w:t>
            </w:r>
          </w:p>
        </w:tc>
        <w:tc>
          <w:tcPr>
            <w:tcW w:w="2059" w:type="dxa"/>
            <w:tcBorders>
              <w:top w:val="single" w:sz="4" w:space="0" w:color="auto"/>
            </w:tcBorders>
            <w:noWrap/>
            <w:hideMark/>
          </w:tcPr>
          <w:p w14:paraId="7767B53B" w14:textId="77777777" w:rsidR="006A5028" w:rsidRDefault="00B33296">
            <w:pPr>
              <w:spacing w:line="360" w:lineRule="auto"/>
              <w:ind w:left="180"/>
              <w:rPr>
                <w:rFonts w:cs="Times New Roman"/>
                <w:lang w:val="en-GB"/>
              </w:rPr>
            </w:pPr>
            <w:r>
              <w:rPr>
                <w:rFonts w:cs="Times New Roman"/>
                <w:lang w:val="en-GB"/>
              </w:rPr>
              <w:t>Male</w:t>
            </w:r>
          </w:p>
        </w:tc>
        <w:tc>
          <w:tcPr>
            <w:tcW w:w="1927" w:type="dxa"/>
            <w:tcBorders>
              <w:top w:val="single" w:sz="4" w:space="0" w:color="auto"/>
            </w:tcBorders>
            <w:noWrap/>
            <w:vAlign w:val="bottom"/>
            <w:hideMark/>
          </w:tcPr>
          <w:p w14:paraId="60A07FFC" w14:textId="77777777" w:rsidR="006A5028" w:rsidRDefault="00B33296">
            <w:pPr>
              <w:spacing w:line="360" w:lineRule="auto"/>
              <w:ind w:left="180"/>
              <w:jc w:val="center"/>
              <w:rPr>
                <w:rFonts w:cs="Times New Roman"/>
                <w:lang w:val="en-GB"/>
              </w:rPr>
            </w:pPr>
            <w:r>
              <w:rPr>
                <w:color w:val="000000"/>
              </w:rPr>
              <w:t>60</w:t>
            </w:r>
          </w:p>
        </w:tc>
        <w:tc>
          <w:tcPr>
            <w:tcW w:w="1587" w:type="dxa"/>
            <w:tcBorders>
              <w:top w:val="single" w:sz="4" w:space="0" w:color="auto"/>
            </w:tcBorders>
            <w:noWrap/>
            <w:vAlign w:val="bottom"/>
            <w:hideMark/>
          </w:tcPr>
          <w:p w14:paraId="085AC197" w14:textId="77777777" w:rsidR="006A5028" w:rsidRDefault="00B33296">
            <w:pPr>
              <w:spacing w:line="360" w:lineRule="auto"/>
              <w:ind w:left="180"/>
              <w:jc w:val="center"/>
              <w:rPr>
                <w:rFonts w:cs="Times New Roman"/>
                <w:lang w:val="en-GB"/>
              </w:rPr>
            </w:pPr>
            <w:r>
              <w:rPr>
                <w:color w:val="000000"/>
              </w:rPr>
              <w:t>34.09</w:t>
            </w:r>
          </w:p>
        </w:tc>
      </w:tr>
      <w:tr w:rsidR="006A5028" w14:paraId="41BB4463" w14:textId="77777777">
        <w:trPr>
          <w:trHeight w:val="286"/>
          <w:jc w:val="center"/>
        </w:trPr>
        <w:tc>
          <w:tcPr>
            <w:tcW w:w="2160" w:type="dxa"/>
            <w:tcBorders>
              <w:bottom w:val="single" w:sz="4" w:space="0" w:color="auto"/>
            </w:tcBorders>
            <w:noWrap/>
            <w:hideMark/>
          </w:tcPr>
          <w:p w14:paraId="42624FDB"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509E58C7" w14:textId="77777777" w:rsidR="006A5028" w:rsidRDefault="00B33296">
            <w:pPr>
              <w:spacing w:line="360" w:lineRule="auto"/>
              <w:ind w:left="180"/>
              <w:rPr>
                <w:rFonts w:cs="Times New Roman"/>
                <w:lang w:val="en-GB"/>
              </w:rPr>
            </w:pPr>
            <w:r>
              <w:rPr>
                <w:rFonts w:cs="Times New Roman"/>
                <w:lang w:val="en-GB"/>
              </w:rPr>
              <w:t>Female</w:t>
            </w:r>
          </w:p>
        </w:tc>
        <w:tc>
          <w:tcPr>
            <w:tcW w:w="1927" w:type="dxa"/>
            <w:tcBorders>
              <w:bottom w:val="single" w:sz="4" w:space="0" w:color="auto"/>
            </w:tcBorders>
            <w:noWrap/>
            <w:vAlign w:val="bottom"/>
            <w:hideMark/>
          </w:tcPr>
          <w:p w14:paraId="65C0AA6D" w14:textId="77777777" w:rsidR="006A5028" w:rsidRDefault="00B33296">
            <w:pPr>
              <w:spacing w:line="360" w:lineRule="auto"/>
              <w:ind w:left="180"/>
              <w:jc w:val="center"/>
              <w:rPr>
                <w:rFonts w:cs="Times New Roman"/>
                <w:lang w:val="en-GB"/>
              </w:rPr>
            </w:pPr>
            <w:r>
              <w:rPr>
                <w:color w:val="000000"/>
              </w:rPr>
              <w:t>116</w:t>
            </w:r>
          </w:p>
        </w:tc>
        <w:tc>
          <w:tcPr>
            <w:tcW w:w="1587" w:type="dxa"/>
            <w:tcBorders>
              <w:bottom w:val="single" w:sz="4" w:space="0" w:color="auto"/>
            </w:tcBorders>
            <w:noWrap/>
            <w:vAlign w:val="bottom"/>
            <w:hideMark/>
          </w:tcPr>
          <w:p w14:paraId="2B56F329" w14:textId="77777777" w:rsidR="006A5028" w:rsidRDefault="00B33296">
            <w:pPr>
              <w:spacing w:line="360" w:lineRule="auto"/>
              <w:ind w:left="180"/>
              <w:jc w:val="center"/>
              <w:rPr>
                <w:rFonts w:cs="Times New Roman"/>
                <w:lang w:val="en-GB"/>
              </w:rPr>
            </w:pPr>
            <w:r>
              <w:rPr>
                <w:color w:val="000000"/>
              </w:rPr>
              <w:t>65.91</w:t>
            </w:r>
          </w:p>
        </w:tc>
      </w:tr>
      <w:tr w:rsidR="006A5028" w14:paraId="4988DFCF" w14:textId="77777777">
        <w:trPr>
          <w:trHeight w:val="286"/>
          <w:jc w:val="center"/>
        </w:trPr>
        <w:tc>
          <w:tcPr>
            <w:tcW w:w="2160" w:type="dxa"/>
            <w:tcBorders>
              <w:top w:val="single" w:sz="4" w:space="0" w:color="auto"/>
            </w:tcBorders>
            <w:noWrap/>
            <w:hideMark/>
          </w:tcPr>
          <w:p w14:paraId="483B514C" w14:textId="77777777" w:rsidR="006A5028" w:rsidRDefault="00B33296">
            <w:pPr>
              <w:spacing w:line="360" w:lineRule="auto"/>
              <w:ind w:left="180"/>
              <w:rPr>
                <w:rFonts w:cs="Times New Roman"/>
                <w:lang w:val="en-GB"/>
              </w:rPr>
            </w:pPr>
            <w:r>
              <w:rPr>
                <w:rFonts w:cs="Times New Roman"/>
                <w:lang w:val="en-GB"/>
              </w:rPr>
              <w:t xml:space="preserve"> Occupation</w:t>
            </w:r>
          </w:p>
        </w:tc>
        <w:tc>
          <w:tcPr>
            <w:tcW w:w="2059" w:type="dxa"/>
            <w:tcBorders>
              <w:top w:val="single" w:sz="4" w:space="0" w:color="auto"/>
            </w:tcBorders>
            <w:noWrap/>
            <w:hideMark/>
          </w:tcPr>
          <w:p w14:paraId="26AAA774" w14:textId="77777777" w:rsidR="006A5028" w:rsidRDefault="00B33296">
            <w:pPr>
              <w:spacing w:line="360" w:lineRule="auto"/>
              <w:ind w:left="180"/>
              <w:rPr>
                <w:rFonts w:cs="Times New Roman"/>
                <w:lang w:val="en-GB"/>
              </w:rPr>
            </w:pPr>
            <w:r>
              <w:rPr>
                <w:rFonts w:cs="Times New Roman"/>
                <w:lang w:val="en-GB"/>
              </w:rPr>
              <w:t>Civil Servant</w:t>
            </w:r>
          </w:p>
        </w:tc>
        <w:tc>
          <w:tcPr>
            <w:tcW w:w="1927" w:type="dxa"/>
            <w:tcBorders>
              <w:top w:val="single" w:sz="4" w:space="0" w:color="auto"/>
            </w:tcBorders>
            <w:noWrap/>
            <w:vAlign w:val="bottom"/>
            <w:hideMark/>
          </w:tcPr>
          <w:p w14:paraId="7BE6D49E" w14:textId="77777777" w:rsidR="006A5028" w:rsidRDefault="00B33296">
            <w:pPr>
              <w:spacing w:line="360" w:lineRule="auto"/>
              <w:ind w:left="180"/>
              <w:jc w:val="center"/>
              <w:rPr>
                <w:rFonts w:cs="Times New Roman"/>
                <w:lang w:val="en-GB"/>
              </w:rPr>
            </w:pPr>
            <w:r>
              <w:rPr>
                <w:color w:val="000000"/>
              </w:rPr>
              <w:t>41</w:t>
            </w:r>
          </w:p>
        </w:tc>
        <w:tc>
          <w:tcPr>
            <w:tcW w:w="1587" w:type="dxa"/>
            <w:tcBorders>
              <w:top w:val="single" w:sz="4" w:space="0" w:color="auto"/>
            </w:tcBorders>
            <w:noWrap/>
            <w:vAlign w:val="bottom"/>
            <w:hideMark/>
          </w:tcPr>
          <w:p w14:paraId="6177BC8A" w14:textId="77777777" w:rsidR="006A5028" w:rsidRDefault="00B33296">
            <w:pPr>
              <w:spacing w:line="360" w:lineRule="auto"/>
              <w:ind w:left="180"/>
              <w:jc w:val="center"/>
              <w:rPr>
                <w:rFonts w:cs="Times New Roman"/>
                <w:lang w:val="en-GB"/>
              </w:rPr>
            </w:pPr>
            <w:r>
              <w:rPr>
                <w:color w:val="000000"/>
              </w:rPr>
              <w:t>23.30</w:t>
            </w:r>
          </w:p>
        </w:tc>
      </w:tr>
      <w:tr w:rsidR="006A5028" w14:paraId="680E59BD" w14:textId="77777777">
        <w:trPr>
          <w:trHeight w:val="286"/>
          <w:jc w:val="center"/>
        </w:trPr>
        <w:tc>
          <w:tcPr>
            <w:tcW w:w="2160" w:type="dxa"/>
            <w:noWrap/>
            <w:hideMark/>
          </w:tcPr>
          <w:p w14:paraId="22FEF4B3" w14:textId="77777777" w:rsidR="006A5028" w:rsidRDefault="006A5028">
            <w:pPr>
              <w:spacing w:line="360" w:lineRule="auto"/>
              <w:ind w:left="180"/>
              <w:rPr>
                <w:rFonts w:cs="Times New Roman"/>
                <w:lang w:val="en-GB"/>
              </w:rPr>
            </w:pPr>
          </w:p>
        </w:tc>
        <w:tc>
          <w:tcPr>
            <w:tcW w:w="2059" w:type="dxa"/>
            <w:noWrap/>
            <w:hideMark/>
          </w:tcPr>
          <w:p w14:paraId="29FE2B1B" w14:textId="77777777" w:rsidR="006A5028" w:rsidRDefault="00B33296">
            <w:pPr>
              <w:spacing w:line="360" w:lineRule="auto"/>
              <w:ind w:left="180"/>
              <w:rPr>
                <w:rFonts w:cs="Times New Roman"/>
                <w:lang w:val="en-GB"/>
              </w:rPr>
            </w:pPr>
            <w:r>
              <w:rPr>
                <w:rFonts w:cs="Times New Roman"/>
                <w:lang w:val="en-GB"/>
              </w:rPr>
              <w:t>Trader</w:t>
            </w:r>
          </w:p>
        </w:tc>
        <w:tc>
          <w:tcPr>
            <w:tcW w:w="1927" w:type="dxa"/>
            <w:noWrap/>
            <w:vAlign w:val="bottom"/>
            <w:hideMark/>
          </w:tcPr>
          <w:p w14:paraId="16C86781" w14:textId="77777777" w:rsidR="006A5028" w:rsidRDefault="00B33296">
            <w:pPr>
              <w:spacing w:line="360" w:lineRule="auto"/>
              <w:ind w:left="180"/>
              <w:jc w:val="center"/>
              <w:rPr>
                <w:rFonts w:cs="Times New Roman"/>
                <w:lang w:val="en-GB"/>
              </w:rPr>
            </w:pPr>
            <w:r>
              <w:rPr>
                <w:color w:val="000000"/>
              </w:rPr>
              <w:t>69</w:t>
            </w:r>
          </w:p>
        </w:tc>
        <w:tc>
          <w:tcPr>
            <w:tcW w:w="1587" w:type="dxa"/>
            <w:noWrap/>
            <w:vAlign w:val="bottom"/>
            <w:hideMark/>
          </w:tcPr>
          <w:p w14:paraId="21377849" w14:textId="77777777" w:rsidR="006A5028" w:rsidRDefault="00B33296">
            <w:pPr>
              <w:spacing w:line="360" w:lineRule="auto"/>
              <w:ind w:left="180"/>
              <w:jc w:val="center"/>
              <w:rPr>
                <w:rFonts w:cs="Times New Roman"/>
                <w:lang w:val="en-GB"/>
              </w:rPr>
            </w:pPr>
            <w:r>
              <w:rPr>
                <w:color w:val="000000"/>
              </w:rPr>
              <w:t>39.20</w:t>
            </w:r>
          </w:p>
        </w:tc>
      </w:tr>
      <w:tr w:rsidR="006A5028" w14:paraId="738085EF" w14:textId="77777777">
        <w:trPr>
          <w:trHeight w:val="286"/>
          <w:jc w:val="center"/>
        </w:trPr>
        <w:tc>
          <w:tcPr>
            <w:tcW w:w="2160" w:type="dxa"/>
            <w:noWrap/>
            <w:hideMark/>
          </w:tcPr>
          <w:p w14:paraId="0995A3F8" w14:textId="77777777" w:rsidR="006A5028" w:rsidRDefault="006A5028">
            <w:pPr>
              <w:spacing w:line="360" w:lineRule="auto"/>
              <w:ind w:left="180"/>
              <w:rPr>
                <w:rFonts w:cs="Times New Roman"/>
                <w:lang w:val="en-GB"/>
              </w:rPr>
            </w:pPr>
          </w:p>
        </w:tc>
        <w:tc>
          <w:tcPr>
            <w:tcW w:w="2059" w:type="dxa"/>
            <w:noWrap/>
            <w:hideMark/>
          </w:tcPr>
          <w:p w14:paraId="4CC021AE" w14:textId="77777777" w:rsidR="006A5028" w:rsidRDefault="00B33296">
            <w:pPr>
              <w:spacing w:line="360" w:lineRule="auto"/>
              <w:ind w:left="180"/>
              <w:rPr>
                <w:rFonts w:cs="Times New Roman"/>
                <w:lang w:val="en-GB"/>
              </w:rPr>
            </w:pPr>
            <w:r>
              <w:rPr>
                <w:rFonts w:cs="Times New Roman"/>
                <w:lang w:val="en-GB"/>
              </w:rPr>
              <w:t>Artisan</w:t>
            </w:r>
          </w:p>
        </w:tc>
        <w:tc>
          <w:tcPr>
            <w:tcW w:w="1927" w:type="dxa"/>
            <w:noWrap/>
            <w:vAlign w:val="bottom"/>
            <w:hideMark/>
          </w:tcPr>
          <w:p w14:paraId="01D90015" w14:textId="77777777" w:rsidR="006A5028" w:rsidRDefault="00B33296">
            <w:pPr>
              <w:spacing w:line="360" w:lineRule="auto"/>
              <w:ind w:left="180"/>
              <w:jc w:val="center"/>
              <w:rPr>
                <w:rFonts w:cs="Times New Roman"/>
                <w:lang w:val="en-GB"/>
              </w:rPr>
            </w:pPr>
            <w:r>
              <w:rPr>
                <w:color w:val="000000"/>
              </w:rPr>
              <w:t>18</w:t>
            </w:r>
          </w:p>
        </w:tc>
        <w:tc>
          <w:tcPr>
            <w:tcW w:w="1587" w:type="dxa"/>
            <w:noWrap/>
            <w:vAlign w:val="bottom"/>
            <w:hideMark/>
          </w:tcPr>
          <w:p w14:paraId="7CE4E05F" w14:textId="77777777" w:rsidR="006A5028" w:rsidRDefault="00B33296">
            <w:pPr>
              <w:spacing w:line="360" w:lineRule="auto"/>
              <w:ind w:left="180"/>
              <w:jc w:val="center"/>
              <w:rPr>
                <w:rFonts w:cs="Times New Roman"/>
                <w:lang w:val="en-GB"/>
              </w:rPr>
            </w:pPr>
            <w:r>
              <w:rPr>
                <w:color w:val="000000"/>
              </w:rPr>
              <w:t>10.23</w:t>
            </w:r>
          </w:p>
        </w:tc>
      </w:tr>
      <w:tr w:rsidR="006A5028" w14:paraId="36A4915A" w14:textId="77777777">
        <w:trPr>
          <w:trHeight w:val="286"/>
          <w:jc w:val="center"/>
        </w:trPr>
        <w:tc>
          <w:tcPr>
            <w:tcW w:w="2160" w:type="dxa"/>
            <w:noWrap/>
            <w:hideMark/>
          </w:tcPr>
          <w:p w14:paraId="249F2879" w14:textId="77777777" w:rsidR="006A5028" w:rsidRDefault="006A5028">
            <w:pPr>
              <w:spacing w:line="360" w:lineRule="auto"/>
              <w:ind w:left="180"/>
              <w:rPr>
                <w:rFonts w:cs="Times New Roman"/>
                <w:lang w:val="en-GB"/>
              </w:rPr>
            </w:pPr>
          </w:p>
        </w:tc>
        <w:tc>
          <w:tcPr>
            <w:tcW w:w="2059" w:type="dxa"/>
            <w:noWrap/>
            <w:hideMark/>
          </w:tcPr>
          <w:p w14:paraId="08E06D2C" w14:textId="77777777" w:rsidR="006A5028" w:rsidRDefault="00B33296">
            <w:pPr>
              <w:spacing w:line="360" w:lineRule="auto"/>
              <w:ind w:left="180"/>
              <w:rPr>
                <w:rFonts w:cs="Times New Roman"/>
                <w:lang w:val="en-GB"/>
              </w:rPr>
            </w:pPr>
            <w:r>
              <w:rPr>
                <w:rFonts w:cs="Times New Roman"/>
                <w:lang w:val="en-GB"/>
              </w:rPr>
              <w:t>Farmer</w:t>
            </w:r>
          </w:p>
        </w:tc>
        <w:tc>
          <w:tcPr>
            <w:tcW w:w="1927" w:type="dxa"/>
            <w:noWrap/>
            <w:vAlign w:val="bottom"/>
            <w:hideMark/>
          </w:tcPr>
          <w:p w14:paraId="24C8E1D7" w14:textId="77777777" w:rsidR="006A5028" w:rsidRDefault="00B33296">
            <w:pPr>
              <w:spacing w:line="360" w:lineRule="auto"/>
              <w:ind w:left="180"/>
              <w:jc w:val="center"/>
              <w:rPr>
                <w:rFonts w:cs="Times New Roman"/>
                <w:lang w:val="en-GB"/>
              </w:rPr>
            </w:pPr>
            <w:r>
              <w:rPr>
                <w:color w:val="000000"/>
              </w:rPr>
              <w:t>13</w:t>
            </w:r>
          </w:p>
        </w:tc>
        <w:tc>
          <w:tcPr>
            <w:tcW w:w="1587" w:type="dxa"/>
            <w:noWrap/>
            <w:vAlign w:val="bottom"/>
            <w:hideMark/>
          </w:tcPr>
          <w:p w14:paraId="498CB911" w14:textId="77777777" w:rsidR="006A5028" w:rsidRDefault="00B33296">
            <w:pPr>
              <w:spacing w:line="360" w:lineRule="auto"/>
              <w:ind w:left="180"/>
              <w:jc w:val="center"/>
              <w:rPr>
                <w:rFonts w:cs="Times New Roman"/>
                <w:lang w:val="en-GB"/>
              </w:rPr>
            </w:pPr>
            <w:r>
              <w:rPr>
                <w:color w:val="000000"/>
              </w:rPr>
              <w:t>7.39</w:t>
            </w:r>
          </w:p>
        </w:tc>
      </w:tr>
      <w:tr w:rsidR="006A5028" w14:paraId="3AC990A6" w14:textId="77777777">
        <w:trPr>
          <w:trHeight w:val="286"/>
          <w:jc w:val="center"/>
        </w:trPr>
        <w:tc>
          <w:tcPr>
            <w:tcW w:w="2160" w:type="dxa"/>
            <w:noWrap/>
            <w:hideMark/>
          </w:tcPr>
          <w:p w14:paraId="6268EACE" w14:textId="77777777" w:rsidR="006A5028" w:rsidRDefault="006A5028">
            <w:pPr>
              <w:spacing w:line="360" w:lineRule="auto"/>
              <w:ind w:left="180"/>
              <w:rPr>
                <w:rFonts w:cs="Times New Roman"/>
                <w:lang w:val="en-GB"/>
              </w:rPr>
            </w:pPr>
          </w:p>
        </w:tc>
        <w:tc>
          <w:tcPr>
            <w:tcW w:w="2059" w:type="dxa"/>
            <w:noWrap/>
            <w:hideMark/>
          </w:tcPr>
          <w:p w14:paraId="6E04DB1E" w14:textId="77777777" w:rsidR="006A5028" w:rsidRDefault="00B33296">
            <w:pPr>
              <w:spacing w:line="360" w:lineRule="auto"/>
              <w:ind w:left="180"/>
              <w:rPr>
                <w:rFonts w:cs="Times New Roman"/>
                <w:lang w:val="en-GB"/>
              </w:rPr>
            </w:pPr>
            <w:r>
              <w:rPr>
                <w:rFonts w:cs="Times New Roman"/>
                <w:lang w:val="en-GB"/>
              </w:rPr>
              <w:t>Student</w:t>
            </w:r>
          </w:p>
        </w:tc>
        <w:tc>
          <w:tcPr>
            <w:tcW w:w="1927" w:type="dxa"/>
            <w:noWrap/>
            <w:vAlign w:val="bottom"/>
            <w:hideMark/>
          </w:tcPr>
          <w:p w14:paraId="4B56F885" w14:textId="77777777" w:rsidR="006A5028" w:rsidRDefault="00B33296">
            <w:pPr>
              <w:spacing w:line="360" w:lineRule="auto"/>
              <w:ind w:left="180"/>
              <w:jc w:val="center"/>
              <w:rPr>
                <w:rFonts w:cs="Times New Roman"/>
                <w:lang w:val="en-GB"/>
              </w:rPr>
            </w:pPr>
            <w:r>
              <w:rPr>
                <w:color w:val="000000"/>
              </w:rPr>
              <w:t>4</w:t>
            </w:r>
          </w:p>
        </w:tc>
        <w:tc>
          <w:tcPr>
            <w:tcW w:w="1587" w:type="dxa"/>
            <w:noWrap/>
            <w:vAlign w:val="bottom"/>
            <w:hideMark/>
          </w:tcPr>
          <w:p w14:paraId="6288F270" w14:textId="77777777" w:rsidR="006A5028" w:rsidRDefault="00B33296">
            <w:pPr>
              <w:spacing w:line="360" w:lineRule="auto"/>
              <w:ind w:left="180"/>
              <w:jc w:val="center"/>
              <w:rPr>
                <w:rFonts w:cs="Times New Roman"/>
                <w:lang w:val="en-GB"/>
              </w:rPr>
            </w:pPr>
            <w:r>
              <w:rPr>
                <w:color w:val="000000"/>
              </w:rPr>
              <w:t>2.27</w:t>
            </w:r>
          </w:p>
        </w:tc>
      </w:tr>
      <w:tr w:rsidR="006A5028" w14:paraId="25E371B6" w14:textId="77777777">
        <w:trPr>
          <w:trHeight w:val="286"/>
          <w:jc w:val="center"/>
        </w:trPr>
        <w:tc>
          <w:tcPr>
            <w:tcW w:w="2160" w:type="dxa"/>
            <w:tcBorders>
              <w:bottom w:val="single" w:sz="4" w:space="0" w:color="auto"/>
            </w:tcBorders>
            <w:noWrap/>
            <w:hideMark/>
          </w:tcPr>
          <w:p w14:paraId="61BF019A"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77AD4DDA" w14:textId="77777777" w:rsidR="006A5028" w:rsidRDefault="00B33296">
            <w:pPr>
              <w:spacing w:line="360" w:lineRule="auto"/>
              <w:ind w:left="180"/>
              <w:rPr>
                <w:rFonts w:cs="Times New Roman"/>
                <w:lang w:val="en-GB"/>
              </w:rPr>
            </w:pPr>
            <w:r>
              <w:rPr>
                <w:rFonts w:cs="Times New Roman"/>
                <w:lang w:val="en-GB"/>
              </w:rPr>
              <w:t>Unemployed</w:t>
            </w:r>
          </w:p>
        </w:tc>
        <w:tc>
          <w:tcPr>
            <w:tcW w:w="1927" w:type="dxa"/>
            <w:tcBorders>
              <w:bottom w:val="single" w:sz="4" w:space="0" w:color="auto"/>
            </w:tcBorders>
            <w:noWrap/>
            <w:vAlign w:val="bottom"/>
            <w:hideMark/>
          </w:tcPr>
          <w:p w14:paraId="4E90AD63" w14:textId="77777777" w:rsidR="006A5028" w:rsidRDefault="00B33296">
            <w:pPr>
              <w:spacing w:line="360" w:lineRule="auto"/>
              <w:ind w:left="180"/>
              <w:jc w:val="center"/>
              <w:rPr>
                <w:rFonts w:cs="Times New Roman"/>
                <w:lang w:val="en-GB"/>
              </w:rPr>
            </w:pPr>
            <w:r>
              <w:rPr>
                <w:color w:val="000000"/>
              </w:rPr>
              <w:t>31</w:t>
            </w:r>
          </w:p>
        </w:tc>
        <w:tc>
          <w:tcPr>
            <w:tcW w:w="1587" w:type="dxa"/>
            <w:tcBorders>
              <w:bottom w:val="single" w:sz="4" w:space="0" w:color="auto"/>
            </w:tcBorders>
            <w:noWrap/>
            <w:vAlign w:val="bottom"/>
            <w:hideMark/>
          </w:tcPr>
          <w:p w14:paraId="1F589F49" w14:textId="77777777" w:rsidR="006A5028" w:rsidRDefault="00B33296">
            <w:pPr>
              <w:spacing w:line="360" w:lineRule="auto"/>
              <w:ind w:left="180"/>
              <w:jc w:val="center"/>
              <w:rPr>
                <w:rFonts w:cs="Times New Roman"/>
                <w:lang w:val="en-GB"/>
              </w:rPr>
            </w:pPr>
            <w:r>
              <w:rPr>
                <w:color w:val="000000"/>
              </w:rPr>
              <w:t>17.61</w:t>
            </w:r>
          </w:p>
        </w:tc>
      </w:tr>
      <w:tr w:rsidR="006A5028" w14:paraId="21F6F2DA" w14:textId="77777777">
        <w:trPr>
          <w:trHeight w:val="286"/>
          <w:jc w:val="center"/>
        </w:trPr>
        <w:tc>
          <w:tcPr>
            <w:tcW w:w="2160" w:type="dxa"/>
            <w:tcBorders>
              <w:top w:val="single" w:sz="4" w:space="0" w:color="auto"/>
            </w:tcBorders>
            <w:noWrap/>
            <w:hideMark/>
          </w:tcPr>
          <w:p w14:paraId="218E23D1" w14:textId="77777777" w:rsidR="006A5028" w:rsidRDefault="00B33296">
            <w:pPr>
              <w:spacing w:line="360" w:lineRule="auto"/>
              <w:ind w:left="180"/>
              <w:rPr>
                <w:rFonts w:cs="Times New Roman"/>
                <w:lang w:val="en-GB"/>
              </w:rPr>
            </w:pPr>
            <w:r>
              <w:rPr>
                <w:rFonts w:cs="Times New Roman"/>
                <w:lang w:val="en-GB"/>
              </w:rPr>
              <w:t xml:space="preserve"> Marital Status</w:t>
            </w:r>
          </w:p>
        </w:tc>
        <w:tc>
          <w:tcPr>
            <w:tcW w:w="2059" w:type="dxa"/>
            <w:tcBorders>
              <w:top w:val="single" w:sz="4" w:space="0" w:color="auto"/>
            </w:tcBorders>
            <w:noWrap/>
            <w:hideMark/>
          </w:tcPr>
          <w:p w14:paraId="6500D474" w14:textId="77777777" w:rsidR="006A5028" w:rsidRDefault="00B33296">
            <w:pPr>
              <w:spacing w:line="360" w:lineRule="auto"/>
              <w:ind w:left="180"/>
              <w:rPr>
                <w:rFonts w:cs="Times New Roman"/>
                <w:lang w:val="en-GB"/>
              </w:rPr>
            </w:pPr>
            <w:r>
              <w:rPr>
                <w:rFonts w:cs="Times New Roman"/>
                <w:lang w:val="en-GB"/>
              </w:rPr>
              <w:t>Married</w:t>
            </w:r>
          </w:p>
        </w:tc>
        <w:tc>
          <w:tcPr>
            <w:tcW w:w="1927" w:type="dxa"/>
            <w:tcBorders>
              <w:top w:val="single" w:sz="4" w:space="0" w:color="auto"/>
            </w:tcBorders>
            <w:noWrap/>
            <w:vAlign w:val="bottom"/>
            <w:hideMark/>
          </w:tcPr>
          <w:p w14:paraId="6BE34393" w14:textId="77777777" w:rsidR="006A5028" w:rsidRDefault="00B33296">
            <w:pPr>
              <w:spacing w:line="360" w:lineRule="auto"/>
              <w:ind w:left="180"/>
              <w:jc w:val="center"/>
              <w:rPr>
                <w:rFonts w:cs="Times New Roman"/>
                <w:lang w:val="en-GB"/>
              </w:rPr>
            </w:pPr>
            <w:r>
              <w:rPr>
                <w:color w:val="000000"/>
              </w:rPr>
              <w:t>126</w:t>
            </w:r>
          </w:p>
        </w:tc>
        <w:tc>
          <w:tcPr>
            <w:tcW w:w="1587" w:type="dxa"/>
            <w:tcBorders>
              <w:top w:val="single" w:sz="4" w:space="0" w:color="auto"/>
            </w:tcBorders>
            <w:noWrap/>
            <w:vAlign w:val="bottom"/>
            <w:hideMark/>
          </w:tcPr>
          <w:p w14:paraId="08A44BA7" w14:textId="77777777" w:rsidR="006A5028" w:rsidRDefault="00B33296">
            <w:pPr>
              <w:spacing w:line="360" w:lineRule="auto"/>
              <w:ind w:left="180"/>
              <w:jc w:val="center"/>
              <w:rPr>
                <w:rFonts w:cs="Times New Roman"/>
                <w:lang w:val="en-GB"/>
              </w:rPr>
            </w:pPr>
            <w:r>
              <w:rPr>
                <w:color w:val="000000"/>
              </w:rPr>
              <w:t>71.59</w:t>
            </w:r>
          </w:p>
        </w:tc>
      </w:tr>
      <w:tr w:rsidR="006A5028" w14:paraId="288FD432" w14:textId="77777777">
        <w:trPr>
          <w:trHeight w:val="286"/>
          <w:jc w:val="center"/>
        </w:trPr>
        <w:tc>
          <w:tcPr>
            <w:tcW w:w="2160" w:type="dxa"/>
            <w:noWrap/>
            <w:hideMark/>
          </w:tcPr>
          <w:p w14:paraId="19CF5CFB" w14:textId="77777777" w:rsidR="006A5028" w:rsidRDefault="006A5028">
            <w:pPr>
              <w:spacing w:line="360" w:lineRule="auto"/>
              <w:ind w:left="180"/>
              <w:rPr>
                <w:rFonts w:cs="Times New Roman"/>
                <w:lang w:val="en-GB"/>
              </w:rPr>
            </w:pPr>
          </w:p>
        </w:tc>
        <w:tc>
          <w:tcPr>
            <w:tcW w:w="2059" w:type="dxa"/>
            <w:noWrap/>
            <w:hideMark/>
          </w:tcPr>
          <w:p w14:paraId="432EBD1C" w14:textId="77777777" w:rsidR="006A5028" w:rsidRDefault="00B33296">
            <w:pPr>
              <w:spacing w:line="360" w:lineRule="auto"/>
              <w:ind w:left="180"/>
              <w:rPr>
                <w:rFonts w:cs="Times New Roman"/>
                <w:lang w:val="en-GB"/>
              </w:rPr>
            </w:pPr>
            <w:r>
              <w:rPr>
                <w:rFonts w:cs="Times New Roman"/>
                <w:lang w:val="en-GB"/>
              </w:rPr>
              <w:t>Single</w:t>
            </w:r>
          </w:p>
        </w:tc>
        <w:tc>
          <w:tcPr>
            <w:tcW w:w="1927" w:type="dxa"/>
            <w:noWrap/>
            <w:vAlign w:val="bottom"/>
            <w:hideMark/>
          </w:tcPr>
          <w:p w14:paraId="7319B04A" w14:textId="77777777" w:rsidR="006A5028" w:rsidRDefault="00B33296">
            <w:pPr>
              <w:spacing w:line="360" w:lineRule="auto"/>
              <w:ind w:left="180"/>
              <w:jc w:val="center"/>
              <w:rPr>
                <w:rFonts w:cs="Times New Roman"/>
                <w:lang w:val="en-GB"/>
              </w:rPr>
            </w:pPr>
            <w:r>
              <w:rPr>
                <w:color w:val="000000"/>
              </w:rPr>
              <w:t>15</w:t>
            </w:r>
          </w:p>
        </w:tc>
        <w:tc>
          <w:tcPr>
            <w:tcW w:w="1587" w:type="dxa"/>
            <w:noWrap/>
            <w:vAlign w:val="bottom"/>
            <w:hideMark/>
          </w:tcPr>
          <w:p w14:paraId="3B8CEDE9" w14:textId="77777777" w:rsidR="006A5028" w:rsidRDefault="00B33296">
            <w:pPr>
              <w:spacing w:line="360" w:lineRule="auto"/>
              <w:ind w:left="180"/>
              <w:jc w:val="center"/>
              <w:rPr>
                <w:rFonts w:cs="Times New Roman"/>
                <w:lang w:val="en-GB"/>
              </w:rPr>
            </w:pPr>
            <w:r>
              <w:rPr>
                <w:color w:val="000000"/>
              </w:rPr>
              <w:t>8.52</w:t>
            </w:r>
          </w:p>
        </w:tc>
      </w:tr>
      <w:tr w:rsidR="006A5028" w14:paraId="05F2A868" w14:textId="77777777">
        <w:trPr>
          <w:trHeight w:val="286"/>
          <w:jc w:val="center"/>
        </w:trPr>
        <w:tc>
          <w:tcPr>
            <w:tcW w:w="2160" w:type="dxa"/>
            <w:noWrap/>
            <w:hideMark/>
          </w:tcPr>
          <w:p w14:paraId="30CC3FC2" w14:textId="77777777" w:rsidR="006A5028" w:rsidRDefault="006A5028">
            <w:pPr>
              <w:spacing w:line="360" w:lineRule="auto"/>
              <w:ind w:left="180"/>
              <w:rPr>
                <w:rFonts w:cs="Times New Roman"/>
                <w:lang w:val="en-GB"/>
              </w:rPr>
            </w:pPr>
          </w:p>
        </w:tc>
        <w:tc>
          <w:tcPr>
            <w:tcW w:w="2059" w:type="dxa"/>
            <w:noWrap/>
            <w:hideMark/>
          </w:tcPr>
          <w:p w14:paraId="26B6B4CB" w14:textId="77777777" w:rsidR="006A5028" w:rsidRDefault="00B33296">
            <w:pPr>
              <w:spacing w:line="360" w:lineRule="auto"/>
              <w:ind w:left="180"/>
              <w:rPr>
                <w:rFonts w:cs="Times New Roman"/>
                <w:lang w:val="en-GB"/>
              </w:rPr>
            </w:pPr>
            <w:r>
              <w:rPr>
                <w:rFonts w:cs="Times New Roman"/>
                <w:lang w:val="en-GB"/>
              </w:rPr>
              <w:t>Separated</w:t>
            </w:r>
          </w:p>
        </w:tc>
        <w:tc>
          <w:tcPr>
            <w:tcW w:w="1927" w:type="dxa"/>
            <w:noWrap/>
            <w:vAlign w:val="bottom"/>
            <w:hideMark/>
          </w:tcPr>
          <w:p w14:paraId="4A4295E1" w14:textId="77777777" w:rsidR="006A5028" w:rsidRDefault="00B33296">
            <w:pPr>
              <w:spacing w:line="360" w:lineRule="auto"/>
              <w:ind w:left="180"/>
              <w:jc w:val="center"/>
              <w:rPr>
                <w:rFonts w:cs="Times New Roman"/>
                <w:lang w:val="en-GB"/>
              </w:rPr>
            </w:pPr>
            <w:r>
              <w:rPr>
                <w:color w:val="000000"/>
              </w:rPr>
              <w:t>6</w:t>
            </w:r>
          </w:p>
        </w:tc>
        <w:tc>
          <w:tcPr>
            <w:tcW w:w="1587" w:type="dxa"/>
            <w:noWrap/>
            <w:vAlign w:val="bottom"/>
            <w:hideMark/>
          </w:tcPr>
          <w:p w14:paraId="777CB32C" w14:textId="77777777" w:rsidR="006A5028" w:rsidRDefault="00B33296">
            <w:pPr>
              <w:spacing w:line="360" w:lineRule="auto"/>
              <w:ind w:left="180"/>
              <w:jc w:val="center"/>
              <w:rPr>
                <w:rFonts w:cs="Times New Roman"/>
                <w:lang w:val="en-GB"/>
              </w:rPr>
            </w:pPr>
            <w:r>
              <w:rPr>
                <w:color w:val="000000"/>
              </w:rPr>
              <w:t>3.41</w:t>
            </w:r>
          </w:p>
        </w:tc>
      </w:tr>
      <w:tr w:rsidR="006A5028" w14:paraId="44E468AC" w14:textId="77777777">
        <w:trPr>
          <w:trHeight w:val="286"/>
          <w:jc w:val="center"/>
        </w:trPr>
        <w:tc>
          <w:tcPr>
            <w:tcW w:w="2160" w:type="dxa"/>
            <w:tcBorders>
              <w:bottom w:val="single" w:sz="4" w:space="0" w:color="auto"/>
            </w:tcBorders>
            <w:noWrap/>
            <w:hideMark/>
          </w:tcPr>
          <w:p w14:paraId="4933565A"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518499DA" w14:textId="77777777" w:rsidR="006A5028" w:rsidRDefault="00B33296">
            <w:pPr>
              <w:spacing w:line="360" w:lineRule="auto"/>
              <w:ind w:left="180"/>
              <w:rPr>
                <w:rFonts w:cs="Times New Roman"/>
                <w:lang w:val="en-GB"/>
              </w:rPr>
            </w:pPr>
            <w:r>
              <w:rPr>
                <w:rFonts w:cs="Times New Roman"/>
                <w:lang w:val="en-GB"/>
              </w:rPr>
              <w:t>Widow/Widower</w:t>
            </w:r>
          </w:p>
        </w:tc>
        <w:tc>
          <w:tcPr>
            <w:tcW w:w="1927" w:type="dxa"/>
            <w:tcBorders>
              <w:bottom w:val="single" w:sz="4" w:space="0" w:color="auto"/>
            </w:tcBorders>
            <w:noWrap/>
            <w:vAlign w:val="bottom"/>
            <w:hideMark/>
          </w:tcPr>
          <w:p w14:paraId="670F3442" w14:textId="77777777" w:rsidR="006A5028" w:rsidRDefault="00B33296">
            <w:pPr>
              <w:spacing w:line="360" w:lineRule="auto"/>
              <w:ind w:left="180"/>
              <w:jc w:val="center"/>
              <w:rPr>
                <w:rFonts w:cs="Times New Roman"/>
                <w:lang w:val="en-GB"/>
              </w:rPr>
            </w:pPr>
            <w:r>
              <w:rPr>
                <w:color w:val="000000"/>
              </w:rPr>
              <w:t>29</w:t>
            </w:r>
          </w:p>
        </w:tc>
        <w:tc>
          <w:tcPr>
            <w:tcW w:w="1587" w:type="dxa"/>
            <w:tcBorders>
              <w:bottom w:val="single" w:sz="4" w:space="0" w:color="auto"/>
            </w:tcBorders>
            <w:noWrap/>
            <w:vAlign w:val="bottom"/>
            <w:hideMark/>
          </w:tcPr>
          <w:p w14:paraId="4D54AFAD" w14:textId="77777777" w:rsidR="006A5028" w:rsidRDefault="00B33296">
            <w:pPr>
              <w:spacing w:line="360" w:lineRule="auto"/>
              <w:ind w:left="180"/>
              <w:jc w:val="center"/>
              <w:rPr>
                <w:rFonts w:cs="Times New Roman"/>
                <w:lang w:val="en-GB"/>
              </w:rPr>
            </w:pPr>
            <w:r>
              <w:rPr>
                <w:color w:val="000000"/>
              </w:rPr>
              <w:t>16.48</w:t>
            </w:r>
          </w:p>
        </w:tc>
      </w:tr>
    </w:tbl>
    <w:p w14:paraId="09906CBF" w14:textId="77777777" w:rsidR="006A5028" w:rsidRDefault="00B33296">
      <w:pPr>
        <w:spacing w:line="360" w:lineRule="auto"/>
        <w:rPr>
          <w:i/>
          <w:iCs/>
        </w:rPr>
      </w:pPr>
      <w:r>
        <w:rPr>
          <w:i/>
          <w:iCs/>
        </w:rPr>
        <w:t>*Statistically significant (p&lt;0.05), t: Student’s T-test statistic</w:t>
      </w:r>
    </w:p>
    <w:p w14:paraId="04A8A233" w14:textId="77777777" w:rsidR="006A5028" w:rsidRDefault="00B33296">
      <w:pPr>
        <w:spacing w:line="360" w:lineRule="auto"/>
        <w:jc w:val="both"/>
      </w:pPr>
      <w:r>
        <w:t>Table 2 compares various variables between individuals with diabetic foot ulcers (cases) and those without (controls). It reveals a significant difference in serum vitamin D levels, indicat</w:t>
      </w:r>
      <w:r>
        <w:t xml:space="preserve">ing lower levels in cases (mean of 19.6 ng/ml ± 13.6) compared to controls (mean of 36.2 ng/ml ± 11.4) with a p-value of 0.014. Conversely, serum HbA1c levels showed no significant difference between cases (mean of 8.5% ± 2.6) and controls (mean of 9.5% ± </w:t>
      </w:r>
      <w:r>
        <w:t>3) with a p-value of 0.106, suggesting similar glycemic control status in both groups. Similarly, fasting plasma glucose levels did not significantly differ between cases (mean of 10.6 mmol/l ± 4.2) and controls (mean of 9.8 mmol/l ± 4.4) with a p-value of</w:t>
      </w:r>
      <w:r>
        <w:t xml:space="preserve"> 0.793, indicating comparable fasting glucose levels in individuals with and without diabetic foot ulcers. These findings suggest a potential association between lower serum vitamin D levels and the presence of diabetic foot ulcers, while glycemic control </w:t>
      </w:r>
      <w:r>
        <w:t>status, as measured by HbA1c and fasting plasma glucose levels, remained similar between the two groups.</w:t>
      </w:r>
    </w:p>
    <w:p w14:paraId="54632497" w14:textId="72537D2F"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2</w:t>
      </w:r>
      <w:r>
        <w:rPr>
          <w:rFonts w:ascii="Aptos" w:hAnsi="Aptos"/>
          <w:sz w:val="22"/>
          <w:szCs w:val="22"/>
        </w:rPr>
        <w:fldChar w:fldCharType="end"/>
      </w:r>
      <w:r>
        <w:rPr>
          <w:rFonts w:ascii="Aptos" w:hAnsi="Aptos"/>
          <w:sz w:val="22"/>
          <w:szCs w:val="22"/>
        </w:rPr>
        <w:t>: T-test Comparison of Mean biochemical indices of Patients</w:t>
      </w:r>
    </w:p>
    <w:tbl>
      <w:tblPr>
        <w:tblW w:w="9200" w:type="dxa"/>
        <w:tblLayout w:type="fixed"/>
        <w:tblLook w:val="0400" w:firstRow="0" w:lastRow="0" w:firstColumn="0" w:lastColumn="0" w:noHBand="0" w:noVBand="1"/>
      </w:tblPr>
      <w:tblGrid>
        <w:gridCol w:w="4019"/>
        <w:gridCol w:w="1586"/>
        <w:gridCol w:w="2115"/>
        <w:gridCol w:w="1480"/>
      </w:tblGrid>
      <w:tr w:rsidR="006A5028" w14:paraId="79DA2FC5" w14:textId="77777777">
        <w:trPr>
          <w:trHeight w:val="326"/>
        </w:trPr>
        <w:tc>
          <w:tcPr>
            <w:tcW w:w="4019" w:type="dxa"/>
            <w:tcBorders>
              <w:top w:val="single" w:sz="4" w:space="0" w:color="000000"/>
              <w:left w:val="nil"/>
              <w:bottom w:val="single" w:sz="4" w:space="0" w:color="000000"/>
              <w:right w:val="nil"/>
            </w:tcBorders>
            <w:shd w:val="clear" w:color="auto" w:fill="auto"/>
            <w:vAlign w:val="bottom"/>
          </w:tcPr>
          <w:p w14:paraId="7A7F992E"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Variable</w:t>
            </w:r>
          </w:p>
        </w:tc>
        <w:tc>
          <w:tcPr>
            <w:tcW w:w="1586" w:type="dxa"/>
            <w:tcBorders>
              <w:top w:val="single" w:sz="4" w:space="0" w:color="000000"/>
              <w:left w:val="nil"/>
              <w:bottom w:val="single" w:sz="4" w:space="0" w:color="000000"/>
              <w:right w:val="nil"/>
            </w:tcBorders>
            <w:shd w:val="clear" w:color="auto" w:fill="auto"/>
            <w:vAlign w:val="bottom"/>
          </w:tcPr>
          <w:p w14:paraId="0C24823C"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DFU</w:t>
            </w:r>
          </w:p>
          <w:p w14:paraId="6FA4E979"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Mean ±SD</w:t>
            </w:r>
          </w:p>
        </w:tc>
        <w:tc>
          <w:tcPr>
            <w:tcW w:w="2115" w:type="dxa"/>
            <w:tcBorders>
              <w:top w:val="single" w:sz="4" w:space="0" w:color="000000"/>
              <w:left w:val="nil"/>
              <w:bottom w:val="single" w:sz="4" w:space="0" w:color="000000"/>
              <w:right w:val="nil"/>
            </w:tcBorders>
            <w:shd w:val="clear" w:color="auto" w:fill="auto"/>
            <w:vAlign w:val="bottom"/>
          </w:tcPr>
          <w:p w14:paraId="249DB135"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No DFU</w:t>
            </w:r>
          </w:p>
          <w:p w14:paraId="50A4079C"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Mean ±SD</w:t>
            </w:r>
          </w:p>
        </w:tc>
        <w:tc>
          <w:tcPr>
            <w:tcW w:w="1480" w:type="dxa"/>
            <w:tcBorders>
              <w:top w:val="single" w:sz="4" w:space="0" w:color="000000"/>
              <w:left w:val="nil"/>
              <w:bottom w:val="single" w:sz="4" w:space="0" w:color="000000"/>
              <w:right w:val="nil"/>
            </w:tcBorders>
            <w:shd w:val="clear" w:color="auto" w:fill="auto"/>
            <w:vAlign w:val="bottom"/>
          </w:tcPr>
          <w:p w14:paraId="3FC4BED8" w14:textId="77777777" w:rsidR="006A5028" w:rsidRDefault="00B33296">
            <w:pPr>
              <w:spacing w:after="0" w:line="360" w:lineRule="auto"/>
              <w:ind w:left="180"/>
              <w:jc w:val="center"/>
              <w:rPr>
                <w:rFonts w:eastAsia="Calibri" w:cs="Times New Roman"/>
                <w:b/>
                <w:color w:val="000000"/>
                <w:lang w:val="en-GB"/>
              </w:rPr>
            </w:pPr>
            <w:r>
              <w:rPr>
                <w:rFonts w:eastAsia="Calibri" w:cs="Times New Roman"/>
                <w:b/>
                <w:color w:val="000000"/>
                <w:lang w:val="en-GB"/>
              </w:rPr>
              <w:t xml:space="preserve">  p-value</w:t>
            </w:r>
          </w:p>
        </w:tc>
      </w:tr>
      <w:tr w:rsidR="006A5028" w14:paraId="7D5CF44A" w14:textId="77777777">
        <w:trPr>
          <w:trHeight w:val="326"/>
        </w:trPr>
        <w:tc>
          <w:tcPr>
            <w:tcW w:w="4019" w:type="dxa"/>
            <w:tcBorders>
              <w:top w:val="nil"/>
              <w:left w:val="nil"/>
              <w:bottom w:val="nil"/>
              <w:right w:val="nil"/>
            </w:tcBorders>
            <w:shd w:val="clear" w:color="auto" w:fill="auto"/>
            <w:vAlign w:val="bottom"/>
          </w:tcPr>
          <w:p w14:paraId="42678776" w14:textId="77777777" w:rsidR="006A5028" w:rsidRDefault="00B33296">
            <w:pPr>
              <w:spacing w:line="360" w:lineRule="auto"/>
              <w:ind w:left="180"/>
              <w:rPr>
                <w:rFonts w:eastAsia="Calibri" w:cs="Times New Roman"/>
                <w:color w:val="000000"/>
                <w:lang w:val="it-IT"/>
              </w:rPr>
            </w:pPr>
            <w:r>
              <w:rPr>
                <w:rFonts w:eastAsia="Calibri" w:cs="Times New Roman"/>
                <w:color w:val="000000"/>
                <w:lang w:val="it-IT"/>
              </w:rPr>
              <w:lastRenderedPageBreak/>
              <w:t xml:space="preserve">Serum </w:t>
            </w:r>
            <w:r>
              <w:rPr>
                <w:rFonts w:eastAsia="Calibri" w:cs="Times New Roman"/>
                <w:color w:val="000000"/>
                <w:lang w:val="it-IT"/>
              </w:rPr>
              <w:t>vitamin D3 (ng/ml)</w:t>
            </w:r>
          </w:p>
        </w:tc>
        <w:tc>
          <w:tcPr>
            <w:tcW w:w="1586" w:type="dxa"/>
            <w:tcBorders>
              <w:top w:val="nil"/>
              <w:left w:val="nil"/>
              <w:bottom w:val="nil"/>
              <w:right w:val="nil"/>
            </w:tcBorders>
            <w:shd w:val="clear" w:color="auto" w:fill="auto"/>
            <w:vAlign w:val="bottom"/>
          </w:tcPr>
          <w:p w14:paraId="18C48D1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19.6 ±13.6</w:t>
            </w:r>
          </w:p>
        </w:tc>
        <w:tc>
          <w:tcPr>
            <w:tcW w:w="2115" w:type="dxa"/>
            <w:tcBorders>
              <w:top w:val="nil"/>
              <w:left w:val="nil"/>
              <w:bottom w:val="nil"/>
              <w:right w:val="nil"/>
            </w:tcBorders>
            <w:shd w:val="clear" w:color="auto" w:fill="auto"/>
            <w:vAlign w:val="bottom"/>
          </w:tcPr>
          <w:p w14:paraId="476663C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36.2 ±11.4</w:t>
            </w:r>
          </w:p>
        </w:tc>
        <w:tc>
          <w:tcPr>
            <w:tcW w:w="1480" w:type="dxa"/>
            <w:tcBorders>
              <w:top w:val="nil"/>
              <w:left w:val="nil"/>
              <w:bottom w:val="nil"/>
              <w:right w:val="nil"/>
            </w:tcBorders>
            <w:shd w:val="clear" w:color="auto" w:fill="auto"/>
            <w:vAlign w:val="bottom"/>
          </w:tcPr>
          <w:p w14:paraId="3E0FC09C"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0.014*</w:t>
            </w:r>
          </w:p>
        </w:tc>
      </w:tr>
      <w:tr w:rsidR="006A5028" w14:paraId="34DD1D4B" w14:textId="77777777">
        <w:trPr>
          <w:trHeight w:val="326"/>
        </w:trPr>
        <w:tc>
          <w:tcPr>
            <w:tcW w:w="4019" w:type="dxa"/>
            <w:tcBorders>
              <w:top w:val="nil"/>
              <w:left w:val="nil"/>
              <w:bottom w:val="nil"/>
              <w:right w:val="nil"/>
            </w:tcBorders>
            <w:shd w:val="clear" w:color="auto" w:fill="auto"/>
            <w:vAlign w:val="bottom"/>
          </w:tcPr>
          <w:p w14:paraId="7214AFF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HbAlc (%)</w:t>
            </w:r>
          </w:p>
        </w:tc>
        <w:tc>
          <w:tcPr>
            <w:tcW w:w="1586" w:type="dxa"/>
            <w:tcBorders>
              <w:top w:val="nil"/>
              <w:left w:val="nil"/>
              <w:bottom w:val="nil"/>
              <w:right w:val="nil"/>
            </w:tcBorders>
            <w:shd w:val="clear" w:color="auto" w:fill="auto"/>
            <w:vAlign w:val="bottom"/>
          </w:tcPr>
          <w:p w14:paraId="1EB09FE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8.5 ±2.6</w:t>
            </w:r>
          </w:p>
        </w:tc>
        <w:tc>
          <w:tcPr>
            <w:tcW w:w="2115" w:type="dxa"/>
            <w:tcBorders>
              <w:top w:val="nil"/>
              <w:left w:val="nil"/>
              <w:bottom w:val="nil"/>
              <w:right w:val="nil"/>
            </w:tcBorders>
            <w:shd w:val="clear" w:color="auto" w:fill="auto"/>
            <w:vAlign w:val="bottom"/>
          </w:tcPr>
          <w:p w14:paraId="78F25746"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9.5 ±3</w:t>
            </w:r>
          </w:p>
        </w:tc>
        <w:tc>
          <w:tcPr>
            <w:tcW w:w="1480" w:type="dxa"/>
            <w:tcBorders>
              <w:top w:val="nil"/>
              <w:left w:val="nil"/>
              <w:bottom w:val="nil"/>
              <w:right w:val="nil"/>
            </w:tcBorders>
            <w:shd w:val="clear" w:color="auto" w:fill="auto"/>
            <w:vAlign w:val="bottom"/>
          </w:tcPr>
          <w:p w14:paraId="040AFEC9"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0.106</w:t>
            </w:r>
          </w:p>
        </w:tc>
      </w:tr>
      <w:tr w:rsidR="006A5028" w14:paraId="2AEBA098" w14:textId="77777777">
        <w:trPr>
          <w:trHeight w:val="326"/>
        </w:trPr>
        <w:tc>
          <w:tcPr>
            <w:tcW w:w="4019" w:type="dxa"/>
            <w:tcBorders>
              <w:top w:val="nil"/>
              <w:left w:val="nil"/>
              <w:bottom w:val="nil"/>
              <w:right w:val="nil"/>
            </w:tcBorders>
            <w:shd w:val="clear" w:color="auto" w:fill="auto"/>
            <w:vAlign w:val="bottom"/>
          </w:tcPr>
          <w:p w14:paraId="21B98989" w14:textId="77777777" w:rsidR="006A5028" w:rsidRDefault="00B33296">
            <w:pPr>
              <w:spacing w:line="360" w:lineRule="auto"/>
              <w:ind w:left="180"/>
              <w:rPr>
                <w:rFonts w:eastAsia="Calibri" w:cs="Times New Roman"/>
                <w:color w:val="000000"/>
                <w:lang w:val="it-IT"/>
              </w:rPr>
            </w:pPr>
            <w:r>
              <w:rPr>
                <w:rFonts w:eastAsia="Calibri" w:cs="Times New Roman"/>
                <w:color w:val="000000"/>
                <w:lang w:val="it-IT"/>
              </w:rPr>
              <w:t>Fasting plasma glucose (mmol/l)</w:t>
            </w:r>
          </w:p>
        </w:tc>
        <w:tc>
          <w:tcPr>
            <w:tcW w:w="1586" w:type="dxa"/>
            <w:tcBorders>
              <w:top w:val="nil"/>
              <w:left w:val="nil"/>
              <w:bottom w:val="nil"/>
              <w:right w:val="nil"/>
            </w:tcBorders>
            <w:shd w:val="clear" w:color="auto" w:fill="auto"/>
            <w:vAlign w:val="bottom"/>
          </w:tcPr>
          <w:p w14:paraId="65DE049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10.6 ±4.2</w:t>
            </w:r>
          </w:p>
        </w:tc>
        <w:tc>
          <w:tcPr>
            <w:tcW w:w="2115" w:type="dxa"/>
            <w:tcBorders>
              <w:top w:val="nil"/>
              <w:left w:val="nil"/>
              <w:bottom w:val="nil"/>
              <w:right w:val="nil"/>
            </w:tcBorders>
            <w:shd w:val="clear" w:color="auto" w:fill="auto"/>
            <w:vAlign w:val="bottom"/>
          </w:tcPr>
          <w:p w14:paraId="1162FB10"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9.8 ±4.4</w:t>
            </w:r>
          </w:p>
        </w:tc>
        <w:tc>
          <w:tcPr>
            <w:tcW w:w="1480" w:type="dxa"/>
            <w:tcBorders>
              <w:top w:val="nil"/>
              <w:left w:val="nil"/>
              <w:bottom w:val="nil"/>
              <w:right w:val="nil"/>
            </w:tcBorders>
            <w:shd w:val="clear" w:color="auto" w:fill="auto"/>
            <w:vAlign w:val="bottom"/>
          </w:tcPr>
          <w:p w14:paraId="1D463F00"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0.793</w:t>
            </w:r>
          </w:p>
        </w:tc>
      </w:tr>
      <w:tr w:rsidR="006A5028" w14:paraId="0AD12453" w14:textId="77777777">
        <w:trPr>
          <w:trHeight w:val="326"/>
        </w:trPr>
        <w:tc>
          <w:tcPr>
            <w:tcW w:w="4019" w:type="dxa"/>
            <w:tcBorders>
              <w:top w:val="nil"/>
              <w:left w:val="nil"/>
              <w:bottom w:val="nil"/>
              <w:right w:val="nil"/>
            </w:tcBorders>
            <w:shd w:val="clear" w:color="auto" w:fill="auto"/>
            <w:vAlign w:val="bottom"/>
          </w:tcPr>
          <w:p w14:paraId="2C7CA689"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calcium (mmol/l)</w:t>
            </w:r>
          </w:p>
        </w:tc>
        <w:tc>
          <w:tcPr>
            <w:tcW w:w="1586" w:type="dxa"/>
            <w:tcBorders>
              <w:top w:val="nil"/>
              <w:left w:val="nil"/>
              <w:bottom w:val="nil"/>
              <w:right w:val="nil"/>
            </w:tcBorders>
            <w:shd w:val="clear" w:color="auto" w:fill="auto"/>
            <w:vAlign w:val="bottom"/>
          </w:tcPr>
          <w:p w14:paraId="450D9BE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2.2 ±0.2</w:t>
            </w:r>
          </w:p>
        </w:tc>
        <w:tc>
          <w:tcPr>
            <w:tcW w:w="2115" w:type="dxa"/>
            <w:tcBorders>
              <w:top w:val="nil"/>
              <w:left w:val="nil"/>
              <w:bottom w:val="nil"/>
              <w:right w:val="nil"/>
            </w:tcBorders>
            <w:shd w:val="clear" w:color="auto" w:fill="auto"/>
            <w:vAlign w:val="bottom"/>
          </w:tcPr>
          <w:p w14:paraId="3622C75B"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2.3 ±0.1</w:t>
            </w:r>
          </w:p>
        </w:tc>
        <w:tc>
          <w:tcPr>
            <w:tcW w:w="1480" w:type="dxa"/>
            <w:tcBorders>
              <w:top w:val="nil"/>
              <w:left w:val="nil"/>
              <w:bottom w:val="nil"/>
              <w:right w:val="nil"/>
            </w:tcBorders>
            <w:shd w:val="clear" w:color="auto" w:fill="auto"/>
            <w:vAlign w:val="bottom"/>
          </w:tcPr>
          <w:p w14:paraId="6F46D11C"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0.077</w:t>
            </w:r>
          </w:p>
        </w:tc>
      </w:tr>
      <w:tr w:rsidR="006A5028" w14:paraId="584177F1" w14:textId="77777777">
        <w:trPr>
          <w:trHeight w:val="326"/>
        </w:trPr>
        <w:tc>
          <w:tcPr>
            <w:tcW w:w="4019" w:type="dxa"/>
            <w:tcBorders>
              <w:top w:val="nil"/>
              <w:left w:val="nil"/>
              <w:bottom w:val="nil"/>
              <w:right w:val="nil"/>
            </w:tcBorders>
            <w:shd w:val="clear" w:color="auto" w:fill="auto"/>
            <w:vAlign w:val="bottom"/>
          </w:tcPr>
          <w:p w14:paraId="146B2F1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albumin mg/dl</w:t>
            </w:r>
          </w:p>
        </w:tc>
        <w:tc>
          <w:tcPr>
            <w:tcW w:w="1586" w:type="dxa"/>
            <w:tcBorders>
              <w:top w:val="nil"/>
              <w:left w:val="nil"/>
              <w:bottom w:val="nil"/>
              <w:right w:val="nil"/>
            </w:tcBorders>
            <w:shd w:val="clear" w:color="auto" w:fill="auto"/>
            <w:vAlign w:val="bottom"/>
          </w:tcPr>
          <w:p w14:paraId="6EFA3BE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37.4 ±4.3</w:t>
            </w:r>
          </w:p>
        </w:tc>
        <w:tc>
          <w:tcPr>
            <w:tcW w:w="2115" w:type="dxa"/>
            <w:tcBorders>
              <w:top w:val="nil"/>
              <w:left w:val="nil"/>
              <w:bottom w:val="nil"/>
              <w:right w:val="nil"/>
            </w:tcBorders>
            <w:shd w:val="clear" w:color="auto" w:fill="auto"/>
            <w:vAlign w:val="bottom"/>
          </w:tcPr>
          <w:p w14:paraId="10D8EFC0"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39.9 ±3.5</w:t>
            </w:r>
          </w:p>
        </w:tc>
        <w:tc>
          <w:tcPr>
            <w:tcW w:w="1480" w:type="dxa"/>
            <w:tcBorders>
              <w:top w:val="nil"/>
              <w:left w:val="nil"/>
              <w:bottom w:val="nil"/>
              <w:right w:val="nil"/>
            </w:tcBorders>
            <w:shd w:val="clear" w:color="auto" w:fill="auto"/>
            <w:vAlign w:val="bottom"/>
          </w:tcPr>
          <w:p w14:paraId="6D7262B4"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0.012*</w:t>
            </w:r>
          </w:p>
        </w:tc>
      </w:tr>
      <w:tr w:rsidR="006A5028" w14:paraId="55A076FC" w14:textId="77777777">
        <w:trPr>
          <w:trHeight w:val="326"/>
        </w:trPr>
        <w:tc>
          <w:tcPr>
            <w:tcW w:w="4019" w:type="dxa"/>
            <w:tcBorders>
              <w:top w:val="nil"/>
              <w:left w:val="nil"/>
              <w:bottom w:val="nil"/>
              <w:right w:val="nil"/>
            </w:tcBorders>
            <w:shd w:val="clear" w:color="auto" w:fill="auto"/>
            <w:vAlign w:val="bottom"/>
          </w:tcPr>
          <w:p w14:paraId="62A34FC3"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 xml:space="preserve">Corrected </w:t>
            </w:r>
            <w:r>
              <w:rPr>
                <w:rFonts w:eastAsia="Calibri" w:cs="Times New Roman"/>
                <w:color w:val="000000"/>
                <w:lang w:val="en-GB"/>
              </w:rPr>
              <w:t>calcium (mmol/l)</w:t>
            </w:r>
          </w:p>
        </w:tc>
        <w:tc>
          <w:tcPr>
            <w:tcW w:w="1586" w:type="dxa"/>
            <w:tcBorders>
              <w:top w:val="nil"/>
              <w:left w:val="nil"/>
              <w:bottom w:val="nil"/>
              <w:right w:val="nil"/>
            </w:tcBorders>
            <w:shd w:val="clear" w:color="auto" w:fill="auto"/>
            <w:vAlign w:val="bottom"/>
          </w:tcPr>
          <w:p w14:paraId="2E37C54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2.3 ±0.6</w:t>
            </w:r>
          </w:p>
        </w:tc>
        <w:tc>
          <w:tcPr>
            <w:tcW w:w="2115" w:type="dxa"/>
            <w:tcBorders>
              <w:top w:val="nil"/>
              <w:left w:val="nil"/>
              <w:bottom w:val="nil"/>
              <w:right w:val="nil"/>
            </w:tcBorders>
            <w:shd w:val="clear" w:color="auto" w:fill="auto"/>
            <w:vAlign w:val="bottom"/>
          </w:tcPr>
          <w:p w14:paraId="2C991688"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2.3 ±0.1</w:t>
            </w:r>
          </w:p>
        </w:tc>
        <w:tc>
          <w:tcPr>
            <w:tcW w:w="1480" w:type="dxa"/>
            <w:tcBorders>
              <w:top w:val="nil"/>
              <w:left w:val="nil"/>
              <w:bottom w:val="nil"/>
              <w:right w:val="nil"/>
            </w:tcBorders>
            <w:shd w:val="clear" w:color="auto" w:fill="auto"/>
            <w:vAlign w:val="bottom"/>
          </w:tcPr>
          <w:p w14:paraId="0802270B"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0.284</w:t>
            </w:r>
          </w:p>
        </w:tc>
      </w:tr>
      <w:tr w:rsidR="006A5028" w14:paraId="5F9669F0" w14:textId="77777777">
        <w:trPr>
          <w:trHeight w:val="326"/>
        </w:trPr>
        <w:tc>
          <w:tcPr>
            <w:tcW w:w="4019" w:type="dxa"/>
            <w:tcBorders>
              <w:top w:val="nil"/>
              <w:left w:val="nil"/>
              <w:bottom w:val="nil"/>
              <w:right w:val="nil"/>
            </w:tcBorders>
            <w:shd w:val="clear" w:color="auto" w:fill="auto"/>
            <w:vAlign w:val="bottom"/>
          </w:tcPr>
          <w:p w14:paraId="08017EE9"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phosphate mg/dl</w:t>
            </w:r>
          </w:p>
        </w:tc>
        <w:tc>
          <w:tcPr>
            <w:tcW w:w="1586" w:type="dxa"/>
            <w:tcBorders>
              <w:top w:val="nil"/>
              <w:left w:val="nil"/>
              <w:bottom w:val="nil"/>
              <w:right w:val="nil"/>
            </w:tcBorders>
            <w:shd w:val="clear" w:color="auto" w:fill="auto"/>
            <w:vAlign w:val="bottom"/>
          </w:tcPr>
          <w:p w14:paraId="3C6E708F"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1.3 ±0.3</w:t>
            </w:r>
          </w:p>
        </w:tc>
        <w:tc>
          <w:tcPr>
            <w:tcW w:w="2115" w:type="dxa"/>
            <w:tcBorders>
              <w:top w:val="nil"/>
              <w:left w:val="nil"/>
              <w:bottom w:val="nil"/>
              <w:right w:val="nil"/>
            </w:tcBorders>
            <w:shd w:val="clear" w:color="auto" w:fill="auto"/>
            <w:vAlign w:val="bottom"/>
          </w:tcPr>
          <w:p w14:paraId="73E0F576"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1.4 ±0.3</w:t>
            </w:r>
          </w:p>
        </w:tc>
        <w:tc>
          <w:tcPr>
            <w:tcW w:w="1480" w:type="dxa"/>
            <w:tcBorders>
              <w:top w:val="nil"/>
              <w:left w:val="nil"/>
              <w:bottom w:val="nil"/>
              <w:right w:val="nil"/>
            </w:tcBorders>
            <w:shd w:val="clear" w:color="auto" w:fill="auto"/>
            <w:vAlign w:val="bottom"/>
          </w:tcPr>
          <w:p w14:paraId="1835B611"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0.497</w:t>
            </w:r>
          </w:p>
        </w:tc>
      </w:tr>
      <w:tr w:rsidR="006A5028" w14:paraId="385C2944" w14:textId="77777777">
        <w:trPr>
          <w:trHeight w:val="326"/>
        </w:trPr>
        <w:tc>
          <w:tcPr>
            <w:tcW w:w="4019" w:type="dxa"/>
            <w:tcBorders>
              <w:top w:val="nil"/>
              <w:left w:val="nil"/>
              <w:bottom w:val="nil"/>
              <w:right w:val="nil"/>
            </w:tcBorders>
            <w:shd w:val="clear" w:color="auto" w:fill="auto"/>
            <w:vAlign w:val="bottom"/>
          </w:tcPr>
          <w:p w14:paraId="286B0C2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creatinine umol/L</w:t>
            </w:r>
          </w:p>
        </w:tc>
        <w:tc>
          <w:tcPr>
            <w:tcW w:w="1586" w:type="dxa"/>
            <w:tcBorders>
              <w:top w:val="nil"/>
              <w:left w:val="nil"/>
              <w:bottom w:val="nil"/>
              <w:right w:val="nil"/>
            </w:tcBorders>
            <w:shd w:val="clear" w:color="auto" w:fill="auto"/>
            <w:vAlign w:val="bottom"/>
          </w:tcPr>
          <w:p w14:paraId="2DBD3611"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74.2 ±17.7</w:t>
            </w:r>
          </w:p>
        </w:tc>
        <w:tc>
          <w:tcPr>
            <w:tcW w:w="2115" w:type="dxa"/>
            <w:tcBorders>
              <w:top w:val="nil"/>
              <w:left w:val="nil"/>
              <w:bottom w:val="nil"/>
              <w:right w:val="nil"/>
            </w:tcBorders>
            <w:shd w:val="clear" w:color="auto" w:fill="auto"/>
            <w:vAlign w:val="bottom"/>
          </w:tcPr>
          <w:p w14:paraId="4ECFE91D"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74.8 ±10.5</w:t>
            </w:r>
          </w:p>
        </w:tc>
        <w:tc>
          <w:tcPr>
            <w:tcW w:w="1480" w:type="dxa"/>
            <w:tcBorders>
              <w:top w:val="nil"/>
              <w:left w:val="nil"/>
              <w:bottom w:val="nil"/>
              <w:right w:val="nil"/>
            </w:tcBorders>
            <w:shd w:val="clear" w:color="auto" w:fill="auto"/>
            <w:vAlign w:val="bottom"/>
          </w:tcPr>
          <w:p w14:paraId="192EED8E"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0.0001*</w:t>
            </w:r>
          </w:p>
        </w:tc>
      </w:tr>
      <w:tr w:rsidR="006A5028" w14:paraId="65423E57" w14:textId="77777777">
        <w:trPr>
          <w:trHeight w:val="326"/>
        </w:trPr>
        <w:tc>
          <w:tcPr>
            <w:tcW w:w="4019" w:type="dxa"/>
            <w:tcBorders>
              <w:top w:val="nil"/>
              <w:left w:val="nil"/>
              <w:bottom w:val="nil"/>
              <w:right w:val="nil"/>
            </w:tcBorders>
            <w:shd w:val="clear" w:color="auto" w:fill="auto"/>
            <w:vAlign w:val="bottom"/>
          </w:tcPr>
          <w:p w14:paraId="42A7F6E3"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Total cholesterol (mmol/l)</w:t>
            </w:r>
          </w:p>
        </w:tc>
        <w:tc>
          <w:tcPr>
            <w:tcW w:w="1586" w:type="dxa"/>
            <w:tcBorders>
              <w:top w:val="nil"/>
              <w:left w:val="nil"/>
              <w:bottom w:val="nil"/>
              <w:right w:val="nil"/>
            </w:tcBorders>
            <w:shd w:val="clear" w:color="auto" w:fill="auto"/>
            <w:vAlign w:val="bottom"/>
          </w:tcPr>
          <w:p w14:paraId="40B72C7F"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4.3 ±0.9</w:t>
            </w:r>
          </w:p>
        </w:tc>
        <w:tc>
          <w:tcPr>
            <w:tcW w:w="2115" w:type="dxa"/>
            <w:tcBorders>
              <w:top w:val="nil"/>
              <w:left w:val="nil"/>
              <w:bottom w:val="nil"/>
              <w:right w:val="nil"/>
            </w:tcBorders>
            <w:shd w:val="clear" w:color="auto" w:fill="auto"/>
            <w:vAlign w:val="bottom"/>
          </w:tcPr>
          <w:p w14:paraId="4E32C94C"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4.9 ±0.6</w:t>
            </w:r>
          </w:p>
        </w:tc>
        <w:tc>
          <w:tcPr>
            <w:tcW w:w="1480" w:type="dxa"/>
            <w:tcBorders>
              <w:top w:val="nil"/>
              <w:left w:val="nil"/>
              <w:bottom w:val="nil"/>
              <w:right w:val="nil"/>
            </w:tcBorders>
            <w:shd w:val="clear" w:color="auto" w:fill="auto"/>
            <w:vAlign w:val="bottom"/>
          </w:tcPr>
          <w:p w14:paraId="0D613531"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0.0001*</w:t>
            </w:r>
          </w:p>
        </w:tc>
      </w:tr>
      <w:tr w:rsidR="006A5028" w14:paraId="10BBD9E2" w14:textId="77777777">
        <w:trPr>
          <w:trHeight w:val="326"/>
        </w:trPr>
        <w:tc>
          <w:tcPr>
            <w:tcW w:w="4019" w:type="dxa"/>
            <w:tcBorders>
              <w:top w:val="nil"/>
              <w:left w:val="nil"/>
              <w:bottom w:val="nil"/>
              <w:right w:val="nil"/>
            </w:tcBorders>
            <w:shd w:val="clear" w:color="auto" w:fill="auto"/>
            <w:vAlign w:val="bottom"/>
          </w:tcPr>
          <w:p w14:paraId="395E6985"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HDL Cholesterol (mmol/l)</w:t>
            </w:r>
          </w:p>
        </w:tc>
        <w:tc>
          <w:tcPr>
            <w:tcW w:w="1586" w:type="dxa"/>
            <w:tcBorders>
              <w:top w:val="nil"/>
              <w:left w:val="nil"/>
              <w:bottom w:val="nil"/>
              <w:right w:val="nil"/>
            </w:tcBorders>
            <w:shd w:val="clear" w:color="auto" w:fill="auto"/>
            <w:vAlign w:val="bottom"/>
          </w:tcPr>
          <w:p w14:paraId="7602EBF4"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0.9 ±0.2</w:t>
            </w:r>
          </w:p>
        </w:tc>
        <w:tc>
          <w:tcPr>
            <w:tcW w:w="2115" w:type="dxa"/>
            <w:tcBorders>
              <w:top w:val="nil"/>
              <w:left w:val="nil"/>
              <w:bottom w:val="nil"/>
              <w:right w:val="nil"/>
            </w:tcBorders>
            <w:shd w:val="clear" w:color="auto" w:fill="auto"/>
            <w:vAlign w:val="bottom"/>
          </w:tcPr>
          <w:p w14:paraId="6922EB45"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 ±0.2</w:t>
            </w:r>
          </w:p>
        </w:tc>
        <w:tc>
          <w:tcPr>
            <w:tcW w:w="1480" w:type="dxa"/>
            <w:tcBorders>
              <w:top w:val="nil"/>
              <w:left w:val="nil"/>
              <w:bottom w:val="nil"/>
              <w:right w:val="nil"/>
            </w:tcBorders>
            <w:shd w:val="clear" w:color="auto" w:fill="auto"/>
            <w:vAlign w:val="bottom"/>
          </w:tcPr>
          <w:p w14:paraId="7BA8AB2D"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0.126</w:t>
            </w:r>
          </w:p>
        </w:tc>
      </w:tr>
      <w:tr w:rsidR="006A5028" w14:paraId="66807CDC" w14:textId="77777777">
        <w:trPr>
          <w:trHeight w:val="326"/>
        </w:trPr>
        <w:tc>
          <w:tcPr>
            <w:tcW w:w="4019" w:type="dxa"/>
            <w:tcBorders>
              <w:top w:val="nil"/>
              <w:left w:val="nil"/>
              <w:bottom w:val="nil"/>
              <w:right w:val="nil"/>
            </w:tcBorders>
            <w:shd w:val="clear" w:color="auto" w:fill="auto"/>
            <w:vAlign w:val="bottom"/>
          </w:tcPr>
          <w:p w14:paraId="11A2626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 xml:space="preserve">LDL </w:t>
            </w:r>
            <w:r>
              <w:rPr>
                <w:rFonts w:eastAsia="Calibri" w:cs="Times New Roman"/>
                <w:color w:val="000000"/>
                <w:lang w:val="en-GB"/>
              </w:rPr>
              <w:t>Cholesterol (mmol/l)</w:t>
            </w:r>
          </w:p>
        </w:tc>
        <w:tc>
          <w:tcPr>
            <w:tcW w:w="1586" w:type="dxa"/>
            <w:tcBorders>
              <w:top w:val="nil"/>
              <w:left w:val="nil"/>
              <w:bottom w:val="nil"/>
              <w:right w:val="nil"/>
            </w:tcBorders>
            <w:shd w:val="clear" w:color="auto" w:fill="auto"/>
            <w:vAlign w:val="bottom"/>
          </w:tcPr>
          <w:p w14:paraId="1DA514AF"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2.7 ±0.7</w:t>
            </w:r>
          </w:p>
        </w:tc>
        <w:tc>
          <w:tcPr>
            <w:tcW w:w="2115" w:type="dxa"/>
            <w:tcBorders>
              <w:top w:val="nil"/>
              <w:left w:val="nil"/>
              <w:bottom w:val="nil"/>
              <w:right w:val="nil"/>
            </w:tcBorders>
            <w:shd w:val="clear" w:color="auto" w:fill="auto"/>
            <w:vAlign w:val="bottom"/>
          </w:tcPr>
          <w:p w14:paraId="61173133"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3.2 ±0.6</w:t>
            </w:r>
          </w:p>
        </w:tc>
        <w:tc>
          <w:tcPr>
            <w:tcW w:w="1480" w:type="dxa"/>
            <w:tcBorders>
              <w:top w:val="nil"/>
              <w:left w:val="nil"/>
              <w:bottom w:val="nil"/>
              <w:right w:val="nil"/>
            </w:tcBorders>
            <w:shd w:val="clear" w:color="auto" w:fill="auto"/>
            <w:vAlign w:val="bottom"/>
          </w:tcPr>
          <w:p w14:paraId="51C75123"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0.279</w:t>
            </w:r>
          </w:p>
        </w:tc>
      </w:tr>
      <w:tr w:rsidR="006A5028" w14:paraId="2A999065" w14:textId="77777777">
        <w:trPr>
          <w:trHeight w:val="326"/>
        </w:trPr>
        <w:tc>
          <w:tcPr>
            <w:tcW w:w="4019" w:type="dxa"/>
            <w:tcBorders>
              <w:top w:val="nil"/>
              <w:left w:val="nil"/>
              <w:right w:val="nil"/>
            </w:tcBorders>
            <w:shd w:val="clear" w:color="auto" w:fill="auto"/>
            <w:vAlign w:val="bottom"/>
          </w:tcPr>
          <w:p w14:paraId="6A42F94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Triglycerides (mmol/l)</w:t>
            </w:r>
          </w:p>
        </w:tc>
        <w:tc>
          <w:tcPr>
            <w:tcW w:w="1586" w:type="dxa"/>
            <w:tcBorders>
              <w:top w:val="nil"/>
              <w:left w:val="nil"/>
              <w:right w:val="nil"/>
            </w:tcBorders>
            <w:shd w:val="clear" w:color="auto" w:fill="auto"/>
            <w:vAlign w:val="bottom"/>
          </w:tcPr>
          <w:p w14:paraId="2661440D"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1.4 ±0.6</w:t>
            </w:r>
          </w:p>
        </w:tc>
        <w:tc>
          <w:tcPr>
            <w:tcW w:w="2115" w:type="dxa"/>
            <w:tcBorders>
              <w:top w:val="nil"/>
              <w:left w:val="nil"/>
              <w:right w:val="nil"/>
            </w:tcBorders>
            <w:shd w:val="clear" w:color="auto" w:fill="auto"/>
            <w:vAlign w:val="bottom"/>
          </w:tcPr>
          <w:p w14:paraId="7C7C6FD9"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1.5 ±0.4</w:t>
            </w:r>
          </w:p>
        </w:tc>
        <w:tc>
          <w:tcPr>
            <w:tcW w:w="1480" w:type="dxa"/>
            <w:tcBorders>
              <w:top w:val="nil"/>
              <w:left w:val="nil"/>
              <w:right w:val="nil"/>
            </w:tcBorders>
            <w:shd w:val="clear" w:color="auto" w:fill="auto"/>
            <w:vAlign w:val="bottom"/>
          </w:tcPr>
          <w:p w14:paraId="4CDBE2D3"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0.0001*</w:t>
            </w:r>
          </w:p>
        </w:tc>
      </w:tr>
      <w:tr w:rsidR="006A5028" w14:paraId="3991CA59" w14:textId="77777777">
        <w:trPr>
          <w:trHeight w:val="326"/>
        </w:trPr>
        <w:tc>
          <w:tcPr>
            <w:tcW w:w="4019" w:type="dxa"/>
            <w:tcBorders>
              <w:top w:val="nil"/>
              <w:left w:val="nil"/>
              <w:bottom w:val="single" w:sz="4" w:space="0" w:color="auto"/>
              <w:right w:val="nil"/>
            </w:tcBorders>
            <w:shd w:val="clear" w:color="auto" w:fill="auto"/>
            <w:vAlign w:val="bottom"/>
          </w:tcPr>
          <w:p w14:paraId="60454111"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eGFR</w:t>
            </w:r>
          </w:p>
        </w:tc>
        <w:tc>
          <w:tcPr>
            <w:tcW w:w="1586" w:type="dxa"/>
            <w:tcBorders>
              <w:top w:val="nil"/>
              <w:left w:val="nil"/>
              <w:bottom w:val="single" w:sz="4" w:space="0" w:color="auto"/>
              <w:right w:val="nil"/>
            </w:tcBorders>
            <w:shd w:val="clear" w:color="auto" w:fill="auto"/>
            <w:vAlign w:val="bottom"/>
          </w:tcPr>
          <w:p w14:paraId="5BDE02DD"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99.2 ±19.7</w:t>
            </w:r>
          </w:p>
        </w:tc>
        <w:tc>
          <w:tcPr>
            <w:tcW w:w="2115" w:type="dxa"/>
            <w:tcBorders>
              <w:top w:val="nil"/>
              <w:left w:val="nil"/>
              <w:bottom w:val="single" w:sz="4" w:space="0" w:color="auto"/>
              <w:right w:val="nil"/>
            </w:tcBorders>
            <w:shd w:val="clear" w:color="auto" w:fill="auto"/>
            <w:vAlign w:val="bottom"/>
          </w:tcPr>
          <w:p w14:paraId="6F20C26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101.8 ±17.4</w:t>
            </w:r>
          </w:p>
        </w:tc>
        <w:tc>
          <w:tcPr>
            <w:tcW w:w="1480" w:type="dxa"/>
            <w:tcBorders>
              <w:top w:val="nil"/>
              <w:left w:val="nil"/>
              <w:bottom w:val="single" w:sz="4" w:space="0" w:color="auto"/>
              <w:right w:val="nil"/>
            </w:tcBorders>
            <w:shd w:val="clear" w:color="auto" w:fill="auto"/>
            <w:vAlign w:val="bottom"/>
          </w:tcPr>
          <w:p w14:paraId="56CE0B3B"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0.109</w:t>
            </w:r>
          </w:p>
        </w:tc>
      </w:tr>
    </w:tbl>
    <w:p w14:paraId="5032EBB5" w14:textId="702F1A27" w:rsidR="00F60CB5" w:rsidRPr="00F60CB5" w:rsidRDefault="00F60CB5" w:rsidP="00F60CB5">
      <w:pPr>
        <w:pStyle w:val="NoSpacing"/>
        <w:rPr>
          <w:i/>
          <w:iCs/>
          <w:sz w:val="18"/>
          <w:szCs w:val="18"/>
          <w:lang w:val="en-GB"/>
        </w:rPr>
      </w:pPr>
      <w:bookmarkStart w:id="2" w:name="_Hlk193868404"/>
      <w:r w:rsidRPr="00F60CB5">
        <w:rPr>
          <w:i/>
          <w:iCs/>
          <w:sz w:val="18"/>
          <w:szCs w:val="18"/>
          <w:lang w:val="en-GB"/>
        </w:rPr>
        <w:t>HbA1c- Glycated haemoglobin, DFU- diabetic foot ulcer, eGFR- estimated glomerular filtration rate, HDL- high</w:t>
      </w:r>
      <w:r w:rsidR="00707399">
        <w:rPr>
          <w:i/>
          <w:iCs/>
          <w:sz w:val="18"/>
          <w:szCs w:val="18"/>
          <w:lang w:val="en-GB"/>
        </w:rPr>
        <w:t xml:space="preserve"> </w:t>
      </w:r>
      <w:r w:rsidRPr="00F60CB5">
        <w:rPr>
          <w:i/>
          <w:iCs/>
          <w:sz w:val="18"/>
          <w:szCs w:val="18"/>
          <w:lang w:val="en-GB"/>
        </w:rPr>
        <w:t>density lipoprotein, LDL- low density lipoprotein</w:t>
      </w:r>
      <w:r w:rsidR="00707399">
        <w:rPr>
          <w:i/>
          <w:iCs/>
          <w:sz w:val="18"/>
          <w:szCs w:val="18"/>
          <w:lang w:val="en-GB"/>
        </w:rPr>
        <w:t>, SD- Standard deviation</w:t>
      </w:r>
    </w:p>
    <w:p w14:paraId="290C9219" w14:textId="33BC0C5C" w:rsidR="006A5028" w:rsidRPr="00F60CB5" w:rsidRDefault="00B33296" w:rsidP="00F60CB5">
      <w:pPr>
        <w:pStyle w:val="NoSpacing"/>
        <w:rPr>
          <w:i/>
          <w:iCs/>
          <w:sz w:val="18"/>
          <w:szCs w:val="18"/>
          <w:lang w:val="en-GB"/>
        </w:rPr>
      </w:pPr>
      <w:r w:rsidRPr="00F60CB5">
        <w:rPr>
          <w:i/>
          <w:iCs/>
          <w:sz w:val="18"/>
          <w:szCs w:val="18"/>
          <w:lang w:val="en-GB"/>
        </w:rPr>
        <w:t>* statistically significant (p&lt;0.05)</w:t>
      </w:r>
    </w:p>
    <w:bookmarkEnd w:id="2"/>
    <w:p w14:paraId="624D93C9" w14:textId="77777777" w:rsidR="006A5028" w:rsidRDefault="006A5028">
      <w:pPr>
        <w:spacing w:line="360" w:lineRule="auto"/>
        <w:rPr>
          <w:b/>
          <w:bCs/>
          <w:lang w:val="en-GB"/>
        </w:rPr>
      </w:pPr>
    </w:p>
    <w:p w14:paraId="044760CA" w14:textId="77777777" w:rsidR="00B8690E" w:rsidRDefault="00B8690E">
      <w:pPr>
        <w:spacing w:line="360" w:lineRule="auto"/>
        <w:rPr>
          <w:b/>
          <w:bCs/>
          <w:lang w:val="en-GB"/>
        </w:rPr>
      </w:pPr>
    </w:p>
    <w:p w14:paraId="0A9249EE" w14:textId="77777777" w:rsidR="00B8690E" w:rsidRDefault="00B8690E">
      <w:pPr>
        <w:spacing w:line="360" w:lineRule="auto"/>
        <w:rPr>
          <w:b/>
          <w:bCs/>
          <w:lang w:val="en-GB"/>
        </w:rPr>
      </w:pPr>
    </w:p>
    <w:p w14:paraId="6F36AD00" w14:textId="77777777" w:rsidR="00B8690E" w:rsidRDefault="00B8690E">
      <w:pPr>
        <w:spacing w:line="360" w:lineRule="auto"/>
        <w:rPr>
          <w:b/>
          <w:bCs/>
          <w:lang w:val="en-GB"/>
        </w:rPr>
      </w:pPr>
    </w:p>
    <w:p w14:paraId="1E801CB5" w14:textId="77777777" w:rsidR="00B8690E" w:rsidRDefault="00B8690E">
      <w:pPr>
        <w:spacing w:line="360" w:lineRule="auto"/>
        <w:rPr>
          <w:b/>
          <w:bCs/>
          <w:lang w:val="en-GB"/>
        </w:rPr>
      </w:pPr>
    </w:p>
    <w:p w14:paraId="4FE74C29" w14:textId="77777777" w:rsidR="00B8690E" w:rsidRDefault="00B8690E">
      <w:pPr>
        <w:spacing w:line="360" w:lineRule="auto"/>
        <w:rPr>
          <w:b/>
          <w:bCs/>
          <w:lang w:val="en-GB"/>
        </w:rPr>
      </w:pPr>
    </w:p>
    <w:p w14:paraId="7917B1D5" w14:textId="77777777" w:rsidR="00B8690E" w:rsidRDefault="00B8690E">
      <w:pPr>
        <w:spacing w:line="360" w:lineRule="auto"/>
        <w:rPr>
          <w:b/>
          <w:bCs/>
          <w:lang w:val="en-GB"/>
        </w:rPr>
      </w:pPr>
    </w:p>
    <w:p w14:paraId="552B6387" w14:textId="7571DECF" w:rsidR="006A5028" w:rsidRDefault="00B33296">
      <w:pPr>
        <w:spacing w:line="360" w:lineRule="auto"/>
        <w:jc w:val="both"/>
        <w:rPr>
          <w:rFonts w:cs="Times New Roman"/>
          <w:lang w:val="en-GB"/>
        </w:rPr>
      </w:pPr>
      <w:r>
        <w:rPr>
          <w:rFonts w:cs="Times New Roman"/>
          <w:lang w:val="en-GB"/>
        </w:rPr>
        <w:t xml:space="preserve">Figure </w:t>
      </w:r>
      <w:r w:rsidR="00696FE4">
        <w:rPr>
          <w:rFonts w:cs="Times New Roman"/>
          <w:lang w:val="en-GB"/>
        </w:rPr>
        <w:t xml:space="preserve">1 </w:t>
      </w:r>
      <w:r>
        <w:rPr>
          <w:rFonts w:cs="Times New Roman"/>
          <w:lang w:val="en-GB"/>
        </w:rPr>
        <w:t>below shows that 76 (43.2%) of all study participants (persons with DFU and no DFU) had sufficient Vitamin D levels and 69 (39.2%) of all</w:t>
      </w:r>
      <w:r>
        <w:rPr>
          <w:rFonts w:cs="Times New Roman"/>
          <w:lang w:val="en-GB"/>
        </w:rPr>
        <w:t xml:space="preserve"> study participants has deficient Vitamin D levels and 31 (17.6%) has insufficient vitamin D levels. </w:t>
      </w:r>
    </w:p>
    <w:p w14:paraId="7C962641" w14:textId="77777777" w:rsidR="006A5028" w:rsidRDefault="00B33296">
      <w:pPr>
        <w:spacing w:line="360" w:lineRule="auto"/>
        <w:ind w:left="180"/>
        <w:rPr>
          <w:rFonts w:cs="Times New Roman"/>
          <w:b/>
          <w:bCs/>
          <w:lang w:val="en-GB"/>
        </w:rPr>
      </w:pPr>
      <w:r>
        <w:rPr>
          <w:noProof/>
        </w:rPr>
        <w:lastRenderedPageBreak/>
        <mc:AlternateContent>
          <mc:Choice Requires="wps">
            <w:drawing>
              <wp:anchor distT="0" distB="0" distL="114300" distR="114300" simplePos="0" relativeHeight="3" behindDoc="0" locked="0" layoutInCell="1" allowOverlap="1" wp14:anchorId="3BB76073" wp14:editId="04FBE583">
                <wp:simplePos x="0" y="0"/>
                <wp:positionH relativeFrom="column">
                  <wp:posOffset>490220</wp:posOffset>
                </wp:positionH>
                <wp:positionV relativeFrom="paragraph">
                  <wp:posOffset>3193415</wp:posOffset>
                </wp:positionV>
                <wp:extent cx="4823460" cy="635"/>
                <wp:effectExtent l="0" t="0" r="0" b="0"/>
                <wp:wrapThrough wrapText="bothSides">
                  <wp:wrapPolygon edited="0">
                    <wp:start x="0" y="0"/>
                    <wp:lineTo x="0" y="21600"/>
                    <wp:lineTo x="21600" y="21600"/>
                    <wp:lineTo x="21600" y="0"/>
                  </wp:wrapPolygon>
                </wp:wrapThrough>
                <wp:docPr id="10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3460" cy="635"/>
                        </a:xfrm>
                        <a:prstGeom prst="rect">
                          <a:avLst/>
                        </a:prstGeom>
                        <a:solidFill>
                          <a:srgbClr val="FFFFFF"/>
                        </a:solidFill>
                        <a:ln>
                          <a:noFill/>
                        </a:ln>
                      </wps:spPr>
                      <wps:txbx>
                        <w:txbxContent>
                          <w:p w14:paraId="5385866E" w14:textId="7C464EDC" w:rsidR="006A5028" w:rsidRDefault="00B33296">
                            <w:pPr>
                              <w:pStyle w:val="Caption"/>
                              <w:rPr>
                                <w:rFonts w:cs="Times New Roman"/>
                                <w:noProof/>
                                <w:lang w:val="en-US"/>
                              </w:rPr>
                            </w:pPr>
                            <w:r>
                              <w:t xml:space="preserve">Figure </w:t>
                            </w:r>
                            <w:r>
                              <w:fldChar w:fldCharType="begin"/>
                            </w:r>
                            <w:r>
                              <w:instrText xml:space="preserve"> SEQ Figure \* ARABIC </w:instrText>
                            </w:r>
                            <w:r>
                              <w:fldChar w:fldCharType="separate"/>
                            </w:r>
                            <w:r w:rsidR="00CF3D7D">
                              <w:rPr>
                                <w:noProof/>
                              </w:rPr>
                              <w:t>1</w:t>
                            </w:r>
                            <w:r>
                              <w:rPr>
                                <w:noProof/>
                              </w:rPr>
                              <w:fldChar w:fldCharType="end"/>
                            </w:r>
                            <w:r>
                              <w:t>: Pattern of Hydroxyvitamin D levels in type 2 DM</w:t>
                            </w:r>
                          </w:p>
                        </w:txbxContent>
                      </wps:txbx>
                      <wps:bodyPr vert="horz" wrap="square" lIns="0" tIns="0" rIns="0" bIns="0" anchor="t">
                        <a:prstTxWarp prst="textNoShape">
                          <a:avLst/>
                        </a:prstTxWarp>
                        <a:spAutoFit/>
                      </wps:bodyPr>
                    </wps:wsp>
                  </a:graphicData>
                </a:graphic>
              </wp:anchor>
            </w:drawing>
          </mc:Choice>
          <mc:Fallback>
            <w:pict>
              <v:rect w14:anchorId="3BB76073" id="Text Box 1" o:spid="_x0000_s1026" style="position:absolute;left:0;text-align:left;margin-left:38.6pt;margin-top:251.45pt;width:379.8pt;height:.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" stroked="f">
                <v:textbox style="mso-fit-shape-to-text:t" inset="0,0,0,0">
                  <w:txbxContent>
                    <w:p w14:paraId="5385866E" w14:textId="7C464EDC" w:rsidR="006A5028" w:rsidRDefault="00B33296">
                      <w:pPr>
                        <w:pStyle w:val="Caption"/>
                        <w:rPr>
                          <w:rFonts w:cs="Times New Roman"/>
                          <w:noProof/>
                          <w:lang w:val="en-US"/>
                        </w:rPr>
                      </w:pPr>
                      <w:r>
                        <w:t xml:space="preserve">Figure </w:t>
                      </w:r>
                      <w:r>
                        <w:fldChar w:fldCharType="begin"/>
                      </w:r>
                      <w:r>
                        <w:instrText xml:space="preserve"> SEQ Figure \* ARABIC </w:instrText>
                      </w:r>
                      <w:r>
                        <w:fldChar w:fldCharType="separate"/>
                      </w:r>
                      <w:r w:rsidR="00CF3D7D">
                        <w:rPr>
                          <w:noProof/>
                        </w:rPr>
                        <w:t>1</w:t>
                      </w:r>
                      <w:r>
                        <w:rPr>
                          <w:noProof/>
                        </w:rPr>
                        <w:fldChar w:fldCharType="end"/>
                      </w:r>
                      <w:r>
                        <w:t>: Pattern of Hydroxyvitamin D levels in type 2 DM</w:t>
                      </w:r>
                    </w:p>
                  </w:txbxContent>
                </v:textbox>
                <w10:wrap type="through"/>
              </v:rect>
            </w:pict>
          </mc:Fallback>
        </mc:AlternateContent>
      </w:r>
      <w:r>
        <w:rPr>
          <w:rFonts w:cs="Times New Roman"/>
          <w:noProof/>
        </w:rPr>
        <w:drawing>
          <wp:anchor distT="0" distB="0" distL="114300" distR="114300" simplePos="0" relativeHeight="2" behindDoc="0" locked="0" layoutInCell="1" allowOverlap="1" wp14:anchorId="4EA07BE0" wp14:editId="7DBD1D6F">
            <wp:simplePos x="0" y="0"/>
            <wp:positionH relativeFrom="column">
              <wp:posOffset>490220</wp:posOffset>
            </wp:positionH>
            <wp:positionV relativeFrom="paragraph">
              <wp:posOffset>181610</wp:posOffset>
            </wp:positionV>
            <wp:extent cx="4823460" cy="2954655"/>
            <wp:effectExtent l="0" t="0" r="0" b="0"/>
            <wp:wrapThrough wrapText="bothSides">
              <wp:wrapPolygon edited="0">
                <wp:start x="0" y="0"/>
                <wp:lineTo x="0" y="21586"/>
                <wp:lineTo x="21583" y="21586"/>
                <wp:lineTo x="21583" y="0"/>
                <wp:lineTo x="0" y="0"/>
              </wp:wrapPolygon>
            </wp:wrapThrough>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7468141" w14:textId="77777777" w:rsidR="006A5028" w:rsidRDefault="006A5028">
      <w:pPr>
        <w:spacing w:line="360" w:lineRule="auto"/>
        <w:ind w:left="180"/>
        <w:rPr>
          <w:rFonts w:cs="Times New Roman"/>
          <w:b/>
          <w:bCs/>
          <w:lang w:val="en-GB"/>
        </w:rPr>
      </w:pPr>
    </w:p>
    <w:p w14:paraId="56D954FB" w14:textId="77777777" w:rsidR="006A5028" w:rsidRDefault="006A5028">
      <w:pPr>
        <w:spacing w:line="360" w:lineRule="auto"/>
        <w:ind w:left="180"/>
        <w:rPr>
          <w:rFonts w:cs="Times New Roman"/>
          <w:b/>
          <w:bCs/>
          <w:lang w:val="en-GB"/>
        </w:rPr>
      </w:pPr>
    </w:p>
    <w:p w14:paraId="6A9E0E21" w14:textId="77777777" w:rsidR="006A5028" w:rsidRDefault="006A5028">
      <w:pPr>
        <w:spacing w:line="360" w:lineRule="auto"/>
        <w:ind w:left="180"/>
        <w:rPr>
          <w:rFonts w:cs="Times New Roman"/>
          <w:lang w:val="en-GB"/>
        </w:rPr>
      </w:pPr>
    </w:p>
    <w:p w14:paraId="4C90E5DF" w14:textId="77777777" w:rsidR="006A5028" w:rsidRDefault="006A5028">
      <w:pPr>
        <w:spacing w:line="360" w:lineRule="auto"/>
        <w:ind w:left="180"/>
        <w:rPr>
          <w:rFonts w:cs="Times New Roman"/>
          <w:lang w:val="en-GB"/>
        </w:rPr>
      </w:pPr>
    </w:p>
    <w:p w14:paraId="6DCF8CB4" w14:textId="77777777" w:rsidR="006A5028" w:rsidRDefault="006A5028">
      <w:pPr>
        <w:spacing w:line="360" w:lineRule="auto"/>
        <w:ind w:left="180"/>
        <w:rPr>
          <w:rFonts w:cs="Times New Roman"/>
          <w:lang w:val="en-GB"/>
        </w:rPr>
      </w:pPr>
    </w:p>
    <w:p w14:paraId="4E55B66C" w14:textId="77777777" w:rsidR="006A5028" w:rsidRDefault="006A5028">
      <w:pPr>
        <w:spacing w:line="360" w:lineRule="auto"/>
        <w:ind w:left="180"/>
        <w:rPr>
          <w:rFonts w:cs="Times New Roman"/>
          <w:lang w:val="en-GB"/>
        </w:rPr>
      </w:pPr>
    </w:p>
    <w:p w14:paraId="49442FC4" w14:textId="77777777" w:rsidR="006A5028" w:rsidRDefault="006A5028">
      <w:pPr>
        <w:spacing w:line="360" w:lineRule="auto"/>
        <w:ind w:left="180"/>
        <w:rPr>
          <w:rFonts w:cs="Times New Roman"/>
          <w:lang w:val="en-GB"/>
        </w:rPr>
      </w:pPr>
    </w:p>
    <w:p w14:paraId="57E94692" w14:textId="77777777" w:rsidR="006A5028" w:rsidRDefault="006A5028">
      <w:pPr>
        <w:spacing w:line="360" w:lineRule="auto"/>
        <w:ind w:left="180"/>
        <w:rPr>
          <w:rFonts w:cs="Times New Roman"/>
          <w:lang w:val="en-GB"/>
        </w:rPr>
      </w:pPr>
    </w:p>
    <w:p w14:paraId="45640076" w14:textId="77777777" w:rsidR="00B8690E" w:rsidRDefault="00B8690E">
      <w:pPr>
        <w:spacing w:line="360" w:lineRule="auto"/>
        <w:jc w:val="both"/>
      </w:pPr>
    </w:p>
    <w:p w14:paraId="4EC7E458" w14:textId="77777777" w:rsidR="00B8690E" w:rsidRDefault="00B8690E">
      <w:pPr>
        <w:spacing w:line="360" w:lineRule="auto"/>
        <w:jc w:val="both"/>
      </w:pPr>
    </w:p>
    <w:p w14:paraId="2B453D1C" w14:textId="287294EC" w:rsidR="006A5028" w:rsidRDefault="00B33296">
      <w:pPr>
        <w:spacing w:line="360" w:lineRule="auto"/>
        <w:jc w:val="both"/>
      </w:pPr>
      <w:r>
        <w:t>Table 3 indicates a notable contrast in vitamin D levels</w:t>
      </w:r>
      <w:r>
        <w:t xml:space="preserve"> between individuals with diabetic foot ulcers (cases) and those without (controls). A significant majority of controls (70.45%) possessed sufficient levels of vitamin D, whereas only a minority of cases (15.91%) fell within this category (χ² = 71.83, p &lt; </w:t>
      </w:r>
      <w:r>
        <w:t>0.0001). Conversely, a substantial portion of cases (69.32%) were deficient in vitamin D, in stark contrast to controls (9.09%). Although there were minor variations in the prevalence of insufficient vitamin D levels, with cases at 14.77% and controls at 2</w:t>
      </w:r>
      <w:r>
        <w:t>0.45%, the overarching trend underscores a strong association between deficient vitamin D levels and the occurrence of diabetic foot ulcers.</w:t>
      </w:r>
    </w:p>
    <w:p w14:paraId="15DD8746" w14:textId="77777777" w:rsidR="005642C5" w:rsidRDefault="005642C5">
      <w:pPr>
        <w:spacing w:line="360" w:lineRule="auto"/>
        <w:jc w:val="both"/>
      </w:pPr>
    </w:p>
    <w:p w14:paraId="5766C1A5" w14:textId="77777777" w:rsidR="005642C5" w:rsidRDefault="005642C5">
      <w:pPr>
        <w:spacing w:line="360" w:lineRule="auto"/>
        <w:jc w:val="both"/>
      </w:pPr>
    </w:p>
    <w:p w14:paraId="1A462E7F" w14:textId="5BC2016E"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3</w:t>
      </w:r>
      <w:r>
        <w:rPr>
          <w:rFonts w:ascii="Aptos" w:hAnsi="Aptos"/>
          <w:sz w:val="22"/>
          <w:szCs w:val="22"/>
        </w:rPr>
        <w:fldChar w:fldCharType="end"/>
      </w:r>
      <w:r>
        <w:rPr>
          <w:rFonts w:ascii="Aptos" w:hAnsi="Aptos"/>
          <w:sz w:val="22"/>
          <w:szCs w:val="22"/>
        </w:rPr>
        <w:t>: Pattern of Hydroxyvitamin D levels in Study Participants</w:t>
      </w:r>
    </w:p>
    <w:tbl>
      <w:tblPr>
        <w:tblW w:w="7492" w:type="dxa"/>
        <w:tblLook w:val="04A0" w:firstRow="1" w:lastRow="0" w:firstColumn="1" w:lastColumn="0" w:noHBand="0" w:noVBand="1"/>
      </w:tblPr>
      <w:tblGrid>
        <w:gridCol w:w="1985"/>
        <w:gridCol w:w="1417"/>
        <w:gridCol w:w="1548"/>
        <w:gridCol w:w="2542"/>
      </w:tblGrid>
      <w:tr w:rsidR="006A5028" w14:paraId="2986FF9F" w14:textId="77777777">
        <w:trPr>
          <w:trHeight w:val="286"/>
        </w:trPr>
        <w:tc>
          <w:tcPr>
            <w:tcW w:w="1985" w:type="dxa"/>
            <w:tcBorders>
              <w:top w:val="single" w:sz="4" w:space="0" w:color="auto"/>
              <w:left w:val="nil"/>
              <w:bottom w:val="single" w:sz="4" w:space="0" w:color="auto"/>
              <w:right w:val="nil"/>
            </w:tcBorders>
            <w:shd w:val="clear" w:color="auto" w:fill="auto"/>
            <w:noWrap/>
            <w:vAlign w:val="bottom"/>
            <w:hideMark/>
          </w:tcPr>
          <w:p w14:paraId="11727104" w14:textId="77777777" w:rsidR="006A5028" w:rsidRDefault="00B33296">
            <w:pPr>
              <w:spacing w:after="0" w:line="360" w:lineRule="auto"/>
              <w:ind w:left="180"/>
              <w:rPr>
                <w:rFonts w:eastAsia="Times New Roman" w:cs="Times New Roman"/>
                <w:b/>
                <w:bCs/>
                <w:color w:val="000000"/>
                <w:lang w:val="en-GB" w:eastAsia="en-GB"/>
              </w:rPr>
            </w:pPr>
            <w:r>
              <w:rPr>
                <w:rFonts w:eastAsia="Times New Roman" w:cs="Times New Roman"/>
                <w:b/>
                <w:bCs/>
                <w:color w:val="000000"/>
                <w:lang w:val="en-GB" w:eastAsia="en-GB"/>
              </w:rPr>
              <w:t>Vitamin D Level</w:t>
            </w:r>
          </w:p>
        </w:tc>
        <w:tc>
          <w:tcPr>
            <w:tcW w:w="1417" w:type="dxa"/>
            <w:tcBorders>
              <w:top w:val="single" w:sz="4" w:space="0" w:color="auto"/>
              <w:left w:val="nil"/>
              <w:bottom w:val="single" w:sz="4" w:space="0" w:color="auto"/>
              <w:right w:val="nil"/>
            </w:tcBorders>
            <w:shd w:val="clear" w:color="auto" w:fill="auto"/>
            <w:noWrap/>
            <w:vAlign w:val="bottom"/>
            <w:hideMark/>
          </w:tcPr>
          <w:p w14:paraId="6E6666BD" w14:textId="77777777" w:rsidR="006A5028" w:rsidRDefault="00B33296">
            <w:pPr>
              <w:spacing w:after="0" w:line="360" w:lineRule="auto"/>
              <w:ind w:left="180"/>
              <w:jc w:val="center"/>
              <w:rPr>
                <w:rFonts w:eastAsia="Calibri" w:cs="Times New Roman"/>
                <w:b/>
                <w:color w:val="000000"/>
                <w:lang w:val="en-GB"/>
              </w:rPr>
            </w:pPr>
            <w:r>
              <w:rPr>
                <w:rFonts w:eastAsia="Calibri" w:cs="Times New Roman"/>
                <w:b/>
                <w:color w:val="000000"/>
                <w:lang w:val="en-GB"/>
              </w:rPr>
              <w:t>DFU</w:t>
            </w:r>
          </w:p>
          <w:p w14:paraId="69805B04"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 xml:space="preserve">n, </w:t>
            </w:r>
            <w:r>
              <w:rPr>
                <w:rFonts w:eastAsia="Times New Roman" w:cs="Times New Roman"/>
                <w:b/>
                <w:bCs/>
                <w:color w:val="000000"/>
                <w:lang w:val="en-GB" w:eastAsia="en-GB"/>
              </w:rPr>
              <w:t>(%)</w:t>
            </w:r>
          </w:p>
        </w:tc>
        <w:tc>
          <w:tcPr>
            <w:tcW w:w="1548" w:type="dxa"/>
            <w:tcBorders>
              <w:top w:val="single" w:sz="4" w:space="0" w:color="auto"/>
              <w:left w:val="nil"/>
              <w:bottom w:val="single" w:sz="4" w:space="0" w:color="auto"/>
              <w:right w:val="nil"/>
            </w:tcBorders>
            <w:shd w:val="clear" w:color="auto" w:fill="auto"/>
            <w:noWrap/>
            <w:vAlign w:val="bottom"/>
            <w:hideMark/>
          </w:tcPr>
          <w:p w14:paraId="7C309A1E" w14:textId="77777777" w:rsidR="006A5028" w:rsidRDefault="00B33296">
            <w:pPr>
              <w:spacing w:after="0" w:line="360" w:lineRule="auto"/>
              <w:ind w:left="180"/>
              <w:jc w:val="center"/>
              <w:rPr>
                <w:rFonts w:eastAsia="Calibri" w:cs="Times New Roman"/>
                <w:b/>
                <w:color w:val="000000"/>
                <w:lang w:val="en-GB"/>
              </w:rPr>
            </w:pPr>
            <w:r>
              <w:rPr>
                <w:rFonts w:eastAsia="Calibri" w:cs="Times New Roman"/>
                <w:b/>
                <w:color w:val="000000"/>
                <w:lang w:val="en-GB"/>
              </w:rPr>
              <w:t>No DFU</w:t>
            </w:r>
          </w:p>
          <w:p w14:paraId="6F955FCA"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n, (%)</w:t>
            </w:r>
          </w:p>
        </w:tc>
        <w:tc>
          <w:tcPr>
            <w:tcW w:w="2542" w:type="dxa"/>
            <w:tcBorders>
              <w:top w:val="single" w:sz="4" w:space="0" w:color="auto"/>
              <w:left w:val="nil"/>
              <w:bottom w:val="single" w:sz="4" w:space="0" w:color="auto"/>
              <w:right w:val="nil"/>
            </w:tcBorders>
            <w:shd w:val="clear" w:color="auto" w:fill="auto"/>
            <w:noWrap/>
            <w:vAlign w:val="bottom"/>
            <w:hideMark/>
          </w:tcPr>
          <w:p w14:paraId="5088C1FE"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Chi-square (p-value)</w:t>
            </w:r>
          </w:p>
        </w:tc>
      </w:tr>
      <w:tr w:rsidR="006A5028" w14:paraId="635AB435" w14:textId="77777777">
        <w:trPr>
          <w:trHeight w:val="286"/>
        </w:trPr>
        <w:tc>
          <w:tcPr>
            <w:tcW w:w="1985" w:type="dxa"/>
            <w:tcBorders>
              <w:top w:val="single" w:sz="4" w:space="0" w:color="auto"/>
              <w:left w:val="nil"/>
              <w:bottom w:val="nil"/>
              <w:right w:val="nil"/>
            </w:tcBorders>
            <w:shd w:val="clear" w:color="auto" w:fill="auto"/>
            <w:noWrap/>
            <w:vAlign w:val="bottom"/>
          </w:tcPr>
          <w:p w14:paraId="3B094224"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Sufficient</w:t>
            </w:r>
          </w:p>
        </w:tc>
        <w:tc>
          <w:tcPr>
            <w:tcW w:w="1417" w:type="dxa"/>
            <w:tcBorders>
              <w:top w:val="single" w:sz="4" w:space="0" w:color="auto"/>
              <w:left w:val="nil"/>
              <w:bottom w:val="nil"/>
              <w:right w:val="nil"/>
            </w:tcBorders>
            <w:shd w:val="clear" w:color="auto" w:fill="auto"/>
            <w:noWrap/>
            <w:vAlign w:val="bottom"/>
          </w:tcPr>
          <w:p w14:paraId="6D3B2E93"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14(15.91)</w:t>
            </w:r>
          </w:p>
        </w:tc>
        <w:tc>
          <w:tcPr>
            <w:tcW w:w="1548" w:type="dxa"/>
            <w:tcBorders>
              <w:top w:val="single" w:sz="4" w:space="0" w:color="auto"/>
              <w:left w:val="nil"/>
              <w:bottom w:val="nil"/>
              <w:right w:val="nil"/>
            </w:tcBorders>
            <w:shd w:val="clear" w:color="auto" w:fill="auto"/>
            <w:noWrap/>
            <w:vAlign w:val="bottom"/>
          </w:tcPr>
          <w:p w14:paraId="1276B2E5"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62(70.45)</w:t>
            </w:r>
          </w:p>
        </w:tc>
        <w:tc>
          <w:tcPr>
            <w:tcW w:w="2542" w:type="dxa"/>
            <w:vMerge w:val="restart"/>
            <w:tcBorders>
              <w:top w:val="single" w:sz="4" w:space="0" w:color="auto"/>
              <w:left w:val="nil"/>
              <w:right w:val="nil"/>
            </w:tcBorders>
            <w:shd w:val="clear" w:color="auto" w:fill="auto"/>
            <w:noWrap/>
            <w:vAlign w:val="center"/>
            <w:hideMark/>
          </w:tcPr>
          <w:p w14:paraId="6EB9A779"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71.83 (</w:t>
            </w:r>
            <w:proofErr w:type="gramStart"/>
            <w:r>
              <w:rPr>
                <w:rFonts w:eastAsia="Times New Roman" w:cs="Times New Roman"/>
                <w:color w:val="000000"/>
                <w:lang w:val="en-GB" w:eastAsia="en-GB"/>
              </w:rPr>
              <w:t>0.0001)*</w:t>
            </w:r>
            <w:proofErr w:type="gramEnd"/>
          </w:p>
        </w:tc>
      </w:tr>
      <w:tr w:rsidR="006A5028" w14:paraId="4230A6DB" w14:textId="77777777">
        <w:trPr>
          <w:trHeight w:val="286"/>
        </w:trPr>
        <w:tc>
          <w:tcPr>
            <w:tcW w:w="1985" w:type="dxa"/>
            <w:tcBorders>
              <w:top w:val="nil"/>
              <w:left w:val="nil"/>
              <w:bottom w:val="nil"/>
              <w:right w:val="nil"/>
            </w:tcBorders>
            <w:shd w:val="clear" w:color="auto" w:fill="auto"/>
            <w:noWrap/>
            <w:vAlign w:val="bottom"/>
          </w:tcPr>
          <w:p w14:paraId="29C03AC9"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Deficient</w:t>
            </w:r>
          </w:p>
        </w:tc>
        <w:tc>
          <w:tcPr>
            <w:tcW w:w="1417" w:type="dxa"/>
            <w:tcBorders>
              <w:top w:val="nil"/>
              <w:left w:val="nil"/>
              <w:bottom w:val="nil"/>
              <w:right w:val="nil"/>
            </w:tcBorders>
            <w:shd w:val="clear" w:color="auto" w:fill="auto"/>
            <w:noWrap/>
            <w:vAlign w:val="bottom"/>
          </w:tcPr>
          <w:p w14:paraId="4E9BE937" w14:textId="77777777" w:rsidR="006A5028" w:rsidRDefault="00B33296">
            <w:pPr>
              <w:spacing w:after="0" w:line="360" w:lineRule="auto"/>
              <w:ind w:left="180"/>
              <w:jc w:val="center"/>
              <w:rPr>
                <w:rFonts w:cs="Times New Roman"/>
                <w:color w:val="000000"/>
                <w:lang w:val="en-GB"/>
              </w:rPr>
            </w:pPr>
            <w:r>
              <w:rPr>
                <w:rFonts w:cs="Times New Roman"/>
                <w:color w:val="000000"/>
                <w:lang w:val="en-GB"/>
              </w:rPr>
              <w:t>61(69.32)</w:t>
            </w:r>
          </w:p>
        </w:tc>
        <w:tc>
          <w:tcPr>
            <w:tcW w:w="1548" w:type="dxa"/>
            <w:tcBorders>
              <w:top w:val="nil"/>
              <w:left w:val="nil"/>
              <w:bottom w:val="nil"/>
              <w:right w:val="nil"/>
            </w:tcBorders>
            <w:shd w:val="clear" w:color="auto" w:fill="auto"/>
            <w:noWrap/>
            <w:vAlign w:val="bottom"/>
          </w:tcPr>
          <w:p w14:paraId="4E4EC5A9" w14:textId="77777777" w:rsidR="006A5028" w:rsidRDefault="00B33296">
            <w:pPr>
              <w:spacing w:after="0" w:line="360" w:lineRule="auto"/>
              <w:ind w:left="180"/>
              <w:jc w:val="center"/>
              <w:rPr>
                <w:rFonts w:cs="Times New Roman"/>
                <w:color w:val="000000"/>
                <w:lang w:val="en-GB"/>
              </w:rPr>
            </w:pPr>
            <w:r>
              <w:rPr>
                <w:rFonts w:cs="Times New Roman"/>
                <w:color w:val="000000"/>
                <w:lang w:val="en-GB"/>
              </w:rPr>
              <w:t>8(9.09)</w:t>
            </w:r>
          </w:p>
        </w:tc>
        <w:tc>
          <w:tcPr>
            <w:tcW w:w="2542" w:type="dxa"/>
            <w:vMerge/>
            <w:tcBorders>
              <w:left w:val="nil"/>
              <w:bottom w:val="nil"/>
              <w:right w:val="nil"/>
            </w:tcBorders>
            <w:shd w:val="clear" w:color="auto" w:fill="auto"/>
            <w:noWrap/>
          </w:tcPr>
          <w:p w14:paraId="3F01C6B3" w14:textId="77777777" w:rsidR="006A5028" w:rsidRDefault="006A5028">
            <w:pPr>
              <w:spacing w:after="0" w:line="360" w:lineRule="auto"/>
              <w:ind w:left="180"/>
              <w:jc w:val="right"/>
              <w:rPr>
                <w:rFonts w:eastAsia="Times New Roman" w:cs="Times New Roman"/>
                <w:color w:val="000000"/>
                <w:lang w:val="en-GB" w:eastAsia="en-GB"/>
              </w:rPr>
            </w:pPr>
          </w:p>
        </w:tc>
      </w:tr>
      <w:tr w:rsidR="006A5028" w14:paraId="36E42D8F" w14:textId="77777777">
        <w:trPr>
          <w:trHeight w:val="286"/>
        </w:trPr>
        <w:tc>
          <w:tcPr>
            <w:tcW w:w="1985" w:type="dxa"/>
            <w:tcBorders>
              <w:top w:val="nil"/>
              <w:left w:val="nil"/>
              <w:bottom w:val="nil"/>
              <w:right w:val="nil"/>
            </w:tcBorders>
            <w:shd w:val="clear" w:color="auto" w:fill="auto"/>
            <w:noWrap/>
            <w:vAlign w:val="bottom"/>
            <w:hideMark/>
          </w:tcPr>
          <w:p w14:paraId="5F7DF3A0"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Insufficient</w:t>
            </w:r>
          </w:p>
        </w:tc>
        <w:tc>
          <w:tcPr>
            <w:tcW w:w="1417" w:type="dxa"/>
            <w:tcBorders>
              <w:top w:val="nil"/>
              <w:left w:val="nil"/>
              <w:bottom w:val="nil"/>
              <w:right w:val="nil"/>
            </w:tcBorders>
            <w:shd w:val="clear" w:color="auto" w:fill="auto"/>
            <w:noWrap/>
            <w:vAlign w:val="bottom"/>
            <w:hideMark/>
          </w:tcPr>
          <w:p w14:paraId="7DF839AE"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13(14.77)</w:t>
            </w:r>
          </w:p>
        </w:tc>
        <w:tc>
          <w:tcPr>
            <w:tcW w:w="1548" w:type="dxa"/>
            <w:tcBorders>
              <w:top w:val="nil"/>
              <w:left w:val="nil"/>
              <w:bottom w:val="nil"/>
              <w:right w:val="nil"/>
            </w:tcBorders>
            <w:shd w:val="clear" w:color="auto" w:fill="auto"/>
            <w:noWrap/>
            <w:vAlign w:val="bottom"/>
            <w:hideMark/>
          </w:tcPr>
          <w:p w14:paraId="36C9D261"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18(20.45)</w:t>
            </w:r>
          </w:p>
        </w:tc>
        <w:tc>
          <w:tcPr>
            <w:tcW w:w="2542" w:type="dxa"/>
            <w:vMerge/>
            <w:tcBorders>
              <w:left w:val="nil"/>
              <w:bottom w:val="nil"/>
              <w:right w:val="nil"/>
            </w:tcBorders>
            <w:shd w:val="clear" w:color="auto" w:fill="auto"/>
            <w:noWrap/>
          </w:tcPr>
          <w:p w14:paraId="7798AAFA" w14:textId="77777777" w:rsidR="006A5028" w:rsidRDefault="006A5028">
            <w:pPr>
              <w:spacing w:after="0" w:line="360" w:lineRule="auto"/>
              <w:ind w:left="180"/>
              <w:jc w:val="right"/>
              <w:rPr>
                <w:rFonts w:eastAsia="Times New Roman" w:cs="Times New Roman"/>
                <w:color w:val="000000"/>
                <w:lang w:val="en-GB" w:eastAsia="en-GB"/>
              </w:rPr>
            </w:pPr>
          </w:p>
        </w:tc>
      </w:tr>
      <w:tr w:rsidR="006A5028" w14:paraId="58BCD99C" w14:textId="77777777">
        <w:trPr>
          <w:trHeight w:val="286"/>
        </w:trPr>
        <w:tc>
          <w:tcPr>
            <w:tcW w:w="1985" w:type="dxa"/>
            <w:tcBorders>
              <w:top w:val="nil"/>
              <w:left w:val="nil"/>
              <w:bottom w:val="single" w:sz="4" w:space="0" w:color="auto"/>
              <w:right w:val="nil"/>
            </w:tcBorders>
            <w:shd w:val="clear" w:color="auto" w:fill="auto"/>
            <w:noWrap/>
            <w:vAlign w:val="bottom"/>
            <w:hideMark/>
          </w:tcPr>
          <w:p w14:paraId="6AB4A0C9" w14:textId="77777777" w:rsidR="006A5028" w:rsidRDefault="00B33296">
            <w:pPr>
              <w:spacing w:after="0" w:line="360" w:lineRule="auto"/>
              <w:ind w:left="180"/>
              <w:rPr>
                <w:rFonts w:eastAsia="Times New Roman" w:cs="Times New Roman"/>
                <w:b/>
                <w:bCs/>
                <w:lang w:val="en-GB" w:eastAsia="en-GB"/>
              </w:rPr>
            </w:pPr>
            <w:r>
              <w:rPr>
                <w:rFonts w:eastAsia="Times New Roman" w:cs="Times New Roman"/>
                <w:b/>
                <w:bCs/>
                <w:lang w:val="en-GB" w:eastAsia="en-GB"/>
              </w:rPr>
              <w:t>Total</w:t>
            </w:r>
          </w:p>
        </w:tc>
        <w:tc>
          <w:tcPr>
            <w:tcW w:w="1417" w:type="dxa"/>
            <w:tcBorders>
              <w:top w:val="nil"/>
              <w:left w:val="nil"/>
              <w:bottom w:val="single" w:sz="4" w:space="0" w:color="auto"/>
              <w:right w:val="nil"/>
            </w:tcBorders>
            <w:shd w:val="clear" w:color="auto" w:fill="auto"/>
            <w:noWrap/>
            <w:vAlign w:val="bottom"/>
            <w:hideMark/>
          </w:tcPr>
          <w:p w14:paraId="2E89370E"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88 (100.0)</w:t>
            </w:r>
          </w:p>
        </w:tc>
        <w:tc>
          <w:tcPr>
            <w:tcW w:w="1548" w:type="dxa"/>
            <w:tcBorders>
              <w:top w:val="nil"/>
              <w:left w:val="nil"/>
              <w:bottom w:val="single" w:sz="4" w:space="0" w:color="auto"/>
              <w:right w:val="nil"/>
            </w:tcBorders>
            <w:shd w:val="clear" w:color="auto" w:fill="auto"/>
            <w:noWrap/>
            <w:vAlign w:val="bottom"/>
            <w:hideMark/>
          </w:tcPr>
          <w:p w14:paraId="6111ED79"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88 (100.0)</w:t>
            </w:r>
          </w:p>
        </w:tc>
        <w:tc>
          <w:tcPr>
            <w:tcW w:w="2542" w:type="dxa"/>
            <w:tcBorders>
              <w:top w:val="nil"/>
              <w:left w:val="nil"/>
              <w:bottom w:val="single" w:sz="4" w:space="0" w:color="auto"/>
              <w:right w:val="nil"/>
            </w:tcBorders>
            <w:shd w:val="clear" w:color="auto" w:fill="auto"/>
            <w:noWrap/>
          </w:tcPr>
          <w:p w14:paraId="07D02F8D" w14:textId="77777777" w:rsidR="006A5028" w:rsidRDefault="006A5028">
            <w:pPr>
              <w:spacing w:after="0" w:line="360" w:lineRule="auto"/>
              <w:ind w:left="180"/>
              <w:jc w:val="right"/>
              <w:rPr>
                <w:rFonts w:eastAsia="Times New Roman" w:cs="Times New Roman"/>
                <w:color w:val="000000"/>
                <w:lang w:val="en-GB" w:eastAsia="en-GB"/>
              </w:rPr>
            </w:pPr>
          </w:p>
        </w:tc>
      </w:tr>
    </w:tbl>
    <w:p w14:paraId="5A9AB061" w14:textId="5B9D6887" w:rsidR="00707399" w:rsidRPr="00F60CB5" w:rsidRDefault="00707399" w:rsidP="00707399">
      <w:pPr>
        <w:pStyle w:val="NoSpacing"/>
        <w:rPr>
          <w:i/>
          <w:iCs/>
          <w:sz w:val="18"/>
          <w:szCs w:val="18"/>
          <w:lang w:val="en-GB"/>
        </w:rPr>
      </w:pPr>
      <w:r w:rsidRPr="00F60CB5">
        <w:rPr>
          <w:i/>
          <w:iCs/>
          <w:sz w:val="18"/>
          <w:szCs w:val="18"/>
          <w:lang w:val="en-GB"/>
        </w:rPr>
        <w:t>DFU- diabetic foot ulcer</w:t>
      </w:r>
    </w:p>
    <w:p w14:paraId="7B6D711F" w14:textId="77777777" w:rsidR="00707399" w:rsidRPr="00F60CB5" w:rsidRDefault="00707399" w:rsidP="00707399">
      <w:pPr>
        <w:pStyle w:val="NoSpacing"/>
        <w:rPr>
          <w:i/>
          <w:iCs/>
          <w:sz w:val="18"/>
          <w:szCs w:val="18"/>
          <w:lang w:val="en-GB"/>
        </w:rPr>
      </w:pPr>
      <w:r w:rsidRPr="00F60CB5">
        <w:rPr>
          <w:i/>
          <w:iCs/>
          <w:sz w:val="18"/>
          <w:szCs w:val="18"/>
          <w:lang w:val="en-GB"/>
        </w:rPr>
        <w:t>* statistically significant (p&lt;0.05)</w:t>
      </w:r>
    </w:p>
    <w:p w14:paraId="175FB3FB" w14:textId="60F22370" w:rsidR="006A5028" w:rsidRDefault="006A5028">
      <w:pPr>
        <w:spacing w:line="360" w:lineRule="auto"/>
        <w:rPr>
          <w:rFonts w:cs="Times New Roman"/>
          <w:b/>
          <w:iCs/>
          <w:color w:val="000000"/>
          <w:lang w:val="en-GB"/>
        </w:rPr>
      </w:pPr>
    </w:p>
    <w:p w14:paraId="4D885376" w14:textId="77777777" w:rsidR="006A5028" w:rsidRDefault="00B33296">
      <w:pPr>
        <w:pStyle w:val="Caption"/>
        <w:keepNext/>
        <w:spacing w:line="360" w:lineRule="auto"/>
        <w:ind w:left="180"/>
        <w:rPr>
          <w:rFonts w:ascii="Aptos" w:hAnsi="Aptos" w:cs="Times New Roman"/>
          <w:bCs/>
          <w:i w:val="0"/>
          <w:color w:val="000000"/>
          <w:sz w:val="22"/>
          <w:szCs w:val="22"/>
        </w:rPr>
      </w:pPr>
      <w:r>
        <w:rPr>
          <w:rFonts w:ascii="Aptos" w:hAnsi="Aptos" w:cs="Times New Roman"/>
          <w:bCs/>
          <w:i w:val="0"/>
          <w:color w:val="000000"/>
          <w:sz w:val="22"/>
          <w:szCs w:val="22"/>
        </w:rPr>
        <w:t xml:space="preserve">The table </w:t>
      </w:r>
      <w:r>
        <w:rPr>
          <w:rFonts w:ascii="Aptos" w:hAnsi="Aptos" w:cs="Times New Roman"/>
          <w:bCs/>
          <w:i w:val="0"/>
          <w:color w:val="000000"/>
          <w:sz w:val="22"/>
          <w:szCs w:val="22"/>
        </w:rPr>
        <w:t>below shows the association of demographic and biochemical factors with hyrdoxyvitamin D levels. Statistically significant findings from the table indicate that individuals aged 50 and above were notably more likely to have deficient or insufficient levels</w:t>
      </w:r>
      <w:r>
        <w:rPr>
          <w:rFonts w:ascii="Aptos" w:hAnsi="Aptos" w:cs="Times New Roman"/>
          <w:bCs/>
          <w:i w:val="0"/>
          <w:color w:val="000000"/>
          <w:sz w:val="22"/>
          <w:szCs w:val="22"/>
        </w:rPr>
        <w:t xml:space="preserve"> compared to those below 50 years old (Chi-square = 5.69, p = 0.001, Odds Ratio (O.R.) = 7.7). Additionally, individuals with abnormal waist-hip ratios exhibited a significantly lower likelihood of having deficient or insufficient levels compared to those </w:t>
      </w:r>
      <w:r>
        <w:rPr>
          <w:rFonts w:ascii="Aptos" w:hAnsi="Aptos" w:cs="Times New Roman"/>
          <w:bCs/>
          <w:i w:val="0"/>
          <w:color w:val="000000"/>
          <w:sz w:val="22"/>
          <w:szCs w:val="22"/>
        </w:rPr>
        <w:t>with normal ratios (Chi-square = 8.93, p = 0.003, O.R. = 0.3). Moreover, those with abnormal calcium levels were significantly more prone to deficient or insufficient levels compared to those with normal calcium levels (Chi-square = 7.03, p = 0.007, O.R. =</w:t>
      </w:r>
      <w:r>
        <w:rPr>
          <w:rFonts w:ascii="Aptos" w:hAnsi="Aptos" w:cs="Times New Roman"/>
          <w:bCs/>
          <w:i w:val="0"/>
          <w:color w:val="000000"/>
          <w:sz w:val="22"/>
          <w:szCs w:val="22"/>
        </w:rPr>
        <w:t xml:space="preserve"> 4.9). Likewise, individuals with abnormal albumin levels demonstrated a significantly higher likelihood of having deficient or insufficient levels compared to those with normal albumin levels (Chi-square = 16.95, p = 0.0001, O.R. = 7.7). Conversely, indiv</w:t>
      </w:r>
      <w:r>
        <w:rPr>
          <w:rFonts w:ascii="Aptos" w:hAnsi="Aptos" w:cs="Times New Roman"/>
          <w:bCs/>
          <w:i w:val="0"/>
          <w:color w:val="000000"/>
          <w:sz w:val="22"/>
          <w:szCs w:val="22"/>
        </w:rPr>
        <w:t>iduals with abnormal cholesterol levels were significantly less likely to have deficient or insufficient levels compared to those with normal cholesterol levels (Chi-square = 10.0, p = 0.002, O.R. = 0.3). Similarly, individuals with abnormal LDL levels exh</w:t>
      </w:r>
      <w:r>
        <w:rPr>
          <w:rFonts w:ascii="Aptos" w:hAnsi="Aptos" w:cs="Times New Roman"/>
          <w:bCs/>
          <w:i w:val="0"/>
          <w:color w:val="000000"/>
          <w:sz w:val="22"/>
          <w:szCs w:val="22"/>
        </w:rPr>
        <w:t xml:space="preserve">ibited a significantly lower likelihood of deficient or insufficient levels compared to those with normal LDL levels (Chi-square = 16.2, p = 0.0001, O.R. = 0.2). These findings underscore associations between specific demographic and physiological factors </w:t>
      </w:r>
      <w:r>
        <w:rPr>
          <w:rFonts w:ascii="Aptos" w:hAnsi="Aptos" w:cs="Times New Roman"/>
          <w:bCs/>
          <w:i w:val="0"/>
          <w:color w:val="000000"/>
          <w:sz w:val="22"/>
          <w:szCs w:val="22"/>
        </w:rPr>
        <w:t>and the likelihood of deficient or insufficient levels.</w:t>
      </w:r>
    </w:p>
    <w:p w14:paraId="5A05004A" w14:textId="77777777" w:rsidR="005642C5" w:rsidRDefault="005642C5" w:rsidP="005642C5">
      <w:pPr>
        <w:rPr>
          <w:lang w:val="en-GB"/>
        </w:rPr>
      </w:pPr>
    </w:p>
    <w:p w14:paraId="640AE577" w14:textId="77777777" w:rsidR="005642C5" w:rsidRDefault="005642C5" w:rsidP="005642C5">
      <w:pPr>
        <w:rPr>
          <w:lang w:val="en-GB"/>
        </w:rPr>
      </w:pPr>
    </w:p>
    <w:p w14:paraId="1C869065" w14:textId="77777777" w:rsidR="00707399" w:rsidRDefault="00707399" w:rsidP="005642C5">
      <w:pPr>
        <w:rPr>
          <w:lang w:val="en-GB"/>
        </w:rPr>
      </w:pPr>
    </w:p>
    <w:p w14:paraId="7962DAF4" w14:textId="77777777" w:rsidR="005642C5" w:rsidRDefault="005642C5" w:rsidP="005642C5">
      <w:pPr>
        <w:rPr>
          <w:lang w:val="en-GB"/>
        </w:rPr>
      </w:pPr>
    </w:p>
    <w:p w14:paraId="45829CA2" w14:textId="77777777" w:rsidR="005642C5" w:rsidRPr="005642C5" w:rsidRDefault="005642C5" w:rsidP="005642C5">
      <w:pPr>
        <w:rPr>
          <w:lang w:val="en-GB"/>
        </w:rPr>
      </w:pPr>
    </w:p>
    <w:p w14:paraId="01F6C750" w14:textId="461BA9C5"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4</w:t>
      </w:r>
      <w:r>
        <w:rPr>
          <w:rFonts w:ascii="Aptos" w:hAnsi="Aptos"/>
          <w:sz w:val="22"/>
          <w:szCs w:val="22"/>
        </w:rPr>
        <w:fldChar w:fldCharType="end"/>
      </w:r>
      <w:r>
        <w:rPr>
          <w:rFonts w:ascii="Aptos" w:hAnsi="Aptos"/>
          <w:sz w:val="22"/>
          <w:szCs w:val="22"/>
        </w:rPr>
        <w:t>: Association of Demographic and Biochemical factors with hydroxyvitamin D levels.</w:t>
      </w:r>
    </w:p>
    <w:tbl>
      <w:tblPr>
        <w:tblW w:w="10605" w:type="dxa"/>
        <w:jc w:val="center"/>
        <w:tblBorders>
          <w:top w:val="single" w:sz="4" w:space="0" w:color="auto"/>
          <w:bottom w:val="single" w:sz="4" w:space="0" w:color="auto"/>
        </w:tblBorders>
        <w:tblLook w:val="04A0" w:firstRow="1" w:lastRow="0" w:firstColumn="1" w:lastColumn="0" w:noHBand="0" w:noVBand="1"/>
      </w:tblPr>
      <w:tblGrid>
        <w:gridCol w:w="3510"/>
        <w:gridCol w:w="2367"/>
        <w:gridCol w:w="1413"/>
        <w:gridCol w:w="1785"/>
        <w:gridCol w:w="1530"/>
      </w:tblGrid>
      <w:tr w:rsidR="006A5028" w14:paraId="3B14EFD8" w14:textId="77777777">
        <w:trPr>
          <w:trHeight w:val="300"/>
          <w:jc w:val="center"/>
        </w:trPr>
        <w:tc>
          <w:tcPr>
            <w:tcW w:w="3510" w:type="dxa"/>
            <w:tcBorders>
              <w:bottom w:val="nil"/>
            </w:tcBorders>
            <w:shd w:val="clear" w:color="auto" w:fill="auto"/>
            <w:noWrap/>
            <w:vAlign w:val="bottom"/>
            <w:hideMark/>
          </w:tcPr>
          <w:p w14:paraId="7348FBAF" w14:textId="77777777" w:rsidR="006A5028" w:rsidRDefault="006A5028">
            <w:pPr>
              <w:spacing w:after="0" w:line="240" w:lineRule="auto"/>
              <w:rPr>
                <w:rFonts w:eastAsia="Times New Roman" w:cs="Times New Roman"/>
                <w:color w:val="000000"/>
                <w:lang w:val="en-GB" w:eastAsia="en-GB"/>
              </w:rPr>
            </w:pPr>
          </w:p>
        </w:tc>
        <w:tc>
          <w:tcPr>
            <w:tcW w:w="2367" w:type="dxa"/>
            <w:tcBorders>
              <w:bottom w:val="nil"/>
            </w:tcBorders>
            <w:shd w:val="clear" w:color="auto" w:fill="auto"/>
            <w:noWrap/>
            <w:vAlign w:val="bottom"/>
            <w:hideMark/>
          </w:tcPr>
          <w:p w14:paraId="51EC6E8C"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Deficient/Insufficient</w:t>
            </w:r>
          </w:p>
        </w:tc>
        <w:tc>
          <w:tcPr>
            <w:tcW w:w="1413" w:type="dxa"/>
            <w:tcBorders>
              <w:bottom w:val="nil"/>
            </w:tcBorders>
            <w:shd w:val="clear" w:color="auto" w:fill="auto"/>
            <w:noWrap/>
            <w:vAlign w:val="bottom"/>
            <w:hideMark/>
          </w:tcPr>
          <w:p w14:paraId="7659D915"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Total</w:t>
            </w:r>
          </w:p>
        </w:tc>
        <w:tc>
          <w:tcPr>
            <w:tcW w:w="1785" w:type="dxa"/>
            <w:tcBorders>
              <w:bottom w:val="nil"/>
            </w:tcBorders>
            <w:shd w:val="clear" w:color="auto" w:fill="auto"/>
            <w:noWrap/>
            <w:vAlign w:val="bottom"/>
            <w:hideMark/>
          </w:tcPr>
          <w:p w14:paraId="6FE9EDDE"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Chi-square</w:t>
            </w:r>
          </w:p>
        </w:tc>
        <w:tc>
          <w:tcPr>
            <w:tcW w:w="1530" w:type="dxa"/>
            <w:tcBorders>
              <w:bottom w:val="nil"/>
            </w:tcBorders>
            <w:shd w:val="clear" w:color="auto" w:fill="auto"/>
            <w:noWrap/>
            <w:vAlign w:val="bottom"/>
            <w:hideMark/>
          </w:tcPr>
          <w:p w14:paraId="7C574592" w14:textId="77777777" w:rsidR="006A5028" w:rsidRDefault="00B33296">
            <w:pPr>
              <w:spacing w:after="0" w:line="240" w:lineRule="auto"/>
              <w:rPr>
                <w:rFonts w:eastAsia="Times New Roman" w:cs="Times New Roman"/>
                <w:b/>
                <w:bCs/>
                <w:color w:val="000000"/>
                <w:lang w:val="en-GB" w:eastAsia="en-GB"/>
              </w:rPr>
            </w:pPr>
            <w:proofErr w:type="gramStart"/>
            <w:r>
              <w:rPr>
                <w:rFonts w:eastAsia="Times New Roman" w:cs="Times New Roman"/>
                <w:b/>
                <w:bCs/>
                <w:color w:val="000000"/>
                <w:lang w:val="en-GB" w:eastAsia="en-GB"/>
              </w:rPr>
              <w:t>O.R</w:t>
            </w:r>
            <w:proofErr w:type="gramEnd"/>
          </w:p>
        </w:tc>
      </w:tr>
      <w:tr w:rsidR="006A5028" w14:paraId="1DB54E44" w14:textId="77777777">
        <w:trPr>
          <w:trHeight w:val="300"/>
          <w:jc w:val="center"/>
        </w:trPr>
        <w:tc>
          <w:tcPr>
            <w:tcW w:w="3510" w:type="dxa"/>
            <w:tcBorders>
              <w:top w:val="nil"/>
              <w:bottom w:val="single" w:sz="4" w:space="0" w:color="auto"/>
            </w:tcBorders>
            <w:shd w:val="clear" w:color="auto" w:fill="auto"/>
            <w:noWrap/>
            <w:vAlign w:val="bottom"/>
            <w:hideMark/>
          </w:tcPr>
          <w:p w14:paraId="2D420A69" w14:textId="77777777" w:rsidR="006A5028" w:rsidRDefault="006A5028">
            <w:pPr>
              <w:spacing w:after="0" w:line="240" w:lineRule="auto"/>
              <w:rPr>
                <w:rFonts w:eastAsia="Times New Roman" w:cs="Times New Roman"/>
                <w:lang w:val="en-GB" w:eastAsia="en-GB"/>
              </w:rPr>
            </w:pPr>
          </w:p>
        </w:tc>
        <w:tc>
          <w:tcPr>
            <w:tcW w:w="2367" w:type="dxa"/>
            <w:tcBorders>
              <w:top w:val="nil"/>
              <w:bottom w:val="single" w:sz="4" w:space="0" w:color="auto"/>
            </w:tcBorders>
            <w:shd w:val="clear" w:color="auto" w:fill="auto"/>
            <w:noWrap/>
            <w:vAlign w:val="bottom"/>
            <w:hideMark/>
          </w:tcPr>
          <w:p w14:paraId="599628EC"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n=100, (%)</w:t>
            </w:r>
          </w:p>
        </w:tc>
        <w:tc>
          <w:tcPr>
            <w:tcW w:w="1413" w:type="dxa"/>
            <w:tcBorders>
              <w:top w:val="nil"/>
              <w:bottom w:val="single" w:sz="4" w:space="0" w:color="auto"/>
            </w:tcBorders>
            <w:shd w:val="clear" w:color="auto" w:fill="auto"/>
            <w:noWrap/>
            <w:vAlign w:val="bottom"/>
            <w:hideMark/>
          </w:tcPr>
          <w:p w14:paraId="70ACCA36"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n=176, (%)</w:t>
            </w:r>
          </w:p>
        </w:tc>
        <w:tc>
          <w:tcPr>
            <w:tcW w:w="1785" w:type="dxa"/>
            <w:tcBorders>
              <w:top w:val="nil"/>
              <w:bottom w:val="single" w:sz="4" w:space="0" w:color="auto"/>
            </w:tcBorders>
            <w:shd w:val="clear" w:color="auto" w:fill="auto"/>
            <w:noWrap/>
            <w:vAlign w:val="bottom"/>
            <w:hideMark/>
          </w:tcPr>
          <w:p w14:paraId="2FD669B6"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(p-value)</w:t>
            </w:r>
          </w:p>
        </w:tc>
        <w:tc>
          <w:tcPr>
            <w:tcW w:w="1530" w:type="dxa"/>
            <w:tcBorders>
              <w:top w:val="nil"/>
              <w:bottom w:val="single" w:sz="4" w:space="0" w:color="auto"/>
            </w:tcBorders>
            <w:shd w:val="clear" w:color="auto" w:fill="auto"/>
            <w:noWrap/>
            <w:vAlign w:val="bottom"/>
            <w:hideMark/>
          </w:tcPr>
          <w:p w14:paraId="4FA23AC4"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(95% C.I)</w:t>
            </w:r>
          </w:p>
        </w:tc>
      </w:tr>
      <w:tr w:rsidR="006A5028" w14:paraId="4CB952B4" w14:textId="77777777">
        <w:trPr>
          <w:trHeight w:val="300"/>
          <w:jc w:val="center"/>
        </w:trPr>
        <w:tc>
          <w:tcPr>
            <w:tcW w:w="3510" w:type="dxa"/>
            <w:tcBorders>
              <w:top w:val="single" w:sz="4" w:space="0" w:color="auto"/>
            </w:tcBorders>
            <w:shd w:val="clear" w:color="auto" w:fill="auto"/>
            <w:noWrap/>
            <w:vAlign w:val="bottom"/>
          </w:tcPr>
          <w:p w14:paraId="4F88511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Gender</w:t>
            </w:r>
            <w:r>
              <w:rPr>
                <w:rFonts w:eastAsia="Times New Roman" w:cs="Times New Roman"/>
                <w:color w:val="000000"/>
                <w:sz w:val="20"/>
                <w:szCs w:val="20"/>
                <w:lang w:val="en-GB" w:eastAsia="en-GB"/>
              </w:rPr>
              <w:t xml:space="preserve"> </w:t>
            </w:r>
          </w:p>
        </w:tc>
        <w:tc>
          <w:tcPr>
            <w:tcW w:w="2367" w:type="dxa"/>
            <w:tcBorders>
              <w:top w:val="single" w:sz="4" w:space="0" w:color="auto"/>
            </w:tcBorders>
            <w:shd w:val="clear" w:color="auto" w:fill="auto"/>
            <w:noWrap/>
            <w:vAlign w:val="bottom"/>
          </w:tcPr>
          <w:p w14:paraId="3B9C60CF" w14:textId="77777777" w:rsidR="006A5028" w:rsidRDefault="006A5028">
            <w:pPr>
              <w:spacing w:after="0" w:line="240" w:lineRule="auto"/>
              <w:rPr>
                <w:rFonts w:eastAsia="Times New Roman" w:cs="Times New Roman"/>
                <w:color w:val="000000"/>
                <w:sz w:val="20"/>
                <w:szCs w:val="20"/>
                <w:lang w:val="en-GB" w:eastAsia="en-GB"/>
              </w:rPr>
            </w:pPr>
          </w:p>
        </w:tc>
        <w:tc>
          <w:tcPr>
            <w:tcW w:w="1413" w:type="dxa"/>
            <w:tcBorders>
              <w:top w:val="single" w:sz="4" w:space="0" w:color="auto"/>
            </w:tcBorders>
            <w:shd w:val="clear" w:color="auto" w:fill="auto"/>
            <w:noWrap/>
            <w:vAlign w:val="bottom"/>
          </w:tcPr>
          <w:p w14:paraId="793AC388" w14:textId="77777777" w:rsidR="006A5028" w:rsidRDefault="006A5028">
            <w:pPr>
              <w:spacing w:after="0" w:line="240" w:lineRule="auto"/>
              <w:rPr>
                <w:rFonts w:eastAsia="Times New Roman" w:cs="Times New Roman"/>
                <w:b/>
                <w:bCs/>
                <w:color w:val="000000"/>
                <w:sz w:val="20"/>
                <w:szCs w:val="20"/>
                <w:lang w:val="en-GB" w:eastAsia="en-GB"/>
              </w:rPr>
            </w:pPr>
          </w:p>
        </w:tc>
        <w:tc>
          <w:tcPr>
            <w:tcW w:w="1785" w:type="dxa"/>
            <w:tcBorders>
              <w:top w:val="single" w:sz="4" w:space="0" w:color="auto"/>
            </w:tcBorders>
            <w:shd w:val="clear" w:color="auto" w:fill="auto"/>
            <w:noWrap/>
            <w:vAlign w:val="bottom"/>
          </w:tcPr>
          <w:p w14:paraId="5E6C2C8B" w14:textId="77777777" w:rsidR="006A5028" w:rsidRDefault="006A5028">
            <w:pPr>
              <w:spacing w:after="0" w:line="240" w:lineRule="auto"/>
              <w:rPr>
                <w:rFonts w:eastAsia="Times New Roman" w:cs="Times New Roman"/>
                <w:color w:val="000000"/>
                <w:sz w:val="20"/>
                <w:szCs w:val="20"/>
                <w:lang w:val="en-GB" w:eastAsia="en-GB"/>
              </w:rPr>
            </w:pPr>
          </w:p>
        </w:tc>
        <w:tc>
          <w:tcPr>
            <w:tcW w:w="1530" w:type="dxa"/>
            <w:tcBorders>
              <w:top w:val="single" w:sz="4" w:space="0" w:color="auto"/>
            </w:tcBorders>
            <w:shd w:val="clear" w:color="auto" w:fill="auto"/>
            <w:noWrap/>
            <w:vAlign w:val="bottom"/>
          </w:tcPr>
          <w:p w14:paraId="76F5BF50" w14:textId="77777777" w:rsidR="006A5028" w:rsidRDefault="006A5028">
            <w:pPr>
              <w:spacing w:after="0" w:line="240" w:lineRule="auto"/>
              <w:rPr>
                <w:rFonts w:eastAsia="Times New Roman" w:cs="Times New Roman"/>
                <w:color w:val="000000"/>
                <w:sz w:val="20"/>
                <w:szCs w:val="20"/>
                <w:lang w:val="en-GB" w:eastAsia="en-GB"/>
              </w:rPr>
            </w:pPr>
          </w:p>
        </w:tc>
      </w:tr>
      <w:tr w:rsidR="006A5028" w14:paraId="0D31F927" w14:textId="77777777">
        <w:trPr>
          <w:trHeight w:val="300"/>
          <w:jc w:val="center"/>
        </w:trPr>
        <w:tc>
          <w:tcPr>
            <w:tcW w:w="3510" w:type="dxa"/>
            <w:shd w:val="clear" w:color="auto" w:fill="auto"/>
            <w:noWrap/>
            <w:vAlign w:val="bottom"/>
            <w:hideMark/>
          </w:tcPr>
          <w:p w14:paraId="7CA699E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Male</w:t>
            </w:r>
          </w:p>
        </w:tc>
        <w:tc>
          <w:tcPr>
            <w:tcW w:w="2367" w:type="dxa"/>
            <w:shd w:val="clear" w:color="auto" w:fill="auto"/>
            <w:noWrap/>
            <w:vAlign w:val="bottom"/>
            <w:hideMark/>
          </w:tcPr>
          <w:p w14:paraId="1E6C37C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32(32.00)</w:t>
            </w:r>
          </w:p>
        </w:tc>
        <w:tc>
          <w:tcPr>
            <w:tcW w:w="1413" w:type="dxa"/>
            <w:shd w:val="clear" w:color="auto" w:fill="auto"/>
            <w:noWrap/>
            <w:vAlign w:val="bottom"/>
            <w:hideMark/>
          </w:tcPr>
          <w:p w14:paraId="38A55C29"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60(100.0)</w:t>
            </w:r>
          </w:p>
        </w:tc>
        <w:tc>
          <w:tcPr>
            <w:tcW w:w="1785" w:type="dxa"/>
            <w:shd w:val="clear" w:color="auto" w:fill="auto"/>
            <w:noWrap/>
            <w:vAlign w:val="bottom"/>
            <w:hideMark/>
          </w:tcPr>
          <w:p w14:paraId="3ACD5C93"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0.45 (0.502)</w:t>
            </w:r>
          </w:p>
        </w:tc>
        <w:tc>
          <w:tcPr>
            <w:tcW w:w="1530" w:type="dxa"/>
            <w:shd w:val="clear" w:color="auto" w:fill="auto"/>
            <w:noWrap/>
            <w:vAlign w:val="bottom"/>
            <w:hideMark/>
          </w:tcPr>
          <w:p w14:paraId="7365386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0.8 (0.4 - 1.5)</w:t>
            </w:r>
          </w:p>
        </w:tc>
      </w:tr>
      <w:tr w:rsidR="006A5028" w14:paraId="1E0FDCDF" w14:textId="77777777">
        <w:trPr>
          <w:trHeight w:val="300"/>
          <w:jc w:val="center"/>
        </w:trPr>
        <w:tc>
          <w:tcPr>
            <w:tcW w:w="3510" w:type="dxa"/>
            <w:shd w:val="clear" w:color="auto" w:fill="auto"/>
            <w:noWrap/>
            <w:vAlign w:val="bottom"/>
            <w:hideMark/>
          </w:tcPr>
          <w:p w14:paraId="512FFAF3" w14:textId="26B5713A"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Female </w:t>
            </w:r>
          </w:p>
        </w:tc>
        <w:tc>
          <w:tcPr>
            <w:tcW w:w="2367" w:type="dxa"/>
            <w:shd w:val="clear" w:color="auto" w:fill="auto"/>
            <w:noWrap/>
            <w:vAlign w:val="bottom"/>
            <w:hideMark/>
          </w:tcPr>
          <w:p w14:paraId="38BB1571"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68(68.00)</w:t>
            </w:r>
          </w:p>
        </w:tc>
        <w:tc>
          <w:tcPr>
            <w:tcW w:w="1413" w:type="dxa"/>
            <w:shd w:val="clear" w:color="auto" w:fill="auto"/>
            <w:noWrap/>
            <w:vAlign w:val="bottom"/>
            <w:hideMark/>
          </w:tcPr>
          <w:p w14:paraId="7C326FBB"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116(100.0)</w:t>
            </w:r>
          </w:p>
        </w:tc>
        <w:tc>
          <w:tcPr>
            <w:tcW w:w="1785" w:type="dxa"/>
            <w:shd w:val="clear" w:color="auto" w:fill="auto"/>
            <w:noWrap/>
            <w:vAlign w:val="bottom"/>
            <w:hideMark/>
          </w:tcPr>
          <w:p w14:paraId="35F5576A"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2027485D" w14:textId="77777777" w:rsidR="006A5028" w:rsidRDefault="006A5028">
            <w:pPr>
              <w:spacing w:after="0" w:line="240" w:lineRule="auto"/>
              <w:rPr>
                <w:rFonts w:eastAsia="Times New Roman" w:cs="Times New Roman"/>
                <w:sz w:val="20"/>
                <w:szCs w:val="20"/>
                <w:lang w:val="en-GB" w:eastAsia="en-GB"/>
              </w:rPr>
            </w:pPr>
          </w:p>
        </w:tc>
      </w:tr>
      <w:tr w:rsidR="006A5028" w14:paraId="6A6575E6" w14:textId="77777777">
        <w:trPr>
          <w:trHeight w:val="300"/>
          <w:jc w:val="center"/>
        </w:trPr>
        <w:tc>
          <w:tcPr>
            <w:tcW w:w="3510" w:type="dxa"/>
            <w:shd w:val="clear" w:color="auto" w:fill="auto"/>
            <w:noWrap/>
            <w:vAlign w:val="bottom"/>
          </w:tcPr>
          <w:p w14:paraId="61991C9E"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Age groups</w:t>
            </w:r>
          </w:p>
        </w:tc>
        <w:tc>
          <w:tcPr>
            <w:tcW w:w="2367" w:type="dxa"/>
            <w:shd w:val="clear" w:color="auto" w:fill="auto"/>
            <w:noWrap/>
            <w:vAlign w:val="bottom"/>
          </w:tcPr>
          <w:p w14:paraId="49EBCFC9" w14:textId="77777777" w:rsidR="006A5028" w:rsidRDefault="006A5028">
            <w:pPr>
              <w:spacing w:after="0" w:line="240" w:lineRule="auto"/>
              <w:rPr>
                <w:rFonts w:eastAsia="Times New Roman" w:cs="Times New Roman"/>
                <w:color w:val="000000"/>
                <w:sz w:val="20"/>
                <w:szCs w:val="20"/>
                <w:lang w:val="en-GB" w:eastAsia="en-GB"/>
              </w:rPr>
            </w:pPr>
          </w:p>
        </w:tc>
        <w:tc>
          <w:tcPr>
            <w:tcW w:w="1413" w:type="dxa"/>
            <w:shd w:val="clear" w:color="auto" w:fill="auto"/>
            <w:noWrap/>
            <w:vAlign w:val="bottom"/>
          </w:tcPr>
          <w:p w14:paraId="768F2B8E" w14:textId="77777777" w:rsidR="006A5028" w:rsidRDefault="006A5028">
            <w:pPr>
              <w:spacing w:after="0" w:line="240" w:lineRule="auto"/>
              <w:rPr>
                <w:rFonts w:eastAsia="Times New Roman" w:cs="Times New Roman"/>
                <w:b/>
                <w:bCs/>
                <w:color w:val="000000"/>
                <w:sz w:val="20"/>
                <w:szCs w:val="20"/>
                <w:lang w:val="en-GB" w:eastAsia="en-GB"/>
              </w:rPr>
            </w:pPr>
          </w:p>
        </w:tc>
        <w:tc>
          <w:tcPr>
            <w:tcW w:w="1785" w:type="dxa"/>
            <w:shd w:val="clear" w:color="auto" w:fill="auto"/>
            <w:noWrap/>
            <w:vAlign w:val="bottom"/>
          </w:tcPr>
          <w:p w14:paraId="6D86E91C"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6BA9C131" w14:textId="77777777" w:rsidR="006A5028" w:rsidRDefault="006A5028">
            <w:pPr>
              <w:spacing w:after="0" w:line="240" w:lineRule="auto"/>
              <w:rPr>
                <w:rFonts w:eastAsia="Times New Roman" w:cs="Times New Roman"/>
                <w:color w:val="000000"/>
                <w:sz w:val="20"/>
                <w:szCs w:val="20"/>
                <w:lang w:val="en-GB" w:eastAsia="en-GB"/>
              </w:rPr>
            </w:pPr>
          </w:p>
        </w:tc>
      </w:tr>
      <w:tr w:rsidR="006A5028" w14:paraId="21B08A1B" w14:textId="77777777">
        <w:trPr>
          <w:trHeight w:val="300"/>
          <w:jc w:val="center"/>
        </w:trPr>
        <w:tc>
          <w:tcPr>
            <w:tcW w:w="3510" w:type="dxa"/>
            <w:shd w:val="clear" w:color="auto" w:fill="auto"/>
            <w:noWrap/>
            <w:vAlign w:val="bottom"/>
            <w:hideMark/>
          </w:tcPr>
          <w:p w14:paraId="5168F78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50 and above</w:t>
            </w:r>
          </w:p>
        </w:tc>
        <w:tc>
          <w:tcPr>
            <w:tcW w:w="2367" w:type="dxa"/>
            <w:shd w:val="clear" w:color="auto" w:fill="auto"/>
            <w:noWrap/>
            <w:vAlign w:val="bottom"/>
            <w:hideMark/>
          </w:tcPr>
          <w:p w14:paraId="42EDFE3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88(71.00)</w:t>
            </w:r>
          </w:p>
        </w:tc>
        <w:tc>
          <w:tcPr>
            <w:tcW w:w="1413" w:type="dxa"/>
            <w:shd w:val="clear" w:color="auto" w:fill="auto"/>
            <w:noWrap/>
            <w:vAlign w:val="bottom"/>
            <w:hideMark/>
          </w:tcPr>
          <w:p w14:paraId="3F3E78F2"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125(100.0)</w:t>
            </w:r>
          </w:p>
        </w:tc>
        <w:tc>
          <w:tcPr>
            <w:tcW w:w="1785" w:type="dxa"/>
            <w:shd w:val="clear" w:color="auto" w:fill="auto"/>
            <w:noWrap/>
            <w:vAlign w:val="bottom"/>
            <w:hideMark/>
          </w:tcPr>
          <w:p w14:paraId="5AB2A42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5.69 (</w:t>
            </w:r>
            <w:proofErr w:type="gramStart"/>
            <w:r>
              <w:rPr>
                <w:rFonts w:eastAsia="Times New Roman" w:cs="Times New Roman"/>
                <w:color w:val="000000"/>
                <w:sz w:val="20"/>
                <w:szCs w:val="20"/>
                <w:lang w:val="en-GB" w:eastAsia="en-GB"/>
              </w:rPr>
              <w:t>0.001)*</w:t>
            </w:r>
            <w:proofErr w:type="gramEnd"/>
          </w:p>
        </w:tc>
        <w:tc>
          <w:tcPr>
            <w:tcW w:w="1530" w:type="dxa"/>
            <w:shd w:val="clear" w:color="auto" w:fill="auto"/>
            <w:noWrap/>
            <w:vAlign w:val="bottom"/>
            <w:hideMark/>
          </w:tcPr>
          <w:p w14:paraId="124FFD2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7.7 (3.6 – 16.4)</w:t>
            </w:r>
          </w:p>
        </w:tc>
      </w:tr>
      <w:tr w:rsidR="006A5028" w14:paraId="739BF863" w14:textId="77777777">
        <w:trPr>
          <w:trHeight w:val="300"/>
          <w:jc w:val="center"/>
        </w:trPr>
        <w:tc>
          <w:tcPr>
            <w:tcW w:w="3510" w:type="dxa"/>
            <w:shd w:val="clear" w:color="auto" w:fill="auto"/>
            <w:noWrap/>
            <w:vAlign w:val="bottom"/>
            <w:hideMark/>
          </w:tcPr>
          <w:p w14:paraId="0CAEF0B9" w14:textId="19C57F69"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Below 50 </w:t>
            </w:r>
          </w:p>
        </w:tc>
        <w:tc>
          <w:tcPr>
            <w:tcW w:w="2367" w:type="dxa"/>
            <w:shd w:val="clear" w:color="auto" w:fill="auto"/>
            <w:noWrap/>
            <w:vAlign w:val="bottom"/>
            <w:hideMark/>
          </w:tcPr>
          <w:p w14:paraId="2E55A48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12(29.00)</w:t>
            </w:r>
          </w:p>
        </w:tc>
        <w:tc>
          <w:tcPr>
            <w:tcW w:w="1413" w:type="dxa"/>
            <w:shd w:val="clear" w:color="auto" w:fill="auto"/>
            <w:noWrap/>
            <w:vAlign w:val="bottom"/>
            <w:hideMark/>
          </w:tcPr>
          <w:p w14:paraId="269689AB"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51(100.0)</w:t>
            </w:r>
          </w:p>
        </w:tc>
        <w:tc>
          <w:tcPr>
            <w:tcW w:w="1785" w:type="dxa"/>
            <w:shd w:val="clear" w:color="auto" w:fill="auto"/>
            <w:noWrap/>
            <w:vAlign w:val="bottom"/>
            <w:hideMark/>
          </w:tcPr>
          <w:p w14:paraId="782C33CB"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52CBE84F" w14:textId="77777777" w:rsidR="006A5028" w:rsidRDefault="006A5028">
            <w:pPr>
              <w:spacing w:after="0" w:line="240" w:lineRule="auto"/>
              <w:rPr>
                <w:rFonts w:eastAsia="Times New Roman" w:cs="Times New Roman"/>
                <w:sz w:val="20"/>
                <w:szCs w:val="20"/>
                <w:lang w:val="en-GB" w:eastAsia="en-GB"/>
              </w:rPr>
            </w:pPr>
          </w:p>
        </w:tc>
      </w:tr>
      <w:tr w:rsidR="006A5028" w14:paraId="5186ED6A" w14:textId="77777777">
        <w:trPr>
          <w:trHeight w:val="300"/>
          <w:jc w:val="center"/>
        </w:trPr>
        <w:tc>
          <w:tcPr>
            <w:tcW w:w="3510" w:type="dxa"/>
            <w:shd w:val="clear" w:color="auto" w:fill="auto"/>
            <w:noWrap/>
            <w:vAlign w:val="bottom"/>
          </w:tcPr>
          <w:p w14:paraId="4194D81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Marital Status</w:t>
            </w:r>
          </w:p>
        </w:tc>
        <w:tc>
          <w:tcPr>
            <w:tcW w:w="2367" w:type="dxa"/>
            <w:shd w:val="clear" w:color="auto" w:fill="auto"/>
            <w:noWrap/>
            <w:vAlign w:val="bottom"/>
          </w:tcPr>
          <w:p w14:paraId="0631BF73" w14:textId="77777777" w:rsidR="006A5028" w:rsidRDefault="006A5028">
            <w:pPr>
              <w:spacing w:after="0" w:line="240" w:lineRule="auto"/>
              <w:rPr>
                <w:rFonts w:eastAsia="Times New Roman" w:cs="Times New Roman"/>
                <w:color w:val="000000"/>
                <w:sz w:val="20"/>
                <w:szCs w:val="20"/>
                <w:lang w:val="en-GB" w:eastAsia="en-GB"/>
              </w:rPr>
            </w:pPr>
          </w:p>
        </w:tc>
        <w:tc>
          <w:tcPr>
            <w:tcW w:w="1413" w:type="dxa"/>
            <w:shd w:val="clear" w:color="auto" w:fill="auto"/>
            <w:noWrap/>
            <w:vAlign w:val="bottom"/>
          </w:tcPr>
          <w:p w14:paraId="3D8A45E4" w14:textId="77777777" w:rsidR="006A5028" w:rsidRDefault="006A5028">
            <w:pPr>
              <w:spacing w:after="0" w:line="240" w:lineRule="auto"/>
              <w:rPr>
                <w:rFonts w:eastAsia="Times New Roman" w:cs="Times New Roman"/>
                <w:b/>
                <w:bCs/>
                <w:color w:val="000000"/>
                <w:sz w:val="20"/>
                <w:szCs w:val="20"/>
                <w:lang w:val="en-GB" w:eastAsia="en-GB"/>
              </w:rPr>
            </w:pPr>
          </w:p>
        </w:tc>
        <w:tc>
          <w:tcPr>
            <w:tcW w:w="1785" w:type="dxa"/>
            <w:shd w:val="clear" w:color="auto" w:fill="auto"/>
            <w:noWrap/>
            <w:vAlign w:val="bottom"/>
          </w:tcPr>
          <w:p w14:paraId="7CA80E9F"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5645DEF3" w14:textId="77777777" w:rsidR="006A5028" w:rsidRDefault="006A5028">
            <w:pPr>
              <w:spacing w:after="0" w:line="240" w:lineRule="auto"/>
              <w:rPr>
                <w:rFonts w:eastAsia="Times New Roman" w:cs="Times New Roman"/>
                <w:color w:val="000000"/>
                <w:sz w:val="20"/>
                <w:szCs w:val="20"/>
                <w:lang w:val="en-GB" w:eastAsia="en-GB"/>
              </w:rPr>
            </w:pPr>
          </w:p>
        </w:tc>
      </w:tr>
      <w:tr w:rsidR="006A5028" w14:paraId="715F4BF8" w14:textId="77777777">
        <w:trPr>
          <w:trHeight w:val="300"/>
          <w:jc w:val="center"/>
        </w:trPr>
        <w:tc>
          <w:tcPr>
            <w:tcW w:w="3510" w:type="dxa"/>
            <w:shd w:val="clear" w:color="auto" w:fill="auto"/>
            <w:noWrap/>
            <w:vAlign w:val="bottom"/>
            <w:hideMark/>
          </w:tcPr>
          <w:p w14:paraId="404ECCE1"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Single/Separated/Widowed</w:t>
            </w:r>
          </w:p>
        </w:tc>
        <w:tc>
          <w:tcPr>
            <w:tcW w:w="2367" w:type="dxa"/>
            <w:shd w:val="clear" w:color="auto" w:fill="auto"/>
            <w:noWrap/>
            <w:vAlign w:val="bottom"/>
            <w:hideMark/>
          </w:tcPr>
          <w:p w14:paraId="2A16B79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29(29.00)</w:t>
            </w:r>
          </w:p>
        </w:tc>
        <w:tc>
          <w:tcPr>
            <w:tcW w:w="1413" w:type="dxa"/>
            <w:shd w:val="clear" w:color="auto" w:fill="auto"/>
            <w:noWrap/>
            <w:vAlign w:val="bottom"/>
            <w:hideMark/>
          </w:tcPr>
          <w:p w14:paraId="448F071C"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50(100.0)</w:t>
            </w:r>
          </w:p>
        </w:tc>
        <w:tc>
          <w:tcPr>
            <w:tcW w:w="1785" w:type="dxa"/>
            <w:shd w:val="clear" w:color="auto" w:fill="auto"/>
            <w:noWrap/>
            <w:vAlign w:val="bottom"/>
            <w:hideMark/>
          </w:tcPr>
          <w:p w14:paraId="3E10876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0.04 (0.842)</w:t>
            </w:r>
          </w:p>
        </w:tc>
        <w:tc>
          <w:tcPr>
            <w:tcW w:w="1530" w:type="dxa"/>
            <w:shd w:val="clear" w:color="auto" w:fill="auto"/>
            <w:noWrap/>
            <w:vAlign w:val="bottom"/>
            <w:hideMark/>
          </w:tcPr>
          <w:p w14:paraId="1B283AA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1.0 (0.5 - 2.0)</w:t>
            </w:r>
          </w:p>
        </w:tc>
      </w:tr>
      <w:tr w:rsidR="006A5028" w14:paraId="0AC0DF92" w14:textId="77777777">
        <w:trPr>
          <w:trHeight w:val="300"/>
          <w:jc w:val="center"/>
        </w:trPr>
        <w:tc>
          <w:tcPr>
            <w:tcW w:w="3510" w:type="dxa"/>
            <w:shd w:val="clear" w:color="auto" w:fill="auto"/>
            <w:noWrap/>
            <w:vAlign w:val="bottom"/>
            <w:hideMark/>
          </w:tcPr>
          <w:p w14:paraId="6FF25C7B" w14:textId="48B5A19B"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Married </w:t>
            </w:r>
          </w:p>
        </w:tc>
        <w:tc>
          <w:tcPr>
            <w:tcW w:w="2367" w:type="dxa"/>
            <w:shd w:val="clear" w:color="auto" w:fill="auto"/>
            <w:noWrap/>
            <w:vAlign w:val="bottom"/>
            <w:hideMark/>
          </w:tcPr>
          <w:p w14:paraId="3FD2D06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71(71.00)</w:t>
            </w:r>
          </w:p>
        </w:tc>
        <w:tc>
          <w:tcPr>
            <w:tcW w:w="1413" w:type="dxa"/>
            <w:shd w:val="clear" w:color="auto" w:fill="auto"/>
            <w:noWrap/>
            <w:vAlign w:val="bottom"/>
            <w:hideMark/>
          </w:tcPr>
          <w:p w14:paraId="15919A52"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126(100.0)</w:t>
            </w:r>
          </w:p>
        </w:tc>
        <w:tc>
          <w:tcPr>
            <w:tcW w:w="1785" w:type="dxa"/>
            <w:shd w:val="clear" w:color="auto" w:fill="auto"/>
            <w:noWrap/>
            <w:vAlign w:val="bottom"/>
            <w:hideMark/>
          </w:tcPr>
          <w:p w14:paraId="0DD9F749"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7DF06789" w14:textId="77777777" w:rsidR="006A5028" w:rsidRDefault="006A5028">
            <w:pPr>
              <w:spacing w:after="0" w:line="240" w:lineRule="auto"/>
              <w:rPr>
                <w:rFonts w:eastAsia="Times New Roman" w:cs="Times New Roman"/>
                <w:sz w:val="20"/>
                <w:szCs w:val="20"/>
                <w:lang w:val="en-GB" w:eastAsia="en-GB"/>
              </w:rPr>
            </w:pPr>
          </w:p>
        </w:tc>
      </w:tr>
      <w:tr w:rsidR="006A5028" w14:paraId="1F73AA8F" w14:textId="77777777">
        <w:trPr>
          <w:trHeight w:val="300"/>
          <w:jc w:val="center"/>
        </w:trPr>
        <w:tc>
          <w:tcPr>
            <w:tcW w:w="3510" w:type="dxa"/>
            <w:shd w:val="clear" w:color="auto" w:fill="auto"/>
            <w:noWrap/>
            <w:vAlign w:val="bottom"/>
          </w:tcPr>
          <w:p w14:paraId="244D8DA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Waist-Hip-Ratio</w:t>
            </w:r>
          </w:p>
        </w:tc>
        <w:tc>
          <w:tcPr>
            <w:tcW w:w="2367" w:type="dxa"/>
            <w:shd w:val="clear" w:color="auto" w:fill="auto"/>
            <w:noWrap/>
            <w:vAlign w:val="bottom"/>
          </w:tcPr>
          <w:p w14:paraId="4E3F05B2"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62CA5DF2"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0882F66B"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233410C2" w14:textId="77777777" w:rsidR="006A5028" w:rsidRDefault="006A5028">
            <w:pPr>
              <w:spacing w:after="0" w:line="240" w:lineRule="auto"/>
              <w:rPr>
                <w:rFonts w:eastAsia="Times New Roman" w:cs="Times New Roman"/>
                <w:color w:val="000000"/>
                <w:sz w:val="20"/>
                <w:szCs w:val="20"/>
                <w:lang w:val="en-GB" w:eastAsia="en-GB"/>
              </w:rPr>
            </w:pPr>
          </w:p>
        </w:tc>
      </w:tr>
      <w:tr w:rsidR="006A5028" w14:paraId="2547C171" w14:textId="77777777">
        <w:trPr>
          <w:trHeight w:val="300"/>
          <w:jc w:val="center"/>
        </w:trPr>
        <w:tc>
          <w:tcPr>
            <w:tcW w:w="3510" w:type="dxa"/>
            <w:shd w:val="clear" w:color="auto" w:fill="auto"/>
            <w:noWrap/>
            <w:vAlign w:val="bottom"/>
            <w:hideMark/>
          </w:tcPr>
          <w:p w14:paraId="3362FFC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lastRenderedPageBreak/>
              <w:t>Abnormal</w:t>
            </w:r>
          </w:p>
        </w:tc>
        <w:tc>
          <w:tcPr>
            <w:tcW w:w="2367" w:type="dxa"/>
            <w:shd w:val="clear" w:color="auto" w:fill="auto"/>
            <w:noWrap/>
            <w:vAlign w:val="bottom"/>
            <w:hideMark/>
          </w:tcPr>
          <w:p w14:paraId="77FA2D6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17(37.8)</w:t>
            </w:r>
          </w:p>
        </w:tc>
        <w:tc>
          <w:tcPr>
            <w:tcW w:w="1413" w:type="dxa"/>
            <w:shd w:val="clear" w:color="auto" w:fill="auto"/>
            <w:noWrap/>
            <w:vAlign w:val="bottom"/>
            <w:hideMark/>
          </w:tcPr>
          <w:p w14:paraId="53ABF12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45(100.0)</w:t>
            </w:r>
          </w:p>
        </w:tc>
        <w:tc>
          <w:tcPr>
            <w:tcW w:w="1785" w:type="dxa"/>
            <w:shd w:val="clear" w:color="auto" w:fill="auto"/>
            <w:noWrap/>
            <w:vAlign w:val="bottom"/>
            <w:hideMark/>
          </w:tcPr>
          <w:p w14:paraId="064E417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8.93 (</w:t>
            </w:r>
            <w:proofErr w:type="gramStart"/>
            <w:r>
              <w:rPr>
                <w:rFonts w:eastAsia="Times New Roman" w:cs="Times New Roman"/>
                <w:color w:val="000000"/>
                <w:sz w:val="20"/>
                <w:szCs w:val="20"/>
                <w:lang w:val="en-GB" w:eastAsia="en-GB"/>
              </w:rPr>
              <w:t>0.003)*</w:t>
            </w:r>
            <w:proofErr w:type="gramEnd"/>
          </w:p>
        </w:tc>
        <w:tc>
          <w:tcPr>
            <w:tcW w:w="1530" w:type="dxa"/>
            <w:shd w:val="clear" w:color="auto" w:fill="auto"/>
            <w:noWrap/>
            <w:vAlign w:val="bottom"/>
            <w:hideMark/>
          </w:tcPr>
          <w:p w14:paraId="0331B70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0.3 (0.1 - 0.7)</w:t>
            </w:r>
          </w:p>
        </w:tc>
      </w:tr>
      <w:tr w:rsidR="006A5028" w14:paraId="4FA1B71C" w14:textId="77777777">
        <w:trPr>
          <w:trHeight w:val="300"/>
          <w:jc w:val="center"/>
        </w:trPr>
        <w:tc>
          <w:tcPr>
            <w:tcW w:w="3510" w:type="dxa"/>
            <w:shd w:val="clear" w:color="auto" w:fill="auto"/>
            <w:noWrap/>
            <w:vAlign w:val="bottom"/>
            <w:hideMark/>
          </w:tcPr>
          <w:p w14:paraId="4CD4D87B" w14:textId="7B059591"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1C81BBA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83(63.4)</w:t>
            </w:r>
          </w:p>
        </w:tc>
        <w:tc>
          <w:tcPr>
            <w:tcW w:w="1413" w:type="dxa"/>
            <w:shd w:val="clear" w:color="auto" w:fill="auto"/>
            <w:noWrap/>
            <w:vAlign w:val="bottom"/>
            <w:hideMark/>
          </w:tcPr>
          <w:p w14:paraId="3808CEC2"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131(100.0)</w:t>
            </w:r>
          </w:p>
        </w:tc>
        <w:tc>
          <w:tcPr>
            <w:tcW w:w="1785" w:type="dxa"/>
            <w:shd w:val="clear" w:color="auto" w:fill="auto"/>
            <w:noWrap/>
            <w:vAlign w:val="bottom"/>
            <w:hideMark/>
          </w:tcPr>
          <w:p w14:paraId="44F0C13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63305109" w14:textId="77777777" w:rsidR="006A5028" w:rsidRDefault="006A5028">
            <w:pPr>
              <w:spacing w:after="0" w:line="240" w:lineRule="auto"/>
              <w:rPr>
                <w:rFonts w:eastAsia="Times New Roman" w:cs="Times New Roman"/>
                <w:sz w:val="20"/>
                <w:szCs w:val="20"/>
                <w:lang w:val="en-GB" w:eastAsia="en-GB"/>
              </w:rPr>
            </w:pPr>
          </w:p>
        </w:tc>
      </w:tr>
      <w:tr w:rsidR="006A5028" w14:paraId="4B67444A" w14:textId="77777777">
        <w:trPr>
          <w:trHeight w:val="300"/>
          <w:jc w:val="center"/>
        </w:trPr>
        <w:tc>
          <w:tcPr>
            <w:tcW w:w="3510" w:type="dxa"/>
            <w:shd w:val="clear" w:color="auto" w:fill="auto"/>
            <w:noWrap/>
            <w:vAlign w:val="bottom"/>
          </w:tcPr>
          <w:p w14:paraId="09FA9C2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BMI Class</w:t>
            </w:r>
          </w:p>
        </w:tc>
        <w:tc>
          <w:tcPr>
            <w:tcW w:w="2367" w:type="dxa"/>
            <w:shd w:val="clear" w:color="auto" w:fill="auto"/>
            <w:noWrap/>
            <w:vAlign w:val="bottom"/>
          </w:tcPr>
          <w:p w14:paraId="6E44EB4A"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65036A65"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4F158FEA"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93EDB14" w14:textId="77777777" w:rsidR="006A5028" w:rsidRDefault="006A5028">
            <w:pPr>
              <w:spacing w:after="0" w:line="240" w:lineRule="auto"/>
              <w:rPr>
                <w:rFonts w:eastAsia="Times New Roman" w:cs="Times New Roman"/>
                <w:color w:val="000000"/>
                <w:sz w:val="20"/>
                <w:szCs w:val="20"/>
                <w:lang w:val="en-GB" w:eastAsia="en-GB"/>
              </w:rPr>
            </w:pPr>
          </w:p>
        </w:tc>
      </w:tr>
      <w:tr w:rsidR="006A5028" w14:paraId="56CA700D" w14:textId="77777777">
        <w:trPr>
          <w:trHeight w:val="300"/>
          <w:jc w:val="center"/>
        </w:trPr>
        <w:tc>
          <w:tcPr>
            <w:tcW w:w="3510" w:type="dxa"/>
            <w:shd w:val="clear" w:color="auto" w:fill="auto"/>
            <w:noWrap/>
            <w:vAlign w:val="bottom"/>
            <w:hideMark/>
          </w:tcPr>
          <w:p w14:paraId="53B3A34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Abnormal </w:t>
            </w:r>
            <w:r>
              <w:rPr>
                <w:rFonts w:eastAsia="Times New Roman" w:cs="Times New Roman"/>
                <w:color w:val="000000"/>
                <w:sz w:val="20"/>
                <w:szCs w:val="20"/>
                <w:lang w:val="en-GB" w:eastAsia="en-GB"/>
              </w:rPr>
              <w:t>(obese/overweight/obese)</w:t>
            </w:r>
          </w:p>
        </w:tc>
        <w:tc>
          <w:tcPr>
            <w:tcW w:w="2367" w:type="dxa"/>
            <w:shd w:val="clear" w:color="auto" w:fill="auto"/>
            <w:noWrap/>
            <w:vAlign w:val="bottom"/>
            <w:hideMark/>
          </w:tcPr>
          <w:p w14:paraId="2D8C8156"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75(58.6)</w:t>
            </w:r>
          </w:p>
        </w:tc>
        <w:tc>
          <w:tcPr>
            <w:tcW w:w="1413" w:type="dxa"/>
            <w:shd w:val="clear" w:color="auto" w:fill="auto"/>
            <w:noWrap/>
            <w:vAlign w:val="bottom"/>
            <w:hideMark/>
          </w:tcPr>
          <w:p w14:paraId="024A9B36"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128(100.0)</w:t>
            </w:r>
          </w:p>
        </w:tc>
        <w:tc>
          <w:tcPr>
            <w:tcW w:w="1785" w:type="dxa"/>
            <w:shd w:val="clear" w:color="auto" w:fill="auto"/>
            <w:noWrap/>
            <w:vAlign w:val="bottom"/>
            <w:hideMark/>
          </w:tcPr>
          <w:p w14:paraId="0331075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0.6 (0.437)</w:t>
            </w:r>
          </w:p>
        </w:tc>
        <w:tc>
          <w:tcPr>
            <w:tcW w:w="1530" w:type="dxa"/>
            <w:shd w:val="clear" w:color="auto" w:fill="auto"/>
            <w:noWrap/>
            <w:vAlign w:val="bottom"/>
            <w:hideMark/>
          </w:tcPr>
          <w:p w14:paraId="0AF43CB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1.3 (0.6 - 2.5)</w:t>
            </w:r>
          </w:p>
        </w:tc>
      </w:tr>
      <w:tr w:rsidR="006A5028" w14:paraId="129F55F6" w14:textId="77777777">
        <w:trPr>
          <w:trHeight w:val="300"/>
          <w:jc w:val="center"/>
        </w:trPr>
        <w:tc>
          <w:tcPr>
            <w:tcW w:w="3510" w:type="dxa"/>
            <w:shd w:val="clear" w:color="auto" w:fill="auto"/>
            <w:noWrap/>
            <w:vAlign w:val="bottom"/>
            <w:hideMark/>
          </w:tcPr>
          <w:p w14:paraId="2F3975B0" w14:textId="2047C8D9"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4A64B5D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25(52.1)</w:t>
            </w:r>
          </w:p>
        </w:tc>
        <w:tc>
          <w:tcPr>
            <w:tcW w:w="1413" w:type="dxa"/>
            <w:shd w:val="clear" w:color="auto" w:fill="auto"/>
            <w:noWrap/>
            <w:vAlign w:val="bottom"/>
            <w:hideMark/>
          </w:tcPr>
          <w:p w14:paraId="14A07E81"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48(100.0)</w:t>
            </w:r>
          </w:p>
        </w:tc>
        <w:tc>
          <w:tcPr>
            <w:tcW w:w="1785" w:type="dxa"/>
            <w:shd w:val="clear" w:color="auto" w:fill="auto"/>
            <w:noWrap/>
            <w:vAlign w:val="bottom"/>
            <w:hideMark/>
          </w:tcPr>
          <w:p w14:paraId="6C21D155"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6868AC1A" w14:textId="77777777" w:rsidR="006A5028" w:rsidRDefault="006A5028">
            <w:pPr>
              <w:spacing w:after="0" w:line="240" w:lineRule="auto"/>
              <w:rPr>
                <w:rFonts w:eastAsia="Times New Roman" w:cs="Times New Roman"/>
                <w:sz w:val="20"/>
                <w:szCs w:val="20"/>
                <w:lang w:val="en-GB" w:eastAsia="en-GB"/>
              </w:rPr>
            </w:pPr>
          </w:p>
        </w:tc>
      </w:tr>
      <w:tr w:rsidR="006A5028" w14:paraId="7F56393B" w14:textId="77777777">
        <w:trPr>
          <w:trHeight w:val="300"/>
          <w:jc w:val="center"/>
        </w:trPr>
        <w:tc>
          <w:tcPr>
            <w:tcW w:w="3510" w:type="dxa"/>
            <w:shd w:val="clear" w:color="auto" w:fill="auto"/>
            <w:noWrap/>
            <w:vAlign w:val="bottom"/>
          </w:tcPr>
          <w:p w14:paraId="05B1832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Triglycerides</w:t>
            </w:r>
          </w:p>
        </w:tc>
        <w:tc>
          <w:tcPr>
            <w:tcW w:w="2367" w:type="dxa"/>
            <w:shd w:val="clear" w:color="auto" w:fill="auto"/>
            <w:noWrap/>
            <w:vAlign w:val="bottom"/>
          </w:tcPr>
          <w:p w14:paraId="06013F45"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78E4F435"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027993A9"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D227E5C" w14:textId="77777777" w:rsidR="006A5028" w:rsidRDefault="006A5028">
            <w:pPr>
              <w:spacing w:after="0" w:line="240" w:lineRule="auto"/>
              <w:rPr>
                <w:rFonts w:eastAsia="Times New Roman" w:cs="Times New Roman"/>
                <w:color w:val="000000"/>
                <w:sz w:val="20"/>
                <w:szCs w:val="20"/>
                <w:lang w:val="en-GB" w:eastAsia="en-GB"/>
              </w:rPr>
            </w:pPr>
          </w:p>
        </w:tc>
      </w:tr>
      <w:tr w:rsidR="006A5028" w14:paraId="49FE6EAB" w14:textId="77777777">
        <w:trPr>
          <w:trHeight w:val="300"/>
          <w:jc w:val="center"/>
        </w:trPr>
        <w:tc>
          <w:tcPr>
            <w:tcW w:w="3510" w:type="dxa"/>
            <w:shd w:val="clear" w:color="auto" w:fill="auto"/>
            <w:noWrap/>
            <w:vAlign w:val="bottom"/>
            <w:hideMark/>
          </w:tcPr>
          <w:p w14:paraId="29DE8AE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983A1F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34(57.6)</w:t>
            </w:r>
          </w:p>
        </w:tc>
        <w:tc>
          <w:tcPr>
            <w:tcW w:w="1413" w:type="dxa"/>
            <w:shd w:val="clear" w:color="auto" w:fill="auto"/>
            <w:noWrap/>
            <w:vAlign w:val="bottom"/>
            <w:hideMark/>
          </w:tcPr>
          <w:p w14:paraId="29EAAAED"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59(100.0)</w:t>
            </w:r>
          </w:p>
        </w:tc>
        <w:tc>
          <w:tcPr>
            <w:tcW w:w="1785" w:type="dxa"/>
            <w:shd w:val="clear" w:color="auto" w:fill="auto"/>
            <w:noWrap/>
            <w:vAlign w:val="bottom"/>
            <w:hideMark/>
          </w:tcPr>
          <w:p w14:paraId="2AAC002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0.24 (0.878)</w:t>
            </w:r>
          </w:p>
        </w:tc>
        <w:tc>
          <w:tcPr>
            <w:tcW w:w="1530" w:type="dxa"/>
            <w:shd w:val="clear" w:color="auto" w:fill="auto"/>
            <w:noWrap/>
            <w:vAlign w:val="bottom"/>
            <w:hideMark/>
          </w:tcPr>
          <w:p w14:paraId="238F42B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1.0 (0.5 - 1.9)</w:t>
            </w:r>
          </w:p>
        </w:tc>
      </w:tr>
      <w:tr w:rsidR="006A5028" w14:paraId="4FD0D716" w14:textId="77777777">
        <w:trPr>
          <w:trHeight w:val="300"/>
          <w:jc w:val="center"/>
        </w:trPr>
        <w:tc>
          <w:tcPr>
            <w:tcW w:w="3510" w:type="dxa"/>
            <w:shd w:val="clear" w:color="auto" w:fill="auto"/>
            <w:noWrap/>
            <w:vAlign w:val="bottom"/>
            <w:hideMark/>
          </w:tcPr>
          <w:p w14:paraId="40E88551" w14:textId="7CF0F955"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334F3D2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66(56.4)</w:t>
            </w:r>
          </w:p>
        </w:tc>
        <w:tc>
          <w:tcPr>
            <w:tcW w:w="1413" w:type="dxa"/>
            <w:shd w:val="clear" w:color="auto" w:fill="auto"/>
            <w:noWrap/>
            <w:vAlign w:val="bottom"/>
            <w:hideMark/>
          </w:tcPr>
          <w:p w14:paraId="01EAF5DE"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117(100.0)</w:t>
            </w:r>
          </w:p>
        </w:tc>
        <w:tc>
          <w:tcPr>
            <w:tcW w:w="1785" w:type="dxa"/>
            <w:shd w:val="clear" w:color="auto" w:fill="auto"/>
            <w:noWrap/>
            <w:vAlign w:val="bottom"/>
            <w:hideMark/>
          </w:tcPr>
          <w:p w14:paraId="2DE6E532"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0DF374B4" w14:textId="77777777" w:rsidR="006A5028" w:rsidRDefault="006A5028">
            <w:pPr>
              <w:spacing w:after="0" w:line="240" w:lineRule="auto"/>
              <w:rPr>
                <w:rFonts w:eastAsia="Times New Roman" w:cs="Times New Roman"/>
                <w:sz w:val="20"/>
                <w:szCs w:val="20"/>
                <w:lang w:val="en-GB" w:eastAsia="en-GB"/>
              </w:rPr>
            </w:pPr>
          </w:p>
        </w:tc>
      </w:tr>
      <w:tr w:rsidR="006A5028" w14:paraId="73FC1ABE" w14:textId="77777777">
        <w:trPr>
          <w:trHeight w:val="300"/>
          <w:jc w:val="center"/>
        </w:trPr>
        <w:tc>
          <w:tcPr>
            <w:tcW w:w="3510" w:type="dxa"/>
            <w:shd w:val="clear" w:color="auto" w:fill="auto"/>
            <w:noWrap/>
            <w:vAlign w:val="bottom"/>
          </w:tcPr>
          <w:p w14:paraId="19D83B97"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Fasting Blood Glucose</w:t>
            </w:r>
          </w:p>
        </w:tc>
        <w:tc>
          <w:tcPr>
            <w:tcW w:w="2367" w:type="dxa"/>
            <w:shd w:val="clear" w:color="auto" w:fill="auto"/>
            <w:noWrap/>
            <w:vAlign w:val="bottom"/>
          </w:tcPr>
          <w:p w14:paraId="1772C61B"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2926C0C4"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4EBDF99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691C0BC3" w14:textId="77777777" w:rsidR="006A5028" w:rsidRDefault="006A5028">
            <w:pPr>
              <w:spacing w:after="0" w:line="240" w:lineRule="auto"/>
              <w:rPr>
                <w:rFonts w:eastAsia="Times New Roman" w:cs="Times New Roman"/>
                <w:color w:val="000000"/>
                <w:sz w:val="20"/>
                <w:szCs w:val="20"/>
                <w:lang w:val="en-GB" w:eastAsia="en-GB"/>
              </w:rPr>
            </w:pPr>
          </w:p>
        </w:tc>
      </w:tr>
      <w:tr w:rsidR="006A5028" w14:paraId="58A3CC4B" w14:textId="77777777">
        <w:trPr>
          <w:trHeight w:val="300"/>
          <w:jc w:val="center"/>
        </w:trPr>
        <w:tc>
          <w:tcPr>
            <w:tcW w:w="3510" w:type="dxa"/>
            <w:shd w:val="clear" w:color="auto" w:fill="auto"/>
            <w:noWrap/>
            <w:vAlign w:val="bottom"/>
            <w:hideMark/>
          </w:tcPr>
          <w:p w14:paraId="299AE23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35E5F156"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83(58.9)</w:t>
            </w:r>
          </w:p>
        </w:tc>
        <w:tc>
          <w:tcPr>
            <w:tcW w:w="1413" w:type="dxa"/>
            <w:shd w:val="clear" w:color="auto" w:fill="auto"/>
            <w:noWrap/>
            <w:vAlign w:val="bottom"/>
            <w:hideMark/>
          </w:tcPr>
          <w:p w14:paraId="51684C67"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141(100.0)</w:t>
            </w:r>
          </w:p>
        </w:tc>
        <w:tc>
          <w:tcPr>
            <w:tcW w:w="1785" w:type="dxa"/>
            <w:shd w:val="clear" w:color="auto" w:fill="auto"/>
            <w:noWrap/>
            <w:vAlign w:val="bottom"/>
            <w:hideMark/>
          </w:tcPr>
          <w:p w14:paraId="2947F54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1.21 (0.271)</w:t>
            </w:r>
          </w:p>
        </w:tc>
        <w:tc>
          <w:tcPr>
            <w:tcW w:w="1530" w:type="dxa"/>
            <w:shd w:val="clear" w:color="auto" w:fill="auto"/>
            <w:noWrap/>
            <w:vAlign w:val="bottom"/>
            <w:hideMark/>
          </w:tcPr>
          <w:p w14:paraId="489A0AF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1.5 (0.7 - 3.1) </w:t>
            </w:r>
          </w:p>
        </w:tc>
      </w:tr>
      <w:tr w:rsidR="006A5028" w14:paraId="1D4E9B8A" w14:textId="77777777">
        <w:trPr>
          <w:trHeight w:val="300"/>
          <w:jc w:val="center"/>
        </w:trPr>
        <w:tc>
          <w:tcPr>
            <w:tcW w:w="3510" w:type="dxa"/>
            <w:shd w:val="clear" w:color="auto" w:fill="auto"/>
            <w:noWrap/>
            <w:vAlign w:val="bottom"/>
            <w:hideMark/>
          </w:tcPr>
          <w:p w14:paraId="1EE15149" w14:textId="439A1D2D"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44F8108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17(48.6)</w:t>
            </w:r>
          </w:p>
        </w:tc>
        <w:tc>
          <w:tcPr>
            <w:tcW w:w="1413" w:type="dxa"/>
            <w:shd w:val="clear" w:color="auto" w:fill="auto"/>
            <w:noWrap/>
            <w:vAlign w:val="bottom"/>
            <w:hideMark/>
          </w:tcPr>
          <w:p w14:paraId="7B9F991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35(100.0)</w:t>
            </w:r>
          </w:p>
        </w:tc>
        <w:tc>
          <w:tcPr>
            <w:tcW w:w="1785" w:type="dxa"/>
            <w:shd w:val="clear" w:color="auto" w:fill="auto"/>
            <w:noWrap/>
            <w:vAlign w:val="bottom"/>
            <w:hideMark/>
          </w:tcPr>
          <w:p w14:paraId="34C0ACBF"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5EAFE770" w14:textId="77777777" w:rsidR="006A5028" w:rsidRDefault="006A5028">
            <w:pPr>
              <w:spacing w:after="0" w:line="240" w:lineRule="auto"/>
              <w:rPr>
                <w:rFonts w:eastAsia="Times New Roman" w:cs="Times New Roman"/>
                <w:sz w:val="20"/>
                <w:szCs w:val="20"/>
                <w:lang w:val="en-GB" w:eastAsia="en-GB"/>
              </w:rPr>
            </w:pPr>
          </w:p>
        </w:tc>
      </w:tr>
      <w:tr w:rsidR="006A5028" w14:paraId="5EC7E750" w14:textId="77777777">
        <w:trPr>
          <w:trHeight w:val="300"/>
          <w:jc w:val="center"/>
        </w:trPr>
        <w:tc>
          <w:tcPr>
            <w:tcW w:w="3510" w:type="dxa"/>
            <w:shd w:val="clear" w:color="auto" w:fill="auto"/>
            <w:noWrap/>
            <w:vAlign w:val="bottom"/>
          </w:tcPr>
          <w:p w14:paraId="6BB1CD87"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Calcium</w:t>
            </w:r>
          </w:p>
        </w:tc>
        <w:tc>
          <w:tcPr>
            <w:tcW w:w="2367" w:type="dxa"/>
            <w:shd w:val="clear" w:color="auto" w:fill="auto"/>
            <w:noWrap/>
            <w:vAlign w:val="bottom"/>
          </w:tcPr>
          <w:p w14:paraId="1F26B06D"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2A4B0D28"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1C447CEB"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A78FE7E" w14:textId="77777777" w:rsidR="006A5028" w:rsidRDefault="006A5028">
            <w:pPr>
              <w:spacing w:after="0" w:line="240" w:lineRule="auto"/>
              <w:rPr>
                <w:rFonts w:eastAsia="Times New Roman" w:cs="Times New Roman"/>
                <w:color w:val="000000"/>
                <w:sz w:val="20"/>
                <w:szCs w:val="20"/>
                <w:lang w:val="en-GB" w:eastAsia="en-GB"/>
              </w:rPr>
            </w:pPr>
          </w:p>
        </w:tc>
      </w:tr>
      <w:tr w:rsidR="006A5028" w14:paraId="0E0EB442" w14:textId="77777777">
        <w:trPr>
          <w:trHeight w:val="300"/>
          <w:jc w:val="center"/>
        </w:trPr>
        <w:tc>
          <w:tcPr>
            <w:tcW w:w="3510" w:type="dxa"/>
            <w:shd w:val="clear" w:color="auto" w:fill="auto"/>
            <w:noWrap/>
            <w:vAlign w:val="bottom"/>
            <w:hideMark/>
          </w:tcPr>
          <w:p w14:paraId="3601C31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7CA68A8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17(85.0)</w:t>
            </w:r>
          </w:p>
        </w:tc>
        <w:tc>
          <w:tcPr>
            <w:tcW w:w="1413" w:type="dxa"/>
            <w:shd w:val="clear" w:color="auto" w:fill="auto"/>
            <w:noWrap/>
            <w:vAlign w:val="bottom"/>
            <w:hideMark/>
          </w:tcPr>
          <w:p w14:paraId="1C1CF48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20(100.0)</w:t>
            </w:r>
          </w:p>
        </w:tc>
        <w:tc>
          <w:tcPr>
            <w:tcW w:w="1785" w:type="dxa"/>
            <w:shd w:val="clear" w:color="auto" w:fill="auto"/>
            <w:noWrap/>
            <w:vAlign w:val="bottom"/>
            <w:hideMark/>
          </w:tcPr>
          <w:p w14:paraId="1DDC806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7.03 (</w:t>
            </w:r>
            <w:proofErr w:type="gramStart"/>
            <w:r>
              <w:rPr>
                <w:rFonts w:eastAsia="Times New Roman" w:cs="Times New Roman"/>
                <w:color w:val="000000"/>
                <w:sz w:val="20"/>
                <w:szCs w:val="20"/>
                <w:lang w:val="en-GB" w:eastAsia="en-GB"/>
              </w:rPr>
              <w:t>0.007)*</w:t>
            </w:r>
            <w:proofErr w:type="gramEnd"/>
          </w:p>
        </w:tc>
        <w:tc>
          <w:tcPr>
            <w:tcW w:w="1530" w:type="dxa"/>
            <w:shd w:val="clear" w:color="auto" w:fill="auto"/>
            <w:noWrap/>
            <w:vAlign w:val="bottom"/>
            <w:hideMark/>
          </w:tcPr>
          <w:p w14:paraId="2F37E31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4.9 (1.4 - 17.6) </w:t>
            </w:r>
          </w:p>
        </w:tc>
      </w:tr>
      <w:tr w:rsidR="006A5028" w14:paraId="15D5899E" w14:textId="77777777">
        <w:trPr>
          <w:trHeight w:val="300"/>
          <w:jc w:val="center"/>
        </w:trPr>
        <w:tc>
          <w:tcPr>
            <w:tcW w:w="3510" w:type="dxa"/>
            <w:shd w:val="clear" w:color="auto" w:fill="auto"/>
            <w:noWrap/>
            <w:vAlign w:val="bottom"/>
            <w:hideMark/>
          </w:tcPr>
          <w:p w14:paraId="6525FA7A" w14:textId="0A5E2563"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7D07047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83(53.2)</w:t>
            </w:r>
          </w:p>
        </w:tc>
        <w:tc>
          <w:tcPr>
            <w:tcW w:w="1413" w:type="dxa"/>
            <w:shd w:val="clear" w:color="auto" w:fill="auto"/>
            <w:noWrap/>
            <w:vAlign w:val="bottom"/>
            <w:hideMark/>
          </w:tcPr>
          <w:p w14:paraId="11443E6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156(100.0)</w:t>
            </w:r>
          </w:p>
        </w:tc>
        <w:tc>
          <w:tcPr>
            <w:tcW w:w="1785" w:type="dxa"/>
            <w:shd w:val="clear" w:color="auto" w:fill="auto"/>
            <w:noWrap/>
            <w:vAlign w:val="bottom"/>
            <w:hideMark/>
          </w:tcPr>
          <w:p w14:paraId="0219B23C"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2ED7549B" w14:textId="77777777" w:rsidR="006A5028" w:rsidRDefault="006A5028">
            <w:pPr>
              <w:spacing w:after="0" w:line="240" w:lineRule="auto"/>
              <w:rPr>
                <w:rFonts w:eastAsia="Times New Roman" w:cs="Times New Roman"/>
                <w:sz w:val="20"/>
                <w:szCs w:val="20"/>
                <w:lang w:val="en-GB" w:eastAsia="en-GB"/>
              </w:rPr>
            </w:pPr>
          </w:p>
        </w:tc>
      </w:tr>
      <w:tr w:rsidR="006A5028" w14:paraId="39F46258" w14:textId="77777777">
        <w:trPr>
          <w:trHeight w:val="300"/>
          <w:jc w:val="center"/>
        </w:trPr>
        <w:tc>
          <w:tcPr>
            <w:tcW w:w="3510" w:type="dxa"/>
            <w:shd w:val="clear" w:color="auto" w:fill="auto"/>
            <w:noWrap/>
            <w:vAlign w:val="bottom"/>
          </w:tcPr>
          <w:p w14:paraId="3C0D2B9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Albumin</w:t>
            </w:r>
          </w:p>
        </w:tc>
        <w:tc>
          <w:tcPr>
            <w:tcW w:w="2367" w:type="dxa"/>
            <w:shd w:val="clear" w:color="auto" w:fill="auto"/>
            <w:noWrap/>
            <w:vAlign w:val="bottom"/>
          </w:tcPr>
          <w:p w14:paraId="604D4A37"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10251971"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7A4DC862"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150D4A9F" w14:textId="77777777" w:rsidR="006A5028" w:rsidRDefault="006A5028">
            <w:pPr>
              <w:spacing w:after="0" w:line="240" w:lineRule="auto"/>
              <w:rPr>
                <w:rFonts w:eastAsia="Times New Roman" w:cs="Times New Roman"/>
                <w:color w:val="000000"/>
                <w:sz w:val="20"/>
                <w:szCs w:val="20"/>
                <w:lang w:val="en-GB" w:eastAsia="en-GB"/>
              </w:rPr>
            </w:pPr>
          </w:p>
        </w:tc>
      </w:tr>
      <w:tr w:rsidR="006A5028" w14:paraId="7ABB2131" w14:textId="77777777">
        <w:trPr>
          <w:trHeight w:val="300"/>
          <w:jc w:val="center"/>
        </w:trPr>
        <w:tc>
          <w:tcPr>
            <w:tcW w:w="3510" w:type="dxa"/>
            <w:shd w:val="clear" w:color="auto" w:fill="auto"/>
            <w:noWrap/>
            <w:vAlign w:val="bottom"/>
            <w:hideMark/>
          </w:tcPr>
          <w:p w14:paraId="6F6DA6B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CA228D3"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30(88.2)</w:t>
            </w:r>
          </w:p>
        </w:tc>
        <w:tc>
          <w:tcPr>
            <w:tcW w:w="1413" w:type="dxa"/>
            <w:shd w:val="clear" w:color="auto" w:fill="auto"/>
            <w:noWrap/>
            <w:vAlign w:val="bottom"/>
            <w:hideMark/>
          </w:tcPr>
          <w:p w14:paraId="54051F36"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34(100.0)</w:t>
            </w:r>
          </w:p>
        </w:tc>
        <w:tc>
          <w:tcPr>
            <w:tcW w:w="1785" w:type="dxa"/>
            <w:shd w:val="clear" w:color="auto" w:fill="auto"/>
            <w:noWrap/>
            <w:vAlign w:val="bottom"/>
            <w:hideMark/>
          </w:tcPr>
          <w:p w14:paraId="638B3E6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16.95 (</w:t>
            </w:r>
            <w:proofErr w:type="gramStart"/>
            <w:r>
              <w:rPr>
                <w:rFonts w:eastAsia="Times New Roman" w:cs="Times New Roman"/>
                <w:color w:val="000000"/>
                <w:sz w:val="20"/>
                <w:szCs w:val="20"/>
                <w:lang w:val="en-GB" w:eastAsia="en-GB"/>
              </w:rPr>
              <w:t>0.0001)*</w:t>
            </w:r>
            <w:proofErr w:type="gramEnd"/>
          </w:p>
        </w:tc>
        <w:tc>
          <w:tcPr>
            <w:tcW w:w="1530" w:type="dxa"/>
            <w:shd w:val="clear" w:color="auto" w:fill="auto"/>
            <w:noWrap/>
            <w:vAlign w:val="bottom"/>
            <w:hideMark/>
          </w:tcPr>
          <w:p w14:paraId="6FE68CF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7.7 (2.5 - 23.0) </w:t>
            </w:r>
          </w:p>
        </w:tc>
      </w:tr>
      <w:tr w:rsidR="006A5028" w14:paraId="27838A81" w14:textId="77777777">
        <w:trPr>
          <w:trHeight w:val="300"/>
          <w:jc w:val="center"/>
        </w:trPr>
        <w:tc>
          <w:tcPr>
            <w:tcW w:w="3510" w:type="dxa"/>
            <w:shd w:val="clear" w:color="auto" w:fill="auto"/>
            <w:noWrap/>
            <w:vAlign w:val="bottom"/>
            <w:hideMark/>
          </w:tcPr>
          <w:p w14:paraId="77F55500" w14:textId="58CCF8DE"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19CAD91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70(49.3)</w:t>
            </w:r>
          </w:p>
        </w:tc>
        <w:tc>
          <w:tcPr>
            <w:tcW w:w="1413" w:type="dxa"/>
            <w:shd w:val="clear" w:color="auto" w:fill="auto"/>
            <w:noWrap/>
            <w:vAlign w:val="bottom"/>
            <w:hideMark/>
          </w:tcPr>
          <w:p w14:paraId="15F7E79C"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142(100.0)</w:t>
            </w:r>
          </w:p>
        </w:tc>
        <w:tc>
          <w:tcPr>
            <w:tcW w:w="1785" w:type="dxa"/>
            <w:shd w:val="clear" w:color="auto" w:fill="auto"/>
            <w:noWrap/>
            <w:vAlign w:val="bottom"/>
            <w:hideMark/>
          </w:tcPr>
          <w:p w14:paraId="627CF66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6F04D59B" w14:textId="77777777" w:rsidR="006A5028" w:rsidRDefault="006A5028">
            <w:pPr>
              <w:spacing w:after="0" w:line="240" w:lineRule="auto"/>
              <w:rPr>
                <w:rFonts w:eastAsia="Times New Roman" w:cs="Times New Roman"/>
                <w:sz w:val="20"/>
                <w:szCs w:val="20"/>
                <w:lang w:val="en-GB" w:eastAsia="en-GB"/>
              </w:rPr>
            </w:pPr>
          </w:p>
        </w:tc>
      </w:tr>
      <w:tr w:rsidR="006A5028" w14:paraId="0848E576" w14:textId="77777777">
        <w:trPr>
          <w:trHeight w:val="300"/>
          <w:jc w:val="center"/>
        </w:trPr>
        <w:tc>
          <w:tcPr>
            <w:tcW w:w="3510" w:type="dxa"/>
            <w:shd w:val="clear" w:color="auto" w:fill="auto"/>
            <w:noWrap/>
            <w:vAlign w:val="bottom"/>
          </w:tcPr>
          <w:p w14:paraId="7C653F9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Cholesterol</w:t>
            </w:r>
          </w:p>
        </w:tc>
        <w:tc>
          <w:tcPr>
            <w:tcW w:w="2367" w:type="dxa"/>
            <w:shd w:val="clear" w:color="auto" w:fill="auto"/>
            <w:noWrap/>
            <w:vAlign w:val="bottom"/>
          </w:tcPr>
          <w:p w14:paraId="5346788C"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518B7F48"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6F9EC0A0"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3850A14D" w14:textId="77777777" w:rsidR="006A5028" w:rsidRDefault="006A5028">
            <w:pPr>
              <w:spacing w:after="0" w:line="240" w:lineRule="auto"/>
              <w:rPr>
                <w:rFonts w:eastAsia="Times New Roman" w:cs="Times New Roman"/>
                <w:color w:val="000000"/>
                <w:sz w:val="20"/>
                <w:szCs w:val="20"/>
                <w:lang w:val="en-GB" w:eastAsia="en-GB"/>
              </w:rPr>
            </w:pPr>
          </w:p>
        </w:tc>
      </w:tr>
      <w:tr w:rsidR="006A5028" w14:paraId="0FFCD657" w14:textId="77777777">
        <w:trPr>
          <w:trHeight w:val="300"/>
          <w:jc w:val="center"/>
        </w:trPr>
        <w:tc>
          <w:tcPr>
            <w:tcW w:w="3510" w:type="dxa"/>
            <w:shd w:val="clear" w:color="auto" w:fill="auto"/>
            <w:noWrap/>
            <w:vAlign w:val="bottom"/>
            <w:hideMark/>
          </w:tcPr>
          <w:p w14:paraId="6F979537"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2544456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14(35.0)</w:t>
            </w:r>
          </w:p>
        </w:tc>
        <w:tc>
          <w:tcPr>
            <w:tcW w:w="1413" w:type="dxa"/>
            <w:shd w:val="clear" w:color="auto" w:fill="auto"/>
            <w:noWrap/>
            <w:vAlign w:val="bottom"/>
            <w:hideMark/>
          </w:tcPr>
          <w:p w14:paraId="47278C4F"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40(100.0)</w:t>
            </w:r>
          </w:p>
        </w:tc>
        <w:tc>
          <w:tcPr>
            <w:tcW w:w="1785" w:type="dxa"/>
            <w:shd w:val="clear" w:color="auto" w:fill="auto"/>
            <w:noWrap/>
            <w:vAlign w:val="bottom"/>
            <w:hideMark/>
          </w:tcPr>
          <w:p w14:paraId="533E914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10.0 (</w:t>
            </w:r>
            <w:proofErr w:type="gramStart"/>
            <w:r>
              <w:rPr>
                <w:rFonts w:eastAsia="Times New Roman" w:cs="Times New Roman"/>
                <w:color w:val="000000"/>
                <w:sz w:val="20"/>
                <w:szCs w:val="20"/>
                <w:lang w:val="en-GB" w:eastAsia="en-GB"/>
              </w:rPr>
              <w:t>0.002)*</w:t>
            </w:r>
            <w:proofErr w:type="gramEnd"/>
          </w:p>
        </w:tc>
        <w:tc>
          <w:tcPr>
            <w:tcW w:w="1530" w:type="dxa"/>
            <w:shd w:val="clear" w:color="auto" w:fill="auto"/>
            <w:noWrap/>
            <w:vAlign w:val="bottom"/>
            <w:hideMark/>
          </w:tcPr>
          <w:p w14:paraId="225773A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0.3 (0.1 - 0.6)</w:t>
            </w:r>
          </w:p>
        </w:tc>
      </w:tr>
      <w:tr w:rsidR="006A5028" w14:paraId="2664C4E2" w14:textId="77777777">
        <w:trPr>
          <w:trHeight w:val="300"/>
          <w:jc w:val="center"/>
        </w:trPr>
        <w:tc>
          <w:tcPr>
            <w:tcW w:w="3510" w:type="dxa"/>
            <w:shd w:val="clear" w:color="auto" w:fill="auto"/>
            <w:noWrap/>
            <w:vAlign w:val="bottom"/>
            <w:hideMark/>
          </w:tcPr>
          <w:p w14:paraId="71B78711" w14:textId="4A743570"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28C5919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86(63.2)</w:t>
            </w:r>
          </w:p>
        </w:tc>
        <w:tc>
          <w:tcPr>
            <w:tcW w:w="1413" w:type="dxa"/>
            <w:shd w:val="clear" w:color="auto" w:fill="auto"/>
            <w:noWrap/>
            <w:vAlign w:val="bottom"/>
            <w:hideMark/>
          </w:tcPr>
          <w:p w14:paraId="3E6FE00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136(100.0)</w:t>
            </w:r>
          </w:p>
        </w:tc>
        <w:tc>
          <w:tcPr>
            <w:tcW w:w="1785" w:type="dxa"/>
            <w:shd w:val="clear" w:color="auto" w:fill="auto"/>
            <w:noWrap/>
            <w:vAlign w:val="bottom"/>
            <w:hideMark/>
          </w:tcPr>
          <w:p w14:paraId="64F1EB3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2FD8ACAA" w14:textId="77777777" w:rsidR="006A5028" w:rsidRDefault="006A5028">
            <w:pPr>
              <w:spacing w:after="0" w:line="240" w:lineRule="auto"/>
              <w:rPr>
                <w:rFonts w:eastAsia="Times New Roman" w:cs="Times New Roman"/>
                <w:sz w:val="20"/>
                <w:szCs w:val="20"/>
                <w:lang w:val="en-GB" w:eastAsia="en-GB"/>
              </w:rPr>
            </w:pPr>
          </w:p>
        </w:tc>
      </w:tr>
      <w:tr w:rsidR="006A5028" w14:paraId="18AE44B0" w14:textId="77777777">
        <w:trPr>
          <w:trHeight w:val="300"/>
          <w:jc w:val="center"/>
        </w:trPr>
        <w:tc>
          <w:tcPr>
            <w:tcW w:w="3510" w:type="dxa"/>
            <w:shd w:val="clear" w:color="auto" w:fill="auto"/>
            <w:noWrap/>
            <w:vAlign w:val="bottom"/>
          </w:tcPr>
          <w:p w14:paraId="02E1E4C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HDL</w:t>
            </w:r>
          </w:p>
        </w:tc>
        <w:tc>
          <w:tcPr>
            <w:tcW w:w="2367" w:type="dxa"/>
            <w:shd w:val="clear" w:color="auto" w:fill="auto"/>
            <w:noWrap/>
            <w:vAlign w:val="bottom"/>
          </w:tcPr>
          <w:p w14:paraId="2F115AA4"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47CF0498"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6BF022D8"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76759A52" w14:textId="77777777" w:rsidR="006A5028" w:rsidRDefault="006A5028">
            <w:pPr>
              <w:spacing w:after="0" w:line="240" w:lineRule="auto"/>
              <w:rPr>
                <w:rFonts w:eastAsia="Times New Roman" w:cs="Times New Roman"/>
                <w:color w:val="000000"/>
                <w:sz w:val="20"/>
                <w:szCs w:val="20"/>
                <w:lang w:val="en-GB" w:eastAsia="en-GB"/>
              </w:rPr>
            </w:pPr>
          </w:p>
        </w:tc>
      </w:tr>
      <w:tr w:rsidR="006A5028" w14:paraId="4CF13947" w14:textId="77777777">
        <w:trPr>
          <w:trHeight w:val="300"/>
          <w:jc w:val="center"/>
        </w:trPr>
        <w:tc>
          <w:tcPr>
            <w:tcW w:w="3510" w:type="dxa"/>
            <w:shd w:val="clear" w:color="auto" w:fill="auto"/>
            <w:noWrap/>
            <w:vAlign w:val="bottom"/>
            <w:hideMark/>
          </w:tcPr>
          <w:p w14:paraId="708DC20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0959087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74(59.7)</w:t>
            </w:r>
          </w:p>
        </w:tc>
        <w:tc>
          <w:tcPr>
            <w:tcW w:w="1413" w:type="dxa"/>
            <w:shd w:val="clear" w:color="auto" w:fill="auto"/>
            <w:noWrap/>
            <w:vAlign w:val="bottom"/>
            <w:hideMark/>
          </w:tcPr>
          <w:p w14:paraId="37A7992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124(100.0)</w:t>
            </w:r>
          </w:p>
        </w:tc>
        <w:tc>
          <w:tcPr>
            <w:tcW w:w="1785" w:type="dxa"/>
            <w:shd w:val="clear" w:color="auto" w:fill="auto"/>
            <w:noWrap/>
            <w:vAlign w:val="bottom"/>
            <w:hideMark/>
          </w:tcPr>
          <w:p w14:paraId="33AA21D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1.38 (0.237)</w:t>
            </w:r>
          </w:p>
        </w:tc>
        <w:tc>
          <w:tcPr>
            <w:tcW w:w="1530" w:type="dxa"/>
            <w:shd w:val="clear" w:color="auto" w:fill="auto"/>
            <w:noWrap/>
            <w:vAlign w:val="bottom"/>
            <w:hideMark/>
          </w:tcPr>
          <w:p w14:paraId="20E0037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1.4 (0.7 - 2.8) </w:t>
            </w:r>
          </w:p>
        </w:tc>
      </w:tr>
      <w:tr w:rsidR="006A5028" w14:paraId="68B007AB" w14:textId="77777777">
        <w:trPr>
          <w:trHeight w:val="300"/>
          <w:jc w:val="center"/>
        </w:trPr>
        <w:tc>
          <w:tcPr>
            <w:tcW w:w="3510" w:type="dxa"/>
            <w:shd w:val="clear" w:color="auto" w:fill="auto"/>
            <w:noWrap/>
            <w:vAlign w:val="bottom"/>
            <w:hideMark/>
          </w:tcPr>
          <w:p w14:paraId="5D2F4536" w14:textId="6732ECE4"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797F2273"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26(50.0)</w:t>
            </w:r>
          </w:p>
        </w:tc>
        <w:tc>
          <w:tcPr>
            <w:tcW w:w="1413" w:type="dxa"/>
            <w:shd w:val="clear" w:color="auto" w:fill="auto"/>
            <w:noWrap/>
            <w:vAlign w:val="bottom"/>
            <w:hideMark/>
          </w:tcPr>
          <w:p w14:paraId="1D597CF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52(100.0)</w:t>
            </w:r>
          </w:p>
        </w:tc>
        <w:tc>
          <w:tcPr>
            <w:tcW w:w="1785" w:type="dxa"/>
            <w:shd w:val="clear" w:color="auto" w:fill="auto"/>
            <w:noWrap/>
            <w:vAlign w:val="bottom"/>
            <w:hideMark/>
          </w:tcPr>
          <w:p w14:paraId="0D1B7B2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724F5656" w14:textId="77777777" w:rsidR="006A5028" w:rsidRDefault="006A5028">
            <w:pPr>
              <w:spacing w:after="0" w:line="240" w:lineRule="auto"/>
              <w:rPr>
                <w:rFonts w:eastAsia="Times New Roman" w:cs="Times New Roman"/>
                <w:sz w:val="20"/>
                <w:szCs w:val="20"/>
                <w:lang w:val="en-GB" w:eastAsia="en-GB"/>
              </w:rPr>
            </w:pPr>
          </w:p>
        </w:tc>
      </w:tr>
      <w:tr w:rsidR="006A5028" w14:paraId="1CF0FA27" w14:textId="77777777">
        <w:trPr>
          <w:trHeight w:val="300"/>
          <w:jc w:val="center"/>
        </w:trPr>
        <w:tc>
          <w:tcPr>
            <w:tcW w:w="3510" w:type="dxa"/>
            <w:shd w:val="clear" w:color="auto" w:fill="auto"/>
            <w:noWrap/>
            <w:vAlign w:val="bottom"/>
          </w:tcPr>
          <w:p w14:paraId="442310A6"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LDL</w:t>
            </w:r>
          </w:p>
        </w:tc>
        <w:tc>
          <w:tcPr>
            <w:tcW w:w="2367" w:type="dxa"/>
            <w:shd w:val="clear" w:color="auto" w:fill="auto"/>
            <w:noWrap/>
            <w:vAlign w:val="bottom"/>
          </w:tcPr>
          <w:p w14:paraId="10428EDE"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646F96F7"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27FF640A"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BAD931A" w14:textId="77777777" w:rsidR="006A5028" w:rsidRDefault="006A5028">
            <w:pPr>
              <w:spacing w:after="0" w:line="240" w:lineRule="auto"/>
              <w:rPr>
                <w:rFonts w:eastAsia="Times New Roman" w:cs="Times New Roman"/>
                <w:color w:val="000000"/>
                <w:sz w:val="20"/>
                <w:szCs w:val="20"/>
                <w:lang w:val="en-GB" w:eastAsia="en-GB"/>
              </w:rPr>
            </w:pPr>
          </w:p>
        </w:tc>
      </w:tr>
      <w:tr w:rsidR="006A5028" w14:paraId="4FA9FA66" w14:textId="77777777">
        <w:trPr>
          <w:trHeight w:val="300"/>
          <w:jc w:val="center"/>
        </w:trPr>
        <w:tc>
          <w:tcPr>
            <w:tcW w:w="3510" w:type="dxa"/>
            <w:shd w:val="clear" w:color="auto" w:fill="auto"/>
            <w:noWrap/>
            <w:vAlign w:val="bottom"/>
            <w:hideMark/>
          </w:tcPr>
          <w:p w14:paraId="63B97C5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DE4DF97"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15(31.9)</w:t>
            </w:r>
          </w:p>
        </w:tc>
        <w:tc>
          <w:tcPr>
            <w:tcW w:w="1413" w:type="dxa"/>
            <w:shd w:val="clear" w:color="auto" w:fill="auto"/>
            <w:noWrap/>
            <w:vAlign w:val="bottom"/>
            <w:hideMark/>
          </w:tcPr>
          <w:p w14:paraId="30627B99"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47(100.0)</w:t>
            </w:r>
          </w:p>
        </w:tc>
        <w:tc>
          <w:tcPr>
            <w:tcW w:w="1785" w:type="dxa"/>
            <w:shd w:val="clear" w:color="auto" w:fill="auto"/>
            <w:noWrap/>
            <w:vAlign w:val="bottom"/>
            <w:hideMark/>
          </w:tcPr>
          <w:p w14:paraId="4D2C6AF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16.2 (</w:t>
            </w:r>
            <w:proofErr w:type="gramStart"/>
            <w:r>
              <w:rPr>
                <w:rFonts w:eastAsia="Times New Roman" w:cs="Times New Roman"/>
                <w:color w:val="000000"/>
                <w:sz w:val="20"/>
                <w:szCs w:val="20"/>
                <w:lang w:val="en-GB" w:eastAsia="en-GB"/>
              </w:rPr>
              <w:t>0.0001)*</w:t>
            </w:r>
            <w:proofErr w:type="gramEnd"/>
          </w:p>
        </w:tc>
        <w:tc>
          <w:tcPr>
            <w:tcW w:w="1530" w:type="dxa"/>
            <w:shd w:val="clear" w:color="auto" w:fill="auto"/>
            <w:noWrap/>
            <w:vAlign w:val="bottom"/>
            <w:hideMark/>
          </w:tcPr>
          <w:p w14:paraId="3C1012B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0.2 (0.1 - 0.4)</w:t>
            </w:r>
          </w:p>
        </w:tc>
      </w:tr>
      <w:tr w:rsidR="006A5028" w14:paraId="2AF30748" w14:textId="77777777">
        <w:trPr>
          <w:trHeight w:val="300"/>
          <w:jc w:val="center"/>
        </w:trPr>
        <w:tc>
          <w:tcPr>
            <w:tcW w:w="3510" w:type="dxa"/>
            <w:shd w:val="clear" w:color="auto" w:fill="auto"/>
            <w:noWrap/>
            <w:vAlign w:val="bottom"/>
            <w:hideMark/>
          </w:tcPr>
          <w:p w14:paraId="46F7FCB0" w14:textId="27B6D38D"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32A5B96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85(65.9)</w:t>
            </w:r>
          </w:p>
        </w:tc>
        <w:tc>
          <w:tcPr>
            <w:tcW w:w="1413" w:type="dxa"/>
            <w:shd w:val="clear" w:color="auto" w:fill="auto"/>
            <w:noWrap/>
            <w:vAlign w:val="bottom"/>
            <w:hideMark/>
          </w:tcPr>
          <w:p w14:paraId="1AC6EA4E"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129(100.0)</w:t>
            </w:r>
          </w:p>
        </w:tc>
        <w:tc>
          <w:tcPr>
            <w:tcW w:w="1785" w:type="dxa"/>
            <w:shd w:val="clear" w:color="auto" w:fill="auto"/>
            <w:noWrap/>
            <w:vAlign w:val="bottom"/>
            <w:hideMark/>
          </w:tcPr>
          <w:p w14:paraId="5C178129"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0CC2DF09" w14:textId="77777777" w:rsidR="006A5028" w:rsidRDefault="006A5028">
            <w:pPr>
              <w:spacing w:after="0" w:line="240" w:lineRule="auto"/>
              <w:rPr>
                <w:rFonts w:eastAsia="Times New Roman" w:cs="Times New Roman"/>
                <w:sz w:val="20"/>
                <w:szCs w:val="20"/>
                <w:lang w:val="en-GB" w:eastAsia="en-GB"/>
              </w:rPr>
            </w:pPr>
          </w:p>
        </w:tc>
      </w:tr>
      <w:tr w:rsidR="006A5028" w14:paraId="686CF071" w14:textId="77777777">
        <w:trPr>
          <w:trHeight w:val="300"/>
          <w:jc w:val="center"/>
        </w:trPr>
        <w:tc>
          <w:tcPr>
            <w:tcW w:w="3510" w:type="dxa"/>
            <w:shd w:val="clear" w:color="auto" w:fill="auto"/>
            <w:noWrap/>
            <w:vAlign w:val="bottom"/>
          </w:tcPr>
          <w:p w14:paraId="486B12A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Phosphate</w:t>
            </w:r>
          </w:p>
        </w:tc>
        <w:tc>
          <w:tcPr>
            <w:tcW w:w="2367" w:type="dxa"/>
            <w:shd w:val="clear" w:color="auto" w:fill="auto"/>
            <w:noWrap/>
            <w:vAlign w:val="bottom"/>
          </w:tcPr>
          <w:p w14:paraId="4EB82F31"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0AF75B6C"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4E7AF1EF"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5DA04466" w14:textId="77777777" w:rsidR="006A5028" w:rsidRDefault="006A5028">
            <w:pPr>
              <w:spacing w:after="0" w:line="240" w:lineRule="auto"/>
              <w:rPr>
                <w:rFonts w:eastAsia="Times New Roman" w:cs="Times New Roman"/>
                <w:color w:val="000000"/>
                <w:sz w:val="20"/>
                <w:szCs w:val="20"/>
                <w:lang w:val="en-GB" w:eastAsia="en-GB"/>
              </w:rPr>
            </w:pPr>
          </w:p>
        </w:tc>
      </w:tr>
      <w:tr w:rsidR="006A5028" w14:paraId="60AB0947" w14:textId="77777777">
        <w:trPr>
          <w:trHeight w:val="300"/>
          <w:jc w:val="center"/>
        </w:trPr>
        <w:tc>
          <w:tcPr>
            <w:tcW w:w="3510" w:type="dxa"/>
            <w:shd w:val="clear" w:color="auto" w:fill="auto"/>
            <w:noWrap/>
            <w:vAlign w:val="bottom"/>
            <w:hideMark/>
          </w:tcPr>
          <w:p w14:paraId="365114C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F96646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20(50.0)</w:t>
            </w:r>
          </w:p>
        </w:tc>
        <w:tc>
          <w:tcPr>
            <w:tcW w:w="1413" w:type="dxa"/>
            <w:shd w:val="clear" w:color="auto" w:fill="auto"/>
            <w:noWrap/>
            <w:vAlign w:val="bottom"/>
            <w:hideMark/>
          </w:tcPr>
          <w:p w14:paraId="27962B38"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40(100.0)</w:t>
            </w:r>
          </w:p>
        </w:tc>
        <w:tc>
          <w:tcPr>
            <w:tcW w:w="1785" w:type="dxa"/>
            <w:shd w:val="clear" w:color="auto" w:fill="auto"/>
            <w:noWrap/>
            <w:vAlign w:val="bottom"/>
            <w:hideMark/>
          </w:tcPr>
          <w:p w14:paraId="4704C37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0.91 (0.340)</w:t>
            </w:r>
          </w:p>
        </w:tc>
        <w:tc>
          <w:tcPr>
            <w:tcW w:w="1530" w:type="dxa"/>
            <w:shd w:val="clear" w:color="auto" w:fill="auto"/>
            <w:noWrap/>
            <w:vAlign w:val="bottom"/>
            <w:hideMark/>
          </w:tcPr>
          <w:p w14:paraId="1CCC321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0.7 (0.3 – 1.4)</w:t>
            </w:r>
          </w:p>
        </w:tc>
      </w:tr>
      <w:tr w:rsidR="006A5028" w14:paraId="249E6212" w14:textId="77777777">
        <w:trPr>
          <w:trHeight w:val="300"/>
          <w:jc w:val="center"/>
        </w:trPr>
        <w:tc>
          <w:tcPr>
            <w:tcW w:w="3510" w:type="dxa"/>
            <w:shd w:val="clear" w:color="auto" w:fill="auto"/>
            <w:noWrap/>
            <w:vAlign w:val="bottom"/>
            <w:hideMark/>
          </w:tcPr>
          <w:p w14:paraId="1C8FCFF9" w14:textId="2BDE9134"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542A3B81"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79(58.5)</w:t>
            </w:r>
          </w:p>
        </w:tc>
        <w:tc>
          <w:tcPr>
            <w:tcW w:w="1413" w:type="dxa"/>
            <w:shd w:val="clear" w:color="auto" w:fill="auto"/>
            <w:noWrap/>
            <w:vAlign w:val="bottom"/>
            <w:hideMark/>
          </w:tcPr>
          <w:p w14:paraId="7339989B"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135(100.0)</w:t>
            </w:r>
          </w:p>
        </w:tc>
        <w:tc>
          <w:tcPr>
            <w:tcW w:w="1785" w:type="dxa"/>
            <w:shd w:val="clear" w:color="auto" w:fill="auto"/>
            <w:noWrap/>
            <w:vAlign w:val="bottom"/>
            <w:hideMark/>
          </w:tcPr>
          <w:p w14:paraId="03A05CDC"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3A1722CA" w14:textId="77777777" w:rsidR="006A5028" w:rsidRDefault="006A5028">
            <w:pPr>
              <w:spacing w:after="0" w:line="240" w:lineRule="auto"/>
              <w:rPr>
                <w:rFonts w:eastAsia="Times New Roman" w:cs="Times New Roman"/>
                <w:sz w:val="20"/>
                <w:szCs w:val="20"/>
                <w:lang w:val="en-GB" w:eastAsia="en-GB"/>
              </w:rPr>
            </w:pPr>
          </w:p>
        </w:tc>
      </w:tr>
    </w:tbl>
    <w:p w14:paraId="71F0557D" w14:textId="6973E7CD" w:rsidR="00707399" w:rsidRPr="00F60CB5" w:rsidRDefault="00707399" w:rsidP="00707399">
      <w:pPr>
        <w:pStyle w:val="NoSpacing"/>
        <w:rPr>
          <w:i/>
          <w:iCs/>
          <w:sz w:val="18"/>
          <w:szCs w:val="18"/>
          <w:lang w:val="en-GB"/>
        </w:rPr>
      </w:pPr>
      <w:r>
        <w:rPr>
          <w:i/>
          <w:iCs/>
          <w:sz w:val="18"/>
          <w:szCs w:val="18"/>
          <w:lang w:val="en-GB"/>
        </w:rPr>
        <w:t>BMI- Body mass index</w:t>
      </w:r>
      <w:r w:rsidRPr="00F60CB5">
        <w:rPr>
          <w:i/>
          <w:iCs/>
          <w:sz w:val="18"/>
          <w:szCs w:val="18"/>
          <w:lang w:val="en-GB"/>
        </w:rPr>
        <w:t>, HDL- high</w:t>
      </w:r>
      <w:r>
        <w:rPr>
          <w:i/>
          <w:iCs/>
          <w:sz w:val="18"/>
          <w:szCs w:val="18"/>
          <w:lang w:val="en-GB"/>
        </w:rPr>
        <w:t xml:space="preserve"> </w:t>
      </w:r>
      <w:r w:rsidRPr="00F60CB5">
        <w:rPr>
          <w:i/>
          <w:iCs/>
          <w:sz w:val="18"/>
          <w:szCs w:val="18"/>
          <w:lang w:val="en-GB"/>
        </w:rPr>
        <w:t>density lipoprotein, LDL- low density lipoprotein</w:t>
      </w:r>
    </w:p>
    <w:p w14:paraId="6B251957" w14:textId="774C3825" w:rsidR="006A5028" w:rsidRPr="00707399" w:rsidRDefault="00B33296" w:rsidP="00707399">
      <w:pPr>
        <w:pStyle w:val="NoSpacing"/>
        <w:rPr>
          <w:rFonts w:cs="Times New Roman"/>
          <w:i/>
          <w:iCs/>
          <w:sz w:val="18"/>
          <w:szCs w:val="18"/>
          <w:lang w:val="en-GB"/>
        </w:rPr>
      </w:pPr>
      <w:r w:rsidRPr="00707399">
        <w:rPr>
          <w:rFonts w:cs="Times New Roman"/>
          <w:i/>
          <w:iCs/>
          <w:sz w:val="18"/>
          <w:szCs w:val="18"/>
          <w:lang w:val="en-GB"/>
        </w:rPr>
        <w:t>O.R: Odds ratio; C.I: Confidence interval; *Statistically significant (p&lt;0.05)</w:t>
      </w:r>
    </w:p>
    <w:p w14:paraId="2C57F026" w14:textId="77777777" w:rsidR="00707399" w:rsidRPr="00707399" w:rsidRDefault="00707399" w:rsidP="00707399">
      <w:pPr>
        <w:pStyle w:val="NoSpacing"/>
        <w:rPr>
          <w:i/>
          <w:iCs/>
          <w:sz w:val="18"/>
          <w:szCs w:val="18"/>
          <w:lang w:val="en-GB"/>
        </w:rPr>
      </w:pPr>
    </w:p>
    <w:p w14:paraId="0949FF6B" w14:textId="77777777" w:rsidR="006A5028" w:rsidRDefault="00B33296">
      <w:pPr>
        <w:spacing w:line="360" w:lineRule="auto"/>
        <w:jc w:val="both"/>
        <w:rPr>
          <w:rFonts w:cs="Times New Roman"/>
          <w:lang w:val="en-GB"/>
        </w:rPr>
      </w:pPr>
      <w:r>
        <w:rPr>
          <w:rFonts w:cs="Times New Roman"/>
          <w:lang w:val="en-GB"/>
        </w:rPr>
        <w:t>The table below reveals significant associations between various variables and the likelihood of a particular condition. Firstly, individuals aged 50 years and abov</w:t>
      </w:r>
      <w:r>
        <w:rPr>
          <w:rFonts w:cs="Times New Roman"/>
          <w:lang w:val="en-GB"/>
        </w:rPr>
        <w:t>e exhibited a notably higher likelihood of the condition compared to their younger counterparts, with a crude Odds Ratio (O.R.) of 7.7 (95% C.I: 3.6 – 16.4). After adjusting for other factors, this association remained significant, although the strength of</w:t>
      </w:r>
      <w:r>
        <w:rPr>
          <w:rFonts w:cs="Times New Roman"/>
          <w:lang w:val="en-GB"/>
        </w:rPr>
        <w:t xml:space="preserve"> the association decreased, with an adjusted O.R. of 2.2 (95% C.I: 1.1 – 4.6), suggesting age as a significant predictor. Conversely, individuals with abnormal waist-to-hip ratios demonstrated a lower likelihood of the condition, as indicated by a crude O.</w:t>
      </w:r>
      <w:r>
        <w:rPr>
          <w:rFonts w:cs="Times New Roman"/>
          <w:lang w:val="en-GB"/>
        </w:rPr>
        <w:t>R. of 0.3 (95% C.I: 0.1 - 0.7). However, after adjusting for other variables, although the association persisted, it was not statistically significant, with an adjusted O.R. of 0.4 (95% C.I: 0.2 – 1.0). This suggests a potential association that becomes le</w:t>
      </w:r>
      <w:r>
        <w:rPr>
          <w:rFonts w:cs="Times New Roman"/>
          <w:lang w:val="en-GB"/>
        </w:rPr>
        <w:t xml:space="preserve">ss significant when considering other factors. Additionally, individuals with abnormal albumin levels showed a significantly higher likelihood of the condition, with a crude O.R. of 7.7 (95% C.I: 2.5 - 23.0). </w:t>
      </w:r>
      <w:r>
        <w:rPr>
          <w:rFonts w:cs="Times New Roman"/>
          <w:lang w:val="en-GB"/>
        </w:rPr>
        <w:lastRenderedPageBreak/>
        <w:t>After adjustment, this association remained sig</w:t>
      </w:r>
      <w:r>
        <w:rPr>
          <w:rFonts w:cs="Times New Roman"/>
          <w:lang w:val="en-GB"/>
        </w:rPr>
        <w:t>nificant, with an adjusted O.R. of 4.6 (95% C.I: 1.3 – 16.2), indicating abnormal albumin levels as a significant predictor of the condition.</w:t>
      </w:r>
    </w:p>
    <w:p w14:paraId="63F74036" w14:textId="77777777" w:rsidR="006A5028" w:rsidRDefault="006A5028">
      <w:pPr>
        <w:spacing w:line="360" w:lineRule="auto"/>
        <w:jc w:val="both"/>
        <w:rPr>
          <w:rFonts w:cs="Times New Roman"/>
          <w:lang w:val="en-GB"/>
        </w:rPr>
      </w:pPr>
    </w:p>
    <w:p w14:paraId="1F6748D6" w14:textId="532336EC"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5</w:t>
      </w:r>
      <w:r>
        <w:rPr>
          <w:rFonts w:ascii="Aptos" w:hAnsi="Aptos"/>
          <w:sz w:val="22"/>
          <w:szCs w:val="22"/>
        </w:rPr>
        <w:fldChar w:fldCharType="end"/>
      </w:r>
      <w:r>
        <w:rPr>
          <w:rFonts w:ascii="Aptos" w:hAnsi="Aptos"/>
          <w:sz w:val="22"/>
          <w:szCs w:val="22"/>
        </w:rPr>
        <w:t>: Risk factors associated with Deficient/insufficient hydroxy vitamin D</w:t>
      </w:r>
    </w:p>
    <w:tbl>
      <w:tblPr>
        <w:tblW w:w="8010" w:type="dxa"/>
        <w:jc w:val="center"/>
        <w:tblLook w:val="04A0" w:firstRow="1" w:lastRow="0" w:firstColumn="1" w:lastColumn="0" w:noHBand="0" w:noVBand="1"/>
      </w:tblPr>
      <w:tblGrid>
        <w:gridCol w:w="3060"/>
        <w:gridCol w:w="1800"/>
        <w:gridCol w:w="1890"/>
        <w:gridCol w:w="1260"/>
      </w:tblGrid>
      <w:tr w:rsidR="006A5028" w14:paraId="38451703" w14:textId="77777777">
        <w:trPr>
          <w:trHeight w:val="286"/>
          <w:jc w:val="center"/>
        </w:trPr>
        <w:tc>
          <w:tcPr>
            <w:tcW w:w="3060" w:type="dxa"/>
            <w:tcBorders>
              <w:top w:val="single" w:sz="4" w:space="0" w:color="auto"/>
              <w:left w:val="nil"/>
              <w:bottom w:val="single" w:sz="4" w:space="0" w:color="auto"/>
              <w:right w:val="nil"/>
            </w:tcBorders>
            <w:shd w:val="clear" w:color="auto" w:fill="auto"/>
            <w:noWrap/>
            <w:vAlign w:val="bottom"/>
            <w:hideMark/>
          </w:tcPr>
          <w:p w14:paraId="5861FED3" w14:textId="77777777" w:rsidR="006A5028" w:rsidRDefault="00B33296">
            <w:pPr>
              <w:spacing w:after="0" w:line="360" w:lineRule="auto"/>
              <w:ind w:left="180"/>
              <w:rPr>
                <w:rFonts w:eastAsia="Times New Roman" w:cs="Times New Roman"/>
                <w:b/>
                <w:bCs/>
                <w:color w:val="000000"/>
                <w:lang w:val="en-GB" w:eastAsia="en-GB"/>
              </w:rPr>
            </w:pPr>
            <w:r>
              <w:rPr>
                <w:rFonts w:eastAsia="Times New Roman" w:cs="Times New Roman"/>
                <w:b/>
                <w:bCs/>
                <w:color w:val="000000"/>
                <w:lang w:val="en-GB" w:eastAsia="en-GB"/>
              </w:rPr>
              <w:t>Variable</w:t>
            </w:r>
          </w:p>
        </w:tc>
        <w:tc>
          <w:tcPr>
            <w:tcW w:w="1800" w:type="dxa"/>
            <w:tcBorders>
              <w:top w:val="single" w:sz="4" w:space="0" w:color="auto"/>
              <w:left w:val="nil"/>
              <w:bottom w:val="single" w:sz="4" w:space="0" w:color="auto"/>
              <w:right w:val="nil"/>
            </w:tcBorders>
            <w:shd w:val="clear" w:color="auto" w:fill="auto"/>
            <w:noWrap/>
            <w:vAlign w:val="bottom"/>
            <w:hideMark/>
          </w:tcPr>
          <w:p w14:paraId="4279D0A0"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Crude O.R</w:t>
            </w:r>
          </w:p>
          <w:p w14:paraId="56455A26"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(95% C.I)</w:t>
            </w:r>
          </w:p>
        </w:tc>
        <w:tc>
          <w:tcPr>
            <w:tcW w:w="1890" w:type="dxa"/>
            <w:tcBorders>
              <w:top w:val="single" w:sz="4" w:space="0" w:color="auto"/>
              <w:left w:val="nil"/>
              <w:bottom w:val="single" w:sz="4" w:space="0" w:color="auto"/>
              <w:right w:val="nil"/>
            </w:tcBorders>
          </w:tcPr>
          <w:p w14:paraId="3DA03D58"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Adjusted O.R</w:t>
            </w:r>
          </w:p>
          <w:p w14:paraId="475E3521"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(95% C.I)</w:t>
            </w:r>
          </w:p>
        </w:tc>
        <w:tc>
          <w:tcPr>
            <w:tcW w:w="1260" w:type="dxa"/>
            <w:tcBorders>
              <w:top w:val="single" w:sz="4" w:space="0" w:color="auto"/>
              <w:left w:val="nil"/>
              <w:bottom w:val="single" w:sz="4" w:space="0" w:color="auto"/>
              <w:right w:val="nil"/>
            </w:tcBorders>
          </w:tcPr>
          <w:p w14:paraId="04291CDE"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p-value</w:t>
            </w:r>
          </w:p>
        </w:tc>
      </w:tr>
      <w:tr w:rsidR="006A5028" w14:paraId="6BBE2A00" w14:textId="77777777">
        <w:trPr>
          <w:trHeight w:val="286"/>
          <w:jc w:val="center"/>
        </w:trPr>
        <w:tc>
          <w:tcPr>
            <w:tcW w:w="3060" w:type="dxa"/>
            <w:tcBorders>
              <w:top w:val="single" w:sz="4" w:space="0" w:color="auto"/>
              <w:left w:val="nil"/>
              <w:bottom w:val="nil"/>
              <w:right w:val="nil"/>
            </w:tcBorders>
            <w:shd w:val="clear" w:color="auto" w:fill="auto"/>
            <w:noWrap/>
            <w:vAlign w:val="bottom"/>
            <w:hideMark/>
          </w:tcPr>
          <w:p w14:paraId="4D90A7EE"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Age (50 years and above)</w:t>
            </w:r>
          </w:p>
        </w:tc>
        <w:tc>
          <w:tcPr>
            <w:tcW w:w="1800" w:type="dxa"/>
            <w:tcBorders>
              <w:top w:val="single" w:sz="4" w:space="0" w:color="auto"/>
              <w:left w:val="nil"/>
              <w:bottom w:val="nil"/>
              <w:right w:val="nil"/>
            </w:tcBorders>
            <w:shd w:val="clear" w:color="auto" w:fill="auto"/>
            <w:noWrap/>
            <w:vAlign w:val="bottom"/>
            <w:hideMark/>
          </w:tcPr>
          <w:p w14:paraId="41872722" w14:textId="77777777" w:rsidR="006A5028" w:rsidRDefault="00B33296">
            <w:pPr>
              <w:spacing w:after="0" w:line="360" w:lineRule="auto"/>
              <w:ind w:left="180"/>
              <w:jc w:val="center"/>
              <w:rPr>
                <w:rFonts w:eastAsia="Times New Roman" w:cs="Times New Roman"/>
                <w:lang w:val="en-GB" w:eastAsia="en-GB"/>
              </w:rPr>
            </w:pPr>
            <w:r>
              <w:rPr>
                <w:rFonts w:eastAsia="Times New Roman" w:cs="Times New Roman"/>
                <w:color w:val="000000"/>
                <w:lang w:val="en-GB" w:eastAsia="en-GB"/>
              </w:rPr>
              <w:t>7.7 (3.6 – 16.4)</w:t>
            </w:r>
          </w:p>
        </w:tc>
        <w:tc>
          <w:tcPr>
            <w:tcW w:w="1890" w:type="dxa"/>
            <w:tcBorders>
              <w:top w:val="single" w:sz="4" w:space="0" w:color="auto"/>
              <w:left w:val="nil"/>
              <w:bottom w:val="nil"/>
              <w:right w:val="nil"/>
            </w:tcBorders>
          </w:tcPr>
          <w:p w14:paraId="78F51CBD" w14:textId="77777777" w:rsidR="006A5028" w:rsidRDefault="00B33296">
            <w:pPr>
              <w:spacing w:after="0" w:line="360" w:lineRule="auto"/>
              <w:ind w:left="180"/>
              <w:jc w:val="center"/>
              <w:rPr>
                <w:rFonts w:eastAsia="Times New Roman" w:cs="Times New Roman"/>
                <w:lang w:val="en-GB" w:eastAsia="en-GB"/>
              </w:rPr>
            </w:pPr>
            <w:r>
              <w:rPr>
                <w:rFonts w:eastAsia="Times New Roman" w:cs="Times New Roman"/>
                <w:lang w:val="en-GB" w:eastAsia="en-GB"/>
              </w:rPr>
              <w:t xml:space="preserve">2.2 (1.1 – </w:t>
            </w:r>
            <w:proofErr w:type="gramStart"/>
            <w:r>
              <w:rPr>
                <w:rFonts w:eastAsia="Times New Roman" w:cs="Times New Roman"/>
                <w:lang w:val="en-GB" w:eastAsia="en-GB"/>
              </w:rPr>
              <w:t>4.6)</w:t>
            </w:r>
            <w:r>
              <w:rPr>
                <w:rFonts w:eastAsia="Times New Roman" w:cs="Times New Roman"/>
                <w:vertAlign w:val="superscript"/>
                <w:lang w:val="en-GB" w:eastAsia="en-GB"/>
              </w:rPr>
              <w:t>R</w:t>
            </w:r>
            <w:proofErr w:type="gramEnd"/>
          </w:p>
        </w:tc>
        <w:tc>
          <w:tcPr>
            <w:tcW w:w="1260" w:type="dxa"/>
            <w:tcBorders>
              <w:top w:val="single" w:sz="4" w:space="0" w:color="auto"/>
              <w:left w:val="nil"/>
              <w:bottom w:val="nil"/>
              <w:right w:val="nil"/>
            </w:tcBorders>
          </w:tcPr>
          <w:p w14:paraId="6E5C733F" w14:textId="77777777" w:rsidR="006A5028" w:rsidRDefault="00B33296">
            <w:pPr>
              <w:spacing w:after="0" w:line="360" w:lineRule="auto"/>
              <w:ind w:left="180"/>
              <w:jc w:val="center"/>
              <w:rPr>
                <w:rFonts w:eastAsia="Times New Roman" w:cs="Times New Roman"/>
                <w:lang w:val="en-GB" w:eastAsia="en-GB"/>
              </w:rPr>
            </w:pPr>
            <w:r>
              <w:rPr>
                <w:rFonts w:eastAsia="Times New Roman" w:cs="Times New Roman"/>
                <w:lang w:val="en-GB" w:eastAsia="en-GB"/>
              </w:rPr>
              <w:t>0.021*</w:t>
            </w:r>
          </w:p>
        </w:tc>
      </w:tr>
      <w:tr w:rsidR="006A5028" w14:paraId="1163355A" w14:textId="77777777">
        <w:trPr>
          <w:trHeight w:val="286"/>
          <w:jc w:val="center"/>
        </w:trPr>
        <w:tc>
          <w:tcPr>
            <w:tcW w:w="3060" w:type="dxa"/>
            <w:tcBorders>
              <w:top w:val="nil"/>
              <w:left w:val="nil"/>
              <w:bottom w:val="nil"/>
              <w:right w:val="nil"/>
            </w:tcBorders>
            <w:shd w:val="clear" w:color="auto" w:fill="auto"/>
            <w:noWrap/>
            <w:vAlign w:val="bottom"/>
          </w:tcPr>
          <w:p w14:paraId="795E346A" w14:textId="77777777" w:rsidR="006A5028" w:rsidRDefault="00B33296">
            <w:pPr>
              <w:spacing w:after="0" w:line="360" w:lineRule="auto"/>
              <w:ind w:left="180"/>
              <w:rPr>
                <w:rFonts w:eastAsia="Times New Roman" w:cs="Times New Roman"/>
                <w:lang w:val="en-GB" w:eastAsia="en-GB"/>
              </w:rPr>
            </w:pPr>
            <w:r>
              <w:rPr>
                <w:rFonts w:eastAsia="Times New Roman" w:cs="Times New Roman"/>
                <w:color w:val="000000"/>
                <w:lang w:val="en-GB" w:eastAsia="en-GB"/>
              </w:rPr>
              <w:t xml:space="preserve">Abnormal waist to hip ratio </w:t>
            </w:r>
          </w:p>
        </w:tc>
        <w:tc>
          <w:tcPr>
            <w:tcW w:w="1800" w:type="dxa"/>
            <w:tcBorders>
              <w:top w:val="nil"/>
              <w:left w:val="nil"/>
              <w:bottom w:val="nil"/>
              <w:right w:val="nil"/>
            </w:tcBorders>
            <w:shd w:val="clear" w:color="auto" w:fill="auto"/>
            <w:noWrap/>
            <w:vAlign w:val="bottom"/>
          </w:tcPr>
          <w:p w14:paraId="2E0DAE6F"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0.3 (0.1 - 0.7)</w:t>
            </w:r>
          </w:p>
        </w:tc>
        <w:tc>
          <w:tcPr>
            <w:tcW w:w="1890" w:type="dxa"/>
            <w:tcBorders>
              <w:top w:val="nil"/>
              <w:left w:val="nil"/>
              <w:bottom w:val="nil"/>
              <w:right w:val="nil"/>
            </w:tcBorders>
          </w:tcPr>
          <w:p w14:paraId="5DE9AFC4"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0.4 (0.2 – 1.0)</w:t>
            </w:r>
          </w:p>
        </w:tc>
        <w:tc>
          <w:tcPr>
            <w:tcW w:w="1260" w:type="dxa"/>
            <w:tcBorders>
              <w:top w:val="nil"/>
              <w:left w:val="nil"/>
              <w:bottom w:val="nil"/>
              <w:right w:val="nil"/>
            </w:tcBorders>
          </w:tcPr>
          <w:p w14:paraId="6908CB11"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0.065</w:t>
            </w:r>
          </w:p>
        </w:tc>
      </w:tr>
      <w:tr w:rsidR="006A5028" w14:paraId="19212351" w14:textId="77777777">
        <w:trPr>
          <w:trHeight w:val="286"/>
          <w:jc w:val="center"/>
        </w:trPr>
        <w:tc>
          <w:tcPr>
            <w:tcW w:w="3060" w:type="dxa"/>
            <w:tcBorders>
              <w:top w:val="nil"/>
              <w:left w:val="nil"/>
              <w:bottom w:val="nil"/>
              <w:right w:val="nil"/>
            </w:tcBorders>
            <w:shd w:val="clear" w:color="auto" w:fill="auto"/>
            <w:noWrap/>
            <w:vAlign w:val="bottom"/>
          </w:tcPr>
          <w:p w14:paraId="26027FEF" w14:textId="77777777" w:rsidR="006A5028" w:rsidRDefault="00B33296">
            <w:pPr>
              <w:spacing w:after="0" w:line="360" w:lineRule="auto"/>
              <w:ind w:left="180"/>
              <w:rPr>
                <w:rFonts w:eastAsia="Times New Roman" w:cs="Times New Roman"/>
                <w:lang w:val="en-GB" w:eastAsia="en-GB"/>
              </w:rPr>
            </w:pPr>
            <w:r>
              <w:rPr>
                <w:rFonts w:cs="Times New Roman"/>
                <w:color w:val="000000"/>
                <w:lang w:val="en-GB"/>
              </w:rPr>
              <w:t xml:space="preserve">Abnormal Calcium </w:t>
            </w:r>
          </w:p>
        </w:tc>
        <w:tc>
          <w:tcPr>
            <w:tcW w:w="1800" w:type="dxa"/>
            <w:tcBorders>
              <w:top w:val="nil"/>
              <w:left w:val="nil"/>
              <w:bottom w:val="nil"/>
              <w:right w:val="nil"/>
            </w:tcBorders>
            <w:shd w:val="clear" w:color="auto" w:fill="auto"/>
            <w:noWrap/>
            <w:vAlign w:val="bottom"/>
          </w:tcPr>
          <w:p w14:paraId="48F2BD2E"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4.9 (1.4 - 17.6)</w:t>
            </w:r>
          </w:p>
        </w:tc>
        <w:tc>
          <w:tcPr>
            <w:tcW w:w="1890" w:type="dxa"/>
            <w:tcBorders>
              <w:top w:val="nil"/>
              <w:left w:val="nil"/>
              <w:bottom w:val="nil"/>
              <w:right w:val="nil"/>
            </w:tcBorders>
          </w:tcPr>
          <w:p w14:paraId="235060E2"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 xml:space="preserve">1.3 (0.3 – </w:t>
            </w:r>
            <w:proofErr w:type="gramStart"/>
            <w:r>
              <w:rPr>
                <w:rFonts w:eastAsia="Times New Roman" w:cs="Times New Roman"/>
                <w:color w:val="000000"/>
                <w:lang w:val="en-GB" w:eastAsia="en-GB"/>
              </w:rPr>
              <w:t>6.1)</w:t>
            </w:r>
            <w:r>
              <w:rPr>
                <w:rFonts w:eastAsia="Times New Roman" w:cs="Times New Roman"/>
                <w:color w:val="000000"/>
                <w:vertAlign w:val="superscript"/>
                <w:lang w:val="en-GB" w:eastAsia="en-GB"/>
              </w:rPr>
              <w:t>R</w:t>
            </w:r>
            <w:proofErr w:type="gramEnd"/>
          </w:p>
        </w:tc>
        <w:tc>
          <w:tcPr>
            <w:tcW w:w="1260" w:type="dxa"/>
            <w:tcBorders>
              <w:top w:val="nil"/>
              <w:left w:val="nil"/>
              <w:bottom w:val="nil"/>
              <w:right w:val="nil"/>
            </w:tcBorders>
          </w:tcPr>
          <w:p w14:paraId="5DA18967"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0.660</w:t>
            </w:r>
          </w:p>
        </w:tc>
      </w:tr>
      <w:tr w:rsidR="006A5028" w14:paraId="528CF0B0" w14:textId="77777777">
        <w:trPr>
          <w:trHeight w:val="286"/>
          <w:jc w:val="center"/>
        </w:trPr>
        <w:tc>
          <w:tcPr>
            <w:tcW w:w="3060" w:type="dxa"/>
            <w:tcBorders>
              <w:top w:val="nil"/>
              <w:left w:val="nil"/>
              <w:bottom w:val="nil"/>
              <w:right w:val="nil"/>
            </w:tcBorders>
            <w:shd w:val="clear" w:color="auto" w:fill="auto"/>
            <w:noWrap/>
            <w:vAlign w:val="bottom"/>
          </w:tcPr>
          <w:p w14:paraId="2754874F" w14:textId="77777777" w:rsidR="006A5028" w:rsidRDefault="00B33296">
            <w:pPr>
              <w:spacing w:after="0" w:line="360" w:lineRule="auto"/>
              <w:ind w:left="180"/>
              <w:rPr>
                <w:rFonts w:eastAsia="Times New Roman" w:cs="Times New Roman"/>
                <w:lang w:val="en-GB" w:eastAsia="en-GB"/>
              </w:rPr>
            </w:pPr>
            <w:r>
              <w:rPr>
                <w:rFonts w:cs="Times New Roman"/>
                <w:color w:val="000000"/>
                <w:lang w:val="en-GB"/>
              </w:rPr>
              <w:t xml:space="preserve">Abnormal </w:t>
            </w:r>
            <w:r>
              <w:rPr>
                <w:rFonts w:cs="Times New Roman"/>
                <w:color w:val="000000"/>
                <w:lang w:val="en-GB"/>
              </w:rPr>
              <w:t>Albumin</w:t>
            </w:r>
          </w:p>
        </w:tc>
        <w:tc>
          <w:tcPr>
            <w:tcW w:w="1800" w:type="dxa"/>
            <w:tcBorders>
              <w:top w:val="nil"/>
              <w:left w:val="nil"/>
              <w:bottom w:val="nil"/>
              <w:right w:val="nil"/>
            </w:tcBorders>
            <w:shd w:val="clear" w:color="auto" w:fill="auto"/>
            <w:noWrap/>
            <w:vAlign w:val="bottom"/>
          </w:tcPr>
          <w:p w14:paraId="70D7B3F8"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7.7 (2.5 - 23.0)</w:t>
            </w:r>
          </w:p>
        </w:tc>
        <w:tc>
          <w:tcPr>
            <w:tcW w:w="1890" w:type="dxa"/>
            <w:tcBorders>
              <w:top w:val="nil"/>
              <w:left w:val="nil"/>
              <w:bottom w:val="nil"/>
              <w:right w:val="nil"/>
            </w:tcBorders>
          </w:tcPr>
          <w:p w14:paraId="1E201BDE"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 xml:space="preserve">4.6 (1.3 – </w:t>
            </w:r>
            <w:proofErr w:type="gramStart"/>
            <w:r>
              <w:rPr>
                <w:rFonts w:eastAsia="Times New Roman" w:cs="Times New Roman"/>
                <w:color w:val="000000"/>
                <w:lang w:val="en-GB" w:eastAsia="en-GB"/>
              </w:rPr>
              <w:t>16.2)</w:t>
            </w:r>
            <w:r>
              <w:rPr>
                <w:rFonts w:eastAsia="Times New Roman" w:cs="Times New Roman"/>
                <w:color w:val="000000"/>
                <w:vertAlign w:val="superscript"/>
                <w:lang w:val="en-GB" w:eastAsia="en-GB"/>
              </w:rPr>
              <w:t>R</w:t>
            </w:r>
            <w:proofErr w:type="gramEnd"/>
          </w:p>
        </w:tc>
        <w:tc>
          <w:tcPr>
            <w:tcW w:w="1260" w:type="dxa"/>
            <w:tcBorders>
              <w:top w:val="nil"/>
              <w:left w:val="nil"/>
              <w:bottom w:val="nil"/>
              <w:right w:val="nil"/>
            </w:tcBorders>
          </w:tcPr>
          <w:p w14:paraId="50D9E758"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0.017*</w:t>
            </w:r>
          </w:p>
        </w:tc>
      </w:tr>
      <w:tr w:rsidR="006A5028" w14:paraId="335C3CCA" w14:textId="77777777">
        <w:trPr>
          <w:trHeight w:val="286"/>
          <w:jc w:val="center"/>
        </w:trPr>
        <w:tc>
          <w:tcPr>
            <w:tcW w:w="3060" w:type="dxa"/>
            <w:tcBorders>
              <w:top w:val="nil"/>
              <w:left w:val="nil"/>
              <w:right w:val="nil"/>
            </w:tcBorders>
            <w:shd w:val="clear" w:color="auto" w:fill="auto"/>
            <w:noWrap/>
            <w:vAlign w:val="bottom"/>
          </w:tcPr>
          <w:p w14:paraId="03FA61FD" w14:textId="77777777" w:rsidR="006A5028" w:rsidRDefault="00B33296">
            <w:pPr>
              <w:spacing w:after="0" w:line="360" w:lineRule="auto"/>
              <w:ind w:left="180"/>
              <w:rPr>
                <w:rFonts w:cs="Times New Roman"/>
                <w:color w:val="000000"/>
                <w:lang w:val="en-GB"/>
              </w:rPr>
            </w:pPr>
            <w:r>
              <w:rPr>
                <w:rFonts w:cs="Times New Roman"/>
                <w:color w:val="000000"/>
                <w:lang w:val="en-GB"/>
              </w:rPr>
              <w:t xml:space="preserve">Abnormal Cholesterol </w:t>
            </w:r>
          </w:p>
        </w:tc>
        <w:tc>
          <w:tcPr>
            <w:tcW w:w="1800" w:type="dxa"/>
            <w:tcBorders>
              <w:top w:val="nil"/>
              <w:left w:val="nil"/>
              <w:right w:val="nil"/>
            </w:tcBorders>
            <w:shd w:val="clear" w:color="auto" w:fill="auto"/>
            <w:noWrap/>
            <w:vAlign w:val="bottom"/>
          </w:tcPr>
          <w:p w14:paraId="378DD66A"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0.3 (0.1 - 0.6)</w:t>
            </w:r>
          </w:p>
        </w:tc>
        <w:tc>
          <w:tcPr>
            <w:tcW w:w="1890" w:type="dxa"/>
            <w:tcBorders>
              <w:top w:val="nil"/>
              <w:left w:val="nil"/>
              <w:right w:val="nil"/>
            </w:tcBorders>
          </w:tcPr>
          <w:p w14:paraId="5767807D"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1.2 (0.3 – 4.5)</w:t>
            </w:r>
          </w:p>
        </w:tc>
        <w:tc>
          <w:tcPr>
            <w:tcW w:w="1260" w:type="dxa"/>
            <w:tcBorders>
              <w:top w:val="nil"/>
              <w:left w:val="nil"/>
              <w:right w:val="nil"/>
            </w:tcBorders>
          </w:tcPr>
          <w:p w14:paraId="38B92F66"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0.771</w:t>
            </w:r>
          </w:p>
        </w:tc>
      </w:tr>
      <w:tr w:rsidR="006A5028" w14:paraId="5AFA7B4A" w14:textId="77777777">
        <w:trPr>
          <w:trHeight w:val="286"/>
          <w:jc w:val="center"/>
        </w:trPr>
        <w:tc>
          <w:tcPr>
            <w:tcW w:w="3060" w:type="dxa"/>
            <w:tcBorders>
              <w:top w:val="nil"/>
              <w:left w:val="nil"/>
              <w:bottom w:val="single" w:sz="4" w:space="0" w:color="auto"/>
              <w:right w:val="nil"/>
            </w:tcBorders>
            <w:shd w:val="clear" w:color="auto" w:fill="auto"/>
            <w:noWrap/>
            <w:vAlign w:val="bottom"/>
          </w:tcPr>
          <w:p w14:paraId="7494D7F6" w14:textId="77777777" w:rsidR="006A5028" w:rsidRDefault="00B33296">
            <w:pPr>
              <w:spacing w:after="0" w:line="360" w:lineRule="auto"/>
              <w:ind w:left="180"/>
              <w:rPr>
                <w:rFonts w:eastAsia="Times New Roman" w:cs="Times New Roman"/>
                <w:lang w:val="en-GB" w:eastAsia="en-GB"/>
              </w:rPr>
            </w:pPr>
            <w:r>
              <w:rPr>
                <w:rFonts w:cs="Times New Roman"/>
                <w:color w:val="000000"/>
                <w:lang w:val="en-GB"/>
              </w:rPr>
              <w:t>Abnormal</w:t>
            </w:r>
            <w:r>
              <w:rPr>
                <w:rFonts w:cs="Times New Roman"/>
                <w:lang w:val="en-GB" w:eastAsia="en-GB"/>
              </w:rPr>
              <w:t xml:space="preserve"> LDL</w:t>
            </w:r>
          </w:p>
        </w:tc>
        <w:tc>
          <w:tcPr>
            <w:tcW w:w="1800" w:type="dxa"/>
            <w:tcBorders>
              <w:top w:val="nil"/>
              <w:left w:val="nil"/>
              <w:bottom w:val="single" w:sz="4" w:space="0" w:color="auto"/>
              <w:right w:val="nil"/>
            </w:tcBorders>
            <w:shd w:val="clear" w:color="auto" w:fill="auto"/>
            <w:noWrap/>
            <w:vAlign w:val="bottom"/>
          </w:tcPr>
          <w:p w14:paraId="0D2DFC9E"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0.2 (0.1 - 0.4)</w:t>
            </w:r>
          </w:p>
        </w:tc>
        <w:tc>
          <w:tcPr>
            <w:tcW w:w="1890" w:type="dxa"/>
            <w:tcBorders>
              <w:top w:val="nil"/>
              <w:left w:val="nil"/>
              <w:bottom w:val="single" w:sz="4" w:space="0" w:color="auto"/>
              <w:right w:val="nil"/>
            </w:tcBorders>
          </w:tcPr>
          <w:p w14:paraId="384103CE"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0.2 (0.08 – 1.0)</w:t>
            </w:r>
          </w:p>
        </w:tc>
        <w:tc>
          <w:tcPr>
            <w:tcW w:w="1260" w:type="dxa"/>
            <w:tcBorders>
              <w:top w:val="nil"/>
              <w:left w:val="nil"/>
              <w:bottom w:val="single" w:sz="4" w:space="0" w:color="auto"/>
              <w:right w:val="nil"/>
            </w:tcBorders>
          </w:tcPr>
          <w:p w14:paraId="313BB779"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0.051</w:t>
            </w:r>
          </w:p>
        </w:tc>
      </w:tr>
    </w:tbl>
    <w:p w14:paraId="793634DA" w14:textId="77777777" w:rsidR="00A03F48" w:rsidRDefault="00A03F48" w:rsidP="00A03F48">
      <w:pPr>
        <w:pStyle w:val="NoSpacing"/>
        <w:rPr>
          <w:rFonts w:cs="Times New Roman"/>
          <w:i/>
          <w:iCs/>
          <w:sz w:val="18"/>
          <w:szCs w:val="18"/>
          <w:lang w:val="en-GB"/>
        </w:rPr>
      </w:pPr>
      <w:r w:rsidRPr="00F60CB5">
        <w:rPr>
          <w:i/>
          <w:iCs/>
          <w:sz w:val="18"/>
          <w:szCs w:val="18"/>
          <w:lang w:val="en-GB"/>
        </w:rPr>
        <w:t>LDL- low density lipoprotein</w:t>
      </w:r>
      <w:r>
        <w:rPr>
          <w:i/>
          <w:iCs/>
          <w:sz w:val="18"/>
          <w:szCs w:val="18"/>
          <w:lang w:val="en-GB"/>
        </w:rPr>
        <w:t xml:space="preserve">, </w:t>
      </w:r>
      <w:r w:rsidRPr="00707399">
        <w:rPr>
          <w:rFonts w:cs="Times New Roman"/>
          <w:i/>
          <w:iCs/>
          <w:sz w:val="18"/>
          <w:szCs w:val="18"/>
          <w:lang w:val="en-GB"/>
        </w:rPr>
        <w:t>O.R: Odds ratio</w:t>
      </w:r>
    </w:p>
    <w:p w14:paraId="308D2EB6" w14:textId="35117159" w:rsidR="00A03F48" w:rsidRPr="00A03F48" w:rsidRDefault="00A03F48" w:rsidP="00A03F48">
      <w:pPr>
        <w:pStyle w:val="NoSpacing"/>
        <w:rPr>
          <w:i/>
          <w:iCs/>
          <w:sz w:val="18"/>
          <w:szCs w:val="18"/>
          <w:lang w:val="en-GB"/>
        </w:rPr>
      </w:pPr>
      <w:r w:rsidRPr="00707399">
        <w:rPr>
          <w:rFonts w:cs="Times New Roman"/>
          <w:i/>
          <w:iCs/>
          <w:sz w:val="18"/>
          <w:szCs w:val="18"/>
          <w:lang w:val="en-GB"/>
        </w:rPr>
        <w:t xml:space="preserve"> *Statistically significant (p&lt;0.05)</w:t>
      </w:r>
    </w:p>
    <w:p w14:paraId="24E5407D" w14:textId="77777777" w:rsidR="006A5028" w:rsidRDefault="006A5028">
      <w:pPr>
        <w:spacing w:line="360" w:lineRule="auto"/>
        <w:jc w:val="both"/>
        <w:rPr>
          <w:rFonts w:cs="Times New Roman"/>
          <w:lang w:val="en-GB"/>
        </w:rPr>
      </w:pPr>
    </w:p>
    <w:p w14:paraId="09E7B9C1" w14:textId="643C3922" w:rsidR="006A5028" w:rsidRPr="005642C5" w:rsidRDefault="00F60CB5" w:rsidP="005642C5">
      <w:pPr>
        <w:spacing w:line="360" w:lineRule="auto"/>
        <w:rPr>
          <w:b/>
          <w:bCs/>
        </w:rPr>
      </w:pPr>
      <w:r w:rsidRPr="005642C5">
        <w:rPr>
          <w:b/>
          <w:bCs/>
        </w:rPr>
        <w:t>DISCUSSION</w:t>
      </w:r>
    </w:p>
    <w:p w14:paraId="19CDD963" w14:textId="77777777" w:rsidR="006A5028" w:rsidRDefault="00B33296">
      <w:pPr>
        <w:spacing w:line="360" w:lineRule="auto"/>
        <w:jc w:val="both"/>
      </w:pPr>
      <w:r>
        <w:t>The findings of the biochemical characteristics of the patients with and without DFU were similar to that of Zubair et al where T2DM patients without DFU had a higher mean LDL and total cholesterol despite having higher vitamin D levels, compared to T2DM p</w:t>
      </w:r>
      <w:r>
        <w:t>atients with DFU. In contract, Rolim et al had a different result where a higher proportion of persons with deranged lipid profile had hypovitaminosis D.</w:t>
      </w:r>
      <w:r>
        <w:rPr>
          <w:color w:val="000000"/>
          <w:vertAlign w:val="superscript"/>
        </w:rPr>
        <w:t>18</w:t>
      </w:r>
      <w:r>
        <w:t xml:space="preserve"> The results of this study showing a higher rate of dyslipidemia among patients with sufficient vitam</w:t>
      </w:r>
      <w:r>
        <w:t>in D levels can be explained by higher mean cholesterol levels among the control group subjects who also have predominantly normal vitamin D levels. Another reason is possible statin therapy which is common among most middle aged persons with DM.</w:t>
      </w:r>
      <w:r>
        <w:rPr>
          <w:color w:val="000000"/>
          <w:vertAlign w:val="superscript"/>
        </w:rPr>
        <w:t>19,20</w:t>
      </w:r>
      <w:r>
        <w:t xml:space="preserve"> Rese</w:t>
      </w:r>
      <w:r>
        <w:t>arch from a similar study also noted that statin use reduced the levels of LDL, total cholesterol and triglycerides, but had no effect on vitamin D status, thus the difference in lipidemia among study participants may be affected more by statin use than by</w:t>
      </w:r>
      <w:r>
        <w:t xml:space="preserve"> the effect of vitamin D on cholesterol.</w:t>
      </w:r>
      <w:r>
        <w:rPr>
          <w:color w:val="000000"/>
          <w:vertAlign w:val="superscript"/>
        </w:rPr>
        <w:t>21–23</w:t>
      </w:r>
      <w:r>
        <w:t xml:space="preserve"> HDL was noted to be reduced in 70.5% of study participants especially in those with hypovitaminosis D though this difference is not statistically significant . The current study showed that a patient with reduc</w:t>
      </w:r>
      <w:r>
        <w:t>ed calcium levels was 4.9 times more likely to have hypovitaminosis D. This attests to the crucial relationship between vitamin D and calcium, emphasizing the role played by vitamin D in calcium homeostasis.</w:t>
      </w:r>
      <w:r>
        <w:rPr>
          <w:color w:val="000000"/>
          <w:vertAlign w:val="superscript"/>
        </w:rPr>
        <w:t>24</w:t>
      </w:r>
    </w:p>
    <w:p w14:paraId="09196E41" w14:textId="77777777" w:rsidR="006A5028" w:rsidRDefault="00B33296">
      <w:pPr>
        <w:spacing w:line="360" w:lineRule="auto"/>
        <w:jc w:val="both"/>
        <w:rPr>
          <w:rFonts w:cs="Times New Roman"/>
          <w:lang w:val="en-GB"/>
        </w:rPr>
      </w:pPr>
      <w:r>
        <w:t>This finding is consistent with reports of a p</w:t>
      </w:r>
      <w:r>
        <w:t>revious study where HDL was noted to be lower in T2DM patients with vitamin D deficiency compared to those with sufficient vitamin D.</w:t>
      </w:r>
      <w:r>
        <w:rPr>
          <w:color w:val="000000"/>
          <w:vertAlign w:val="superscript"/>
        </w:rPr>
        <w:t>25</w:t>
      </w:r>
      <w:r>
        <w:t xml:space="preserve"> A higher proportion </w:t>
      </w:r>
      <w:r>
        <w:lastRenderedPageBreak/>
        <w:t xml:space="preserve">of persons with reduced calcium levels had vitamin D deficiency/insufficiency. </w:t>
      </w:r>
      <w:r>
        <w:rPr>
          <w:rFonts w:cs="Times New Roman"/>
          <w:lang w:val="en-GB"/>
        </w:rPr>
        <w:t>This study found that</w:t>
      </w:r>
      <w:r>
        <w:rPr>
          <w:rFonts w:cs="Times New Roman"/>
          <w:lang w:val="en-GB"/>
        </w:rPr>
        <w:t xml:space="preserve"> the prevalence of vitamin D deficiency among all study participants was 39.2% while the prevalence of vitamin D insufficiency was 17.6%, thus hypovitaminosis D present among 56.8% of study participants. Karau et al in Kenya noted similar findings in a stu</w:t>
      </w:r>
      <w:r>
        <w:rPr>
          <w:rFonts w:cs="Times New Roman"/>
          <w:lang w:val="en-GB"/>
        </w:rPr>
        <w:t>dy analysing vitamin D levels in patients with T2DM and found vitamin D deficiency in 38.4% of patients and insufficiency in 21.9% of patients.</w:t>
      </w:r>
      <w:r>
        <w:rPr>
          <w:rFonts w:cs="Times New Roman"/>
          <w:color w:val="000000"/>
          <w:vertAlign w:val="superscript"/>
          <w:lang w:val="en-GB"/>
        </w:rPr>
        <w:t>26</w:t>
      </w:r>
      <w:r>
        <w:rPr>
          <w:rFonts w:cs="Times New Roman"/>
          <w:lang w:val="en-GB"/>
        </w:rPr>
        <w:t xml:space="preserve"> Anyanwu et al in Lagos noted a higher prevalence of vitamin d deficiency, 63.2%.</w:t>
      </w:r>
      <w:r>
        <w:rPr>
          <w:rFonts w:cs="Times New Roman"/>
          <w:color w:val="000000"/>
          <w:vertAlign w:val="superscript"/>
          <w:lang w:val="en-GB"/>
        </w:rPr>
        <w:t>20</w:t>
      </w:r>
      <w:r>
        <w:rPr>
          <w:rFonts w:cs="Times New Roman"/>
          <w:lang w:val="en-GB"/>
        </w:rPr>
        <w:t xml:space="preserve"> The lower prevalence in our</w:t>
      </w:r>
      <w:r>
        <w:rPr>
          <w:rFonts w:cs="Times New Roman"/>
          <w:lang w:val="en-GB"/>
        </w:rPr>
        <w:t xml:space="preserve"> study</w:t>
      </w:r>
      <w:r>
        <w:rPr>
          <w:rFonts w:cs="Times New Roman"/>
          <w:vertAlign w:val="superscript"/>
        </w:rPr>
        <w:t>48</w:t>
      </w:r>
      <w:r>
        <w:rPr>
          <w:rFonts w:cs="Times New Roman"/>
          <w:lang w:val="en-GB"/>
        </w:rPr>
        <w:t xml:space="preserve"> can be explained by dietary factors, as residents in Port Harcourt, a town whose dietary habits are influenced by the riverine culture are known to regularly consume oily fish, a rich source of vitamin D.</w:t>
      </w:r>
      <w:r>
        <w:rPr>
          <w:rFonts w:cs="Times New Roman"/>
          <w:color w:val="000000"/>
          <w:vertAlign w:val="superscript"/>
          <w:lang w:val="en-GB"/>
        </w:rPr>
        <w:t>23,27</w:t>
      </w:r>
      <w:r>
        <w:rPr>
          <w:rFonts w:cs="Times New Roman"/>
          <w:lang w:val="en-GB"/>
        </w:rPr>
        <w:t xml:space="preserve"> Another reason could be that the high</w:t>
      </w:r>
      <w:r>
        <w:rPr>
          <w:rFonts w:cs="Times New Roman"/>
          <w:lang w:val="en-GB"/>
        </w:rPr>
        <w:t>ly commercialized and industrialized theme of Lagos would imply more indoor official and commercial activity thus reducing the amount of time exposed to sunlight.</w:t>
      </w:r>
      <w:r>
        <w:rPr>
          <w:rFonts w:cs="Times New Roman"/>
          <w:color w:val="000000"/>
          <w:vertAlign w:val="superscript"/>
          <w:lang w:val="en-GB"/>
        </w:rPr>
        <w:t>28</w:t>
      </w:r>
    </w:p>
    <w:p w14:paraId="2FA76B70" w14:textId="77777777" w:rsidR="006A5028" w:rsidRDefault="00B33296">
      <w:pPr>
        <w:spacing w:line="360" w:lineRule="auto"/>
        <w:jc w:val="both"/>
        <w:rPr>
          <w:rFonts w:cs="Times New Roman"/>
          <w:lang w:val="en-GB"/>
        </w:rPr>
      </w:pPr>
      <w:r>
        <w:rPr>
          <w:rFonts w:cs="Times New Roman"/>
          <w:lang w:val="en-GB"/>
        </w:rPr>
        <w:t>Findings of the current study indicates that individuals aged 50 years and above were 7.7 t</w:t>
      </w:r>
      <w:r>
        <w:rPr>
          <w:rFonts w:cs="Times New Roman"/>
          <w:lang w:val="en-GB"/>
        </w:rPr>
        <w:t>imes more likely to have hypovitaminosis D, consistent with previous research indicating decreased vitamin D levels in older individuals. Factors such as reduced skin 7-dehydrocholesterol, declining renal function, and decreased sunlight exposure contribut</w:t>
      </w:r>
      <w:r>
        <w:rPr>
          <w:rFonts w:cs="Times New Roman"/>
          <w:lang w:val="en-GB"/>
        </w:rPr>
        <w:t>e to this phenomenon.</w:t>
      </w:r>
      <w:r>
        <w:rPr>
          <w:rFonts w:cs="Times New Roman"/>
          <w:color w:val="000000"/>
          <w:vertAlign w:val="superscript"/>
          <w:lang w:val="en-GB"/>
        </w:rPr>
        <w:t>29,30</w:t>
      </w:r>
      <w:r>
        <w:rPr>
          <w:rFonts w:cs="Times New Roman"/>
          <w:lang w:val="en-GB"/>
        </w:rPr>
        <w:t xml:space="preserve"> Nutritional factors were also examined, with a high intake of fish noted among participants, typical of residents in coastal cities like Port Harcourt.</w:t>
      </w:r>
      <w:r>
        <w:rPr>
          <w:rFonts w:cs="Times New Roman"/>
          <w:color w:val="000000"/>
          <w:vertAlign w:val="superscript"/>
          <w:lang w:val="en-GB"/>
        </w:rPr>
        <w:t>20</w:t>
      </w:r>
      <w:r>
        <w:rPr>
          <w:rFonts w:cs="Times New Roman"/>
          <w:lang w:val="en-GB"/>
        </w:rPr>
        <w:t xml:space="preserve"> Regarding adiposity, most participants had abnormal BMI, with no underweigh</w:t>
      </w:r>
      <w:r>
        <w:rPr>
          <w:rFonts w:cs="Times New Roman"/>
          <w:lang w:val="en-GB"/>
        </w:rPr>
        <w:t>t individuals observed. While a higher proportion of subjects with hypovitaminosis D had a higher BMI, this difference was not statistically significant. However, previous studies have shown a significant association between obesity and vitamin D deficienc</w:t>
      </w:r>
      <w:r>
        <w:rPr>
          <w:rFonts w:cs="Times New Roman"/>
          <w:lang w:val="en-GB"/>
        </w:rPr>
        <w:t>y.</w:t>
      </w:r>
      <w:r>
        <w:rPr>
          <w:rFonts w:cs="Times New Roman"/>
          <w:color w:val="000000"/>
          <w:vertAlign w:val="superscript"/>
          <w:lang w:val="en-GB"/>
        </w:rPr>
        <w:t>21,22,31</w:t>
      </w:r>
      <w:r>
        <w:rPr>
          <w:rFonts w:cs="Times New Roman"/>
          <w:lang w:val="en-GB"/>
        </w:rPr>
        <w:t xml:space="preserve"> The waist-hip ratio displayed a different trend, with a higher proportion of abnormal ratios found among the vitamin D-sufficient group, indicating that factors other than adiposity may influence vitamin D levels in this population.</w:t>
      </w:r>
    </w:p>
    <w:p w14:paraId="44D16787" w14:textId="3BE026A2" w:rsidR="006A5028" w:rsidRDefault="00A03F48">
      <w:pPr>
        <w:spacing w:line="360" w:lineRule="auto"/>
        <w:rPr>
          <w:b/>
          <w:bCs/>
        </w:rPr>
      </w:pPr>
      <w:r>
        <w:rPr>
          <w:b/>
          <w:bCs/>
        </w:rPr>
        <w:t>CONCLUSION</w:t>
      </w:r>
    </w:p>
    <w:p w14:paraId="307D7698" w14:textId="77777777" w:rsidR="006A5028" w:rsidRDefault="00B33296">
      <w:pPr>
        <w:spacing w:line="360" w:lineRule="auto"/>
        <w:jc w:val="both"/>
      </w:pPr>
      <w:r>
        <w:t>T</w:t>
      </w:r>
      <w:r>
        <w:t>he current study highlights significant associations between demographic and biochemical factors and the likelihood of deficient or insufficient hydroxyvitamin D levels. Individuals aged 50 and above exhibited a notably higher likelihood of deficiency or i</w:t>
      </w:r>
      <w:r>
        <w:t xml:space="preserve">nsufficiency, suggesting age as a significant predictor even after adjusting for other factors. Conversely, while individuals with abnormal waist-to-hip ratios initially showed a lower likelihood, this association became less significant after adjustment, </w:t>
      </w:r>
      <w:r>
        <w:t>implying a potential association influenced by other variables. Moreover, abnormal albumin levels emerged as a robust predictor of deficient or insufficient levels, maintaining significance even after adjusting for confounding factors. These findings under</w:t>
      </w:r>
      <w:r>
        <w:t>score the importance of considering both demographic and physiological factors when assessing vitamin D status and highlight the need for targeted interventions in high-risk populations to mitigate deficiency or insufficiency.</w:t>
      </w:r>
    </w:p>
    <w:p w14:paraId="583B62CF" w14:textId="77777777" w:rsidR="006A5028" w:rsidRDefault="006A5028">
      <w:pPr>
        <w:spacing w:line="360" w:lineRule="auto"/>
        <w:rPr>
          <w:b/>
          <w:bCs/>
        </w:rPr>
      </w:pPr>
    </w:p>
    <w:p w14:paraId="794A84E0" w14:textId="77777777" w:rsidR="006A5028" w:rsidRDefault="00B33296">
      <w:pPr>
        <w:spacing w:line="360" w:lineRule="auto"/>
        <w:rPr>
          <w:b/>
          <w:bCs/>
        </w:rPr>
      </w:pPr>
      <w:r>
        <w:rPr>
          <w:b/>
          <w:bCs/>
        </w:rPr>
        <w:t>References</w:t>
      </w:r>
    </w:p>
    <w:p w14:paraId="3AD871DF" w14:textId="77777777" w:rsidR="006A5028" w:rsidRDefault="00B33296">
      <w:pPr>
        <w:autoSpaceDE w:val="0"/>
        <w:autoSpaceDN w:val="0"/>
        <w:ind w:hanging="640"/>
        <w:rPr>
          <w:rFonts w:eastAsia="Times New Roman"/>
          <w:sz w:val="24"/>
          <w:szCs w:val="24"/>
        </w:rPr>
      </w:pPr>
      <w:r>
        <w:rPr>
          <w:rFonts w:eastAsia="Times New Roman"/>
        </w:rPr>
        <w:t xml:space="preserve">1. </w:t>
      </w:r>
      <w:r>
        <w:rPr>
          <w:rFonts w:eastAsia="Times New Roman"/>
        </w:rPr>
        <w:tab/>
        <w:t>Grammatiki M,</w:t>
      </w:r>
      <w:r>
        <w:rPr>
          <w:rFonts w:eastAsia="Times New Roman"/>
        </w:rPr>
        <w:t xml:space="preserve"> Karras S, Kotsa K. The role of vitamin D in the pathogenesis and treatment of diabetes mellitus: a narrative review. Hormones 2018 18:1 [Internet]. 2018 Sep 25 [cited 2024 Mar 28];18(1):37–48. Available from: https://link.springer.com/article/10.1007/s420</w:t>
      </w:r>
      <w:r>
        <w:rPr>
          <w:rFonts w:eastAsia="Times New Roman"/>
        </w:rPr>
        <w:t>00-018-0063-z</w:t>
      </w:r>
    </w:p>
    <w:p w14:paraId="1C955274" w14:textId="77777777" w:rsidR="006A5028" w:rsidRDefault="00B33296">
      <w:pPr>
        <w:autoSpaceDE w:val="0"/>
        <w:autoSpaceDN w:val="0"/>
        <w:ind w:hanging="640"/>
        <w:rPr>
          <w:rFonts w:eastAsia="Times New Roman"/>
        </w:rPr>
      </w:pPr>
      <w:r>
        <w:rPr>
          <w:rFonts w:eastAsia="Times New Roman"/>
        </w:rPr>
        <w:t xml:space="preserve">2. </w:t>
      </w:r>
      <w:r>
        <w:rPr>
          <w:rFonts w:eastAsia="Times New Roman"/>
        </w:rPr>
        <w:tab/>
        <w:t xml:space="preserve">Ahwaide HS, Elbarghathi NM, Mohamed FF, Elbarghathi NM. Narrative review on role of vitamin D in type II diabetes and hyperlipidemia.   Libyan Journal of </w:t>
      </w:r>
      <w:proofErr w:type="gramStart"/>
      <w:r>
        <w:rPr>
          <w:rFonts w:eastAsia="Times New Roman"/>
        </w:rPr>
        <w:t>Science  &amp;</w:t>
      </w:r>
      <w:proofErr w:type="gramEnd"/>
      <w:r>
        <w:rPr>
          <w:rFonts w:eastAsia="Times New Roman"/>
        </w:rPr>
        <w:t>Technology [Internet]. 2018 Sep 18 [cited 2024 Mar 28];7(2):73–84. Availab</w:t>
      </w:r>
      <w:r>
        <w:rPr>
          <w:rFonts w:eastAsia="Times New Roman"/>
        </w:rPr>
        <w:t>le from: https://journals.uob.edu.ly/LJST/article/view/2242</w:t>
      </w:r>
    </w:p>
    <w:p w14:paraId="2788E8D6" w14:textId="77777777" w:rsidR="006A5028" w:rsidRDefault="00B33296">
      <w:pPr>
        <w:autoSpaceDE w:val="0"/>
        <w:autoSpaceDN w:val="0"/>
        <w:ind w:hanging="640"/>
        <w:rPr>
          <w:rFonts w:eastAsia="Times New Roman"/>
        </w:rPr>
      </w:pPr>
      <w:r>
        <w:rPr>
          <w:rFonts w:eastAsia="Times New Roman"/>
        </w:rPr>
        <w:t xml:space="preserve">3. </w:t>
      </w:r>
      <w:r>
        <w:rPr>
          <w:rFonts w:eastAsia="Times New Roman"/>
        </w:rPr>
        <w:tab/>
        <w:t>Murad G, Hanan E, Abdulghani M, Abdulla B, Mohammed S, Khaled S. Prevalence of Vitamin D Deficiency in Pregnant Diabetic Patients in Western Libya. Archives of Internal Medicine Research. 2019</w:t>
      </w:r>
      <w:r>
        <w:rPr>
          <w:rFonts w:eastAsia="Times New Roman"/>
        </w:rPr>
        <w:t xml:space="preserve">;02(01). </w:t>
      </w:r>
    </w:p>
    <w:p w14:paraId="4A59122A" w14:textId="77777777" w:rsidR="006A5028" w:rsidRDefault="00B33296">
      <w:pPr>
        <w:autoSpaceDE w:val="0"/>
        <w:autoSpaceDN w:val="0"/>
        <w:ind w:hanging="640"/>
        <w:rPr>
          <w:rFonts w:eastAsia="Times New Roman"/>
        </w:rPr>
      </w:pPr>
      <w:r>
        <w:rPr>
          <w:rFonts w:eastAsia="Times New Roman"/>
        </w:rPr>
        <w:t xml:space="preserve">4. </w:t>
      </w:r>
      <w:r>
        <w:rPr>
          <w:rFonts w:eastAsia="Times New Roman"/>
        </w:rPr>
        <w:tab/>
        <w:t xml:space="preserve">Unachukwu C, Uchenna D, Young E. Mortality among Diabetes In-Patients in Port-Harcourt, Nigeria. African Journal of Endocrinology and Metabolism [Internet]. 2008 Aug 6 [cited 2024 Mar 28];7(1):1–4. Available from: </w:t>
      </w:r>
      <w:r>
        <w:rPr>
          <w:rFonts w:eastAsia="Times New Roman"/>
        </w:rPr>
        <w:t>https://www.ajol.info/index.php/ajem/article/view/57567</w:t>
      </w:r>
    </w:p>
    <w:p w14:paraId="561AA67B" w14:textId="77777777" w:rsidR="006A5028" w:rsidRDefault="00B33296">
      <w:pPr>
        <w:autoSpaceDE w:val="0"/>
        <w:autoSpaceDN w:val="0"/>
        <w:ind w:hanging="640"/>
        <w:rPr>
          <w:rFonts w:eastAsia="Times New Roman"/>
        </w:rPr>
      </w:pPr>
      <w:r>
        <w:rPr>
          <w:rFonts w:eastAsia="Times New Roman"/>
        </w:rPr>
        <w:t xml:space="preserve">5. </w:t>
      </w:r>
      <w:r>
        <w:rPr>
          <w:rFonts w:eastAsia="Times New Roman"/>
        </w:rPr>
        <w:tab/>
        <w:t>Bouillon R, Van Schoor NM, Gielen E, Boonen S, Mathieu C, Vanderschueren D, et al. Optimal Vitamin D Status: A Critical Analysis on the Basis of Evidence-Based Medicine. J Clin Endocrinol Metab [I</w:t>
      </w:r>
      <w:r>
        <w:rPr>
          <w:rFonts w:eastAsia="Times New Roman"/>
        </w:rPr>
        <w:t>nternet]. 2013 Aug 1 [cited 2024 Mar 28];98(8</w:t>
      </w:r>
      <w:proofErr w:type="gramStart"/>
      <w:r>
        <w:rPr>
          <w:rFonts w:eastAsia="Times New Roman"/>
        </w:rPr>
        <w:t>):E</w:t>
      </w:r>
      <w:proofErr w:type="gramEnd"/>
      <w:r>
        <w:rPr>
          <w:rFonts w:eastAsia="Times New Roman"/>
        </w:rPr>
        <w:t>1283–304. Available from: https://dx.doi.org/10.1210/jc.2013-1195</w:t>
      </w:r>
    </w:p>
    <w:p w14:paraId="577192A0" w14:textId="77777777" w:rsidR="006A5028" w:rsidRDefault="00B33296">
      <w:pPr>
        <w:autoSpaceDE w:val="0"/>
        <w:autoSpaceDN w:val="0"/>
        <w:ind w:hanging="640"/>
        <w:rPr>
          <w:rFonts w:eastAsia="Times New Roman"/>
        </w:rPr>
      </w:pPr>
      <w:r>
        <w:rPr>
          <w:rFonts w:eastAsia="Times New Roman"/>
        </w:rPr>
        <w:t xml:space="preserve">6. </w:t>
      </w:r>
      <w:r>
        <w:rPr>
          <w:rFonts w:eastAsia="Times New Roman"/>
        </w:rPr>
        <w:tab/>
        <w:t>Amin N, Doupis J. Diabetic foot disease: From the evaluation of the “foot at risk” to the novel diabetic ulcer treatment modalities. World</w:t>
      </w:r>
      <w:r>
        <w:rPr>
          <w:rFonts w:eastAsia="Times New Roman"/>
        </w:rPr>
        <w:t xml:space="preserve"> J Diabetes [Internet]. 2016 Apr 4 [cited 2024 Mar 28];7(7):153. Available from: /pmc/articles/PMC4824686/</w:t>
      </w:r>
    </w:p>
    <w:p w14:paraId="3B12EB14" w14:textId="77777777" w:rsidR="006A5028" w:rsidRDefault="00B33296">
      <w:pPr>
        <w:autoSpaceDE w:val="0"/>
        <w:autoSpaceDN w:val="0"/>
        <w:ind w:hanging="640"/>
        <w:rPr>
          <w:rFonts w:eastAsia="Times New Roman"/>
        </w:rPr>
      </w:pPr>
      <w:r>
        <w:rPr>
          <w:rFonts w:eastAsia="Times New Roman"/>
        </w:rPr>
        <w:t xml:space="preserve">7. </w:t>
      </w:r>
      <w:r>
        <w:rPr>
          <w:rFonts w:eastAsia="Times New Roman"/>
        </w:rPr>
        <w:tab/>
        <w:t>Tsiaras WG, Weinstock MA. Factors Influencing Vitamin D Status. Acta Derm Venereol [Internet]. 2011 Feb 7 [cited 2024 Mar 28];91(2):115–24. Avail</w:t>
      </w:r>
      <w:r>
        <w:rPr>
          <w:rFonts w:eastAsia="Times New Roman"/>
        </w:rPr>
        <w:t>able from: https://medicaljournalssweden.se/actadv/article/view/9040</w:t>
      </w:r>
    </w:p>
    <w:p w14:paraId="5FD127C5" w14:textId="77777777" w:rsidR="006A5028" w:rsidRDefault="00B33296">
      <w:pPr>
        <w:autoSpaceDE w:val="0"/>
        <w:autoSpaceDN w:val="0"/>
        <w:ind w:hanging="640"/>
        <w:rPr>
          <w:rFonts w:eastAsia="Times New Roman"/>
        </w:rPr>
      </w:pPr>
      <w:r>
        <w:rPr>
          <w:rFonts w:eastAsia="Times New Roman"/>
        </w:rPr>
        <w:t xml:space="preserve">8. </w:t>
      </w:r>
      <w:r>
        <w:rPr>
          <w:rFonts w:eastAsia="Times New Roman"/>
        </w:rPr>
        <w:tab/>
        <w:t xml:space="preserve">Holick MF, Binkley NC, Bischoff-Ferrari HA, Gordon CM, Hanley DA, Heaney RP, et al. Evaluation, Treatment, and Prevention of Vitamin D Deficiency: </w:t>
      </w:r>
      <w:proofErr w:type="gramStart"/>
      <w:r>
        <w:rPr>
          <w:rFonts w:eastAsia="Times New Roman"/>
        </w:rPr>
        <w:t>an</w:t>
      </w:r>
      <w:proofErr w:type="gramEnd"/>
      <w:r>
        <w:rPr>
          <w:rFonts w:eastAsia="Times New Roman"/>
        </w:rPr>
        <w:t xml:space="preserve"> Endocrine Society Clinical Practi</w:t>
      </w:r>
      <w:r>
        <w:rPr>
          <w:rFonts w:eastAsia="Times New Roman"/>
        </w:rPr>
        <w:t>ce Guideline. J Clin Endocrinol Metab [Internet]. 2011 Jul 1 [cited 2024 Mar 28];96(7):1911–30. Available from: https://dx.doi.org/10.1210/jc.2011-0385</w:t>
      </w:r>
    </w:p>
    <w:p w14:paraId="75EF91AC" w14:textId="77777777" w:rsidR="006A5028" w:rsidRDefault="00B33296">
      <w:pPr>
        <w:autoSpaceDE w:val="0"/>
        <w:autoSpaceDN w:val="0"/>
        <w:ind w:hanging="640"/>
        <w:rPr>
          <w:rFonts w:eastAsia="Times New Roman"/>
        </w:rPr>
      </w:pPr>
      <w:r>
        <w:rPr>
          <w:rFonts w:eastAsia="Times New Roman"/>
          <w:lang w:val="it-IT"/>
        </w:rPr>
        <w:t xml:space="preserve">9. </w:t>
      </w:r>
      <w:r>
        <w:rPr>
          <w:rFonts w:eastAsia="Times New Roman"/>
          <w:lang w:val="it-IT"/>
        </w:rPr>
        <w:tab/>
        <w:t xml:space="preserve">Chiamolera PS, Amaral CA, Russo MC de O, Netto G de O, Fernandes RA, Andrade RT de, et al. </w:t>
      </w:r>
      <w:r>
        <w:rPr>
          <w:rFonts w:eastAsia="Times New Roman"/>
        </w:rPr>
        <w:t>Prevalenc</w:t>
      </w:r>
      <w:r>
        <w:rPr>
          <w:rFonts w:eastAsia="Times New Roman"/>
        </w:rPr>
        <w:t>e of Low Levels of Vitamin D in Type 2 Diabetes at the City of Mangueirinha, Paraná, Southern Brazil. Open J Endocr Metab Dis [Internet]. 2016 Jan 12 [cited 2024 Mar 28];6(1):8–12. Available from: http://www.scirp.org/journal/PaperInformation.aspx?PaperID=</w:t>
      </w:r>
      <w:r>
        <w:rPr>
          <w:rFonts w:eastAsia="Times New Roman"/>
        </w:rPr>
        <w:t>62752</w:t>
      </w:r>
    </w:p>
    <w:p w14:paraId="02B45CEA" w14:textId="77777777" w:rsidR="006A5028" w:rsidRDefault="00B33296">
      <w:pPr>
        <w:autoSpaceDE w:val="0"/>
        <w:autoSpaceDN w:val="0"/>
        <w:ind w:hanging="640"/>
        <w:rPr>
          <w:rFonts w:eastAsia="Times New Roman"/>
        </w:rPr>
      </w:pPr>
      <w:r>
        <w:rPr>
          <w:rFonts w:eastAsia="Times New Roman"/>
        </w:rPr>
        <w:t xml:space="preserve">10. </w:t>
      </w:r>
      <w:r>
        <w:rPr>
          <w:rFonts w:eastAsia="Times New Roman"/>
        </w:rPr>
        <w:tab/>
        <w:t>Luderer HF, Nazarian RM, Zhu ED, Demay MB. Ligand-dependent actions of the vitamin D receptor are required for activation of TGF-β signaling during the inflammatory response to cutaneous injury. Endocrinology [Internet]. 2013 Jan 1 [cited 2024 M</w:t>
      </w:r>
      <w:r>
        <w:rPr>
          <w:rFonts w:eastAsia="Times New Roman"/>
        </w:rPr>
        <w:t>ar 28];154(1):16–24. Available from: https://pubmed.ncbi.nlm.nih.gov/23132743/</w:t>
      </w:r>
    </w:p>
    <w:p w14:paraId="5C5D1FFF" w14:textId="77777777" w:rsidR="006A5028" w:rsidRDefault="00B33296">
      <w:pPr>
        <w:autoSpaceDE w:val="0"/>
        <w:autoSpaceDN w:val="0"/>
        <w:ind w:hanging="640"/>
        <w:rPr>
          <w:rFonts w:eastAsia="Times New Roman"/>
        </w:rPr>
      </w:pPr>
      <w:r>
        <w:rPr>
          <w:rFonts w:eastAsia="Times New Roman"/>
        </w:rPr>
        <w:t xml:space="preserve">11. </w:t>
      </w:r>
      <w:r>
        <w:rPr>
          <w:rFonts w:eastAsia="Times New Roman"/>
        </w:rPr>
        <w:tab/>
        <w:t>Dai J, Jiang C, Chen H, Chai Y. Vitamin D and diabetic foot ulcer: a systematic review and meta-analysis. Nutr Diabetes [Internet]. 2019 Dec 1 [cited 2024 Mar 28];9(1). Ava</w:t>
      </w:r>
      <w:r>
        <w:rPr>
          <w:rFonts w:eastAsia="Times New Roman"/>
        </w:rPr>
        <w:t>ilable from: /pmc/articles/PMC6411880/</w:t>
      </w:r>
    </w:p>
    <w:p w14:paraId="7BA1732B" w14:textId="77777777" w:rsidR="006A5028" w:rsidRDefault="00B33296">
      <w:pPr>
        <w:autoSpaceDE w:val="0"/>
        <w:autoSpaceDN w:val="0"/>
        <w:ind w:hanging="640"/>
        <w:rPr>
          <w:rFonts w:eastAsia="Times New Roman"/>
        </w:rPr>
      </w:pPr>
      <w:r>
        <w:rPr>
          <w:rFonts w:eastAsia="Times New Roman"/>
        </w:rPr>
        <w:lastRenderedPageBreak/>
        <w:t xml:space="preserve">12. </w:t>
      </w:r>
      <w:r>
        <w:rPr>
          <w:rFonts w:eastAsia="Times New Roman"/>
        </w:rPr>
        <w:tab/>
        <w:t>Tang Y, Huang Y, Luo L, Xu M, Deng D, Fang Z, et al. Level of 25-hydroxyvitamin D and vitamin D receptor in diabetic foot ulcer and factor associated with diabetic foot ulcers. Diabetol Metab Syndr [Internet]. 20</w:t>
      </w:r>
      <w:r>
        <w:rPr>
          <w:rFonts w:eastAsia="Times New Roman"/>
        </w:rPr>
        <w:t>23 Dec 1 [cited 2024 Mar 28];15(1):1–17. Available from: https://dmsjournal.biomedcentral.com/articles/10.1186/s13098-023-01002-3</w:t>
      </w:r>
    </w:p>
    <w:p w14:paraId="7BCC4149" w14:textId="77777777" w:rsidR="006A5028" w:rsidRDefault="00B33296">
      <w:pPr>
        <w:autoSpaceDE w:val="0"/>
        <w:autoSpaceDN w:val="0"/>
        <w:ind w:hanging="640"/>
        <w:rPr>
          <w:rFonts w:eastAsia="Times New Roman"/>
        </w:rPr>
      </w:pPr>
      <w:r>
        <w:rPr>
          <w:rFonts w:eastAsia="Times New Roman"/>
        </w:rPr>
        <w:t xml:space="preserve">13. </w:t>
      </w:r>
      <w:r>
        <w:rPr>
          <w:rFonts w:eastAsia="Times New Roman"/>
        </w:rPr>
        <w:tab/>
        <w:t>Kurian SJ, Miraj SS, Benson R, Munisamy M, Saravu K, Rodrigues GS, et al. Vitamin D Supplementation in Diabetic Foot Ulce</w:t>
      </w:r>
      <w:r>
        <w:rPr>
          <w:rFonts w:eastAsia="Times New Roman"/>
        </w:rPr>
        <w:t xml:space="preserve">rs: A Current Perspective. Curr Diabetes Rev. 2020 Oct 13;17(4):512–21. </w:t>
      </w:r>
    </w:p>
    <w:p w14:paraId="65F199B5" w14:textId="77777777" w:rsidR="006A5028" w:rsidRDefault="00B33296">
      <w:pPr>
        <w:autoSpaceDE w:val="0"/>
        <w:autoSpaceDN w:val="0"/>
        <w:ind w:hanging="640"/>
        <w:rPr>
          <w:rFonts w:eastAsia="Times New Roman"/>
        </w:rPr>
      </w:pPr>
      <w:r>
        <w:rPr>
          <w:rFonts w:eastAsia="Times New Roman"/>
        </w:rPr>
        <w:t xml:space="preserve">14. </w:t>
      </w:r>
      <w:r>
        <w:rPr>
          <w:rFonts w:eastAsia="Times New Roman"/>
        </w:rPr>
        <w:tab/>
        <w:t xml:space="preserve">Lips P, Eekhoff M, van Schoor N, Oosterwerff M, de Jongh R, Krul-Poel Y, et al. Vitamin D and type 2 diabetes. J Steroid Biochem Mol Biol [Internet]. 2017 Oct 1 [cited 2024 Mar </w:t>
      </w:r>
      <w:r>
        <w:rPr>
          <w:rFonts w:eastAsia="Times New Roman"/>
        </w:rPr>
        <w:t>28</w:t>
      </w:r>
      <w:proofErr w:type="gramStart"/>
      <w:r>
        <w:rPr>
          <w:rFonts w:eastAsia="Times New Roman"/>
        </w:rPr>
        <w:t>];173:280</w:t>
      </w:r>
      <w:proofErr w:type="gramEnd"/>
      <w:r>
        <w:rPr>
          <w:rFonts w:eastAsia="Times New Roman"/>
        </w:rPr>
        <w:t>–5. Available from: https://pubmed.ncbi.nlm.nih.gov/27932304/</w:t>
      </w:r>
    </w:p>
    <w:p w14:paraId="00A2AF44" w14:textId="77777777" w:rsidR="006A5028" w:rsidRDefault="00B33296">
      <w:pPr>
        <w:autoSpaceDE w:val="0"/>
        <w:autoSpaceDN w:val="0"/>
        <w:ind w:hanging="640"/>
        <w:rPr>
          <w:rFonts w:eastAsia="Times New Roman"/>
        </w:rPr>
      </w:pPr>
      <w:r>
        <w:rPr>
          <w:rFonts w:eastAsia="Times New Roman"/>
          <w:lang w:val="it-IT"/>
        </w:rPr>
        <w:t xml:space="preserve">15. </w:t>
      </w:r>
      <w:r>
        <w:rPr>
          <w:rFonts w:eastAsia="Times New Roman"/>
          <w:lang w:val="it-IT"/>
        </w:rPr>
        <w:tab/>
        <w:t xml:space="preserve">Lázaro Martínez JL, Álvarez YG, Tardáguila-García A, Morales EG. </w:t>
      </w:r>
      <w:r>
        <w:rPr>
          <w:rFonts w:eastAsia="Times New Roman"/>
        </w:rPr>
        <w:t xml:space="preserve">Optimal management of diabetic foot osteomyelitis: challenges and solutions. Diabetes Metab Syndr Obes. </w:t>
      </w:r>
      <w:proofErr w:type="gramStart"/>
      <w:r>
        <w:rPr>
          <w:rFonts w:eastAsia="Times New Roman"/>
        </w:rPr>
        <w:t>2019;12:9</w:t>
      </w:r>
      <w:r>
        <w:rPr>
          <w:rFonts w:eastAsia="Times New Roman"/>
        </w:rPr>
        <w:t>47</w:t>
      </w:r>
      <w:proofErr w:type="gramEnd"/>
      <w:r>
        <w:rPr>
          <w:rFonts w:eastAsia="Times New Roman"/>
        </w:rPr>
        <w:t xml:space="preserve">–59. </w:t>
      </w:r>
    </w:p>
    <w:p w14:paraId="7C2A7680" w14:textId="77777777" w:rsidR="006A5028" w:rsidRDefault="00B33296">
      <w:pPr>
        <w:autoSpaceDE w:val="0"/>
        <w:autoSpaceDN w:val="0"/>
        <w:ind w:hanging="640"/>
        <w:rPr>
          <w:rFonts w:eastAsia="Times New Roman"/>
        </w:rPr>
      </w:pPr>
      <w:r>
        <w:rPr>
          <w:rFonts w:eastAsia="Times New Roman"/>
        </w:rPr>
        <w:t xml:space="preserve">16. </w:t>
      </w:r>
      <w:r>
        <w:rPr>
          <w:rFonts w:eastAsia="Times New Roman"/>
        </w:rPr>
        <w:tab/>
        <w:t xml:space="preserve">L Yazdanpanah MNSA. Literature review on the management of diabetic foot ulcer. World J Diabetes. 2015;6(1):37–53. </w:t>
      </w:r>
    </w:p>
    <w:p w14:paraId="0411128D" w14:textId="77777777" w:rsidR="006A5028" w:rsidRDefault="00B33296">
      <w:pPr>
        <w:autoSpaceDE w:val="0"/>
        <w:autoSpaceDN w:val="0"/>
        <w:ind w:hanging="640"/>
        <w:rPr>
          <w:rFonts w:eastAsia="Times New Roman"/>
        </w:rPr>
      </w:pPr>
      <w:r>
        <w:rPr>
          <w:rFonts w:eastAsia="Times New Roman"/>
        </w:rPr>
        <w:t xml:space="preserve">17. </w:t>
      </w:r>
      <w:r>
        <w:rPr>
          <w:rFonts w:eastAsia="Times New Roman"/>
        </w:rPr>
        <w:tab/>
        <w:t xml:space="preserve">Seyoum B. LECTURE NOTES Introduction to Medical Laboratory Technology. 2006;(December):1–168. </w:t>
      </w:r>
    </w:p>
    <w:p w14:paraId="1E016897" w14:textId="77777777" w:rsidR="006A5028" w:rsidRDefault="00B33296">
      <w:pPr>
        <w:autoSpaceDE w:val="0"/>
        <w:autoSpaceDN w:val="0"/>
        <w:ind w:hanging="640"/>
        <w:rPr>
          <w:rFonts w:eastAsia="Times New Roman"/>
        </w:rPr>
      </w:pPr>
      <w:r>
        <w:rPr>
          <w:rFonts w:eastAsia="Times New Roman"/>
        </w:rPr>
        <w:t xml:space="preserve">18. </w:t>
      </w:r>
      <w:r>
        <w:rPr>
          <w:rFonts w:eastAsia="Times New Roman"/>
        </w:rPr>
        <w:tab/>
        <w:t>Rolim MC, Santos BM, C</w:t>
      </w:r>
      <w:r>
        <w:rPr>
          <w:rFonts w:eastAsia="Times New Roman"/>
        </w:rPr>
        <w:t>onceição G, Rocha PN. Relationship between Vitamin D status, glycemic control and cardiovascular risk factors in Brazilians with type 2 diabetes mellitus. Diabetol Metab Syndr [Internet]. 2016 Nov 16 [cited 2024 Apr 14];8(1):1–7. Available from: https://dm</w:t>
      </w:r>
      <w:r>
        <w:rPr>
          <w:rFonts w:eastAsia="Times New Roman"/>
        </w:rPr>
        <w:t>sjournal.biomedcentral.com/articles/10.1186/s13098-016-0188-7</w:t>
      </w:r>
    </w:p>
    <w:p w14:paraId="371639A1" w14:textId="77777777" w:rsidR="006A5028" w:rsidRDefault="00B33296">
      <w:pPr>
        <w:autoSpaceDE w:val="0"/>
        <w:autoSpaceDN w:val="0"/>
        <w:ind w:hanging="640"/>
        <w:rPr>
          <w:rFonts w:eastAsia="Times New Roman"/>
        </w:rPr>
      </w:pPr>
      <w:r>
        <w:rPr>
          <w:rFonts w:eastAsia="Times New Roman"/>
        </w:rPr>
        <w:t xml:space="preserve">19. </w:t>
      </w:r>
      <w:r>
        <w:rPr>
          <w:rFonts w:eastAsia="Times New Roman"/>
        </w:rPr>
        <w:tab/>
        <w:t>Feldkamp J, Jungheim K, Schott M, Jacobs B, Roden M. Severe Vitamin D3 Deficiency in the Majority of Patients with Diabetic Foot Ulcers. Hormone and Metabolic Research [Internet]. 2018 [cit</w:t>
      </w:r>
      <w:r>
        <w:rPr>
          <w:rFonts w:eastAsia="Times New Roman"/>
        </w:rPr>
        <w:t>ed 2024 Apr 13];50(8):615–9. Available from: http://www.thieme-connect.com/products/ejournals/html/10.1055/a-0648-8178</w:t>
      </w:r>
    </w:p>
    <w:p w14:paraId="6AADA7FB" w14:textId="77777777" w:rsidR="006A5028" w:rsidRDefault="00B33296">
      <w:pPr>
        <w:autoSpaceDE w:val="0"/>
        <w:autoSpaceDN w:val="0"/>
        <w:ind w:hanging="640"/>
        <w:rPr>
          <w:rFonts w:eastAsia="Times New Roman"/>
        </w:rPr>
      </w:pPr>
      <w:r>
        <w:rPr>
          <w:rFonts w:eastAsia="Times New Roman"/>
        </w:rPr>
        <w:t xml:space="preserve">20. </w:t>
      </w:r>
      <w:r>
        <w:rPr>
          <w:rFonts w:eastAsia="Times New Roman"/>
        </w:rPr>
        <w:tab/>
        <w:t>Anyanwu A, Olopade O, Onung S, Odeniyi I, Coker H, Fasanmade O, et al. Serum Vitamin D Levels in Persons with Type 2 Diabetes Mellit</w:t>
      </w:r>
      <w:r>
        <w:rPr>
          <w:rFonts w:eastAsia="Times New Roman"/>
        </w:rPr>
        <w:t xml:space="preserve">us in Lagos, Nigeria. Int J Diabetes Clin Res. 2020 Dec 31;7(4). </w:t>
      </w:r>
    </w:p>
    <w:p w14:paraId="231247DD" w14:textId="77777777" w:rsidR="006A5028" w:rsidRDefault="00B33296">
      <w:pPr>
        <w:autoSpaceDE w:val="0"/>
        <w:autoSpaceDN w:val="0"/>
        <w:ind w:hanging="640"/>
        <w:rPr>
          <w:rFonts w:eastAsia="Times New Roman"/>
        </w:rPr>
      </w:pPr>
      <w:r>
        <w:rPr>
          <w:rFonts w:eastAsia="Times New Roman"/>
        </w:rPr>
        <w:t xml:space="preserve">21. </w:t>
      </w:r>
      <w:r>
        <w:rPr>
          <w:rFonts w:eastAsia="Times New Roman"/>
        </w:rPr>
        <w:tab/>
        <w:t>Tsiaras WG, Weinstock MA. Factors influencing vitamin D status. Acta Derm Venereol [Internet]. 2011 Mar [cited 2024 Apr 13];91(2):115–24. Available from: https://pubmed.ncbi.nlm.nih.gov</w:t>
      </w:r>
      <w:r>
        <w:rPr>
          <w:rFonts w:eastAsia="Times New Roman"/>
        </w:rPr>
        <w:t>/21384086/</w:t>
      </w:r>
    </w:p>
    <w:p w14:paraId="0F5BB08C" w14:textId="77777777" w:rsidR="006A5028" w:rsidRDefault="00B33296">
      <w:pPr>
        <w:autoSpaceDE w:val="0"/>
        <w:autoSpaceDN w:val="0"/>
        <w:ind w:hanging="640"/>
        <w:rPr>
          <w:rFonts w:eastAsia="Times New Roman"/>
        </w:rPr>
      </w:pPr>
      <w:r>
        <w:rPr>
          <w:rFonts w:eastAsia="Times New Roman"/>
        </w:rPr>
        <w:t xml:space="preserve">22. </w:t>
      </w:r>
      <w:r>
        <w:rPr>
          <w:rFonts w:eastAsia="Times New Roman"/>
        </w:rPr>
        <w:tab/>
        <w:t xml:space="preserve">Dai J, Yu M, Chen H, Chai Y. Association Between Serum 25-OH-Vitamin D and Diabetic Foot Ulcer in Patients </w:t>
      </w:r>
      <w:proofErr w:type="gramStart"/>
      <w:r>
        <w:rPr>
          <w:rFonts w:eastAsia="Times New Roman"/>
        </w:rPr>
        <w:t>With</w:t>
      </w:r>
      <w:proofErr w:type="gramEnd"/>
      <w:r>
        <w:rPr>
          <w:rFonts w:eastAsia="Times New Roman"/>
        </w:rPr>
        <w:t xml:space="preserve"> Type 2 Diabetes. Front Nutr. 2020 Sep </w:t>
      </w:r>
      <w:proofErr w:type="gramStart"/>
      <w:r>
        <w:rPr>
          <w:rFonts w:eastAsia="Times New Roman"/>
        </w:rPr>
        <w:t>2;7:538923</w:t>
      </w:r>
      <w:proofErr w:type="gramEnd"/>
      <w:r>
        <w:rPr>
          <w:rFonts w:eastAsia="Times New Roman"/>
        </w:rPr>
        <w:t xml:space="preserve">. </w:t>
      </w:r>
    </w:p>
    <w:p w14:paraId="4B90945F" w14:textId="77777777" w:rsidR="006A5028" w:rsidRDefault="00B33296">
      <w:pPr>
        <w:autoSpaceDE w:val="0"/>
        <w:autoSpaceDN w:val="0"/>
        <w:ind w:hanging="640"/>
        <w:rPr>
          <w:rFonts w:eastAsia="Times New Roman"/>
        </w:rPr>
      </w:pPr>
      <w:r>
        <w:rPr>
          <w:rFonts w:eastAsia="Times New Roman"/>
        </w:rPr>
        <w:t xml:space="preserve">23. </w:t>
      </w:r>
      <w:r>
        <w:rPr>
          <w:rFonts w:eastAsia="Times New Roman"/>
        </w:rPr>
        <w:tab/>
        <w:t>Wang F, Zhou L, Zhu D, Yang C. A Retrospective Analysis of the Relations</w:t>
      </w:r>
      <w:r>
        <w:rPr>
          <w:rFonts w:eastAsia="Times New Roman"/>
        </w:rPr>
        <w:t>hip Between 25-OH-Vitamin D and Diabetic Foot Ulcer. Diabetes, Metabolic Syndrome and Obesity [Internet]. 2022 May 3 [cited 2024 Apr 13</w:t>
      </w:r>
      <w:proofErr w:type="gramStart"/>
      <w:r>
        <w:rPr>
          <w:rFonts w:eastAsia="Times New Roman"/>
        </w:rPr>
        <w:t>];15:1347</w:t>
      </w:r>
      <w:proofErr w:type="gramEnd"/>
      <w:r>
        <w:rPr>
          <w:rFonts w:eastAsia="Times New Roman"/>
        </w:rPr>
        <w:t>–55. Available from: https://www.dovepress.com/a-retrospective-analysis-of-the-relationship-between-25-oh-vitami</w:t>
      </w:r>
      <w:r>
        <w:rPr>
          <w:rFonts w:eastAsia="Times New Roman"/>
        </w:rPr>
        <w:t>n-d-a-peer-reviewed-fulltext-article-DMSO</w:t>
      </w:r>
    </w:p>
    <w:p w14:paraId="0498CC1E" w14:textId="77777777" w:rsidR="006A5028" w:rsidRDefault="00B33296">
      <w:pPr>
        <w:autoSpaceDE w:val="0"/>
        <w:autoSpaceDN w:val="0"/>
        <w:ind w:hanging="640"/>
        <w:rPr>
          <w:rFonts w:eastAsia="Times New Roman"/>
        </w:rPr>
      </w:pPr>
      <w:r>
        <w:rPr>
          <w:rFonts w:eastAsia="Times New Roman"/>
          <w:lang w:val="it-IT"/>
        </w:rPr>
        <w:t xml:space="preserve">24. </w:t>
      </w:r>
      <w:r>
        <w:rPr>
          <w:rFonts w:eastAsia="Times New Roman"/>
          <w:lang w:val="it-IT"/>
        </w:rPr>
        <w:tab/>
        <w:t xml:space="preserve">Wu T, Xie D, Zhao X, Xu M, Luo L, Deng D, et al. </w:t>
      </w:r>
      <w:r>
        <w:rPr>
          <w:rFonts w:eastAsia="Times New Roman"/>
        </w:rPr>
        <w:t xml:space="preserve">Enhanced Expression of miR-34c in Peripheral Plasma Associated with Diabetic Foot Ulcer in Type 2 Diabetes Patients. Diabetes Metab Syndr Obes [Internet]. 2021 </w:t>
      </w:r>
      <w:r>
        <w:rPr>
          <w:rFonts w:eastAsia="Times New Roman"/>
        </w:rPr>
        <w:t>[cited 2024 Apr 13</w:t>
      </w:r>
      <w:proofErr w:type="gramStart"/>
      <w:r>
        <w:rPr>
          <w:rFonts w:eastAsia="Times New Roman"/>
        </w:rPr>
        <w:t>];14:4263</w:t>
      </w:r>
      <w:proofErr w:type="gramEnd"/>
      <w:r>
        <w:rPr>
          <w:rFonts w:eastAsia="Times New Roman"/>
        </w:rPr>
        <w:t>–73. Available from: http://www.ncbi.nlm.nih.gov/pubmed/34703259</w:t>
      </w:r>
    </w:p>
    <w:p w14:paraId="74DB58F0" w14:textId="77777777" w:rsidR="006A5028" w:rsidRDefault="00B33296">
      <w:pPr>
        <w:autoSpaceDE w:val="0"/>
        <w:autoSpaceDN w:val="0"/>
        <w:ind w:hanging="640"/>
        <w:rPr>
          <w:rFonts w:eastAsia="Times New Roman"/>
        </w:rPr>
      </w:pPr>
      <w:r>
        <w:rPr>
          <w:rFonts w:eastAsia="Times New Roman"/>
        </w:rPr>
        <w:lastRenderedPageBreak/>
        <w:t xml:space="preserve">25. </w:t>
      </w:r>
      <w:r>
        <w:rPr>
          <w:rFonts w:eastAsia="Times New Roman"/>
        </w:rPr>
        <w:tab/>
        <w:t>Saedisomeolia A, Taheri E, Djalali M, Moghadam AM, Qorbani M. Association between serum level of vitamin D and lipid profiles in type 2 diabetic patients in Ir</w:t>
      </w:r>
      <w:r>
        <w:rPr>
          <w:rFonts w:eastAsia="Times New Roman"/>
        </w:rPr>
        <w:t>an. J Diabetes Metab Disord [Internet]. 2014 Jan 7 [cited 2024 Apr 14];13(1):7. Available from: /pmc/articles/PMC3937161/</w:t>
      </w:r>
    </w:p>
    <w:p w14:paraId="1DEFD850" w14:textId="77777777" w:rsidR="006A5028" w:rsidRDefault="00B33296">
      <w:pPr>
        <w:autoSpaceDE w:val="0"/>
        <w:autoSpaceDN w:val="0"/>
        <w:ind w:hanging="640"/>
        <w:rPr>
          <w:rFonts w:eastAsia="Times New Roman"/>
        </w:rPr>
      </w:pPr>
      <w:r>
        <w:rPr>
          <w:rFonts w:eastAsia="Times New Roman"/>
        </w:rPr>
        <w:t xml:space="preserve">26. </w:t>
      </w:r>
      <w:r>
        <w:rPr>
          <w:rFonts w:eastAsia="Times New Roman"/>
        </w:rPr>
        <w:tab/>
        <w:t>Karau PB, Kirna B, Amayo E, Joshi M, Ngare S, Muriira G. The prevalence of vitamin D deficiency among patients with type 2 diabet</w:t>
      </w:r>
      <w:r>
        <w:rPr>
          <w:rFonts w:eastAsia="Times New Roman"/>
        </w:rPr>
        <w:t>es seen at a referral hospital in Kenya. Pan Afr Med J [Internet]. 2019 [cited 2024 Apr 13];34. Available from: /pmc/articles/PMC6859033/</w:t>
      </w:r>
    </w:p>
    <w:p w14:paraId="154A48E9" w14:textId="77777777" w:rsidR="006A5028" w:rsidRDefault="00B33296">
      <w:pPr>
        <w:autoSpaceDE w:val="0"/>
        <w:autoSpaceDN w:val="0"/>
        <w:ind w:hanging="640"/>
        <w:rPr>
          <w:rFonts w:eastAsia="Times New Roman"/>
        </w:rPr>
      </w:pPr>
      <w:r>
        <w:rPr>
          <w:rFonts w:eastAsia="Times New Roman"/>
        </w:rPr>
        <w:t xml:space="preserve">27. </w:t>
      </w:r>
      <w:r>
        <w:rPr>
          <w:rFonts w:eastAsia="Times New Roman"/>
        </w:rPr>
        <w:tab/>
        <w:t>Rice JB, Desai U, Cummings AKG, Birnbaum HG, Skornicki M, Parsons NB. Burden of diabetic foot ulcers for medicare</w:t>
      </w:r>
      <w:r>
        <w:rPr>
          <w:rFonts w:eastAsia="Times New Roman"/>
        </w:rPr>
        <w:t xml:space="preserve"> and private insurers. Diabetes Care [Internet]. 2014 Mar [cited 2024 Apr 13];37(3):651–8. Available from: https://pubmed.ncbi.nlm.nih.gov/24186882/</w:t>
      </w:r>
    </w:p>
    <w:p w14:paraId="5DDBCFEF" w14:textId="77777777" w:rsidR="006A5028" w:rsidRDefault="00B33296">
      <w:pPr>
        <w:autoSpaceDE w:val="0"/>
        <w:autoSpaceDN w:val="0"/>
        <w:ind w:hanging="640"/>
        <w:rPr>
          <w:rFonts w:eastAsia="Times New Roman"/>
        </w:rPr>
      </w:pPr>
      <w:r>
        <w:rPr>
          <w:rFonts w:eastAsia="Times New Roman"/>
        </w:rPr>
        <w:t xml:space="preserve">28. </w:t>
      </w:r>
      <w:r>
        <w:rPr>
          <w:rFonts w:eastAsia="Times New Roman"/>
        </w:rPr>
        <w:tab/>
        <w:t>Tang Y, Huang Y, Luo L, Xu M, Deng D, Fang Z, et al. Level of 25-hydroxyvitamin D and vitamin D recept</w:t>
      </w:r>
      <w:r>
        <w:rPr>
          <w:rFonts w:eastAsia="Times New Roman"/>
        </w:rPr>
        <w:t>or in diabetic foot ulcer and factor associated with diabetic foot ulcers. Diabetol Metab Syndr [Internet]. 2023 Dec 1 [cited 2024 Apr 13];15(1):1–17. Available from: https://dmsjournal.biomedcentral.com/articles/10.1186/s13098-023-01002-3</w:t>
      </w:r>
    </w:p>
    <w:p w14:paraId="54C4F3FE" w14:textId="77777777" w:rsidR="006A5028" w:rsidRDefault="00B33296">
      <w:pPr>
        <w:autoSpaceDE w:val="0"/>
        <w:autoSpaceDN w:val="0"/>
        <w:ind w:hanging="640"/>
        <w:rPr>
          <w:rFonts w:eastAsia="Times New Roman"/>
        </w:rPr>
      </w:pPr>
      <w:r>
        <w:rPr>
          <w:rFonts w:eastAsia="Times New Roman"/>
        </w:rPr>
        <w:t xml:space="preserve">29. </w:t>
      </w:r>
      <w:r>
        <w:rPr>
          <w:rFonts w:eastAsia="Times New Roman"/>
        </w:rPr>
        <w:tab/>
        <w:t>Wu B, Wan X</w:t>
      </w:r>
      <w:r>
        <w:rPr>
          <w:rFonts w:eastAsia="Times New Roman"/>
        </w:rPr>
        <w:t>, Ma J. Cost-effectiveness of prevention and management of diabetic foot ulcer and amputation in a health resource-limited setting. J Diabetes [Internet]. 2018 Apr 1 [cited 2024 Mar 28];10(4):320–7. Available from: https://onlinelibrary.wiley.com/doi/full/</w:t>
      </w:r>
      <w:r>
        <w:rPr>
          <w:rFonts w:eastAsia="Times New Roman"/>
        </w:rPr>
        <w:t>10.1111/1753-0407.12612</w:t>
      </w:r>
    </w:p>
    <w:p w14:paraId="22D12DE5" w14:textId="77777777" w:rsidR="006A5028" w:rsidRDefault="00B33296">
      <w:pPr>
        <w:autoSpaceDE w:val="0"/>
        <w:autoSpaceDN w:val="0"/>
        <w:ind w:hanging="640"/>
        <w:rPr>
          <w:rFonts w:eastAsia="Times New Roman"/>
        </w:rPr>
      </w:pPr>
      <w:r>
        <w:rPr>
          <w:rFonts w:eastAsia="Times New Roman"/>
        </w:rPr>
        <w:t xml:space="preserve">30. </w:t>
      </w:r>
      <w:r>
        <w:rPr>
          <w:rFonts w:eastAsia="Times New Roman"/>
        </w:rPr>
        <w:tab/>
        <w:t>Monteiro-Soares M, Boyko EJ, Jeffcoate W, Mills JL, Russell D, Morbach S, et al. Diabetic foot ulcer classifications: A critical review. Diabetes Metab Res Rev [Internet]. 2020 Mar 1 [cited 2024 Mar 28];36(S1</w:t>
      </w:r>
      <w:proofErr w:type="gramStart"/>
      <w:r>
        <w:rPr>
          <w:rFonts w:eastAsia="Times New Roman"/>
        </w:rPr>
        <w:t>):e</w:t>
      </w:r>
      <w:proofErr w:type="gramEnd"/>
      <w:r>
        <w:rPr>
          <w:rFonts w:eastAsia="Times New Roman"/>
        </w:rPr>
        <w:t xml:space="preserve">3272. Available </w:t>
      </w:r>
      <w:r>
        <w:rPr>
          <w:rFonts w:eastAsia="Times New Roman"/>
        </w:rPr>
        <w:t>from: https://onlinelibrary.wiley.com/doi/full/10.1002/dmrr.3272</w:t>
      </w:r>
    </w:p>
    <w:p w14:paraId="4DDA5CC4" w14:textId="77777777" w:rsidR="006A5028" w:rsidRDefault="00B33296">
      <w:pPr>
        <w:autoSpaceDE w:val="0"/>
        <w:autoSpaceDN w:val="0"/>
        <w:ind w:hanging="640"/>
        <w:rPr>
          <w:rFonts w:eastAsia="Times New Roman"/>
        </w:rPr>
      </w:pPr>
      <w:r>
        <w:rPr>
          <w:rFonts w:eastAsia="Times New Roman"/>
        </w:rPr>
        <w:t xml:space="preserve">31. </w:t>
      </w:r>
      <w:r>
        <w:rPr>
          <w:rFonts w:eastAsia="Times New Roman"/>
        </w:rPr>
        <w:tab/>
        <w:t>Tiwari S, Pratyush DD, Gupta B, Dwivedi A, Chaudhary S, Rayicherla RK, et al. Prevalence and severity of vitamin D deficiency in patients with diabetic foot infection. Br J Nutr [Interne</w:t>
      </w:r>
      <w:r>
        <w:rPr>
          <w:rFonts w:eastAsia="Times New Roman"/>
        </w:rPr>
        <w:t>t]. 2013 Jan 14 [cited 2024 Apr 13];109(1):99–102. Available from: https://pubmed.ncbi.nlm.nih.gov/22715859/</w:t>
      </w:r>
    </w:p>
    <w:p w14:paraId="4D25BC58" w14:textId="77777777" w:rsidR="006A5028" w:rsidRDefault="00B33296">
      <w:pPr>
        <w:spacing w:line="360" w:lineRule="auto"/>
      </w:pPr>
      <w:r>
        <w:rPr>
          <w:rFonts w:eastAsia="Times New Roman"/>
        </w:rPr>
        <w:t> </w:t>
      </w:r>
    </w:p>
    <w:sectPr w:rsidR="006A50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501C" w14:textId="77777777" w:rsidR="00B33296" w:rsidRDefault="00B33296" w:rsidP="00805D34">
      <w:pPr>
        <w:spacing w:after="0" w:line="240" w:lineRule="auto"/>
      </w:pPr>
      <w:r>
        <w:separator/>
      </w:r>
    </w:p>
  </w:endnote>
  <w:endnote w:type="continuationSeparator" w:id="0">
    <w:p w14:paraId="1630ADEB" w14:textId="77777777" w:rsidR="00B33296" w:rsidRDefault="00B33296" w:rsidP="0080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7E42" w14:textId="77777777" w:rsidR="00613CFF" w:rsidRDefault="0061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776420"/>
      <w:docPartObj>
        <w:docPartGallery w:val="Page Numbers (Bottom of Page)"/>
        <w:docPartUnique/>
      </w:docPartObj>
    </w:sdtPr>
    <w:sdtEndPr>
      <w:rPr>
        <w:noProof/>
      </w:rPr>
    </w:sdtEndPr>
    <w:sdtContent>
      <w:p w14:paraId="5CA48157" w14:textId="0200CE30" w:rsidR="00805D34" w:rsidRDefault="00805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B280D" w14:textId="77777777" w:rsidR="00805D34" w:rsidRDefault="00805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A6CA" w14:textId="77777777" w:rsidR="00613CFF" w:rsidRDefault="0061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E617" w14:textId="77777777" w:rsidR="00B33296" w:rsidRDefault="00B33296" w:rsidP="00805D34">
      <w:pPr>
        <w:spacing w:after="0" w:line="240" w:lineRule="auto"/>
      </w:pPr>
      <w:r>
        <w:separator/>
      </w:r>
    </w:p>
  </w:footnote>
  <w:footnote w:type="continuationSeparator" w:id="0">
    <w:p w14:paraId="2773661C" w14:textId="77777777" w:rsidR="00B33296" w:rsidRDefault="00B33296" w:rsidP="0080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FD12" w14:textId="02293DA9" w:rsidR="00613CFF" w:rsidRDefault="00613CFF">
    <w:pPr>
      <w:pStyle w:val="Header"/>
    </w:pPr>
    <w:r>
      <w:rPr>
        <w:noProof/>
      </w:rPr>
      <w:pict w14:anchorId="2DD93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5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D079" w14:textId="276AEACD" w:rsidR="00613CFF" w:rsidRDefault="00613CFF">
    <w:pPr>
      <w:pStyle w:val="Header"/>
    </w:pPr>
    <w:r>
      <w:rPr>
        <w:noProof/>
      </w:rPr>
      <w:pict w14:anchorId="07F39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5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2D8D" w14:textId="2BD6735A" w:rsidR="00613CFF" w:rsidRDefault="00613CFF">
    <w:pPr>
      <w:pStyle w:val="Header"/>
    </w:pPr>
    <w:r>
      <w:rPr>
        <w:noProof/>
      </w:rPr>
      <w:pict w14:anchorId="21393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5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A7B"/>
    <w:multiLevelType w:val="multilevel"/>
    <w:tmpl w:val="CF463E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516D3D"/>
    <w:multiLevelType w:val="hybridMultilevel"/>
    <w:tmpl w:val="4C0A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73D7F"/>
    <w:multiLevelType w:val="hybridMultilevel"/>
    <w:tmpl w:val="0484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73067"/>
    <w:multiLevelType w:val="hybridMultilevel"/>
    <w:tmpl w:val="06AA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28"/>
    <w:rsid w:val="000C4164"/>
    <w:rsid w:val="000F6854"/>
    <w:rsid w:val="00197DCB"/>
    <w:rsid w:val="001E5436"/>
    <w:rsid w:val="004A1EF3"/>
    <w:rsid w:val="005642C5"/>
    <w:rsid w:val="00590AB8"/>
    <w:rsid w:val="005E63A0"/>
    <w:rsid w:val="00613CFF"/>
    <w:rsid w:val="00696FE4"/>
    <w:rsid w:val="006A5028"/>
    <w:rsid w:val="00707399"/>
    <w:rsid w:val="00805D34"/>
    <w:rsid w:val="00A03F48"/>
    <w:rsid w:val="00B33296"/>
    <w:rsid w:val="00B8690E"/>
    <w:rsid w:val="00BA75E8"/>
    <w:rsid w:val="00CA5908"/>
    <w:rsid w:val="00CF3D7D"/>
    <w:rsid w:val="00D0479B"/>
    <w:rsid w:val="00DD002F"/>
    <w:rsid w:val="00F544CB"/>
    <w:rsid w:val="00F6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E9CD1"/>
  <w15:docId w15:val="{1B88E265-D5E1-4F4D-97FF-0624681D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Times New Roman" w:hAnsi="Aptos"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Aptos"/>
      <w:kern w:val="0"/>
      <w:lang w:val="en-US"/>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olor w:val="595959"/>
    </w:rPr>
  </w:style>
  <w:style w:type="paragraph" w:styleId="Heading8">
    <w:name w:val="heading 8"/>
    <w:basedOn w:val="Normal"/>
    <w:next w:val="Normal"/>
    <w:link w:val="Heading8Char"/>
    <w:uiPriority w:val="9"/>
    <w:qFormat/>
    <w:pPr>
      <w:keepNext/>
      <w:keepLines/>
      <w:outlineLvl w:val="7"/>
    </w:pPr>
    <w:rPr>
      <w:rFonts w:eastAsia="SimSun"/>
      <w:i/>
      <w:iCs/>
      <w:color w:val="272727"/>
    </w:rPr>
  </w:style>
  <w:style w:type="paragraph" w:styleId="Heading9">
    <w:name w:val="heading 9"/>
    <w:basedOn w:val="Normal"/>
    <w:next w:val="Normal"/>
    <w:link w:val="Heading9Char"/>
    <w:uiPriority w:val="9"/>
    <w:qFormat/>
    <w:pPr>
      <w:keepNext/>
      <w:keepLines/>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kern w:val="0"/>
      <w:sz w:val="40"/>
      <w:szCs w:val="40"/>
      <w:lang w:eastAsia="en-GB"/>
      <w14:ligatures w14:val="none"/>
    </w:rPr>
  </w:style>
  <w:style w:type="character" w:customStyle="1" w:styleId="Heading2Char">
    <w:name w:val="Heading 2 Char"/>
    <w:basedOn w:val="DefaultParagraphFont"/>
    <w:link w:val="Heading2"/>
    <w:uiPriority w:val="9"/>
    <w:rPr>
      <w:rFonts w:ascii="Aptos Display" w:eastAsia="SimSun" w:hAnsi="Aptos Display" w:cs="SimSun"/>
      <w:color w:val="0F4761"/>
      <w:kern w:val="0"/>
      <w:sz w:val="32"/>
      <w:szCs w:val="32"/>
      <w:lang w:eastAsia="en-GB"/>
      <w14:ligatures w14:val="none"/>
    </w:rPr>
  </w:style>
  <w:style w:type="character" w:customStyle="1" w:styleId="Heading3Char">
    <w:name w:val="Heading 3 Char"/>
    <w:basedOn w:val="DefaultParagraphFont"/>
    <w:link w:val="Heading3"/>
    <w:uiPriority w:val="9"/>
    <w:rPr>
      <w:rFonts w:eastAsia="SimSun" w:cs="SimSun"/>
      <w:color w:val="0F4761"/>
      <w:kern w:val="0"/>
      <w:sz w:val="28"/>
      <w:szCs w:val="28"/>
      <w:lang w:eastAsia="en-GB"/>
      <w14:ligatures w14:val="none"/>
    </w:rPr>
  </w:style>
  <w:style w:type="character" w:customStyle="1" w:styleId="Heading4Char">
    <w:name w:val="Heading 4 Char"/>
    <w:basedOn w:val="DefaultParagraphFont"/>
    <w:link w:val="Heading4"/>
    <w:uiPriority w:val="9"/>
    <w:rPr>
      <w:rFonts w:eastAsia="SimSun" w:cs="SimSun"/>
      <w:i/>
      <w:iCs/>
      <w:color w:val="0F4761"/>
      <w:kern w:val="0"/>
      <w:sz w:val="24"/>
      <w:szCs w:val="20"/>
      <w:lang w:eastAsia="en-GB"/>
      <w14:ligatures w14:val="none"/>
    </w:rPr>
  </w:style>
  <w:style w:type="character" w:customStyle="1" w:styleId="Heading5Char">
    <w:name w:val="Heading 5 Char"/>
    <w:basedOn w:val="DefaultParagraphFont"/>
    <w:link w:val="Heading5"/>
    <w:uiPriority w:val="9"/>
    <w:rPr>
      <w:rFonts w:eastAsia="SimSun" w:cs="SimSun"/>
      <w:color w:val="0F4761"/>
      <w:kern w:val="0"/>
      <w:sz w:val="24"/>
      <w:szCs w:val="20"/>
      <w:lang w:eastAsia="en-GB"/>
      <w14:ligatures w14:val="none"/>
    </w:rPr>
  </w:style>
  <w:style w:type="character" w:customStyle="1" w:styleId="Heading6Char">
    <w:name w:val="Heading 6 Char"/>
    <w:basedOn w:val="DefaultParagraphFont"/>
    <w:link w:val="Heading6"/>
    <w:uiPriority w:val="9"/>
    <w:rPr>
      <w:rFonts w:eastAsia="SimSun" w:cs="SimSun"/>
      <w:i/>
      <w:iCs/>
      <w:color w:val="595959"/>
      <w:kern w:val="0"/>
      <w:sz w:val="24"/>
      <w:szCs w:val="20"/>
      <w:lang w:eastAsia="en-GB"/>
      <w14:ligatures w14:val="none"/>
    </w:rPr>
  </w:style>
  <w:style w:type="character" w:customStyle="1" w:styleId="Heading7Char">
    <w:name w:val="Heading 7 Char"/>
    <w:basedOn w:val="DefaultParagraphFont"/>
    <w:link w:val="Heading7"/>
    <w:uiPriority w:val="9"/>
    <w:rPr>
      <w:rFonts w:eastAsia="SimSun" w:cs="SimSun"/>
      <w:color w:val="595959"/>
      <w:kern w:val="0"/>
      <w:sz w:val="24"/>
      <w:szCs w:val="20"/>
      <w:lang w:eastAsia="en-GB"/>
      <w14:ligatures w14:val="none"/>
    </w:rPr>
  </w:style>
  <w:style w:type="character" w:customStyle="1" w:styleId="Heading8Char">
    <w:name w:val="Heading 8 Char"/>
    <w:basedOn w:val="DefaultParagraphFont"/>
    <w:link w:val="Heading8"/>
    <w:uiPriority w:val="9"/>
    <w:rPr>
      <w:rFonts w:eastAsia="SimSun" w:cs="SimSun"/>
      <w:i/>
      <w:iCs/>
      <w:color w:val="272727"/>
      <w:kern w:val="0"/>
      <w:sz w:val="24"/>
      <w:szCs w:val="20"/>
      <w:lang w:eastAsia="en-GB"/>
      <w14:ligatures w14:val="none"/>
    </w:rPr>
  </w:style>
  <w:style w:type="character" w:customStyle="1" w:styleId="Heading9Char">
    <w:name w:val="Heading 9 Char"/>
    <w:basedOn w:val="DefaultParagraphFont"/>
    <w:link w:val="Heading9"/>
    <w:uiPriority w:val="9"/>
    <w:rPr>
      <w:rFonts w:eastAsia="SimSun" w:cs="SimSun"/>
      <w:color w:val="272727"/>
      <w:kern w:val="0"/>
      <w:sz w:val="24"/>
      <w:szCs w:val="20"/>
      <w:lang w:eastAsia="en-GB"/>
      <w14:ligatures w14:val="none"/>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lang w:eastAsia="en-GB"/>
      <w14:ligatures w14:val="none"/>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kern w:val="0"/>
      <w:sz w:val="28"/>
      <w:szCs w:val="28"/>
      <w:lang w:eastAsia="en-GB"/>
      <w14:ligatures w14:val="none"/>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rFonts w:ascii="Times New Roman" w:hAnsi="Times New Roman" w:cs="Times New Roman"/>
      <w:i/>
      <w:iCs/>
      <w:color w:val="404040"/>
      <w:kern w:val="0"/>
      <w:sz w:val="24"/>
      <w:szCs w:val="20"/>
      <w:lang w:eastAsia="en-GB"/>
      <w14:ligatures w14:val="none"/>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rFonts w:ascii="Times New Roman" w:hAnsi="Times New Roman" w:cs="Times New Roman"/>
      <w:i/>
      <w:iCs/>
      <w:color w:val="0F4761"/>
      <w:kern w:val="0"/>
      <w:sz w:val="24"/>
      <w:szCs w:val="20"/>
      <w:lang w:eastAsia="en-GB"/>
      <w14:ligatures w14:val="none"/>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hAnsi="Times New Roman" w:cs="Times New Roman"/>
      <w:kern w:val="0"/>
      <w:sz w:val="24"/>
      <w:szCs w:val="20"/>
      <w:lang w:eastAsia="en-GB"/>
      <w14:ligatures w14:val="none"/>
    </w:rPr>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rPr>
      <w:rFonts w:ascii="Times New Roman" w:hAnsi="Times New Roman" w:cs="Times New Roman"/>
      <w:kern w:val="0"/>
      <w:sz w:val="24"/>
      <w:szCs w:val="20"/>
      <w:lang w:eastAsia="en-GB"/>
      <w14:ligatures w14:val="none"/>
    </w:rPr>
  </w:style>
  <w:style w:type="character" w:styleId="PlaceholderText">
    <w:name w:val="Placeholder Text"/>
    <w:basedOn w:val="DefaultParagraphFont"/>
    <w:uiPriority w:val="99"/>
    <w:rPr>
      <w:color w:val="666666"/>
    </w:rPr>
  </w:style>
  <w:style w:type="table" w:styleId="TableGrid">
    <w:name w:val="Table Grid"/>
    <w:basedOn w:val="TableNormal"/>
    <w:uiPriority w:val="39"/>
    <w:pPr>
      <w:spacing w:after="0" w:line="240" w:lineRule="auto"/>
    </w:pPr>
    <w:rPr>
      <w:rFonts w:eastAsia="Aptos"/>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after="200" w:line="240" w:lineRule="auto"/>
      <w:jc w:val="both"/>
    </w:pPr>
    <w:rPr>
      <w:rFonts w:ascii="Times New Roman" w:hAnsi="Times New Roman"/>
      <w:i/>
      <w:iCs/>
      <w:color w:val="0E2841"/>
      <w:sz w:val="18"/>
      <w:szCs w:val="18"/>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eastAsia="Aptos"/>
      <w:kern w:val="0"/>
      <w:sz w:val="20"/>
      <w:szCs w:val="20"/>
      <w:lang w:val="en-US"/>
      <w14:ligatures w14:val="none"/>
    </w:rPr>
  </w:style>
  <w:style w:type="paragraph" w:styleId="NoSpacing">
    <w:name w:val="No Spacing"/>
    <w:uiPriority w:val="1"/>
    <w:qFormat/>
    <w:rsid w:val="00DD002F"/>
    <w:pPr>
      <w:spacing w:after="0" w:line="240" w:lineRule="auto"/>
    </w:pPr>
    <w:rPr>
      <w:rFonts w:eastAsia="Aptos"/>
      <w:kern w:val="0"/>
      <w:lang w:val="en-US"/>
      <w14:ligatures w14:val="none"/>
    </w:rPr>
  </w:style>
  <w:style w:type="character" w:styleId="Hyperlink">
    <w:name w:val="Hyperlink"/>
    <w:basedOn w:val="DefaultParagraphFont"/>
    <w:uiPriority w:val="99"/>
    <w:unhideWhenUsed/>
    <w:rsid w:val="00DD002F"/>
    <w:rPr>
      <w:color w:val="467886" w:themeColor="hyperlink"/>
      <w:u w:val="single"/>
    </w:rPr>
  </w:style>
  <w:style w:type="character" w:styleId="UnresolvedMention">
    <w:name w:val="Unresolved Mention"/>
    <w:basedOn w:val="DefaultParagraphFont"/>
    <w:uiPriority w:val="99"/>
    <w:semiHidden/>
    <w:unhideWhenUsed/>
    <w:rsid w:val="00DD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D:/Dr%20Batubo/dfu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02505610283684"/>
          <c:y val="0.17358388483648132"/>
          <c:w val="0.44092336472729526"/>
          <c:h val="0.67312496980822178"/>
        </c:manualLayout>
      </c:layout>
      <c:pieChart>
        <c:varyColors val="1"/>
        <c:ser>
          <c:idx val="0"/>
          <c:order val="0"/>
          <c:tx>
            <c:strRef>
              <c:f>Sheet3!$N$5</c:f>
              <c:strCache>
                <c:ptCount val="1"/>
                <c:pt idx="0">
                  <c:v>Vitamin D Levels</c:v>
                </c:pt>
              </c:strCache>
            </c:strRef>
          </c:tx>
          <c:dPt>
            <c:idx val="0"/>
            <c:bubble3D val="0"/>
            <c:explosion val="3"/>
            <c:spPr>
              <a:solidFill>
                <a:schemeClr val="accent1"/>
              </a:solidFill>
              <a:ln w="19050">
                <a:solidFill>
                  <a:schemeClr val="lt1"/>
                </a:solidFill>
              </a:ln>
              <a:effectLst/>
            </c:spPr>
            <c:extLst>
              <c:ext xmlns:c16="http://schemas.microsoft.com/office/drawing/2014/chart" uri="{C3380CC4-5D6E-409C-BE32-E72D297353CC}">
                <c16:uniqueId val="{00000001-D1BF-44CD-AB03-1173BBF66FDF}"/>
              </c:ext>
            </c:extLst>
          </c:dPt>
          <c:dPt>
            <c:idx val="1"/>
            <c:bubble3D val="0"/>
            <c:explosion val="1"/>
            <c:spPr>
              <a:solidFill>
                <a:schemeClr val="accent2"/>
              </a:solidFill>
              <a:ln w="19050">
                <a:solidFill>
                  <a:schemeClr val="lt1"/>
                </a:solidFill>
              </a:ln>
              <a:effectLst/>
            </c:spPr>
            <c:extLst>
              <c:ext xmlns:c16="http://schemas.microsoft.com/office/drawing/2014/chart" uri="{C3380CC4-5D6E-409C-BE32-E72D297353CC}">
                <c16:uniqueId val="{00000003-D1BF-44CD-AB03-1173BBF66FDF}"/>
              </c:ext>
            </c:extLst>
          </c:dPt>
          <c:dPt>
            <c:idx val="2"/>
            <c:bubble3D val="0"/>
            <c:explosion val="3"/>
            <c:spPr>
              <a:solidFill>
                <a:schemeClr val="accent3"/>
              </a:solidFill>
              <a:ln w="19050">
                <a:solidFill>
                  <a:schemeClr val="lt1"/>
                </a:solidFill>
              </a:ln>
              <a:effectLst/>
            </c:spPr>
            <c:extLst>
              <c:ext xmlns:c16="http://schemas.microsoft.com/office/drawing/2014/chart" uri="{C3380CC4-5D6E-409C-BE32-E72D297353CC}">
                <c16:uniqueId val="{00000005-D1BF-44CD-AB03-1173BBF66FDF}"/>
              </c:ext>
            </c:extLst>
          </c:dPt>
          <c:dLbls>
            <c:dLbl>
              <c:idx val="0"/>
              <c:tx>
                <c:rich>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F6D9A613-58E4-44F3-8FFF-185B6D181114}" type="VALUE">
                      <a:rPr lang="en-US"/>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t>[VALUE]</a:t>
                    </a:fld>
                    <a:r>
                      <a:rPr lang="en-US" baseline="0"/>
                      <a:t> (39.2%)</a:t>
                    </a:r>
                  </a:p>
                </c:rich>
              </c:tx>
              <c:spPr>
                <a:noFill/>
                <a:ln>
                  <a:noFill/>
                </a:ln>
                <a:effectLst/>
              </c:sp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1BF-44CD-AB03-1173BBF66FDF}"/>
                </c:ext>
              </c:extLst>
            </c:dLbl>
            <c:dLbl>
              <c:idx val="1"/>
              <c:tx>
                <c:rich>
                  <a:bodyPr rot="0" spcFirstLastPara="1" vertOverflow="ellipsis" vert="horz" wrap="square" anchor="ctr" anchorCtr="1"/>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AC1C1794-DAD6-450C-A90F-EF2D2CCF28A9}" type="VALUE">
                      <a:rPr lang="en-US"/>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r>
                      <a:rPr lang="en-US" baseline="0"/>
                      <a:t> (17.6%)</a:t>
                    </a:r>
                  </a:p>
                </c:rich>
              </c:tx>
              <c:spPr>
                <a:noFill/>
                <a:ln>
                  <a:noFill/>
                </a:ln>
                <a:effectLst/>
              </c:sp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1BF-44CD-AB03-1173BBF66FDF}"/>
                </c:ext>
              </c:extLst>
            </c:dLbl>
            <c:dLbl>
              <c:idx val="2"/>
              <c:tx>
                <c:rich>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9152A6D6-498E-480B-9EB4-A429BDAA794D}" type="VALUE">
                      <a:rPr lang="en-US" b="1">
                        <a:solidFill>
                          <a:schemeClr val="bg1"/>
                        </a:solidFill>
                      </a:rPr>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t>[VALUE]</a:t>
                    </a:fld>
                    <a:r>
                      <a:rPr lang="en-US" b="1" baseline="0">
                        <a:solidFill>
                          <a:schemeClr val="bg1"/>
                        </a:solidFill>
                      </a:rPr>
                      <a:t> (43.2%)</a:t>
                    </a:r>
                  </a:p>
                </c:rich>
              </c:tx>
              <c:spPr>
                <a:noFill/>
                <a:ln>
                  <a:noFill/>
                </a:ln>
                <a:effectLst/>
              </c:sp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1BF-44CD-AB03-1173BBF66FD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Sheet3!$M$6:$M$8</c:f>
              <c:strCache>
                <c:ptCount val="3"/>
                <c:pt idx="0">
                  <c:v>Deficient</c:v>
                </c:pt>
                <c:pt idx="1">
                  <c:v>Insufficeint</c:v>
                </c:pt>
                <c:pt idx="2">
                  <c:v>Sufficient</c:v>
                </c:pt>
              </c:strCache>
            </c:strRef>
          </c:cat>
          <c:val>
            <c:numRef>
              <c:f>Sheet3!$N$6:$N$8</c:f>
              <c:numCache>
                <c:formatCode>General</c:formatCode>
                <c:ptCount val="3"/>
                <c:pt idx="0">
                  <c:v>69</c:v>
                </c:pt>
                <c:pt idx="1">
                  <c:v>31</c:v>
                </c:pt>
                <c:pt idx="2">
                  <c:v>76</c:v>
                </c:pt>
              </c:numCache>
            </c:numRef>
          </c:val>
          <c:extLst>
            <c:ext xmlns:c16="http://schemas.microsoft.com/office/drawing/2014/chart" uri="{C3380CC4-5D6E-409C-BE32-E72D297353CC}">
              <c16:uniqueId val="{00000006-D1BF-44CD-AB03-1173BBF66FD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8567738407699041"/>
          <c:y val="0.39872630504520268"/>
          <c:w val="0.2342005686789152"/>
          <c:h val="0.2031255468066491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E6F1-0137-4919-9000-8B381EB1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 Ossai-Chidi</dc:creator>
  <cp:lastModifiedBy>SDI 1084</cp:lastModifiedBy>
  <cp:revision>20</cp:revision>
  <cp:lastPrinted>2025-03-24T19:45:00Z</cp:lastPrinted>
  <dcterms:created xsi:type="dcterms:W3CDTF">2025-03-24T19:43:00Z</dcterms:created>
  <dcterms:modified xsi:type="dcterms:W3CDTF">2025-03-26T09:50:00Z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http://csl.mendeley.com/styles/580972431/vancouver-superscript-linus</vt:lpwstr>
  </property>
  <property fmtid="{D5CDD505-2E9C-101B-9397-08002B2CF9AE}" pid="19" name="Mendeley Recent Style Name 8_1">
    <vt:lpwstr>Vancouver (superscript) - LINUS OSSAI-CHIDI</vt:lpwstr>
  </property>
  <property fmtid="{D5CDD505-2E9C-101B-9397-08002B2CF9AE}" pid="20" name="Mendeley Recent Style Id 9_1">
    <vt:lpwstr>https://csl.mendeley.com/styles/580972431/vancouver-superscript</vt:lpwstr>
  </property>
  <property fmtid="{D5CDD505-2E9C-101B-9397-08002B2CF9AE}" pid="21" name="Mendeley Recent Style Name 9_1">
    <vt:lpwstr>Vancouver (superscript) - LINUS OSSAI-CHIDI</vt:lpwstr>
  </property>
  <property fmtid="{D5CDD505-2E9C-101B-9397-08002B2CF9AE}" pid="22" name="ICV">
    <vt:lpwstr>6c10da209d394714ba434fc4c5ef2d54</vt:lpwstr>
  </property>
</Properties>
</file>