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8071" w14:textId="389865E1" w:rsidR="00DA62C4" w:rsidRDefault="00DA62C4" w:rsidP="004B28CD">
      <w:pPr>
        <w:pStyle w:val="NormalWeb"/>
        <w:spacing w:line="360" w:lineRule="auto"/>
        <w:jc w:val="right"/>
        <w:rPr>
          <w:rFonts w:ascii="Arial" w:hAnsi="Arial" w:cs="Arial"/>
          <w:b/>
          <w:bCs/>
          <w:iCs/>
          <w:color w:val="000000" w:themeColor="text1"/>
          <w:sz w:val="28"/>
          <w:szCs w:val="28"/>
          <w:lang w:val="en-US"/>
        </w:rPr>
      </w:pPr>
      <w:bookmarkStart w:id="0" w:name="_Hlk195110947"/>
      <w:bookmarkStart w:id="1" w:name="_Hlk173312186"/>
      <w:bookmarkStart w:id="2" w:name="_Toc137166411"/>
      <w:r w:rsidRPr="00DA62C4">
        <w:rPr>
          <w:rFonts w:ascii="Arial" w:hAnsi="Arial" w:cs="Arial"/>
          <w:b/>
          <w:bCs/>
          <w:i/>
          <w:iCs/>
          <w:color w:val="000000" w:themeColor="text1"/>
          <w:sz w:val="28"/>
          <w:szCs w:val="28"/>
          <w:u w:val="single"/>
          <w:lang w:val="en-US"/>
        </w:rPr>
        <w:t>Original Research Article</w:t>
      </w:r>
    </w:p>
    <w:p w14:paraId="0DF5CFE0" w14:textId="7477EAB8" w:rsidR="00200433" w:rsidRPr="00200433" w:rsidRDefault="00200433" w:rsidP="004B28CD">
      <w:pPr>
        <w:pStyle w:val="NormalWeb"/>
        <w:spacing w:line="360" w:lineRule="auto"/>
        <w:jc w:val="right"/>
        <w:rPr>
          <w:rFonts w:ascii="Arial" w:hAnsi="Arial" w:cs="Arial"/>
          <w:b/>
          <w:iCs/>
          <w:color w:val="000000" w:themeColor="text1"/>
          <w:sz w:val="28"/>
          <w:szCs w:val="28"/>
          <w:lang w:val="en-US"/>
        </w:rPr>
      </w:pPr>
      <w:r w:rsidRPr="00200433">
        <w:rPr>
          <w:rFonts w:ascii="Arial" w:hAnsi="Arial" w:cs="Arial"/>
          <w:b/>
          <w:bCs/>
          <w:iCs/>
          <w:color w:val="000000" w:themeColor="text1"/>
          <w:sz w:val="28"/>
          <w:szCs w:val="28"/>
          <w:lang w:val="en-US"/>
        </w:rPr>
        <w:t xml:space="preserve">Some </w:t>
      </w:r>
      <w:r>
        <w:rPr>
          <w:rFonts w:ascii="Arial" w:hAnsi="Arial" w:cs="Arial"/>
          <w:b/>
          <w:bCs/>
          <w:iCs/>
          <w:color w:val="000000" w:themeColor="text1"/>
          <w:sz w:val="28"/>
          <w:szCs w:val="28"/>
          <w:lang w:val="en-US"/>
        </w:rPr>
        <w:t>n</w:t>
      </w:r>
      <w:r w:rsidRPr="00200433">
        <w:rPr>
          <w:rFonts w:ascii="Arial" w:hAnsi="Arial" w:cs="Arial"/>
          <w:b/>
          <w:bCs/>
          <w:iCs/>
          <w:color w:val="000000" w:themeColor="text1"/>
          <w:sz w:val="28"/>
          <w:szCs w:val="28"/>
          <w:lang w:val="en-US"/>
        </w:rPr>
        <w:t xml:space="preserve">utritional and </w:t>
      </w:r>
      <w:r>
        <w:rPr>
          <w:rFonts w:ascii="Arial" w:hAnsi="Arial" w:cs="Arial"/>
          <w:b/>
          <w:bCs/>
          <w:iCs/>
          <w:color w:val="000000" w:themeColor="text1"/>
          <w:sz w:val="28"/>
          <w:szCs w:val="28"/>
          <w:lang w:val="en-US"/>
        </w:rPr>
        <w:t>b</w:t>
      </w:r>
      <w:r w:rsidRPr="00200433">
        <w:rPr>
          <w:rFonts w:ascii="Arial" w:hAnsi="Arial" w:cs="Arial"/>
          <w:b/>
          <w:bCs/>
          <w:iCs/>
          <w:color w:val="000000" w:themeColor="text1"/>
          <w:sz w:val="28"/>
          <w:szCs w:val="28"/>
          <w:lang w:val="en-US"/>
        </w:rPr>
        <w:t xml:space="preserve">ioactive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haracteristics of </w:t>
      </w:r>
      <w:r>
        <w:rPr>
          <w:rFonts w:ascii="Arial" w:hAnsi="Arial" w:cs="Arial"/>
          <w:b/>
          <w:bCs/>
          <w:iCs/>
          <w:color w:val="000000" w:themeColor="text1"/>
          <w:sz w:val="28"/>
          <w:szCs w:val="28"/>
          <w:lang w:val="en-US"/>
        </w:rPr>
        <w:t>p</w:t>
      </w:r>
      <w:r w:rsidRPr="00200433">
        <w:rPr>
          <w:rFonts w:ascii="Arial" w:hAnsi="Arial" w:cs="Arial"/>
          <w:b/>
          <w:bCs/>
          <w:iCs/>
          <w:color w:val="000000" w:themeColor="text1"/>
          <w:sz w:val="28"/>
          <w:szCs w:val="28"/>
          <w:lang w:val="en-US"/>
        </w:rPr>
        <w:t xml:space="preserve">owders from </w:t>
      </w:r>
      <w:r w:rsidRPr="00200433">
        <w:rPr>
          <w:rFonts w:ascii="Arial" w:hAnsi="Arial" w:cs="Arial"/>
          <w:b/>
          <w:bCs/>
          <w:i/>
          <w:iCs/>
          <w:color w:val="000000" w:themeColor="text1"/>
          <w:sz w:val="28"/>
          <w:szCs w:val="28"/>
          <w:lang w:val="en-US"/>
        </w:rPr>
        <w:t xml:space="preserve">Corchorus </w:t>
      </w:r>
      <w:proofErr w:type="spellStart"/>
      <w:r w:rsidRPr="00200433">
        <w:rPr>
          <w:rFonts w:ascii="Arial" w:hAnsi="Arial" w:cs="Arial"/>
          <w:b/>
          <w:bCs/>
          <w:i/>
          <w:iCs/>
          <w:color w:val="000000" w:themeColor="text1"/>
          <w:sz w:val="28"/>
          <w:szCs w:val="28"/>
          <w:lang w:val="en-US"/>
        </w:rPr>
        <w:t>olitorius</w:t>
      </w:r>
      <w:proofErr w:type="spellEnd"/>
      <w:r w:rsidRPr="00200433">
        <w:rPr>
          <w:rFonts w:ascii="Arial" w:hAnsi="Arial" w:cs="Arial"/>
          <w:b/>
          <w:bCs/>
          <w:iCs/>
          <w:color w:val="000000" w:themeColor="text1"/>
          <w:sz w:val="28"/>
          <w:szCs w:val="28"/>
          <w:lang w:val="en-US"/>
        </w:rPr>
        <w:t xml:space="preserve"> L. and </w:t>
      </w:r>
      <w:r w:rsidRPr="00200433">
        <w:rPr>
          <w:rFonts w:ascii="Arial" w:hAnsi="Arial" w:cs="Arial"/>
          <w:b/>
          <w:bCs/>
          <w:i/>
          <w:iCs/>
          <w:color w:val="000000" w:themeColor="text1"/>
          <w:sz w:val="28"/>
          <w:szCs w:val="28"/>
          <w:lang w:val="en-US"/>
        </w:rPr>
        <w:t>Abelmoschus esculentus</w:t>
      </w:r>
      <w:r w:rsidRPr="00200433">
        <w:rPr>
          <w:rFonts w:ascii="Arial" w:hAnsi="Arial" w:cs="Arial"/>
          <w:b/>
          <w:bCs/>
          <w:iCs/>
          <w:color w:val="000000" w:themeColor="text1"/>
          <w:sz w:val="28"/>
          <w:szCs w:val="28"/>
          <w:lang w:val="en-US"/>
        </w:rPr>
        <w:t xml:space="preserve"> L. Moench </w:t>
      </w:r>
      <w:r>
        <w:rPr>
          <w:rFonts w:ascii="Arial" w:hAnsi="Arial" w:cs="Arial"/>
          <w:b/>
          <w:bCs/>
          <w:iCs/>
          <w:color w:val="000000" w:themeColor="text1"/>
          <w:sz w:val="28"/>
          <w:szCs w:val="28"/>
          <w:lang w:val="en-US"/>
        </w:rPr>
        <w:t>h</w:t>
      </w:r>
      <w:r w:rsidRPr="00200433">
        <w:rPr>
          <w:rFonts w:ascii="Arial" w:hAnsi="Arial" w:cs="Arial"/>
          <w:b/>
          <w:bCs/>
          <w:iCs/>
          <w:color w:val="000000" w:themeColor="text1"/>
          <w:sz w:val="28"/>
          <w:szCs w:val="28"/>
          <w:lang w:val="en-US"/>
        </w:rPr>
        <w:t xml:space="preserve">ighly </w:t>
      </w:r>
      <w:r>
        <w:rPr>
          <w:rFonts w:ascii="Arial" w:hAnsi="Arial" w:cs="Arial"/>
          <w:b/>
          <w:bCs/>
          <w:iCs/>
          <w:color w:val="000000" w:themeColor="text1"/>
          <w:sz w:val="28"/>
          <w:szCs w:val="28"/>
          <w:lang w:val="en-US"/>
        </w:rPr>
        <w:t>s</w:t>
      </w:r>
      <w:r w:rsidRPr="00200433">
        <w:rPr>
          <w:rFonts w:ascii="Arial" w:hAnsi="Arial" w:cs="Arial"/>
          <w:b/>
          <w:bCs/>
          <w:iCs/>
          <w:color w:val="000000" w:themeColor="text1"/>
          <w:sz w:val="28"/>
          <w:szCs w:val="28"/>
          <w:lang w:val="en-US"/>
        </w:rPr>
        <w:t xml:space="preserve">ought for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hronic </w:t>
      </w:r>
      <w:r>
        <w:rPr>
          <w:rFonts w:ascii="Arial" w:hAnsi="Arial" w:cs="Arial"/>
          <w:b/>
          <w:bCs/>
          <w:iCs/>
          <w:color w:val="000000" w:themeColor="text1"/>
          <w:sz w:val="28"/>
          <w:szCs w:val="28"/>
          <w:lang w:val="en-US"/>
        </w:rPr>
        <w:t>d</w:t>
      </w:r>
      <w:r w:rsidRPr="00200433">
        <w:rPr>
          <w:rFonts w:ascii="Arial" w:hAnsi="Arial" w:cs="Arial"/>
          <w:b/>
          <w:bCs/>
          <w:iCs/>
          <w:color w:val="000000" w:themeColor="text1"/>
          <w:sz w:val="28"/>
          <w:szCs w:val="28"/>
          <w:lang w:val="en-US"/>
        </w:rPr>
        <w:t xml:space="preserve">isease </w:t>
      </w:r>
      <w:r>
        <w:rPr>
          <w:rFonts w:ascii="Arial" w:hAnsi="Arial" w:cs="Arial"/>
          <w:b/>
          <w:bCs/>
          <w:iCs/>
          <w:color w:val="000000" w:themeColor="text1"/>
          <w:sz w:val="28"/>
          <w:szCs w:val="28"/>
          <w:lang w:val="en-US"/>
        </w:rPr>
        <w:t>m</w:t>
      </w:r>
      <w:r w:rsidRPr="00200433">
        <w:rPr>
          <w:rFonts w:ascii="Arial" w:hAnsi="Arial" w:cs="Arial"/>
          <w:b/>
          <w:bCs/>
          <w:iCs/>
          <w:color w:val="000000" w:themeColor="text1"/>
          <w:sz w:val="28"/>
          <w:szCs w:val="28"/>
          <w:lang w:val="en-US"/>
        </w:rPr>
        <w:t>anagement</w:t>
      </w:r>
    </w:p>
    <w:bookmarkEnd w:id="0"/>
    <w:bookmarkEnd w:id="1"/>
    <w:p w14:paraId="71AAD97B"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36C4A036"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1CC53B8C" w14:textId="133C8C73" w:rsidR="005B7291" w:rsidRPr="00E91D2D" w:rsidRDefault="005B7291" w:rsidP="00E91D2D">
      <w:pPr>
        <w:tabs>
          <w:tab w:val="left" w:pos="3374"/>
        </w:tabs>
        <w:spacing w:before="240" w:line="276" w:lineRule="auto"/>
        <w:jc w:val="both"/>
        <w:rPr>
          <w:rFonts w:ascii="Arial" w:hAnsi="Arial" w:cs="Arial"/>
          <w:b/>
          <w:color w:val="000000" w:themeColor="text1"/>
          <w:lang w:val="en-US"/>
        </w:rPr>
      </w:pPr>
      <w:r w:rsidRPr="005B7291">
        <w:rPr>
          <w:rFonts w:ascii="Arial" w:hAnsi="Arial" w:cs="Arial"/>
          <w:b/>
          <w:color w:val="000000" w:themeColor="text1"/>
          <w:lang w:val="en-US"/>
        </w:rPr>
        <w:t>ABSTRACT</w:t>
      </w:r>
    </w:p>
    <w:p w14:paraId="02A6B6C1" w14:textId="6C6DEFBC" w:rsidR="005B7291" w:rsidRPr="005B7291" w:rsidRDefault="00E91D2D" w:rsidP="004B28CD">
      <w:pPr>
        <w:tabs>
          <w:tab w:val="left" w:pos="3374"/>
        </w:tabs>
        <w:spacing w:line="276" w:lineRule="auto"/>
        <w:jc w:val="both"/>
        <w:rPr>
          <w:rFonts w:ascii="Times New Roman" w:hAnsi="Times New Roman" w:cs="Times New Roman"/>
          <w:color w:val="000000" w:themeColor="text1"/>
          <w:sz w:val="16"/>
          <w:szCs w:val="16"/>
          <w:lang w:val="en-US"/>
        </w:rPr>
      </w:pPr>
      <w:r w:rsidRPr="005B7291">
        <w:rPr>
          <w:rFonts w:ascii="Arial" w:hAnsi="Arial" w:cs="Arial"/>
          <w:b/>
          <w:noProof/>
          <w:color w:val="000000" w:themeColor="text1"/>
          <w:lang w:val="en-US"/>
        </w:rPr>
        <mc:AlternateContent>
          <mc:Choice Requires="wps">
            <w:drawing>
              <wp:anchor distT="0" distB="0" distL="114300" distR="114300" simplePos="0" relativeHeight="251659264" behindDoc="0" locked="0" layoutInCell="1" allowOverlap="1" wp14:anchorId="5B634B3A" wp14:editId="459B56A2">
                <wp:simplePos x="0" y="0"/>
                <wp:positionH relativeFrom="margin">
                  <wp:posOffset>-13970</wp:posOffset>
                </wp:positionH>
                <wp:positionV relativeFrom="paragraph">
                  <wp:posOffset>22225</wp:posOffset>
                </wp:positionV>
                <wp:extent cx="5667375" cy="4410075"/>
                <wp:effectExtent l="0" t="0" r="28575" b="28575"/>
                <wp:wrapNone/>
                <wp:docPr id="901979056" name="Rectangle 1"/>
                <wp:cNvGraphicFramePr/>
                <a:graphic xmlns:a="http://schemas.openxmlformats.org/drawingml/2006/main">
                  <a:graphicData uri="http://schemas.microsoft.com/office/word/2010/wordprocessingShape">
                    <wps:wsp>
                      <wps:cNvSpPr/>
                      <wps:spPr>
                        <a:xfrm>
                          <a:off x="0" y="0"/>
                          <a:ext cx="5667375" cy="4410075"/>
                        </a:xfrm>
                        <a:prstGeom prst="rect">
                          <a:avLst/>
                        </a:prstGeom>
                        <a:solidFill>
                          <a:schemeClr val="bg2"/>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6865F" w14:textId="4CABDB3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To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Strong"/>
                                <w:rFonts w:ascii="Arial" w:hAnsi="Arial" w:cs="Arial"/>
                                <w:b w:val="0"/>
                                <w:bCs w:val="0"/>
                                <w:i/>
                                <w:iCs/>
                                <w:color w:val="000000" w:themeColor="text1"/>
                                <w:sz w:val="20"/>
                                <w:szCs w:val="20"/>
                                <w:lang w:val="en-US"/>
                              </w:rPr>
                              <w:t xml:space="preserve">Corchorus </w:t>
                            </w:r>
                            <w:proofErr w:type="spellStart"/>
                            <w:r w:rsidR="00EB3CAB" w:rsidRPr="00440A1F">
                              <w:rPr>
                                <w:rStyle w:val="Strong"/>
                                <w:rFonts w:ascii="Arial" w:hAnsi="Arial" w:cs="Arial"/>
                                <w:b w:val="0"/>
                                <w:bCs w:val="0"/>
                                <w:i/>
                                <w:iCs/>
                                <w:color w:val="000000" w:themeColor="text1"/>
                                <w:sz w:val="20"/>
                                <w:szCs w:val="20"/>
                                <w:lang w:val="en-US"/>
                              </w:rPr>
                              <w:t>olitorius</w:t>
                            </w:r>
                            <w:proofErr w:type="spellEnd"/>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Strong"/>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w:t>
                            </w:r>
                            <w:proofErr w:type="spellStart"/>
                            <w:r w:rsidR="00821F2D" w:rsidRPr="005B7291">
                              <w:rPr>
                                <w:rFonts w:ascii="Arial" w:hAnsi="Arial" w:cs="Arial"/>
                                <w:i/>
                                <w:iCs/>
                                <w:color w:val="000000" w:themeColor="text1"/>
                                <w:sz w:val="20"/>
                                <w:szCs w:val="20"/>
                                <w:lang w:val="en-US"/>
                              </w:rPr>
                              <w:t>olitorius</w:t>
                            </w:r>
                            <w:proofErr w:type="spellEnd"/>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6C500133"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E11CE">
                              <w:rPr>
                                <w:rFonts w:ascii="Arial" w:hAnsi="Arial" w:cs="Arial"/>
                                <w:color w:val="000000" w:themeColor="text1"/>
                                <w:sz w:val="20"/>
                                <w:szCs w:val="20"/>
                                <w:lang w:val="en-US"/>
                              </w:rPr>
                              <w:t>Four</w:t>
                            </w:r>
                            <w:r w:rsidR="005B7291" w:rsidRPr="005B7291">
                              <w:rPr>
                                <w:rFonts w:ascii="Arial" w:hAnsi="Arial" w:cs="Arial"/>
                                <w:color w:val="000000" w:themeColor="text1"/>
                                <w:sz w:val="20"/>
                                <w:szCs w:val="20"/>
                                <w:lang w:val="en-US"/>
                              </w:rPr>
                              <w:t xml:space="preserve"> main powder</w:t>
                            </w:r>
                            <w:r w:rsidR="00006337">
                              <w:rPr>
                                <w:rFonts w:ascii="Arial" w:hAnsi="Arial" w:cs="Arial"/>
                                <w:color w:val="000000" w:themeColor="text1"/>
                                <w:sz w:val="20"/>
                                <w:szCs w:val="20"/>
                                <w:lang w:val="en-US"/>
                              </w:rPr>
                              <w:t>s</w:t>
                            </w:r>
                            <w:r w:rsidR="005B7291" w:rsidRPr="005B7291">
                              <w:rPr>
                                <w:rFonts w:ascii="Arial" w:hAnsi="Arial" w:cs="Arial"/>
                                <w:color w:val="000000" w:themeColor="text1"/>
                                <w:sz w:val="20"/>
                                <w:szCs w:val="20"/>
                                <w:lang w:val="en-US"/>
                              </w:rPr>
                              <w:t xml:space="preserve"> emerged, each suitable for specific applications. 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w:t>
                            </w:r>
                            <w:proofErr w:type="spellStart"/>
                            <w:r w:rsidR="001550B4" w:rsidRPr="005B7291">
                              <w:rPr>
                                <w:rFonts w:ascii="Arial" w:hAnsi="Arial" w:cs="Arial"/>
                                <w:i/>
                                <w:iCs/>
                                <w:color w:val="000000" w:themeColor="text1"/>
                                <w:sz w:val="20"/>
                                <w:szCs w:val="20"/>
                                <w:lang w:val="en-US"/>
                              </w:rPr>
                              <w:t>olitorius</w:t>
                            </w:r>
                            <w:proofErr w:type="spellEnd"/>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4B3A" id="Rectangle 1" o:spid="_x0000_s1026" style="position:absolute;left:0;text-align:left;margin-left:-1.1pt;margin-top:1.75pt;width:446.25pt;height:3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" fillcolor="#e7e6e6 [3214]" strokecolor="black [3213]" strokeweight=".25pt">
                <v:textbox>
                  <w:txbxContent>
                    <w:p w14:paraId="4366865F" w14:textId="4CABDB36" w:rsidR="001550B4" w:rsidRDefault="002D7EF6"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To determine </w:t>
                      </w:r>
                      <w:r w:rsidR="00EB3CAB" w:rsidRPr="00440A1F">
                        <w:rPr>
                          <w:rFonts w:ascii="Arial" w:hAnsi="Arial" w:cs="Arial"/>
                          <w:color w:val="000000" w:themeColor="text1"/>
                          <w:sz w:val="20"/>
                          <w:szCs w:val="20"/>
                          <w:lang w:val="en-US"/>
                        </w:rPr>
                        <w:t xml:space="preserve">the powders from the leaves and fruits of </w:t>
                      </w:r>
                      <w:r w:rsidR="00EB3CAB" w:rsidRPr="00440A1F">
                        <w:rPr>
                          <w:rStyle w:val="Strong"/>
                          <w:rFonts w:ascii="Arial" w:hAnsi="Arial" w:cs="Arial"/>
                          <w:b w:val="0"/>
                          <w:bCs w:val="0"/>
                          <w:i/>
                          <w:iCs/>
                          <w:color w:val="000000" w:themeColor="text1"/>
                          <w:sz w:val="20"/>
                          <w:szCs w:val="20"/>
                          <w:lang w:val="en-US"/>
                        </w:rPr>
                        <w:t xml:space="preserve">Corchorus </w:t>
                      </w:r>
                      <w:proofErr w:type="spellStart"/>
                      <w:r w:rsidR="00EB3CAB" w:rsidRPr="00440A1F">
                        <w:rPr>
                          <w:rStyle w:val="Strong"/>
                          <w:rFonts w:ascii="Arial" w:hAnsi="Arial" w:cs="Arial"/>
                          <w:b w:val="0"/>
                          <w:bCs w:val="0"/>
                          <w:i/>
                          <w:iCs/>
                          <w:color w:val="000000" w:themeColor="text1"/>
                          <w:sz w:val="20"/>
                          <w:szCs w:val="20"/>
                          <w:lang w:val="en-US"/>
                        </w:rPr>
                        <w:t>olitorius</w:t>
                      </w:r>
                      <w:proofErr w:type="spellEnd"/>
                      <w:r w:rsidR="00EB3CAB" w:rsidRPr="00440A1F">
                        <w:rPr>
                          <w:rFonts w:ascii="Arial" w:hAnsi="Arial" w:cs="Arial"/>
                          <w:b/>
                          <w:bCs/>
                          <w:i/>
                          <w:iCs/>
                          <w:color w:val="000000" w:themeColor="text1"/>
                          <w:sz w:val="20"/>
                          <w:szCs w:val="20"/>
                          <w:lang w:val="en-US"/>
                        </w:rPr>
                        <w:t xml:space="preserve"> </w:t>
                      </w:r>
                      <w:r w:rsidR="00EB3CAB" w:rsidRPr="00440A1F">
                        <w:rPr>
                          <w:rFonts w:ascii="Arial" w:hAnsi="Arial" w:cs="Arial"/>
                          <w:color w:val="000000" w:themeColor="text1"/>
                          <w:sz w:val="20"/>
                          <w:szCs w:val="20"/>
                          <w:lang w:val="en-US"/>
                        </w:rPr>
                        <w:t>and</w:t>
                      </w:r>
                      <w:r w:rsidR="00EB3CAB" w:rsidRPr="00440A1F">
                        <w:rPr>
                          <w:rFonts w:ascii="Arial" w:hAnsi="Arial" w:cs="Arial"/>
                          <w:b/>
                          <w:bCs/>
                          <w:color w:val="000000" w:themeColor="text1"/>
                          <w:sz w:val="20"/>
                          <w:szCs w:val="20"/>
                          <w:lang w:val="en-US"/>
                        </w:rPr>
                        <w:t xml:space="preserve"> </w:t>
                      </w:r>
                      <w:r w:rsidR="00EB3CAB" w:rsidRPr="00440A1F">
                        <w:rPr>
                          <w:rStyle w:val="Strong"/>
                          <w:rFonts w:ascii="Arial" w:hAnsi="Arial" w:cs="Arial"/>
                          <w:b w:val="0"/>
                          <w:bCs w:val="0"/>
                          <w:i/>
                          <w:iCs/>
                          <w:color w:val="000000" w:themeColor="text1"/>
                          <w:sz w:val="20"/>
                          <w:szCs w:val="20"/>
                          <w:lang w:val="en-US"/>
                        </w:rPr>
                        <w:t>Abelmoschus esculentus</w:t>
                      </w:r>
                      <w:r w:rsidR="00EB3CAB"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1550B4" w:rsidRPr="001550B4" w:rsidRDefault="005211BC"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w:t>
                      </w:r>
                      <w:r w:rsidR="001550B4" w:rsidRPr="001550B4">
                        <w:rPr>
                          <w:rFonts w:ascii="Arial" w:hAnsi="Arial" w:cs="Arial"/>
                          <w:b/>
                          <w:bCs/>
                          <w:color w:val="000000" w:themeColor="text1"/>
                          <w:sz w:val="20"/>
                          <w:szCs w:val="20"/>
                          <w:lang w:val="en-US"/>
                        </w:rPr>
                        <w:t>design:</w:t>
                      </w:r>
                      <w:r w:rsidRPr="001550B4">
                        <w:rPr>
                          <w:rFonts w:ascii="Arial" w:hAnsi="Arial" w:cs="Arial"/>
                          <w:b/>
                          <w:bCs/>
                          <w:color w:val="000000" w:themeColor="text1"/>
                          <w:sz w:val="20"/>
                          <w:szCs w:val="20"/>
                          <w:lang w:val="en-US"/>
                        </w:rPr>
                        <w:t xml:space="preserve"> </w:t>
                      </w:r>
                      <w:r w:rsidR="001550B4" w:rsidRPr="001550B4">
                        <w:rPr>
                          <w:rFonts w:ascii="Arial" w:hAnsi="Arial" w:cs="Arial"/>
                          <w:color w:val="000000" w:themeColor="text1"/>
                          <w:sz w:val="20"/>
                          <w:szCs w:val="20"/>
                          <w:lang w:val="en-US"/>
                        </w:rPr>
                        <w:t>Samples are collected from the f</w:t>
                      </w:r>
                      <w:r w:rsidR="00821F2D">
                        <w:rPr>
                          <w:rFonts w:ascii="Arial" w:hAnsi="Arial" w:cs="Arial"/>
                          <w:color w:val="000000" w:themeColor="text1"/>
                          <w:sz w:val="20"/>
                          <w:szCs w:val="20"/>
                          <w:lang w:val="en-US"/>
                        </w:rPr>
                        <w:t>arms</w:t>
                      </w:r>
                      <w:r w:rsidR="001550B4"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446612" w:rsidRPr="005211BC" w:rsidRDefault="00446612"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005211BC" w:rsidRPr="005B7291">
                        <w:rPr>
                          <w:rFonts w:ascii="Arial" w:eastAsia="Calibri" w:hAnsi="Arial" w:cs="Arial"/>
                          <w:color w:val="000000" w:themeColor="text1"/>
                          <w:sz w:val="20"/>
                          <w:szCs w:val="20"/>
                          <w:lang w:val="en-GB"/>
                        </w:rPr>
                        <w:t>Department of Home Economics, Advanced Teacher’s Training College for Technical Education</w:t>
                      </w:r>
                      <w:r w:rsidR="005211BC">
                        <w:rPr>
                          <w:rFonts w:ascii="Arial" w:eastAsia="Calibri" w:hAnsi="Arial" w:cs="Arial"/>
                          <w:color w:val="000000" w:themeColor="text1"/>
                          <w:sz w:val="20"/>
                          <w:szCs w:val="20"/>
                          <w:lang w:val="en-GB"/>
                        </w:rPr>
                        <w:t>, between April 2024 and November 2024.</w:t>
                      </w:r>
                    </w:p>
                    <w:p w14:paraId="5E88D17C" w14:textId="6BF18FE6" w:rsidR="001550B4" w:rsidRDefault="00446612"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Fresh leaves and fruits of these plants</w:t>
                      </w:r>
                      <w:r w:rsidR="00821F2D">
                        <w:rPr>
                          <w:rFonts w:ascii="Arial" w:hAnsi="Arial" w:cs="Arial"/>
                          <w:color w:val="000000" w:themeColor="text1"/>
                          <w:sz w:val="20"/>
                          <w:szCs w:val="20"/>
                          <w:lang w:val="en-US"/>
                        </w:rPr>
                        <w:t xml:space="preserve"> (</w:t>
                      </w:r>
                      <w:r w:rsidR="00821F2D"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w:t>
                      </w:r>
                      <w:proofErr w:type="spellStart"/>
                      <w:r w:rsidR="00821F2D" w:rsidRPr="005B7291">
                        <w:rPr>
                          <w:rFonts w:ascii="Arial" w:hAnsi="Arial" w:cs="Arial"/>
                          <w:i/>
                          <w:iCs/>
                          <w:color w:val="000000" w:themeColor="text1"/>
                          <w:sz w:val="20"/>
                          <w:szCs w:val="20"/>
                          <w:lang w:val="en-US"/>
                        </w:rPr>
                        <w:t>olitorius</w:t>
                      </w:r>
                      <w:proofErr w:type="spellEnd"/>
                      <w:r w:rsidR="00821F2D">
                        <w:rPr>
                          <w:rFonts w:ascii="Arial" w:hAnsi="Arial" w:cs="Arial"/>
                          <w:color w:val="000000" w:themeColor="text1"/>
                          <w:sz w:val="20"/>
                          <w:szCs w:val="20"/>
                          <w:lang w:val="en-US"/>
                        </w:rPr>
                        <w:t xml:space="preserve"> </w:t>
                      </w:r>
                      <w:r w:rsidR="00821F2D" w:rsidRPr="005B7291">
                        <w:rPr>
                          <w:rFonts w:ascii="Arial" w:hAnsi="Arial" w:cs="Arial"/>
                          <w:color w:val="000000" w:themeColor="text1"/>
                          <w:sz w:val="20"/>
                          <w:szCs w:val="20"/>
                          <w:lang w:val="en-US"/>
                        </w:rPr>
                        <w:t xml:space="preserve">and </w:t>
                      </w:r>
                      <w:r w:rsidR="00821F2D"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821F2D" w:rsidRPr="005B7291">
                        <w:rPr>
                          <w:rFonts w:ascii="Arial" w:hAnsi="Arial" w:cs="Arial"/>
                          <w:i/>
                          <w:iCs/>
                          <w:color w:val="000000" w:themeColor="text1"/>
                          <w:sz w:val="20"/>
                          <w:szCs w:val="20"/>
                          <w:lang w:val="en-US"/>
                        </w:rPr>
                        <w:t xml:space="preserve"> esculentus</w:t>
                      </w:r>
                      <w:r w:rsidR="00821F2D">
                        <w:rPr>
                          <w:rFonts w:ascii="Arial" w:hAnsi="Arial" w:cs="Arial"/>
                          <w:i/>
                          <w:iCs/>
                          <w:color w:val="000000" w:themeColor="text1"/>
                          <w:sz w:val="20"/>
                          <w:szCs w:val="20"/>
                          <w:lang w:val="en-US"/>
                        </w:rPr>
                        <w:t>)</w:t>
                      </w:r>
                      <w:r w:rsidR="005B7291"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sidR="00987596">
                        <w:rPr>
                          <w:rFonts w:ascii="Arial" w:hAnsi="Arial" w:cs="Arial"/>
                          <w:color w:val="000000" w:themeColor="text1"/>
                          <w:sz w:val="20"/>
                          <w:szCs w:val="20"/>
                          <w:lang w:val="en-US"/>
                        </w:rPr>
                        <w:t xml:space="preserve"> </w:t>
                      </w:r>
                      <w:r w:rsidR="005B7291" w:rsidRPr="005B7291">
                        <w:rPr>
                          <w:rFonts w:ascii="Arial" w:hAnsi="Arial" w:cs="Arial"/>
                          <w:color w:val="000000" w:themeColor="text1"/>
                          <w:sz w:val="20"/>
                          <w:szCs w:val="20"/>
                          <w:lang w:val="en-US"/>
                        </w:rPr>
                        <w:t xml:space="preserve">were analyzed. </w:t>
                      </w:r>
                    </w:p>
                    <w:p w14:paraId="43C4523F" w14:textId="6C500133" w:rsidR="00446612" w:rsidRDefault="00446612"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w:t>
                      </w:r>
                      <w:r w:rsidR="005E11CE">
                        <w:rPr>
                          <w:rFonts w:ascii="Arial" w:hAnsi="Arial" w:cs="Arial"/>
                          <w:color w:val="000000" w:themeColor="text1"/>
                          <w:sz w:val="20"/>
                          <w:szCs w:val="20"/>
                          <w:lang w:val="en-US"/>
                        </w:rPr>
                        <w:t>Four</w:t>
                      </w:r>
                      <w:r w:rsidR="005B7291" w:rsidRPr="005B7291">
                        <w:rPr>
                          <w:rFonts w:ascii="Arial" w:hAnsi="Arial" w:cs="Arial"/>
                          <w:color w:val="000000" w:themeColor="text1"/>
                          <w:sz w:val="20"/>
                          <w:szCs w:val="20"/>
                          <w:lang w:val="en-US"/>
                        </w:rPr>
                        <w:t xml:space="preserve"> main powder</w:t>
                      </w:r>
                      <w:r w:rsidR="00006337">
                        <w:rPr>
                          <w:rFonts w:ascii="Arial" w:hAnsi="Arial" w:cs="Arial"/>
                          <w:color w:val="000000" w:themeColor="text1"/>
                          <w:sz w:val="20"/>
                          <w:szCs w:val="20"/>
                          <w:lang w:val="en-US"/>
                        </w:rPr>
                        <w:t>s</w:t>
                      </w:r>
                      <w:r w:rsidR="005B7291" w:rsidRPr="005B7291">
                        <w:rPr>
                          <w:rFonts w:ascii="Arial" w:hAnsi="Arial" w:cs="Arial"/>
                          <w:color w:val="000000" w:themeColor="text1"/>
                          <w:sz w:val="20"/>
                          <w:szCs w:val="20"/>
                          <w:lang w:val="en-US"/>
                        </w:rPr>
                        <w:t xml:space="preserve"> emerged, each suitable for specific applications. Powders from</w:t>
                      </w:r>
                      <w:r w:rsidR="00006337">
                        <w:rPr>
                          <w:rFonts w:ascii="Arial" w:hAnsi="Arial" w:cs="Arial"/>
                          <w:color w:val="000000" w:themeColor="text1"/>
                          <w:sz w:val="20"/>
                          <w:szCs w:val="20"/>
                          <w:lang w:val="en-US"/>
                        </w:rPr>
                        <w:t xml:space="preserve"> </w:t>
                      </w:r>
                      <w:r w:rsidR="001550B4" w:rsidRPr="005B7291">
                        <w:rPr>
                          <w:rFonts w:ascii="Arial" w:hAnsi="Arial" w:cs="Arial"/>
                          <w:i/>
                          <w:iCs/>
                          <w:color w:val="000000" w:themeColor="text1"/>
                          <w:sz w:val="20"/>
                          <w:szCs w:val="20"/>
                          <w:lang w:val="en-US"/>
                        </w:rPr>
                        <w:t>C</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w:t>
                      </w:r>
                      <w:proofErr w:type="spellStart"/>
                      <w:r w:rsidR="001550B4" w:rsidRPr="005B7291">
                        <w:rPr>
                          <w:rFonts w:ascii="Arial" w:hAnsi="Arial" w:cs="Arial"/>
                          <w:i/>
                          <w:iCs/>
                          <w:color w:val="000000" w:themeColor="text1"/>
                          <w:sz w:val="20"/>
                          <w:szCs w:val="20"/>
                          <w:lang w:val="en-US"/>
                        </w:rPr>
                        <w:t>olitorius</w:t>
                      </w:r>
                      <w:proofErr w:type="spellEnd"/>
                      <w:r w:rsidR="005B7291" w:rsidRPr="005B7291">
                        <w:rPr>
                          <w:rFonts w:ascii="Arial" w:hAnsi="Arial" w:cs="Arial"/>
                          <w:color w:val="000000" w:themeColor="text1"/>
                          <w:sz w:val="20"/>
                          <w:szCs w:val="20"/>
                          <w:lang w:val="en-US"/>
                        </w:rPr>
                        <w:t xml:space="preserve"> leaves and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exhibited high antioxidant activity (close to the standard, vitamin C). Only </w:t>
                      </w:r>
                      <w:r w:rsidR="001550B4" w:rsidRPr="005B7291">
                        <w:rPr>
                          <w:rFonts w:ascii="Arial" w:hAnsi="Arial" w:cs="Arial"/>
                          <w:i/>
                          <w:iCs/>
                          <w:color w:val="000000" w:themeColor="text1"/>
                          <w:sz w:val="20"/>
                          <w:szCs w:val="20"/>
                          <w:lang w:val="en-US"/>
                        </w:rPr>
                        <w:t>A</w:t>
                      </w:r>
                      <w:r w:rsidR="00006337">
                        <w:rPr>
                          <w:rFonts w:ascii="Arial" w:hAnsi="Arial" w:cs="Arial"/>
                          <w:i/>
                          <w:iCs/>
                          <w:color w:val="000000" w:themeColor="text1"/>
                          <w:sz w:val="20"/>
                          <w:szCs w:val="20"/>
                          <w:lang w:val="en-US"/>
                        </w:rPr>
                        <w:t>.</w:t>
                      </w:r>
                      <w:r w:rsidR="001550B4" w:rsidRPr="005B7291">
                        <w:rPr>
                          <w:rFonts w:ascii="Arial" w:hAnsi="Arial" w:cs="Arial"/>
                          <w:i/>
                          <w:iCs/>
                          <w:color w:val="000000" w:themeColor="text1"/>
                          <w:sz w:val="20"/>
                          <w:szCs w:val="20"/>
                          <w:lang w:val="en-US"/>
                        </w:rPr>
                        <w:t xml:space="preserve"> esculentus</w:t>
                      </w:r>
                      <w:r w:rsidR="005B7291"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005B7291" w:rsidRPr="005B7291">
                        <w:rPr>
                          <w:rFonts w:ascii="Arial" w:hAnsi="Arial" w:cs="Arial"/>
                          <w:color w:val="000000" w:themeColor="text1"/>
                          <w:sz w:val="20"/>
                          <w:szCs w:val="20"/>
                          <w:lang w:val="en-US"/>
                        </w:rPr>
                        <w:t xml:space="preserve">and reduced </w:t>
                      </w:r>
                      <w:r w:rsidR="00821F2D">
                        <w:rPr>
                          <w:rFonts w:ascii="Arial" w:hAnsi="Arial" w:cs="Arial"/>
                          <w:color w:val="000000" w:themeColor="text1"/>
                          <w:sz w:val="20"/>
                          <w:szCs w:val="20"/>
                          <w:lang w:val="en-US"/>
                        </w:rPr>
                        <w:t>energy density</w:t>
                      </w:r>
                      <w:r w:rsidR="005B7291"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5B7291" w:rsidRPr="00E91D2D" w:rsidRDefault="002D7EF6"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Only the powder from </w:t>
                      </w:r>
                      <w:r w:rsidR="001550B4" w:rsidRPr="005250A4">
                        <w:rPr>
                          <w:rFonts w:ascii="Arial" w:hAnsi="Arial" w:cs="Arial"/>
                          <w:i/>
                          <w:iCs/>
                          <w:color w:val="000000" w:themeColor="text1"/>
                          <w:sz w:val="20"/>
                          <w:szCs w:val="20"/>
                          <w:lang w:val="en-US"/>
                        </w:rPr>
                        <w:t>A. esculentus</w:t>
                      </w:r>
                      <w:r w:rsidR="001550B4" w:rsidRPr="005250A4">
                        <w:rPr>
                          <w:rFonts w:ascii="Arial" w:hAnsi="Arial" w:cs="Arial"/>
                          <w:color w:val="000000" w:themeColor="text1"/>
                          <w:sz w:val="20"/>
                          <w:szCs w:val="20"/>
                          <w:lang w:val="en-US"/>
                        </w:rPr>
                        <w:t xml:space="preserve"> fruits exhibited </w:t>
                      </w:r>
                      <w:r w:rsidR="00EB3CAB" w:rsidRPr="005B7291">
                        <w:rPr>
                          <w:rFonts w:ascii="Arial" w:hAnsi="Arial" w:cs="Arial"/>
                          <w:color w:val="000000" w:themeColor="text1"/>
                          <w:sz w:val="20"/>
                          <w:szCs w:val="20"/>
                          <w:lang w:val="en-US"/>
                        </w:rPr>
                        <w:t>high antioxidant activity</w:t>
                      </w:r>
                      <w:r w:rsidR="00EB3CAB">
                        <w:rPr>
                          <w:rFonts w:ascii="Arial" w:hAnsi="Arial" w:cs="Arial"/>
                          <w:color w:val="000000" w:themeColor="text1"/>
                          <w:sz w:val="20"/>
                          <w:szCs w:val="20"/>
                          <w:lang w:val="en-US"/>
                        </w:rPr>
                        <w:t xml:space="preserve">, </w:t>
                      </w:r>
                      <w:r w:rsidR="001550B4"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v:textbox>
                <w10:wrap anchorx="margin"/>
              </v:rect>
            </w:pict>
          </mc:Fallback>
        </mc:AlternateContent>
      </w:r>
    </w:p>
    <w:p w14:paraId="13937EA6" w14:textId="77777777" w:rsidR="00331859" w:rsidRPr="00175578" w:rsidRDefault="00331859" w:rsidP="00331859">
      <w:pPr>
        <w:rPr>
          <w:rFonts w:ascii="Times New Roman" w:hAnsi="Times New Roman" w:cs="Times New Roman"/>
          <w:b/>
          <w:color w:val="000000" w:themeColor="text1"/>
          <w:sz w:val="26"/>
          <w:szCs w:val="26"/>
          <w:lang w:val="en-US"/>
        </w:rPr>
      </w:pPr>
    </w:p>
    <w:p w14:paraId="1C6E74AF" w14:textId="77777777" w:rsidR="00331859" w:rsidRPr="00175578" w:rsidRDefault="00331859" w:rsidP="00331859">
      <w:pPr>
        <w:rPr>
          <w:rFonts w:ascii="Times New Roman" w:hAnsi="Times New Roman" w:cs="Times New Roman"/>
          <w:b/>
          <w:color w:val="000000" w:themeColor="text1"/>
          <w:sz w:val="26"/>
          <w:szCs w:val="26"/>
          <w:lang w:val="en-US"/>
        </w:rPr>
      </w:pPr>
    </w:p>
    <w:p w14:paraId="547F1C67" w14:textId="77777777" w:rsidR="00331859" w:rsidRPr="00175578" w:rsidRDefault="00331859" w:rsidP="00331859">
      <w:pPr>
        <w:rPr>
          <w:color w:val="000000" w:themeColor="text1"/>
          <w:lang w:val="en-US"/>
        </w:rPr>
      </w:pPr>
    </w:p>
    <w:p w14:paraId="2B716DCE" w14:textId="77777777" w:rsidR="00331859" w:rsidRPr="00175578" w:rsidRDefault="00331859" w:rsidP="00C80BBD">
      <w:pPr>
        <w:tabs>
          <w:tab w:val="left" w:pos="3450"/>
        </w:tabs>
        <w:rPr>
          <w:rFonts w:ascii="Times New Roman" w:hAnsi="Times New Roman" w:cs="Times New Roman"/>
          <w:b/>
          <w:color w:val="000000" w:themeColor="text1"/>
          <w:sz w:val="26"/>
          <w:szCs w:val="26"/>
          <w:lang w:val="en-US"/>
        </w:rPr>
        <w:sectPr w:rsidR="00331859" w:rsidRPr="00175578" w:rsidSect="00E95FD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pPr>
    </w:p>
    <w:p w14:paraId="5119B4C5" w14:textId="1CAB79F3" w:rsidR="00C80BBD" w:rsidRPr="005B7291" w:rsidRDefault="00006CC6" w:rsidP="00292DA0">
      <w:pPr>
        <w:tabs>
          <w:tab w:val="left" w:pos="3450"/>
        </w:tabs>
        <w:spacing w:before="240" w:line="360" w:lineRule="auto"/>
        <w:jc w:val="both"/>
        <w:rPr>
          <w:rFonts w:ascii="Arial" w:hAnsi="Arial" w:cs="Arial"/>
          <w:b/>
          <w:color w:val="000000" w:themeColor="text1"/>
          <w:sz w:val="20"/>
          <w:szCs w:val="20"/>
          <w:lang w:val="en-US"/>
        </w:rPr>
      </w:pPr>
      <w:r w:rsidRPr="005B7291">
        <w:rPr>
          <w:rFonts w:ascii="Arial" w:eastAsia="Times New Roman" w:hAnsi="Arial" w:cs="Arial"/>
          <w:b/>
          <w:color w:val="000000" w:themeColor="text1"/>
          <w:sz w:val="20"/>
          <w:szCs w:val="20"/>
          <w:lang w:val="en-US" w:eastAsia="fr-FR"/>
        </w:rPr>
        <w:lastRenderedPageBreak/>
        <w:t>Keywords:</w:t>
      </w:r>
      <w:r w:rsidR="00C80BBD" w:rsidRPr="005B7291">
        <w:rPr>
          <w:rFonts w:ascii="Arial" w:eastAsia="Times New Roman" w:hAnsi="Arial" w:cs="Arial"/>
          <w:b/>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 xml:space="preserve">Plant organ powders; </w:t>
      </w:r>
      <w:r w:rsidR="00B80A90" w:rsidRPr="005B7291">
        <w:rPr>
          <w:rFonts w:ascii="Arial" w:eastAsia="Times New Roman" w:hAnsi="Arial" w:cs="Arial"/>
          <w:color w:val="000000" w:themeColor="text1"/>
          <w:sz w:val="20"/>
          <w:szCs w:val="20"/>
          <w:lang w:val="en-US" w:eastAsia="fr-FR"/>
        </w:rPr>
        <w:t xml:space="preserve">Antioxidant </w:t>
      </w:r>
      <w:r w:rsidR="00861540" w:rsidRPr="005B7291">
        <w:rPr>
          <w:rFonts w:ascii="Arial" w:eastAsia="Times New Roman" w:hAnsi="Arial" w:cs="Arial"/>
          <w:color w:val="000000" w:themeColor="text1"/>
          <w:sz w:val="20"/>
          <w:szCs w:val="20"/>
          <w:lang w:val="en-US" w:eastAsia="fr-FR"/>
        </w:rPr>
        <w:t>activity</w:t>
      </w:r>
      <w:r w:rsidR="00B80A90" w:rsidRPr="005B7291">
        <w:rPr>
          <w:rFonts w:ascii="Arial" w:eastAsia="Times New Roman" w:hAnsi="Arial" w:cs="Arial"/>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Nutri</w:t>
      </w:r>
      <w:r w:rsidR="00255DA3" w:rsidRPr="005B7291">
        <w:rPr>
          <w:rFonts w:ascii="Arial" w:eastAsia="Times New Roman" w:hAnsi="Arial" w:cs="Arial"/>
          <w:color w:val="000000" w:themeColor="text1"/>
          <w:sz w:val="20"/>
          <w:szCs w:val="20"/>
          <w:lang w:val="en-US" w:eastAsia="fr-FR"/>
        </w:rPr>
        <w:t>ent</w:t>
      </w:r>
      <w:r w:rsidR="004968E9"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density</w:t>
      </w:r>
      <w:r w:rsidR="00B80A90" w:rsidRPr="005B7291">
        <w:rPr>
          <w:rFonts w:ascii="Arial" w:eastAsia="Times New Roman" w:hAnsi="Arial" w:cs="Arial"/>
          <w:color w:val="000000" w:themeColor="text1"/>
          <w:sz w:val="20"/>
          <w:szCs w:val="20"/>
          <w:lang w:val="en-US" w:eastAsia="fr-FR"/>
        </w:rPr>
        <w:t>;</w:t>
      </w:r>
      <w:r w:rsidR="00255DA3" w:rsidRPr="005B7291">
        <w:rPr>
          <w:rFonts w:ascii="Arial" w:eastAsia="Times New Roman" w:hAnsi="Arial" w:cs="Arial"/>
          <w:color w:val="000000" w:themeColor="text1"/>
          <w:sz w:val="20"/>
          <w:szCs w:val="20"/>
          <w:lang w:val="en-US" w:eastAsia="fr-FR"/>
        </w:rPr>
        <w:t xml:space="preserve"> </w:t>
      </w:r>
      <w:r w:rsidR="00277288" w:rsidRPr="005B7291">
        <w:rPr>
          <w:rFonts w:ascii="Arial" w:eastAsia="Times New Roman" w:hAnsi="Arial" w:cs="Arial"/>
          <w:color w:val="000000" w:themeColor="text1"/>
          <w:sz w:val="20"/>
          <w:szCs w:val="20"/>
          <w:lang w:val="en-US" w:eastAsia="fr-FR"/>
        </w:rPr>
        <w:t>Energy density</w:t>
      </w:r>
      <w:r w:rsidR="00255DA3" w:rsidRPr="005B7291">
        <w:rPr>
          <w:rFonts w:ascii="Arial" w:eastAsia="Times New Roman" w:hAnsi="Arial" w:cs="Arial"/>
          <w:color w:val="000000" w:themeColor="text1"/>
          <w:sz w:val="20"/>
          <w:szCs w:val="20"/>
          <w:lang w:val="en-US" w:eastAsia="fr-FR"/>
        </w:rPr>
        <w:t xml:space="preserve"> </w:t>
      </w:r>
    </w:p>
    <w:p w14:paraId="11D69668" w14:textId="77777777" w:rsidR="002B4BF4" w:rsidRDefault="002B4BF4" w:rsidP="00B073F5">
      <w:pPr>
        <w:rPr>
          <w:rFonts w:ascii="Times New Roman" w:hAnsi="Times New Roman" w:cs="Times New Roman"/>
          <w:b/>
          <w:color w:val="000000" w:themeColor="text1"/>
          <w:sz w:val="26"/>
          <w:szCs w:val="26"/>
          <w:lang w:val="en-US"/>
        </w:rPr>
      </w:pPr>
    </w:p>
    <w:p w14:paraId="7F1AC063" w14:textId="0E7D9499" w:rsidR="00C3180E" w:rsidRPr="005250A4" w:rsidRDefault="005250A4" w:rsidP="00C3180E">
      <w:pPr>
        <w:pStyle w:val="ListParagraph"/>
        <w:numPr>
          <w:ilvl w:val="0"/>
          <w:numId w:val="1"/>
        </w:numPr>
        <w:rPr>
          <w:rFonts w:ascii="Arial" w:hAnsi="Arial" w:cs="Arial"/>
          <w:b/>
          <w:color w:val="000000" w:themeColor="text1"/>
        </w:rPr>
      </w:pPr>
      <w:r w:rsidRPr="005250A4">
        <w:rPr>
          <w:rFonts w:ascii="Arial" w:hAnsi="Arial" w:cs="Arial"/>
          <w:b/>
          <w:color w:val="000000" w:themeColor="text1"/>
        </w:rPr>
        <w:t xml:space="preserve">INTRODUCTION </w:t>
      </w:r>
    </w:p>
    <w:p w14:paraId="40539C9C" w14:textId="30CBC306" w:rsidR="0081278D" w:rsidRPr="005B7291" w:rsidRDefault="0081278D" w:rsidP="0081278D">
      <w:pPr>
        <w:spacing w:before="240" w:line="360" w:lineRule="auto"/>
        <w:jc w:val="both"/>
        <w:rPr>
          <w:rFonts w:ascii="Arial" w:hAnsi="Arial" w:cs="Arial"/>
          <w:color w:val="000000" w:themeColor="text1"/>
          <w:sz w:val="20"/>
          <w:szCs w:val="20"/>
          <w:lang w:val="en-US"/>
        </w:rPr>
      </w:pPr>
      <w:r w:rsidRPr="005B7291">
        <w:rPr>
          <w:rFonts w:ascii="Arial" w:hAnsi="Arial" w:cs="Arial"/>
          <w:color w:val="000000" w:themeColor="text1"/>
          <w:sz w:val="20"/>
          <w:szCs w:val="20"/>
          <w:lang w:val="en-US"/>
        </w:rPr>
        <w:t xml:space="preserve">Patients suffering from chronic diseases, specifically overweight or obesity, are at high risk of mineral deficiencies (such as </w:t>
      </w:r>
      <w:r w:rsidR="00D86813" w:rsidRPr="005B7291">
        <w:rPr>
          <w:rFonts w:ascii="Arial" w:hAnsi="Arial" w:cs="Arial"/>
          <w:color w:val="000000" w:themeColor="text1"/>
          <w:sz w:val="20"/>
          <w:szCs w:val="20"/>
          <w:lang w:val="en-US"/>
        </w:rPr>
        <w:t xml:space="preserve">calcium, </w:t>
      </w:r>
      <w:r w:rsidRPr="005B7291">
        <w:rPr>
          <w:rFonts w:ascii="Arial" w:hAnsi="Arial" w:cs="Arial"/>
          <w:color w:val="000000" w:themeColor="text1"/>
          <w:sz w:val="20"/>
          <w:szCs w:val="20"/>
          <w:lang w:val="en-US"/>
        </w:rPr>
        <w:t xml:space="preserve">iron, zinc, </w:t>
      </w:r>
      <w:r w:rsidR="00D86813" w:rsidRPr="005B7291">
        <w:rPr>
          <w:rFonts w:ascii="Arial" w:hAnsi="Arial" w:cs="Arial"/>
          <w:color w:val="000000" w:themeColor="text1"/>
          <w:sz w:val="20"/>
          <w:szCs w:val="20"/>
          <w:lang w:val="en-US"/>
        </w:rPr>
        <w:t xml:space="preserve">copper, </w:t>
      </w:r>
      <w:r w:rsidRPr="005B7291">
        <w:rPr>
          <w:rFonts w:ascii="Arial" w:hAnsi="Arial" w:cs="Arial"/>
          <w:color w:val="000000" w:themeColor="text1"/>
          <w:sz w:val="20"/>
          <w:szCs w:val="20"/>
          <w:lang w:val="en-US"/>
        </w:rPr>
        <w:t>etc.), low intake of antioxidants, and various other essential nutrients</w:t>
      </w:r>
      <w:r w:rsidR="00D3428E"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{"citationItems":[{"id":"ITEM-1","itemData":{"DOI":"10.1016/j.pcl.2009.07.002","ISSN":"00313955","PMID":"19931066","abstract":"The presence of nutritional deficiencies in overweight and obesity may seem paradoxical in light of excess caloric intake, but several micronutrient deficiencies appear to be higher in prevalence in overweight and obese adults and children. Causes are multifactorial and include decreased consumption of fruits and vegetables, increased intake of high-calorie, but nutritionally poor-quality foods, and increased adiposity, which may influence the storage and availability of some nutrients. As the obesity epidemic continues unabated and the popularity of bariatric surgery rises for severely obese adults and adolescents, medical practitioners must be aware of pre-existing nutritional deficiencies in overweight and obese patients and appropriately recognize and treat common and rare nutritional deficiencies that may arise or worsen following bariatric surgery. This article reviews current knowledge of nutritional deficits in obese and overweight individuals and those that commonly present after bariatric surgery and summarizes current recommendations for screening and supplementation. © 2009 Elsevier Inc. All rights reserved.","author":[{"dropping-particle":"","family":"Xanthakos","given":"Stavra A.","non-dropping-particle":"","parse-names":false,"suffix":""}],"container-title":"Pediatric Clinics of North America","id":"ITEM-1","issue":"5","issued":{"date-parts":[["2009"]]},"page":"1105-1121","publisher":"Elsevier Ltd","title":"Nutritional Deficiencies in Obesity and After Bariatric Surgery","type":"article-journal","volume":"56"},"uris":["http://www.mendeley.com/documents/?uuid=e703f2cc-1d7b-4305-9b46-a4a1e7ba295f"]}],"mendeley":{"formattedCitation":"(Xanthakos, 2009)","plainTextFormattedCitation":"(Xanthakos, 2009)","previouslyFormattedCitation":"(Xanthakos, 2009)"},"properties":{"noteIndex":0},"schema":"https://github.com/citation-style-language/schema/raw/master/csl-citation.json"}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(Xanthakos, 2009)</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Dietary management for these patients, based on calorie reduction, does not always address these mineral deficiencies </w:t>
      </w:r>
      <w:r w:rsidR="00D3428E" w:rsidRPr="005B7291">
        <w:rPr>
          <w:rFonts w:ascii="Arial" w:hAnsi="Arial" w:cs="Arial"/>
          <w:color w:val="000000" w:themeColor="text1"/>
          <w:sz w:val="20"/>
          <w:szCs w:val="20"/>
          <w:lang w:val="en-US"/>
        </w:rPr>
        <w:t xml:space="preserve">(low nutrient density) </w:t>
      </w:r>
      <w:r w:rsidRPr="005B7291">
        <w:rPr>
          <w:rFonts w:ascii="Arial" w:hAnsi="Arial" w:cs="Arial"/>
          <w:color w:val="000000" w:themeColor="text1"/>
          <w:sz w:val="20"/>
          <w:szCs w:val="20"/>
          <w:lang w:val="en-US"/>
        </w:rPr>
        <w:t xml:space="preserve">or even </w:t>
      </w:r>
      <w:r w:rsidR="00D86813" w:rsidRPr="005B7291">
        <w:rPr>
          <w:rFonts w:ascii="Arial" w:hAnsi="Arial" w:cs="Arial"/>
          <w:color w:val="000000" w:themeColor="text1"/>
          <w:sz w:val="20"/>
          <w:szCs w:val="20"/>
          <w:lang w:val="en-US"/>
        </w:rPr>
        <w:t>antioxidants</w:t>
      </w:r>
      <w:r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10.1038/s41366-018-0143-9","ISSN":"1476-5497","author":[{"dropping-particle":"","family":"Astrup","given":"Arne","non-dropping-particle":"","parse-names":false,"suffix":""},{"dropping-particle":"","family":"Bügel","given":"Susanne","non-dropping-particle":"","parse-names":false,"suffix":""}],"container-title":"International Journal of Obesity","id":"ITEM-1","issued":{"date-parts":[["2018"]]},"publisher":"Springer US","title":"Overfed but undernourished : recognizing nutritional inadequacies/deficiencies in patients with overweight or obesity","type":"article-journal"},"uris":["http://www.mendeley.com/documents/?uuid=3eb7a59a-b170-4001-9943-fea61cd5ab2d"]}],"mendeley":{"formattedCitation":"(Astrup &amp; Bügel, 2018)","plainTextFormattedCitation":"(Astrup &amp; Bügel, 2018)","previouslyFormattedCitation":"(Astrup &amp; Bügel, 2018)"},"properties":{"noteIndex":0},"schema":"https://github.com/citation-style-language/schema/raw/master/csl-citation.json"}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(Astrup &amp; Bügel, 2018)</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Given this problem, the selection of foods and dietary supplements should be informed by precise knowledge of the content of food matrices and their derivatives</w:t>
      </w:r>
      <w:r w:rsidR="00D86813" w:rsidRPr="005B7291">
        <w:rPr>
          <w:rFonts w:ascii="Arial" w:hAnsi="Arial" w:cs="Arial"/>
          <w:color w:val="000000" w:themeColor="text1"/>
          <w:sz w:val="20"/>
          <w:szCs w:val="20"/>
          <w:lang w:val="en-US"/>
        </w:rPr>
        <w:t>. Among these foods, plant-based food powders are particularly relevant.</w:t>
      </w:r>
    </w:p>
    <w:p w14:paraId="62ABF63E" w14:textId="3DCF017D" w:rsidR="00BA51D3"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Food powders are extensively uti</w:t>
      </w:r>
      <w:r w:rsidR="00097F75" w:rsidRPr="005B7291">
        <w:rPr>
          <w:rFonts w:ascii="Arial" w:eastAsia="Times New Roman" w:hAnsi="Arial" w:cs="Arial"/>
          <w:color w:val="000000" w:themeColor="text1"/>
          <w:sz w:val="20"/>
          <w:szCs w:val="20"/>
          <w:lang w:val="en-US" w:eastAsia="fr-FR"/>
        </w:rPr>
        <w:t xml:space="preserve">lized </w:t>
      </w:r>
      <w:r w:rsidR="00B80A90" w:rsidRPr="005B7291">
        <w:rPr>
          <w:rFonts w:ascii="Arial" w:eastAsia="Times New Roman" w:hAnsi="Arial" w:cs="Arial"/>
          <w:color w:val="000000" w:themeColor="text1"/>
          <w:sz w:val="20"/>
          <w:szCs w:val="20"/>
          <w:lang w:val="en-US" w:eastAsia="fr-FR"/>
        </w:rPr>
        <w:t>in their</w:t>
      </w:r>
      <w:r w:rsidR="00097F75" w:rsidRPr="005B7291">
        <w:rPr>
          <w:rFonts w:ascii="Arial" w:eastAsia="Times New Roman" w:hAnsi="Arial" w:cs="Arial"/>
          <w:color w:val="000000" w:themeColor="text1"/>
          <w:sz w:val="20"/>
          <w:szCs w:val="20"/>
          <w:lang w:val="en-US" w:eastAsia="fr-FR"/>
        </w:rPr>
        <w:t xml:space="preserve"> galenic forms </w:t>
      </w:r>
      <w:r w:rsidR="00B80A90" w:rsidRPr="005B7291">
        <w:rPr>
          <w:rFonts w:ascii="Arial" w:eastAsia="Times New Roman" w:hAnsi="Arial" w:cs="Arial"/>
          <w:color w:val="000000" w:themeColor="text1"/>
          <w:sz w:val="20"/>
          <w:szCs w:val="20"/>
          <w:lang w:val="en-US" w:eastAsia="fr-FR"/>
        </w:rPr>
        <w:t>for</w:t>
      </w:r>
      <w:r w:rsidR="00097F75" w:rsidRPr="005B7291">
        <w:rPr>
          <w:rFonts w:ascii="Arial" w:eastAsia="Times New Roman" w:hAnsi="Arial" w:cs="Arial"/>
          <w:color w:val="000000" w:themeColor="text1"/>
          <w:sz w:val="20"/>
          <w:szCs w:val="20"/>
          <w:lang w:val="en-US" w:eastAsia="fr-FR"/>
        </w:rPr>
        <w:t xml:space="preserve"> fight</w:t>
      </w:r>
      <w:r w:rsidRPr="005B7291">
        <w:rPr>
          <w:rFonts w:ascii="Arial" w:eastAsia="Times New Roman" w:hAnsi="Arial" w:cs="Arial"/>
          <w:color w:val="000000" w:themeColor="text1"/>
          <w:sz w:val="20"/>
          <w:szCs w:val="20"/>
          <w:lang w:val="en-US" w:eastAsia="fr-FR"/>
        </w:rPr>
        <w:t xml:space="preserve">ing malnutrition (as food supplements) </w:t>
      </w:r>
      <w:r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{"citationItems":[{"id":"ITEM-1","itemData":{"DOI":"10.3233/JCB-189012","ISSN":"23523697","abstract":"Spirulina platensis, a multicelluar, photosynthetic prokaryote (algae) contains a high amount of proteins, vitamins and minerals superior to many foods as e.g. soybeans. Thus, Spirulina platensis was recognized as nutritious food by the United Nations World Food Conference. Due to the high amount of nutritive ingredients Spirulina has a long history as dietary supplement. In addition, spirulina platensis is also efficiently used as forage with known effects on flesh, egg and plumage color, milk yield and fertility. The versatile utilization of the alga can be explained on the one hand with the nutrient levels and on the other hand with recognized effects as anti-viral, anti-bacterial, anti-oxidant, anti-diabetic, anti-cancer and anti-inflammatory substance. Therefore, this alga is named as \"superfood\". Beyond, these algae convert carbon dioxide into organic substances and produce oxygen during their growth in alkaline and saline water thereby not wasting fresh water allowing the production in barren areas. Despite this diverse use of Spirulina platensis due to its beneficial properties, many basic mechanisms on a molecular and cellular level are not well understood and should be explored in future studies.","author":[{"dropping-particle":"","family":"Jung","given":"F.","non-dropping-particle":"","parse-names":false,"suffix":""},{"dropping-particle":"","family":"Krüger-Genge","given":"A.","non-dropping-particle":"","parse-names":false,"suffix":""},{"dropping-particle":"","family":"Waldeck","given":"P.","non-dropping-particle":"","parse-names":false,"suffix":""},{"dropping-particle":"","family":"Küpper","given":"J. H.","non-dropping-particle":"","parse-names":false,"suffix":""}],"container-title":"Journal of Cellular Biotechnology","id":"ITEM-1","issue":"1","issued":{"date-parts":[["2019"]]},"page":"43-54","title":"Spirulina platensis, a super food?","type":"article-journal","volume":"5"},"uris":["http://www.mendeley.com/documents/?uuid=43269571-f969-47d3-adab-e5d4f5daea03"]}],"mendeley":{"formattedCitation":"(Jung et al., 2019)","plainTextFormattedCitation":"(Jung et al., 2019)","previouslyFormattedCitation":"(Jung et al., 2019)"},"properties":{"noteIndex":0},"schema":"https://github.com/citation-style-language/schema/raw/master/csl-citation.json"}</w:instrText>
      </w:r>
      <w:r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(Jung et al., 2019)</w:t>
      </w:r>
      <w:r w:rsidRPr="005B7291">
        <w:rPr>
          <w:rFonts w:ascii="Arial" w:hAnsi="Arial" w:cs="Arial"/>
          <w:color w:val="000000" w:themeColor="text1"/>
          <w:sz w:val="20"/>
          <w:szCs w:val="20"/>
        </w:rPr>
        <w:fldChar w:fldCharType="end"/>
      </w:r>
      <w:r w:rsidR="00B80A90"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t>chronic diseases</w:t>
      </w:r>
      <w:r w:rsidR="00AE79F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(as food supplements, infusions, decoctions) </w:t>
      </w:r>
      <w:r w:rsidR="00217190"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Serge","non-dropping-particle":"","parse-names":false,"suffix":""},{"dropping-particle":"","family":"Mbida-Mbida","given":"Yolande Isabelle","non-dropping-particle":"","parse-names":false,"suffix":""},{"dropping-particle":"","family":"Nyangono","given":"Biyegue Christine Fernande","non-dropping-particle":"","parse-names":false,"suffix":""}],"container-title":"Applied Food Research","id":"ITEM-1","issue":"2024","issued":{"date-parts":[["2024"]]},"page":"100436","title":"Nutritional and bioactive potentials of a powder and a decoction made from Ceylon cinnamon bark , Laurus nobilis leaves , and Curcuma longa Linn rhizome","type":"article-journal","volume":"4"},"uris":["http://www.mendeley.com/documents/?uuid=247f6682-a14b-4aa3-98f0-35be9cfb12e9"]}],"mendeley":{"formattedCitation":"(Assiéné, Djeukeu, Assiéné, Mbida-Mbida, et al., 2024)","plainTextFormattedCitation":"(Assiéné, Djeukeu, Assiéné, Mbida-Mbida, et al., 2024)","previouslyFormattedCitation":"(Assiéné, Djeukeu, Assiéné, Mbida-Mbida, et al., 2024)"},"properties":{"noteIndex":0},"schema":"https://github.com/citation-style-language/schema/raw/master/csl-citation.json"}</w:instrText>
      </w:r>
      <w:r w:rsidR="00217190"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Djeukeu, Assiéné, Mbida-Mbida, et al., 2024)</w:t>
      </w:r>
      <w:r w:rsidR="00217190" w:rsidRPr="005B7291">
        <w:rPr>
          <w:rFonts w:ascii="Arial" w:hAnsi="Arial" w:cs="Arial"/>
          <w:color w:val="000000" w:themeColor="text1"/>
          <w:sz w:val="20"/>
          <w:szCs w:val="20"/>
        </w:rPr>
        <w:fldChar w:fldCharType="end"/>
      </w:r>
      <w:r w:rsidR="00C931A2" w:rsidRPr="005B7291">
        <w:rPr>
          <w:rFonts w:ascii="Arial" w:hAnsi="Arial" w:cs="Arial"/>
          <w:color w:val="000000" w:themeColor="text1"/>
          <w:sz w:val="20"/>
          <w:szCs w:val="20"/>
          <w:lang w:val="en-US"/>
        </w:rPr>
        <w:t>. They are also used as the main ingredient in</w:t>
      </w:r>
      <w:r w:rsidR="00B80A90" w:rsidRPr="005B7291">
        <w:rPr>
          <w:rFonts w:ascii="Arial" w:hAnsi="Arial" w:cs="Arial"/>
          <w:color w:val="000000" w:themeColor="text1"/>
          <w:sz w:val="20"/>
          <w:szCs w:val="20"/>
          <w:lang w:val="en-US"/>
        </w:rPr>
        <w:t xml:space="preserve"> </w:t>
      </w:r>
      <w:r w:rsidR="00C931A2" w:rsidRPr="005B7291">
        <w:rPr>
          <w:rFonts w:ascii="Arial" w:hAnsi="Arial" w:cs="Arial"/>
          <w:color w:val="000000" w:themeColor="text1"/>
          <w:sz w:val="20"/>
          <w:szCs w:val="20"/>
          <w:lang w:val="en-US"/>
        </w:rPr>
        <w:t>traditional dishes</w:t>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The plant organs </w:t>
      </w:r>
      <w:r w:rsidR="00B80A90" w:rsidRPr="005B7291">
        <w:rPr>
          <w:rFonts w:ascii="Arial" w:eastAsia="Times New Roman" w:hAnsi="Arial" w:cs="Arial"/>
          <w:color w:val="000000" w:themeColor="text1"/>
          <w:sz w:val="20"/>
          <w:szCs w:val="20"/>
          <w:lang w:val="en-US" w:eastAsia="fr-FR"/>
        </w:rPr>
        <w:t>used</w:t>
      </w:r>
      <w:r w:rsidRPr="005B7291">
        <w:rPr>
          <w:rFonts w:ascii="Arial" w:eastAsia="Times New Roman" w:hAnsi="Arial" w:cs="Arial"/>
          <w:color w:val="000000" w:themeColor="text1"/>
          <w:sz w:val="20"/>
          <w:szCs w:val="20"/>
          <w:lang w:val="en-US" w:eastAsia="fr-FR"/>
        </w:rPr>
        <w:t xml:space="preserve"> for these purposes </w:t>
      </w:r>
      <w:r w:rsidR="00B80A90" w:rsidRPr="005B7291">
        <w:rPr>
          <w:rFonts w:ascii="Arial" w:eastAsia="Times New Roman" w:hAnsi="Arial" w:cs="Arial"/>
          <w:color w:val="000000" w:themeColor="text1"/>
          <w:sz w:val="20"/>
          <w:szCs w:val="20"/>
          <w:lang w:val="en-US" w:eastAsia="fr-FR"/>
        </w:rPr>
        <w:t>include</w:t>
      </w:r>
      <w:r w:rsidRPr="005B7291">
        <w:rPr>
          <w:rFonts w:ascii="Arial" w:eastAsia="Times New Roman" w:hAnsi="Arial" w:cs="Arial"/>
          <w:color w:val="000000" w:themeColor="text1"/>
          <w:sz w:val="20"/>
          <w:szCs w:val="20"/>
          <w:lang w:val="en-US" w:eastAsia="fr-FR"/>
        </w:rPr>
        <w:t xml:space="preserve"> leaves, fruits, bark, and roots</w:t>
      </w:r>
      <w:r w:rsidR="00612C3C" w:rsidRPr="005B7291">
        <w:rPr>
          <w:rFonts w:ascii="Arial" w:hAnsi="Arial" w:cs="Arial"/>
          <w:color w:val="000000" w:themeColor="text1"/>
          <w:sz w:val="20"/>
          <w:szCs w:val="20"/>
          <w:lang w:val="en-US"/>
        </w:rPr>
        <w:t>.</w:t>
      </w:r>
      <w:r w:rsidR="007345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These organs are rich in primary metabolites (proteins, carbohydrates, lipids, minerals, and vitamins) and secondary metabolites (polyphenols, tannins, flavonoids, phytates, oxalates, etc.). Their content is subject to variation based on several factors</w:t>
      </w:r>
      <w:r w:rsidR="00B80A9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such as species, soil, climate, herbivore attacks, and human activities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2007)","plainTextFormattedCitation":"(Makkar et al., 2007)","previouslyFormattedCitation":"(Makkar et al., 2007)"},"properties":{"noteIndex":0},"schema":"https://github.com/citation-style-language/schema/raw/master/csl-citation.json"}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(Makkar et al., 2007)</w:t>
      </w:r>
      <w:r w:rsidR="00612C3C" w:rsidRPr="005B7291">
        <w:rPr>
          <w:rFonts w:ascii="Arial" w:hAnsi="Arial" w:cs="Arial"/>
          <w:color w:val="000000" w:themeColor="text1"/>
          <w:sz w:val="20"/>
          <w:szCs w:val="20"/>
        </w:rPr>
        <w:fldChar w:fldCharType="end"/>
      </w:r>
      <w:r w:rsidR="00612C3C" w:rsidRPr="005B7291">
        <w:rPr>
          <w:rFonts w:ascii="Arial" w:hAnsi="Arial" w:cs="Arial"/>
          <w:color w:val="000000" w:themeColor="text1"/>
          <w:sz w:val="20"/>
          <w:szCs w:val="20"/>
          <w:lang w:val="en-US"/>
        </w:rPr>
        <w:t>.</w:t>
      </w:r>
      <w:r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One key factor often overlooked by many </w:t>
      </w:r>
      <w:r w:rsidR="008A0CCC"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during powder production is the influence of particle size (granulometry) on nutritional and bioactive </w:t>
      </w:r>
      <w:r w:rsidR="008A0CCC" w:rsidRPr="005B7291">
        <w:rPr>
          <w:rFonts w:ascii="Arial" w:hAnsi="Arial" w:cs="Arial"/>
          <w:color w:val="000000" w:themeColor="text1"/>
          <w:sz w:val="20"/>
          <w:szCs w:val="20"/>
          <w:lang w:val="en-US"/>
        </w:rPr>
        <w:t>potential</w:t>
      </w:r>
      <w:r w:rsidR="00553A4E" w:rsidRPr="005B7291">
        <w:rPr>
          <w:rFonts w:ascii="Arial" w:hAnsi="Arial" w:cs="Arial"/>
          <w:color w:val="000000" w:themeColor="text1"/>
          <w:sz w:val="20"/>
          <w:szCs w:val="20"/>
          <w:lang w:val="en-US"/>
        </w:rPr>
        <w:t xml:space="preserve">. Numerous scientific studies </w:t>
      </w:r>
      <w:r w:rsidR="00B80A90" w:rsidRPr="005B7291">
        <w:rPr>
          <w:rFonts w:ascii="Arial" w:hAnsi="Arial" w:cs="Arial"/>
          <w:color w:val="000000" w:themeColor="text1"/>
          <w:sz w:val="20"/>
          <w:szCs w:val="20"/>
          <w:lang w:val="en-US"/>
        </w:rPr>
        <w:t xml:space="preserve">have </w:t>
      </w:r>
      <w:r w:rsidR="00553A4E" w:rsidRPr="005B7291">
        <w:rPr>
          <w:rFonts w:ascii="Arial" w:hAnsi="Arial" w:cs="Arial"/>
          <w:color w:val="000000" w:themeColor="text1"/>
          <w:sz w:val="20"/>
          <w:szCs w:val="20"/>
          <w:lang w:val="en-US"/>
        </w:rPr>
        <w:t>highlight</w:t>
      </w:r>
      <w:r w:rsidR="00B80A90" w:rsidRPr="005B7291">
        <w:rPr>
          <w:rFonts w:ascii="Arial" w:hAnsi="Arial" w:cs="Arial"/>
          <w:color w:val="000000" w:themeColor="text1"/>
          <w:sz w:val="20"/>
          <w:szCs w:val="20"/>
          <w:lang w:val="en-US"/>
        </w:rPr>
        <w:t>ed</w:t>
      </w:r>
      <w:r w:rsidR="00553A4E" w:rsidRPr="005B7291">
        <w:rPr>
          <w:rFonts w:ascii="Arial" w:hAnsi="Arial" w:cs="Arial"/>
          <w:color w:val="000000" w:themeColor="text1"/>
          <w:sz w:val="20"/>
          <w:szCs w:val="20"/>
          <w:lang w:val="en-US"/>
        </w:rPr>
        <w:t xml:space="preserve"> the significant </w:t>
      </w:r>
      <w:r w:rsidR="002B46C2" w:rsidRPr="005B7291">
        <w:rPr>
          <w:rFonts w:ascii="Arial" w:hAnsi="Arial" w:cs="Arial"/>
          <w:color w:val="000000" w:themeColor="text1"/>
          <w:sz w:val="20"/>
          <w:szCs w:val="20"/>
          <w:lang w:val="en-US"/>
        </w:rPr>
        <w:t>effect</w:t>
      </w:r>
      <w:r w:rsidR="00553A4E" w:rsidRPr="005B7291">
        <w:rPr>
          <w:rFonts w:ascii="Arial" w:hAnsi="Arial" w:cs="Arial"/>
          <w:color w:val="000000" w:themeColor="text1"/>
          <w:sz w:val="20"/>
          <w:szCs w:val="20"/>
          <w:lang w:val="en-US"/>
        </w:rPr>
        <w:t xml:space="preserve"> of granulometry on nutrient contents and bioactive compounds</w:t>
      </w:r>
      <w:r w:rsidR="008A0CCC" w:rsidRPr="005B7291">
        <w:rPr>
          <w:rFonts w:ascii="Arial" w:hAnsi="Arial" w:cs="Arial"/>
          <w:color w:val="000000" w:themeColor="text1"/>
          <w:sz w:val="20"/>
          <w:szCs w:val="20"/>
          <w:lang w:val="en-US"/>
        </w:rPr>
        <w:t xml:space="preserve"> </w:t>
      </w:r>
      <w:r w:rsidR="008A0CCC"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8A0CCC"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 2024)</w:t>
      </w:r>
      <w:r w:rsidR="008A0CCC"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 xml:space="preserve">. It is evident that food powders obtained from any plant organ, without considering granulometry, cannot be effectively harnessed. Surprisingly, despite this, many </w:t>
      </w:r>
      <w:r w:rsidR="00D96E3E"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recommend plant-based powders </w:t>
      </w:r>
      <w:r w:rsidR="00B80A90" w:rsidRPr="005B7291">
        <w:rPr>
          <w:rFonts w:ascii="Arial" w:hAnsi="Arial" w:cs="Arial"/>
          <w:color w:val="000000" w:themeColor="text1"/>
          <w:sz w:val="20"/>
          <w:szCs w:val="20"/>
          <w:lang w:val="en-US"/>
        </w:rPr>
        <w:t>for</w:t>
      </w:r>
      <w:r w:rsidR="00553A4E" w:rsidRPr="005B7291">
        <w:rPr>
          <w:rFonts w:ascii="Arial" w:hAnsi="Arial" w:cs="Arial"/>
          <w:color w:val="000000" w:themeColor="text1"/>
          <w:sz w:val="20"/>
          <w:szCs w:val="20"/>
          <w:lang w:val="en-US"/>
        </w:rPr>
        <w:t xml:space="preserve"> patients suffering from malnutrition and chronic diseases without a prior understanding of how granulometry affects nutrient and bioactive content. The most informed </w:t>
      </w:r>
      <w:r w:rsidR="00D96E3E" w:rsidRPr="005B7291">
        <w:rPr>
          <w:rFonts w:ascii="Arial" w:hAnsi="Arial" w:cs="Arial"/>
          <w:color w:val="000000" w:themeColor="text1"/>
          <w:sz w:val="20"/>
          <w:szCs w:val="20"/>
          <w:lang w:val="en-US"/>
        </w:rPr>
        <w:t xml:space="preserve">therapists </w:t>
      </w:r>
      <w:r w:rsidR="00553A4E" w:rsidRPr="005B7291">
        <w:rPr>
          <w:rFonts w:ascii="Arial" w:hAnsi="Arial" w:cs="Arial"/>
          <w:color w:val="000000" w:themeColor="text1"/>
          <w:sz w:val="20"/>
          <w:szCs w:val="20"/>
          <w:lang w:val="en-US"/>
        </w:rPr>
        <w:t xml:space="preserve">advocate for specific particle sizes (&lt; 1000 µm or &lt; 500 µm) during the production process. Their motivation stems from ancestral knowledge of the health benefits (antidiabetic, anticancer, </w:t>
      </w:r>
      <w:proofErr w:type="spellStart"/>
      <w:r w:rsidR="00553A4E" w:rsidRPr="005B7291">
        <w:rPr>
          <w:rFonts w:ascii="Arial" w:hAnsi="Arial" w:cs="Arial"/>
          <w:color w:val="000000" w:themeColor="text1"/>
          <w:sz w:val="20"/>
          <w:szCs w:val="20"/>
          <w:lang w:val="en-US"/>
        </w:rPr>
        <w:t>antiobesity</w:t>
      </w:r>
      <w:proofErr w:type="spellEnd"/>
      <w:r w:rsidR="002B46C2" w:rsidRPr="005B7291">
        <w:rPr>
          <w:rFonts w:ascii="Arial" w:hAnsi="Arial" w:cs="Arial"/>
          <w:color w:val="000000" w:themeColor="text1"/>
          <w:sz w:val="20"/>
          <w:szCs w:val="20"/>
          <w:lang w:val="en-US"/>
        </w:rPr>
        <w:t>, etc.</w:t>
      </w:r>
      <w:r w:rsidR="00553A4E" w:rsidRPr="005B7291">
        <w:rPr>
          <w:rFonts w:ascii="Arial" w:hAnsi="Arial" w:cs="Arial"/>
          <w:color w:val="000000" w:themeColor="text1"/>
          <w:sz w:val="20"/>
          <w:szCs w:val="20"/>
          <w:lang w:val="en-US"/>
        </w:rPr>
        <w:t>) associated with plant organs</w:t>
      </w:r>
      <w:r w:rsidR="002B46C2" w:rsidRPr="005B7291">
        <w:rPr>
          <w:rFonts w:ascii="Arial" w:hAnsi="Arial" w:cs="Arial"/>
          <w:color w:val="000000" w:themeColor="text1"/>
          <w:sz w:val="20"/>
          <w:szCs w:val="20"/>
          <w:lang w:val="en-US"/>
        </w:rPr>
        <w:t>.</w:t>
      </w:r>
      <w:r w:rsidR="00BA51D3" w:rsidRPr="005B7291">
        <w:rPr>
          <w:rFonts w:ascii="Arial" w:hAnsi="Arial" w:cs="Arial"/>
          <w:color w:val="000000" w:themeColor="text1"/>
          <w:sz w:val="20"/>
          <w:szCs w:val="20"/>
          <w:lang w:val="en-US"/>
        </w:rPr>
        <w:t xml:space="preserve"> In this regard, the leaves and fruits of </w:t>
      </w:r>
      <w:r w:rsidR="00BA51D3" w:rsidRPr="005B7291">
        <w:rPr>
          <w:rStyle w:val="Emphasis"/>
          <w:rFonts w:ascii="Arial" w:hAnsi="Arial" w:cs="Arial"/>
          <w:color w:val="000000" w:themeColor="text1"/>
          <w:sz w:val="20"/>
          <w:szCs w:val="20"/>
          <w:lang w:val="en-US"/>
        </w:rPr>
        <w:t xml:space="preserve">Corchorus </w:t>
      </w:r>
      <w:proofErr w:type="spellStart"/>
      <w:r w:rsidR="00BA51D3" w:rsidRPr="005B7291">
        <w:rPr>
          <w:rStyle w:val="Emphasis"/>
          <w:rFonts w:ascii="Arial" w:hAnsi="Arial" w:cs="Arial"/>
          <w:color w:val="000000" w:themeColor="text1"/>
          <w:sz w:val="20"/>
          <w:szCs w:val="20"/>
          <w:lang w:val="en-US"/>
        </w:rPr>
        <w:t>olitorius</w:t>
      </w:r>
      <w:proofErr w:type="spellEnd"/>
      <w:r w:rsidR="00BA51D3" w:rsidRPr="005B7291">
        <w:rPr>
          <w:rFonts w:ascii="Arial" w:hAnsi="Arial" w:cs="Arial"/>
          <w:color w:val="000000" w:themeColor="text1"/>
          <w:sz w:val="20"/>
          <w:szCs w:val="20"/>
          <w:lang w:val="en-US"/>
        </w:rPr>
        <w:t xml:space="preserve"> and </w:t>
      </w:r>
      <w:r w:rsidR="00BA51D3" w:rsidRPr="005B7291">
        <w:rPr>
          <w:rStyle w:val="Emphasis"/>
          <w:rFonts w:ascii="Arial" w:hAnsi="Arial" w:cs="Arial"/>
          <w:color w:val="000000" w:themeColor="text1"/>
          <w:sz w:val="20"/>
          <w:szCs w:val="20"/>
          <w:lang w:val="en-US"/>
        </w:rPr>
        <w:t>Abelmoschus esculentus</w:t>
      </w:r>
      <w:r w:rsidR="00BA51D3" w:rsidRPr="005B7291">
        <w:rPr>
          <w:rFonts w:ascii="Arial" w:hAnsi="Arial" w:cs="Arial"/>
          <w:color w:val="000000" w:themeColor="text1"/>
          <w:sz w:val="20"/>
          <w:szCs w:val="20"/>
          <w:lang w:val="en-US"/>
        </w:rPr>
        <w:t xml:space="preserve"> </w:t>
      </w:r>
      <w:r w:rsidR="00B80A90" w:rsidRPr="005B7291">
        <w:rPr>
          <w:rFonts w:ascii="Arial" w:hAnsi="Arial" w:cs="Arial"/>
          <w:color w:val="000000" w:themeColor="text1"/>
          <w:sz w:val="20"/>
          <w:szCs w:val="20"/>
          <w:lang w:val="en-US"/>
        </w:rPr>
        <w:t>are</w:t>
      </w:r>
      <w:r w:rsidR="00BA51D3" w:rsidRPr="005B7291">
        <w:rPr>
          <w:rFonts w:ascii="Arial" w:hAnsi="Arial" w:cs="Arial"/>
          <w:color w:val="000000" w:themeColor="text1"/>
          <w:sz w:val="20"/>
          <w:szCs w:val="20"/>
          <w:lang w:val="en-US"/>
        </w:rPr>
        <w:t xml:space="preserve"> among the</w:t>
      </w:r>
      <w:r w:rsidR="00B80A90" w:rsidRPr="005B7291">
        <w:rPr>
          <w:rFonts w:ascii="Arial" w:hAnsi="Arial" w:cs="Arial"/>
          <w:color w:val="000000" w:themeColor="text1"/>
          <w:sz w:val="20"/>
          <w:szCs w:val="20"/>
          <w:lang w:val="en-US"/>
        </w:rPr>
        <w:t xml:space="preserve"> most common</w:t>
      </w:r>
      <w:r w:rsidR="00BA51D3" w:rsidRPr="005B7291">
        <w:rPr>
          <w:rFonts w:ascii="Arial" w:hAnsi="Arial" w:cs="Arial"/>
          <w:color w:val="000000" w:themeColor="text1"/>
          <w:sz w:val="20"/>
          <w:szCs w:val="20"/>
          <w:lang w:val="en-US"/>
        </w:rPr>
        <w:t xml:space="preserve"> organs utilized by many therapists. </w:t>
      </w:r>
    </w:p>
    <w:p w14:paraId="7A12A61A" w14:textId="2AF3ED09" w:rsidR="00FE436E"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i/>
          <w:color w:val="000000" w:themeColor="text1"/>
          <w:sz w:val="20"/>
          <w:szCs w:val="20"/>
          <w:lang w:val="en-US" w:eastAsia="fr-FR"/>
        </w:rPr>
        <w:t xml:space="preserve">Corchorus </w:t>
      </w:r>
      <w:proofErr w:type="spellStart"/>
      <w:r w:rsidR="00D3428E"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w:t>
      </w:r>
      <w:r w:rsidR="008B5385" w:rsidRPr="005B7291">
        <w:rPr>
          <w:rFonts w:ascii="Arial" w:eastAsia="Times New Roman" w:hAnsi="Arial" w:cs="Arial"/>
          <w:color w:val="000000" w:themeColor="text1"/>
          <w:sz w:val="20"/>
          <w:szCs w:val="20"/>
          <w:lang w:val="en-US" w:eastAsia="fr-FR"/>
        </w:rPr>
        <w:t xml:space="preserve">which is </w:t>
      </w:r>
      <w:r w:rsidRPr="005B7291">
        <w:rPr>
          <w:rFonts w:ascii="Arial" w:eastAsia="Times New Roman" w:hAnsi="Arial" w:cs="Arial"/>
          <w:color w:val="000000" w:themeColor="text1"/>
          <w:sz w:val="20"/>
          <w:szCs w:val="20"/>
          <w:lang w:val="en-US" w:eastAsia="fr-FR"/>
        </w:rPr>
        <w:t>native to tropical and subtropical regions worldwid</w:t>
      </w:r>
      <w:r w:rsidR="003D632B"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 is found in several African countries, including Egypt, </w:t>
      </w:r>
      <w:r w:rsidR="008B5385"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 xml:space="preserve">Ivory Coast, Benin, Nigeria, and Cameroon. Its leaves, </w:t>
      </w:r>
      <w:r w:rsidR="008B5385" w:rsidRPr="005B7291">
        <w:rPr>
          <w:rFonts w:ascii="Arial" w:eastAsia="Times New Roman" w:hAnsi="Arial" w:cs="Arial"/>
          <w:color w:val="000000" w:themeColor="text1"/>
          <w:sz w:val="20"/>
          <w:szCs w:val="20"/>
          <w:lang w:val="en-US" w:eastAsia="fr-FR"/>
        </w:rPr>
        <w:t xml:space="preserve">which are </w:t>
      </w:r>
      <w:r w:rsidRPr="005B7291">
        <w:rPr>
          <w:rFonts w:ascii="Arial" w:eastAsia="Times New Roman" w:hAnsi="Arial" w:cs="Arial"/>
          <w:color w:val="000000" w:themeColor="text1"/>
          <w:sz w:val="20"/>
          <w:szCs w:val="20"/>
          <w:lang w:val="en-US" w:eastAsia="fr-FR"/>
        </w:rPr>
        <w:t xml:space="preserve">commonly consumed as leafy vegetables </w:t>
      </w:r>
      <w:r w:rsidR="008B5385" w:rsidRPr="005B7291">
        <w:rPr>
          <w:rFonts w:ascii="Arial" w:eastAsia="Times New Roman" w:hAnsi="Arial" w:cs="Arial"/>
          <w:color w:val="000000" w:themeColor="text1"/>
          <w:sz w:val="20"/>
          <w:szCs w:val="20"/>
          <w:lang w:val="en-US" w:eastAsia="fr-FR"/>
        </w:rPr>
        <w:t xml:space="preserve">because of </w:t>
      </w:r>
      <w:r w:rsidRPr="005B7291">
        <w:rPr>
          <w:rFonts w:ascii="Arial" w:eastAsia="Times New Roman" w:hAnsi="Arial" w:cs="Arial"/>
          <w:color w:val="000000" w:themeColor="text1"/>
          <w:sz w:val="20"/>
          <w:szCs w:val="20"/>
          <w:lang w:val="en-US" w:eastAsia="fr-FR"/>
        </w:rPr>
        <w:t xml:space="preserve">their viscosity, are used to treat a broad spectrum of pathologies (dysentery, malaria, fever, gonorrhea, etc.)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2022)","plainTextFormattedCitation":"(Abdel-Razek et al., 2022)","previouslyFormattedCitation":"(Abdel-Razek et al., 2022)"},"properties":{"noteIndex":0},"schema":"https://github.com/citation-style-language/schema/raw/master/csl-citation.json"}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(Abdel-Razek et al., 2022)</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The fruits are capsules containing multiple seeds used for plant reproduction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{"citationItems":[{"id":"ITEM-1","itemData":{"DOI":"10.1007/s10722-016-0415-y","ISSN":"15735109","abstract":"Detailed information about genetic differences among individuals or groups of accessions can be helpful for management and utilization of germplasm collections. So, descriptor assist scientists to improve their capacity to describe, store, manage and share information about plant resources, whether stored in genebanks or growing in natural environments. It is also an important tool to enable information sharing for crops, facilitate the international exchange and use of plant resources, uniformity in data description. Provide an international format and a universally understood language for plant genetic resources data. They are targeted at farmers, curators, breeders and users and facilitate the exchange and use of resources (Rana et al. 1991, Van Hintum in Genet Resour Crop Evol 40:133–136, 1993). This test guideline was developed to apply to all varieties of C. olitorius 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natural fibres mainly in Asian and Latin American countries. C. olitorius (jute mallow) is an important green leafy vegetable in many areas. Different parts of C. olitorius are also used in folk medicine (Patel and Datta in Grana Palynol 1:18–24, 1958; Rao in Sydowia 30:164–185, 1977; Sajib et al. in Plant Cell Tissue Organ Cult 95:333–340, 2008).","author":[{"dropping-particle":"","family":"Loumerem","given":"Mohamed","non-dropping-particle":"","parse-names":false,"suffix":""},{"dropping-particle":"","family":"Alercia","given":"Adriana","non-dropping-particle":"","parse-names":false,"suffix":""}],"container-title":"Genetic Resources and Crop Evolution","id":"ITEM-1","issue":"7","issued":{"date-parts":[["2016"]]},"page":"1103-1111","title":"Descriptors for jute (Corchorus olitorius L.)","type":"article-journal","volume":"63"},"uris":["http://www.mendeley.com/documents/?uuid=51b0582b-b5ab-430c-a0bf-e6d493bdb448"]}],"mendeley":{"formattedCitation":"(Loumerem &amp; Alercia, 2016)","plainTextFormattedCitation":"(Loumerem &amp; Alercia, 2016)","previouslyFormattedCitation":"(Loumerem &amp; Alercia,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(Loumerem &amp; Alercia,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or okra, is a vegetable plant from the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family</w:t>
      </w:r>
      <w:r w:rsidR="008B5385" w:rsidRPr="005B7291">
        <w:rPr>
          <w:rFonts w:ascii="Arial" w:eastAsia="Times New Roman" w:hAnsi="Arial" w:cs="Arial"/>
          <w:color w:val="000000" w:themeColor="text1"/>
          <w:sz w:val="20"/>
          <w:szCs w:val="20"/>
          <w:lang w:val="en-US" w:eastAsia="fr-FR"/>
        </w:rPr>
        <w:t xml:space="preserve">; that is </w:t>
      </w:r>
      <w:r w:rsidRPr="005B7291">
        <w:rPr>
          <w:rFonts w:ascii="Arial" w:eastAsia="Times New Roman" w:hAnsi="Arial" w:cs="Arial"/>
          <w:color w:val="000000" w:themeColor="text1"/>
          <w:sz w:val="20"/>
          <w:szCs w:val="20"/>
          <w:lang w:val="en-US" w:eastAsia="fr-FR"/>
        </w:rPr>
        <w:t xml:space="preserve">commonly used for its edible immature fruit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Like </w:t>
      </w:r>
      <w:r w:rsidRPr="005B7291">
        <w:rPr>
          <w:rFonts w:ascii="Arial" w:eastAsia="Times New Roman" w:hAnsi="Arial" w:cs="Arial"/>
          <w:i/>
          <w:color w:val="000000" w:themeColor="text1"/>
          <w:sz w:val="20"/>
          <w:szCs w:val="20"/>
          <w:lang w:val="en-US" w:eastAsia="fr-FR"/>
        </w:rPr>
        <w:t xml:space="preserve">Corchorus </w:t>
      </w:r>
      <w:proofErr w:type="spellStart"/>
      <w:r w:rsidR="00D3428E"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it thrives in tropical and subtropical regions worldwide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2015)","plainTextFormattedCitation":"(Gemede et al., 2015)","previouslyFormattedCitation":"(Gemede et al., 2015)"},"properties":{"noteIndex":0},"schema":"https://github.com/citation-style-language/schema/raw/master/csl-citation.json"}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(Gemede et al., 2015)</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and is found in East and Central Africa. All its </w:t>
      </w:r>
      <w:r w:rsidRPr="005B7291">
        <w:rPr>
          <w:rFonts w:ascii="Arial" w:eastAsia="Times New Roman" w:hAnsi="Arial" w:cs="Arial"/>
          <w:color w:val="000000" w:themeColor="text1"/>
          <w:sz w:val="20"/>
          <w:szCs w:val="20"/>
          <w:lang w:val="en-US" w:eastAsia="fr-FR"/>
        </w:rPr>
        <w:lastRenderedPageBreak/>
        <w:t>organs (leaves, flowers, stems, seeds) are edible.</w:t>
      </w:r>
      <w:r w:rsidR="00D96F61"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The leaves and fruits of </w:t>
      </w:r>
      <w:r w:rsidR="00553A4E" w:rsidRPr="005B7291">
        <w:rPr>
          <w:rStyle w:val="Strong"/>
          <w:rFonts w:ascii="Arial" w:hAnsi="Arial" w:cs="Arial"/>
          <w:b w:val="0"/>
          <w:bCs w:val="0"/>
          <w:i/>
          <w:iCs/>
          <w:color w:val="000000" w:themeColor="text1"/>
          <w:sz w:val="20"/>
          <w:szCs w:val="20"/>
          <w:lang w:val="en-US"/>
        </w:rPr>
        <w:t xml:space="preserve">Corchorus </w:t>
      </w:r>
      <w:proofErr w:type="spellStart"/>
      <w:r w:rsidR="00553A4E" w:rsidRPr="005B7291">
        <w:rPr>
          <w:rStyle w:val="Strong"/>
          <w:rFonts w:ascii="Arial" w:hAnsi="Arial" w:cs="Arial"/>
          <w:b w:val="0"/>
          <w:bCs w:val="0"/>
          <w:i/>
          <w:iCs/>
          <w:color w:val="000000" w:themeColor="text1"/>
          <w:sz w:val="20"/>
          <w:szCs w:val="20"/>
          <w:lang w:val="en-US"/>
        </w:rPr>
        <w:t>olitorius</w:t>
      </w:r>
      <w:proofErr w:type="spellEnd"/>
      <w:r w:rsidR="00553A4E" w:rsidRPr="005B7291">
        <w:rPr>
          <w:rFonts w:ascii="Arial" w:hAnsi="Arial" w:cs="Arial"/>
          <w:color w:val="000000" w:themeColor="text1"/>
          <w:sz w:val="20"/>
          <w:szCs w:val="20"/>
          <w:lang w:val="en-US"/>
        </w:rPr>
        <w:t xml:space="preserve"> and </w:t>
      </w:r>
      <w:r w:rsidR="00553A4E" w:rsidRPr="005B7291">
        <w:rPr>
          <w:rStyle w:val="Strong"/>
          <w:rFonts w:ascii="Arial" w:hAnsi="Arial" w:cs="Arial"/>
          <w:b w:val="0"/>
          <w:bCs w:val="0"/>
          <w:i/>
          <w:iCs/>
          <w:color w:val="000000" w:themeColor="text1"/>
          <w:sz w:val="20"/>
          <w:szCs w:val="20"/>
          <w:lang w:val="en-US"/>
        </w:rPr>
        <w:t>Abelmoschus esculentus</w:t>
      </w:r>
      <w:r w:rsidR="00553A4E" w:rsidRPr="005B7291">
        <w:rPr>
          <w:rFonts w:ascii="Arial" w:hAnsi="Arial" w:cs="Arial"/>
          <w:color w:val="000000" w:themeColor="text1"/>
          <w:sz w:val="20"/>
          <w:szCs w:val="20"/>
          <w:lang w:val="en-US"/>
        </w:rPr>
        <w:t xml:space="preserve"> are rich in minerals, proteins, sugars, fibers, and </w:t>
      </w:r>
      <w:r w:rsidR="00D96F61" w:rsidRPr="005B7291">
        <w:rPr>
          <w:rFonts w:ascii="Arial" w:hAnsi="Arial" w:cs="Arial"/>
          <w:color w:val="000000" w:themeColor="text1"/>
          <w:sz w:val="20"/>
          <w:szCs w:val="20"/>
          <w:lang w:val="en-US"/>
        </w:rPr>
        <w:t>numerous</w:t>
      </w:r>
      <w:r w:rsidR="00553A4E" w:rsidRPr="005B7291">
        <w:rPr>
          <w:rFonts w:ascii="Arial" w:hAnsi="Arial" w:cs="Arial"/>
          <w:color w:val="000000" w:themeColor="text1"/>
          <w:sz w:val="20"/>
          <w:szCs w:val="20"/>
          <w:lang w:val="en-US"/>
        </w:rPr>
        <w:t xml:space="preserve"> bioactive compounds</w:t>
      </w:r>
      <w:r w:rsidR="00E02B55" w:rsidRPr="005B7291">
        <w:rPr>
          <w:rFonts w:ascii="Arial" w:hAnsi="Arial" w:cs="Arial"/>
          <w:color w:val="000000" w:themeColor="text1"/>
          <w:sz w:val="20"/>
          <w:szCs w:val="20"/>
          <w:lang w:val="en-US"/>
        </w:rPr>
        <w:t xml:space="preserve"> </w:t>
      </w:r>
      <w:r w:rsidR="00E02B55"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2019)","plainTextFormattedCitation":"(Sha’a et al., 2019)","previouslyFormattedCitation":"(Sha’a et al., 2019)"},"properties":{"noteIndex":0},"schema":"https://github.com/citation-style-language/schema/raw/master/csl-citation.json"}</w:instrText>
      </w:r>
      <w:r w:rsidR="00E02B55"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(Sha’a et al., 2019)</w:t>
      </w:r>
      <w:r w:rsidR="00E02B55"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w:t>
      </w:r>
      <w:r w:rsidR="008815CC" w:rsidRPr="005B7291">
        <w:rPr>
          <w:rFonts w:ascii="Arial" w:hAnsi="Arial" w:cs="Arial"/>
          <w:color w:val="000000" w:themeColor="text1"/>
          <w:sz w:val="20"/>
          <w:szCs w:val="20"/>
          <w:lang w:val="en-US"/>
        </w:rPr>
        <w:t xml:space="preserve"> However</w:t>
      </w:r>
      <w:r w:rsidR="00553A4E" w:rsidRPr="005B7291">
        <w:rPr>
          <w:rFonts w:ascii="Arial" w:hAnsi="Arial" w:cs="Arial"/>
          <w:color w:val="000000" w:themeColor="text1"/>
          <w:sz w:val="20"/>
          <w:szCs w:val="20"/>
          <w:lang w:val="en-US"/>
        </w:rPr>
        <w:t xml:space="preserve">, the content </w:t>
      </w:r>
      <w:r w:rsidR="008815CC" w:rsidRPr="005B7291">
        <w:rPr>
          <w:rFonts w:ascii="Arial" w:hAnsi="Arial" w:cs="Arial"/>
          <w:color w:val="000000" w:themeColor="text1"/>
          <w:sz w:val="20"/>
          <w:szCs w:val="20"/>
          <w:lang w:val="en-US"/>
        </w:rPr>
        <w:t xml:space="preserve">of these compounds </w:t>
      </w:r>
      <w:r w:rsidR="00553A4E" w:rsidRPr="005B7291">
        <w:rPr>
          <w:rFonts w:ascii="Arial" w:hAnsi="Arial" w:cs="Arial"/>
          <w:color w:val="000000" w:themeColor="text1"/>
          <w:sz w:val="20"/>
          <w:szCs w:val="20"/>
          <w:lang w:val="en-US"/>
        </w:rPr>
        <w:t xml:space="preserve">varies when </w:t>
      </w:r>
      <w:r w:rsidR="008815CC" w:rsidRPr="005B7291">
        <w:rPr>
          <w:rFonts w:ascii="Arial" w:hAnsi="Arial" w:cs="Arial"/>
          <w:color w:val="000000" w:themeColor="text1"/>
          <w:sz w:val="20"/>
          <w:szCs w:val="20"/>
          <w:lang w:val="en-US"/>
        </w:rPr>
        <w:t xml:space="preserve">they are </w:t>
      </w:r>
      <w:r w:rsidR="00553A4E" w:rsidRPr="005B7291">
        <w:rPr>
          <w:rFonts w:ascii="Arial" w:hAnsi="Arial" w:cs="Arial"/>
          <w:color w:val="000000" w:themeColor="text1"/>
          <w:sz w:val="20"/>
          <w:szCs w:val="20"/>
          <w:lang w:val="en-US"/>
        </w:rPr>
        <w:t>transformed into powders</w:t>
      </w:r>
      <w:r w:rsidR="008815CC"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which</w:t>
      </w:r>
      <w:r w:rsidR="008815CC" w:rsidRPr="005B7291">
        <w:rPr>
          <w:rFonts w:ascii="Arial" w:hAnsi="Arial" w:cs="Arial"/>
          <w:color w:val="000000" w:themeColor="text1"/>
          <w:sz w:val="20"/>
          <w:szCs w:val="20"/>
          <w:lang w:val="en-US"/>
        </w:rPr>
        <w:t xml:space="preserve"> significantly affects their </w:t>
      </w:r>
      <w:r w:rsidR="008121AD">
        <w:rPr>
          <w:rFonts w:ascii="Arial" w:hAnsi="Arial" w:cs="Arial"/>
          <w:color w:val="000000" w:themeColor="text1"/>
          <w:sz w:val="20"/>
          <w:szCs w:val="20"/>
          <w:lang w:val="en-US"/>
        </w:rPr>
        <w:t>nutritional and bioactive characteristics</w:t>
      </w:r>
      <w:r w:rsidR="003D632B" w:rsidRPr="005B7291">
        <w:rPr>
          <w:rFonts w:ascii="Arial" w:hAnsi="Arial" w:cs="Arial"/>
          <w:color w:val="000000" w:themeColor="text1"/>
          <w:sz w:val="20"/>
          <w:szCs w:val="20"/>
          <w:lang w:val="en-US"/>
        </w:rPr>
        <w:t>.</w:t>
      </w:r>
    </w:p>
    <w:p w14:paraId="6631DED0" w14:textId="08AB420A" w:rsidR="002512DF" w:rsidRPr="00987596" w:rsidRDefault="00DE628D" w:rsidP="00DE628D">
      <w:pPr>
        <w:spacing w:before="240" w:line="360" w:lineRule="auto"/>
        <w:jc w:val="both"/>
        <w:rPr>
          <w:rFonts w:ascii="Arial" w:hAnsi="Arial" w:cs="Arial"/>
          <w:color w:val="FF0000"/>
          <w:sz w:val="20"/>
          <w:szCs w:val="20"/>
          <w:lang w:val="en-US"/>
        </w:rPr>
      </w:pPr>
      <w:r w:rsidRPr="005B7291">
        <w:rPr>
          <w:rFonts w:ascii="Arial" w:hAnsi="Arial" w:cs="Arial"/>
          <w:color w:val="000000" w:themeColor="text1"/>
          <w:sz w:val="20"/>
          <w:szCs w:val="20"/>
          <w:lang w:val="en-US"/>
        </w:rPr>
        <w:t>In view of the above, it is clear that</w:t>
      </w:r>
      <w:r w:rsidR="00255DA3" w:rsidRPr="005B7291">
        <w:rPr>
          <w:rFonts w:ascii="Arial" w:eastAsia="Times New Roman" w:hAnsi="Arial" w:cs="Arial"/>
          <w:color w:val="000000" w:themeColor="text1"/>
          <w:sz w:val="20"/>
          <w:szCs w:val="20"/>
          <w:lang w:val="en-US" w:eastAsia="fr-FR"/>
        </w:rPr>
        <w:t>,</w:t>
      </w:r>
      <w:r w:rsidR="00F76DC2" w:rsidRPr="005B7291">
        <w:rPr>
          <w:rFonts w:ascii="Arial" w:eastAsia="Times New Roman" w:hAnsi="Arial" w:cs="Arial"/>
          <w:color w:val="000000" w:themeColor="text1"/>
          <w:sz w:val="20"/>
          <w:szCs w:val="20"/>
          <w:lang w:val="en-US" w:eastAsia="fr-FR"/>
        </w:rPr>
        <w:t xml:space="preserve"> th</w:t>
      </w:r>
      <w:r w:rsidR="00255DA3" w:rsidRPr="005B7291">
        <w:rPr>
          <w:rFonts w:ascii="Arial" w:eastAsia="Times New Roman" w:hAnsi="Arial" w:cs="Arial"/>
          <w:color w:val="000000" w:themeColor="text1"/>
          <w:sz w:val="20"/>
          <w:szCs w:val="20"/>
          <w:lang w:val="en-US" w:eastAsia="fr-FR"/>
        </w:rPr>
        <w:t>e use</w:t>
      </w:r>
      <w:r w:rsidR="00F76DC2"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 xml:space="preserve">of </w:t>
      </w:r>
      <w:r w:rsidR="001F18D7" w:rsidRPr="005B7291">
        <w:rPr>
          <w:rFonts w:ascii="Arial" w:eastAsia="Times New Roman" w:hAnsi="Arial" w:cs="Arial"/>
          <w:color w:val="000000" w:themeColor="text1"/>
          <w:sz w:val="20"/>
          <w:szCs w:val="20"/>
          <w:lang w:val="en-US" w:eastAsia="fr-FR"/>
        </w:rPr>
        <w:t xml:space="preserve">food powders </w:t>
      </w:r>
      <w:r w:rsidR="00A27F3D" w:rsidRPr="005B7291">
        <w:rPr>
          <w:rFonts w:ascii="Arial" w:eastAsia="Times New Roman" w:hAnsi="Arial" w:cs="Arial"/>
          <w:color w:val="000000" w:themeColor="text1"/>
          <w:sz w:val="20"/>
          <w:szCs w:val="20"/>
          <w:lang w:val="en-US" w:eastAsia="fr-FR"/>
        </w:rPr>
        <w:t xml:space="preserve">as </w:t>
      </w:r>
      <w:r w:rsidR="00BF4407" w:rsidRPr="005B7291">
        <w:rPr>
          <w:rFonts w:ascii="Arial" w:eastAsia="Times New Roman" w:hAnsi="Arial" w:cs="Arial"/>
          <w:color w:val="000000" w:themeColor="text1"/>
          <w:sz w:val="20"/>
          <w:szCs w:val="20"/>
          <w:lang w:val="en-US" w:eastAsia="fr-FR"/>
        </w:rPr>
        <w:t>supplementar</w:t>
      </w:r>
      <w:r w:rsidR="00BC5107" w:rsidRPr="005B7291">
        <w:rPr>
          <w:rFonts w:ascii="Arial" w:eastAsia="Times New Roman" w:hAnsi="Arial" w:cs="Arial"/>
          <w:color w:val="000000" w:themeColor="text1"/>
          <w:sz w:val="20"/>
          <w:szCs w:val="20"/>
          <w:lang w:val="en-US" w:eastAsia="fr-FR"/>
        </w:rPr>
        <w:t>y</w:t>
      </w:r>
      <w:r w:rsidR="00A27F3D" w:rsidRPr="005B7291">
        <w:rPr>
          <w:rFonts w:ascii="Arial" w:eastAsia="Times New Roman" w:hAnsi="Arial" w:cs="Arial"/>
          <w:color w:val="000000" w:themeColor="text1"/>
          <w:sz w:val="20"/>
          <w:szCs w:val="20"/>
          <w:lang w:val="en-US" w:eastAsia="fr-FR"/>
        </w:rPr>
        <w:t xml:space="preserve"> foods </w:t>
      </w:r>
      <w:r w:rsidR="00795876" w:rsidRPr="005B7291">
        <w:rPr>
          <w:rFonts w:ascii="Arial" w:eastAsia="Times New Roman" w:hAnsi="Arial" w:cs="Arial"/>
          <w:color w:val="000000" w:themeColor="text1"/>
          <w:sz w:val="20"/>
          <w:szCs w:val="20"/>
          <w:lang w:val="en-US" w:eastAsia="fr-FR"/>
        </w:rPr>
        <w:t>in</w:t>
      </w:r>
      <w:r w:rsidR="00A27F3D" w:rsidRPr="005B7291">
        <w:rPr>
          <w:rFonts w:ascii="Arial" w:eastAsia="Times New Roman" w:hAnsi="Arial" w:cs="Arial"/>
          <w:color w:val="000000" w:themeColor="text1"/>
          <w:sz w:val="20"/>
          <w:szCs w:val="20"/>
          <w:lang w:val="en-US" w:eastAsia="fr-FR"/>
        </w:rPr>
        <w:t xml:space="preserve"> </w:t>
      </w:r>
      <w:r w:rsidR="005E3488" w:rsidRPr="005B7291">
        <w:rPr>
          <w:rFonts w:ascii="Arial" w:eastAsia="Times New Roman" w:hAnsi="Arial" w:cs="Arial"/>
          <w:color w:val="000000" w:themeColor="text1"/>
          <w:sz w:val="20"/>
          <w:szCs w:val="20"/>
          <w:lang w:val="en-US" w:eastAsia="fr-FR"/>
        </w:rPr>
        <w:t xml:space="preserve">the </w:t>
      </w:r>
      <w:r w:rsidR="00255DA3" w:rsidRPr="005B7291">
        <w:rPr>
          <w:rFonts w:ascii="Arial" w:eastAsia="Times New Roman" w:hAnsi="Arial" w:cs="Arial"/>
          <w:color w:val="000000" w:themeColor="text1"/>
          <w:sz w:val="20"/>
          <w:szCs w:val="20"/>
          <w:lang w:val="en-US" w:eastAsia="fr-FR"/>
        </w:rPr>
        <w:t xml:space="preserve">fight </w:t>
      </w:r>
      <w:r w:rsidR="005E3488" w:rsidRPr="005B7291">
        <w:rPr>
          <w:rFonts w:ascii="Arial" w:eastAsia="Times New Roman" w:hAnsi="Arial" w:cs="Arial"/>
          <w:color w:val="000000" w:themeColor="text1"/>
          <w:sz w:val="20"/>
          <w:szCs w:val="20"/>
          <w:lang w:val="en-US" w:eastAsia="fr-FR"/>
        </w:rPr>
        <w:t>against</w:t>
      </w:r>
      <w:r w:rsidR="00795876" w:rsidRPr="005B7291">
        <w:rPr>
          <w:rFonts w:ascii="Arial" w:eastAsia="Times New Roman" w:hAnsi="Arial" w:cs="Arial"/>
          <w:color w:val="000000" w:themeColor="text1"/>
          <w:sz w:val="20"/>
          <w:szCs w:val="20"/>
          <w:lang w:val="en-US" w:eastAsia="fr-FR"/>
        </w:rPr>
        <w:t xml:space="preserve"> </w:t>
      </w:r>
      <w:r w:rsidR="00A27F3D" w:rsidRPr="005B7291">
        <w:rPr>
          <w:rFonts w:ascii="Arial" w:eastAsia="Times New Roman" w:hAnsi="Arial" w:cs="Arial"/>
          <w:color w:val="000000" w:themeColor="text1"/>
          <w:sz w:val="20"/>
          <w:szCs w:val="20"/>
          <w:lang w:val="en-US" w:eastAsia="fr-FR"/>
        </w:rPr>
        <w:t>chronic diseases</w:t>
      </w:r>
      <w:r w:rsidR="00F76DC2" w:rsidRPr="005B7291">
        <w:rPr>
          <w:rFonts w:ascii="Arial" w:eastAsia="Times New Roman" w:hAnsi="Arial" w:cs="Arial"/>
          <w:color w:val="000000" w:themeColor="text1"/>
          <w:sz w:val="20"/>
          <w:szCs w:val="20"/>
          <w:lang w:val="en-US" w:eastAsia="fr-FR"/>
        </w:rPr>
        <w:t xml:space="preserve">, without </w:t>
      </w:r>
      <w:r w:rsidR="005E3488" w:rsidRPr="005B7291">
        <w:rPr>
          <w:rFonts w:ascii="Arial" w:eastAsia="Times New Roman" w:hAnsi="Arial" w:cs="Arial"/>
          <w:color w:val="000000" w:themeColor="text1"/>
          <w:sz w:val="20"/>
          <w:szCs w:val="20"/>
          <w:lang w:val="en-US" w:eastAsia="fr-FR"/>
        </w:rPr>
        <w:t>prior consideration of</w:t>
      </w:r>
      <w:r w:rsidR="00BF4407" w:rsidRPr="005B7291">
        <w:rPr>
          <w:rFonts w:ascii="Arial" w:eastAsia="Times New Roman" w:hAnsi="Arial" w:cs="Arial"/>
          <w:color w:val="000000" w:themeColor="text1"/>
          <w:sz w:val="20"/>
          <w:szCs w:val="20"/>
          <w:lang w:val="en-US" w:eastAsia="fr-FR"/>
        </w:rPr>
        <w:t xml:space="preserve"> granulometr</w:t>
      </w:r>
      <w:r w:rsidR="000373A4" w:rsidRPr="005B7291">
        <w:rPr>
          <w:rFonts w:ascii="Arial" w:eastAsia="Times New Roman" w:hAnsi="Arial" w:cs="Arial"/>
          <w:color w:val="000000" w:themeColor="text1"/>
          <w:sz w:val="20"/>
          <w:szCs w:val="20"/>
          <w:lang w:val="en-US" w:eastAsia="fr-FR"/>
        </w:rPr>
        <w:t>ic</w:t>
      </w:r>
      <w:r w:rsidR="00BF4407" w:rsidRPr="005B7291">
        <w:rPr>
          <w:rFonts w:ascii="Arial" w:eastAsia="Times New Roman" w:hAnsi="Arial" w:cs="Arial"/>
          <w:color w:val="000000" w:themeColor="text1"/>
          <w:sz w:val="20"/>
          <w:szCs w:val="20"/>
          <w:lang w:val="en-US" w:eastAsia="fr-FR"/>
        </w:rPr>
        <w:t xml:space="preserve"> effects and </w:t>
      </w:r>
      <w:r w:rsidR="00F76DC2" w:rsidRPr="005B7291">
        <w:rPr>
          <w:rFonts w:ascii="Arial" w:eastAsia="Times New Roman" w:hAnsi="Arial" w:cs="Arial"/>
          <w:color w:val="000000" w:themeColor="text1"/>
          <w:sz w:val="20"/>
          <w:szCs w:val="20"/>
          <w:lang w:val="en-US" w:eastAsia="fr-FR"/>
        </w:rPr>
        <w:t xml:space="preserve">the multiple molecular interactions that </w:t>
      </w:r>
      <w:r w:rsidR="005E3488" w:rsidRPr="005B7291">
        <w:rPr>
          <w:rFonts w:ascii="Arial" w:eastAsia="Times New Roman" w:hAnsi="Arial" w:cs="Arial"/>
          <w:color w:val="000000" w:themeColor="text1"/>
          <w:sz w:val="20"/>
          <w:szCs w:val="20"/>
          <w:lang w:val="en-US" w:eastAsia="fr-FR"/>
        </w:rPr>
        <w:t>might occur in mixtures</w:t>
      </w:r>
      <w:r w:rsidR="00F76DC2" w:rsidRPr="005B7291">
        <w:rPr>
          <w:rFonts w:ascii="Arial" w:eastAsia="Times New Roman" w:hAnsi="Arial" w:cs="Arial"/>
          <w:color w:val="000000" w:themeColor="text1"/>
          <w:sz w:val="20"/>
          <w:szCs w:val="20"/>
          <w:lang w:val="en-US" w:eastAsia="fr-FR"/>
        </w:rPr>
        <w:t xml:space="preserve">, </w:t>
      </w:r>
      <w:r w:rsidR="00841B32" w:rsidRPr="005B7291">
        <w:rPr>
          <w:rFonts w:ascii="Arial" w:eastAsia="Times New Roman" w:hAnsi="Arial" w:cs="Arial"/>
          <w:color w:val="000000" w:themeColor="text1"/>
          <w:sz w:val="20"/>
          <w:szCs w:val="20"/>
          <w:lang w:val="en-US" w:eastAsia="fr-FR"/>
        </w:rPr>
        <w:t xml:space="preserve">poses the </w:t>
      </w:r>
      <w:r w:rsidR="00F76DC2" w:rsidRPr="005B7291">
        <w:rPr>
          <w:rFonts w:ascii="Arial" w:eastAsia="Times New Roman" w:hAnsi="Arial" w:cs="Arial"/>
          <w:color w:val="000000" w:themeColor="text1"/>
          <w:sz w:val="20"/>
          <w:szCs w:val="20"/>
          <w:lang w:val="en-US" w:eastAsia="fr-FR"/>
        </w:rPr>
        <w:t>risk</w:t>
      </w:r>
      <w:r w:rsidR="00841B32" w:rsidRPr="005B7291">
        <w:rPr>
          <w:rFonts w:ascii="Arial" w:eastAsia="Times New Roman" w:hAnsi="Arial" w:cs="Arial"/>
          <w:color w:val="000000" w:themeColor="text1"/>
          <w:sz w:val="20"/>
          <w:szCs w:val="20"/>
          <w:lang w:val="en-US" w:eastAsia="fr-FR"/>
        </w:rPr>
        <w:t xml:space="preserve"> of</w:t>
      </w:r>
      <w:r w:rsidR="00F76DC2" w:rsidRPr="005B7291">
        <w:rPr>
          <w:rFonts w:ascii="Arial" w:eastAsia="Times New Roman" w:hAnsi="Arial" w:cs="Arial"/>
          <w:color w:val="000000" w:themeColor="text1"/>
          <w:sz w:val="20"/>
          <w:szCs w:val="20"/>
          <w:lang w:val="en-US" w:eastAsia="fr-FR"/>
        </w:rPr>
        <w:t xml:space="preserve"> yielding powders with</w:t>
      </w:r>
      <w:r w:rsidR="004B164E" w:rsidRPr="005B7291">
        <w:rPr>
          <w:rFonts w:ascii="Arial" w:eastAsia="Times New Roman" w:hAnsi="Arial" w:cs="Arial"/>
          <w:color w:val="000000" w:themeColor="text1"/>
          <w:sz w:val="20"/>
          <w:szCs w:val="20"/>
          <w:lang w:val="en-US" w:eastAsia="fr-FR"/>
        </w:rPr>
        <w:t xml:space="preserve"> </w:t>
      </w:r>
      <w:r w:rsidR="00BF4407" w:rsidRPr="005B7291">
        <w:rPr>
          <w:rFonts w:ascii="Arial" w:eastAsia="Times New Roman" w:hAnsi="Arial" w:cs="Arial"/>
          <w:color w:val="000000" w:themeColor="text1"/>
          <w:sz w:val="20"/>
          <w:szCs w:val="20"/>
          <w:lang w:val="en-US" w:eastAsia="fr-FR"/>
        </w:rPr>
        <w:t>uncontrolled nutritional</w:t>
      </w:r>
      <w:r w:rsidR="007944A6" w:rsidRPr="005B7291">
        <w:rPr>
          <w:rFonts w:ascii="Arial" w:eastAsia="Times New Roman" w:hAnsi="Arial" w:cs="Arial"/>
          <w:color w:val="000000" w:themeColor="text1"/>
          <w:sz w:val="20"/>
          <w:szCs w:val="20"/>
          <w:lang w:val="en-US" w:eastAsia="fr-FR"/>
        </w:rPr>
        <w:t xml:space="preserve"> and </w:t>
      </w:r>
      <w:r w:rsidR="00BF4407" w:rsidRPr="005B7291">
        <w:rPr>
          <w:rFonts w:ascii="Arial" w:eastAsia="Times New Roman" w:hAnsi="Arial" w:cs="Arial"/>
          <w:color w:val="000000" w:themeColor="text1"/>
          <w:sz w:val="20"/>
          <w:szCs w:val="20"/>
          <w:lang w:val="en-US" w:eastAsia="fr-FR"/>
        </w:rPr>
        <w:t>bioactive</w:t>
      </w:r>
      <w:r w:rsidR="007944A6" w:rsidRPr="005B7291">
        <w:rPr>
          <w:rFonts w:ascii="Arial" w:eastAsia="Times New Roman" w:hAnsi="Arial" w:cs="Arial"/>
          <w:color w:val="000000" w:themeColor="text1"/>
          <w:sz w:val="20"/>
          <w:szCs w:val="20"/>
          <w:lang w:val="en-US" w:eastAsia="fr-FR"/>
        </w:rPr>
        <w:t xml:space="preserve"> </w:t>
      </w:r>
      <w:r w:rsidR="00440A1F">
        <w:rPr>
          <w:rFonts w:ascii="Arial" w:eastAsia="Times New Roman" w:hAnsi="Arial" w:cs="Arial"/>
          <w:color w:val="000000" w:themeColor="text1"/>
          <w:sz w:val="20"/>
          <w:szCs w:val="20"/>
          <w:lang w:val="en-US" w:eastAsia="fr-FR"/>
        </w:rPr>
        <w:t>characteristics</w:t>
      </w:r>
      <w:r w:rsidR="00F76DC2" w:rsidRPr="005B7291">
        <w:rPr>
          <w:rFonts w:ascii="Arial" w:eastAsia="Times New Roman" w:hAnsi="Arial" w:cs="Arial"/>
          <w:color w:val="000000" w:themeColor="text1"/>
          <w:sz w:val="20"/>
          <w:szCs w:val="20"/>
          <w:lang w:val="en-US" w:eastAsia="fr-FR"/>
        </w:rPr>
        <w:t>.</w:t>
      </w:r>
      <w:r w:rsidR="004B164E" w:rsidRPr="005B7291">
        <w:rPr>
          <w:rFonts w:ascii="Arial" w:hAnsi="Arial" w:cs="Arial"/>
          <w:color w:val="000000" w:themeColor="text1"/>
          <w:sz w:val="20"/>
          <w:szCs w:val="20"/>
          <w:lang w:val="en-US"/>
        </w:rPr>
        <w:t xml:space="preserve"> The direct consequence of this oversight, which many therapists encounter</w:t>
      </w:r>
      <w:r w:rsidR="00604272" w:rsidRPr="005B7291">
        <w:rPr>
          <w:rFonts w:ascii="Arial" w:hAnsi="Arial" w:cs="Arial"/>
          <w:color w:val="000000" w:themeColor="text1"/>
          <w:sz w:val="20"/>
          <w:szCs w:val="20"/>
          <w:lang w:val="en-US"/>
        </w:rPr>
        <w:t xml:space="preserve"> (met in our markets and various dietetic cabinet)</w:t>
      </w:r>
      <w:r w:rsidR="004B164E" w:rsidRPr="005B7291">
        <w:rPr>
          <w:rFonts w:ascii="Arial" w:hAnsi="Arial" w:cs="Arial"/>
          <w:color w:val="000000" w:themeColor="text1"/>
          <w:sz w:val="20"/>
          <w:szCs w:val="20"/>
          <w:lang w:val="en-US"/>
        </w:rPr>
        <w:t>, is uncontrolled and i</w:t>
      </w:r>
      <w:r w:rsidR="00841B32" w:rsidRPr="005B7291">
        <w:rPr>
          <w:rFonts w:ascii="Arial" w:hAnsi="Arial" w:cs="Arial"/>
          <w:color w:val="000000" w:themeColor="text1"/>
          <w:sz w:val="20"/>
          <w:szCs w:val="20"/>
          <w:lang w:val="en-US"/>
        </w:rPr>
        <w:t>nadequate</w:t>
      </w:r>
      <w:r w:rsidR="004B164E" w:rsidRPr="005B7291">
        <w:rPr>
          <w:rFonts w:ascii="Arial" w:hAnsi="Arial" w:cs="Arial"/>
          <w:color w:val="000000" w:themeColor="text1"/>
          <w:sz w:val="20"/>
          <w:szCs w:val="20"/>
          <w:lang w:val="en-US"/>
        </w:rPr>
        <w:t xml:space="preserve"> dietary management that </w:t>
      </w:r>
      <w:r w:rsidR="00841B32" w:rsidRPr="005B7291">
        <w:rPr>
          <w:rFonts w:ascii="Arial" w:hAnsi="Arial" w:cs="Arial"/>
          <w:color w:val="000000" w:themeColor="text1"/>
          <w:sz w:val="20"/>
          <w:szCs w:val="20"/>
          <w:lang w:val="en-US"/>
        </w:rPr>
        <w:t>fails to</w:t>
      </w:r>
      <w:r w:rsidR="004B164E" w:rsidRPr="005B7291">
        <w:rPr>
          <w:rFonts w:ascii="Arial" w:hAnsi="Arial" w:cs="Arial"/>
          <w:color w:val="000000" w:themeColor="text1"/>
          <w:sz w:val="20"/>
          <w:szCs w:val="20"/>
          <w:lang w:val="en-US"/>
        </w:rPr>
        <w:t xml:space="preserve"> meet the precise needs of patients. </w:t>
      </w:r>
      <w:r w:rsidR="002512DF" w:rsidRPr="00440A1F">
        <w:rPr>
          <w:rFonts w:ascii="Arial" w:hAnsi="Arial" w:cs="Arial"/>
          <w:color w:val="000000" w:themeColor="text1"/>
          <w:sz w:val="20"/>
          <w:szCs w:val="20"/>
          <w:lang w:val="en-US"/>
        </w:rPr>
        <w:t xml:space="preserve">The objective of this study </w:t>
      </w:r>
      <w:r w:rsidR="000373A4" w:rsidRPr="00440A1F">
        <w:rPr>
          <w:rFonts w:ascii="Arial" w:hAnsi="Arial" w:cs="Arial"/>
          <w:color w:val="000000" w:themeColor="text1"/>
          <w:sz w:val="20"/>
          <w:szCs w:val="20"/>
          <w:lang w:val="en-US"/>
        </w:rPr>
        <w:t>was</w:t>
      </w:r>
      <w:r w:rsidR="002512DF" w:rsidRPr="00440A1F">
        <w:rPr>
          <w:rFonts w:ascii="Arial" w:hAnsi="Arial" w:cs="Arial"/>
          <w:color w:val="000000" w:themeColor="text1"/>
          <w:sz w:val="20"/>
          <w:szCs w:val="20"/>
          <w:lang w:val="en-US"/>
        </w:rPr>
        <w:t xml:space="preserve"> to determine the powders derived from the leaves and fruits of </w:t>
      </w:r>
      <w:r w:rsidR="002512DF" w:rsidRPr="00440A1F">
        <w:rPr>
          <w:rStyle w:val="Strong"/>
          <w:rFonts w:ascii="Arial" w:hAnsi="Arial" w:cs="Arial"/>
          <w:b w:val="0"/>
          <w:bCs w:val="0"/>
          <w:i/>
          <w:iCs/>
          <w:color w:val="000000" w:themeColor="text1"/>
          <w:sz w:val="20"/>
          <w:szCs w:val="20"/>
          <w:lang w:val="en-US"/>
        </w:rPr>
        <w:t xml:space="preserve">Corchorus </w:t>
      </w:r>
      <w:proofErr w:type="spellStart"/>
      <w:r w:rsidR="002512DF" w:rsidRPr="00440A1F">
        <w:rPr>
          <w:rStyle w:val="Strong"/>
          <w:rFonts w:ascii="Arial" w:hAnsi="Arial" w:cs="Arial"/>
          <w:b w:val="0"/>
          <w:bCs w:val="0"/>
          <w:i/>
          <w:iCs/>
          <w:color w:val="000000" w:themeColor="text1"/>
          <w:sz w:val="20"/>
          <w:szCs w:val="20"/>
          <w:lang w:val="en-US"/>
        </w:rPr>
        <w:t>olitorius</w:t>
      </w:r>
      <w:proofErr w:type="spellEnd"/>
      <w:r w:rsidR="002512DF" w:rsidRPr="00440A1F">
        <w:rPr>
          <w:rFonts w:ascii="Arial" w:hAnsi="Arial" w:cs="Arial"/>
          <w:b/>
          <w:bCs/>
          <w:i/>
          <w:iCs/>
          <w:color w:val="000000" w:themeColor="text1"/>
          <w:sz w:val="20"/>
          <w:szCs w:val="20"/>
          <w:lang w:val="en-US"/>
        </w:rPr>
        <w:t xml:space="preserve"> </w:t>
      </w:r>
      <w:r w:rsidR="002512DF" w:rsidRPr="00440A1F">
        <w:rPr>
          <w:rFonts w:ascii="Arial" w:hAnsi="Arial" w:cs="Arial"/>
          <w:color w:val="000000" w:themeColor="text1"/>
          <w:sz w:val="20"/>
          <w:szCs w:val="20"/>
          <w:lang w:val="en-US"/>
        </w:rPr>
        <w:t>and</w:t>
      </w:r>
      <w:r w:rsidR="002512DF" w:rsidRPr="00440A1F">
        <w:rPr>
          <w:rFonts w:ascii="Arial" w:hAnsi="Arial" w:cs="Arial"/>
          <w:b/>
          <w:bCs/>
          <w:color w:val="000000" w:themeColor="text1"/>
          <w:sz w:val="20"/>
          <w:szCs w:val="20"/>
          <w:lang w:val="en-US"/>
        </w:rPr>
        <w:t xml:space="preserve"> </w:t>
      </w:r>
      <w:r w:rsidR="002512DF" w:rsidRPr="00440A1F">
        <w:rPr>
          <w:rStyle w:val="Strong"/>
          <w:rFonts w:ascii="Arial" w:hAnsi="Arial" w:cs="Arial"/>
          <w:b w:val="0"/>
          <w:bCs w:val="0"/>
          <w:i/>
          <w:iCs/>
          <w:color w:val="000000" w:themeColor="text1"/>
          <w:sz w:val="20"/>
          <w:szCs w:val="20"/>
          <w:lang w:val="en-US"/>
        </w:rPr>
        <w:t>Abelmoschus esculentus</w:t>
      </w:r>
      <w:r w:rsidR="002512DF" w:rsidRPr="00440A1F">
        <w:rPr>
          <w:rFonts w:ascii="Arial" w:hAnsi="Arial" w:cs="Arial"/>
          <w:color w:val="000000" w:themeColor="text1"/>
          <w:sz w:val="20"/>
          <w:szCs w:val="20"/>
          <w:lang w:val="en-US"/>
        </w:rPr>
        <w:t xml:space="preserve">, which simultaneously exhibit high antioxidant </w:t>
      </w:r>
      <w:r w:rsidR="00654639" w:rsidRPr="00440A1F">
        <w:rPr>
          <w:rFonts w:ascii="Arial" w:hAnsi="Arial" w:cs="Arial"/>
          <w:color w:val="000000" w:themeColor="text1"/>
          <w:sz w:val="20"/>
          <w:szCs w:val="20"/>
          <w:lang w:val="en-US"/>
        </w:rPr>
        <w:t>activity</w:t>
      </w:r>
      <w:r w:rsidR="00275D74" w:rsidRPr="00440A1F">
        <w:rPr>
          <w:rFonts w:ascii="Arial" w:hAnsi="Arial" w:cs="Arial"/>
          <w:color w:val="000000" w:themeColor="text1"/>
          <w:sz w:val="20"/>
          <w:szCs w:val="20"/>
          <w:lang w:val="en-US"/>
        </w:rPr>
        <w:t xml:space="preserve">, </w:t>
      </w:r>
      <w:r w:rsidR="00585534" w:rsidRPr="00440A1F">
        <w:rPr>
          <w:rFonts w:ascii="Arial" w:hAnsi="Arial" w:cs="Arial"/>
          <w:color w:val="000000" w:themeColor="text1"/>
          <w:sz w:val="20"/>
          <w:szCs w:val="20"/>
          <w:lang w:val="en-US"/>
        </w:rPr>
        <w:t>high</w:t>
      </w:r>
      <w:r w:rsidR="002512DF" w:rsidRPr="00440A1F">
        <w:rPr>
          <w:rFonts w:ascii="Arial" w:hAnsi="Arial" w:cs="Arial"/>
          <w:color w:val="000000" w:themeColor="text1"/>
          <w:sz w:val="20"/>
          <w:szCs w:val="20"/>
          <w:lang w:val="en-US"/>
        </w:rPr>
        <w:t xml:space="preserve"> nutri</w:t>
      </w:r>
      <w:r w:rsidR="00F7655A" w:rsidRPr="00440A1F">
        <w:rPr>
          <w:rFonts w:ascii="Arial" w:hAnsi="Arial" w:cs="Arial"/>
          <w:color w:val="000000" w:themeColor="text1"/>
          <w:sz w:val="20"/>
          <w:szCs w:val="20"/>
          <w:lang w:val="en-US"/>
        </w:rPr>
        <w:t>ent</w:t>
      </w:r>
      <w:r w:rsidR="002512DF" w:rsidRPr="00440A1F">
        <w:rPr>
          <w:rFonts w:ascii="Arial" w:hAnsi="Arial" w:cs="Arial"/>
          <w:color w:val="000000" w:themeColor="text1"/>
          <w:sz w:val="20"/>
          <w:szCs w:val="20"/>
          <w:lang w:val="en-US"/>
        </w:rPr>
        <w:t xml:space="preserve"> density</w:t>
      </w:r>
      <w:r w:rsidR="00275D74" w:rsidRPr="00440A1F">
        <w:rPr>
          <w:rFonts w:ascii="Arial" w:hAnsi="Arial" w:cs="Arial"/>
          <w:color w:val="000000" w:themeColor="text1"/>
          <w:sz w:val="20"/>
          <w:szCs w:val="20"/>
          <w:lang w:val="en-US"/>
        </w:rPr>
        <w:t xml:space="preserve">, and </w:t>
      </w:r>
      <w:r w:rsidR="00AA7015" w:rsidRPr="00440A1F">
        <w:rPr>
          <w:rFonts w:ascii="Arial" w:hAnsi="Arial" w:cs="Arial"/>
          <w:color w:val="000000" w:themeColor="text1"/>
          <w:sz w:val="20"/>
          <w:szCs w:val="20"/>
          <w:lang w:val="en-US"/>
        </w:rPr>
        <w:t>reduced</w:t>
      </w:r>
      <w:r w:rsidR="00275D74" w:rsidRPr="00440A1F">
        <w:rPr>
          <w:rFonts w:ascii="Arial" w:hAnsi="Arial" w:cs="Arial"/>
          <w:color w:val="000000" w:themeColor="text1"/>
          <w:sz w:val="20"/>
          <w:szCs w:val="20"/>
          <w:lang w:val="en-US"/>
        </w:rPr>
        <w:t xml:space="preserve"> energy density</w:t>
      </w:r>
      <w:r w:rsidR="002512DF" w:rsidRPr="00440A1F">
        <w:rPr>
          <w:rFonts w:ascii="Arial" w:hAnsi="Arial" w:cs="Arial"/>
          <w:color w:val="000000" w:themeColor="text1"/>
          <w:sz w:val="20"/>
          <w:szCs w:val="20"/>
          <w:lang w:val="en-US"/>
        </w:rPr>
        <w:t>.</w:t>
      </w:r>
      <w:r w:rsidR="00901B7E" w:rsidRPr="00440A1F">
        <w:rPr>
          <w:rFonts w:ascii="Arial" w:hAnsi="Arial" w:cs="Arial"/>
          <w:color w:val="000000" w:themeColor="text1"/>
          <w:sz w:val="20"/>
          <w:szCs w:val="20"/>
          <w:lang w:val="en-US"/>
        </w:rPr>
        <w:t xml:space="preserve"> </w:t>
      </w:r>
    </w:p>
    <w:p w14:paraId="223DC002" w14:textId="5442BE38" w:rsidR="00874FDF" w:rsidRPr="005250A4" w:rsidRDefault="005250A4" w:rsidP="00DE628D">
      <w:pPr>
        <w:pStyle w:val="ListParagraph"/>
        <w:numPr>
          <w:ilvl w:val="0"/>
          <w:numId w:val="1"/>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35FBDC87" w14:textId="77777777" w:rsidR="00874FDF" w:rsidRPr="005250A4" w:rsidRDefault="00A14C98"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w:t>
      </w:r>
      <w:r w:rsidR="00874FDF" w:rsidRPr="005250A4">
        <w:rPr>
          <w:rFonts w:ascii="Arial" w:eastAsia="Times New Roman" w:hAnsi="Arial" w:cs="Arial"/>
          <w:b/>
          <w:color w:val="000000" w:themeColor="text1"/>
          <w:lang w:val="en-US" w:eastAsia="fr-FR"/>
        </w:rPr>
        <w:t>ampling</w:t>
      </w:r>
    </w:p>
    <w:p w14:paraId="4EEDA3D4" w14:textId="4BCE766A" w:rsidR="00861540" w:rsidRPr="005B7291" w:rsidRDefault="000373A4" w:rsidP="0086154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w:t>
      </w:r>
      <w:r w:rsidR="00874FDF" w:rsidRPr="005B7291">
        <w:rPr>
          <w:rFonts w:ascii="Arial" w:eastAsia="Times New Roman" w:hAnsi="Arial" w:cs="Arial"/>
          <w:i/>
          <w:color w:val="000000" w:themeColor="text1"/>
          <w:sz w:val="20"/>
          <w:szCs w:val="20"/>
          <w:lang w:val="en-US" w:eastAsia="fr-FR"/>
        </w:rPr>
        <w:t xml:space="preserve">Corchorus </w:t>
      </w:r>
      <w:proofErr w:type="spellStart"/>
      <w:r w:rsidR="00874FDF" w:rsidRPr="005B7291">
        <w:rPr>
          <w:rFonts w:ascii="Arial" w:eastAsia="Times New Roman" w:hAnsi="Arial" w:cs="Arial"/>
          <w:i/>
          <w:color w:val="000000" w:themeColor="text1"/>
          <w:sz w:val="20"/>
          <w:szCs w:val="20"/>
          <w:lang w:val="en-US" w:eastAsia="fr-FR"/>
        </w:rPr>
        <w:t>olitorius</w:t>
      </w:r>
      <w:proofErr w:type="spellEnd"/>
      <w:r w:rsidR="00874FDF" w:rsidRPr="005B7291">
        <w:rPr>
          <w:rFonts w:ascii="Arial" w:eastAsia="Times New Roman" w:hAnsi="Arial" w:cs="Arial"/>
          <w:color w:val="000000" w:themeColor="text1"/>
          <w:sz w:val="20"/>
          <w:szCs w:val="20"/>
          <w:lang w:val="en-US" w:eastAsia="fr-FR"/>
        </w:rPr>
        <w:t xml:space="preserve"> and </w:t>
      </w:r>
      <w:r w:rsidR="00874FDF" w:rsidRPr="005B7291">
        <w:rPr>
          <w:rFonts w:ascii="Arial" w:eastAsia="Times New Roman" w:hAnsi="Arial" w:cs="Arial"/>
          <w:i/>
          <w:color w:val="000000" w:themeColor="text1"/>
          <w:sz w:val="20"/>
          <w:szCs w:val="20"/>
          <w:lang w:val="en-US" w:eastAsia="fr-FR"/>
        </w:rPr>
        <w:t>Abelmoschus esculentus</w:t>
      </w:r>
      <w:r w:rsidR="003D6E11" w:rsidRPr="005B7291">
        <w:rPr>
          <w:rFonts w:ascii="Arial" w:eastAsia="Times New Roman" w:hAnsi="Arial" w:cs="Arial"/>
          <w:color w:val="000000" w:themeColor="text1"/>
          <w:sz w:val="20"/>
          <w:szCs w:val="20"/>
          <w:lang w:val="en-US" w:eastAsia="fr-FR"/>
        </w:rPr>
        <w:t xml:space="preserve"> (leaf and fruit</w:t>
      </w:r>
      <w:r w:rsidR="00874FDF" w:rsidRPr="005B7291">
        <w:rPr>
          <w:rFonts w:ascii="Arial" w:eastAsia="Times New Roman" w:hAnsi="Arial" w:cs="Arial"/>
          <w:color w:val="000000" w:themeColor="text1"/>
          <w:sz w:val="20"/>
          <w:szCs w:val="20"/>
          <w:lang w:val="en-US" w:eastAsia="fr-FR"/>
        </w:rPr>
        <w:t xml:space="preserve">), which are commonly consumed, were harvested early in the morning in the </w:t>
      </w:r>
      <w:proofErr w:type="spellStart"/>
      <w:r w:rsidR="00874FDF" w:rsidRPr="005B7291">
        <w:rPr>
          <w:rFonts w:ascii="Arial" w:eastAsia="Times New Roman" w:hAnsi="Arial" w:cs="Arial"/>
          <w:color w:val="000000" w:themeColor="text1"/>
          <w:sz w:val="20"/>
          <w:szCs w:val="20"/>
          <w:lang w:val="en-US" w:eastAsia="fr-FR"/>
        </w:rPr>
        <w:t>Mboppi</w:t>
      </w:r>
      <w:proofErr w:type="spellEnd"/>
      <w:r w:rsidR="00874FDF" w:rsidRPr="005B7291">
        <w:rPr>
          <w:rFonts w:ascii="Arial" w:eastAsia="Times New Roman" w:hAnsi="Arial" w:cs="Arial"/>
          <w:color w:val="000000" w:themeColor="text1"/>
          <w:sz w:val="20"/>
          <w:szCs w:val="20"/>
          <w:lang w:val="en-US" w:eastAsia="fr-FR"/>
        </w:rPr>
        <w:t xml:space="preserve"> district, Douala 1</w:t>
      </w:r>
      <w:r w:rsidR="00874FDF" w:rsidRPr="005B7291">
        <w:rPr>
          <w:rFonts w:ascii="Arial" w:eastAsia="Times New Roman" w:hAnsi="Arial" w:cs="Arial"/>
          <w:color w:val="000000" w:themeColor="text1"/>
          <w:sz w:val="20"/>
          <w:szCs w:val="20"/>
          <w:vertAlign w:val="superscript"/>
          <w:lang w:val="en-US" w:eastAsia="fr-FR"/>
        </w:rPr>
        <w:t>er</w:t>
      </w:r>
      <w:r w:rsidR="00874FDF" w:rsidRPr="005B7291">
        <w:rPr>
          <w:rFonts w:ascii="Arial" w:eastAsia="Times New Roman" w:hAnsi="Arial" w:cs="Arial"/>
          <w:color w:val="000000" w:themeColor="text1"/>
          <w:sz w:val="20"/>
          <w:szCs w:val="20"/>
          <w:lang w:val="en-US" w:eastAsia="fr-FR"/>
        </w:rPr>
        <w:t xml:space="preserve">. Both plant matrices were identified by the Cameroon </w:t>
      </w:r>
      <w:r w:rsidR="00861540" w:rsidRPr="005B7291">
        <w:rPr>
          <w:rFonts w:ascii="Arial" w:eastAsia="Times New Roman" w:hAnsi="Arial" w:cs="Arial"/>
          <w:color w:val="000000" w:themeColor="text1"/>
          <w:sz w:val="20"/>
          <w:szCs w:val="20"/>
          <w:lang w:val="en-US" w:eastAsia="fr-FR"/>
        </w:rPr>
        <w:t xml:space="preserve">herbarium: </w:t>
      </w:r>
    </w:p>
    <w:p w14:paraId="2D09E3BE" w14:textId="77777777" w:rsidR="00861540" w:rsidRPr="005B7291" w:rsidRDefault="00874FDF" w:rsidP="00861540">
      <w:pPr>
        <w:pStyle w:val="ListParagraph"/>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 xml:space="preserve">Corchorus </w:t>
      </w:r>
      <w:proofErr w:type="spellStart"/>
      <w:r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by comparison with the herbarium material of Westphal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3B01BBEF" w14:textId="423C1908" w:rsidR="00302617" w:rsidRPr="001313B4" w:rsidRDefault="00874FDF" w:rsidP="00302617">
      <w:pPr>
        <w:pStyle w:val="ListParagraph"/>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in comparison with the herbarium material of Westphal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5429345F" w14:textId="77777777" w:rsidR="00874FDF" w:rsidRPr="005250A4" w:rsidRDefault="00D14E63" w:rsidP="00874FDF">
      <w:pPr>
        <w:spacing w:before="100" w:beforeAutospacing="1" w:after="100" w:afterAutospacing="1" w:line="360" w:lineRule="auto"/>
        <w:jc w:val="both"/>
        <w:rPr>
          <w:rFonts w:ascii="Arial" w:eastAsia="Times New Roman" w:hAnsi="Arial" w:cs="Arial"/>
          <w:color w:val="000000" w:themeColor="text1"/>
          <w:lang w:val="en-US" w:eastAsia="fr-FR"/>
        </w:rPr>
      </w:pPr>
      <w:r w:rsidRPr="005250A4">
        <w:rPr>
          <w:rFonts w:ascii="Arial" w:eastAsia="Times New Roman" w:hAnsi="Arial" w:cs="Arial"/>
          <w:b/>
          <w:color w:val="000000" w:themeColor="text1"/>
          <w:lang w:val="en-US" w:eastAsia="fr-FR"/>
        </w:rPr>
        <w:t>2.2. Powder p</w:t>
      </w:r>
      <w:r w:rsidR="00874FDF" w:rsidRPr="005250A4">
        <w:rPr>
          <w:rFonts w:ascii="Arial" w:eastAsia="Times New Roman" w:hAnsi="Arial" w:cs="Arial"/>
          <w:b/>
          <w:color w:val="000000" w:themeColor="text1"/>
          <w:lang w:val="en-US" w:eastAsia="fr-FR"/>
        </w:rPr>
        <w:t>roduction</w:t>
      </w:r>
      <w:r w:rsidR="00874FDF" w:rsidRPr="005250A4">
        <w:rPr>
          <w:rFonts w:ascii="Arial" w:eastAsia="Times New Roman" w:hAnsi="Arial" w:cs="Arial"/>
          <w:color w:val="000000" w:themeColor="text1"/>
          <w:lang w:val="en-US" w:eastAsia="fr-FR"/>
        </w:rPr>
        <w:t xml:space="preserve"> </w:t>
      </w:r>
    </w:p>
    <w:p w14:paraId="4BCB0943" w14:textId="00B9B224" w:rsidR="00517436" w:rsidRPr="005B7291" w:rsidRDefault="00874FDF" w:rsidP="00CA0C4F">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Fresh, dark-green leaves and fresh, tender fruits (with seeds) were cleaned, washed, and cut into pieces smaller than 5 mm. The</w:t>
      </w:r>
      <w:r w:rsidR="000373A4" w:rsidRPr="005B7291">
        <w:rPr>
          <w:rFonts w:ascii="Arial" w:hAnsi="Arial" w:cs="Arial"/>
          <w:color w:val="000000" w:themeColor="text1"/>
          <w:sz w:val="20"/>
          <w:szCs w:val="20"/>
          <w:lang w:val="en-US"/>
        </w:rPr>
        <w:t xml:space="preserve"> samples</w:t>
      </w:r>
      <w:r w:rsidRPr="005B7291">
        <w:rPr>
          <w:rFonts w:ascii="Arial" w:hAnsi="Arial" w:cs="Arial"/>
          <w:color w:val="000000" w:themeColor="text1"/>
          <w:sz w:val="20"/>
          <w:szCs w:val="20"/>
          <w:lang w:val="en-US"/>
        </w:rPr>
        <w:t xml:space="preserve"> were dried at 30 and 35</w:t>
      </w:r>
      <w:r w:rsidR="000373A4" w:rsidRPr="005B7291">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°C for 5 and 10 hours, respectively, in a Stockli dehydrator, </w:t>
      </w:r>
      <w:proofErr w:type="spellStart"/>
      <w:r w:rsidRPr="005B7291">
        <w:rPr>
          <w:rFonts w:ascii="Arial" w:hAnsi="Arial" w:cs="Arial"/>
          <w:color w:val="000000" w:themeColor="text1"/>
          <w:sz w:val="20"/>
          <w:szCs w:val="20"/>
          <w:lang w:val="en-US"/>
        </w:rPr>
        <w:t>Dorrex</w:t>
      </w:r>
      <w:proofErr w:type="spellEnd"/>
      <w:r w:rsidRPr="005B7291">
        <w:rPr>
          <w:rFonts w:ascii="Arial" w:hAnsi="Arial" w:cs="Arial"/>
          <w:color w:val="000000" w:themeColor="text1"/>
          <w:sz w:val="20"/>
          <w:szCs w:val="20"/>
          <w:lang w:val="en-US"/>
        </w:rPr>
        <w:t>, France. The dehydrated materials were ground to a particle size smaller than 500 µm</w:t>
      </w:r>
      <w:r w:rsidR="00CA0C4F"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t</w:t>
      </w:r>
      <w:r w:rsidR="00CA0C4F" w:rsidRPr="005B7291">
        <w:rPr>
          <w:rFonts w:ascii="Arial" w:hAnsi="Arial" w:cs="Arial"/>
          <w:color w:val="000000" w:themeColor="text1"/>
          <w:sz w:val="20"/>
          <w:szCs w:val="20"/>
          <w:lang w:val="en-US"/>
        </w:rPr>
        <w:t xml:space="preserve">he particle size of the powders most commonly used by therapists), </w:t>
      </w:r>
      <w:r w:rsidRPr="005B7291">
        <w:rPr>
          <w:rFonts w:ascii="Arial" w:hAnsi="Arial" w:cs="Arial"/>
          <w:color w:val="000000" w:themeColor="text1"/>
          <w:sz w:val="20"/>
          <w:szCs w:val="20"/>
          <w:lang w:val="en-US"/>
        </w:rPr>
        <w:t>and the resulting powders were stored in opaque, airtight boxes at room temperature.</w:t>
      </w:r>
    </w:p>
    <w:p w14:paraId="472F26A2"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2.3. Determination</w:t>
      </w:r>
      <w:r w:rsidR="00D14E63" w:rsidRPr="005250A4">
        <w:rPr>
          <w:rFonts w:ascii="Arial" w:eastAsia="Times New Roman" w:hAnsi="Arial" w:cs="Arial"/>
          <w:b/>
          <w:color w:val="000000" w:themeColor="text1"/>
          <w:lang w:val="en-US" w:eastAsia="fr-FR"/>
        </w:rPr>
        <w:t xml:space="preserve"> of powder moisture c</w:t>
      </w:r>
      <w:r w:rsidRPr="005250A4">
        <w:rPr>
          <w:rFonts w:ascii="Arial" w:eastAsia="Times New Roman" w:hAnsi="Arial" w:cs="Arial"/>
          <w:b/>
          <w:color w:val="000000" w:themeColor="text1"/>
          <w:lang w:val="en-US" w:eastAsia="fr-FR"/>
        </w:rPr>
        <w:t xml:space="preserve">ontent </w:t>
      </w:r>
    </w:p>
    <w:p w14:paraId="76E9DFC7" w14:textId="097FD4A5"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moisture content of the plant powders was determined according to the Association of</w:t>
      </w:r>
      <w:r w:rsidR="00D14E63" w:rsidRPr="005B7291">
        <w:rPr>
          <w:rFonts w:ascii="Arial" w:eastAsia="Times New Roman" w:hAnsi="Arial" w:cs="Arial"/>
          <w:color w:val="000000" w:themeColor="text1"/>
          <w:sz w:val="20"/>
          <w:szCs w:val="20"/>
          <w:lang w:val="en-US" w:eastAsia="fr-FR"/>
        </w:rPr>
        <w:t xml:space="preserve"> Official Analytical Chemists</w:t>
      </w:r>
      <w:r w:rsidR="00451D5E" w:rsidRPr="005B7291">
        <w:rPr>
          <w:rFonts w:ascii="Arial" w:eastAsia="Times New Roman" w:hAnsi="Arial" w:cs="Arial"/>
          <w:color w:val="000000" w:themeColor="text1"/>
          <w:sz w:val="20"/>
          <w:szCs w:val="20"/>
          <w:lang w:val="en-US" w:eastAsia="fr-FR"/>
        </w:rPr>
        <w:t xml:space="preserve"> </w:t>
      </w:r>
      <w:r w:rsidR="00E91D2D" w:rsidRPr="005B7291">
        <w:rPr>
          <w:rFonts w:ascii="Arial" w:eastAsia="Times New Roman" w:hAnsi="Arial" w:cs="Arial"/>
          <w:color w:val="000000" w:themeColor="text1"/>
          <w:sz w:val="20"/>
          <w:szCs w:val="20"/>
          <w:lang w:val="en-US" w:eastAsia="fr-FR"/>
        </w:rPr>
        <w:t>method</w:t>
      </w:r>
      <w:r w:rsidR="00E91D2D">
        <w:rPr>
          <w:rFonts w:ascii="Arial" w:eastAsia="Times New Roman" w:hAnsi="Arial" w:cs="Arial"/>
          <w:color w:val="000000" w:themeColor="text1"/>
          <w:sz w:val="20"/>
          <w:szCs w:val="20"/>
          <w:lang w:val="en-US" w:eastAsia="fr-FR"/>
        </w:rPr>
        <w:t xml:space="preserve"> </w:t>
      </w:r>
      <w:r w:rsidR="00451D5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{"citationItems":[{"id":"ITEM-1","itemData":{"author":[{"dropping-particle":"","family":"AOAC","given":"","non-dropping-particle":"","parse-names":false,"suffix":""}],"container-title":"AOAC International, Gaitherburg","id":"ITEM-1","issued":{"date-parts":[["2011"]]},"number-of-pages":"2590","title":"Official methods of analysis of AOAC International","type":"book","volume":"18st"},"uris":["http://www.mendeley.com/documents/?uuid=5b832845-9697-48c1-9460-c895a503aa9b"]}],"mendeley":{"formattedCitation":"(AOAC, 2011)","plainTextFormattedCitation":"(AOAC, 2011)","previouslyFormattedCitation":"(AOAC, 2011)"},"properties":{"noteIndex":0},"schema":"https://github.com/citation-style-language/schema/raw/master/csl-citation.json"}</w:instrText>
      </w:r>
      <w:r w:rsidR="00451D5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(AOAC, 2011)</w:t>
      </w:r>
      <w:r w:rsidR="00451D5E" w:rsidRPr="005B7291">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w:t>
      </w:r>
    </w:p>
    <w:p w14:paraId="053AC7B6"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2.4. Determination of </w:t>
      </w:r>
      <w:r w:rsidR="000373A4" w:rsidRPr="005250A4">
        <w:rPr>
          <w:rFonts w:ascii="Arial" w:eastAsia="Times New Roman" w:hAnsi="Arial" w:cs="Arial"/>
          <w:b/>
          <w:color w:val="000000" w:themeColor="text1"/>
          <w:lang w:val="en-US" w:eastAsia="fr-FR"/>
        </w:rPr>
        <w:t xml:space="preserve">the </w:t>
      </w:r>
      <w:r w:rsidRPr="005250A4">
        <w:rPr>
          <w:rFonts w:ascii="Arial" w:eastAsia="Times New Roman" w:hAnsi="Arial" w:cs="Arial"/>
          <w:b/>
          <w:color w:val="000000" w:themeColor="text1"/>
          <w:lang w:val="en-US" w:eastAsia="fr-FR"/>
        </w:rPr>
        <w:t>nutrient content of p</w:t>
      </w:r>
      <w:r w:rsidR="00874FDF" w:rsidRPr="005250A4">
        <w:rPr>
          <w:rFonts w:ascii="Arial" w:eastAsia="Times New Roman" w:hAnsi="Arial" w:cs="Arial"/>
          <w:b/>
          <w:color w:val="000000" w:themeColor="text1"/>
          <w:lang w:val="en-US" w:eastAsia="fr-FR"/>
        </w:rPr>
        <w:t xml:space="preserve">owders </w:t>
      </w:r>
    </w:p>
    <w:p w14:paraId="3B0C52AE"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lastRenderedPageBreak/>
        <w:t>2.4.1. Mineral c</w:t>
      </w:r>
      <w:r w:rsidR="00874FDF" w:rsidRPr="005B7291">
        <w:rPr>
          <w:rFonts w:ascii="Arial" w:eastAsia="Times New Roman" w:hAnsi="Arial" w:cs="Arial"/>
          <w:b/>
          <w:color w:val="000000" w:themeColor="text1"/>
          <w:sz w:val="20"/>
          <w:szCs w:val="20"/>
          <w:lang w:val="en-US" w:eastAsia="fr-FR"/>
        </w:rPr>
        <w:t xml:space="preserve">ontents </w:t>
      </w:r>
    </w:p>
    <w:p w14:paraId="62CCB493" w14:textId="53059CB1" w:rsidR="004728BD" w:rsidRPr="005B7291" w:rsidRDefault="00AB643D" w:rsidP="00AB643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mineral </w:t>
      </w:r>
      <w:r w:rsidR="002E5822">
        <w:rPr>
          <w:rFonts w:ascii="Arial" w:eastAsia="Times New Roman" w:hAnsi="Arial" w:cs="Arial"/>
          <w:color w:val="000000" w:themeColor="text1"/>
          <w:sz w:val="20"/>
          <w:szCs w:val="20"/>
          <w:lang w:val="en-US" w:eastAsia="fr-FR"/>
        </w:rPr>
        <w:t xml:space="preserve">contents (Cu, Zn, Mn, Fe, Ca, Mg, K, and Na) of the plant powders were determined according to the </w:t>
      </w:r>
      <w:r w:rsidR="002E5822" w:rsidRPr="005B7291">
        <w:rPr>
          <w:rFonts w:ascii="Arial" w:eastAsia="Times New Roman" w:hAnsi="Arial" w:cs="Arial"/>
          <w:color w:val="000000" w:themeColor="text1"/>
          <w:sz w:val="20"/>
          <w:szCs w:val="20"/>
          <w:lang w:val="en-US" w:eastAsia="fr-FR"/>
        </w:rPr>
        <w:fldChar w:fldCharType="begin" w:fldLock="1"/>
      </w:r>
      <w:r w:rsidR="002E5822">
        <w:rPr>
          <w:rFonts w:ascii="Arial" w:eastAsia="Times New Roman" w:hAnsi="Arial" w:cs="Arial"/>
          <w:color w:val="000000" w:themeColor="text1"/>
          <w:sz w:val="20"/>
          <w:szCs w:val="20"/>
          <w:lang w:val="en-US" w:eastAsia="fr-FR"/>
        </w:rPr>
        <w:instrText>ADDIN CSL_CITATION {"citationItems":[{"id":"ITEM-1","itemData":{"DOI":"10.2307/2807624","ISSN":"0007196X","abstract":"This long awaited third edition of Phytochemical Methods is, as its predecessors, a key tool for undergraduates, research workers in plant biochemistry, plant taxonomists and any researchers in related areas where the analysis of organic plant components is key to their investigations. Phytochemistry is a rapidly expanding area with new techniques being developed and existing ones perfected and made easier to incorporate as standard methods in the laboratory. This latest edition includes descriptions of the most up-to-date methods such as HPLC and the increasingly sophisticated NMR and related spectral techniques. Other methods described are the use of NMR to locate substances within the plant cell and the chiral separation of essential oils. After an introductory chapter on methods of plant analysis, individual chapters describe methods of identifying the different type of plant molecules: phenolic compounds, terpenoids, organic acids, lipids and related compounds, nitrogen compounds, sugar and derivatives and macromolecules. Different methods are discussed and recommended, and guidance provided for the analysis of compounds of special physiological relevance such as endogenous growth regulators, substances of pharmacological interest and screening methods for the detection of substances for taxonomic purposes. It also includes an important bibliographic guide to specialized texts. This comprehensive book constitutes a unique and indispensable practical guide for any phytochemistry or related laboratory, and provides hands-on description of experimental techniques so that students and researchers can become familiar with these invaluable methods.","author":[{"dropping-particle":"","family":"Harborne","given":"Jeffrey B.","non-dropping-particle":"","parse-names":false,"suffix":""}],"container-title":"Brittonia","id":"ITEM-1","issue":"2","issued":{"date-parts":[["1998"]]},"number-of-pages":"XIV, 302","publisher":"Springer Dordrecht","title":"Phytochemical Methods: A Guide to Modern Techniques of Plant Analysis. Second Edition.","type":"book","volume":"42"},"uris":["http://www.mendeley.com/documents/?uuid=e144e3c6-3215-4dd5-971d-dfc938166f82"]}],"mendeley":{"formattedCitation":"(Harborne, 1998)","manualFormatting":"Harborne (1998)","plainTextFormattedCitation":"(Harborne, 1998)","previouslyFormattedCitation":"(Harborne, 1998)"},"properties":{"noteIndex":0},"schema":"https://github.com/citation-style-language/schema/raw/master/csl-citation.json"}</w:instrText>
      </w:r>
      <w:r w:rsidR="002E5822" w:rsidRPr="005B7291">
        <w:rPr>
          <w:rFonts w:ascii="Arial" w:eastAsia="Times New Roman" w:hAnsi="Arial" w:cs="Arial"/>
          <w:color w:val="000000" w:themeColor="text1"/>
          <w:sz w:val="20"/>
          <w:szCs w:val="20"/>
          <w:lang w:val="en-US" w:eastAsia="fr-FR"/>
        </w:rPr>
        <w:fldChar w:fldCharType="separate"/>
      </w:r>
      <w:r w:rsidR="002E5822" w:rsidRPr="00302617">
        <w:rPr>
          <w:rFonts w:ascii="Arial" w:eastAsia="Times New Roman" w:hAnsi="Arial" w:cs="Arial"/>
          <w:noProof/>
          <w:color w:val="000000" w:themeColor="text1"/>
          <w:sz w:val="20"/>
          <w:szCs w:val="20"/>
          <w:lang w:val="en-US" w:eastAsia="fr-FR"/>
        </w:rPr>
        <w:t>Harborne</w:t>
      </w:r>
      <w:r w:rsidR="002E5822">
        <w:rPr>
          <w:rFonts w:ascii="Arial" w:eastAsia="Times New Roman" w:hAnsi="Arial" w:cs="Arial"/>
          <w:noProof/>
          <w:color w:val="000000" w:themeColor="text1"/>
          <w:sz w:val="20"/>
          <w:szCs w:val="20"/>
          <w:lang w:val="en-US" w:eastAsia="fr-FR"/>
        </w:rPr>
        <w:t xml:space="preserve"> (</w:t>
      </w:r>
      <w:r w:rsidR="002E5822" w:rsidRPr="00302617">
        <w:rPr>
          <w:rFonts w:ascii="Arial" w:eastAsia="Times New Roman" w:hAnsi="Arial" w:cs="Arial"/>
          <w:noProof/>
          <w:color w:val="000000" w:themeColor="text1"/>
          <w:sz w:val="20"/>
          <w:szCs w:val="20"/>
          <w:lang w:val="en-US" w:eastAsia="fr-FR"/>
        </w:rPr>
        <w:t>1998)</w:t>
      </w:r>
      <w:r w:rsidR="002E5822" w:rsidRPr="005B7291">
        <w:rPr>
          <w:rFonts w:ascii="Arial" w:eastAsia="Times New Roman" w:hAnsi="Arial" w:cs="Arial"/>
          <w:color w:val="000000" w:themeColor="text1"/>
          <w:sz w:val="20"/>
          <w:szCs w:val="20"/>
          <w:lang w:val="en-US" w:eastAsia="fr-FR"/>
        </w:rPr>
        <w:fldChar w:fldCharType="end"/>
      </w:r>
      <w:r w:rsidR="002E5822">
        <w:rPr>
          <w:rFonts w:ascii="Arial" w:eastAsia="Times New Roman" w:hAnsi="Arial" w:cs="Arial"/>
          <w:color w:val="000000" w:themeColor="text1"/>
          <w:sz w:val="20"/>
          <w:szCs w:val="20"/>
          <w:lang w:val="en-US" w:eastAsia="fr-FR"/>
        </w:rPr>
        <w:t xml:space="preserve"> method. </w:t>
      </w:r>
    </w:p>
    <w:p w14:paraId="623863A9"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2.4.2. Available c</w:t>
      </w:r>
      <w:r w:rsidR="00874FDF" w:rsidRPr="005B7291">
        <w:rPr>
          <w:rFonts w:ascii="Arial" w:eastAsia="Times New Roman" w:hAnsi="Arial" w:cs="Arial"/>
          <w:b/>
          <w:color w:val="000000" w:themeColor="text1"/>
          <w:sz w:val="20"/>
          <w:szCs w:val="20"/>
          <w:lang w:val="en-US" w:eastAsia="fr-FR"/>
        </w:rPr>
        <w:t xml:space="preserve">arbohydrates </w:t>
      </w:r>
    </w:p>
    <w:p w14:paraId="4AFBE336" w14:textId="62EE7833" w:rsidR="002E5822" w:rsidRPr="005B7291" w:rsidRDefault="001002EA" w:rsidP="002E5822">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T</w:t>
      </w:r>
      <w:r w:rsidR="00E46855">
        <w:rPr>
          <w:rFonts w:ascii="Arial" w:hAnsi="Arial" w:cs="Arial"/>
          <w:color w:val="000000" w:themeColor="text1"/>
          <w:sz w:val="20"/>
          <w:szCs w:val="20"/>
          <w:lang w:val="en-US"/>
        </w:rPr>
        <w:t>he</w:t>
      </w:r>
      <w:r w:rsidRPr="005B7291">
        <w:rPr>
          <w:rFonts w:ascii="Arial" w:hAnsi="Arial" w:cs="Arial"/>
          <w:color w:val="000000" w:themeColor="text1"/>
          <w:sz w:val="20"/>
          <w:szCs w:val="20"/>
          <w:lang w:val="en-US"/>
        </w:rPr>
        <w:t xml:space="preserve"> available carbohydrates</w:t>
      </w:r>
      <w:r w:rsidR="00E46855">
        <w:rPr>
          <w:rFonts w:ascii="Arial" w:hAnsi="Arial" w:cs="Arial"/>
          <w:color w:val="000000" w:themeColor="text1"/>
          <w:sz w:val="20"/>
          <w:szCs w:val="20"/>
          <w:lang w:val="en-US"/>
        </w:rPr>
        <w:t xml:space="preserve"> were determined according to the</w:t>
      </w:r>
      <w:r w:rsidR="00AA286F" w:rsidRPr="005B7291">
        <w:rPr>
          <w:rFonts w:ascii="Arial" w:hAnsi="Arial" w:cs="Arial"/>
          <w:color w:val="000000" w:themeColor="text1"/>
          <w:sz w:val="20"/>
          <w:szCs w:val="20"/>
          <w:lang w:val="en-US"/>
        </w:rPr>
        <w:t xml:space="preserve"> </w:t>
      </w:r>
      <w:r w:rsidR="00AA286F"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{"citationItems":[{"id":"ITEM-1","itemData":{"author":[{"dropping-particle":"","family":"Fischer","given":"E","non-dropping-particle":"","parse-names":false,"suffix":""},{"dropping-particle":"","family":"Stein","given":"E A","non-dropping-particle":"","parse-names":false,"suffix":""}],"container-title":"Biochemical Preparation","id":"ITEM-1","issued":{"date-parts":[["1961"]]},"page":"30-37","title":"DNS colorimetric determination of available carbohydrates in foods","type":"article-journal","volume":"8"},"uris":["http://www.mendeley.com/documents/?uuid=b37fa618-6951-4a5c-8314-3032e5997043"]}],"mendeley":{"formattedCitation":"(Fischer &amp; Stein, 1961)","manualFormatting":"Fischer &amp; Stein (1961)","plainTextFormattedCitation":"(Fischer &amp; Stein, 1961)","previouslyFormattedCitation":"(Fischer &amp; Stein, 1961)"},"properties":{"noteIndex":0},"schema":"https://github.com/citation-style-language/schema/raw/master/csl-citation.json"}</w:instrText>
      </w:r>
      <w:r w:rsidR="00AA286F"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Fischer &amp; Stein</w:t>
      </w:r>
      <w:r w:rsidR="0030261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1961)</w:t>
      </w:r>
      <w:r w:rsidR="00AA286F" w:rsidRPr="005B7291">
        <w:rPr>
          <w:rFonts w:ascii="Arial" w:hAnsi="Arial" w:cs="Arial"/>
          <w:color w:val="000000" w:themeColor="text1"/>
          <w:sz w:val="20"/>
          <w:szCs w:val="20"/>
          <w:lang w:val="en-US"/>
        </w:rPr>
        <w:fldChar w:fldCharType="end"/>
      </w:r>
      <w:r w:rsidR="00E46855">
        <w:rPr>
          <w:rFonts w:ascii="Arial" w:hAnsi="Arial" w:cs="Arial"/>
          <w:color w:val="000000" w:themeColor="text1"/>
          <w:sz w:val="20"/>
          <w:szCs w:val="20"/>
          <w:lang w:val="en-US"/>
        </w:rPr>
        <w:t xml:space="preserve"> method</w:t>
      </w:r>
      <w:r w:rsidRPr="005B7291">
        <w:rPr>
          <w:rFonts w:ascii="Arial" w:hAnsi="Arial" w:cs="Arial"/>
          <w:color w:val="000000" w:themeColor="text1"/>
          <w:sz w:val="20"/>
          <w:szCs w:val="20"/>
          <w:lang w:val="en-US"/>
        </w:rPr>
        <w:t xml:space="preserve">. </w:t>
      </w:r>
    </w:p>
    <w:p w14:paraId="6C80382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2.4.3. Total l</w:t>
      </w:r>
      <w:r w:rsidR="00874FDF" w:rsidRPr="005B7291">
        <w:rPr>
          <w:rFonts w:ascii="Arial" w:eastAsia="Times New Roman" w:hAnsi="Arial" w:cs="Arial"/>
          <w:b/>
          <w:color w:val="000000" w:themeColor="text1"/>
          <w:sz w:val="20"/>
          <w:szCs w:val="20"/>
          <w:lang w:val="en-US" w:eastAsia="fr-FR"/>
        </w:rPr>
        <w:t>ipids</w:t>
      </w:r>
    </w:p>
    <w:p w14:paraId="0DF65821" w14:textId="4FB34901" w:rsidR="00DA118F" w:rsidRPr="005B7291" w:rsidRDefault="00DA118F" w:rsidP="005D256F">
      <w:pPr>
        <w:spacing w:after="0"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total lipid content </w:t>
      </w:r>
      <w:r w:rsidR="00235640" w:rsidRPr="005B7291">
        <w:rPr>
          <w:rFonts w:ascii="Arial" w:eastAsia="Times New Roman" w:hAnsi="Arial" w:cs="Arial"/>
          <w:color w:val="000000" w:themeColor="text1"/>
          <w:sz w:val="20"/>
          <w:szCs w:val="20"/>
          <w:lang w:val="en-US" w:eastAsia="fr-FR"/>
        </w:rPr>
        <w:t xml:space="preserve">was </w:t>
      </w:r>
      <w:r w:rsidRPr="005B7291">
        <w:rPr>
          <w:rFonts w:ascii="Arial" w:eastAsia="Times New Roman" w:hAnsi="Arial" w:cs="Arial"/>
          <w:color w:val="000000" w:themeColor="text1"/>
          <w:sz w:val="20"/>
          <w:szCs w:val="20"/>
          <w:lang w:val="en-US" w:eastAsia="fr-FR"/>
        </w:rPr>
        <w:t xml:space="preserve">determined using the hot extraction method in a </w:t>
      </w:r>
      <w:r w:rsidR="00235640"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oxhlet apparatus, as described b</w:t>
      </w:r>
      <w:r w:rsidR="00211939" w:rsidRPr="005B7291">
        <w:rPr>
          <w:rFonts w:ascii="Arial" w:eastAsia="Times New Roman" w:hAnsi="Arial" w:cs="Arial"/>
          <w:color w:val="000000" w:themeColor="text1"/>
          <w:sz w:val="20"/>
          <w:szCs w:val="20"/>
          <w:lang w:val="en-US" w:eastAsia="fr-FR"/>
        </w:rPr>
        <w:t>y</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{"citationItems":[{"id":"ITEM-1","itemData":{"author":[{"dropping-particle":"","family":"Bourely","given":"","non-dropping-particle":"","parse-names":false,"suffix":""}],"container-title":"Coton et Fibres Tropicales","id":"ITEM-1","issued":{"date-parts":[["1982"]]},"page":"183-196","title":"Observation sur le dosage de l’huile des graines de cotonnie","type":"article-journal","volume":"27"},"uris":["http://www.mendeley.com/documents/?uuid=7cef7f43-278c-4286-9512-295dedb6eeda"]}],"mendeley":{"formattedCitation":"(Bourely, 1982)","manualFormatting":"Bourely (1982)","plainTextFormattedCitation":"(Bourely, 1982)","previouslyFormattedCitation":"(Bourely, 1982)"},"properties":{"noteIndex":0},"schema":"https://github.com/citation-style-language/schema/raw/master/csl-citation.json"}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Bourely</w:t>
      </w:r>
      <w:r w:rsidR="0030261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1982)</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The dried powders, obtained by drying at 105 </w:t>
      </w:r>
      <w:r w:rsidR="0023564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C, </w:t>
      </w:r>
      <w:r w:rsidR="00235640" w:rsidRPr="005B7291">
        <w:rPr>
          <w:rFonts w:ascii="Arial" w:eastAsia="Times New Roman" w:hAnsi="Arial" w:cs="Arial"/>
          <w:color w:val="000000" w:themeColor="text1"/>
          <w:sz w:val="20"/>
          <w:szCs w:val="20"/>
          <w:lang w:val="en-US" w:eastAsia="fr-FR"/>
        </w:rPr>
        <w:t>were</w:t>
      </w:r>
      <w:r w:rsidRPr="005B7291">
        <w:rPr>
          <w:rFonts w:ascii="Arial" w:eastAsia="Times New Roman" w:hAnsi="Arial" w:cs="Arial"/>
          <w:color w:val="000000" w:themeColor="text1"/>
          <w:sz w:val="20"/>
          <w:szCs w:val="20"/>
          <w:lang w:val="en-US" w:eastAsia="fr-FR"/>
        </w:rPr>
        <w:t xml:space="preserve"> placed </w:t>
      </w:r>
      <w:r w:rsidR="00235640"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n numbered filter papers, dried, and weighed. Oil extraction </w:t>
      </w:r>
      <w:r w:rsidR="00235CDA" w:rsidRPr="005B7291">
        <w:rPr>
          <w:rFonts w:ascii="Arial" w:eastAsia="Times New Roman" w:hAnsi="Arial" w:cs="Arial"/>
          <w:color w:val="000000" w:themeColor="text1"/>
          <w:sz w:val="20"/>
          <w:szCs w:val="20"/>
          <w:lang w:val="en-US" w:eastAsia="fr-FR"/>
        </w:rPr>
        <w:t>was</w:t>
      </w:r>
      <w:r w:rsidRPr="005B7291">
        <w:rPr>
          <w:rFonts w:ascii="Arial" w:eastAsia="Times New Roman" w:hAnsi="Arial" w:cs="Arial"/>
          <w:color w:val="000000" w:themeColor="text1"/>
          <w:sz w:val="20"/>
          <w:szCs w:val="20"/>
          <w:lang w:val="en-US" w:eastAsia="fr-FR"/>
        </w:rPr>
        <w:t xml:space="preserve"> carried out using hexane in the Soxhlet apparatus for</w:t>
      </w:r>
      <w:r w:rsidR="00235CD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12 h. The oil content </w:t>
      </w:r>
      <w:r w:rsidR="00235CDA" w:rsidRPr="005B7291">
        <w:rPr>
          <w:rFonts w:ascii="Arial" w:eastAsia="Times New Roman" w:hAnsi="Arial" w:cs="Arial"/>
          <w:color w:val="000000" w:themeColor="text1"/>
          <w:sz w:val="20"/>
          <w:szCs w:val="20"/>
          <w:lang w:val="en-US" w:eastAsia="fr-FR"/>
        </w:rPr>
        <w:t>was</w:t>
      </w:r>
      <w:r w:rsidRPr="005B7291">
        <w:rPr>
          <w:rFonts w:ascii="Arial" w:eastAsia="Times New Roman" w:hAnsi="Arial" w:cs="Arial"/>
          <w:color w:val="000000" w:themeColor="text1"/>
          <w:sz w:val="20"/>
          <w:szCs w:val="20"/>
          <w:lang w:val="en-US" w:eastAsia="fr-FR"/>
        </w:rPr>
        <w:t xml:space="preserve"> calculated relative to the dry matter by the weight difference of the sachet before and after complete lipid extraction. The oil content (T</w:t>
      </w:r>
      <w:r w:rsidR="00235CDA" w:rsidRPr="005B7291">
        <w:rPr>
          <w:rFonts w:ascii="Arial" w:eastAsia="Times New Roman" w:hAnsi="Arial" w:cs="Arial"/>
          <w:color w:val="000000" w:themeColor="text1"/>
          <w:sz w:val="20"/>
          <w:szCs w:val="20"/>
          <w:vertAlign w:val="subscript"/>
          <w:lang w:val="en-US" w:eastAsia="fr-FR"/>
        </w:rPr>
        <w:t>L</w:t>
      </w:r>
      <w:r w:rsidRPr="005B7291">
        <w:rPr>
          <w:rFonts w:ascii="Arial" w:eastAsia="Times New Roman" w:hAnsi="Arial" w:cs="Arial"/>
          <w:color w:val="000000" w:themeColor="text1"/>
          <w:sz w:val="20"/>
          <w:szCs w:val="20"/>
          <w:lang w:val="en-US" w:eastAsia="fr-FR"/>
        </w:rPr>
        <w:t xml:space="preserve">) per 100 g of dry powder is given by the following formula: </w:t>
      </w:r>
    </w:p>
    <w:p w14:paraId="3E9FB37E" w14:textId="77777777" w:rsidR="00DA118F" w:rsidRPr="005B7291" w:rsidRDefault="00DA118F" w:rsidP="00D525FA">
      <w:pPr>
        <w:spacing w:before="100" w:beforeAutospacing="1" w:after="100" w:afterAutospacing="1" w:line="360" w:lineRule="auto"/>
        <w:jc w:val="center"/>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vertAlign w:val="subscript"/>
          <w:lang w:val="en-US" w:eastAsia="fr-FR"/>
        </w:rPr>
        <w:t>L</w:t>
      </w:r>
      <w:r w:rsidRPr="005B7291">
        <w:rPr>
          <w:rFonts w:ascii="Arial" w:eastAsia="Times New Roman" w:hAnsi="Arial" w:cs="Arial"/>
          <w:color w:val="000000" w:themeColor="text1"/>
          <w:sz w:val="20"/>
          <w:szCs w:val="20"/>
          <w:lang w:val="en-US" w:eastAsia="fr-FR"/>
        </w:rPr>
        <w:t xml:space="preserve"> = [(M</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xml:space="preserve"> − M) / (M</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xml:space="preserve"> − M</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 xml:space="preserve">)] </w:t>
      </w:r>
      <w:r w:rsidRPr="005B7291">
        <w:rPr>
          <w:rFonts w:ascii="Cambria Math" w:eastAsia="Times New Roman" w:hAnsi="Cambria Math" w:cs="Cambria Math"/>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100</w:t>
      </w:r>
    </w:p>
    <w:p w14:paraId="0FB5C9E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2.4.4. Total protein and a</w:t>
      </w:r>
      <w:r w:rsidR="00874FDF" w:rsidRPr="005B7291">
        <w:rPr>
          <w:rFonts w:ascii="Arial" w:eastAsia="Times New Roman" w:hAnsi="Arial" w:cs="Arial"/>
          <w:b/>
          <w:color w:val="000000" w:themeColor="text1"/>
          <w:sz w:val="20"/>
          <w:szCs w:val="20"/>
          <w:lang w:val="en-US" w:eastAsia="fr-FR"/>
        </w:rPr>
        <w:t>sh</w:t>
      </w:r>
    </w:p>
    <w:p w14:paraId="4C0EA629" w14:textId="1217242D"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protein content was determined by the Kjeldahl method </w:t>
      </w:r>
      <w:r w:rsidR="00A53F51"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1999)","plainTextFormattedCitation":"(AOAC, 1999)","previouslyFormattedCitation":"(AOAC, 1999)"},"properties":{"noteIndex":0},"schema":"https://github.com/citation-style-language/schema/raw/master/csl-citation.json"}</w:instrText>
      </w:r>
      <w:r w:rsidR="00A53F51"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(AOAC, 1999)</w:t>
      </w:r>
      <w:r w:rsidR="00A53F51" w:rsidRPr="005B7291">
        <w:rPr>
          <w:rFonts w:ascii="Arial" w:hAnsi="Arial" w:cs="Arial"/>
          <w:color w:val="000000" w:themeColor="text1"/>
          <w:sz w:val="20"/>
          <w:szCs w:val="20"/>
          <w:lang w:val="en-US"/>
        </w:rPr>
        <w:fldChar w:fldCharType="end"/>
      </w:r>
      <w:r w:rsidRPr="005B7291">
        <w:rPr>
          <w:rFonts w:ascii="Arial" w:eastAsia="Times New Roman" w:hAnsi="Arial" w:cs="Arial"/>
          <w:color w:val="000000" w:themeColor="text1"/>
          <w:sz w:val="20"/>
          <w:szCs w:val="20"/>
          <w:lang w:val="en-US" w:eastAsia="fr-FR"/>
        </w:rPr>
        <w:t>. 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ash content was determined after incineration of the powders according to the protocol described by </w:t>
      </w:r>
      <w:r w:rsidR="00235CDA" w:rsidRPr="005B7291">
        <w:rPr>
          <w:rFonts w:ascii="Arial" w:eastAsia="Times New Roman" w:hAnsi="Arial" w:cs="Arial"/>
          <w:color w:val="000000" w:themeColor="text1"/>
          <w:sz w:val="20"/>
          <w:szCs w:val="20"/>
          <w:lang w:val="en-US" w:eastAsia="fr-FR"/>
        </w:rPr>
        <w:t>the</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1999)","manualFormatting":"AOAC (1999)","plainTextFormattedCitation":"(AOAC, 1999)","previouslyFormattedCitation":"(AOAC, 1999)"},"properties":{"noteIndex":0},"schema":"https://github.com/citation-style-language/schema/raw/master/csl-citation.json"}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AOAC </w:t>
      </w:r>
      <w:r w:rsidR="0030261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1999)</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w:t>
      </w:r>
    </w:p>
    <w:p w14:paraId="69096289"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2.5. Crude f</w:t>
      </w:r>
      <w:r w:rsidR="00874FDF" w:rsidRPr="005250A4">
        <w:rPr>
          <w:rFonts w:ascii="Arial" w:eastAsia="Times New Roman" w:hAnsi="Arial" w:cs="Arial"/>
          <w:b/>
          <w:color w:val="000000" w:themeColor="text1"/>
          <w:lang w:val="en-US" w:eastAsia="fr-FR"/>
        </w:rPr>
        <w:t xml:space="preserve">ibers </w:t>
      </w:r>
    </w:p>
    <w:p w14:paraId="7601C646" w14:textId="7951E875" w:rsidR="00DA118F" w:rsidRPr="005B7291" w:rsidRDefault="007313D9" w:rsidP="00E46855">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crude fiber content of the powders was evaluated using the </w:t>
      </w:r>
      <w:proofErr w:type="spellStart"/>
      <w:r w:rsidRPr="005B7291">
        <w:rPr>
          <w:rFonts w:ascii="Arial" w:eastAsia="Times New Roman" w:hAnsi="Arial" w:cs="Arial"/>
          <w:color w:val="000000" w:themeColor="text1"/>
          <w:sz w:val="20"/>
          <w:szCs w:val="20"/>
          <w:lang w:val="en-US" w:eastAsia="fr-FR"/>
        </w:rPr>
        <w:t>Weende</w:t>
      </w:r>
      <w:proofErr w:type="spellEnd"/>
      <w:r w:rsidRPr="005B7291">
        <w:rPr>
          <w:rFonts w:ascii="Arial" w:eastAsia="Times New Roman" w:hAnsi="Arial" w:cs="Arial"/>
          <w:color w:val="000000" w:themeColor="text1"/>
          <w:sz w:val="20"/>
          <w:szCs w:val="20"/>
          <w:lang w:val="en-US" w:eastAsia="fr-FR"/>
        </w:rPr>
        <w:t xml:space="preserve"> </w:t>
      </w:r>
      <w:r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Wolff","given":"JP","non-dropping-particle":"","parse-names":false,"suffix":""}],"id":"ITEM-1","issued":{"date-parts":[["1968"]]},"number-of-pages":"552","publisher":"Azoulay","publisher-place":"Paris","title":"Manuel d’analyse des corps gras","type":"book"},"uris":["http://www.mendeley.com/documents/?uuid=824112ad-9227-4f03-a3e1-7b8275e59921"]}],"mendeley":{"formattedCitation":"(Wolff, 1968)","plainTextFormattedCitation":"(Wolff, 1968)","previouslyFormattedCitation":"(Wolff, 1968)"},"properties":{"noteIndex":0},"schema":"https://github.com/citation-style-language/schema/raw/master/csl-citation.json"}</w:instrText>
      </w:r>
      <w:r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(Wolff, 1968)</w:t>
      </w:r>
      <w:r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method. </w:t>
      </w:r>
    </w:p>
    <w:p w14:paraId="3D2068A3"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2.6. Determination of </w:t>
      </w:r>
      <w:r w:rsidR="00CB5C7D" w:rsidRPr="005250A4">
        <w:rPr>
          <w:rFonts w:ascii="Arial" w:eastAsia="Times New Roman" w:hAnsi="Arial" w:cs="Arial"/>
          <w:b/>
          <w:color w:val="000000" w:themeColor="text1"/>
          <w:lang w:val="en-US" w:eastAsia="fr-FR"/>
        </w:rPr>
        <w:t xml:space="preserve">the </w:t>
      </w:r>
      <w:r w:rsidR="00D82FDB" w:rsidRPr="005250A4">
        <w:rPr>
          <w:rFonts w:ascii="Arial" w:eastAsia="Times New Roman" w:hAnsi="Arial" w:cs="Arial"/>
          <w:b/>
          <w:color w:val="000000" w:themeColor="text1"/>
          <w:lang w:val="en-US" w:eastAsia="fr-FR"/>
        </w:rPr>
        <w:t>b</w:t>
      </w:r>
      <w:r w:rsidRPr="005250A4">
        <w:rPr>
          <w:rFonts w:ascii="Arial" w:eastAsia="Times New Roman" w:hAnsi="Arial" w:cs="Arial"/>
          <w:b/>
          <w:color w:val="000000" w:themeColor="text1"/>
          <w:lang w:val="en-US" w:eastAsia="fr-FR"/>
        </w:rPr>
        <w:t xml:space="preserve">ioactive </w:t>
      </w:r>
      <w:r w:rsidR="00D82FDB" w:rsidRPr="005250A4">
        <w:rPr>
          <w:rFonts w:ascii="Arial" w:eastAsia="Times New Roman" w:hAnsi="Arial" w:cs="Arial"/>
          <w:b/>
          <w:color w:val="000000" w:themeColor="text1"/>
          <w:lang w:val="en-US" w:eastAsia="fr-FR"/>
        </w:rPr>
        <w:t>compounds of p</w:t>
      </w:r>
      <w:r w:rsidRPr="005250A4">
        <w:rPr>
          <w:rFonts w:ascii="Arial" w:eastAsia="Times New Roman" w:hAnsi="Arial" w:cs="Arial"/>
          <w:b/>
          <w:color w:val="000000" w:themeColor="text1"/>
          <w:lang w:val="en-US" w:eastAsia="fr-FR"/>
        </w:rPr>
        <w:t xml:space="preserve">owders </w:t>
      </w:r>
    </w:p>
    <w:p w14:paraId="1F5AFCC6" w14:textId="77777777" w:rsidR="00874FDF" w:rsidRPr="005B7291" w:rsidRDefault="00D82FDB"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2.6.1. Phytochemical s</w:t>
      </w:r>
      <w:r w:rsidR="00874FDF" w:rsidRPr="005B7291">
        <w:rPr>
          <w:rFonts w:ascii="Arial" w:eastAsia="Times New Roman" w:hAnsi="Arial" w:cs="Arial"/>
          <w:b/>
          <w:color w:val="000000" w:themeColor="text1"/>
          <w:sz w:val="20"/>
          <w:szCs w:val="20"/>
          <w:lang w:val="en-US" w:eastAsia="fr-FR"/>
        </w:rPr>
        <w:t xml:space="preserve">creening </w:t>
      </w:r>
    </w:p>
    <w:p w14:paraId="009FFD51" w14:textId="3F46A834" w:rsidR="00A53F51" w:rsidRPr="005B7291" w:rsidRDefault="00874FDF" w:rsidP="00A53F51">
      <w:pPr>
        <w:spacing w:line="360" w:lineRule="auto"/>
        <w:jc w:val="both"/>
        <w:rPr>
          <w:rStyle w:val="markedcontent"/>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This analysis was carried out to identify the presence of classes of bioactive compounds contained in the powders. These include alkaloids, polyphenols, flavonoids, tannins, sterols, triterpenes, saponins, quinones, and anthraquinones. Qualitative analysis was carried out according to standard procedures</w:t>
      </w:r>
      <w:r w:rsidR="00E91D2D">
        <w:rPr>
          <w:rFonts w:ascii="Arial" w:eastAsia="Times New Roman" w:hAnsi="Arial" w:cs="Arial"/>
          <w:color w:val="000000" w:themeColor="text1"/>
          <w:sz w:val="20"/>
          <w:szCs w:val="20"/>
          <w:lang w:val="en-US" w:eastAsia="fr-FR"/>
        </w:rPr>
        <w:t xml:space="preserve"> </w:t>
      </w:r>
      <w:r w:rsidR="00E91D2D">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{"citationItems":[{"id":"ITEM-1","itemData":{"DOI":"10.2307/2807624","ISSN":"0007196X","abstract":"This long awaited third edition of Phytochemical Methods is, as its predecessors, a key tool for undergraduates, research workers in plant biochemistry, plant taxonomists and any researchers in related areas where the analysis of organic plant components is key to their investigations. Phytochemistry is a rapidly expanding area with new techniques being developed and existing ones perfected and made easier to incorporate as standard methods in the laboratory. This latest edition includes descriptions of the most up-to-date methods such as HPLC and the increasingly sophisticated NMR and related spectral techniques. Other methods described are the use of NMR to locate substances within the plant cell and the chiral separation of essential oils. After an introductory chapter on methods of plant analysis, individual chapters describe methods of identifying the different type of plant molecules: phenolic compounds, terpenoids, organic acids, lipids and related compounds, nitrogen compounds, sugar and derivatives and macromolecules. Different methods are discussed and recommended, and guidance provided for the analysis of compounds of special physiological relevance such as endogenous growth regulators, substances of pharmacological interest and screening methods for the detection of substances for taxonomic purposes. It also includes an important bibliographic guide to specialized texts. This comprehensive book constitutes a unique and indispensable practical guide for any phytochemistry or related laboratory, and provides hands-on description of experimental techniques so that students and researchers can become familiar with these invaluable methods.","author":[{"dropping-particle":"","family":"Harborne","given":"Jeffrey B.","non-dropping-particle":"","parse-names":false,"suffix":""}],"container-title":"Brittonia","id":"ITEM-1","issue":"2","issued":{"date-parts":[["1998"]]},"number-of-pages":"XIV, 302","publisher":"Springer Dordrecht","title":"Phytochemical Methods: A Guide to Modern Techniques of Plant Analysis. Second Edition.","type":"book","volume":"42"},"uris":["http://www.mendeley.com/documents/?uuid=e144e3c6-3215-4dd5-971d-dfc938166f82"]}],"mendeley":{"formattedCitation":"(Harborne, 1998)","manualFormatting":"(Harborne, 1998;","plainTextFormattedCitation":"(Harborne, 1998)","previouslyFormattedCitation":"(Harborne, 1998)"},"properties":{"noteIndex":0},"schema":"https://github.com/citation-style-language/schema/raw/master/csl-citation.json"}</w:instrText>
      </w:r>
      <w:r w:rsidR="00E91D2D">
        <w:rPr>
          <w:rFonts w:ascii="Arial" w:eastAsia="Times New Roman" w:hAnsi="Arial" w:cs="Arial"/>
          <w:color w:val="000000" w:themeColor="text1"/>
          <w:sz w:val="20"/>
          <w:szCs w:val="20"/>
          <w:lang w:val="en-US" w:eastAsia="fr-FR"/>
        </w:rPr>
        <w:fldChar w:fldCharType="separate"/>
      </w:r>
      <w:r w:rsidR="00E91D2D" w:rsidRPr="00E91D2D">
        <w:rPr>
          <w:rFonts w:ascii="Arial" w:eastAsia="Times New Roman" w:hAnsi="Arial" w:cs="Arial"/>
          <w:noProof/>
          <w:color w:val="000000" w:themeColor="text1"/>
          <w:sz w:val="20"/>
          <w:szCs w:val="20"/>
          <w:lang w:val="en-US" w:eastAsia="fr-FR"/>
        </w:rPr>
        <w:t>(Harborne, 1998</w:t>
      </w:r>
      <w:r w:rsidR="00E91D2D">
        <w:rPr>
          <w:rFonts w:ascii="Arial" w:eastAsia="Times New Roman" w:hAnsi="Arial" w:cs="Arial"/>
          <w:noProof/>
          <w:color w:val="000000" w:themeColor="text1"/>
          <w:sz w:val="20"/>
          <w:szCs w:val="20"/>
          <w:lang w:val="en-US" w:eastAsia="fr-FR"/>
        </w:rPr>
        <w:t>;</w:t>
      </w:r>
      <w:r w:rsidR="00E91D2D">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 xml:space="preserve"> </w:t>
      </w:r>
      <w:r w:rsidR="00E91D2D">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E91D2D">
        <w:rPr>
          <w:rFonts w:ascii="Arial" w:eastAsia="Times New Roman" w:hAnsi="Arial" w:cs="Arial"/>
          <w:color w:val="000000" w:themeColor="text1"/>
          <w:sz w:val="20"/>
          <w:szCs w:val="20"/>
          <w:lang w:val="en-US" w:eastAsia="fr-FR"/>
        </w:rPr>
        <w:fldChar w:fldCharType="separate"/>
      </w:r>
      <w:r w:rsidR="00E91D2D" w:rsidRPr="00E91D2D">
        <w:rPr>
          <w:rFonts w:ascii="Arial" w:eastAsia="Times New Roman" w:hAnsi="Arial" w:cs="Arial"/>
          <w:noProof/>
          <w:color w:val="000000" w:themeColor="text1"/>
          <w:sz w:val="20"/>
          <w:szCs w:val="20"/>
          <w:lang w:val="en-US" w:eastAsia="fr-FR"/>
        </w:rPr>
        <w:t>Senizza et al., 2021)</w:t>
      </w:r>
      <w:r w:rsidR="00E91D2D">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 xml:space="preserve">. </w:t>
      </w:r>
      <w:r w:rsidR="00A53F51" w:rsidRPr="00302617">
        <w:rPr>
          <w:rStyle w:val="markedcontent"/>
          <w:rFonts w:ascii="Arial" w:hAnsi="Arial" w:cs="Arial"/>
          <w:color w:val="FF0000"/>
          <w:sz w:val="20"/>
          <w:szCs w:val="20"/>
          <w:lang w:val="en-US"/>
        </w:rPr>
        <w:t xml:space="preserve">  </w:t>
      </w:r>
    </w:p>
    <w:p w14:paraId="14C5C78C"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2.6.2. Preparation of e</w:t>
      </w:r>
      <w:r w:rsidR="00874FDF" w:rsidRPr="005B7291">
        <w:rPr>
          <w:rFonts w:ascii="Arial" w:eastAsia="Times New Roman" w:hAnsi="Arial" w:cs="Arial"/>
          <w:b/>
          <w:color w:val="000000" w:themeColor="text1"/>
          <w:sz w:val="20"/>
          <w:szCs w:val="20"/>
          <w:lang w:val="en-US" w:eastAsia="fr-FR"/>
        </w:rPr>
        <w:t>xtracts</w:t>
      </w:r>
    </w:p>
    <w:p w14:paraId="02850567" w14:textId="678E51AF" w:rsidR="004728BD" w:rsidRPr="005B7291" w:rsidRDefault="004728BD"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method used for extraction followed </w:t>
      </w:r>
      <w:r w:rsidR="00CB5C7D" w:rsidRPr="005B7291">
        <w:rPr>
          <w:rFonts w:ascii="Arial" w:eastAsia="Times New Roman" w:hAnsi="Arial" w:cs="Arial"/>
          <w:color w:val="000000" w:themeColor="text1"/>
          <w:sz w:val="20"/>
          <w:szCs w:val="20"/>
          <w:lang w:val="en-US" w:eastAsia="fr-FR"/>
        </w:rPr>
        <w:t>that</w:t>
      </w:r>
      <w:r w:rsidR="00AA286F" w:rsidRPr="005B7291">
        <w:rPr>
          <w:rFonts w:ascii="Arial" w:eastAsia="Times New Roman" w:hAnsi="Arial" w:cs="Arial"/>
          <w:color w:val="000000" w:themeColor="text1"/>
          <w:sz w:val="20"/>
          <w:szCs w:val="20"/>
          <w:lang w:val="en-US" w:eastAsia="fr-FR"/>
        </w:rPr>
        <w:t xml:space="preserve"> of</w:t>
      </w:r>
      <w:r w:rsidR="000C51BE"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Senizza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2021)</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Maceration was employed as the extraction technique. The powders were extracted using methanol (at a ratio of 1:2, mass to volume) for </w:t>
      </w:r>
      <w:r w:rsidRPr="005B7291">
        <w:rPr>
          <w:rFonts w:ascii="Arial" w:eastAsia="Times New Roman" w:hAnsi="Arial" w:cs="Arial"/>
          <w:color w:val="000000" w:themeColor="text1"/>
          <w:sz w:val="20"/>
          <w:szCs w:val="20"/>
          <w:lang w:val="en-US" w:eastAsia="fr-FR"/>
        </w:rPr>
        <w:lastRenderedPageBreak/>
        <w:t>48 hours at room temperature. Methanol was chosen as the extraction solvent due to its reported effectiveness in extracting phytochemicals and antioxidants as noted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Ramamurthy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After extraction, the samples were filtered </w:t>
      </w:r>
      <w:r w:rsidR="00F517F3" w:rsidRPr="005B7291">
        <w:rPr>
          <w:rFonts w:ascii="Arial" w:eastAsia="Times New Roman" w:hAnsi="Arial" w:cs="Arial"/>
          <w:color w:val="000000" w:themeColor="text1"/>
          <w:sz w:val="20"/>
          <w:szCs w:val="20"/>
          <w:lang w:val="en-US" w:eastAsia="fr-FR"/>
        </w:rPr>
        <w:t>through</w:t>
      </w:r>
      <w:r w:rsidRPr="005B7291">
        <w:rPr>
          <w:rFonts w:ascii="Arial" w:eastAsia="Times New Roman" w:hAnsi="Arial" w:cs="Arial"/>
          <w:color w:val="000000" w:themeColor="text1"/>
          <w:sz w:val="20"/>
          <w:szCs w:val="20"/>
          <w:lang w:val="en-US" w:eastAsia="fr-FR"/>
        </w:rPr>
        <w:t xml:space="preserve"> Whatman No. 1 filter paper. The filtered extracts were then dried at 40</w:t>
      </w:r>
      <w:r w:rsidR="00F517F3"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°C using a rotary evaporator for 30 minutes. All extracts were stored in amber glass bottles at room temperature to prevent light-induced effects.</w:t>
      </w:r>
    </w:p>
    <w:p w14:paraId="442D0098" w14:textId="77777777" w:rsidR="0024798D" w:rsidRPr="005B7291" w:rsidRDefault="00756816"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2.6.3. Bioactive c</w:t>
      </w:r>
      <w:r w:rsidR="0024798D" w:rsidRPr="005B7291">
        <w:rPr>
          <w:rFonts w:ascii="Arial" w:eastAsia="Times New Roman" w:hAnsi="Arial" w:cs="Arial"/>
          <w:b/>
          <w:color w:val="000000" w:themeColor="text1"/>
          <w:sz w:val="20"/>
          <w:szCs w:val="20"/>
          <w:lang w:val="en-US" w:eastAsia="fr-FR"/>
        </w:rPr>
        <w:t>ompounds</w:t>
      </w:r>
    </w:p>
    <w:p w14:paraId="0D7CA3F3" w14:textId="4242A248" w:rsidR="0024798D" w:rsidRPr="005B7291" w:rsidRDefault="00722190"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2.6.3.1. </w:t>
      </w:r>
      <w:r w:rsidR="002457D2" w:rsidRPr="005B7291">
        <w:rPr>
          <w:rFonts w:ascii="Arial" w:eastAsia="Times New Roman" w:hAnsi="Arial" w:cs="Arial"/>
          <w:b/>
          <w:color w:val="000000" w:themeColor="text1"/>
          <w:sz w:val="20"/>
          <w:szCs w:val="20"/>
          <w:lang w:val="en-US" w:eastAsia="fr-FR"/>
        </w:rPr>
        <w:t>Total p</w:t>
      </w:r>
      <w:r w:rsidR="0024798D" w:rsidRPr="005B7291">
        <w:rPr>
          <w:rFonts w:ascii="Arial" w:eastAsia="Times New Roman" w:hAnsi="Arial" w:cs="Arial"/>
          <w:b/>
          <w:color w:val="000000" w:themeColor="text1"/>
          <w:sz w:val="20"/>
          <w:szCs w:val="20"/>
          <w:lang w:val="en-US" w:eastAsia="fr-FR"/>
        </w:rPr>
        <w:t xml:space="preserve">olyphenols </w:t>
      </w:r>
    </w:p>
    <w:p w14:paraId="01AA501D" w14:textId="4778F428" w:rsidR="00756816" w:rsidRPr="005B7291" w:rsidRDefault="00F517F3"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t</w:t>
      </w:r>
      <w:r w:rsidR="0024798D" w:rsidRPr="005B7291">
        <w:rPr>
          <w:rFonts w:ascii="Arial" w:eastAsia="Times New Roman" w:hAnsi="Arial" w:cs="Arial"/>
          <w:color w:val="000000" w:themeColor="text1"/>
          <w:sz w:val="20"/>
          <w:szCs w:val="20"/>
          <w:lang w:val="en-US" w:eastAsia="fr-FR"/>
        </w:rPr>
        <w:t>otal polyphenol content w</w:t>
      </w:r>
      <w:r w:rsidRPr="005B7291">
        <w:rPr>
          <w:rFonts w:ascii="Arial" w:eastAsia="Times New Roman" w:hAnsi="Arial" w:cs="Arial"/>
          <w:color w:val="000000" w:themeColor="text1"/>
          <w:sz w:val="20"/>
          <w:szCs w:val="20"/>
          <w:lang w:val="en-US" w:eastAsia="fr-FR"/>
        </w:rPr>
        <w:t>as</w:t>
      </w:r>
      <w:r w:rsidR="0024798D" w:rsidRPr="005B7291">
        <w:rPr>
          <w:rFonts w:ascii="Arial" w:eastAsia="Times New Roman" w:hAnsi="Arial" w:cs="Arial"/>
          <w:color w:val="000000" w:themeColor="text1"/>
          <w:sz w:val="20"/>
          <w:szCs w:val="20"/>
          <w:lang w:val="en-US" w:eastAsia="fr-FR"/>
        </w:rPr>
        <w:t xml:space="preserve">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2007)","manualFormatting":"Makkar et al. (2007)","plainTextFormattedCitation":"(Makkar et al., 2007)","previouslyFormattedCitation":"(Makkar et al., 2007)"},"properties":{"noteIndex":0},"schema":"https://github.com/citation-style-language/schema/raw/master/csl-citation.json"}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Makkar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2007)</w:t>
      </w:r>
      <w:r w:rsidR="000C51BE" w:rsidRPr="005B7291">
        <w:rPr>
          <w:rFonts w:ascii="Arial" w:eastAsia="Times New Roman" w:hAnsi="Arial" w:cs="Arial"/>
          <w:color w:val="000000" w:themeColor="text1"/>
          <w:sz w:val="20"/>
          <w:szCs w:val="20"/>
          <w:lang w:val="en-US" w:eastAsia="fr-FR"/>
        </w:rPr>
        <w:fldChar w:fldCharType="end"/>
      </w:r>
      <w:r w:rsidR="0024798D" w:rsidRPr="005B7291">
        <w:rPr>
          <w:rFonts w:ascii="Arial" w:eastAsia="Times New Roman" w:hAnsi="Arial" w:cs="Arial"/>
          <w:color w:val="000000" w:themeColor="text1"/>
          <w:sz w:val="20"/>
          <w:szCs w:val="20"/>
          <w:lang w:val="en-US" w:eastAsia="fr-FR"/>
        </w:rPr>
        <w:t xml:space="preserve"> with some modifications. An extract (100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was mixed with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l of Folin-</w:t>
      </w:r>
      <w:proofErr w:type="spellStart"/>
      <w:r w:rsidR="0024798D" w:rsidRPr="005B7291">
        <w:rPr>
          <w:rFonts w:ascii="Arial" w:eastAsia="Times New Roman" w:hAnsi="Arial" w:cs="Arial"/>
          <w:color w:val="000000" w:themeColor="text1"/>
          <w:sz w:val="20"/>
          <w:szCs w:val="20"/>
          <w:lang w:val="en-US" w:eastAsia="fr-FR"/>
        </w:rPr>
        <w:t>Ciocalteu</w:t>
      </w:r>
      <w:proofErr w:type="spellEnd"/>
      <w:r w:rsidR="0024798D" w:rsidRPr="005B7291">
        <w:rPr>
          <w:rFonts w:ascii="Arial" w:eastAsia="Times New Roman" w:hAnsi="Arial" w:cs="Arial"/>
          <w:color w:val="000000" w:themeColor="text1"/>
          <w:sz w:val="20"/>
          <w:szCs w:val="20"/>
          <w:lang w:val="en-US" w:eastAsia="fr-FR"/>
        </w:rPr>
        <w:t xml:space="preserve"> reagent (diluted ten times) and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7.5% sodium carbonate (w/v). The mixture was vortexed and incubated in the dark at room temperature for ten minutes. Approximately 1000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distilled water was added and </w:t>
      </w:r>
      <w:r w:rsidRPr="005B7291">
        <w:rPr>
          <w:rFonts w:ascii="Arial" w:eastAsia="Times New Roman" w:hAnsi="Arial" w:cs="Arial"/>
          <w:color w:val="000000" w:themeColor="text1"/>
          <w:sz w:val="20"/>
          <w:szCs w:val="20"/>
          <w:lang w:val="en-US" w:eastAsia="fr-FR"/>
        </w:rPr>
        <w:t xml:space="preserve">the mixture was </w:t>
      </w:r>
      <w:r w:rsidR="0024798D" w:rsidRPr="005B7291">
        <w:rPr>
          <w:rFonts w:ascii="Arial" w:eastAsia="Times New Roman" w:hAnsi="Arial" w:cs="Arial"/>
          <w:color w:val="000000" w:themeColor="text1"/>
          <w:sz w:val="20"/>
          <w:szCs w:val="20"/>
          <w:lang w:val="en-US" w:eastAsia="fr-FR"/>
        </w:rPr>
        <w:t xml:space="preserve">then vortexed. The absorbance was measured at 760 nm using a spectrophotometer (BK-UV1600 PC visible spectrometer, China). Total polyphenol contents were calculated against a calibration curve established using gallic acid as a standard and expressed in milligram </w:t>
      </w:r>
      <w:r w:rsidRPr="005B7291">
        <w:rPr>
          <w:rFonts w:ascii="Arial" w:eastAsia="Times New Roman" w:hAnsi="Arial" w:cs="Arial"/>
          <w:color w:val="000000" w:themeColor="text1"/>
          <w:sz w:val="20"/>
          <w:szCs w:val="20"/>
          <w:lang w:val="en-US" w:eastAsia="fr-FR"/>
        </w:rPr>
        <w:t>g</w:t>
      </w:r>
      <w:r w:rsidR="0024798D" w:rsidRPr="005B7291">
        <w:rPr>
          <w:rFonts w:ascii="Arial" w:eastAsia="Times New Roman" w:hAnsi="Arial" w:cs="Arial"/>
          <w:color w:val="000000" w:themeColor="text1"/>
          <w:sz w:val="20"/>
          <w:szCs w:val="20"/>
          <w:lang w:val="en-US" w:eastAsia="fr-FR"/>
        </w:rPr>
        <w:t xml:space="preserve">allic </w:t>
      </w:r>
      <w:r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lang w:val="en-US" w:eastAsia="fr-FR"/>
        </w:rPr>
        <w:t xml:space="preserve">cid </w:t>
      </w:r>
      <w:r w:rsidRPr="005B7291">
        <w:rPr>
          <w:rFonts w:ascii="Arial" w:eastAsia="Times New Roman" w:hAnsi="Arial" w:cs="Arial"/>
          <w:color w:val="000000" w:themeColor="text1"/>
          <w:sz w:val="20"/>
          <w:szCs w:val="20"/>
          <w:lang w:val="en-US" w:eastAsia="fr-FR"/>
        </w:rPr>
        <w:t>e</w:t>
      </w:r>
      <w:r w:rsidR="0024798D" w:rsidRPr="005B7291">
        <w:rPr>
          <w:rFonts w:ascii="Arial" w:eastAsia="Times New Roman" w:hAnsi="Arial" w:cs="Arial"/>
          <w:color w:val="000000" w:themeColor="text1"/>
          <w:sz w:val="20"/>
          <w:szCs w:val="20"/>
          <w:lang w:val="en-US" w:eastAsia="fr-FR"/>
        </w:rPr>
        <w:t xml:space="preserve">quivalent per gram of </w:t>
      </w:r>
      <w:r w:rsidRPr="005B7291">
        <w:rPr>
          <w:rFonts w:ascii="Arial" w:eastAsia="Times New Roman" w:hAnsi="Arial" w:cs="Arial"/>
          <w:color w:val="000000" w:themeColor="text1"/>
          <w:sz w:val="20"/>
          <w:szCs w:val="20"/>
          <w:lang w:val="en-US" w:eastAsia="fr-FR"/>
        </w:rPr>
        <w:t>d</w:t>
      </w:r>
      <w:r w:rsidR="0024798D" w:rsidRPr="005B7291">
        <w:rPr>
          <w:rFonts w:ascii="Arial" w:eastAsia="Times New Roman" w:hAnsi="Arial" w:cs="Arial"/>
          <w:color w:val="000000" w:themeColor="text1"/>
          <w:sz w:val="20"/>
          <w:szCs w:val="20"/>
          <w:lang w:val="en-US" w:eastAsia="fr-FR"/>
        </w:rPr>
        <w:t xml:space="preserve">ry </w:t>
      </w:r>
      <w:r w:rsidRPr="005B7291">
        <w:rPr>
          <w:rFonts w:ascii="Arial" w:eastAsia="Times New Roman" w:hAnsi="Arial" w:cs="Arial"/>
          <w:color w:val="000000" w:themeColor="text1"/>
          <w:sz w:val="20"/>
          <w:szCs w:val="20"/>
          <w:lang w:val="en-US" w:eastAsia="fr-FR"/>
        </w:rPr>
        <w:t>m</w:t>
      </w:r>
      <w:r w:rsidR="0024798D" w:rsidRPr="005B7291">
        <w:rPr>
          <w:rFonts w:ascii="Arial" w:eastAsia="Times New Roman" w:hAnsi="Arial" w:cs="Arial"/>
          <w:color w:val="000000" w:themeColor="text1"/>
          <w:sz w:val="20"/>
          <w:szCs w:val="20"/>
          <w:lang w:val="en-US" w:eastAsia="fr-FR"/>
        </w:rPr>
        <w:t>atter (mg GAE/g DM).</w:t>
      </w:r>
    </w:p>
    <w:p w14:paraId="7DD009CD" w14:textId="5D9E83D9" w:rsidR="0024798D" w:rsidRPr="005B7291" w:rsidRDefault="002457D2" w:rsidP="00722190">
      <w:pPr>
        <w:pStyle w:val="ListParagraph"/>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Total f</w:t>
      </w:r>
      <w:r w:rsidR="0024798D" w:rsidRPr="005B7291">
        <w:rPr>
          <w:rFonts w:ascii="Arial" w:eastAsia="Times New Roman" w:hAnsi="Arial" w:cs="Arial"/>
          <w:b/>
          <w:color w:val="000000" w:themeColor="text1"/>
          <w:sz w:val="20"/>
          <w:szCs w:val="20"/>
          <w:lang w:val="en-US" w:eastAsia="fr-FR"/>
        </w:rPr>
        <w:t>lavonoids</w:t>
      </w:r>
    </w:p>
    <w:p w14:paraId="3114F031" w14:textId="442FDAE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Total flavonoid contents were determined according to</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{"citationItems":[{"id":"ITEM-1","itemData":{"DOI":"10.38212/2224-6614.2748","ISSN":"10219498","abstract":"Flavonoids, with various biological activities, are considered as key compounds in propolis. In this study, quantitative determinations of flavonoids in propolis were conducted by two complementary colorimetric methods, aluminum chloride method and 2,4-dinitrophenylhydrazine method. Results suggested that the sum of flavonoid contents determined by the above two individual methods may represent the real content of total flavonoids. In this work, six raw propolis samples were investigated and the total contents of flavonoids ranged from 10.38 ± 0.14% to 24.91 ± 0.53%. As for the 12 commercial propolis products examined, the levels of total flavonoids in tinctures were all below 7% and those in powdery products varied from 2.97 ± 0.05% to 22.73 ± 0.72%.","author":[{"dropping-particle":"","family":"Chang","given":"Chia Chi","non-dropping-particle":"","parse-names":false,"suffix":""},{"dropping-particle":"","family":"Yang","given":"Ming Hua","non-dropping-particle":"","parse-names":false,"suffix":""},{"dropping-particle":"","family":"Wen","given":"Hwei Mei","non-dropping-particle":"","parse-names":false,"suffix":""},{"dropping-particle":"","family":"Chern","given":"Jiing Chuan","non-dropping-particle":"","parse-names":false,"suffix":""}],"container-title":"Journal of Food and Drug Analysis","id":"ITEM-1","issue":"3","issued":{"date-parts":[["2002"]]},"page":"178-182","title":"Estimation of total flavonoid content in propolis by two complementary colometric methods","type":"article-journal","volume":"10"},"uris":["http://www.mendeley.com/documents/?uuid=ddbecf23-17fb-4238-a54c-8b52544654a8"]}],"mendeley":{"formattedCitation":"(C. C. Chang et al., 2002)","manualFormatting":"Chang et al. (2002)","plainTextFormattedCitation":"(C. C. Chang et al., 2002)","previouslyFormattedCitation":"(C. C. Chang et al., 2002)"},"properties":{"noteIndex":0},"schema":"https://github.com/citation-style-language/schema/raw/master/csl-citation.json"}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Chang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with slight modifications. An extract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was mixed with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l of freshly prepared aluminum chloride solution (2% w/v). The mixture was incubated in the dark at room temperature for fifteen minutes. The absorbance was measured at 430 nm using a spectrophotometer (BK-UV1600 PC visible spectrometer, China). Total flavonoid contents were calculated against a calibration curve and expressed in milligram</w:t>
      </w:r>
      <w:r w:rsidR="00AC2CAF"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 xml:space="preserve"> </w:t>
      </w:r>
      <w:r w:rsidR="00AC2CAF" w:rsidRPr="005B7291">
        <w:rPr>
          <w:rFonts w:ascii="Arial" w:eastAsia="Times New Roman" w:hAnsi="Arial" w:cs="Arial"/>
          <w:color w:val="000000" w:themeColor="text1"/>
          <w:sz w:val="20"/>
          <w:szCs w:val="20"/>
          <w:lang w:val="en-US" w:eastAsia="fr-FR"/>
        </w:rPr>
        <w:t>q</w:t>
      </w:r>
      <w:r w:rsidRPr="005B7291">
        <w:rPr>
          <w:rFonts w:ascii="Arial" w:eastAsia="Times New Roman" w:hAnsi="Arial" w:cs="Arial"/>
          <w:color w:val="000000" w:themeColor="text1"/>
          <w:sz w:val="20"/>
          <w:szCs w:val="20"/>
          <w:lang w:val="en-US" w:eastAsia="fr-FR"/>
        </w:rPr>
        <w:t xml:space="preserve">uercetin </w:t>
      </w:r>
      <w:r w:rsidR="00AC2CAF"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AC2CAF"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AC2CAF"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 xml:space="preserve">atter (mg QE/g DM). </w:t>
      </w:r>
    </w:p>
    <w:p w14:paraId="0B4F4A6A" w14:textId="7A217AA6" w:rsidR="0046668E" w:rsidRPr="005B7291" w:rsidRDefault="0024798D" w:rsidP="00722190">
      <w:pPr>
        <w:pStyle w:val="ListParagraph"/>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Condensed </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 xml:space="preserve">annins </w:t>
      </w:r>
    </w:p>
    <w:p w14:paraId="7BE68A56" w14:textId="202FC2D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Condensed tannin contents were evaluated using the modified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2380-2391.1000158","author":[{"dropping-particle":"","family":"Ogboru","given":"RO","non-dropping-particle":"","parse-names":false,"suffix":""},{"dropping-particle":"","family":"Okolie","given":"PL","non-dropping-particle":"","parse-names":false,"suffix":""},{"dropping-particle":"","family":"Agboje","given":"I","non-dropping-particle":"","parse-names":false,"suffix":""}],"container-title":"Environmental Analytical Chemistry","id":"ITEM-1","issue":"5","issued":{"date-parts":[["2015"]]},"page":"2-4","title":"Phytochemical Screening and Medicinal Potentials of the Bark of","type":"article-journal","volume":"2"},"uris":["http://www.mendeley.com/documents/?uuid=585c7650-b9c2-4d36-8718-cf18b296aece"]}],"mendeley":{"formattedCitation":"(Ogboru et al., 2015)","manualFormatting":"Ogboru et al. (2015)","plainTextFormattedCitation":"(Ogboru et al., 2015)","previouslyFormattedCitation":"(Ogboru et al., 2015)"},"properties":{"noteIndex":0},"schema":"https://github.com/citation-style-language/schema/raw/master/csl-citation.json"}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Ogboru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To 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of extract, 3 ml of 4% (w/v) vanillin in methanol (80%) was added. This was followed by the addition of 750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t>
      </w:r>
      <w:r w:rsidR="000103B6"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 xml:space="preserve">concentrated hydrochloric acid and </w:t>
      </w:r>
      <w:proofErr w:type="spellStart"/>
      <w:r w:rsidRPr="005B7291">
        <w:rPr>
          <w:rFonts w:ascii="Arial" w:eastAsia="Times New Roman" w:hAnsi="Arial" w:cs="Arial"/>
          <w:color w:val="000000" w:themeColor="text1"/>
          <w:sz w:val="20"/>
          <w:szCs w:val="20"/>
          <w:lang w:val="en-US" w:eastAsia="fr-FR"/>
        </w:rPr>
        <w:t>vortex</w:t>
      </w:r>
      <w:r w:rsidR="000103B6" w:rsidRPr="005B7291">
        <w:rPr>
          <w:rFonts w:ascii="Arial" w:eastAsia="Times New Roman" w:hAnsi="Arial" w:cs="Arial"/>
          <w:color w:val="000000" w:themeColor="text1"/>
          <w:sz w:val="20"/>
          <w:szCs w:val="20"/>
          <w:lang w:val="en-US" w:eastAsia="fr-FR"/>
        </w:rPr>
        <w:t>ing</w:t>
      </w:r>
      <w:proofErr w:type="spellEnd"/>
      <w:r w:rsidRPr="005B7291">
        <w:rPr>
          <w:rFonts w:ascii="Arial" w:eastAsia="Times New Roman" w:hAnsi="Arial" w:cs="Arial"/>
          <w:color w:val="000000" w:themeColor="text1"/>
          <w:sz w:val="20"/>
          <w:szCs w:val="20"/>
          <w:lang w:val="en-US" w:eastAsia="fr-FR"/>
        </w:rPr>
        <w:t>. The mixture was incubated at 30</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˚C for 20 min. The absorbance was read at 550 nm by UV/visible spectrophotometry (BK-UV1600 PC visible spectrometer, China) against the </w:t>
      </w:r>
      <w:proofErr w:type="spellStart"/>
      <w:r w:rsidRPr="005B7291">
        <w:rPr>
          <w:rFonts w:ascii="Arial" w:eastAsia="Times New Roman" w:hAnsi="Arial" w:cs="Arial"/>
          <w:color w:val="000000" w:themeColor="text1"/>
          <w:sz w:val="20"/>
          <w:szCs w:val="20"/>
          <w:lang w:val="en-US" w:eastAsia="fr-FR"/>
        </w:rPr>
        <w:t>hydromethanolic</w:t>
      </w:r>
      <w:proofErr w:type="spellEnd"/>
      <w:r w:rsidRPr="005B7291">
        <w:rPr>
          <w:rFonts w:ascii="Arial" w:eastAsia="Times New Roman" w:hAnsi="Arial" w:cs="Arial"/>
          <w:color w:val="000000" w:themeColor="text1"/>
          <w:sz w:val="20"/>
          <w:szCs w:val="20"/>
          <w:lang w:val="en-US" w:eastAsia="fr-FR"/>
        </w:rPr>
        <w:t xml:space="preserve"> solvent (70/30) as a blank. Tannin contents were calculated from a standard curve prepared using a standard solution of catechin (0.2 g/l). The results were expressed as milligram</w:t>
      </w:r>
      <w:r w:rsidR="000103B6" w:rsidRPr="005B7291">
        <w:rPr>
          <w:rFonts w:ascii="Arial" w:eastAsia="Times New Roman" w:hAnsi="Arial" w:cs="Arial"/>
          <w:color w:val="000000" w:themeColor="text1"/>
          <w:sz w:val="20"/>
          <w:szCs w:val="20"/>
          <w:lang w:val="en-US" w:eastAsia="fr-FR"/>
        </w:rPr>
        <w:t>s c</w:t>
      </w:r>
      <w:r w:rsidRPr="005B7291">
        <w:rPr>
          <w:rFonts w:ascii="Arial" w:eastAsia="Times New Roman" w:hAnsi="Arial" w:cs="Arial"/>
          <w:color w:val="000000" w:themeColor="text1"/>
          <w:sz w:val="20"/>
          <w:szCs w:val="20"/>
          <w:lang w:val="en-US" w:eastAsia="fr-FR"/>
        </w:rPr>
        <w:t xml:space="preserve">atechin </w:t>
      </w:r>
      <w:r w:rsidR="000103B6"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0103B6"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0103B6"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atter (mg CE/g DM).</w:t>
      </w:r>
    </w:p>
    <w:p w14:paraId="56561088" w14:textId="77777777" w:rsidR="0024798D" w:rsidRPr="00EE53C4" w:rsidRDefault="0024798D" w:rsidP="0024798D">
      <w:pPr>
        <w:spacing w:before="100" w:beforeAutospacing="1" w:after="100" w:afterAutospacing="1" w:line="360" w:lineRule="auto"/>
        <w:jc w:val="both"/>
        <w:rPr>
          <w:rFonts w:ascii="Arial" w:eastAsia="Times New Roman" w:hAnsi="Arial" w:cs="Arial"/>
          <w:b/>
          <w:color w:val="000000" w:themeColor="text1"/>
          <w:lang w:val="en-US" w:eastAsia="fr-FR"/>
        </w:rPr>
      </w:pPr>
      <w:r w:rsidRPr="00EE53C4">
        <w:rPr>
          <w:rFonts w:ascii="Arial" w:eastAsia="Times New Roman" w:hAnsi="Arial" w:cs="Arial"/>
          <w:b/>
          <w:color w:val="000000" w:themeColor="text1"/>
          <w:lang w:val="en-US" w:eastAsia="fr-FR"/>
        </w:rPr>
        <w:t>2.7</w:t>
      </w:r>
      <w:r w:rsidR="002457D2" w:rsidRPr="00EE53C4">
        <w:rPr>
          <w:rFonts w:ascii="Arial" w:eastAsia="Times New Roman" w:hAnsi="Arial" w:cs="Arial"/>
          <w:b/>
          <w:color w:val="000000" w:themeColor="text1"/>
          <w:lang w:val="en-US" w:eastAsia="fr-FR"/>
        </w:rPr>
        <w:t>. Determination of antioxidant a</w:t>
      </w:r>
      <w:r w:rsidRPr="00EE53C4">
        <w:rPr>
          <w:rFonts w:ascii="Arial" w:eastAsia="Times New Roman" w:hAnsi="Arial" w:cs="Arial"/>
          <w:b/>
          <w:color w:val="000000" w:themeColor="text1"/>
          <w:lang w:val="en-US" w:eastAsia="fr-FR"/>
        </w:rPr>
        <w:t xml:space="preserve">ctivities </w:t>
      </w:r>
    </w:p>
    <w:p w14:paraId="3EC52505"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2.7.1. 2,2-Diphenyl-1-picrylhydrazyl (DPP</w:t>
      </w:r>
      <w:r w:rsidR="002457D2" w:rsidRPr="005B7291">
        <w:rPr>
          <w:rFonts w:ascii="Arial" w:eastAsia="Times New Roman" w:hAnsi="Arial" w:cs="Arial"/>
          <w:b/>
          <w:color w:val="000000" w:themeColor="text1"/>
          <w:sz w:val="20"/>
          <w:szCs w:val="20"/>
          <w:lang w:val="en-US" w:eastAsia="fr-FR"/>
        </w:rPr>
        <w:t xml:space="preserve">H) Radical Scavenging Activity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2C2A1512" w14:textId="1DE8E58F" w:rsidR="00AD3ADF" w:rsidRPr="005B7291" w:rsidRDefault="0024798D" w:rsidP="00AD3A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lastRenderedPageBreak/>
        <w:t>The radical-scavenging activity was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Ramamurthy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000103B6" w:rsidRPr="005B7291">
        <w:rPr>
          <w:rFonts w:ascii="Arial" w:eastAsia="Times New Roman" w:hAnsi="Arial" w:cs="Arial"/>
          <w:color w:val="000000" w:themeColor="text1"/>
          <w:sz w:val="20"/>
          <w:szCs w:val="20"/>
          <w:lang w:val="en-US" w:eastAsia="fr-FR"/>
        </w:rPr>
        <w:t>The</w:t>
      </w:r>
      <w:r w:rsidRPr="005B7291">
        <w:rPr>
          <w:rFonts w:ascii="Arial" w:eastAsia="Times New Roman" w:hAnsi="Arial" w:cs="Arial"/>
          <w:color w:val="000000" w:themeColor="text1"/>
          <w:sz w:val="20"/>
          <w:szCs w:val="20"/>
          <w:lang w:val="en-US" w:eastAsia="fr-FR"/>
        </w:rPr>
        <w:t xml:space="preserve"> extract (0.3</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ml) was mixed with 2.7 ml of 0.5 mM methanolic 1,1-diphenyl-2-picrylhydrazyl (DPPH). The reaction mixture was incubated at 37 °C for 30 min</w:t>
      </w:r>
      <w:r w:rsidR="000103B6"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the absorbance was measured spectrophotometrically at 517 nm. </w:t>
      </w:r>
      <w:r w:rsidR="00AD3ADF" w:rsidRPr="005B7291">
        <w:rPr>
          <w:rFonts w:ascii="Arial" w:hAnsi="Arial" w:cs="Arial"/>
          <w:color w:val="000000" w:themeColor="text1"/>
          <w:sz w:val="20"/>
          <w:szCs w:val="20"/>
          <w:lang w:val="en-US"/>
        </w:rPr>
        <w:t>The radical-scavenging activity (IC</w:t>
      </w:r>
      <w:r w:rsidR="00AD3ADF" w:rsidRPr="005B7291">
        <w:rPr>
          <w:rFonts w:ascii="Arial" w:hAnsi="Arial" w:cs="Arial"/>
          <w:color w:val="000000" w:themeColor="text1"/>
          <w:sz w:val="20"/>
          <w:szCs w:val="20"/>
          <w:vertAlign w:val="subscript"/>
          <w:lang w:val="en-US"/>
        </w:rPr>
        <w:t>50</w:t>
      </w:r>
      <w:r w:rsidR="00AD3ADF" w:rsidRPr="005B7291">
        <w:rPr>
          <w:rFonts w:ascii="Arial" w:hAnsi="Arial" w:cs="Arial"/>
          <w:color w:val="000000" w:themeColor="text1"/>
          <w:sz w:val="20"/>
          <w:szCs w:val="20"/>
          <w:lang w:val="en-US"/>
        </w:rPr>
        <w:t>) of the extract, expressed in µg/ml, required to reduce the total free DPPH radical by 50% was determined based on the percentage inhibition of DPPH (discoloration). This assessment was performed using the following equation:</w:t>
      </w:r>
    </w:p>
    <w:p w14:paraId="65772EBA" w14:textId="77777777" w:rsidR="002457D2" w:rsidRPr="005B7291" w:rsidRDefault="002457D2" w:rsidP="002457D2">
      <w:pPr>
        <w:spacing w:before="240" w:line="360" w:lineRule="auto"/>
        <w:jc w:val="both"/>
        <w:rPr>
          <w:rFonts w:ascii="Arial" w:hAnsi="Arial" w:cs="Arial"/>
          <w:color w:val="000000" w:themeColor="text1"/>
          <w:sz w:val="20"/>
          <w:szCs w:val="20"/>
        </w:rPr>
      </w:pPr>
      <m:oMathPara>
        <m:oMath>
          <m:r>
            <m:rPr>
              <m:sty m:val="p"/>
            </m:rPr>
            <w:rPr>
              <w:rFonts w:ascii="Cambria Math" w:hAnsi="Cambria Math" w:cs="Arial"/>
              <w:color w:val="000000" w:themeColor="text1"/>
              <w:sz w:val="20"/>
              <w:szCs w:val="20"/>
              <w:lang w:val="en-US"/>
            </w:rPr>
            <m:t xml:space="preserve">  </m:t>
          </m:r>
          <m:r>
            <m:rPr>
              <m:sty m:val="p"/>
            </m:rPr>
            <w:rPr>
              <w:rFonts w:ascii="Cambria Math" w:hAnsi="Cambria Math" w:cs="Arial"/>
              <w:color w:val="000000" w:themeColor="text1"/>
              <w:sz w:val="20"/>
              <w:szCs w:val="20"/>
            </w:rPr>
            <m:t>% Inhibition DPPH=[(</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 x 100</m:t>
          </m:r>
        </m:oMath>
      </m:oMathPara>
    </w:p>
    <w:p w14:paraId="28487196" w14:textId="77777777" w:rsidR="0024798D" w:rsidRPr="005B7291" w:rsidRDefault="000103B6"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981D0B" w:rsidRPr="005B7291">
        <w:rPr>
          <w:rFonts w:ascii="Arial" w:eastAsia="Times New Roman" w:hAnsi="Arial" w:cs="Arial"/>
          <w:color w:val="000000" w:themeColor="text1"/>
          <w:sz w:val="20"/>
          <w:szCs w:val="20"/>
          <w:lang w:val="en-US" w:eastAsia="fr-FR"/>
        </w:rPr>
        <w:t>here</w:t>
      </w:r>
      <w:r w:rsidR="00D82FDB" w:rsidRPr="005B7291">
        <w:rPr>
          <w:rFonts w:ascii="Arial" w:eastAsia="Times New Roman" w:hAnsi="Arial" w:cs="Arial"/>
          <w:color w:val="000000" w:themeColor="text1"/>
          <w:sz w:val="20"/>
          <w:szCs w:val="20"/>
          <w:lang w:val="en-US" w:eastAsia="fr-FR"/>
        </w:rPr>
        <w:t xml:space="preserve"> 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DPPH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DPPH</w:t>
      </w:r>
      <w:r w:rsidR="0024798D" w:rsidRPr="005B7291">
        <w:rPr>
          <w:rFonts w:ascii="Arial" w:eastAsia="Times New Roman" w:hAnsi="Arial" w:cs="Arial"/>
          <w:color w:val="000000" w:themeColor="text1"/>
          <w:sz w:val="20"/>
          <w:szCs w:val="20"/>
          <w:lang w:val="en-US" w:eastAsia="fr-FR"/>
        </w:rPr>
        <w:t xml:space="preserve"> is the absorbance of the DPPH solution without extract. Ascorbic acid was used as a standard.</w:t>
      </w:r>
      <w:r w:rsidR="00981D0B" w:rsidRPr="005B7291">
        <w:rPr>
          <w:rFonts w:ascii="Arial" w:eastAsia="Times New Roman" w:hAnsi="Arial" w:cs="Arial"/>
          <w:color w:val="000000" w:themeColor="text1"/>
          <w:sz w:val="20"/>
          <w:szCs w:val="20"/>
          <w:lang w:val="en-US" w:eastAsia="fr-FR"/>
        </w:rPr>
        <w:t xml:space="preserve"> </w:t>
      </w:r>
    </w:p>
    <w:p w14:paraId="7E3A3D10"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2.7.2. 2,2′-Azinobis-(3-ethyl</w:t>
      </w:r>
      <w:r w:rsidR="000103B6" w:rsidRPr="005B7291">
        <w:rPr>
          <w:rFonts w:ascii="Arial" w:eastAsia="Times New Roman" w:hAnsi="Arial" w:cs="Arial"/>
          <w:b/>
          <w:color w:val="000000" w:themeColor="text1"/>
          <w:sz w:val="20"/>
          <w:szCs w:val="20"/>
          <w:lang w:val="en-US" w:eastAsia="fr-FR"/>
        </w:rPr>
        <w:t>b</w:t>
      </w:r>
      <w:r w:rsidRPr="005B7291">
        <w:rPr>
          <w:rFonts w:ascii="Arial" w:eastAsia="Times New Roman" w:hAnsi="Arial" w:cs="Arial"/>
          <w:b/>
          <w:color w:val="000000" w:themeColor="text1"/>
          <w:sz w:val="20"/>
          <w:szCs w:val="20"/>
          <w:lang w:val="en-US" w:eastAsia="fr-FR"/>
        </w:rPr>
        <w:t>enzo</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hiazoline-6-</w:t>
      </w:r>
      <w:r w:rsidR="000103B6" w:rsidRPr="005B7291">
        <w:rPr>
          <w:rFonts w:ascii="Arial" w:eastAsia="Times New Roman" w:hAnsi="Arial" w:cs="Arial"/>
          <w:b/>
          <w:color w:val="000000" w:themeColor="text1"/>
          <w:sz w:val="20"/>
          <w:szCs w:val="20"/>
          <w:lang w:val="en-US" w:eastAsia="fr-FR"/>
        </w:rPr>
        <w:t>s</w:t>
      </w:r>
      <w:r w:rsidRPr="005B7291">
        <w:rPr>
          <w:rFonts w:ascii="Arial" w:eastAsia="Times New Roman" w:hAnsi="Arial" w:cs="Arial"/>
          <w:b/>
          <w:color w:val="000000" w:themeColor="text1"/>
          <w:sz w:val="20"/>
          <w:szCs w:val="20"/>
          <w:lang w:val="en-US" w:eastAsia="fr-FR"/>
        </w:rPr>
        <w:t>ulphonic acid) (ABT</w:t>
      </w:r>
      <w:r w:rsidR="002457D2" w:rsidRPr="005B7291">
        <w:rPr>
          <w:rFonts w:ascii="Arial" w:eastAsia="Times New Roman" w:hAnsi="Arial" w:cs="Arial"/>
          <w:b/>
          <w:color w:val="000000" w:themeColor="text1"/>
          <w:sz w:val="20"/>
          <w:szCs w:val="20"/>
          <w:lang w:val="en-US" w:eastAsia="fr-FR"/>
        </w:rPr>
        <w:t xml:space="preserve">S) </w:t>
      </w:r>
      <w:r w:rsidR="000103B6" w:rsidRPr="005B7291">
        <w:rPr>
          <w:rFonts w:ascii="Arial" w:eastAsia="Times New Roman" w:hAnsi="Arial" w:cs="Arial"/>
          <w:b/>
          <w:color w:val="000000" w:themeColor="text1"/>
          <w:sz w:val="20"/>
          <w:szCs w:val="20"/>
          <w:lang w:val="en-US" w:eastAsia="fr-FR"/>
        </w:rPr>
        <w:t>R</w:t>
      </w:r>
      <w:r w:rsidR="002457D2" w:rsidRPr="005B7291">
        <w:rPr>
          <w:rFonts w:ascii="Arial" w:eastAsia="Times New Roman" w:hAnsi="Arial" w:cs="Arial"/>
          <w:b/>
          <w:color w:val="000000" w:themeColor="text1"/>
          <w:sz w:val="20"/>
          <w:szCs w:val="20"/>
          <w:lang w:val="en-US" w:eastAsia="fr-FR"/>
        </w:rPr>
        <w:t xml:space="preserve">adical </w:t>
      </w:r>
      <w:r w:rsidR="000103B6" w:rsidRPr="005B7291">
        <w:rPr>
          <w:rFonts w:ascii="Arial" w:eastAsia="Times New Roman" w:hAnsi="Arial" w:cs="Arial"/>
          <w:b/>
          <w:color w:val="000000" w:themeColor="text1"/>
          <w:sz w:val="20"/>
          <w:szCs w:val="20"/>
          <w:lang w:val="en-US" w:eastAsia="fr-FR"/>
        </w:rPr>
        <w:t>S</w:t>
      </w:r>
      <w:r w:rsidR="002457D2" w:rsidRPr="005B7291">
        <w:rPr>
          <w:rFonts w:ascii="Arial" w:eastAsia="Times New Roman" w:hAnsi="Arial" w:cs="Arial"/>
          <w:b/>
          <w:color w:val="000000" w:themeColor="text1"/>
          <w:sz w:val="20"/>
          <w:szCs w:val="20"/>
          <w:lang w:val="en-US" w:eastAsia="fr-FR"/>
        </w:rPr>
        <w:t>cavenging</w:t>
      </w:r>
      <w:r w:rsidR="000103B6" w:rsidRPr="005B7291">
        <w:rPr>
          <w:rFonts w:ascii="Arial" w:eastAsia="Times New Roman" w:hAnsi="Arial" w:cs="Arial"/>
          <w:b/>
          <w:color w:val="000000" w:themeColor="text1"/>
          <w:sz w:val="20"/>
          <w:szCs w:val="20"/>
          <w:lang w:val="en-US" w:eastAsia="fr-FR"/>
        </w:rPr>
        <w:t xml:space="preserve"> A</w:t>
      </w:r>
      <w:r w:rsidR="002457D2" w:rsidRPr="005B7291">
        <w:rPr>
          <w:rFonts w:ascii="Arial" w:eastAsia="Times New Roman" w:hAnsi="Arial" w:cs="Arial"/>
          <w:b/>
          <w:color w:val="000000" w:themeColor="text1"/>
          <w:sz w:val="20"/>
          <w:szCs w:val="20"/>
          <w:lang w:val="en-US" w:eastAsia="fr-FR"/>
        </w:rPr>
        <w:t xml:space="preserve">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1B458A26" w14:textId="6171B83C" w:rsidR="00AD3ADF" w:rsidRPr="005B7291" w:rsidRDefault="0024798D" w:rsidP="00981D0B">
      <w:pPr>
        <w:spacing w:before="100" w:before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procedure followed the method reported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{"citationItems":[{"id":"ITEM-1","itemData":{"DOI":"10.1016/j.ijgfs.2016.12.003","ISSN":"18784518","abstract":"Spinach (Spinacia oleracea L.) leaves were dried in a cabinet tray dryer at 55 °C and ground to pass through 220 µm mesh to obtain spinach powder (SP). Fresh spinach leaves yielded 6.5% of SP possessing 28.70% protein, 8.8% crude fibre. The powder was rich in essential minerals like calcium (1336 mg/100 g), iron (30 mg/100 g) and phosphorous (336 mg/100 g). Methanolic extracts (30–180 µL) of SP exhibited antioxidant activity as assayed by 2,2-diphenyl-1-picrylhydrazyl (DPPH) radical scavenging activity, 2,2′-azino-bis(3-ethylbenzthiazoline-6-sulphonic acid (ABTS) assay and ferric reducing power. Biscuits were prepared using 5%, 10%, and 15% SP and evaluated for their nutritional, textural, sensory quality and sorption behavior. Moisture sorption isotherm of SP indicated non-hygroscopic nature with an initial moisture content (IMC) of 8.6%, which equilibrated at 64% relative humidity (RH), whereas, biscuits were observed to be hygroscopic with an IMC of 0.94–1.26%, which equilibrated between 5–30% RH for control sample (CB), 5%, 10% and 15% RH for SP supplemented biscuits respectively. Textural quality revealed that hardness and breaking strengths increased with increased addition of SP. Sensory studies of biscuits showed that 5% supplementation of spinach powder was more acceptable.","author":[{"dropping-particle":"","family":"Galla","given":"Narsing Rao","non-dropping-particle":"","parse-names":false,"suffix":""},{"dropping-particle":"","family":"Pamidighantam","given":"Prabhakara Rao","non-dropping-particle":"","parse-names":false,"suffix":""},{"dropping-particle":"","family":"Karakala","given":"Balaswamy","non-dropping-particle":"","parse-names":false,"suffix":""},{"dropping-particle":"","family":"Gurusiddaiah","given":"Math Rudrayya","non-dropping-particle":"","parse-names":false,"suffix":""},{"dropping-particle":"","family":"Akula","given":"Satyanarayana","non-dropping-particle":"","parse-names":false,"suffix":""}],"container-title":"International Journal of Gastronomy and Food Science","id":"ITEM-1","issue":"2017","issued":{"date-parts":[["2017"]]},"page":"20-26","publisher":"Elsevier","title":"Nutritional, textural and sensory quality of biscuits supplemented with spinach (Spinacia oleracea L.)","type":"article-journal","volume":"7"},"uris":["http://www.mendeley.com/documents/?uuid=a0676791-233c-4735-9786-e876ca2d13f1"]}],"mendeley":{"formattedCitation":"(Galla et al., 2017)","manualFormatting":"Galla et al. (2017)","plainTextFormattedCitation":"(Galla et al., 2017)","previouslyFormattedCitation":"(Galla et al., 2017)"},"properties":{"noteIndex":0},"schema":"https://github.com/citation-style-language/schema/raw/master/csl-citation.json"}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Galla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2017)</w:t>
      </w:r>
      <w:r w:rsidR="000C51BE"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with some modifications.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radical was generated by reacting 7 mM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and 2.45 mM potassium persulphate (K</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vertAlign w:val="subscript"/>
          <w:lang w:val="en-US" w:eastAsia="fr-FR"/>
        </w:rPr>
        <w:t>8</w:t>
      </w:r>
      <w:r w:rsidRPr="005B7291">
        <w:rPr>
          <w:rFonts w:ascii="Arial" w:eastAsia="Times New Roman" w:hAnsi="Arial" w:cs="Arial"/>
          <w:color w:val="000000" w:themeColor="text1"/>
          <w:sz w:val="20"/>
          <w:szCs w:val="20"/>
          <w:lang w:val="en-US" w:eastAsia="fr-FR"/>
        </w:rPr>
        <w:t xml:space="preserve">). After incubation at room temperature in the dark for 16 h, the solution was diluted to </w:t>
      </w:r>
      <w:r w:rsidR="000103B6" w:rsidRPr="005B7291">
        <w:rPr>
          <w:rFonts w:ascii="Arial" w:eastAsia="Times New Roman" w:hAnsi="Arial" w:cs="Arial"/>
          <w:color w:val="000000" w:themeColor="text1"/>
          <w:sz w:val="20"/>
          <w:szCs w:val="20"/>
          <w:lang w:val="en-US" w:eastAsia="fr-FR"/>
        </w:rPr>
        <w:t>obtain</w:t>
      </w:r>
      <w:r w:rsidRPr="005B7291">
        <w:rPr>
          <w:rFonts w:ascii="Arial" w:eastAsia="Times New Roman" w:hAnsi="Arial" w:cs="Arial"/>
          <w:color w:val="000000" w:themeColor="text1"/>
          <w:sz w:val="20"/>
          <w:szCs w:val="20"/>
          <w:lang w:val="en-US" w:eastAsia="fr-FR"/>
        </w:rPr>
        <w:t xml:space="preserve"> an absorbance of 0.70 ± 0.02 at 734 nm.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solution (1 </w:t>
      </w:r>
      <w:r w:rsidR="00D67F55" w:rsidRPr="005B7291">
        <w:rPr>
          <w:rFonts w:ascii="Arial" w:eastAsia="Times New Roman" w:hAnsi="Arial" w:cs="Arial"/>
          <w:color w:val="000000" w:themeColor="text1"/>
          <w:sz w:val="20"/>
          <w:szCs w:val="20"/>
          <w:lang w:val="en-US" w:eastAsia="fr-FR"/>
        </w:rPr>
        <w:t>ml) was added to the extract</w:t>
      </w:r>
      <w:r w:rsidRPr="005B7291">
        <w:rPr>
          <w:rFonts w:ascii="Arial" w:eastAsia="Times New Roman" w:hAnsi="Arial" w:cs="Arial"/>
          <w:color w:val="000000" w:themeColor="text1"/>
          <w:sz w:val="20"/>
          <w:szCs w:val="20"/>
          <w:lang w:val="en-US" w:eastAsia="fr-FR"/>
        </w:rPr>
        <w:t xml:space="preserve"> (10 µl), mixed thoroughly, and incubated for 30 min. The absorbance of the reactive mixture was measured at 734 nm.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standard. </w:t>
      </w:r>
      <w:r w:rsidR="00AD3ADF" w:rsidRPr="005B7291">
        <w:rPr>
          <w:rFonts w:ascii="Arial" w:hAnsi="Arial" w:cs="Arial"/>
          <w:color w:val="000000" w:themeColor="text1"/>
          <w:sz w:val="20"/>
          <w:szCs w:val="20"/>
          <w:lang w:val="en-US"/>
        </w:rPr>
        <w:t xml:space="preserve">The </w:t>
      </w:r>
      <w:r w:rsidR="00AD3ADF" w:rsidRPr="005B7291">
        <w:rPr>
          <w:rStyle w:val="Strong"/>
          <w:rFonts w:ascii="Arial" w:hAnsi="Arial" w:cs="Arial"/>
          <w:b w:val="0"/>
          <w:color w:val="000000" w:themeColor="text1"/>
          <w:sz w:val="20"/>
          <w:szCs w:val="20"/>
          <w:lang w:val="en-US"/>
        </w:rPr>
        <w:t>radical scavenging activity (IC</w:t>
      </w:r>
      <w:r w:rsidR="00AD3ADF" w:rsidRPr="005B7291">
        <w:rPr>
          <w:rStyle w:val="Strong"/>
          <w:rFonts w:ascii="Arial" w:hAnsi="Arial" w:cs="Arial"/>
          <w:b w:val="0"/>
          <w:color w:val="000000" w:themeColor="text1"/>
          <w:sz w:val="20"/>
          <w:szCs w:val="20"/>
          <w:vertAlign w:val="subscript"/>
          <w:lang w:val="en-US"/>
        </w:rPr>
        <w:t>50</w:t>
      </w:r>
      <w:r w:rsidR="00AD3ADF" w:rsidRPr="005B7291">
        <w:rPr>
          <w:rStyle w:val="Strong"/>
          <w:rFonts w:ascii="Arial" w:hAnsi="Arial" w:cs="Arial"/>
          <w:b w:val="0"/>
          <w:color w:val="000000" w:themeColor="text1"/>
          <w:sz w:val="20"/>
          <w:szCs w:val="20"/>
          <w:lang w:val="en-US"/>
        </w:rPr>
        <w:t>)</w:t>
      </w:r>
      <w:r w:rsidR="00AD3ADF" w:rsidRPr="005B7291">
        <w:rPr>
          <w:rFonts w:ascii="Arial" w:hAnsi="Arial" w:cs="Arial"/>
          <w:color w:val="000000" w:themeColor="text1"/>
          <w:sz w:val="20"/>
          <w:szCs w:val="20"/>
          <w:lang w:val="en-US"/>
        </w:rPr>
        <w:t xml:space="preserve"> of the extract, expressed in µg/ml, required to reduce the total free ABTS radical by 50%</w:t>
      </w:r>
      <w:r w:rsidR="003E451A" w:rsidRPr="005B7291">
        <w:rPr>
          <w:rFonts w:ascii="Arial" w:hAnsi="Arial" w:cs="Arial"/>
          <w:color w:val="000000" w:themeColor="text1"/>
          <w:sz w:val="20"/>
          <w:szCs w:val="20"/>
          <w:lang w:val="en-US"/>
        </w:rPr>
        <w:t xml:space="preserve"> </w:t>
      </w:r>
      <w:r w:rsidR="00AD3ADF" w:rsidRPr="005B7291">
        <w:rPr>
          <w:rFonts w:ascii="Arial" w:hAnsi="Arial" w:cs="Arial"/>
          <w:color w:val="000000" w:themeColor="text1"/>
          <w:sz w:val="20"/>
          <w:szCs w:val="20"/>
          <w:lang w:val="en-US"/>
        </w:rPr>
        <w:t xml:space="preserve">was determined based on the percentage inhibition of ABTS using the following equation: </w:t>
      </w:r>
    </w:p>
    <w:p w14:paraId="55D186AE" w14:textId="77777777" w:rsidR="002457D2" w:rsidRPr="005B7291" w:rsidRDefault="005615E9" w:rsidP="002457D2">
      <w:pPr>
        <w:spacing w:line="360" w:lineRule="auto"/>
        <w:jc w:val="both"/>
        <w:rPr>
          <w:rFonts w:ascii="Arial" w:eastAsiaTheme="minorEastAsia" w:hAnsi="Arial" w:cs="Arial"/>
          <w:i/>
          <w:color w:val="000000" w:themeColor="text1"/>
          <w:sz w:val="20"/>
          <w:szCs w:val="20"/>
        </w:rPr>
      </w:pPr>
      <m:oMathPara>
        <m:oMath>
          <m:r>
            <m:rPr>
              <m:sty m:val="p"/>
            </m:rPr>
            <w:rPr>
              <w:rFonts w:ascii="Cambria Math" w:hAnsi="Cambria Math" w:cs="Arial"/>
              <w:color w:val="000000" w:themeColor="text1"/>
              <w:sz w:val="20"/>
              <w:szCs w:val="20"/>
            </w:rPr>
            <m:t>% Inhibition ABTS=[(</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 x 100</m:t>
          </m:r>
        </m:oMath>
      </m:oMathPara>
    </w:p>
    <w:p w14:paraId="6228A7DC" w14:textId="77777777" w:rsidR="0024798D" w:rsidRPr="005B7291" w:rsidRDefault="003E451A"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24798D" w:rsidRPr="005B7291">
        <w:rPr>
          <w:rFonts w:ascii="Arial" w:eastAsia="Times New Roman" w:hAnsi="Arial" w:cs="Arial"/>
          <w:color w:val="000000" w:themeColor="text1"/>
          <w:sz w:val="20"/>
          <w:szCs w:val="20"/>
          <w:lang w:val="en-US" w:eastAsia="fr-FR"/>
        </w:rPr>
        <w:t xml:space="preserve">here </w:t>
      </w:r>
      <w:r w:rsidR="002457D2"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ABTS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ABTS</w:t>
      </w:r>
      <w:r w:rsidR="0024798D" w:rsidRPr="005B7291">
        <w:rPr>
          <w:rFonts w:ascii="Arial" w:eastAsia="Times New Roman" w:hAnsi="Arial" w:cs="Arial"/>
          <w:color w:val="000000" w:themeColor="text1"/>
          <w:sz w:val="20"/>
          <w:szCs w:val="20"/>
          <w:lang w:val="en-US" w:eastAsia="fr-FR"/>
        </w:rPr>
        <w:t xml:space="preserve"> is the absorbance of the ABTS solution without extract.</w:t>
      </w:r>
      <w:r w:rsidR="00B4667A" w:rsidRPr="005B7291">
        <w:rPr>
          <w:rFonts w:ascii="Arial" w:eastAsia="Times New Roman" w:hAnsi="Arial" w:cs="Arial"/>
          <w:color w:val="000000" w:themeColor="text1"/>
          <w:sz w:val="20"/>
          <w:szCs w:val="20"/>
          <w:lang w:val="en-US" w:eastAsia="fr-FR"/>
        </w:rPr>
        <w:t xml:space="preserve"> </w:t>
      </w:r>
    </w:p>
    <w:p w14:paraId="4CBC9D48" w14:textId="77777777" w:rsidR="0046668E" w:rsidRPr="005B7291" w:rsidRDefault="009913F5" w:rsidP="0046668E">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2.7.3. Ferric reducing antioxidant power (FRAP) a</w:t>
      </w:r>
      <w:r w:rsidR="0046668E" w:rsidRPr="005B7291">
        <w:rPr>
          <w:rFonts w:ascii="Arial" w:eastAsia="Times New Roman" w:hAnsi="Arial" w:cs="Arial"/>
          <w:b/>
          <w:color w:val="000000" w:themeColor="text1"/>
          <w:sz w:val="20"/>
          <w:szCs w:val="20"/>
          <w:lang w:val="en-US" w:eastAsia="fr-FR"/>
        </w:rPr>
        <w:t>ssay</w:t>
      </w:r>
    </w:p>
    <w:p w14:paraId="7AEA9E62" w14:textId="1E60E165" w:rsidR="0046668E" w:rsidRDefault="0046668E"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reducing power of </w:t>
      </w:r>
      <w:r w:rsidR="003E451A"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iron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extracts was determined according to the method described by</w:t>
      </w:r>
      <w:r w:rsidR="00835B30">
        <w:rPr>
          <w:rFonts w:ascii="Arial" w:eastAsia="Times New Roman" w:hAnsi="Arial" w:cs="Arial"/>
          <w:color w:val="000000" w:themeColor="text1"/>
          <w:sz w:val="20"/>
          <w:szCs w:val="20"/>
          <w:lang w:val="en-US" w:eastAsia="fr-FR"/>
        </w:rPr>
        <w:t xml:space="preserve"> </w:t>
      </w:r>
      <w:r w:rsidR="00D9485A"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{"citationItems":[{"id":"ITEM-1","itemData":{"abstract":"Adhatoda vasica Nees and Sesbania grandiflora (L.) Pers are the two important medicinal plants native to India. The aqueous leaf extracts of these two plants have been analysed for their free radical-scavenging activity in different in vitro systems, e.g. DPPH radical-scavenging activity, hydroxyl radical-scavenging activity in Fe3+/ascorbate/EDTA/H2O2 system, inhibition of lipid peroxidation induced by FeSO4 in egg yolk, metal chelating activity. The free radical scavenging activities were compared with standard antioxidants like butylated hydroxy toluene (BHT), ascorbic acid and EDTA. Total antioxidant activity was measured, based on the reduction of Mo (VI) to Mo(V) by the extract and subsequent formation of green phosphate/Mo(V) complex at acid pH and reducing power by Fe3+ - Fe2+ transformation in the presence of extracts. The content of total phenolics (expressed as mg of gallic acid equivalents/gm) and total flavonoids (expressed as mg of quercetin equivalent/gm) and ascorbic acid were determined along with antioxidant enzymes. The results indicated that A. vasica and S. grandiflora showed significant antioxidant activity in vitro. The enzymatic and non enzymatic antioxidants in A. vasica were found to be more than that of S. grandiflora, similarly the antioxidant and radical scavenging activities of A. vasica were found to be more significant than S. grandiflora.","author":[{"dropping-particle":"","family":"Padmaja","given":"M","non-dropping-particle":"","parse-names":false,"suffix":""},{"dropping-particle":"","family":"Sravanthi","given":"M","non-dropping-particle":"","parse-names":false,"suffix":""},{"dropping-particle":"","family":"Hemalatha","given":"K P J","non-dropping-particle":"","parse-names":false,"suffix":""}],"container-title":"Journal of Phytology","id":"ITEM-1","issue":"3","issued":{"date-parts":[["2011"]]},"page":"86-91","title":"Evaluation of Antioxidant Activity of Two Indian Medicinal Plants","type":"article-journal","volume":"3"},"uris":["http://www.mendeley.com/documents/?uuid=7bb79e0f-8986-4895-857c-68a8929b7f19"]}],"mendeley":{"formattedCitation":"(Padmaja et al., 2011)","manualFormatting":"Padmaja et al. (2011)","plainTextFormattedCitation":"(Padmaja et al., 2011)","previouslyFormattedCitation":"(Padmaja et al., 2011)"},"properties":{"noteIndex":0},"schema":"https://github.com/citation-style-language/schema/raw/master/csl-citation.json"}</w:instrText>
      </w:r>
      <w:r w:rsidR="00D9485A"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Padmaja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2011)</w:t>
      </w:r>
      <w:r w:rsidR="00D9485A" w:rsidRPr="005B7291">
        <w:rPr>
          <w:rFonts w:ascii="Arial" w:eastAsia="Times New Roman" w:hAnsi="Arial" w:cs="Arial"/>
          <w:color w:val="000000" w:themeColor="text1"/>
          <w:sz w:val="20"/>
          <w:szCs w:val="20"/>
          <w:lang w:val="en-US" w:eastAsia="fr-FR"/>
        </w:rPr>
        <w:fldChar w:fldCharType="end"/>
      </w:r>
      <w:r w:rsidR="00D9485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with some modifications. Approximately 25 µl of each diluted extract (2 mg/ml in methanol) was introduced into a new microplate</w:t>
      </w:r>
      <w:r w:rsidR="003E451A"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25 µl of 1.2 mg/ml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solution was added. The plates were preincubated for 15 minutes at room temperature. Subsequently, 50 µl of 0.2% ortho-phenanthroline was added to obtain final extract concentrations of 250, 125, 62.5, 31.25, 15.625, 7.8125, 3.90625, and 1.95325 µg/ml. The reaction mixtures were further incubated for 15 min at room temperature, after which the absorbance was measured at 505 nm under </w:t>
      </w:r>
      <w:r w:rsidR="003E451A" w:rsidRPr="005B7291">
        <w:rPr>
          <w:rFonts w:ascii="Arial" w:eastAsia="Times New Roman" w:hAnsi="Arial" w:cs="Arial"/>
          <w:color w:val="000000" w:themeColor="text1"/>
          <w:sz w:val="20"/>
          <w:szCs w:val="20"/>
          <w:lang w:val="en-US" w:eastAsia="fr-FR"/>
        </w:rPr>
        <w:t xml:space="preserve">a </w:t>
      </w:r>
      <w:r w:rsidRPr="005B7291">
        <w:rPr>
          <w:rFonts w:ascii="Arial" w:eastAsia="Times New Roman" w:hAnsi="Arial" w:cs="Arial"/>
          <w:color w:val="000000" w:themeColor="text1"/>
          <w:sz w:val="20"/>
          <w:szCs w:val="20"/>
          <w:lang w:val="en-US" w:eastAsia="fr-FR"/>
        </w:rPr>
        <w:t>UV/</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isible light spectrophotometer (Infinite M200 TECAN, Swiss) against </w:t>
      </w:r>
      <w:r w:rsidR="003E451A" w:rsidRPr="005B7291">
        <w:rPr>
          <w:rFonts w:ascii="Arial" w:eastAsia="Times New Roman" w:hAnsi="Arial" w:cs="Arial"/>
          <w:color w:val="000000" w:themeColor="text1"/>
          <w:sz w:val="20"/>
          <w:szCs w:val="20"/>
          <w:lang w:val="en-US" w:eastAsia="fr-FR"/>
        </w:rPr>
        <w:t>a</w:t>
      </w:r>
      <w:r w:rsidRPr="005B7291">
        <w:rPr>
          <w:rFonts w:ascii="Arial" w:eastAsia="Times New Roman" w:hAnsi="Arial" w:cs="Arial"/>
          <w:color w:val="000000" w:themeColor="text1"/>
          <w:sz w:val="20"/>
          <w:szCs w:val="20"/>
          <w:lang w:val="en-US" w:eastAsia="fr-FR"/>
        </w:rPr>
        <w:t xml:space="preserve"> blank </w:t>
      </w:r>
      <w:r w:rsidR="001A1329" w:rsidRPr="005B7291">
        <w:rPr>
          <w:rFonts w:ascii="Arial" w:eastAsia="Times New Roman" w:hAnsi="Arial" w:cs="Arial"/>
          <w:color w:val="000000" w:themeColor="text1"/>
          <w:sz w:val="20"/>
          <w:szCs w:val="20"/>
          <w:lang w:val="en-US" w:eastAsia="fr-FR"/>
        </w:rPr>
        <w:t xml:space="preserve">(made of 25 µl </w:t>
      </w:r>
      <w:r w:rsidR="003E451A" w:rsidRPr="005B7291">
        <w:rPr>
          <w:rFonts w:ascii="Arial" w:eastAsia="Times New Roman" w:hAnsi="Arial" w:cs="Arial"/>
          <w:color w:val="000000" w:themeColor="text1"/>
          <w:sz w:val="20"/>
          <w:szCs w:val="20"/>
          <w:lang w:val="en-US" w:eastAsia="fr-FR"/>
        </w:rPr>
        <w:t xml:space="preserve">of </w:t>
      </w:r>
      <w:r w:rsidR="001A1329" w:rsidRPr="005B7291">
        <w:rPr>
          <w:rFonts w:ascii="Arial" w:eastAsia="Times New Roman" w:hAnsi="Arial" w:cs="Arial"/>
          <w:color w:val="000000" w:themeColor="text1"/>
          <w:sz w:val="20"/>
          <w:szCs w:val="20"/>
          <w:lang w:val="en-US" w:eastAsia="fr-FR"/>
        </w:rPr>
        <w:t xml:space="preserve">methanol + 25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+ 50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ortho-phenanthroline).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positive control. From the obtained </w:t>
      </w:r>
      <w:r w:rsidR="003E451A"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ptical </w:t>
      </w:r>
      <w:r w:rsidR="003E451A"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ensity, reducing percentages were calculated for each concentration and used to determine the RC</w:t>
      </w:r>
      <w:r w:rsidR="00BB5ED0" w:rsidRPr="005B7291">
        <w:rPr>
          <w:rFonts w:ascii="Arial" w:eastAsia="Times New Roman" w:hAnsi="Arial" w:cs="Arial"/>
          <w:color w:val="000000" w:themeColor="text1"/>
          <w:sz w:val="20"/>
          <w:szCs w:val="20"/>
          <w:vertAlign w:val="subscript"/>
          <w:lang w:val="en-US" w:eastAsia="fr-FR"/>
        </w:rPr>
        <w:t>50</w:t>
      </w:r>
      <w:r w:rsidR="00992433" w:rsidRPr="005B7291">
        <w:rPr>
          <w:rFonts w:ascii="Arial" w:eastAsia="Times New Roman" w:hAnsi="Arial" w:cs="Arial"/>
          <w:color w:val="000000" w:themeColor="text1"/>
          <w:sz w:val="20"/>
          <w:szCs w:val="20"/>
          <w:lang w:val="en-US" w:eastAsia="fr-FR"/>
        </w:rPr>
        <w:t xml:space="preserve"> (</w:t>
      </w:r>
      <w:r w:rsidR="001A1329" w:rsidRPr="005B7291">
        <w:rPr>
          <w:rFonts w:ascii="Arial" w:eastAsia="Times New Roman" w:hAnsi="Arial" w:cs="Arial"/>
          <w:color w:val="000000" w:themeColor="text1"/>
          <w:sz w:val="20"/>
          <w:szCs w:val="20"/>
          <w:lang w:val="en-US" w:eastAsia="fr-FR"/>
        </w:rPr>
        <w:t>expressed in µg/ml)</w:t>
      </w:r>
      <w:r w:rsidRPr="005B7291">
        <w:rPr>
          <w:rFonts w:ascii="Arial" w:eastAsia="Times New Roman" w:hAnsi="Arial" w:cs="Arial"/>
          <w:color w:val="000000" w:themeColor="text1"/>
          <w:sz w:val="20"/>
          <w:szCs w:val="20"/>
          <w:lang w:val="en-US" w:eastAsia="fr-FR"/>
        </w:rPr>
        <w:t xml:space="preserve"> from dose-response curves.</w:t>
      </w:r>
    </w:p>
    <w:p w14:paraId="4B861945" w14:textId="77777777" w:rsidR="00E46855" w:rsidRPr="005B7291" w:rsidRDefault="00E46855"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7DD33406" w14:textId="6AC0DE48" w:rsidR="0046668E" w:rsidRPr="00202D84" w:rsidRDefault="0046668E" w:rsidP="0046668E">
      <w:pPr>
        <w:spacing w:before="100" w:beforeAutospacing="1" w:after="100" w:afterAutospacing="1" w:line="360" w:lineRule="auto"/>
        <w:jc w:val="both"/>
        <w:rPr>
          <w:rFonts w:ascii="Arial" w:eastAsia="Times New Roman" w:hAnsi="Arial" w:cs="Arial"/>
          <w:b/>
          <w:color w:val="000000" w:themeColor="text1"/>
          <w:szCs w:val="24"/>
          <w:lang w:val="en-US" w:eastAsia="fr-FR"/>
        </w:rPr>
      </w:pPr>
      <w:r w:rsidRPr="00202D84">
        <w:rPr>
          <w:rFonts w:ascii="Arial" w:eastAsia="Times New Roman" w:hAnsi="Arial" w:cs="Arial"/>
          <w:b/>
          <w:color w:val="000000" w:themeColor="text1"/>
          <w:szCs w:val="24"/>
          <w:lang w:val="en-US" w:eastAsia="fr-FR"/>
        </w:rPr>
        <w:t xml:space="preserve">2.9. Statistical </w:t>
      </w:r>
      <w:r w:rsidR="003E1AE3" w:rsidRPr="00202D84">
        <w:rPr>
          <w:rFonts w:ascii="Arial" w:eastAsia="Times New Roman" w:hAnsi="Arial" w:cs="Arial"/>
          <w:b/>
          <w:color w:val="000000" w:themeColor="text1"/>
          <w:szCs w:val="24"/>
          <w:lang w:val="en-US" w:eastAsia="fr-FR"/>
        </w:rPr>
        <w:t>a</w:t>
      </w:r>
      <w:r w:rsidRPr="00202D84">
        <w:rPr>
          <w:rFonts w:ascii="Arial" w:eastAsia="Times New Roman" w:hAnsi="Arial" w:cs="Arial"/>
          <w:b/>
          <w:color w:val="000000" w:themeColor="text1"/>
          <w:szCs w:val="24"/>
          <w:lang w:val="en-US" w:eastAsia="fr-FR"/>
        </w:rPr>
        <w:t xml:space="preserve">nalysis </w:t>
      </w:r>
    </w:p>
    <w:p w14:paraId="34EEAA62" w14:textId="736BC780" w:rsidR="00987596" w:rsidRPr="005250A4" w:rsidRDefault="0046668E" w:rsidP="00F57249">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250A4">
        <w:rPr>
          <w:rFonts w:ascii="Arial" w:eastAsia="Times New Roman" w:hAnsi="Arial" w:cs="Arial"/>
          <w:color w:val="000000" w:themeColor="text1"/>
          <w:sz w:val="20"/>
          <w:szCs w:val="24"/>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szCs w:val="24"/>
          <w:lang w:val="en-US" w:eastAsia="fr-FR"/>
        </w:rPr>
        <w:t>Statgraphic</w:t>
      </w:r>
      <w:proofErr w:type="spellEnd"/>
      <w:r w:rsidRPr="005250A4">
        <w:rPr>
          <w:rFonts w:ascii="Arial" w:eastAsia="Times New Roman" w:hAnsi="Arial" w:cs="Arial"/>
          <w:color w:val="000000" w:themeColor="text1"/>
          <w:sz w:val="20"/>
          <w:szCs w:val="24"/>
          <w:lang w:val="en-US" w:eastAsia="fr-FR"/>
        </w:rPr>
        <w:t xml:space="preserve"> Centurion 15.2 software (</w:t>
      </w:r>
      <w:proofErr w:type="spellStart"/>
      <w:r w:rsidRPr="005250A4">
        <w:rPr>
          <w:rFonts w:ascii="Arial" w:eastAsia="Times New Roman" w:hAnsi="Arial" w:cs="Arial"/>
          <w:color w:val="000000" w:themeColor="text1"/>
          <w:sz w:val="20"/>
          <w:szCs w:val="24"/>
          <w:lang w:val="en-US" w:eastAsia="fr-FR"/>
        </w:rPr>
        <w:t>StatPoint</w:t>
      </w:r>
      <w:proofErr w:type="spellEnd"/>
      <w:r w:rsidRPr="005250A4">
        <w:rPr>
          <w:rFonts w:ascii="Arial" w:eastAsia="Times New Roman" w:hAnsi="Arial" w:cs="Arial"/>
          <w:color w:val="000000" w:themeColor="text1"/>
          <w:sz w:val="20"/>
          <w:szCs w:val="24"/>
          <w:lang w:val="en-US" w:eastAsia="fr-FR"/>
        </w:rPr>
        <w:t xml:space="preserve"> Technologies, Inc</w:t>
      </w:r>
      <w:r w:rsidR="00B64B12"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Warrenton, Virginia, USA) was used for analysis of variance</w:t>
      </w:r>
      <w:r w:rsidR="00A14C98" w:rsidRPr="005250A4">
        <w:rPr>
          <w:rFonts w:ascii="Arial" w:eastAsia="Times New Roman" w:hAnsi="Arial" w:cs="Arial"/>
          <w:color w:val="000000" w:themeColor="text1"/>
          <w:sz w:val="20"/>
          <w:szCs w:val="24"/>
          <w:lang w:val="en-US" w:eastAsia="fr-FR"/>
        </w:rPr>
        <w:t xml:space="preserve"> (</w:t>
      </w:r>
      <w:r w:rsidR="00653D48" w:rsidRPr="005250A4">
        <w:rPr>
          <w:rFonts w:ascii="Arial" w:eastAsia="Times New Roman" w:hAnsi="Arial" w:cs="Arial"/>
          <w:color w:val="000000" w:themeColor="text1"/>
          <w:sz w:val="20"/>
          <w:szCs w:val="24"/>
          <w:lang w:val="en-US" w:eastAsia="fr-FR"/>
        </w:rPr>
        <w:t>one-way</w:t>
      </w:r>
      <w:r w:rsidR="00A14C98" w:rsidRPr="005250A4">
        <w:rPr>
          <w:rFonts w:ascii="Arial" w:eastAsia="Times New Roman" w:hAnsi="Arial" w:cs="Arial"/>
          <w:color w:val="000000" w:themeColor="text1"/>
          <w:sz w:val="20"/>
          <w:szCs w:val="24"/>
          <w:lang w:val="en-US" w:eastAsia="fr-FR"/>
        </w:rPr>
        <w:t xml:space="preserve"> </w:t>
      </w:r>
      <w:r w:rsidR="003E1AE3" w:rsidRPr="005250A4">
        <w:rPr>
          <w:rFonts w:ascii="Arial" w:eastAsia="Times New Roman" w:hAnsi="Arial" w:cs="Arial"/>
          <w:color w:val="000000" w:themeColor="text1"/>
          <w:sz w:val="20"/>
          <w:szCs w:val="24"/>
          <w:lang w:val="en-US" w:eastAsia="fr-FR"/>
        </w:rPr>
        <w:t>ANOVA</w:t>
      </w:r>
      <w:r w:rsidR="00A14C98" w:rsidRPr="005250A4">
        <w:rPr>
          <w:rFonts w:ascii="Arial" w:eastAsia="Times New Roman" w:hAnsi="Arial" w:cs="Arial"/>
          <w:color w:val="000000" w:themeColor="text1"/>
          <w:sz w:val="20"/>
          <w:szCs w:val="24"/>
          <w:lang w:val="en-US" w:eastAsia="fr-FR"/>
        </w:rPr>
        <w:t xml:space="preserve"> and multiple way </w:t>
      </w:r>
      <w:r w:rsidR="003E1AE3" w:rsidRPr="005250A4">
        <w:rPr>
          <w:rFonts w:ascii="Arial" w:eastAsia="Times New Roman" w:hAnsi="Arial" w:cs="Arial"/>
          <w:color w:val="000000" w:themeColor="text1"/>
          <w:sz w:val="20"/>
          <w:szCs w:val="24"/>
          <w:lang w:val="en-US" w:eastAsia="fr-FR"/>
        </w:rPr>
        <w:t>ANOVA</w:t>
      </w:r>
      <w:r w:rsidR="00A14C98"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xml:space="preserve"> and </w:t>
      </w:r>
      <w:r w:rsidR="003E1AE3" w:rsidRPr="005250A4">
        <w:rPr>
          <w:rFonts w:ascii="Arial" w:eastAsia="Times New Roman" w:hAnsi="Arial" w:cs="Arial"/>
          <w:color w:val="000000" w:themeColor="text1"/>
          <w:sz w:val="20"/>
          <w:szCs w:val="24"/>
          <w:lang w:val="en-US" w:eastAsia="fr-FR"/>
        </w:rPr>
        <w:t xml:space="preserve">the </w:t>
      </w:r>
      <w:r w:rsidRPr="005250A4">
        <w:rPr>
          <w:rFonts w:ascii="Arial" w:eastAsia="Times New Roman" w:hAnsi="Arial" w:cs="Arial"/>
          <w:color w:val="000000" w:themeColor="text1"/>
          <w:sz w:val="20"/>
          <w:szCs w:val="24"/>
          <w:lang w:val="en-US" w:eastAsia="fr-FR"/>
        </w:rPr>
        <w:t>means were separated using the D</w:t>
      </w:r>
      <w:r w:rsidR="00A16405" w:rsidRPr="005250A4">
        <w:rPr>
          <w:rFonts w:ascii="Arial" w:eastAsia="Times New Roman" w:hAnsi="Arial" w:cs="Arial"/>
          <w:color w:val="000000" w:themeColor="text1"/>
          <w:sz w:val="20"/>
          <w:szCs w:val="24"/>
          <w:lang w:val="en-US" w:eastAsia="fr-FR"/>
        </w:rPr>
        <w:t xml:space="preserve">uncan multiple range test at P </w:t>
      </w:r>
      <w:r w:rsidR="000E7CA4" w:rsidRPr="005250A4">
        <w:rPr>
          <w:rFonts w:ascii="Arial" w:eastAsia="Times New Roman" w:hAnsi="Arial" w:cs="Arial"/>
          <w:color w:val="000000" w:themeColor="text1"/>
          <w:sz w:val="20"/>
          <w:szCs w:val="24"/>
          <w:lang w:val="en-US" w:eastAsia="fr-FR"/>
        </w:rPr>
        <w:t>&lt;</w:t>
      </w:r>
      <w:r w:rsidRPr="005250A4">
        <w:rPr>
          <w:rFonts w:ascii="Arial" w:eastAsia="Times New Roman" w:hAnsi="Arial" w:cs="Arial"/>
          <w:color w:val="000000" w:themeColor="text1"/>
          <w:sz w:val="20"/>
          <w:szCs w:val="24"/>
          <w:lang w:val="en-US" w:eastAsia="fr-FR"/>
        </w:rPr>
        <w:t xml:space="preserve"> .05.</w:t>
      </w:r>
    </w:p>
    <w:p w14:paraId="04ABF61B" w14:textId="04F5DD90" w:rsidR="00847465" w:rsidRPr="00202D84" w:rsidRDefault="00202D84" w:rsidP="00847465">
      <w:pPr>
        <w:pStyle w:val="ListParagraph"/>
        <w:numPr>
          <w:ilvl w:val="0"/>
          <w:numId w:val="3"/>
        </w:numPr>
        <w:spacing w:before="240" w:line="36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540D284C" w14:textId="77777777" w:rsidR="00D7094E" w:rsidRPr="005250A4" w:rsidRDefault="00813887" w:rsidP="00813887">
      <w:pPr>
        <w:spacing w:before="240" w:line="360" w:lineRule="auto"/>
        <w:jc w:val="both"/>
        <w:rPr>
          <w:rFonts w:ascii="Arial" w:hAnsi="Arial" w:cs="Arial"/>
          <w:b/>
          <w:color w:val="000000" w:themeColor="text1"/>
          <w:sz w:val="24"/>
          <w:szCs w:val="24"/>
          <w:lang w:val="en-US"/>
        </w:rPr>
      </w:pPr>
      <w:r w:rsidRPr="005250A4">
        <w:rPr>
          <w:rFonts w:ascii="Arial" w:eastAsia="Times New Roman" w:hAnsi="Arial" w:cs="Arial"/>
          <w:b/>
          <w:color w:val="000000" w:themeColor="text1"/>
          <w:szCs w:val="27"/>
          <w:lang w:val="en-US" w:eastAsia="fr-FR"/>
        </w:rPr>
        <w:t>3.1. Moisture c</w:t>
      </w:r>
      <w:r w:rsidR="00D7094E" w:rsidRPr="005250A4">
        <w:rPr>
          <w:rFonts w:ascii="Arial" w:eastAsia="Times New Roman" w:hAnsi="Arial" w:cs="Arial"/>
          <w:b/>
          <w:color w:val="000000" w:themeColor="text1"/>
          <w:szCs w:val="27"/>
          <w:lang w:val="en-US" w:eastAsia="fr-FR"/>
        </w:rPr>
        <w:t>ontent o</w:t>
      </w:r>
      <w:r w:rsidR="00935722" w:rsidRPr="005250A4">
        <w:rPr>
          <w:rFonts w:ascii="Arial" w:eastAsia="Times New Roman" w:hAnsi="Arial" w:cs="Arial"/>
          <w:b/>
          <w:color w:val="000000" w:themeColor="text1"/>
          <w:szCs w:val="27"/>
          <w:lang w:val="en-US" w:eastAsia="fr-FR"/>
        </w:rPr>
        <w:t>f leaf and fruit</w:t>
      </w:r>
      <w:r w:rsidR="00D7094E" w:rsidRPr="005250A4">
        <w:rPr>
          <w:rFonts w:ascii="Arial" w:eastAsia="Times New Roman" w:hAnsi="Arial" w:cs="Arial"/>
          <w:b/>
          <w:color w:val="000000" w:themeColor="text1"/>
          <w:szCs w:val="27"/>
          <w:lang w:val="en-US" w:eastAsia="fr-FR"/>
        </w:rPr>
        <w:t xml:space="preserve"> powders </w:t>
      </w:r>
    </w:p>
    <w:p w14:paraId="152ECCDE" w14:textId="50ED95CC" w:rsidR="00E46855" w:rsidRDefault="00D7094E"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830BB">
        <w:rPr>
          <w:rFonts w:ascii="Arial" w:eastAsia="Times New Roman" w:hAnsi="Arial" w:cs="Arial"/>
          <w:color w:val="000000" w:themeColor="text1"/>
          <w:sz w:val="20"/>
          <w:szCs w:val="24"/>
          <w:lang w:val="en-US" w:eastAsia="fr-FR"/>
        </w:rPr>
        <w:t>Table 2 presents the moisture content</w:t>
      </w:r>
      <w:r w:rsidR="00B64B12" w:rsidRPr="005830BB">
        <w:rPr>
          <w:rFonts w:ascii="Arial" w:eastAsia="Times New Roman" w:hAnsi="Arial" w:cs="Arial"/>
          <w:color w:val="000000" w:themeColor="text1"/>
          <w:sz w:val="20"/>
          <w:szCs w:val="24"/>
          <w:lang w:val="en-US" w:eastAsia="fr-FR"/>
        </w:rPr>
        <w:t>s</w:t>
      </w:r>
      <w:r w:rsidRPr="005830BB">
        <w:rPr>
          <w:rFonts w:ascii="Arial" w:eastAsia="Times New Roman" w:hAnsi="Arial" w:cs="Arial"/>
          <w:color w:val="000000" w:themeColor="text1"/>
          <w:sz w:val="20"/>
          <w:szCs w:val="24"/>
          <w:lang w:val="en-US" w:eastAsia="fr-FR"/>
        </w:rPr>
        <w:t xml:space="preserve"> of the lea</w:t>
      </w:r>
      <w:r w:rsidR="00B64B12" w:rsidRPr="005830BB">
        <w:rPr>
          <w:rFonts w:ascii="Arial" w:eastAsia="Times New Roman" w:hAnsi="Arial" w:cs="Arial"/>
          <w:color w:val="000000" w:themeColor="text1"/>
          <w:sz w:val="20"/>
          <w:szCs w:val="24"/>
          <w:lang w:val="en-US" w:eastAsia="fr-FR"/>
        </w:rPr>
        <w:t>ves</w:t>
      </w:r>
      <w:r w:rsidRPr="005830BB">
        <w:rPr>
          <w:rFonts w:ascii="Arial" w:eastAsia="Times New Roman" w:hAnsi="Arial" w:cs="Arial"/>
          <w:color w:val="000000" w:themeColor="text1"/>
          <w:sz w:val="20"/>
          <w:szCs w:val="24"/>
          <w:lang w:val="en-US" w:eastAsia="fr-FR"/>
        </w:rPr>
        <w:t xml:space="preserve"> and fruit powders of </w:t>
      </w:r>
      <w:r w:rsidRPr="005830BB">
        <w:rPr>
          <w:rFonts w:ascii="Arial" w:eastAsia="Times New Roman" w:hAnsi="Arial" w:cs="Arial"/>
          <w:i/>
          <w:color w:val="000000" w:themeColor="text1"/>
          <w:sz w:val="20"/>
          <w:szCs w:val="24"/>
          <w:lang w:val="en-US" w:eastAsia="fr-FR"/>
        </w:rPr>
        <w:t xml:space="preserve">Corchorus </w:t>
      </w:r>
      <w:proofErr w:type="spellStart"/>
      <w:r w:rsidRPr="005830BB">
        <w:rPr>
          <w:rFonts w:ascii="Arial" w:eastAsia="Times New Roman" w:hAnsi="Arial" w:cs="Arial"/>
          <w:i/>
          <w:color w:val="000000" w:themeColor="text1"/>
          <w:sz w:val="20"/>
          <w:szCs w:val="24"/>
          <w:lang w:val="en-US" w:eastAsia="fr-FR"/>
        </w:rPr>
        <w:t>olitorius</w:t>
      </w:r>
      <w:proofErr w:type="spellEnd"/>
      <w:r w:rsidRPr="005830BB">
        <w:rPr>
          <w:rFonts w:ascii="Arial" w:eastAsia="Times New Roman" w:hAnsi="Arial" w:cs="Arial"/>
          <w:color w:val="000000" w:themeColor="text1"/>
          <w:sz w:val="20"/>
          <w:szCs w:val="24"/>
          <w:lang w:val="en-US" w:eastAsia="fr-FR"/>
        </w:rPr>
        <w:t xml:space="preserve"> and </w:t>
      </w:r>
      <w:r w:rsidRPr="005830BB">
        <w:rPr>
          <w:rFonts w:ascii="Arial" w:eastAsia="Times New Roman" w:hAnsi="Arial" w:cs="Arial"/>
          <w:i/>
          <w:color w:val="000000" w:themeColor="text1"/>
          <w:sz w:val="20"/>
          <w:szCs w:val="24"/>
          <w:lang w:val="en-US" w:eastAsia="fr-FR"/>
        </w:rPr>
        <w:t>Abelmoschus esculentus</w:t>
      </w:r>
      <w:r w:rsidRPr="005830BB">
        <w:rPr>
          <w:rFonts w:ascii="Arial" w:eastAsia="Times New Roman" w:hAnsi="Arial" w:cs="Arial"/>
          <w:color w:val="000000" w:themeColor="text1"/>
          <w:sz w:val="20"/>
          <w:szCs w:val="24"/>
          <w:lang w:val="en-US" w:eastAsia="fr-FR"/>
        </w:rPr>
        <w:t>. The moisture content varie</w:t>
      </w:r>
      <w:r w:rsidR="00B64B12" w:rsidRPr="005830BB">
        <w:rPr>
          <w:rFonts w:ascii="Arial" w:eastAsia="Times New Roman" w:hAnsi="Arial" w:cs="Arial"/>
          <w:color w:val="000000" w:themeColor="text1"/>
          <w:sz w:val="20"/>
          <w:szCs w:val="24"/>
          <w:lang w:val="en-US" w:eastAsia="fr-FR"/>
        </w:rPr>
        <w:t>d</w:t>
      </w:r>
      <w:r w:rsidRPr="005830BB">
        <w:rPr>
          <w:rFonts w:ascii="Arial" w:eastAsia="Times New Roman" w:hAnsi="Arial" w:cs="Arial"/>
          <w:color w:val="000000" w:themeColor="text1"/>
          <w:sz w:val="20"/>
          <w:szCs w:val="24"/>
          <w:lang w:val="en-US" w:eastAsia="fr-FR"/>
        </w:rPr>
        <w:t xml:space="preserve"> significantly, ranging from 5.36 ± 0.01 to 12.45 ± 0.18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 DM. These values indicate that the dehydration process effectively reduced the free water content in the leaves and fruits to levels below the permissible limit (15</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813887" w:rsidRPr="005830BB">
        <w:rPr>
          <w:rStyle w:val="fontstyle01"/>
          <w:rFonts w:ascii="Arial" w:hAnsi="Arial" w:cs="Arial"/>
          <w:color w:val="000000" w:themeColor="text1"/>
          <w:sz w:val="20"/>
          <w:szCs w:val="22"/>
        </w:rPr>
        <w:fldChar w:fldCharType="begin" w:fldLock="1"/>
      </w:r>
      <w:r w:rsidR="00E91D2D" w:rsidRPr="005830BB">
        <w:rPr>
          <w:rStyle w:val="fontstyle01"/>
          <w:rFonts w:ascii="Arial" w:hAnsi="Arial" w:cs="Arial"/>
          <w:color w:val="000000" w:themeColor="text1"/>
          <w:sz w:val="20"/>
          <w:szCs w:val="22"/>
          <w:lang w:val="en-US"/>
        </w:rPr>
        <w:instrText>ADDIN CSL_CITATION {"citationItems":[{"id":"ITEM-1","itemData":{"DOI":"10.1016/j.lwt.2010.06.036","ISSN":"00236438","abstract":"Extruded snacks were prepared from flour blends made with taro and nixtamalized (TF-NMF) or non-nixtamalized maize (TF-MF) using a single-screw extruder. A central composite design was used to investigate the effects of taro flour proportion in formulations (0-100 g/100 g) and extrusion temperatures (140-180 °C) on the following indices: expansion (EI), water solubility (WSI), water absorption (WAI) and fat absorption (FAI). Moreover, selected TF-NMF and TF-MF extruded products were partially characterized through proximate chemical analysis, resistant starch, color, pH, water activity, apparent density, hardness, and sensory analysis. Results indicated that EI and WSI of both TF-MF and TF-NMF extrudates were significantly increased by the use of higher proportions of taro flour, while the opposite behavior was observed for the FAI (p &lt; 0.05). Taro flour at higher proportions in both extrudates did not produce a significant change of WAI, while the use of higher extrusion temperatures only caused a significant increase of FAI in TF-MF extrudates (p &lt; 0.05). This study showed that flour mixtures made from taro and nixtamalized maize flour produced puffed extruded snacks with good consumer acceptance. © 2010 Elsevier Ltd.","author":[{"dropping-particle":"","family":"Rodríguez-Miranda","given":"J.","non-dropping-particle":"","parse-names":false,"suffix":""},{"dropping-particle":"","family":"Ruiz-López","given":"I. I.","non-dropping-particle":"","parse-names":false,"suffix":""},{"dropping-particle":"","family":"Herman-Lara","given":"E.","non-dropping-particle":"","parse-names":false,"suffix":""},{"dropping-particle":"","family":"Martínez-Sánchez","given":"C. E.","non-dropping-particle":"","parse-names":false,"suffix":""},{"dropping-particle":"","family":"Delgado-Licon","given":"E.","non-dropping-particle":"","parse-names":false,"suffix":""},{"dropping-particle":"","family":"Vivar-Vera","given":"M. A.","non-dropping-particle":"","parse-names":false,"suffix":""}],"container-title":"LWT","id":"ITEM-1","issue":"3","issued":{"date-parts":[["2011"]]},"page":"673-680","publisher":"Academic Press","title":"Development of extruded snacks using taro (Colocasia esculenta) and nixtamalized maize (Zea mays) flour blends","type":"article-journal","volume":"44"},"uris":["http://www.mendeley.com/documents/?uuid=3459299d-da3c-3581-85fb-008e1f9be45f"]}],"mendeley":{"formattedCitation":"(Rodríguez-Miranda et al., 2011)","plainTextFormattedCitation":"(Rodríguez-Miranda et al., 2011)","previouslyFormattedCitation":"(Rodríguez-Miranda et al., 2011)"},"properties":{"noteIndex":0},"schema":"https://github.com/citation-style-language/schema/raw/master/csl-citation.json"}</w:instrText>
      </w:r>
      <w:r w:rsidR="00813887" w:rsidRPr="005830BB">
        <w:rPr>
          <w:rStyle w:val="fontstyle01"/>
          <w:rFonts w:ascii="Arial" w:hAnsi="Arial" w:cs="Arial"/>
          <w:color w:val="000000" w:themeColor="text1"/>
          <w:sz w:val="20"/>
          <w:szCs w:val="22"/>
        </w:rPr>
        <w:fldChar w:fldCharType="separate"/>
      </w:r>
      <w:r w:rsidR="00302617" w:rsidRPr="005830BB">
        <w:rPr>
          <w:rStyle w:val="fontstyle01"/>
          <w:rFonts w:ascii="Arial" w:hAnsi="Arial" w:cs="Arial"/>
          <w:noProof/>
          <w:color w:val="000000" w:themeColor="text1"/>
          <w:sz w:val="20"/>
          <w:szCs w:val="22"/>
          <w:lang w:val="en-US"/>
        </w:rPr>
        <w:t>(Rodríguez-Miranda et al., 2011)</w:t>
      </w:r>
      <w:r w:rsidR="00813887" w:rsidRPr="005830BB">
        <w:rPr>
          <w:rStyle w:val="fontstyle01"/>
          <w:rFonts w:ascii="Arial" w:hAnsi="Arial" w:cs="Arial"/>
          <w:color w:val="000000" w:themeColor="text1"/>
          <w:sz w:val="20"/>
          <w:szCs w:val="22"/>
        </w:rPr>
        <w:fldChar w:fldCharType="end"/>
      </w:r>
      <w:r w:rsidR="00813887" w:rsidRPr="005830BB">
        <w:rPr>
          <w:rStyle w:val="fontstyle01"/>
          <w:rFonts w:ascii="Arial" w:hAnsi="Arial" w:cs="Arial"/>
          <w:noProof/>
          <w:color w:val="000000" w:themeColor="text1"/>
          <w:sz w:val="20"/>
          <w:szCs w:val="22"/>
          <w:lang w:val="en-US"/>
        </w:rPr>
        <w:t xml:space="preserve">. </w:t>
      </w:r>
      <w:r w:rsidRPr="005830BB">
        <w:rPr>
          <w:rFonts w:ascii="Arial" w:eastAsia="Times New Roman" w:hAnsi="Arial" w:cs="Arial"/>
          <w:color w:val="000000" w:themeColor="text1"/>
          <w:sz w:val="20"/>
          <w:szCs w:val="24"/>
          <w:lang w:val="en-US" w:eastAsia="fr-FR"/>
        </w:rPr>
        <w:t xml:space="preserve">Water serves as a solvent that promotes the growth of food spoilage microorganisms. A </w:t>
      </w:r>
      <w:r w:rsidR="000E7CA4" w:rsidRPr="005830BB">
        <w:rPr>
          <w:rFonts w:ascii="Arial" w:eastAsia="Times New Roman" w:hAnsi="Arial" w:cs="Arial"/>
          <w:color w:val="000000" w:themeColor="text1"/>
          <w:sz w:val="20"/>
          <w:szCs w:val="24"/>
          <w:lang w:val="en-US" w:eastAsia="fr-FR"/>
        </w:rPr>
        <w:t>high-water</w:t>
      </w:r>
      <w:r w:rsidRPr="005830BB">
        <w:rPr>
          <w:rFonts w:ascii="Arial" w:eastAsia="Times New Roman" w:hAnsi="Arial" w:cs="Arial"/>
          <w:color w:val="000000" w:themeColor="text1"/>
          <w:sz w:val="20"/>
          <w:szCs w:val="24"/>
          <w:lang w:val="en-US" w:eastAsia="fr-FR"/>
        </w:rPr>
        <w:t xml:space="preserve"> content in fruits and vegetables increases their water activity, thereby enhancing their perishability. The observed reduction in water content thus ensures that the powders can be stored for extended periods. Additionally, the moisture contents obtained in this study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also utilized to calculate the contents of other compounds in the powders on a dry basis. Comparable results (8.00 to 13.5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reported by</w:t>
      </w:r>
      <w:r w:rsidR="00F41149" w:rsidRPr="005830BB">
        <w:rPr>
          <w:rFonts w:ascii="Arial" w:eastAsia="Times New Roman" w:hAnsi="Arial" w:cs="Arial"/>
          <w:color w:val="000000" w:themeColor="text1"/>
          <w:sz w:val="20"/>
          <w:szCs w:val="24"/>
          <w:lang w:val="en-US" w:eastAsia="fr-FR"/>
        </w:rPr>
        <w:t xml:space="preserve"> </w:t>
      </w:r>
      <w:r w:rsidR="00F41149" w:rsidRPr="005830BB">
        <w:rPr>
          <w:rFonts w:ascii="Arial" w:eastAsia="Times New Roman" w:hAnsi="Arial" w:cs="Arial"/>
          <w:color w:val="000000" w:themeColor="text1"/>
          <w:sz w:val="20"/>
          <w:szCs w:val="24"/>
          <w:lang w:val="en-US" w:eastAsia="fr-FR"/>
        </w:rPr>
        <w:fldChar w:fldCharType="begin" w:fldLock="1"/>
      </w:r>
      <w:r w:rsidR="00E91D2D" w:rsidRPr="005830BB">
        <w:rPr>
          <w:rFonts w:ascii="Arial" w:eastAsia="Times New Roman" w:hAnsi="Arial" w:cs="Arial"/>
          <w:color w:val="000000" w:themeColor="text1"/>
          <w:sz w:val="20"/>
          <w:szCs w:val="24"/>
          <w:lang w:val="en-US" w:eastAsia="fr-FR"/>
        </w:rPr>
        <w:instrText>ADDIN CSL_CITATION {"citationItems":[{"id":"ITEM-1","itemData":{"DOI":"http://dx.doi.org/10.18006/2015.3(6).541.555","author":[{"dropping-particle":"","family":"Assiéné","given":"Agamou Julien Armel","non-dropping-particle":"","parse-names":false,"suffix":""},{"dropping-particle":"","family":"Fombang","given":"Edith N","non-dropping-particle":"","parse-names":false,"suffix":""},{"dropping-particle":"","family":"Mbofung","given":"Carl M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maturity","type":"article-journal","volume":"3"},"uris":["http://www.mendeley.com/documents/?uuid=ad6677fd-8485-431e-b9d6-9c126b256813"]}],"mendeley":{"formattedCitation":"(Assiéné et al., 2015)","manualFormatting":"Assiéné et al. (2015)","plainTextFormattedCitation":"(Assiéné et al., 2015)","previouslyFormattedCitation":"(Assiéné et al., 2015)"},"properties":{"noteIndex":0},"schema":"https://github.com/citation-style-language/schema/raw/master/csl-citation.json"}</w:instrText>
      </w:r>
      <w:r w:rsidR="00F41149" w:rsidRPr="005830BB">
        <w:rPr>
          <w:rFonts w:ascii="Arial" w:eastAsia="Times New Roman" w:hAnsi="Arial" w:cs="Arial"/>
          <w:color w:val="000000" w:themeColor="text1"/>
          <w:sz w:val="20"/>
          <w:szCs w:val="24"/>
          <w:lang w:val="en-US" w:eastAsia="fr-FR"/>
        </w:rPr>
        <w:fldChar w:fldCharType="separate"/>
      </w:r>
      <w:r w:rsidR="00302617" w:rsidRPr="005830BB">
        <w:rPr>
          <w:rFonts w:ascii="Arial" w:eastAsia="Times New Roman" w:hAnsi="Arial" w:cs="Arial"/>
          <w:noProof/>
          <w:color w:val="000000" w:themeColor="text1"/>
          <w:sz w:val="20"/>
          <w:szCs w:val="24"/>
          <w:lang w:val="en-US" w:eastAsia="fr-FR"/>
        </w:rPr>
        <w:t>Assiéné et al.</w:t>
      </w:r>
      <w:r w:rsidR="00835B30" w:rsidRPr="005830BB">
        <w:rPr>
          <w:rFonts w:ascii="Arial" w:eastAsia="Times New Roman" w:hAnsi="Arial" w:cs="Arial"/>
          <w:noProof/>
          <w:color w:val="000000" w:themeColor="text1"/>
          <w:sz w:val="20"/>
          <w:szCs w:val="24"/>
          <w:lang w:val="en-US" w:eastAsia="fr-FR"/>
        </w:rPr>
        <w:t xml:space="preserve"> (</w:t>
      </w:r>
      <w:r w:rsidR="00302617" w:rsidRPr="005830BB">
        <w:rPr>
          <w:rFonts w:ascii="Arial" w:eastAsia="Times New Roman" w:hAnsi="Arial" w:cs="Arial"/>
          <w:noProof/>
          <w:color w:val="000000" w:themeColor="text1"/>
          <w:sz w:val="20"/>
          <w:szCs w:val="24"/>
          <w:lang w:val="en-US" w:eastAsia="fr-FR"/>
        </w:rPr>
        <w:t>2015)</w:t>
      </w:r>
      <w:r w:rsidR="00F41149" w:rsidRPr="005830BB">
        <w:rPr>
          <w:rFonts w:ascii="Arial" w:eastAsia="Times New Roman" w:hAnsi="Arial" w:cs="Arial"/>
          <w:color w:val="000000" w:themeColor="text1"/>
          <w:sz w:val="20"/>
          <w:szCs w:val="24"/>
          <w:lang w:val="en-US" w:eastAsia="fr-FR"/>
        </w:rPr>
        <w:fldChar w:fldCharType="end"/>
      </w:r>
      <w:r w:rsidR="007D40F7"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for leafy vegetables from various localities in Cameroon.</w:t>
      </w:r>
    </w:p>
    <w:p w14:paraId="51342C0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92E01F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C6BEC3"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FF3EBFB"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489A1104"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6FA53D18"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6C4568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F1B06D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64A556A"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153772C" w14:textId="77777777" w:rsidR="00E46855" w:rsidRPr="005830BB"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73D5F72" w14:textId="77777777" w:rsidR="00B83C44" w:rsidRPr="00835B30" w:rsidRDefault="006869C0" w:rsidP="008B25B9">
      <w:pPr>
        <w:spacing w:after="0" w:line="360" w:lineRule="auto"/>
        <w:jc w:val="both"/>
        <w:rPr>
          <w:rStyle w:val="fontstyle01"/>
          <w:rFonts w:ascii="Arial" w:hAnsi="Arial" w:cs="Arial"/>
          <w:i/>
          <w:color w:val="000000" w:themeColor="text1"/>
          <w:sz w:val="20"/>
          <w:szCs w:val="22"/>
          <w:lang w:val="en-US"/>
        </w:rPr>
      </w:pPr>
      <w:r w:rsidRPr="00835B30">
        <w:rPr>
          <w:rStyle w:val="fontstyle01"/>
          <w:rFonts w:ascii="Arial" w:hAnsi="Arial" w:cs="Arial"/>
          <w:color w:val="000000" w:themeColor="text1"/>
          <w:sz w:val="20"/>
          <w:szCs w:val="22"/>
          <w:lang w:val="en-US"/>
        </w:rPr>
        <w:t>Table</w:t>
      </w:r>
      <w:r w:rsidR="00CA1DAB" w:rsidRPr="00835B30">
        <w:rPr>
          <w:rStyle w:val="fontstyle01"/>
          <w:rFonts w:ascii="Arial" w:hAnsi="Arial" w:cs="Arial"/>
          <w:color w:val="000000" w:themeColor="text1"/>
          <w:sz w:val="20"/>
          <w:szCs w:val="22"/>
          <w:lang w:val="en-US"/>
        </w:rPr>
        <w:t xml:space="preserve"> </w:t>
      </w:r>
      <w:r w:rsidR="005A7E94" w:rsidRPr="00835B30">
        <w:rPr>
          <w:rStyle w:val="fontstyle01"/>
          <w:rFonts w:ascii="Arial" w:hAnsi="Arial" w:cs="Arial"/>
          <w:color w:val="000000" w:themeColor="text1"/>
          <w:sz w:val="20"/>
          <w:szCs w:val="22"/>
          <w:lang w:val="en-US"/>
        </w:rPr>
        <w:t>2</w:t>
      </w:r>
      <w:r w:rsidRPr="00835B30">
        <w:rPr>
          <w:rStyle w:val="fontstyle01"/>
          <w:rFonts w:ascii="Arial" w:hAnsi="Arial" w:cs="Arial"/>
          <w:color w:val="000000" w:themeColor="text1"/>
          <w:sz w:val="20"/>
          <w:szCs w:val="22"/>
          <w:lang w:val="en-US"/>
        </w:rPr>
        <w:t>:</w:t>
      </w:r>
      <w:r w:rsidR="00B83C44" w:rsidRPr="00835B30">
        <w:rPr>
          <w:rStyle w:val="fontstyle01"/>
          <w:rFonts w:ascii="Arial" w:hAnsi="Arial" w:cs="Arial"/>
          <w:color w:val="000000" w:themeColor="text1"/>
          <w:sz w:val="20"/>
          <w:szCs w:val="22"/>
          <w:lang w:val="en-US"/>
        </w:rPr>
        <w:t xml:space="preserve"> </w:t>
      </w:r>
      <w:r w:rsidR="00314300" w:rsidRPr="00835B30">
        <w:rPr>
          <w:rStyle w:val="fontstyle01"/>
          <w:rFonts w:ascii="Arial" w:hAnsi="Arial" w:cs="Arial"/>
          <w:color w:val="000000" w:themeColor="text1"/>
          <w:sz w:val="20"/>
          <w:szCs w:val="22"/>
          <w:lang w:val="en-US"/>
        </w:rPr>
        <w:t>Nutrient contents</w:t>
      </w:r>
      <w:r w:rsidR="00CE2651" w:rsidRPr="00835B30">
        <w:rPr>
          <w:rStyle w:val="fontstyle01"/>
          <w:rFonts w:ascii="Arial" w:hAnsi="Arial" w:cs="Arial"/>
          <w:color w:val="000000" w:themeColor="text1"/>
          <w:sz w:val="20"/>
          <w:szCs w:val="22"/>
          <w:lang w:val="en-US"/>
        </w:rPr>
        <w:t xml:space="preserve"> of </w:t>
      </w:r>
      <w:r w:rsidR="00B64B12" w:rsidRPr="00835B30">
        <w:rPr>
          <w:rStyle w:val="fontstyle01"/>
          <w:rFonts w:ascii="Arial" w:hAnsi="Arial" w:cs="Arial"/>
          <w:color w:val="000000" w:themeColor="text1"/>
          <w:sz w:val="20"/>
          <w:szCs w:val="22"/>
          <w:lang w:val="en-US"/>
        </w:rPr>
        <w:t xml:space="preserve">the </w:t>
      </w:r>
      <w:r w:rsidR="00CE2651" w:rsidRPr="00835B30">
        <w:rPr>
          <w:rStyle w:val="fontstyle01"/>
          <w:rFonts w:ascii="Arial" w:hAnsi="Arial" w:cs="Arial"/>
          <w:color w:val="000000" w:themeColor="text1"/>
          <w:sz w:val="20"/>
          <w:szCs w:val="22"/>
          <w:lang w:val="en-US"/>
        </w:rPr>
        <w:t>leave</w:t>
      </w:r>
      <w:r w:rsidR="00B64B12" w:rsidRPr="00835B30">
        <w:rPr>
          <w:rStyle w:val="fontstyle01"/>
          <w:rFonts w:ascii="Arial" w:hAnsi="Arial" w:cs="Arial"/>
          <w:color w:val="000000" w:themeColor="text1"/>
          <w:sz w:val="20"/>
          <w:szCs w:val="22"/>
          <w:lang w:val="en-US"/>
        </w:rPr>
        <w:t>s</w:t>
      </w:r>
      <w:r w:rsidR="00CE2651" w:rsidRPr="00835B30">
        <w:rPr>
          <w:rStyle w:val="fontstyle01"/>
          <w:rFonts w:ascii="Arial" w:hAnsi="Arial" w:cs="Arial"/>
          <w:color w:val="000000" w:themeColor="text1"/>
          <w:sz w:val="20"/>
          <w:szCs w:val="22"/>
          <w:lang w:val="en-US"/>
        </w:rPr>
        <w:t xml:space="preserve"> and fruit powders of </w:t>
      </w:r>
      <w:r w:rsidR="00CE2651" w:rsidRPr="00835B30">
        <w:rPr>
          <w:rStyle w:val="fontstyle01"/>
          <w:rFonts w:ascii="Arial" w:hAnsi="Arial" w:cs="Arial"/>
          <w:i/>
          <w:color w:val="000000" w:themeColor="text1"/>
          <w:sz w:val="20"/>
          <w:szCs w:val="22"/>
          <w:lang w:val="en-US"/>
        </w:rPr>
        <w:t xml:space="preserve">Corchorus </w:t>
      </w:r>
      <w:proofErr w:type="spellStart"/>
      <w:r w:rsidR="00CE2651" w:rsidRPr="00835B30">
        <w:rPr>
          <w:rStyle w:val="fontstyle01"/>
          <w:rFonts w:ascii="Arial" w:hAnsi="Arial" w:cs="Arial"/>
          <w:i/>
          <w:color w:val="000000" w:themeColor="text1"/>
          <w:sz w:val="20"/>
          <w:szCs w:val="22"/>
          <w:lang w:val="en-US"/>
        </w:rPr>
        <w:t>olitorius</w:t>
      </w:r>
      <w:proofErr w:type="spellEnd"/>
      <w:r w:rsidR="00CE2651" w:rsidRPr="00835B30">
        <w:rPr>
          <w:rStyle w:val="fontstyle01"/>
          <w:rFonts w:ascii="Arial" w:hAnsi="Arial" w:cs="Arial"/>
          <w:color w:val="000000" w:themeColor="text1"/>
          <w:sz w:val="20"/>
          <w:szCs w:val="22"/>
          <w:lang w:val="en-US"/>
        </w:rPr>
        <w:t xml:space="preserve"> and </w:t>
      </w:r>
      <w:r w:rsidR="00CE2651" w:rsidRPr="00835B30">
        <w:rPr>
          <w:rStyle w:val="fontstyle01"/>
          <w:rFonts w:ascii="Arial" w:hAnsi="Arial" w:cs="Arial"/>
          <w:i/>
          <w:color w:val="000000" w:themeColor="text1"/>
          <w:sz w:val="20"/>
          <w:szCs w:val="22"/>
          <w:lang w:val="en-US"/>
        </w:rPr>
        <w:t>Abelmoschus esculentus</w:t>
      </w:r>
    </w:p>
    <w:tbl>
      <w:tblPr>
        <w:tblStyle w:val="TableGrid"/>
        <w:tblW w:w="9647" w:type="dxa"/>
        <w:tblLook w:val="04A0" w:firstRow="1" w:lastRow="0" w:firstColumn="1" w:lastColumn="0" w:noHBand="0" w:noVBand="1"/>
      </w:tblPr>
      <w:tblGrid>
        <w:gridCol w:w="2992"/>
        <w:gridCol w:w="1990"/>
        <w:gridCol w:w="1464"/>
        <w:gridCol w:w="1723"/>
        <w:gridCol w:w="1468"/>
        <w:gridCol w:w="10"/>
      </w:tblGrid>
      <w:tr w:rsidR="00175578" w:rsidRPr="005250A4" w14:paraId="3CC959D2" w14:textId="77777777" w:rsidTr="00F43035">
        <w:trPr>
          <w:trHeight w:val="425"/>
        </w:trPr>
        <w:tc>
          <w:tcPr>
            <w:tcW w:w="2992" w:type="dxa"/>
            <w:vMerge w:val="restart"/>
            <w:tcBorders>
              <w:left w:val="nil"/>
              <w:bottom w:val="nil"/>
              <w:right w:val="nil"/>
            </w:tcBorders>
            <w:vAlign w:val="center"/>
          </w:tcPr>
          <w:bookmarkEnd w:id="2"/>
          <w:p w14:paraId="78835EB2" w14:textId="77777777" w:rsidR="00E74B83" w:rsidRPr="005250A4" w:rsidRDefault="00EC6458" w:rsidP="00A779DF">
            <w:pPr>
              <w:rPr>
                <w:rFonts w:ascii="Arial" w:hAnsi="Arial" w:cs="Arial"/>
                <w:b/>
                <w:color w:val="000000" w:themeColor="text1"/>
                <w:sz w:val="16"/>
                <w:szCs w:val="12"/>
              </w:rPr>
            </w:pPr>
            <w:proofErr w:type="spellStart"/>
            <w:r w:rsidRPr="005250A4">
              <w:rPr>
                <w:rFonts w:ascii="Arial" w:hAnsi="Arial" w:cs="Arial"/>
                <w:b/>
                <w:color w:val="000000" w:themeColor="text1"/>
                <w:sz w:val="16"/>
                <w:szCs w:val="12"/>
              </w:rPr>
              <w:t>Nutrients</w:t>
            </w:r>
            <w:proofErr w:type="spellEnd"/>
          </w:p>
        </w:tc>
        <w:tc>
          <w:tcPr>
            <w:tcW w:w="3454" w:type="dxa"/>
            <w:gridSpan w:val="2"/>
            <w:tcBorders>
              <w:left w:val="nil"/>
              <w:bottom w:val="nil"/>
              <w:right w:val="nil"/>
            </w:tcBorders>
            <w:vAlign w:val="center"/>
          </w:tcPr>
          <w:p w14:paraId="62D4BB0A" w14:textId="77777777" w:rsidR="00E74B83" w:rsidRPr="005250A4" w:rsidRDefault="00A23FF2" w:rsidP="00A23FF2">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Corchorus</w:t>
            </w:r>
            <w:proofErr w:type="spellEnd"/>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olitorius</w:t>
            </w:r>
            <w:proofErr w:type="spellEnd"/>
            <w:r w:rsidRPr="005250A4">
              <w:rPr>
                <w:rFonts w:ascii="Arial" w:eastAsia="Calibri" w:hAnsi="Arial" w:cs="Arial"/>
                <w:color w:val="000000" w:themeColor="text1"/>
                <w:kern w:val="24"/>
                <w:sz w:val="16"/>
                <w:szCs w:val="12"/>
              </w:rPr>
              <w:t xml:space="preserve"> </w:t>
            </w:r>
          </w:p>
        </w:tc>
        <w:tc>
          <w:tcPr>
            <w:tcW w:w="3201" w:type="dxa"/>
            <w:gridSpan w:val="3"/>
            <w:tcBorders>
              <w:left w:val="nil"/>
              <w:bottom w:val="nil"/>
              <w:right w:val="nil"/>
            </w:tcBorders>
            <w:vAlign w:val="center"/>
          </w:tcPr>
          <w:p w14:paraId="16184986" w14:textId="77777777" w:rsidR="00E74B83" w:rsidRPr="005250A4" w:rsidRDefault="00A23FF2" w:rsidP="00A779DF">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Abelmoschus</w:t>
            </w:r>
            <w:proofErr w:type="spellEnd"/>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esculentus</w:t>
            </w:r>
            <w:proofErr w:type="spellEnd"/>
          </w:p>
        </w:tc>
      </w:tr>
      <w:tr w:rsidR="00175578" w:rsidRPr="005250A4" w14:paraId="60A6EB41" w14:textId="77777777" w:rsidTr="0081225C">
        <w:trPr>
          <w:trHeight w:val="380"/>
        </w:trPr>
        <w:tc>
          <w:tcPr>
            <w:tcW w:w="2992" w:type="dxa"/>
            <w:vMerge/>
            <w:tcBorders>
              <w:top w:val="nil"/>
              <w:left w:val="nil"/>
              <w:bottom w:val="nil"/>
              <w:right w:val="nil"/>
            </w:tcBorders>
            <w:vAlign w:val="center"/>
          </w:tcPr>
          <w:p w14:paraId="1387935A" w14:textId="77777777" w:rsidR="00E74B83" w:rsidRPr="005250A4" w:rsidRDefault="00E74B83" w:rsidP="00A779DF">
            <w:pPr>
              <w:rPr>
                <w:rFonts w:ascii="Arial" w:hAnsi="Arial" w:cs="Arial"/>
                <w:color w:val="000000" w:themeColor="text1"/>
                <w:sz w:val="16"/>
                <w:szCs w:val="12"/>
              </w:rPr>
            </w:pPr>
          </w:p>
        </w:tc>
        <w:tc>
          <w:tcPr>
            <w:tcW w:w="1990" w:type="dxa"/>
            <w:tcBorders>
              <w:top w:val="nil"/>
              <w:left w:val="nil"/>
              <w:bottom w:val="nil"/>
              <w:right w:val="nil"/>
            </w:tcBorders>
            <w:vAlign w:val="center"/>
          </w:tcPr>
          <w:p w14:paraId="532C90CD" w14:textId="77777777" w:rsidR="00E74B83" w:rsidRPr="005250A4" w:rsidRDefault="00E74B83" w:rsidP="00A779DF">
            <w:pPr>
              <w:jc w:val="center"/>
              <w:rPr>
                <w:rFonts w:ascii="Arial" w:hAnsi="Arial" w:cs="Arial"/>
                <w:color w:val="000000" w:themeColor="text1"/>
                <w:sz w:val="16"/>
                <w:szCs w:val="12"/>
              </w:rPr>
            </w:pPr>
            <w:proofErr w:type="spellStart"/>
            <w:r w:rsidRPr="005250A4">
              <w:rPr>
                <w:rFonts w:ascii="Arial" w:hAnsi="Arial" w:cs="Arial"/>
                <w:color w:val="000000" w:themeColor="text1"/>
                <w:sz w:val="16"/>
                <w:szCs w:val="12"/>
              </w:rPr>
              <w:t>Leave</w:t>
            </w:r>
            <w:proofErr w:type="spellEnd"/>
          </w:p>
        </w:tc>
        <w:tc>
          <w:tcPr>
            <w:tcW w:w="1464" w:type="dxa"/>
            <w:tcBorders>
              <w:top w:val="nil"/>
              <w:left w:val="nil"/>
              <w:bottom w:val="nil"/>
              <w:right w:val="nil"/>
            </w:tcBorders>
            <w:vAlign w:val="center"/>
          </w:tcPr>
          <w:p w14:paraId="6FBBEFA5"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c>
          <w:tcPr>
            <w:tcW w:w="1723" w:type="dxa"/>
            <w:tcBorders>
              <w:top w:val="nil"/>
              <w:left w:val="nil"/>
              <w:bottom w:val="nil"/>
              <w:right w:val="nil"/>
            </w:tcBorders>
            <w:vAlign w:val="center"/>
          </w:tcPr>
          <w:p w14:paraId="17E591B8" w14:textId="77777777" w:rsidR="00E74B83" w:rsidRPr="005250A4" w:rsidRDefault="00E74B83" w:rsidP="00A779DF">
            <w:pPr>
              <w:jc w:val="center"/>
              <w:rPr>
                <w:rFonts w:ascii="Arial" w:hAnsi="Arial" w:cs="Arial"/>
                <w:color w:val="000000" w:themeColor="text1"/>
                <w:sz w:val="16"/>
                <w:szCs w:val="12"/>
              </w:rPr>
            </w:pPr>
            <w:proofErr w:type="spellStart"/>
            <w:r w:rsidRPr="005250A4">
              <w:rPr>
                <w:rFonts w:ascii="Arial" w:hAnsi="Arial" w:cs="Arial"/>
                <w:color w:val="000000" w:themeColor="text1"/>
                <w:sz w:val="16"/>
                <w:szCs w:val="12"/>
              </w:rPr>
              <w:t>Leave</w:t>
            </w:r>
            <w:proofErr w:type="spellEnd"/>
          </w:p>
        </w:tc>
        <w:tc>
          <w:tcPr>
            <w:tcW w:w="1478" w:type="dxa"/>
            <w:gridSpan w:val="2"/>
            <w:tcBorders>
              <w:top w:val="nil"/>
              <w:left w:val="nil"/>
              <w:bottom w:val="nil"/>
              <w:right w:val="nil"/>
            </w:tcBorders>
            <w:vAlign w:val="center"/>
          </w:tcPr>
          <w:p w14:paraId="5D13EE39"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r>
      <w:tr w:rsidR="00175578" w:rsidRPr="00A65703" w14:paraId="41F9BE6A" w14:textId="77777777" w:rsidTr="00E34882">
        <w:trPr>
          <w:gridAfter w:val="1"/>
          <w:wAfter w:w="10" w:type="dxa"/>
          <w:trHeight w:val="418"/>
        </w:trPr>
        <w:tc>
          <w:tcPr>
            <w:tcW w:w="9637" w:type="dxa"/>
            <w:gridSpan w:val="5"/>
            <w:tcBorders>
              <w:top w:val="single" w:sz="4" w:space="0" w:color="auto"/>
              <w:left w:val="nil"/>
              <w:bottom w:val="single" w:sz="4" w:space="0" w:color="auto"/>
              <w:right w:val="nil"/>
            </w:tcBorders>
          </w:tcPr>
          <w:p w14:paraId="7E9C01B0" w14:textId="77777777" w:rsidR="00EF5701" w:rsidRPr="005250A4" w:rsidRDefault="007E4060" w:rsidP="00526E41">
            <w:pPr>
              <w:spacing w:before="240" w:line="360" w:lineRule="auto"/>
              <w:rPr>
                <w:rFonts w:ascii="Arial" w:hAnsi="Arial" w:cs="Arial"/>
                <w:b/>
                <w:color w:val="000000" w:themeColor="text1"/>
                <w:sz w:val="16"/>
                <w:szCs w:val="12"/>
                <w:lang w:val="en-US"/>
              </w:rPr>
            </w:pPr>
            <w:r w:rsidRPr="005250A4">
              <w:rPr>
                <w:rFonts w:ascii="Arial" w:hAnsi="Arial" w:cs="Arial"/>
                <w:b/>
                <w:color w:val="000000" w:themeColor="text1"/>
                <w:sz w:val="16"/>
                <w:szCs w:val="12"/>
                <w:lang w:val="en-US"/>
              </w:rPr>
              <w:t xml:space="preserve">Proximate </w:t>
            </w:r>
            <w:r w:rsidR="00653D48" w:rsidRPr="005250A4">
              <w:rPr>
                <w:rFonts w:ascii="Arial" w:hAnsi="Arial" w:cs="Arial"/>
                <w:b/>
                <w:color w:val="000000" w:themeColor="text1"/>
                <w:sz w:val="16"/>
                <w:szCs w:val="12"/>
                <w:lang w:val="en-US"/>
              </w:rPr>
              <w:t>composition (</w:t>
            </w:r>
            <w:r w:rsidR="00EF5701" w:rsidRPr="005250A4">
              <w:rPr>
                <w:rFonts w:ascii="Arial" w:hAnsi="Arial" w:cs="Arial"/>
                <w:b/>
                <w:color w:val="000000" w:themeColor="text1"/>
                <w:sz w:val="16"/>
                <w:szCs w:val="12"/>
                <w:lang w:val="en-US"/>
              </w:rPr>
              <w:t>g/100</w:t>
            </w:r>
            <w:r w:rsidR="00B64B12" w:rsidRPr="005250A4">
              <w:rPr>
                <w:rFonts w:ascii="Arial" w:hAnsi="Arial" w:cs="Arial"/>
                <w:b/>
                <w:color w:val="000000" w:themeColor="text1"/>
                <w:sz w:val="16"/>
                <w:szCs w:val="12"/>
                <w:lang w:val="en-US"/>
              </w:rPr>
              <w:t xml:space="preserve"> </w:t>
            </w:r>
            <w:r w:rsidR="00EF5701" w:rsidRPr="005250A4">
              <w:rPr>
                <w:rFonts w:ascii="Arial" w:hAnsi="Arial" w:cs="Arial"/>
                <w:b/>
                <w:color w:val="000000" w:themeColor="text1"/>
                <w:sz w:val="16"/>
                <w:szCs w:val="12"/>
                <w:lang w:val="en-US"/>
              </w:rPr>
              <w:t>g DM)</w:t>
            </w:r>
            <w:r w:rsidR="00FA4CF5" w:rsidRPr="005250A4">
              <w:rPr>
                <w:rFonts w:ascii="Arial" w:hAnsi="Arial" w:cs="Arial"/>
                <w:b/>
                <w:color w:val="000000" w:themeColor="text1"/>
                <w:sz w:val="16"/>
                <w:szCs w:val="12"/>
                <w:lang w:val="en-US"/>
              </w:rPr>
              <w:t xml:space="preserve"> and Energy </w:t>
            </w:r>
            <w:r w:rsidR="000F5664" w:rsidRPr="005250A4">
              <w:rPr>
                <w:rFonts w:ascii="Arial" w:hAnsi="Arial" w:cs="Arial"/>
                <w:b/>
                <w:color w:val="000000" w:themeColor="text1"/>
                <w:sz w:val="16"/>
                <w:szCs w:val="12"/>
                <w:lang w:val="en-US"/>
              </w:rPr>
              <w:t>(Kcal/100</w:t>
            </w:r>
            <w:r w:rsidR="00B64B12" w:rsidRPr="005250A4">
              <w:rPr>
                <w:rFonts w:ascii="Arial" w:hAnsi="Arial" w:cs="Arial"/>
                <w:b/>
                <w:color w:val="000000" w:themeColor="text1"/>
                <w:sz w:val="16"/>
                <w:szCs w:val="12"/>
                <w:lang w:val="en-US"/>
              </w:rPr>
              <w:t xml:space="preserve"> </w:t>
            </w:r>
            <w:r w:rsidR="000F5664" w:rsidRPr="005250A4">
              <w:rPr>
                <w:rFonts w:ascii="Arial" w:hAnsi="Arial" w:cs="Arial"/>
                <w:b/>
                <w:color w:val="000000" w:themeColor="text1"/>
                <w:sz w:val="16"/>
                <w:szCs w:val="12"/>
                <w:lang w:val="en-US"/>
              </w:rPr>
              <w:t>g DM)</w:t>
            </w:r>
          </w:p>
        </w:tc>
      </w:tr>
      <w:tr w:rsidR="00175578" w:rsidRPr="005250A4" w14:paraId="26F88377" w14:textId="77777777" w:rsidTr="008F1E5E">
        <w:trPr>
          <w:trHeight w:val="116"/>
        </w:trPr>
        <w:tc>
          <w:tcPr>
            <w:tcW w:w="2992" w:type="dxa"/>
            <w:tcBorders>
              <w:top w:val="nil"/>
              <w:left w:val="nil"/>
              <w:bottom w:val="nil"/>
              <w:right w:val="nil"/>
            </w:tcBorders>
            <w:vAlign w:val="center"/>
          </w:tcPr>
          <w:p w14:paraId="250ABD8E" w14:textId="77777777" w:rsidR="0081225C" w:rsidRPr="005250A4" w:rsidRDefault="0081225C" w:rsidP="00474B85">
            <w:pPr>
              <w:spacing w:before="240"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Moisture</w:t>
            </w:r>
            <w:proofErr w:type="spellEnd"/>
            <w:r w:rsidRPr="005250A4">
              <w:rPr>
                <w:rFonts w:ascii="Arial" w:hAnsi="Arial" w:cs="Arial"/>
                <w:color w:val="000000" w:themeColor="text1"/>
                <w:sz w:val="16"/>
                <w:szCs w:val="12"/>
              </w:rPr>
              <w:t xml:space="preserve"> content </w:t>
            </w:r>
          </w:p>
        </w:tc>
        <w:tc>
          <w:tcPr>
            <w:tcW w:w="1990" w:type="dxa"/>
            <w:tcBorders>
              <w:top w:val="nil"/>
              <w:left w:val="nil"/>
              <w:bottom w:val="nil"/>
              <w:right w:val="nil"/>
            </w:tcBorders>
            <w:vAlign w:val="center"/>
          </w:tcPr>
          <w:p w14:paraId="2816AA48"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5.36 ±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88F60C1"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8.53 ± 0.04</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F7F825C"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9.08 ± 0.03</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59B8F0BE"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12.45 ± 0.18</w:t>
            </w:r>
            <w:r w:rsidRPr="005250A4">
              <w:rPr>
                <w:rFonts w:ascii="Arial" w:hAnsi="Arial" w:cs="Arial"/>
                <w:color w:val="000000" w:themeColor="text1"/>
                <w:sz w:val="16"/>
                <w:szCs w:val="12"/>
                <w:vertAlign w:val="superscript"/>
              </w:rPr>
              <w:t>d</w:t>
            </w:r>
          </w:p>
        </w:tc>
      </w:tr>
      <w:tr w:rsidR="00175578" w:rsidRPr="005250A4" w14:paraId="55E26110" w14:textId="77777777" w:rsidTr="0081225C">
        <w:trPr>
          <w:trHeight w:val="116"/>
        </w:trPr>
        <w:tc>
          <w:tcPr>
            <w:tcW w:w="2992" w:type="dxa"/>
            <w:tcBorders>
              <w:top w:val="nil"/>
              <w:left w:val="nil"/>
              <w:bottom w:val="nil"/>
              <w:right w:val="nil"/>
            </w:tcBorders>
          </w:tcPr>
          <w:p w14:paraId="26D828ED"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protein</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4DA6C485"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20.63 ± 0.10</w:t>
            </w:r>
            <w:r w:rsidRPr="005250A4">
              <w:rPr>
                <w:rFonts w:ascii="Arial" w:hAnsi="Arial" w:cs="Arial"/>
                <w:color w:val="000000" w:themeColor="text1"/>
                <w:sz w:val="16"/>
                <w:szCs w:val="12"/>
                <w:vertAlign w:val="superscript"/>
              </w:rPr>
              <w:t>d</w:t>
            </w:r>
          </w:p>
        </w:tc>
        <w:tc>
          <w:tcPr>
            <w:tcW w:w="1464" w:type="dxa"/>
            <w:tcBorders>
              <w:top w:val="nil"/>
              <w:left w:val="nil"/>
              <w:bottom w:val="nil"/>
              <w:right w:val="nil"/>
            </w:tcBorders>
            <w:vAlign w:val="center"/>
          </w:tcPr>
          <w:p w14:paraId="11CDF38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10.42 ± 0.20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2504CB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18.87 ± 0.10</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43EF7ED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15.52 ± 0.30</w:t>
            </w:r>
            <w:r w:rsidRPr="005250A4">
              <w:rPr>
                <w:rFonts w:ascii="Arial" w:hAnsi="Arial" w:cs="Arial"/>
                <w:color w:val="000000" w:themeColor="text1"/>
                <w:sz w:val="16"/>
                <w:szCs w:val="12"/>
                <w:vertAlign w:val="superscript"/>
              </w:rPr>
              <w:t>b</w:t>
            </w:r>
          </w:p>
        </w:tc>
      </w:tr>
      <w:tr w:rsidR="00175578" w:rsidRPr="005250A4" w14:paraId="6D655988" w14:textId="77777777" w:rsidTr="0081225C">
        <w:trPr>
          <w:trHeight w:val="116"/>
        </w:trPr>
        <w:tc>
          <w:tcPr>
            <w:tcW w:w="2992" w:type="dxa"/>
            <w:tcBorders>
              <w:top w:val="nil"/>
              <w:left w:val="nil"/>
              <w:bottom w:val="nil"/>
              <w:right w:val="nil"/>
            </w:tcBorders>
          </w:tcPr>
          <w:p w14:paraId="68B283EB"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Available</w:t>
            </w:r>
            <w:proofErr w:type="spellEnd"/>
            <w:r w:rsidRPr="005250A4">
              <w:rPr>
                <w:rFonts w:ascii="Arial" w:hAnsi="Arial" w:cs="Arial"/>
                <w:color w:val="000000" w:themeColor="text1"/>
                <w:sz w:val="16"/>
                <w:szCs w:val="12"/>
              </w:rPr>
              <w:t xml:space="preserve"> carbohydrate </w:t>
            </w:r>
          </w:p>
        </w:tc>
        <w:tc>
          <w:tcPr>
            <w:tcW w:w="1990" w:type="dxa"/>
            <w:tcBorders>
              <w:top w:val="nil"/>
              <w:left w:val="nil"/>
              <w:bottom w:val="nil"/>
              <w:right w:val="nil"/>
            </w:tcBorders>
            <w:vAlign w:val="center"/>
          </w:tcPr>
          <w:p w14:paraId="237BB7CC"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31.11 ± 0.16</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5C46D66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56.71 ± 0.40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249B8688"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43.75 ± 0.30</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7D84DED4"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57.35 ± 0.80</w:t>
            </w:r>
            <w:r w:rsidRPr="005250A4">
              <w:rPr>
                <w:rFonts w:ascii="Arial" w:hAnsi="Arial" w:cs="Arial"/>
                <w:color w:val="000000" w:themeColor="text1"/>
                <w:sz w:val="16"/>
                <w:szCs w:val="12"/>
                <w:vertAlign w:val="superscript"/>
                <w:lang w:val="en-US"/>
              </w:rPr>
              <w:t>c</w:t>
            </w:r>
          </w:p>
        </w:tc>
      </w:tr>
      <w:tr w:rsidR="00175578" w:rsidRPr="005250A4" w14:paraId="6DD5F689" w14:textId="77777777" w:rsidTr="0081225C">
        <w:trPr>
          <w:trHeight w:val="116"/>
        </w:trPr>
        <w:tc>
          <w:tcPr>
            <w:tcW w:w="2992" w:type="dxa"/>
            <w:tcBorders>
              <w:top w:val="nil"/>
              <w:left w:val="nil"/>
              <w:bottom w:val="nil"/>
              <w:right w:val="nil"/>
            </w:tcBorders>
          </w:tcPr>
          <w:p w14:paraId="6428B39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lipid</w:t>
            </w:r>
            <w:proofErr w:type="spellEnd"/>
          </w:p>
        </w:tc>
        <w:tc>
          <w:tcPr>
            <w:tcW w:w="1990" w:type="dxa"/>
            <w:tcBorders>
              <w:top w:val="nil"/>
              <w:left w:val="nil"/>
              <w:bottom w:val="nil"/>
              <w:right w:val="nil"/>
            </w:tcBorders>
            <w:vAlign w:val="center"/>
          </w:tcPr>
          <w:p w14:paraId="087F559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5.29 ± 0.01</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18036D9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1.81 ± 0.01</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08E6D"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7.64 ± 0.03</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B4D181"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2.70 ± 0.01</w:t>
            </w:r>
            <w:r w:rsidRPr="005250A4">
              <w:rPr>
                <w:rFonts w:ascii="Arial" w:hAnsi="Arial" w:cs="Arial"/>
                <w:color w:val="000000" w:themeColor="text1"/>
                <w:sz w:val="16"/>
                <w:szCs w:val="12"/>
                <w:vertAlign w:val="superscript"/>
                <w:lang w:val="en-US"/>
              </w:rPr>
              <w:t>b</w:t>
            </w:r>
          </w:p>
        </w:tc>
      </w:tr>
      <w:tr w:rsidR="00175578" w:rsidRPr="005250A4" w14:paraId="3210CE04" w14:textId="77777777" w:rsidTr="0081225C">
        <w:trPr>
          <w:trHeight w:val="116"/>
        </w:trPr>
        <w:tc>
          <w:tcPr>
            <w:tcW w:w="2992" w:type="dxa"/>
            <w:tcBorders>
              <w:top w:val="nil"/>
              <w:left w:val="nil"/>
              <w:bottom w:val="nil"/>
              <w:right w:val="nil"/>
            </w:tcBorders>
          </w:tcPr>
          <w:p w14:paraId="445FDA36"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ash</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2C431E8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9.38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25F659B7"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12.95 ± 0.10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76DC77F3"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15.22 ± 0.10</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F2A782"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7.61 ± 0.10</w:t>
            </w:r>
            <w:r w:rsidRPr="005250A4">
              <w:rPr>
                <w:rFonts w:ascii="Arial" w:hAnsi="Arial" w:cs="Arial"/>
                <w:color w:val="000000" w:themeColor="text1"/>
                <w:sz w:val="16"/>
                <w:szCs w:val="12"/>
                <w:vertAlign w:val="superscript"/>
                <w:lang w:val="en-US"/>
              </w:rPr>
              <w:t>a</w:t>
            </w:r>
          </w:p>
        </w:tc>
      </w:tr>
      <w:tr w:rsidR="00175578" w:rsidRPr="005250A4" w14:paraId="3D1BB916" w14:textId="77777777" w:rsidTr="0081225C">
        <w:trPr>
          <w:trHeight w:val="116"/>
        </w:trPr>
        <w:tc>
          <w:tcPr>
            <w:tcW w:w="2992" w:type="dxa"/>
            <w:tcBorders>
              <w:top w:val="nil"/>
              <w:left w:val="nil"/>
              <w:bottom w:val="nil"/>
              <w:right w:val="nil"/>
            </w:tcBorders>
          </w:tcPr>
          <w:p w14:paraId="49BC343D"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Crude</w:t>
            </w:r>
            <w:proofErr w:type="spellEnd"/>
            <w:r w:rsidRPr="005250A4">
              <w:rPr>
                <w:rFonts w:ascii="Arial" w:hAnsi="Arial" w:cs="Arial"/>
                <w:color w:val="000000" w:themeColor="text1"/>
                <w:sz w:val="16"/>
                <w:szCs w:val="12"/>
              </w:rPr>
              <w:t xml:space="preserve"> </w:t>
            </w:r>
            <w:proofErr w:type="spellStart"/>
            <w:r w:rsidRPr="005250A4">
              <w:rPr>
                <w:rFonts w:ascii="Arial" w:hAnsi="Arial" w:cs="Arial"/>
                <w:color w:val="000000" w:themeColor="text1"/>
                <w:sz w:val="16"/>
                <w:szCs w:val="12"/>
              </w:rPr>
              <w:t>fib</w:t>
            </w:r>
            <w:r w:rsidR="00B64B12" w:rsidRPr="005250A4">
              <w:rPr>
                <w:rFonts w:ascii="Arial" w:hAnsi="Arial" w:cs="Arial"/>
                <w:color w:val="000000" w:themeColor="text1"/>
                <w:sz w:val="16"/>
                <w:szCs w:val="12"/>
              </w:rPr>
              <w:t>er</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542CEF4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9.52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5AE3B4C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13.04 ± 0.30</w:t>
            </w:r>
            <w:r w:rsidRPr="005250A4">
              <w:rPr>
                <w:rFonts w:ascii="Arial" w:hAnsi="Arial" w:cs="Arial"/>
                <w:color w:val="000000" w:themeColor="text1"/>
                <w:sz w:val="16"/>
                <w:szCs w:val="12"/>
                <w:vertAlign w:val="superscript"/>
              </w:rPr>
              <w:t>d</w:t>
            </w:r>
          </w:p>
        </w:tc>
        <w:tc>
          <w:tcPr>
            <w:tcW w:w="1723" w:type="dxa"/>
            <w:tcBorders>
              <w:top w:val="nil"/>
              <w:left w:val="nil"/>
              <w:bottom w:val="nil"/>
              <w:right w:val="nil"/>
            </w:tcBorders>
            <w:vAlign w:val="center"/>
          </w:tcPr>
          <w:p w14:paraId="6C9B3585"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10.34 ± 0.20</w:t>
            </w:r>
            <w:r w:rsidRPr="005250A4">
              <w:rPr>
                <w:rFonts w:ascii="Arial" w:hAnsi="Arial" w:cs="Arial"/>
                <w:color w:val="000000" w:themeColor="text1"/>
                <w:sz w:val="16"/>
                <w:szCs w:val="12"/>
                <w:vertAlign w:val="superscript"/>
                <w:lang w:val="en-US"/>
              </w:rPr>
              <w:t>c</w:t>
            </w:r>
          </w:p>
        </w:tc>
        <w:tc>
          <w:tcPr>
            <w:tcW w:w="1478" w:type="dxa"/>
            <w:gridSpan w:val="2"/>
            <w:tcBorders>
              <w:top w:val="nil"/>
              <w:left w:val="nil"/>
              <w:bottom w:val="nil"/>
              <w:right w:val="nil"/>
            </w:tcBorders>
            <w:vAlign w:val="center"/>
          </w:tcPr>
          <w:p w14:paraId="1961197E"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7.26 ± 0.20</w:t>
            </w:r>
            <w:r w:rsidRPr="005250A4">
              <w:rPr>
                <w:rFonts w:ascii="Arial" w:hAnsi="Arial" w:cs="Arial"/>
                <w:color w:val="000000" w:themeColor="text1"/>
                <w:sz w:val="16"/>
                <w:szCs w:val="12"/>
                <w:vertAlign w:val="superscript"/>
                <w:lang w:val="en-US"/>
              </w:rPr>
              <w:t>a</w:t>
            </w:r>
          </w:p>
        </w:tc>
      </w:tr>
      <w:tr w:rsidR="00175578" w:rsidRPr="005250A4" w14:paraId="46739748" w14:textId="77777777" w:rsidTr="0081225C">
        <w:trPr>
          <w:trHeight w:val="120"/>
        </w:trPr>
        <w:tc>
          <w:tcPr>
            <w:tcW w:w="2992" w:type="dxa"/>
            <w:tcBorders>
              <w:top w:val="nil"/>
              <w:left w:val="nil"/>
              <w:bottom w:val="nil"/>
              <w:right w:val="nil"/>
            </w:tcBorders>
            <w:vAlign w:val="center"/>
          </w:tcPr>
          <w:p w14:paraId="6B985150" w14:textId="77777777" w:rsidR="0081225C" w:rsidRPr="005250A4" w:rsidRDefault="000F5664" w:rsidP="000F5664">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Energy </w:t>
            </w:r>
          </w:p>
        </w:tc>
        <w:tc>
          <w:tcPr>
            <w:tcW w:w="1990" w:type="dxa"/>
            <w:tcBorders>
              <w:top w:val="nil"/>
              <w:left w:val="nil"/>
              <w:bottom w:val="nil"/>
              <w:right w:val="nil"/>
            </w:tcBorders>
            <w:vAlign w:val="center"/>
          </w:tcPr>
          <w:p w14:paraId="4D745F7A"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254.57 ± 1.13</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47F97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284.81 ± 2.49</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2DD37FE2"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319.24 ± 1.87</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25DDBB9F"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315.78 ± 4.49</w:t>
            </w:r>
            <w:r w:rsidRPr="005250A4">
              <w:rPr>
                <w:rFonts w:ascii="Arial" w:hAnsi="Arial" w:cs="Arial"/>
                <w:color w:val="000000" w:themeColor="text1"/>
                <w:sz w:val="16"/>
                <w:szCs w:val="12"/>
                <w:vertAlign w:val="superscript"/>
              </w:rPr>
              <w:t>c</w:t>
            </w:r>
          </w:p>
        </w:tc>
      </w:tr>
      <w:tr w:rsidR="00175578" w:rsidRPr="005250A4" w14:paraId="4496D58D" w14:textId="77777777" w:rsidTr="002D4622">
        <w:trPr>
          <w:trHeight w:val="218"/>
        </w:trPr>
        <w:tc>
          <w:tcPr>
            <w:tcW w:w="9647" w:type="dxa"/>
            <w:gridSpan w:val="6"/>
            <w:tcBorders>
              <w:top w:val="nil"/>
              <w:left w:val="nil"/>
              <w:bottom w:val="single" w:sz="4" w:space="0" w:color="auto"/>
              <w:right w:val="nil"/>
            </w:tcBorders>
            <w:vAlign w:val="bottom"/>
          </w:tcPr>
          <w:p w14:paraId="5B7F7ACC" w14:textId="77777777" w:rsidR="0081225C" w:rsidRPr="005250A4" w:rsidRDefault="0081225C" w:rsidP="0081225C">
            <w:pPr>
              <w:spacing w:line="360" w:lineRule="auto"/>
              <w:rPr>
                <w:rFonts w:ascii="Arial" w:eastAsia="Times New Roman" w:hAnsi="Arial" w:cs="Arial"/>
                <w:color w:val="000000" w:themeColor="text1"/>
                <w:sz w:val="16"/>
                <w:szCs w:val="12"/>
                <w:lang w:eastAsia="fr-FR"/>
              </w:rPr>
            </w:pPr>
            <w:proofErr w:type="spellStart"/>
            <w:r w:rsidRPr="005250A4">
              <w:rPr>
                <w:rFonts w:ascii="Arial" w:hAnsi="Arial" w:cs="Arial"/>
                <w:b/>
                <w:color w:val="000000" w:themeColor="text1"/>
                <w:sz w:val="16"/>
                <w:szCs w:val="12"/>
              </w:rPr>
              <w:t>Mineral</w:t>
            </w:r>
            <w:proofErr w:type="spellEnd"/>
            <w:r w:rsidRPr="005250A4">
              <w:rPr>
                <w:rFonts w:ascii="Arial" w:hAnsi="Arial" w:cs="Arial"/>
                <w:b/>
                <w:color w:val="000000" w:themeColor="text1"/>
                <w:sz w:val="16"/>
                <w:szCs w:val="12"/>
              </w:rPr>
              <w:t xml:space="preserve"> content (mg/100</w:t>
            </w:r>
            <w:r w:rsidR="00B64B12" w:rsidRPr="005250A4">
              <w:rPr>
                <w:rFonts w:ascii="Arial" w:hAnsi="Arial" w:cs="Arial"/>
                <w:b/>
                <w:color w:val="000000" w:themeColor="text1"/>
                <w:sz w:val="16"/>
                <w:szCs w:val="12"/>
              </w:rPr>
              <w:t xml:space="preserve"> </w:t>
            </w:r>
            <w:r w:rsidRPr="005250A4">
              <w:rPr>
                <w:rFonts w:ascii="Arial" w:hAnsi="Arial" w:cs="Arial"/>
                <w:b/>
                <w:color w:val="000000" w:themeColor="text1"/>
                <w:sz w:val="16"/>
                <w:szCs w:val="12"/>
              </w:rPr>
              <w:t>g DM)</w:t>
            </w:r>
          </w:p>
        </w:tc>
      </w:tr>
      <w:tr w:rsidR="00175578" w:rsidRPr="005250A4" w14:paraId="1EAE3573" w14:textId="77777777" w:rsidTr="0081225C">
        <w:trPr>
          <w:trHeight w:val="116"/>
        </w:trPr>
        <w:tc>
          <w:tcPr>
            <w:tcW w:w="2992" w:type="dxa"/>
            <w:tcBorders>
              <w:top w:val="single" w:sz="4" w:space="0" w:color="auto"/>
              <w:left w:val="nil"/>
              <w:bottom w:val="nil"/>
              <w:right w:val="nil"/>
            </w:tcBorders>
          </w:tcPr>
          <w:p w14:paraId="698B5C36" w14:textId="77777777" w:rsidR="0081225C" w:rsidRPr="005250A4" w:rsidRDefault="0081225C" w:rsidP="00474B85">
            <w:pPr>
              <w:spacing w:before="240" w:line="36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Iron</w:t>
            </w:r>
            <w:proofErr w:type="spellEnd"/>
            <w:r w:rsidRPr="005250A4">
              <w:rPr>
                <w:rFonts w:ascii="Arial" w:hAnsi="Arial" w:cs="Arial"/>
                <w:color w:val="000000" w:themeColor="text1"/>
                <w:sz w:val="16"/>
                <w:szCs w:val="12"/>
              </w:rPr>
              <w:t xml:space="preserve"> (Fe)</w:t>
            </w:r>
          </w:p>
        </w:tc>
        <w:tc>
          <w:tcPr>
            <w:tcW w:w="1990" w:type="dxa"/>
            <w:tcBorders>
              <w:top w:val="single" w:sz="4" w:space="0" w:color="auto"/>
              <w:left w:val="nil"/>
              <w:bottom w:val="nil"/>
              <w:right w:val="nil"/>
            </w:tcBorders>
            <w:vAlign w:val="center"/>
          </w:tcPr>
          <w:p w14:paraId="225D633A"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single" w:sz="4" w:space="0" w:color="auto"/>
              <w:left w:val="nil"/>
              <w:bottom w:val="nil"/>
              <w:right w:val="nil"/>
            </w:tcBorders>
            <w:vAlign w:val="center"/>
          </w:tcPr>
          <w:p w14:paraId="73B47937"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723" w:type="dxa"/>
            <w:tcBorders>
              <w:top w:val="single" w:sz="4" w:space="0" w:color="auto"/>
              <w:left w:val="nil"/>
              <w:bottom w:val="nil"/>
              <w:right w:val="nil"/>
            </w:tcBorders>
            <w:vAlign w:val="center"/>
          </w:tcPr>
          <w:p w14:paraId="6D9B2851"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single" w:sz="4" w:space="0" w:color="auto"/>
              <w:left w:val="nil"/>
              <w:bottom w:val="nil"/>
              <w:right w:val="nil"/>
            </w:tcBorders>
            <w:vAlign w:val="center"/>
          </w:tcPr>
          <w:p w14:paraId="746696A5"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1.29 </w:t>
            </w:r>
            <w:bookmarkStart w:id="3" w:name="_Hlk195112385"/>
            <w:r w:rsidRPr="005250A4">
              <w:rPr>
                <w:rFonts w:ascii="Arial" w:hAnsi="Arial" w:cs="Arial"/>
                <w:color w:val="000000" w:themeColor="text1"/>
                <w:sz w:val="16"/>
                <w:szCs w:val="12"/>
              </w:rPr>
              <w:t>± 0.01</w:t>
            </w:r>
            <w:bookmarkEnd w:id="3"/>
            <w:r w:rsidRPr="005250A4">
              <w:rPr>
                <w:rFonts w:ascii="Arial" w:hAnsi="Arial" w:cs="Arial"/>
                <w:color w:val="000000" w:themeColor="text1"/>
                <w:sz w:val="16"/>
                <w:szCs w:val="12"/>
                <w:vertAlign w:val="superscript"/>
              </w:rPr>
              <w:t>b</w:t>
            </w:r>
          </w:p>
        </w:tc>
      </w:tr>
      <w:tr w:rsidR="00175578" w:rsidRPr="005250A4" w14:paraId="5928D134" w14:textId="77777777" w:rsidTr="0081225C">
        <w:trPr>
          <w:trHeight w:val="128"/>
        </w:trPr>
        <w:tc>
          <w:tcPr>
            <w:tcW w:w="2992" w:type="dxa"/>
            <w:tcBorders>
              <w:top w:val="nil"/>
              <w:left w:val="nil"/>
              <w:bottom w:val="nil"/>
              <w:right w:val="nil"/>
            </w:tcBorders>
          </w:tcPr>
          <w:p w14:paraId="1C4539D9"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Zinc (Zn)</w:t>
            </w:r>
          </w:p>
        </w:tc>
        <w:tc>
          <w:tcPr>
            <w:tcW w:w="1990" w:type="dxa"/>
            <w:tcBorders>
              <w:top w:val="nil"/>
              <w:left w:val="nil"/>
              <w:bottom w:val="nil"/>
              <w:right w:val="nil"/>
            </w:tcBorders>
            <w:vAlign w:val="center"/>
          </w:tcPr>
          <w:p w14:paraId="26C8EEB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57B5EE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723" w:type="dxa"/>
            <w:tcBorders>
              <w:top w:val="nil"/>
              <w:left w:val="nil"/>
              <w:bottom w:val="nil"/>
              <w:right w:val="nil"/>
            </w:tcBorders>
            <w:vAlign w:val="center"/>
          </w:tcPr>
          <w:p w14:paraId="68F50ED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478" w:type="dxa"/>
            <w:gridSpan w:val="2"/>
            <w:tcBorders>
              <w:top w:val="nil"/>
              <w:left w:val="nil"/>
              <w:bottom w:val="nil"/>
              <w:right w:val="nil"/>
            </w:tcBorders>
            <w:vAlign w:val="center"/>
          </w:tcPr>
          <w:p w14:paraId="1C468A00"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4" w:name="_Hlk195112422"/>
            <w:r w:rsidRPr="005250A4">
              <w:rPr>
                <w:rFonts w:ascii="Arial" w:eastAsia="Times New Roman" w:hAnsi="Arial" w:cs="Arial"/>
                <w:color w:val="000000" w:themeColor="text1"/>
                <w:sz w:val="16"/>
                <w:szCs w:val="12"/>
                <w:lang w:eastAsia="fr-FR"/>
              </w:rPr>
              <w:t xml:space="preserve">2.70 </w:t>
            </w:r>
            <w:r w:rsidRPr="005250A4">
              <w:rPr>
                <w:rFonts w:ascii="Arial" w:hAnsi="Arial" w:cs="Arial"/>
                <w:color w:val="000000" w:themeColor="text1"/>
                <w:sz w:val="16"/>
                <w:szCs w:val="12"/>
              </w:rPr>
              <w:t>± 0.02</w:t>
            </w:r>
            <w:bookmarkEnd w:id="4"/>
            <w:r w:rsidRPr="005250A4">
              <w:rPr>
                <w:rFonts w:ascii="Arial" w:hAnsi="Arial" w:cs="Arial"/>
                <w:color w:val="000000" w:themeColor="text1"/>
                <w:sz w:val="16"/>
                <w:szCs w:val="12"/>
                <w:vertAlign w:val="superscript"/>
              </w:rPr>
              <w:t>b</w:t>
            </w:r>
          </w:p>
        </w:tc>
      </w:tr>
      <w:tr w:rsidR="00175578" w:rsidRPr="005250A4" w14:paraId="4706385B" w14:textId="77777777" w:rsidTr="0081225C">
        <w:trPr>
          <w:trHeight w:val="128"/>
        </w:trPr>
        <w:tc>
          <w:tcPr>
            <w:tcW w:w="2992" w:type="dxa"/>
            <w:tcBorders>
              <w:top w:val="nil"/>
              <w:left w:val="nil"/>
              <w:bottom w:val="nil"/>
              <w:right w:val="nil"/>
            </w:tcBorders>
          </w:tcPr>
          <w:p w14:paraId="0DEEA25E"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Copper (Cu)</w:t>
            </w:r>
          </w:p>
        </w:tc>
        <w:tc>
          <w:tcPr>
            <w:tcW w:w="1990" w:type="dxa"/>
            <w:tcBorders>
              <w:top w:val="nil"/>
              <w:left w:val="nil"/>
              <w:bottom w:val="nil"/>
              <w:right w:val="nil"/>
            </w:tcBorders>
            <w:vAlign w:val="center"/>
          </w:tcPr>
          <w:p w14:paraId="16D7A7E6" w14:textId="77777777" w:rsidR="0081225C" w:rsidRPr="005250A4" w:rsidRDefault="0081225C" w:rsidP="0081225C">
            <w:pPr>
              <w:spacing w:line="480" w:lineRule="auto"/>
              <w:jc w:val="center"/>
              <w:rPr>
                <w:rFonts w:ascii="Arial" w:eastAsia="Times New Roman" w:hAnsi="Arial" w:cs="Arial"/>
                <w:color w:val="000000" w:themeColor="text1"/>
                <w:sz w:val="16"/>
                <w:szCs w:val="12"/>
                <w:lang w:eastAsia="fr-FR"/>
              </w:rPr>
            </w:pPr>
            <w:r w:rsidRPr="005250A4">
              <w:rPr>
                <w:rFonts w:ascii="Arial" w:eastAsia="Times New Roman" w:hAnsi="Arial" w:cs="Arial"/>
                <w:color w:val="000000" w:themeColor="text1"/>
                <w:sz w:val="16"/>
                <w:szCs w:val="12"/>
                <w:lang w:eastAsia="fr-FR"/>
              </w:rPr>
              <w:t xml:space="preserve">19.45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d</w:t>
            </w:r>
            <w:r w:rsidRPr="005250A4">
              <w:rPr>
                <w:rFonts w:ascii="Arial" w:hAnsi="Arial" w:cs="Arial"/>
                <w:color w:val="000000" w:themeColor="text1"/>
                <w:sz w:val="16"/>
                <w:szCs w:val="12"/>
              </w:rPr>
              <w:t xml:space="preserve"> </w:t>
            </w:r>
          </w:p>
        </w:tc>
        <w:tc>
          <w:tcPr>
            <w:tcW w:w="1464" w:type="dxa"/>
            <w:tcBorders>
              <w:top w:val="nil"/>
              <w:left w:val="nil"/>
              <w:bottom w:val="nil"/>
              <w:right w:val="nil"/>
            </w:tcBorders>
            <w:vAlign w:val="center"/>
          </w:tcPr>
          <w:p w14:paraId="6A50DB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5.80 </w:t>
            </w:r>
            <w:r w:rsidRPr="005250A4">
              <w:rPr>
                <w:rFonts w:ascii="Arial" w:hAnsi="Arial" w:cs="Arial"/>
                <w:color w:val="000000" w:themeColor="text1"/>
                <w:sz w:val="16"/>
                <w:szCs w:val="12"/>
              </w:rPr>
              <w:t>± 0.02</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3AFEB944"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3.08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916494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11.24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c</w:t>
            </w:r>
          </w:p>
        </w:tc>
      </w:tr>
      <w:tr w:rsidR="00175578" w:rsidRPr="005250A4" w14:paraId="2CD518E3" w14:textId="77777777" w:rsidTr="0081225C">
        <w:trPr>
          <w:trHeight w:val="128"/>
        </w:trPr>
        <w:tc>
          <w:tcPr>
            <w:tcW w:w="2992" w:type="dxa"/>
            <w:tcBorders>
              <w:top w:val="nil"/>
              <w:left w:val="nil"/>
              <w:bottom w:val="nil"/>
              <w:right w:val="nil"/>
            </w:tcBorders>
          </w:tcPr>
          <w:p w14:paraId="54ACD5C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Calcium (Ca)</w:t>
            </w:r>
          </w:p>
        </w:tc>
        <w:tc>
          <w:tcPr>
            <w:tcW w:w="1990" w:type="dxa"/>
            <w:tcBorders>
              <w:top w:val="nil"/>
              <w:left w:val="nil"/>
              <w:bottom w:val="nil"/>
              <w:right w:val="nil"/>
            </w:tcBorders>
            <w:vAlign w:val="center"/>
          </w:tcPr>
          <w:p w14:paraId="0592CBAE"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1760.00 </w:t>
            </w:r>
            <w:r w:rsidRPr="005250A4">
              <w:rPr>
                <w:rFonts w:ascii="Arial" w:hAnsi="Arial" w:cs="Arial"/>
                <w:color w:val="000000" w:themeColor="text1"/>
                <w:sz w:val="16"/>
                <w:szCs w:val="12"/>
              </w:rPr>
              <w:t>± 3.20</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6B9C7A2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1280.00 </w:t>
            </w:r>
            <w:r w:rsidRPr="005250A4">
              <w:rPr>
                <w:rFonts w:ascii="Arial" w:hAnsi="Arial" w:cs="Arial"/>
                <w:color w:val="000000" w:themeColor="text1"/>
                <w:sz w:val="16"/>
                <w:szCs w:val="12"/>
                <w:lang w:val="en-US"/>
              </w:rPr>
              <w:t>± 2.30</w:t>
            </w:r>
            <w:r w:rsidRPr="005250A4">
              <w:rPr>
                <w:rFonts w:ascii="Arial" w:hAnsi="Arial" w:cs="Arial"/>
                <w:color w:val="000000" w:themeColor="text1"/>
                <w:sz w:val="16"/>
                <w:szCs w:val="12"/>
                <w:vertAlign w:val="superscript"/>
                <w:lang w:val="en-US"/>
              </w:rPr>
              <w:t>b</w:t>
            </w:r>
          </w:p>
        </w:tc>
        <w:tc>
          <w:tcPr>
            <w:tcW w:w="1723" w:type="dxa"/>
            <w:tcBorders>
              <w:top w:val="nil"/>
              <w:left w:val="nil"/>
              <w:bottom w:val="nil"/>
              <w:right w:val="nil"/>
            </w:tcBorders>
            <w:vAlign w:val="center"/>
          </w:tcPr>
          <w:p w14:paraId="6D06D68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1120.00 </w:t>
            </w:r>
            <w:r w:rsidRPr="005250A4">
              <w:rPr>
                <w:rFonts w:ascii="Arial" w:hAnsi="Arial" w:cs="Arial"/>
                <w:color w:val="000000" w:themeColor="text1"/>
                <w:sz w:val="16"/>
                <w:szCs w:val="12"/>
                <w:lang w:val="en-US"/>
              </w:rPr>
              <w:t>± 2.03</w:t>
            </w:r>
            <w:r w:rsidRPr="005250A4">
              <w:rPr>
                <w:rFonts w:ascii="Arial" w:hAnsi="Arial" w:cs="Arial"/>
                <w:color w:val="000000" w:themeColor="text1"/>
                <w:sz w:val="16"/>
                <w:szCs w:val="12"/>
                <w:vertAlign w:val="superscript"/>
                <w:lang w:val="en-US"/>
              </w:rPr>
              <w:t>a</w:t>
            </w:r>
          </w:p>
        </w:tc>
        <w:tc>
          <w:tcPr>
            <w:tcW w:w="1478" w:type="dxa"/>
            <w:gridSpan w:val="2"/>
            <w:tcBorders>
              <w:top w:val="nil"/>
              <w:left w:val="nil"/>
              <w:bottom w:val="nil"/>
              <w:right w:val="nil"/>
            </w:tcBorders>
            <w:vAlign w:val="center"/>
          </w:tcPr>
          <w:p w14:paraId="3A60C0E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1760.00 </w:t>
            </w:r>
            <w:r w:rsidRPr="005250A4">
              <w:rPr>
                <w:rFonts w:ascii="Arial" w:hAnsi="Arial" w:cs="Arial"/>
                <w:color w:val="000000" w:themeColor="text1"/>
                <w:sz w:val="16"/>
                <w:szCs w:val="12"/>
                <w:lang w:val="en-US"/>
              </w:rPr>
              <w:t>± 3.03</w:t>
            </w:r>
            <w:r w:rsidRPr="005250A4">
              <w:rPr>
                <w:rFonts w:ascii="Arial" w:hAnsi="Arial" w:cs="Arial"/>
                <w:color w:val="000000" w:themeColor="text1"/>
                <w:sz w:val="16"/>
                <w:szCs w:val="12"/>
                <w:vertAlign w:val="superscript"/>
                <w:lang w:val="en-US"/>
              </w:rPr>
              <w:t>c</w:t>
            </w:r>
          </w:p>
        </w:tc>
      </w:tr>
      <w:tr w:rsidR="00175578" w:rsidRPr="005250A4" w14:paraId="4457DA8E" w14:textId="77777777" w:rsidTr="0081225C">
        <w:trPr>
          <w:trHeight w:val="116"/>
        </w:trPr>
        <w:tc>
          <w:tcPr>
            <w:tcW w:w="2992" w:type="dxa"/>
            <w:tcBorders>
              <w:top w:val="nil"/>
              <w:left w:val="nil"/>
              <w:bottom w:val="nil"/>
              <w:right w:val="nil"/>
            </w:tcBorders>
          </w:tcPr>
          <w:p w14:paraId="0628946F"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Magnesium (Mg)</w:t>
            </w:r>
          </w:p>
        </w:tc>
        <w:tc>
          <w:tcPr>
            <w:tcW w:w="1990" w:type="dxa"/>
            <w:tcBorders>
              <w:top w:val="nil"/>
              <w:left w:val="nil"/>
              <w:bottom w:val="nil"/>
              <w:right w:val="nil"/>
            </w:tcBorders>
            <w:vAlign w:val="center"/>
          </w:tcPr>
          <w:p w14:paraId="5DD3233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165.24 </w:t>
            </w:r>
            <w:r w:rsidRPr="005250A4">
              <w:rPr>
                <w:rFonts w:ascii="Arial" w:hAnsi="Arial" w:cs="Arial"/>
                <w:color w:val="000000" w:themeColor="text1"/>
                <w:sz w:val="16"/>
                <w:szCs w:val="12"/>
                <w:lang w:val="en-US"/>
              </w:rPr>
              <w:t>± 1.30</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07FBCED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9.72 </w:t>
            </w:r>
            <w:r w:rsidRPr="005250A4">
              <w:rPr>
                <w:rFonts w:ascii="Arial" w:hAnsi="Arial" w:cs="Arial"/>
                <w:color w:val="000000" w:themeColor="text1"/>
                <w:sz w:val="16"/>
                <w:szCs w:val="12"/>
                <w:lang w:val="en-US"/>
              </w:rPr>
              <w:t>± 0.15</w:t>
            </w:r>
            <w:r w:rsidRPr="005250A4">
              <w:rPr>
                <w:rFonts w:ascii="Arial" w:hAnsi="Arial" w:cs="Arial"/>
                <w:color w:val="000000" w:themeColor="text1"/>
                <w:sz w:val="16"/>
                <w:szCs w:val="12"/>
                <w:vertAlign w:val="superscript"/>
                <w:lang w:val="en-US"/>
              </w:rPr>
              <w:t>a</w:t>
            </w:r>
          </w:p>
        </w:tc>
        <w:tc>
          <w:tcPr>
            <w:tcW w:w="1723" w:type="dxa"/>
            <w:tcBorders>
              <w:top w:val="nil"/>
              <w:left w:val="nil"/>
              <w:bottom w:val="nil"/>
              <w:right w:val="nil"/>
            </w:tcBorders>
            <w:vAlign w:val="center"/>
          </w:tcPr>
          <w:p w14:paraId="623B460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58.32 </w:t>
            </w:r>
            <w:r w:rsidRPr="005250A4">
              <w:rPr>
                <w:rFonts w:ascii="Arial" w:hAnsi="Arial" w:cs="Arial"/>
                <w:color w:val="000000" w:themeColor="text1"/>
                <w:sz w:val="16"/>
                <w:szCs w:val="12"/>
                <w:lang w:val="en-US"/>
              </w:rPr>
              <w:t>± 1.19</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16FB5E2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bookmarkStart w:id="5" w:name="_Hlk195112448"/>
            <w:r w:rsidRPr="005250A4">
              <w:rPr>
                <w:rFonts w:ascii="Arial" w:eastAsia="Times New Roman" w:hAnsi="Arial" w:cs="Arial"/>
                <w:color w:val="000000" w:themeColor="text1"/>
                <w:sz w:val="16"/>
                <w:szCs w:val="12"/>
                <w:lang w:val="en-US" w:eastAsia="fr-FR"/>
              </w:rPr>
              <w:t xml:space="preserve">257.58 </w:t>
            </w:r>
            <w:r w:rsidRPr="005250A4">
              <w:rPr>
                <w:rFonts w:ascii="Arial" w:hAnsi="Arial" w:cs="Arial"/>
                <w:color w:val="000000" w:themeColor="text1"/>
                <w:sz w:val="16"/>
                <w:szCs w:val="12"/>
                <w:lang w:val="en-US"/>
              </w:rPr>
              <w:t>± 2.34</w:t>
            </w:r>
            <w:bookmarkEnd w:id="5"/>
            <w:r w:rsidRPr="005250A4">
              <w:rPr>
                <w:rFonts w:ascii="Arial" w:hAnsi="Arial" w:cs="Arial"/>
                <w:color w:val="000000" w:themeColor="text1"/>
                <w:sz w:val="16"/>
                <w:szCs w:val="12"/>
                <w:vertAlign w:val="superscript"/>
                <w:lang w:val="en-US"/>
              </w:rPr>
              <w:t>d</w:t>
            </w:r>
          </w:p>
        </w:tc>
      </w:tr>
      <w:tr w:rsidR="00175578" w:rsidRPr="005250A4" w14:paraId="650095E5" w14:textId="77777777" w:rsidTr="0081225C">
        <w:trPr>
          <w:trHeight w:val="128"/>
        </w:trPr>
        <w:tc>
          <w:tcPr>
            <w:tcW w:w="2992" w:type="dxa"/>
            <w:tcBorders>
              <w:top w:val="nil"/>
              <w:left w:val="nil"/>
              <w:bottom w:val="nil"/>
              <w:right w:val="nil"/>
            </w:tcBorders>
          </w:tcPr>
          <w:p w14:paraId="79685200"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Phosphorus (P)</w:t>
            </w:r>
          </w:p>
        </w:tc>
        <w:tc>
          <w:tcPr>
            <w:tcW w:w="1990" w:type="dxa"/>
            <w:tcBorders>
              <w:top w:val="nil"/>
              <w:left w:val="nil"/>
              <w:bottom w:val="nil"/>
              <w:right w:val="nil"/>
            </w:tcBorders>
            <w:vAlign w:val="center"/>
          </w:tcPr>
          <w:p w14:paraId="321EB0B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300.31 </w:t>
            </w:r>
            <w:r w:rsidRPr="005250A4">
              <w:rPr>
                <w:rFonts w:ascii="Arial" w:hAnsi="Arial" w:cs="Arial"/>
                <w:color w:val="000000" w:themeColor="text1"/>
                <w:sz w:val="16"/>
                <w:szCs w:val="12"/>
                <w:lang w:val="en-US"/>
              </w:rPr>
              <w:t>± 3.98</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5E6EAA9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val="en-US" w:eastAsia="fr-FR"/>
              </w:rPr>
              <w:t xml:space="preserve">6.30 </w:t>
            </w:r>
            <w:r w:rsidRPr="005250A4">
              <w:rPr>
                <w:rFonts w:ascii="Arial" w:hAnsi="Arial" w:cs="Arial"/>
                <w:color w:val="000000" w:themeColor="text1"/>
                <w:sz w:val="16"/>
                <w:szCs w:val="12"/>
                <w:lang w:val="en-US"/>
              </w:rPr>
              <w:t>± 0.</w:t>
            </w:r>
            <w:r w:rsidRPr="005250A4">
              <w:rPr>
                <w:rFonts w:ascii="Arial" w:hAnsi="Arial" w:cs="Arial"/>
                <w:color w:val="000000" w:themeColor="text1"/>
                <w:sz w:val="16"/>
                <w:szCs w:val="12"/>
              </w:rPr>
              <w:t>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3F0BF"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36.16 </w:t>
            </w:r>
            <w:r w:rsidRPr="005250A4">
              <w:rPr>
                <w:rFonts w:ascii="Arial" w:hAnsi="Arial" w:cs="Arial"/>
                <w:color w:val="000000" w:themeColor="text1"/>
                <w:sz w:val="16"/>
                <w:szCs w:val="12"/>
              </w:rPr>
              <w:t>± 1.34</w:t>
            </w:r>
            <w:r w:rsidRPr="005250A4">
              <w:rPr>
                <w:rFonts w:ascii="Arial" w:hAnsi="Arial" w:cs="Arial"/>
                <w:color w:val="000000" w:themeColor="text1"/>
                <w:sz w:val="16"/>
                <w:szCs w:val="12"/>
                <w:vertAlign w:val="superscript"/>
              </w:rPr>
              <w:t>b</w:t>
            </w:r>
          </w:p>
        </w:tc>
        <w:tc>
          <w:tcPr>
            <w:tcW w:w="1478" w:type="dxa"/>
            <w:gridSpan w:val="2"/>
            <w:tcBorders>
              <w:top w:val="nil"/>
              <w:left w:val="nil"/>
              <w:bottom w:val="nil"/>
              <w:right w:val="nil"/>
            </w:tcBorders>
            <w:vAlign w:val="center"/>
          </w:tcPr>
          <w:p w14:paraId="0487B39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302.57 </w:t>
            </w:r>
            <w:r w:rsidRPr="005250A4">
              <w:rPr>
                <w:rFonts w:ascii="Arial" w:hAnsi="Arial" w:cs="Arial"/>
                <w:color w:val="000000" w:themeColor="text1"/>
                <w:sz w:val="16"/>
                <w:szCs w:val="12"/>
              </w:rPr>
              <w:t>± 1.28</w:t>
            </w:r>
            <w:r w:rsidRPr="005250A4">
              <w:rPr>
                <w:rFonts w:ascii="Arial" w:hAnsi="Arial" w:cs="Arial"/>
                <w:color w:val="000000" w:themeColor="text1"/>
                <w:sz w:val="16"/>
                <w:szCs w:val="12"/>
                <w:vertAlign w:val="superscript"/>
              </w:rPr>
              <w:t>c</w:t>
            </w:r>
          </w:p>
        </w:tc>
      </w:tr>
      <w:tr w:rsidR="00175578" w:rsidRPr="005250A4" w14:paraId="73BD2CA0" w14:textId="77777777" w:rsidTr="0081225C">
        <w:trPr>
          <w:trHeight w:val="128"/>
        </w:trPr>
        <w:tc>
          <w:tcPr>
            <w:tcW w:w="2992" w:type="dxa"/>
            <w:tcBorders>
              <w:top w:val="nil"/>
              <w:left w:val="nil"/>
              <w:bottom w:val="nil"/>
              <w:right w:val="nil"/>
            </w:tcBorders>
          </w:tcPr>
          <w:p w14:paraId="62835253"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Potassium (K)</w:t>
            </w:r>
          </w:p>
        </w:tc>
        <w:tc>
          <w:tcPr>
            <w:tcW w:w="1990" w:type="dxa"/>
            <w:tcBorders>
              <w:top w:val="nil"/>
              <w:left w:val="nil"/>
              <w:bottom w:val="nil"/>
              <w:right w:val="nil"/>
            </w:tcBorders>
            <w:vAlign w:val="center"/>
          </w:tcPr>
          <w:p w14:paraId="62FA15B7"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2466.43 </w:t>
            </w:r>
            <w:r w:rsidRPr="005250A4">
              <w:rPr>
                <w:rFonts w:ascii="Arial" w:hAnsi="Arial" w:cs="Arial"/>
                <w:color w:val="000000" w:themeColor="text1"/>
                <w:sz w:val="16"/>
                <w:szCs w:val="12"/>
              </w:rPr>
              <w:t>± 3.23</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2F1FE5F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1866.53 </w:t>
            </w:r>
            <w:r w:rsidRPr="005250A4">
              <w:rPr>
                <w:rFonts w:ascii="Arial" w:hAnsi="Arial" w:cs="Arial"/>
                <w:color w:val="000000" w:themeColor="text1"/>
                <w:sz w:val="16"/>
                <w:szCs w:val="12"/>
              </w:rPr>
              <w:t>± 3.40</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5C648C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1139.32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2E3443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6" w:name="_Hlk195112516"/>
            <w:r w:rsidRPr="005250A4">
              <w:rPr>
                <w:rFonts w:ascii="Arial" w:eastAsia="Times New Roman" w:hAnsi="Arial" w:cs="Arial"/>
                <w:color w:val="000000" w:themeColor="text1"/>
                <w:sz w:val="16"/>
                <w:szCs w:val="12"/>
                <w:lang w:eastAsia="fr-FR"/>
              </w:rPr>
              <w:t xml:space="preserve">2684.62 </w:t>
            </w:r>
            <w:r w:rsidRPr="005250A4">
              <w:rPr>
                <w:rFonts w:ascii="Arial" w:hAnsi="Arial" w:cs="Arial"/>
                <w:color w:val="000000" w:themeColor="text1"/>
                <w:sz w:val="16"/>
                <w:szCs w:val="12"/>
              </w:rPr>
              <w:t>± 2.43</w:t>
            </w:r>
            <w:bookmarkEnd w:id="6"/>
            <w:r w:rsidRPr="005250A4">
              <w:rPr>
                <w:rFonts w:ascii="Arial" w:hAnsi="Arial" w:cs="Arial"/>
                <w:color w:val="000000" w:themeColor="text1"/>
                <w:sz w:val="16"/>
                <w:szCs w:val="12"/>
                <w:vertAlign w:val="superscript"/>
              </w:rPr>
              <w:t>d</w:t>
            </w:r>
          </w:p>
        </w:tc>
      </w:tr>
      <w:tr w:rsidR="00175578" w:rsidRPr="005250A4" w14:paraId="54F3060D" w14:textId="77777777" w:rsidTr="0081225C">
        <w:trPr>
          <w:trHeight w:val="233"/>
        </w:trPr>
        <w:tc>
          <w:tcPr>
            <w:tcW w:w="2992" w:type="dxa"/>
            <w:tcBorders>
              <w:top w:val="nil"/>
              <w:left w:val="nil"/>
              <w:bottom w:val="single" w:sz="4" w:space="0" w:color="auto"/>
              <w:right w:val="nil"/>
            </w:tcBorders>
          </w:tcPr>
          <w:p w14:paraId="3B65E1DF"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Sodium (Na)</w:t>
            </w:r>
          </w:p>
        </w:tc>
        <w:tc>
          <w:tcPr>
            <w:tcW w:w="1990" w:type="dxa"/>
            <w:tcBorders>
              <w:top w:val="nil"/>
              <w:left w:val="nil"/>
              <w:bottom w:val="single" w:sz="4" w:space="0" w:color="auto"/>
              <w:right w:val="nil"/>
            </w:tcBorders>
            <w:vAlign w:val="center"/>
          </w:tcPr>
          <w:p w14:paraId="4E9709A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142.20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c</w:t>
            </w:r>
          </w:p>
        </w:tc>
        <w:tc>
          <w:tcPr>
            <w:tcW w:w="1464" w:type="dxa"/>
            <w:tcBorders>
              <w:top w:val="nil"/>
              <w:left w:val="nil"/>
              <w:bottom w:val="single" w:sz="4" w:space="0" w:color="auto"/>
              <w:right w:val="nil"/>
            </w:tcBorders>
            <w:vAlign w:val="center"/>
          </w:tcPr>
          <w:p w14:paraId="1359CC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110.39 </w:t>
            </w:r>
            <w:r w:rsidRPr="005250A4">
              <w:rPr>
                <w:rFonts w:ascii="Arial" w:hAnsi="Arial" w:cs="Arial"/>
                <w:color w:val="000000" w:themeColor="text1"/>
                <w:sz w:val="16"/>
                <w:szCs w:val="12"/>
              </w:rPr>
              <w:t>± 2.01</w:t>
            </w:r>
            <w:r w:rsidRPr="005250A4">
              <w:rPr>
                <w:rFonts w:ascii="Arial" w:hAnsi="Arial" w:cs="Arial"/>
                <w:color w:val="000000" w:themeColor="text1"/>
                <w:sz w:val="16"/>
                <w:szCs w:val="12"/>
                <w:vertAlign w:val="superscript"/>
              </w:rPr>
              <w:t>b</w:t>
            </w:r>
          </w:p>
        </w:tc>
        <w:tc>
          <w:tcPr>
            <w:tcW w:w="1723" w:type="dxa"/>
            <w:tcBorders>
              <w:top w:val="nil"/>
              <w:left w:val="nil"/>
              <w:bottom w:val="single" w:sz="4" w:space="0" w:color="auto"/>
              <w:right w:val="nil"/>
            </w:tcBorders>
            <w:vAlign w:val="center"/>
          </w:tcPr>
          <w:p w14:paraId="7703F7A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73.92 </w:t>
            </w:r>
            <w:r w:rsidRPr="005250A4">
              <w:rPr>
                <w:rFonts w:ascii="Arial" w:hAnsi="Arial" w:cs="Arial"/>
                <w:color w:val="000000" w:themeColor="text1"/>
                <w:sz w:val="16"/>
                <w:szCs w:val="12"/>
              </w:rPr>
              <w:t>± 1.08</w:t>
            </w:r>
            <w:r w:rsidRPr="005250A4">
              <w:rPr>
                <w:rFonts w:ascii="Arial" w:hAnsi="Arial" w:cs="Arial"/>
                <w:color w:val="000000" w:themeColor="text1"/>
                <w:sz w:val="16"/>
                <w:szCs w:val="12"/>
                <w:vertAlign w:val="superscript"/>
              </w:rPr>
              <w:t>a</w:t>
            </w:r>
          </w:p>
        </w:tc>
        <w:tc>
          <w:tcPr>
            <w:tcW w:w="1478" w:type="dxa"/>
            <w:gridSpan w:val="2"/>
            <w:tcBorders>
              <w:top w:val="nil"/>
              <w:left w:val="nil"/>
              <w:bottom w:val="single" w:sz="4" w:space="0" w:color="auto"/>
              <w:right w:val="nil"/>
            </w:tcBorders>
            <w:vAlign w:val="center"/>
          </w:tcPr>
          <w:p w14:paraId="6E4129F1"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7" w:name="_Hlk195112550"/>
            <w:r w:rsidRPr="005250A4">
              <w:rPr>
                <w:rFonts w:ascii="Arial" w:eastAsia="Times New Roman" w:hAnsi="Arial" w:cs="Arial"/>
                <w:color w:val="000000" w:themeColor="text1"/>
                <w:sz w:val="16"/>
                <w:szCs w:val="12"/>
                <w:lang w:eastAsia="fr-FR"/>
              </w:rPr>
              <w:t xml:space="preserve">153.63 </w:t>
            </w:r>
            <w:r w:rsidRPr="005250A4">
              <w:rPr>
                <w:rFonts w:ascii="Arial" w:hAnsi="Arial" w:cs="Arial"/>
                <w:color w:val="000000" w:themeColor="text1"/>
                <w:sz w:val="16"/>
                <w:szCs w:val="12"/>
              </w:rPr>
              <w:t>± 2.78</w:t>
            </w:r>
            <w:bookmarkEnd w:id="7"/>
            <w:r w:rsidRPr="005250A4">
              <w:rPr>
                <w:rFonts w:ascii="Arial" w:hAnsi="Arial" w:cs="Arial"/>
                <w:color w:val="000000" w:themeColor="text1"/>
                <w:sz w:val="16"/>
                <w:szCs w:val="12"/>
                <w:vertAlign w:val="superscript"/>
              </w:rPr>
              <w:t>d</w:t>
            </w:r>
          </w:p>
        </w:tc>
      </w:tr>
      <w:tr w:rsidR="00175578" w:rsidRPr="00A65703" w14:paraId="38C64678" w14:textId="77777777" w:rsidTr="0090320A">
        <w:trPr>
          <w:trHeight w:val="132"/>
        </w:trPr>
        <w:tc>
          <w:tcPr>
            <w:tcW w:w="9647" w:type="dxa"/>
            <w:gridSpan w:val="6"/>
            <w:tcBorders>
              <w:top w:val="single" w:sz="4" w:space="0" w:color="auto"/>
              <w:left w:val="nil"/>
              <w:bottom w:val="nil"/>
              <w:right w:val="nil"/>
            </w:tcBorders>
          </w:tcPr>
          <w:p w14:paraId="0A3BF22C" w14:textId="26B81692" w:rsidR="0081225C" w:rsidRPr="005250A4" w:rsidRDefault="0081225C" w:rsidP="0081225C">
            <w:pPr>
              <w:spacing w:line="276" w:lineRule="auto"/>
              <w:jc w:val="both"/>
              <w:rPr>
                <w:rFonts w:ascii="Arial" w:hAnsi="Arial" w:cs="Arial"/>
                <w:color w:val="000000" w:themeColor="text1"/>
                <w:sz w:val="16"/>
                <w:szCs w:val="12"/>
                <w:lang w:val="en-US"/>
              </w:rPr>
            </w:pPr>
            <w:r w:rsidRPr="005250A4">
              <w:rPr>
                <w:rFonts w:ascii="Arial" w:hAnsi="Arial" w:cs="Arial"/>
                <w:color w:val="000000" w:themeColor="text1"/>
                <w:sz w:val="16"/>
                <w:szCs w:val="12"/>
                <w:lang w:val="en-US"/>
              </w:rPr>
              <w:t xml:space="preserve">Mn ± </w:t>
            </w:r>
            <w:r w:rsidR="003474E0" w:rsidRPr="005250A4">
              <w:rPr>
                <w:rFonts w:ascii="Arial" w:hAnsi="Arial" w:cs="Arial"/>
                <w:color w:val="000000" w:themeColor="text1"/>
                <w:sz w:val="16"/>
                <w:szCs w:val="12"/>
                <w:lang w:val="en-US"/>
              </w:rPr>
              <w:t>Sd:</w:t>
            </w:r>
            <w:r w:rsidRPr="005250A4">
              <w:rPr>
                <w:rFonts w:ascii="Arial" w:hAnsi="Arial" w:cs="Arial"/>
                <w:color w:val="000000" w:themeColor="text1"/>
                <w:sz w:val="16"/>
                <w:szCs w:val="12"/>
                <w:lang w:val="en-US"/>
              </w:rPr>
              <w:t xml:space="preserve"> Mean ± Standard </w:t>
            </w:r>
            <w:r w:rsidR="003474E0" w:rsidRPr="005250A4">
              <w:rPr>
                <w:rFonts w:ascii="Arial" w:hAnsi="Arial" w:cs="Arial"/>
                <w:color w:val="000000" w:themeColor="text1"/>
                <w:sz w:val="16"/>
                <w:szCs w:val="12"/>
                <w:lang w:val="en-US"/>
              </w:rPr>
              <w:t>deviation;</w:t>
            </w:r>
            <w:r w:rsidRPr="005250A4">
              <w:rPr>
                <w:rFonts w:ascii="Arial" w:hAnsi="Arial" w:cs="Arial"/>
                <w:color w:val="000000" w:themeColor="text1"/>
                <w:sz w:val="16"/>
                <w:szCs w:val="12"/>
                <w:lang w:val="en-US"/>
              </w:rPr>
              <w:t xml:space="preserve"> Means affected to the different superscript letters for each line indicate a significant difference </w:t>
            </w:r>
            <w:r w:rsidR="000E7CA4" w:rsidRPr="005250A4">
              <w:rPr>
                <w:rFonts w:ascii="Arial" w:hAnsi="Arial" w:cs="Arial"/>
                <w:color w:val="000000" w:themeColor="text1"/>
                <w:sz w:val="16"/>
                <w:szCs w:val="12"/>
                <w:lang w:val="en-US"/>
              </w:rPr>
              <w:t>at P</w:t>
            </w:r>
            <w:r w:rsidRPr="005250A4">
              <w:rPr>
                <w:rFonts w:ascii="Arial" w:hAnsi="Arial" w:cs="Arial"/>
                <w:color w:val="000000" w:themeColor="text1"/>
                <w:sz w:val="16"/>
                <w:szCs w:val="12"/>
                <w:lang w:val="en-US"/>
              </w:rPr>
              <w:t xml:space="preserve"> </w:t>
            </w:r>
            <w:r w:rsidR="000E7CA4" w:rsidRPr="005250A4">
              <w:rPr>
                <w:rFonts w:ascii="Arial" w:hAnsi="Arial" w:cs="Arial"/>
                <w:color w:val="000000" w:themeColor="text1"/>
                <w:sz w:val="16"/>
                <w:szCs w:val="12"/>
                <w:lang w:val="en-US"/>
              </w:rPr>
              <w:t>&lt;</w:t>
            </w:r>
            <w:r w:rsidRPr="005250A4">
              <w:rPr>
                <w:rFonts w:ascii="Arial" w:hAnsi="Arial" w:cs="Arial"/>
                <w:color w:val="000000" w:themeColor="text1"/>
                <w:sz w:val="16"/>
                <w:szCs w:val="12"/>
                <w:lang w:val="en-US"/>
              </w:rPr>
              <w:t xml:space="preserve"> .05</w:t>
            </w:r>
          </w:p>
        </w:tc>
      </w:tr>
    </w:tbl>
    <w:p w14:paraId="298A442F" w14:textId="77777777" w:rsidR="000A227C" w:rsidRPr="005250A4" w:rsidRDefault="000A227C" w:rsidP="000A227C">
      <w:pPr>
        <w:spacing w:after="100" w:afterAutospacing="1" w:line="360" w:lineRule="auto"/>
        <w:jc w:val="both"/>
        <w:rPr>
          <w:rFonts w:ascii="Arial" w:eastAsia="Times New Roman" w:hAnsi="Arial" w:cs="Arial"/>
          <w:b/>
          <w:color w:val="000000" w:themeColor="text1"/>
          <w:sz w:val="20"/>
          <w:szCs w:val="20"/>
          <w:lang w:val="en-US" w:eastAsia="fr-FR"/>
        </w:rPr>
      </w:pPr>
    </w:p>
    <w:p w14:paraId="386689B4" w14:textId="77777777" w:rsidR="00813887" w:rsidRPr="00202D84" w:rsidRDefault="000A4569" w:rsidP="00181327">
      <w:pPr>
        <w:spacing w:before="100" w:beforeAutospacing="1" w:after="100" w:afterAutospacing="1" w:line="360" w:lineRule="auto"/>
        <w:jc w:val="both"/>
        <w:rPr>
          <w:rFonts w:ascii="Arial" w:eastAsia="Times New Roman" w:hAnsi="Arial" w:cs="Arial"/>
          <w:b/>
          <w:i/>
          <w:color w:val="000000" w:themeColor="text1"/>
          <w:lang w:val="en-US" w:eastAsia="fr-FR"/>
        </w:rPr>
      </w:pPr>
      <w:r w:rsidRPr="00202D84">
        <w:rPr>
          <w:rFonts w:ascii="Arial" w:eastAsia="Times New Roman" w:hAnsi="Arial" w:cs="Arial"/>
          <w:b/>
          <w:color w:val="000000" w:themeColor="text1"/>
          <w:lang w:val="en-US" w:eastAsia="fr-FR"/>
        </w:rPr>
        <w:t>3.1. Nutritional potential</w:t>
      </w:r>
      <w:r w:rsidR="00CC3F9C" w:rsidRPr="00202D84">
        <w:rPr>
          <w:rFonts w:ascii="Arial" w:eastAsia="Times New Roman" w:hAnsi="Arial" w:cs="Arial"/>
          <w:b/>
          <w:color w:val="000000" w:themeColor="text1"/>
          <w:lang w:val="en-US" w:eastAsia="fr-FR"/>
        </w:rPr>
        <w:t xml:space="preserve"> </w:t>
      </w:r>
      <w:r w:rsidR="00935722" w:rsidRPr="00202D84">
        <w:rPr>
          <w:rFonts w:ascii="Arial" w:eastAsia="Times New Roman" w:hAnsi="Arial" w:cs="Arial"/>
          <w:b/>
          <w:color w:val="000000" w:themeColor="text1"/>
          <w:lang w:val="en-US" w:eastAsia="fr-FR"/>
        </w:rPr>
        <w:t>of leaf and fruit</w:t>
      </w:r>
      <w:r w:rsidR="00181327" w:rsidRPr="00202D84">
        <w:rPr>
          <w:rFonts w:ascii="Arial" w:eastAsia="Times New Roman" w:hAnsi="Arial" w:cs="Arial"/>
          <w:b/>
          <w:color w:val="000000" w:themeColor="text1"/>
          <w:lang w:val="en-US" w:eastAsia="fr-FR"/>
        </w:rPr>
        <w:t xml:space="preserve"> p</w:t>
      </w:r>
      <w:r w:rsidR="00CC3F9C" w:rsidRPr="00202D84">
        <w:rPr>
          <w:rFonts w:ascii="Arial" w:eastAsia="Times New Roman" w:hAnsi="Arial" w:cs="Arial"/>
          <w:b/>
          <w:color w:val="000000" w:themeColor="text1"/>
          <w:lang w:val="en-US" w:eastAsia="fr-FR"/>
        </w:rPr>
        <w:t xml:space="preserve">owders </w:t>
      </w:r>
    </w:p>
    <w:p w14:paraId="50BD94EF" w14:textId="77777777" w:rsidR="00181327" w:rsidRPr="005250A4" w:rsidRDefault="00CC3F9C" w:rsidP="00181327">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3.1.1. Proximate c</w:t>
      </w:r>
      <w:r w:rsidR="00813887" w:rsidRPr="005250A4">
        <w:rPr>
          <w:rFonts w:ascii="Arial" w:eastAsia="Times New Roman" w:hAnsi="Arial" w:cs="Arial"/>
          <w:b/>
          <w:color w:val="000000" w:themeColor="text1"/>
          <w:sz w:val="20"/>
          <w:szCs w:val="20"/>
          <w:lang w:val="en-US" w:eastAsia="fr-FR"/>
        </w:rPr>
        <w:t xml:space="preserve">omposition </w:t>
      </w:r>
      <w:r w:rsidR="00165F7E" w:rsidRPr="005250A4">
        <w:rPr>
          <w:rFonts w:ascii="Arial" w:eastAsia="Times New Roman" w:hAnsi="Arial" w:cs="Arial"/>
          <w:b/>
          <w:color w:val="000000" w:themeColor="text1"/>
          <w:sz w:val="20"/>
          <w:szCs w:val="20"/>
          <w:lang w:val="en-US" w:eastAsia="fr-FR"/>
        </w:rPr>
        <w:t>and energy intake</w:t>
      </w:r>
    </w:p>
    <w:p w14:paraId="140766CC" w14:textId="2D89F02A" w:rsidR="00813887" w:rsidRPr="005250A4" w:rsidRDefault="00813887" w:rsidP="00181327">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The macronutrient contents, as shown in Table 2, var</w:t>
      </w:r>
      <w:r w:rsidR="00B64B12" w:rsidRPr="005250A4">
        <w:rPr>
          <w:rFonts w:ascii="Arial" w:eastAsia="Times New Roman" w:hAnsi="Arial" w:cs="Arial"/>
          <w:color w:val="000000" w:themeColor="text1"/>
          <w:sz w:val="20"/>
          <w:szCs w:val="20"/>
          <w:lang w:val="en-US" w:eastAsia="fr-FR"/>
        </w:rPr>
        <w:t>ied</w:t>
      </w:r>
      <w:r w:rsidRPr="005250A4">
        <w:rPr>
          <w:rFonts w:ascii="Arial" w:eastAsia="Times New Roman" w:hAnsi="Arial" w:cs="Arial"/>
          <w:color w:val="000000" w:themeColor="text1"/>
          <w:sz w:val="20"/>
          <w:szCs w:val="20"/>
          <w:lang w:val="en-US" w:eastAsia="fr-FR"/>
        </w:rPr>
        <w:t xml:space="preserve"> significantly </w:t>
      </w:r>
      <w:r w:rsidR="00B64B12" w:rsidRPr="005250A4">
        <w:rPr>
          <w:rFonts w:ascii="Arial" w:eastAsia="Times New Roman" w:hAnsi="Arial" w:cs="Arial"/>
          <w:color w:val="000000" w:themeColor="text1"/>
          <w:sz w:val="20"/>
          <w:szCs w:val="20"/>
          <w:lang w:val="en-US" w:eastAsia="fr-FR"/>
        </w:rPr>
        <w:t>among the</w:t>
      </w:r>
      <w:r w:rsidRPr="005250A4">
        <w:rPr>
          <w:rFonts w:ascii="Arial" w:eastAsia="Times New Roman" w:hAnsi="Arial" w:cs="Arial"/>
          <w:color w:val="000000" w:themeColor="text1"/>
          <w:sz w:val="20"/>
          <w:szCs w:val="20"/>
          <w:lang w:val="en-US" w:eastAsia="fr-FR"/>
        </w:rPr>
        <w:t xml:space="preserve"> different organs.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B64B12"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ha</w:t>
      </w:r>
      <w:r w:rsidR="00B64B12"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protein content in </w:t>
      </w:r>
      <w:r w:rsidR="00B64B12"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leaves (20.63 ± 0.10 g/100</w:t>
      </w:r>
      <w:r w:rsidR="00B64B12"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00A01A06" w:rsidRPr="005250A4">
        <w:rPr>
          <w:rFonts w:ascii="Arial" w:eastAsia="Times New Roman" w:hAnsi="Arial" w:cs="Arial"/>
          <w:color w:val="000000" w:themeColor="text1"/>
          <w:sz w:val="20"/>
          <w:szCs w:val="20"/>
          <w:lang w:val="en-US" w:eastAsia="fr-FR"/>
        </w:rPr>
        <w:t xml:space="preserve">highest </w:t>
      </w:r>
      <w:r w:rsidRPr="005250A4">
        <w:rPr>
          <w:rFonts w:ascii="Arial" w:eastAsia="Times New Roman" w:hAnsi="Arial" w:cs="Arial"/>
          <w:color w:val="000000" w:themeColor="text1"/>
          <w:sz w:val="20"/>
          <w:szCs w:val="20"/>
          <w:lang w:val="en-US" w:eastAsia="fr-FR"/>
        </w:rPr>
        <w:t xml:space="preserve">fiber content in </w:t>
      </w:r>
      <w:r w:rsidR="00A01A06"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fruit</w:t>
      </w:r>
      <w:r w:rsidR="00A01A06"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(13.04 ± 0.30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total lipid content (7.64 ± 0.03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total ash content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in the leaves. The fruits of both plants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available sugar content, </w:t>
      </w:r>
      <w:r w:rsidR="00A01A06" w:rsidRPr="005250A4">
        <w:rPr>
          <w:rFonts w:ascii="Arial" w:eastAsia="Times New Roman" w:hAnsi="Arial" w:cs="Arial"/>
          <w:color w:val="000000" w:themeColor="text1"/>
          <w:sz w:val="20"/>
          <w:szCs w:val="20"/>
          <w:lang w:val="en-US" w:eastAsia="fr-FR"/>
        </w:rPr>
        <w:t>at</w:t>
      </w:r>
      <w:r w:rsidRPr="005250A4">
        <w:rPr>
          <w:rFonts w:ascii="Arial" w:eastAsia="Times New Roman" w:hAnsi="Arial" w:cs="Arial"/>
          <w:color w:val="000000" w:themeColor="text1"/>
          <w:sz w:val="20"/>
          <w:szCs w:val="20"/>
          <w:lang w:val="en-US" w:eastAsia="fr-FR"/>
        </w:rPr>
        <w:t xml:space="preserve"> 56.71 ± 0.40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57.35 ± 0.80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These results indicate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 significant sources of sugars, followed by protein and fiber. Their energy intake range</w:t>
      </w:r>
      <w:r w:rsidR="00A01A06" w:rsidRPr="005250A4">
        <w:rPr>
          <w:rFonts w:ascii="Arial" w:eastAsia="Times New Roman" w:hAnsi="Arial" w:cs="Arial"/>
          <w:color w:val="000000" w:themeColor="text1"/>
          <w:sz w:val="20"/>
          <w:szCs w:val="20"/>
          <w:lang w:val="en-US" w:eastAsia="fr-FR"/>
        </w:rPr>
        <w:t xml:space="preserve">d </w:t>
      </w:r>
      <w:r w:rsidRPr="005250A4">
        <w:rPr>
          <w:rFonts w:ascii="Arial" w:eastAsia="Times New Roman" w:hAnsi="Arial" w:cs="Arial"/>
          <w:color w:val="000000" w:themeColor="text1"/>
          <w:sz w:val="20"/>
          <w:szCs w:val="20"/>
          <w:lang w:val="en-US" w:eastAsia="fr-FR"/>
        </w:rPr>
        <w:t xml:space="preserve">from 254.57 ± 1.13 to 319.24 ± 1.87 kcal. Similar results have been reported by several authors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leaves and </w:t>
      </w:r>
      <w:r w:rsidRPr="005250A4">
        <w:rPr>
          <w:rFonts w:ascii="Arial" w:eastAsia="Times New Roman" w:hAnsi="Arial" w:cs="Arial"/>
          <w:color w:val="000000" w:themeColor="text1"/>
          <w:sz w:val="20"/>
          <w:szCs w:val="20"/>
          <w:lang w:val="en-US" w:eastAsia="fr-FR"/>
        </w:rPr>
        <w:lastRenderedPageBreak/>
        <w:t>fruits of these two plants</w:t>
      </w:r>
      <w:r w:rsidR="00494694" w:rsidRPr="005250A4">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(Islam, 2013</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However, slight differences in the order of importance of these different compounds (sugars, fibers, and proteins) have been observed by other authors</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(Bawa &amp; Badrie, 2016</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Sha’a et al., 2019)</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This can be attributed to various factors, such as the soil and climate conditions specific to each plant, and the methods used to analyze the plant organs studied. As </w:t>
      </w:r>
      <w:r w:rsidR="00A01A06" w:rsidRPr="005250A4">
        <w:rPr>
          <w:rFonts w:ascii="Arial" w:eastAsia="Times New Roman" w:hAnsi="Arial" w:cs="Arial"/>
          <w:color w:val="000000" w:themeColor="text1"/>
          <w:sz w:val="20"/>
          <w:szCs w:val="20"/>
          <w:lang w:val="en-US" w:eastAsia="fr-FR"/>
        </w:rPr>
        <w:t>shown</w:t>
      </w:r>
      <w:r w:rsidRPr="005250A4">
        <w:rPr>
          <w:rFonts w:ascii="Arial" w:eastAsia="Times New Roman" w:hAnsi="Arial" w:cs="Arial"/>
          <w:color w:val="000000" w:themeColor="text1"/>
          <w:sz w:val="20"/>
          <w:szCs w:val="20"/>
          <w:lang w:val="en-US" w:eastAsia="fr-FR"/>
        </w:rPr>
        <w:t xml:space="preserve"> in Table 2, fruits may be more recommended for their high energy potential, as shown by</w:t>
      </w:r>
      <w:r w:rsidR="00494694" w:rsidRPr="005250A4">
        <w:rPr>
          <w:rFonts w:ascii="Arial" w:eastAsia="Times New Roman" w:hAnsi="Arial" w:cs="Arial"/>
          <w:color w:val="000000" w:themeColor="text1"/>
          <w:sz w:val="20"/>
          <w:szCs w:val="20"/>
          <w:lang w:val="en-US" w:eastAsia="fr-FR"/>
        </w:rPr>
        <w:t xml:space="preserve">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{"citationItems":[{"id":"ITEM-1","itemData":{"DOI":"10.1002/jsfa.6196","ISSN":"00225142","PMID":"23633245","abstract":"Indigenous fruits constitute an important part of human diets in many sub-Saharan African countries, particularly in rural areas and during droughts. In order to promote and expand the utilisation of these fruits, knowledge on their nutritional composition is essential. This review presents the results of a literature research of the nutritional composition of ten selected indigenous fruits from sub-Saharan Africa. Species were selected based on their current importance as well as their future potential for nutrition, processing and cash income generation. Compositional data were compiled and mean values of components per species were calculated. Most papers were compiled for Adansonia digitata (26) and Dacryodes edulis (16), followed by Tamarindus indica (ten), Balanites aegyptiaca (nine), Sclerocarya birrea (nine), Ziziphus mauritiana (nine), Vitex doniana (seven) and Irvingia gabonensis (five), and least for Uapaca kirkiana (three) and Syzygium guineense (three). Fruits were found to be mainly analysed for macronutrients and minerals. Vitamins, apart from vitamin C, were rarely reported. Substantial compositional differences were found among as well as within the different fruit species. The results of this study emphasise the need to generate more high-quality data on a wider spectrum of components of the selected indigenous fruits in sub-Saharan Africa. © 2013 Food and Agriculture Organization of the United Nations.","author":[{"dropping-particle":"","family":"Stadlmayr","given":"Barbara","non-dropping-particle":"","parse-names":false,"suffix":""},{"dropping-particle":"","family":"Charrondière","given":"U. Ruth","non-dropping-particle":"","parse-names":false,"suffix":""},{"dropping-particle":"","family":"Eisenwagen","given":"Sandra","non-dropping-particle":"","parse-names":false,"suffix":""},{"dropping-particle":"","family":"Jamnadass","given":"Ramni","non-dropping-particle":"","parse-names":false,"suffix":""},{"dropping-particle":"","family":"Kehlenbeck","given":"Katja","non-dropping-particle":"","parse-names":false,"suffix":""}],"container-title":"Journal of the Science of Food and Agriculture","id":"ITEM-1","issue":"11","issued":{"date-parts":[["2013"]]},"page":"2627-2636","title":"Nutrient composition of selected indigenous fruits from sub-Saharan Africa","type":"article-journal","volume":"93"},"uris":["http://www.mendeley.com/documents/?uuid=0d50144e-00b5-453a-a352-42c569a82bd4"]}],"mendeley":{"formattedCitation":"(Stadlmayr et al., 2013)","manualFormatting":"Stadlmayr et al. (2013)","plainTextFormattedCitation":"(Stadlmayr et al., 2013)","previouslyFormattedCitation":"(Stadlmayr et al., 2013)"},"properties":{"noteIndex":0},"schema":"https://github.com/citation-style-language/schema/raw/master/csl-citation.json"}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983239">
        <w:rPr>
          <w:rFonts w:ascii="Arial" w:eastAsia="Times New Roman" w:hAnsi="Arial" w:cs="Arial"/>
          <w:noProof/>
          <w:color w:val="000000" w:themeColor="text1"/>
          <w:sz w:val="20"/>
          <w:szCs w:val="20"/>
          <w:lang w:val="en-US" w:eastAsia="fr-FR"/>
        </w:rPr>
        <w:t xml:space="preserve">Stadlmayr et al. </w:t>
      </w:r>
      <w:r w:rsidR="00835B30" w:rsidRP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2013)</w:t>
      </w:r>
      <w:r w:rsidR="00494694" w:rsidRPr="005250A4">
        <w:rPr>
          <w:rFonts w:ascii="Arial" w:eastAsia="Times New Roman" w:hAnsi="Arial" w:cs="Arial"/>
          <w:color w:val="000000" w:themeColor="text1"/>
          <w:sz w:val="20"/>
          <w:szCs w:val="20"/>
          <w:lang w:val="en-US" w:eastAsia="fr-FR"/>
        </w:rPr>
        <w:fldChar w:fldCharType="end"/>
      </w:r>
      <w:r w:rsidR="00494694" w:rsidRPr="00835B30">
        <w:rPr>
          <w:rFonts w:ascii="Arial" w:eastAsia="Times New Roman" w:hAnsi="Arial" w:cs="Arial"/>
          <w:color w:val="000000" w:themeColor="text1"/>
          <w:sz w:val="20"/>
          <w:szCs w:val="20"/>
          <w:lang w:val="en-US" w:eastAsia="fr-FR"/>
        </w:rPr>
        <w:t xml:space="preserve"> and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{"citationItems":[{"id":"ITEM-1","itemData":{"DOI":"10.1016/B978-0-12-408137-6.00005-3","ISBN":"9780124081376","abstract":"Chronic diseases such as heart disease, stroke, cancer and diabetes are a leading cause of mortality worldwide. Excess weight and outright obesity are a growing concern. Prevention of these problems is linked to lifestyle choices. There may be an evolutionary discordance between modern diets, rich in calories from fats and starches and low in fruits and vegetables, and human nutritional requirements. Consequently replacing some added sugars and saturated fat with more fruits and vegetables, may benefit health. A growing body of research indicates that fruit and vegetable consumption reduces the risk of major diseases and possibly delays the onset of age-related disorders. Traditional eating patterns of the Mediterranean region are associated with reduced cardiovascular disease. Although there is no single definition of a Mediterranean diet, descriptions emphasize the consumption of vegetables, fruits and nuts. In this chapter, we describe the main nutritional components and non-nutritional antioxidants present in fruits and vegetables, with special reference to the latest advancements. The influence of species, cultivar, maturity stage, postharvest storage conditions on these components is discussed. © 2014 Elsevier Inc. All rights reserved.","author":[{"dropping-particle":"","family":"Vincente","given":"Ariel R.","non-dropping-particle":"","parse-names":false,"suffix":""},{"dropping-particle":"","family":"Manganaris","given":"George A.","non-dropping-particle":"","parse-names":false,"suffix":""},{"dropping-particle":"","family":"Ortiz","given":"Cristian M.","non-dropping-particle":"","parse-names":false,"suffix":""},{"dropping-particle":"","family":"Sozzi","given":"Gabriel O.","non-dropping-particle":"","parse-names":false,"suffix":""},{"dropping-particle":"","family":"Crisosto","given":"Carlos H.","non-dropping-particle":"","parse-names":false,"suffix":""}],"container-title":"Postharvest Handling: A Systems Approach","id":"ITEM-1","issued":{"date-parts":[["2014"]]},"page":"69-122","title":"Nutritional Quality of Fruits and Vegetables","type":"chapter"},"uris":["http://www.mendeley.com/documents/?uuid=a6732b29-0638-4d49-8aff-c7412a5caa55"]}],"mendeley":{"formattedCitation":"(Vincente et al., 2014)","manualFormatting":"Vincente et al. (2014)","plainTextFormattedCitation":"(Vincente et al., 2014)","previouslyFormattedCitation":"(Vincente et al., 2014)"},"properties":{"noteIndex":0},"schema":"https://github.com/citation-style-language/schema/raw/master/csl-citation.json"}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835B30">
        <w:rPr>
          <w:rFonts w:ascii="Arial" w:eastAsia="Times New Roman" w:hAnsi="Arial" w:cs="Arial"/>
          <w:noProof/>
          <w:color w:val="000000" w:themeColor="text1"/>
          <w:sz w:val="20"/>
          <w:szCs w:val="20"/>
          <w:lang w:val="en-US" w:eastAsia="fr-FR"/>
        </w:rPr>
        <w:t xml:space="preserve">Vincente et al. </w:t>
      </w:r>
      <w:r w:rsid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2014)</w:t>
      </w:r>
      <w:r w:rsidR="00494694" w:rsidRPr="005250A4">
        <w:rPr>
          <w:rFonts w:ascii="Arial" w:eastAsia="Times New Roman" w:hAnsi="Arial" w:cs="Arial"/>
          <w:color w:val="000000" w:themeColor="text1"/>
          <w:sz w:val="20"/>
          <w:szCs w:val="20"/>
          <w:lang w:val="en-US" w:eastAsia="fr-FR"/>
        </w:rPr>
        <w:fldChar w:fldCharType="end"/>
      </w:r>
      <w:r w:rsidR="00A01A06" w:rsidRPr="00835B30">
        <w:rPr>
          <w:rFonts w:ascii="Arial" w:hAnsi="Arial" w:cs="Arial"/>
          <w:color w:val="000000" w:themeColor="text1"/>
          <w:sz w:val="20"/>
          <w:szCs w:val="20"/>
          <w:lang w:val="en-US"/>
        </w:rPr>
        <w:t>,</w:t>
      </w:r>
      <w:r w:rsidR="00181327" w:rsidRPr="00835B30">
        <w:rPr>
          <w:rFonts w:ascii="Arial" w:hAnsi="Arial" w:cs="Arial"/>
          <w:color w:val="000000" w:themeColor="text1"/>
          <w:sz w:val="20"/>
          <w:szCs w:val="20"/>
          <w:lang w:val="en-US"/>
        </w:rPr>
        <w:t xml:space="preserve"> </w:t>
      </w:r>
      <w:r w:rsidRPr="00835B30">
        <w:rPr>
          <w:rFonts w:ascii="Arial" w:eastAsia="Times New Roman" w:hAnsi="Arial" w:cs="Arial"/>
          <w:color w:val="000000" w:themeColor="text1"/>
          <w:sz w:val="20"/>
          <w:szCs w:val="20"/>
          <w:lang w:val="en-US" w:eastAsia="fr-FR"/>
        </w:rPr>
        <w:t>compared with leaves, which may be recommended for their high protei</w:t>
      </w:r>
      <w:r w:rsidR="00DF3CD1" w:rsidRPr="00835B30">
        <w:rPr>
          <w:rFonts w:ascii="Arial" w:eastAsia="Times New Roman" w:hAnsi="Arial" w:cs="Arial"/>
          <w:color w:val="000000" w:themeColor="text1"/>
          <w:sz w:val="20"/>
          <w:szCs w:val="20"/>
          <w:lang w:val="en-US" w:eastAsia="fr-FR"/>
        </w:rPr>
        <w:t>n potential, as shown by</w:t>
      </w:r>
      <w:r w:rsidR="00554987" w:rsidRPr="00835B30">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w:t>
      </w:r>
      <w:r w:rsidR="00DF3CD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On the other hand, the significant differences observed in crude fiber content should not prevent leaves and fruits from being appreciated by consumers, given their health benefits (ballast food, </w:t>
      </w:r>
      <w:proofErr w:type="spellStart"/>
      <w:r w:rsidRPr="005250A4">
        <w:rPr>
          <w:rFonts w:ascii="Arial" w:eastAsia="Times New Roman" w:hAnsi="Arial" w:cs="Arial"/>
          <w:color w:val="000000" w:themeColor="text1"/>
          <w:sz w:val="20"/>
          <w:szCs w:val="20"/>
          <w:lang w:val="en-US" w:eastAsia="fr-FR"/>
        </w:rPr>
        <w:t>satietogenic</w:t>
      </w:r>
      <w:proofErr w:type="spellEnd"/>
      <w:r w:rsidRPr="005250A4">
        <w:rPr>
          <w:rFonts w:ascii="Arial" w:eastAsia="Times New Roman" w:hAnsi="Arial" w:cs="Arial"/>
          <w:color w:val="000000" w:themeColor="text1"/>
          <w:sz w:val="20"/>
          <w:szCs w:val="20"/>
          <w:lang w:val="en-US" w:eastAsia="fr-FR"/>
        </w:rPr>
        <w:t xml:space="preserve"> power, lipase and sucrase trapping) </w:t>
      </w:r>
      <w:r w:rsidR="00181327"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{"citationItems":[{"id":"ITEM-1","itemData":{"DOI":"10.1111/jdi.12376","ISSN":"20401124","PMID":"26816602","abstract":"Aims/Introduction: Some previous studies reported no significant association of consuming fruit or vegetables, or fruit and vegetables combined, with type 2 diabetes. Others reported that only a greater intake of green leafy vegetables reduced the risk of type 2 diabetes. To further investigate the relationship between them, we carried out a meta-analysis to estimate the independent effects of the intake of fruit, vegetables and fiber on the risk of type 2 diabetes. Materials and Methods: Searches of MEDLINE and EMBASE for reports of prospective cohort studies published from 1 January 1966 to 21 July 2014 were carried out, checking reference lists, hand-searching journals and contacting experts. Results: The primary analysis included a total of 23 (11 + 12) articles. The pooled maximum-adjusted relative risk of type 2 diabetes for the highest intake vs the lowest intake were 0.91 (95% confidence interval [CI] 0.87-0.96) for total fruits, 0.75 (95% CI 0.66-0.84) for blueberries, 0.87 (95% CI 0.81-0.93) for green leafy vegetables, 0.72 (95% CI 0.57-0.90) for yellow vegetables, 0.82 (95% CI 0.67-0.99) for cruciferous vegetables and 0.93 (95% CI 0.88-0.99) for fruit fiber in these high-quality studies in which scores were seven or greater, and 0.87 (95% CI 0.80-0.94) for vegetable fiber in studies with a follow-up period of 10 years or more. Conclusions: A higher intake of fruit, especially berries, and green leafy vegetables, yellow vegetables, cruciferous vegetables or their fiber is associated with a lower risk of type 2 diabetes.","author":[{"dropping-particle":"","family":"Wang","given":"Ping Yu","non-dropping-particle":"","parse-names":false,"suffix":""},{"dropping-particle":"","family":"Fang","given":"Jun Chao","non-dropping-particle":"","parse-names":false,"suffix":""},{"dropping-particle":"","family":"Gao","given":"Zong Hua","non-dropping-particle":"","parse-names":false,"suffix":""},{"dropping-particle":"","family":"Zhang","given":"Can","non-dropping-particle":"","parse-names":false,"suffix":""},{"dropping-particle":"","family":"Xie","given":"Shu Yang","non-dropping-particle":"","parse-names":false,"suffix":""}],"container-title":"Journal of Diabetes Investigation","id":"ITEM-1","issue":"1","issued":{"date-parts":[["2016"]]},"page":"56-69","title":"Higher intake of fruits, vegetables or their fiber reduces the risk of type 2 diabetes: A meta-analysis","type":"article-journal","volume":"7"},"uris":["http://www.mendeley.com/documents/?uuid=ea0b0b52-c73d-41e2-a666-174d5354321c"]}],"mendeley":{"formattedCitation":"(Wang et al., 2016)","plainTextFormattedCitation":"(Wang et al., 2016)","previouslyFormattedCitation":"(Wang et al., 2016)"},"properties":{"noteIndex":0},"schema":"https://github.com/citation-style-language/schema/raw/master/csl-citation.json"}</w:instrText>
      </w:r>
      <w:r w:rsidR="00181327"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(Wang et al., 2016)</w:t>
      </w:r>
      <w:r w:rsidR="00181327"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w:t>
      </w:r>
    </w:p>
    <w:p w14:paraId="7AFF6F01" w14:textId="68B209D4" w:rsidR="00D02EBF" w:rsidRPr="005250A4" w:rsidRDefault="00813887" w:rsidP="00D02EB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Given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and A. esculentus</w:t>
      </w:r>
      <w:r w:rsidRPr="005250A4">
        <w:rPr>
          <w:rFonts w:ascii="Arial" w:eastAsia="Times New Roman" w:hAnsi="Arial" w:cs="Arial"/>
          <w:color w:val="000000" w:themeColor="text1"/>
          <w:sz w:val="20"/>
          <w:szCs w:val="20"/>
          <w:lang w:val="en-US" w:eastAsia="fr-FR"/>
        </w:rPr>
        <w:t xml:space="preserve"> are recommended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fight against chronic diseases and numerous other pathologies (type 2 diabetes, obesity, cancer, colic, dysentery etc.)</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 xml:space="preserve">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w:instrText>
      </w:r>
      <w:r w:rsidR="00DD6338" w:rsidRPr="00A65703">
        <w:rPr>
          <w:rFonts w:ascii="Arial" w:eastAsia="Times New Roman" w:hAnsi="Arial" w:cs="Arial"/>
          <w:color w:val="000000" w:themeColor="text1"/>
          <w:sz w:val="20"/>
          <w:szCs w:val="20"/>
          <w:lang w:eastAsia="fr-FR"/>
        </w:rPr>
        <w:instrText>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(Islam, 2013;</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 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 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Bawa &amp; Badrie, 2016)</w:t>
      </w:r>
      <w:r w:rsidR="005830BB">
        <w:rPr>
          <w:rFonts w:ascii="Arial" w:eastAsia="Times New Roman" w:hAnsi="Arial" w:cs="Arial"/>
          <w:color w:val="000000" w:themeColor="text1"/>
          <w:sz w:val="20"/>
          <w:szCs w:val="20"/>
          <w:lang w:val="en-US" w:eastAsia="fr-FR"/>
        </w:rPr>
        <w:fldChar w:fldCharType="end"/>
      </w:r>
      <w:r w:rsidR="005830BB"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the total </w:t>
      </w:r>
      <w:proofErr w:type="spellStart"/>
      <w:r w:rsidRPr="005830BB">
        <w:rPr>
          <w:rFonts w:ascii="Arial" w:eastAsia="Times New Roman" w:hAnsi="Arial" w:cs="Arial"/>
          <w:color w:val="000000" w:themeColor="text1"/>
          <w:sz w:val="20"/>
          <w:szCs w:val="20"/>
          <w:lang w:eastAsia="fr-FR"/>
        </w:rPr>
        <w:t>lipid</w:t>
      </w:r>
      <w:proofErr w:type="spellEnd"/>
      <w:r w:rsidRPr="005830BB">
        <w:rPr>
          <w:rFonts w:ascii="Arial" w:eastAsia="Times New Roman" w:hAnsi="Arial" w:cs="Arial"/>
          <w:color w:val="000000" w:themeColor="text1"/>
          <w:sz w:val="20"/>
          <w:szCs w:val="20"/>
          <w:lang w:eastAsia="fr-FR"/>
        </w:rPr>
        <w:t xml:space="preserve"> content of </w:t>
      </w:r>
      <w:r w:rsidR="00A01A06" w:rsidRPr="005830BB">
        <w:rPr>
          <w:rFonts w:ascii="Arial" w:eastAsia="Times New Roman" w:hAnsi="Arial" w:cs="Arial"/>
          <w:color w:val="000000" w:themeColor="text1"/>
          <w:sz w:val="20"/>
          <w:szCs w:val="20"/>
          <w:lang w:eastAsia="fr-FR"/>
        </w:rPr>
        <w:t xml:space="preserve">the </w:t>
      </w:r>
      <w:proofErr w:type="spellStart"/>
      <w:r w:rsidRPr="005830BB">
        <w:rPr>
          <w:rFonts w:ascii="Arial" w:eastAsia="Times New Roman" w:hAnsi="Arial" w:cs="Arial"/>
          <w:color w:val="000000" w:themeColor="text1"/>
          <w:sz w:val="20"/>
          <w:szCs w:val="20"/>
          <w:lang w:eastAsia="fr-FR"/>
        </w:rPr>
        <w:t>leaves</w:t>
      </w:r>
      <w:proofErr w:type="spellEnd"/>
      <w:r w:rsidRPr="005830BB">
        <w:rPr>
          <w:rFonts w:ascii="Arial" w:eastAsia="Times New Roman" w:hAnsi="Arial" w:cs="Arial"/>
          <w:color w:val="000000" w:themeColor="text1"/>
          <w:sz w:val="20"/>
          <w:szCs w:val="20"/>
          <w:lang w:eastAsia="fr-FR"/>
        </w:rPr>
        <w:t xml:space="preserve"> (5.29 ± 0.01 and 7.64 ± 0.03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which</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is</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higher</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than</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that</w:t>
      </w:r>
      <w:proofErr w:type="spellEnd"/>
      <w:r w:rsidRPr="005830BB">
        <w:rPr>
          <w:rFonts w:ascii="Arial" w:eastAsia="Times New Roman" w:hAnsi="Arial" w:cs="Arial"/>
          <w:color w:val="000000" w:themeColor="text1"/>
          <w:sz w:val="20"/>
          <w:szCs w:val="20"/>
          <w:lang w:eastAsia="fr-FR"/>
        </w:rPr>
        <w:t xml:space="preserve"> of </w:t>
      </w:r>
      <w:r w:rsidR="00A01A06" w:rsidRPr="005830BB">
        <w:rPr>
          <w:rFonts w:ascii="Arial" w:eastAsia="Times New Roman" w:hAnsi="Arial" w:cs="Arial"/>
          <w:color w:val="000000" w:themeColor="text1"/>
          <w:sz w:val="20"/>
          <w:szCs w:val="20"/>
          <w:lang w:eastAsia="fr-FR"/>
        </w:rPr>
        <w:t xml:space="preserve">the </w:t>
      </w:r>
      <w:r w:rsidRPr="005830BB">
        <w:rPr>
          <w:rFonts w:ascii="Arial" w:eastAsia="Times New Roman" w:hAnsi="Arial" w:cs="Arial"/>
          <w:color w:val="000000" w:themeColor="text1"/>
          <w:sz w:val="20"/>
          <w:szCs w:val="20"/>
          <w:lang w:eastAsia="fr-FR"/>
        </w:rPr>
        <w:t>fruit (1.81 ± 0.01 and 2.70 ± 0.01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respectively</w:t>
      </w:r>
      <w:proofErr w:type="spellEnd"/>
      <w:r w:rsidRPr="005830BB">
        <w:rPr>
          <w:rFonts w:ascii="Arial" w:eastAsia="Times New Roman" w:hAnsi="Arial" w:cs="Arial"/>
          <w:color w:val="000000" w:themeColor="text1"/>
          <w:sz w:val="20"/>
          <w:szCs w:val="20"/>
          <w:lang w:eastAsia="fr-FR"/>
        </w:rPr>
        <w:t xml:space="preserve">), </w:t>
      </w:r>
      <w:proofErr w:type="spellStart"/>
      <w:r w:rsidR="00535C77" w:rsidRPr="005830BB">
        <w:rPr>
          <w:rFonts w:ascii="Arial" w:eastAsia="Times New Roman" w:hAnsi="Arial" w:cs="Arial"/>
          <w:color w:val="000000" w:themeColor="text1"/>
          <w:sz w:val="20"/>
          <w:szCs w:val="20"/>
          <w:lang w:eastAsia="fr-FR"/>
        </w:rPr>
        <w:t>cannot</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be</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overlooked</w:t>
      </w:r>
      <w:proofErr w:type="spellEnd"/>
      <w:r w:rsidRPr="005830BB">
        <w:rPr>
          <w:rFonts w:ascii="Arial" w:eastAsia="Times New Roman" w:hAnsi="Arial" w:cs="Arial"/>
          <w:color w:val="000000" w:themeColor="text1"/>
          <w:sz w:val="20"/>
          <w:szCs w:val="20"/>
          <w:lang w:eastAsia="fr-FR"/>
        </w:rPr>
        <w:t xml:space="preserve">. </w:t>
      </w:r>
      <w:r w:rsidRPr="005250A4">
        <w:rPr>
          <w:rFonts w:ascii="Arial" w:eastAsia="Times New Roman" w:hAnsi="Arial" w:cs="Arial"/>
          <w:color w:val="000000" w:themeColor="text1"/>
          <w:sz w:val="20"/>
          <w:szCs w:val="20"/>
          <w:lang w:val="en-US" w:eastAsia="fr-FR"/>
        </w:rPr>
        <w:t>This can significantly increase the energy value of the two organs studied. Similar contents (1.38 to 7.01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181327" w:rsidRPr="005250A4">
        <w:rPr>
          <w:rFonts w:ascii="Arial" w:hAnsi="Arial" w:cs="Arial"/>
          <w:color w:val="000000" w:themeColor="text1"/>
          <w:sz w:val="20"/>
          <w:szCs w:val="20"/>
          <w:lang w:val="en-US"/>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several leafy vegetables grown and commonly consumed in Cameroon. The same observation applies to total ash content. In fact, ash indicates the mineral content of leaves and fruit (Table 2). The </w:t>
      </w:r>
      <w:r w:rsidR="00A01A06" w:rsidRPr="005250A4">
        <w:rPr>
          <w:rFonts w:ascii="Arial" w:eastAsia="Times New Roman" w:hAnsi="Arial" w:cs="Arial"/>
          <w:color w:val="000000" w:themeColor="text1"/>
          <w:sz w:val="20"/>
          <w:szCs w:val="20"/>
          <w:lang w:val="en-US" w:eastAsia="fr-FR"/>
        </w:rPr>
        <w:t xml:space="preserve">values </w:t>
      </w:r>
      <w:r w:rsidRPr="005250A4">
        <w:rPr>
          <w:rFonts w:ascii="Arial" w:eastAsia="Times New Roman" w:hAnsi="Arial" w:cs="Arial"/>
          <w:color w:val="000000" w:themeColor="text1"/>
          <w:sz w:val="20"/>
          <w:szCs w:val="20"/>
          <w:lang w:val="en-US" w:eastAsia="fr-FR"/>
        </w:rPr>
        <w:t xml:space="preserve">obtained in this study </w:t>
      </w:r>
      <w:r w:rsidR="00A01A06" w:rsidRPr="005250A4">
        <w:rPr>
          <w:rFonts w:ascii="Arial" w:eastAsia="Times New Roman" w:hAnsi="Arial" w:cs="Arial"/>
          <w:color w:val="000000" w:themeColor="text1"/>
          <w:sz w:val="20"/>
          <w:szCs w:val="20"/>
          <w:lang w:val="en-US" w:eastAsia="fr-FR"/>
        </w:rPr>
        <w:t>were</w:t>
      </w:r>
      <w:r w:rsidRPr="005250A4">
        <w:rPr>
          <w:rFonts w:ascii="Arial" w:eastAsia="Times New Roman" w:hAnsi="Arial" w:cs="Arial"/>
          <w:color w:val="000000" w:themeColor="text1"/>
          <w:sz w:val="20"/>
          <w:szCs w:val="20"/>
          <w:lang w:val="en-US" w:eastAsia="fr-FR"/>
        </w:rPr>
        <w:t xml:space="preserve"> high (7.61 ± 0.10 to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particularly in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i/>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fruits (12.95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T</w:t>
      </w:r>
      <w:r w:rsidR="00A01A06" w:rsidRPr="005250A4">
        <w:rPr>
          <w:rFonts w:ascii="Arial" w:eastAsia="Times New Roman" w:hAnsi="Arial" w:cs="Arial"/>
          <w:color w:val="000000" w:themeColor="text1"/>
          <w:sz w:val="20"/>
          <w:szCs w:val="20"/>
          <w:lang w:val="en-US" w:eastAsia="fr-FR"/>
        </w:rPr>
        <w:t>herefore, t</w:t>
      </w:r>
      <w:r w:rsidRPr="005250A4">
        <w:rPr>
          <w:rFonts w:ascii="Arial" w:eastAsia="Times New Roman" w:hAnsi="Arial" w:cs="Arial"/>
          <w:color w:val="000000" w:themeColor="text1"/>
          <w:sz w:val="20"/>
          <w:szCs w:val="20"/>
          <w:lang w:val="en-US" w:eastAsia="fr-FR"/>
        </w:rPr>
        <w:t>hey should</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not be neglected when ass</w:t>
      </w:r>
      <w:r w:rsidR="004C6671" w:rsidRPr="005250A4">
        <w:rPr>
          <w:rFonts w:ascii="Arial" w:eastAsia="Times New Roman" w:hAnsi="Arial" w:cs="Arial"/>
          <w:color w:val="000000" w:themeColor="text1"/>
          <w:sz w:val="20"/>
          <w:szCs w:val="20"/>
          <w:lang w:val="en-US" w:eastAsia="fr-FR"/>
        </w:rPr>
        <w:t>essing the nutri</w:t>
      </w:r>
      <w:r w:rsidR="00201FD5" w:rsidRPr="005250A4">
        <w:rPr>
          <w:rFonts w:ascii="Arial" w:eastAsia="Times New Roman" w:hAnsi="Arial" w:cs="Arial"/>
          <w:color w:val="000000" w:themeColor="text1"/>
          <w:sz w:val="20"/>
          <w:szCs w:val="20"/>
          <w:lang w:val="en-US" w:eastAsia="fr-FR"/>
        </w:rPr>
        <w:t>ent</w:t>
      </w:r>
      <w:r w:rsidR="004C6671" w:rsidRPr="005250A4">
        <w:rPr>
          <w:rFonts w:ascii="Arial" w:eastAsia="Times New Roman" w:hAnsi="Arial" w:cs="Arial"/>
          <w:color w:val="000000" w:themeColor="text1"/>
          <w:sz w:val="20"/>
          <w:szCs w:val="20"/>
          <w:lang w:val="en-US" w:eastAsia="fr-FR"/>
        </w:rPr>
        <w:t xml:space="preserve"> density</w:t>
      </w:r>
      <w:r w:rsidRPr="005250A4">
        <w:rPr>
          <w:rFonts w:ascii="Arial" w:eastAsia="Times New Roman" w:hAnsi="Arial" w:cs="Arial"/>
          <w:color w:val="000000" w:themeColor="text1"/>
          <w:sz w:val="20"/>
          <w:szCs w:val="20"/>
          <w:lang w:val="en-US" w:eastAsia="fr-FR"/>
        </w:rPr>
        <w:t xml:space="preserve"> of the organs of these two plants. These results are lower than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{"citationItems":[{"id":"ITEM-1","itemData":{"DOI":"10.3390/su12135401","ISBN":"3727313927","ISSN":"20711050","abstract":"Agri-food industries generate enormous amounts of fruit and vegetable processing wastes, which opens up an important research area aimed towards minimizing and managing them efficiently to support zero wastes and/or circular economy concept. These wastes remain underutilized owing to a lack of appropriate processing technologies vital for their efficient valorization, especially for recovery of health beneficial bioactives like dietary fibers. Dietary fiber finds wide applications in food and pharmaceutical industries and holds high promise as a potential food additive and/or as a functional food ingredient to meet the techno-functional purposes important for developing health-promoting value-added products. Based on this, the present review has been designed to support 'zero waste' and 'waste to wealth' concepts. In addition, the focus revolves around providing updated information on various sustainability challenges incurred towards valorization of fruit and vegetable wastes for extraction of health promoting dietary fibers.","author":[{"dropping-particle":"","family":"Hussain","given":"Shehzad","non-dropping-particle":"","parse-names":false,"suffix":""},{"dropping-particle":"","family":"Jõudu","given":"Ivi","non-dropping-particle":"","parse-names":false,"suffix":""},{"dropping-particle":"","family":"Bhat","given":"Rajeev","non-dropping-particle":"","parse-names":false,"suffix":""}],"container-title":"Sustainability (Switzerland)","id":"ITEM-1","issue":"13","issued":{"date-parts":[["2020"]]},"title":"Dietary fiber from underutilized plant resources-A positive approach for valorization of fruit and vegetable wastes","type":"article-journal","volume":"12"},"uris":["http://www.mendeley.com/documents/?uuid=16eb80d0-a34c-4191-a250-10db630c2bdd"]}],"mendeley":{"formattedCitation":"(Hussain et al., 2020)","manualFormatting":"Hussain et al. (2020)","plainTextFormattedCitation":"(Hussain et al., 2020)","previouslyFormattedCitation":"(Hussain et al., 2020)"},"properties":{"noteIndex":0},"schema":"https://github.com/citation-style-language/schema/raw/master/csl-citation.json"}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Hussain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fruits (2.45 ± 0.09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similar to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Sha’a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2019)</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(15.00 ± 0.11g/100</w:t>
      </w:r>
      <w:r w:rsidR="00D64E60"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 observed differences between these </w:t>
      </w:r>
      <w:r w:rsidR="00D02EBF" w:rsidRPr="005250A4">
        <w:rPr>
          <w:rFonts w:ascii="Arial" w:eastAsia="Times New Roman" w:hAnsi="Arial" w:cs="Arial"/>
          <w:color w:val="000000" w:themeColor="text1"/>
          <w:sz w:val="20"/>
          <w:szCs w:val="20"/>
          <w:lang w:val="en-US" w:eastAsia="fr-FR"/>
        </w:rPr>
        <w:t xml:space="preserve">ash </w:t>
      </w:r>
      <w:r w:rsidRPr="005250A4">
        <w:rPr>
          <w:rFonts w:ascii="Arial" w:eastAsia="Times New Roman" w:hAnsi="Arial" w:cs="Arial"/>
          <w:color w:val="000000" w:themeColor="text1"/>
          <w:sz w:val="20"/>
          <w:szCs w:val="20"/>
          <w:lang w:val="en-US" w:eastAsia="fr-FR"/>
        </w:rPr>
        <w:t xml:space="preserve">contents could be due to the nature of the soil, </w:t>
      </w:r>
      <w:r w:rsidR="00D02EBF" w:rsidRPr="005250A4">
        <w:rPr>
          <w:rFonts w:ascii="Arial" w:eastAsia="Times New Roman" w:hAnsi="Arial" w:cs="Arial"/>
          <w:color w:val="000000" w:themeColor="text1"/>
          <w:sz w:val="20"/>
          <w:szCs w:val="20"/>
          <w:lang w:val="en-US" w:eastAsia="fr-FR"/>
        </w:rPr>
        <w:t xml:space="preserve">the relief of the area where the two plants are grown, </w:t>
      </w:r>
      <w:r w:rsidRPr="005250A4">
        <w:rPr>
          <w:rFonts w:ascii="Arial" w:eastAsia="Times New Roman" w:hAnsi="Arial" w:cs="Arial"/>
          <w:color w:val="000000" w:themeColor="text1"/>
          <w:sz w:val="20"/>
          <w:szCs w:val="20"/>
          <w:lang w:val="en-US" w:eastAsia="fr-FR"/>
        </w:rPr>
        <w:t>the climate, and the post-harvest treatments applied to the leaves and fruit.</w:t>
      </w:r>
      <w:r w:rsidR="00D02EBF" w:rsidRPr="005250A4">
        <w:rPr>
          <w:rFonts w:ascii="Arial" w:eastAsia="Times New Roman" w:hAnsi="Arial" w:cs="Arial"/>
          <w:color w:val="000000" w:themeColor="text1"/>
          <w:sz w:val="20"/>
          <w:szCs w:val="20"/>
          <w:lang w:val="en-US" w:eastAsia="fr-FR"/>
        </w:rPr>
        <w:t xml:space="preserve">  </w:t>
      </w:r>
    </w:p>
    <w:p w14:paraId="345283D5" w14:textId="77777777" w:rsidR="000E51AC" w:rsidRPr="005250A4" w:rsidRDefault="000E51AC" w:rsidP="000E51AC">
      <w:pPr>
        <w:pStyle w:val="ListParagraph"/>
        <w:numPr>
          <w:ilvl w:val="2"/>
          <w:numId w:val="5"/>
        </w:numPr>
        <w:spacing w:line="360" w:lineRule="auto"/>
        <w:jc w:val="both"/>
        <w:rPr>
          <w:rStyle w:val="fontstyle01"/>
          <w:rFonts w:ascii="Arial" w:hAnsi="Arial" w:cs="Arial"/>
          <w:b/>
          <w:color w:val="000000" w:themeColor="text1"/>
          <w:sz w:val="20"/>
          <w:szCs w:val="20"/>
        </w:rPr>
      </w:pPr>
      <w:proofErr w:type="spellStart"/>
      <w:r w:rsidRPr="005250A4">
        <w:rPr>
          <w:rStyle w:val="fontstyle01"/>
          <w:rFonts w:ascii="Arial" w:hAnsi="Arial" w:cs="Arial"/>
          <w:b/>
          <w:color w:val="000000" w:themeColor="text1"/>
          <w:sz w:val="20"/>
          <w:szCs w:val="20"/>
        </w:rPr>
        <w:t>Mineral</w:t>
      </w:r>
      <w:proofErr w:type="spellEnd"/>
      <w:r w:rsidRPr="005250A4">
        <w:rPr>
          <w:rStyle w:val="fontstyle01"/>
          <w:rFonts w:ascii="Arial" w:hAnsi="Arial" w:cs="Arial"/>
          <w:b/>
          <w:color w:val="000000" w:themeColor="text1"/>
          <w:sz w:val="20"/>
          <w:szCs w:val="20"/>
        </w:rPr>
        <w:t xml:space="preserve"> content</w:t>
      </w:r>
    </w:p>
    <w:p w14:paraId="5BFD18C4" w14:textId="77777777" w:rsidR="006C6D97" w:rsidRPr="005250A4" w:rsidRDefault="006C6D97" w:rsidP="006C6D97">
      <w:pPr>
        <w:pStyle w:val="ListParagraph"/>
        <w:spacing w:line="360" w:lineRule="auto"/>
        <w:jc w:val="both"/>
        <w:rPr>
          <w:rStyle w:val="fontstyle01"/>
          <w:rFonts w:ascii="Arial" w:hAnsi="Arial" w:cs="Arial"/>
          <w:b/>
          <w:color w:val="000000" w:themeColor="text1"/>
          <w:sz w:val="20"/>
          <w:szCs w:val="20"/>
        </w:rPr>
      </w:pPr>
    </w:p>
    <w:p w14:paraId="5C984FA1" w14:textId="5F420EA8" w:rsidR="005E4E45" w:rsidRPr="005250A4" w:rsidRDefault="00FC5435" w:rsidP="006C6D97">
      <w:pPr>
        <w:pStyle w:val="ListParagraph"/>
        <w:numPr>
          <w:ilvl w:val="3"/>
          <w:numId w:val="5"/>
        </w:numPr>
        <w:spacing w:line="360" w:lineRule="auto"/>
        <w:jc w:val="both"/>
        <w:rPr>
          <w:rStyle w:val="fontstyle01"/>
          <w:rFonts w:ascii="Arial" w:hAnsi="Arial" w:cs="Arial"/>
          <w:b/>
          <w:iCs/>
          <w:color w:val="000000" w:themeColor="text1"/>
          <w:sz w:val="20"/>
          <w:szCs w:val="20"/>
        </w:rPr>
      </w:pPr>
      <w:r w:rsidRPr="005250A4">
        <w:rPr>
          <w:rStyle w:val="fontstyle01"/>
          <w:rFonts w:ascii="Arial" w:hAnsi="Arial" w:cs="Arial"/>
          <w:b/>
          <w:iCs/>
          <w:color w:val="000000" w:themeColor="text1"/>
          <w:sz w:val="20"/>
          <w:szCs w:val="20"/>
        </w:rPr>
        <w:t xml:space="preserve">Trace </w:t>
      </w:r>
      <w:proofErr w:type="spellStart"/>
      <w:r w:rsidRPr="005250A4">
        <w:rPr>
          <w:rStyle w:val="fontstyle01"/>
          <w:rFonts w:ascii="Arial" w:hAnsi="Arial" w:cs="Arial"/>
          <w:b/>
          <w:iCs/>
          <w:color w:val="000000" w:themeColor="text1"/>
          <w:sz w:val="20"/>
          <w:szCs w:val="20"/>
        </w:rPr>
        <w:t>elements</w:t>
      </w:r>
      <w:proofErr w:type="spellEnd"/>
    </w:p>
    <w:p w14:paraId="5A33B7BE" w14:textId="2F5BE0A8"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r w:rsidR="00F14B04" w:rsidRPr="005250A4">
        <w:rPr>
          <w:rFonts w:ascii="Arial" w:eastAsia="Times New Roman" w:hAnsi="Arial" w:cs="Arial"/>
          <w:color w:val="000000" w:themeColor="text1"/>
          <w:sz w:val="20"/>
          <w:szCs w:val="20"/>
          <w:lang w:val="en-US" w:eastAsia="fr-FR"/>
        </w:rPr>
        <w:t xml:space="preserve">contents of </w:t>
      </w:r>
      <w:r w:rsidRPr="005250A4">
        <w:rPr>
          <w:rFonts w:ascii="Arial" w:eastAsia="Times New Roman" w:hAnsi="Arial" w:cs="Arial"/>
          <w:color w:val="000000" w:themeColor="text1"/>
          <w:sz w:val="20"/>
          <w:szCs w:val="20"/>
          <w:lang w:val="en-US" w:eastAsia="fr-FR"/>
        </w:rPr>
        <w:t>trace element</w:t>
      </w:r>
      <w:r w:rsidR="00F14B04"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(iron, zinc, and copper) </w:t>
      </w:r>
      <w:r w:rsidR="00F14B04" w:rsidRPr="005250A4">
        <w:rPr>
          <w:rFonts w:ascii="Arial" w:eastAsia="Times New Roman" w:hAnsi="Arial" w:cs="Arial"/>
          <w:color w:val="000000" w:themeColor="text1"/>
          <w:sz w:val="20"/>
          <w:szCs w:val="20"/>
          <w:lang w:val="en-US" w:eastAsia="fr-FR"/>
        </w:rPr>
        <w:t>in</w:t>
      </w:r>
      <w:r w:rsidRPr="005250A4">
        <w:rPr>
          <w:rFonts w:ascii="Arial" w:eastAsia="Times New Roman" w:hAnsi="Arial" w:cs="Arial"/>
          <w:color w:val="000000" w:themeColor="text1"/>
          <w:sz w:val="20"/>
          <w:szCs w:val="20"/>
          <w:lang w:val="en-US" w:eastAsia="fr-FR"/>
        </w:rPr>
        <w:t xml:space="preserve">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esculentus </w:t>
      </w:r>
      <w:r w:rsidRPr="005250A4">
        <w:rPr>
          <w:rFonts w:ascii="Arial" w:eastAsia="Times New Roman" w:hAnsi="Arial" w:cs="Arial"/>
          <w:color w:val="000000" w:themeColor="text1"/>
          <w:sz w:val="20"/>
          <w:szCs w:val="20"/>
          <w:lang w:val="en-US" w:eastAsia="fr-FR"/>
        </w:rPr>
        <w:t xml:space="preserve">are presented in Table 2. </w:t>
      </w:r>
      <w:r w:rsidR="00F14B04" w:rsidRPr="005250A4">
        <w:rPr>
          <w:rFonts w:ascii="Arial" w:eastAsia="Times New Roman" w:hAnsi="Arial" w:cs="Arial"/>
          <w:color w:val="000000" w:themeColor="text1"/>
          <w:sz w:val="20"/>
          <w:szCs w:val="20"/>
          <w:lang w:val="en-US" w:eastAsia="fr-FR"/>
        </w:rPr>
        <w:t>The i</w:t>
      </w:r>
      <w:r w:rsidRPr="005250A4">
        <w:rPr>
          <w:rFonts w:ascii="Arial" w:eastAsia="Times New Roman" w:hAnsi="Arial" w:cs="Arial"/>
          <w:color w:val="000000" w:themeColor="text1"/>
          <w:sz w:val="20"/>
          <w:szCs w:val="20"/>
          <w:lang w:val="en-US" w:eastAsia="fr-FR"/>
        </w:rPr>
        <w:t>ron contents range</w:t>
      </w:r>
      <w:r w:rsidR="00F14B04"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from 0.96 ± 0.01 to 1.29 ± 0.01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zinc from 0.93 ± 0.01 to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copper from 3.08 ± 0.01 to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These results demonstrate that, regardless of the organ studied, copper is the most abundant trace element. </w:t>
      </w:r>
      <w:r w:rsidR="00F14B04" w:rsidRPr="005250A4">
        <w:rPr>
          <w:rFonts w:ascii="Arial" w:eastAsia="Times New Roman" w:hAnsi="Arial" w:cs="Arial"/>
          <w:color w:val="000000" w:themeColor="text1"/>
          <w:sz w:val="20"/>
          <w:szCs w:val="20"/>
          <w:lang w:val="en-US" w:eastAsia="fr-FR"/>
        </w:rPr>
        <w:t>The c</w:t>
      </w:r>
      <w:r w:rsidRPr="005250A4">
        <w:rPr>
          <w:rFonts w:ascii="Arial" w:eastAsia="Times New Roman" w:hAnsi="Arial" w:cs="Arial"/>
          <w:color w:val="000000" w:themeColor="text1"/>
          <w:sz w:val="20"/>
          <w:szCs w:val="20"/>
          <w:lang w:val="en-US" w:eastAsia="fr-FR"/>
        </w:rPr>
        <w:t xml:space="preserve">opper content </w:t>
      </w:r>
      <w:r w:rsidR="00F14B04" w:rsidRPr="005250A4">
        <w:rPr>
          <w:rFonts w:ascii="Arial" w:eastAsia="Times New Roman" w:hAnsi="Arial" w:cs="Arial"/>
          <w:color w:val="000000" w:themeColor="text1"/>
          <w:sz w:val="20"/>
          <w:szCs w:val="20"/>
          <w:lang w:val="en-US" w:eastAsia="fr-FR"/>
        </w:rPr>
        <w:t>was</w:t>
      </w:r>
      <w:r w:rsidRPr="005250A4">
        <w:rPr>
          <w:rFonts w:ascii="Arial" w:eastAsia="Times New Roman" w:hAnsi="Arial" w:cs="Arial"/>
          <w:color w:val="000000" w:themeColor="text1"/>
          <w:sz w:val="20"/>
          <w:szCs w:val="20"/>
          <w:lang w:val="en-US" w:eastAsia="fr-FR"/>
        </w:rPr>
        <w:t xml:space="preserve"> highest in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leaves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(11.24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These contents significantly exceed</w:t>
      </w:r>
      <w:r w:rsidR="00F14B04"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those reported by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{"citationItems":[{"id":"ITEM-1","itemData":{"abstract":"Proximate composition, mineral contents, anti-nutritional factors as well as non-starch polysaccharide components of three varieties of a commonly consumed leafy vegetable: Corchorus olitorius; Sooro var., Amugbadu var. and Oniyaya var. were investigated using standard analytical techniques. The levels of fat content were low, ranged at 1.98-2.22g/100g. The results of crude fibre (11.2-12.9g/100g) and crude protein (17.5-29.6g/100g) in this study were higher than the range reported for most Nigerian leafy vegetables. Mineral analysis results showed that the samples were good sources of essential minerals especially potassium and iron while non-nutritive/toxic minerals were contained in trace amounts. The result of both mineral ratios and mineral safety index showed that the Corchorus olitorius varieties could not pose any health risk for the consumers. Phytate had the highest concentrations (5.30-6.10mg/100g) representing 43.10-68.2% of the total anti-nutritional factors. However, anti-nutrients levels were generally low in this study. Phy:Zn (0.424) and [CA][Phy]/[Zn] (0.049) molar ratios showed that only Sooro would promote Zn bioavailability. Compositions of non-starch polysaccharides were generally low with neutral detergent fibre (NDF) having the highest concentration in each of the samples. Statistical analysis showed that there were no significant differences among the samples in most of the determinations except PEP %, K, Ca, Mg and [phy]:[Zn].","author":[{"dropping-particle":"","family":"Adesina","given":"A J","non-dropping-particle":"","parse-names":false,"suffix":""},{"dropping-particle":"","family":"Olaleye","given":"A A","non-dropping-particle":"","parse-names":false,"suffix":""},{"dropping-particle":"","family":"Popoola","given":"","non-dropping-particle":"","parse-names":false,"suffix":""},{"dropping-particle":"","family":"Olatunya","given":"","non-dropping-particle":"","parse-names":false,"suffix":""},{"dropping-particle":"","family":"Gbolagade","given":"","non-dropping-particle":"","parse-names":false,"suffix":""},{"dropping-particle":"","family":"Idowu","given":"K A","non-dropping-particle":"","parse-names":false,"suffix":""},{"dropping-particle":"","family":"Ajakaye","given":"A O","non-dropping-particle":"","parse-names":false,"suffix":""}],"container-title":"ChemSearch Journal","id":"ITEM-1","issue":"1","issued":{"date-parts":[["2022"]]},"page":"147-156","title":"Nutritional evaluation of leafy vegetables of Corchorus olitorius family from Ekiti State, Nigeria","type":"article-journal","volume":"13"},"uris":["http://www.mendeley.com/documents/?uuid=5a67c66c-244f-4f17-8782-eab1a1a9a3e6"]}],"mendeley":{"formattedCitation":"(Adesina et al., 2022)","manualFormatting":"Adesina et al. (2022)","plainTextFormattedCitation":"(Adesina et al., 2022)","previouslyFormattedCitation":"(Adesina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Adesina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(0.006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w:t>
      </w:r>
      <w:r w:rsidR="00535C77">
        <w:rPr>
          <w:rFonts w:ascii="Arial" w:eastAsia="Times New Roman" w:hAnsi="Arial" w:cs="Arial"/>
          <w:color w:val="000000" w:themeColor="text1"/>
          <w:sz w:val="20"/>
          <w:szCs w:val="20"/>
          <w:lang w:val="en-US" w:eastAsia="fr-FR"/>
        </w:rPr>
        <w:t>d</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(0.56 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respectively. The observed differences between the copper contents obtained in this study and those of these different authors may be attributed to the variety of plants, the nature of the soil, and the methods </w:t>
      </w:r>
      <w:r w:rsidRPr="005250A4">
        <w:rPr>
          <w:rFonts w:ascii="Arial" w:eastAsia="Times New Roman" w:hAnsi="Arial" w:cs="Arial"/>
          <w:color w:val="000000" w:themeColor="text1"/>
          <w:sz w:val="20"/>
          <w:szCs w:val="20"/>
          <w:lang w:val="en-US" w:eastAsia="fr-FR"/>
        </w:rPr>
        <w:lastRenderedPageBreak/>
        <w:t xml:space="preserve">of </w:t>
      </w:r>
      <w:r w:rsidR="00A13602" w:rsidRPr="005250A4">
        <w:rPr>
          <w:rFonts w:ascii="Arial" w:eastAsia="Times New Roman" w:hAnsi="Arial" w:cs="Arial"/>
          <w:color w:val="000000" w:themeColor="text1"/>
          <w:sz w:val="20"/>
          <w:szCs w:val="20"/>
          <w:lang w:val="en-US" w:eastAsia="fr-FR"/>
        </w:rPr>
        <w:t>analysis.</w:t>
      </w:r>
      <w:r w:rsidRPr="005250A4">
        <w:rPr>
          <w:rFonts w:ascii="Arial" w:eastAsia="Times New Roman" w:hAnsi="Arial" w:cs="Arial"/>
          <w:color w:val="000000" w:themeColor="text1"/>
          <w:sz w:val="20"/>
          <w:szCs w:val="20"/>
          <w:lang w:val="en-US" w:eastAsia="fr-FR"/>
        </w:rPr>
        <w:t xml:space="preserve"> Copper is an essential trace element for humans and animals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{"citationItems":[{"id":"ITEM-1","itemData":{"DOI":"10.1017/jns.2022.83","ISSN":"20486790","PMID":"36304823","abstract":"The classical deficiency diseases have nearly disappeared from the industrialised world and are thought to be found largely in sub-Saharan Africa and South Asia. More than 80 collected medical articles, mostly from Europe and North America, describe more than 9000 people with low concentrations of copper in organs or tissues or impaired metabolic pathways dependent on copper. More than a dozen articles reveal improved anatomy, chemistry or physiology in more than 1000 patients from supplements containing copper. These criteria are diagnostic of deficiency according to The Oxford Textbook of Medicine. Alzheimer's disease, ischaemic heart disease and osteoporosis receive major emphasis here. However, impaired vision, myelodysplastic syndrome and peripheral neuropathy are mentioned. Copper deficiency probably causes some common, contemporaneous diseases. Advice is provided about opportunities for research. Seemingly authoritative statements concerning the rarity of nutritional deficiency in developed countries are wrong.","author":[{"dropping-particle":"","family":"Klevay","given":"Leslie M.","non-dropping-particle":"","parse-names":false,"suffix":""}],"container-title":"Journal of Nutritional Science","id":"ITEM-1","issue":"89","issued":{"date-parts":[["2022"]]},"page":"1-6","title":"The contemporaneous epidemic of chronic, copper deficiency","type":"article-journal","volume":"11"},"uris":["http://www.mendeley.com/documents/?uuid=8927575d-7483-4582-84bb-92ffb0ec20e0"]}],"mendeley":{"formattedCitation":"(Klevay, 2022)","plainTextFormattedCitation":"(Klevay, 2022)","previouslyFormattedCitation":"(Klevay,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(Klevay, 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The human body contains a</w:t>
      </w:r>
      <w:r w:rsidR="00F14B04"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100 mg, which is only required in trace amounts. </w:t>
      </w:r>
      <w:r w:rsidR="00F14B04" w:rsidRPr="005250A4">
        <w:rPr>
          <w:rFonts w:ascii="Arial" w:eastAsia="Times New Roman" w:hAnsi="Arial" w:cs="Arial"/>
          <w:color w:val="000000" w:themeColor="text1"/>
          <w:sz w:val="20"/>
          <w:szCs w:val="20"/>
          <w:lang w:val="en-US" w:eastAsia="fr-FR"/>
        </w:rPr>
        <w:t>In addition to</w:t>
      </w:r>
      <w:r w:rsidRPr="005250A4">
        <w:rPr>
          <w:rFonts w:ascii="Arial" w:eastAsia="Times New Roman" w:hAnsi="Arial" w:cs="Arial"/>
          <w:color w:val="000000" w:themeColor="text1"/>
          <w:sz w:val="20"/>
          <w:szCs w:val="20"/>
          <w:lang w:val="en-US" w:eastAsia="fr-FR"/>
        </w:rPr>
        <w:t xml:space="preserve"> its role in iron metabolism, the need for copper also stems from its involvement in a myriad of biological processes, including antioxidant defense, neuropeptide synthesis, and immune function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{"citationItems":[{"id":"ITEM-1","itemData":{"DOI":"10.1016/j.jtemb.2016.02.006","ISSN":"18783252","PMID":"27049134","abstract":"Although copper (Cu) is recognized as an essential trace element, uncertainties remain regarding Cu reference values for humans, as illustrated by discrepancies between recommendations issued by different national authorities. This review examines human studies published since 1990 on relationships between Cu intake, Cu balance, biomarkers of Cu status, and health. It points out several gaps and unresolved issues which make it difficult to assess Cu requirements. Results from balance studies suggest that daily intakes below 0.8 mg/day lead to net Cu losses, while net gains are consistently observed above 2.4 mg/day. However, because of an incomplete collection of losses in all studies, a precise estimation of Cu requirements cannot be derived from available data. Data regarding the relationship between Cu intake and potential biomarkers are either too preliminary or inconclusive because of low specificity or low sensitivity to change in dietary Cu over a wide range of intakes. Results from observation and intervention studies do not support a link between Cu and a risk of cardiovascular disease, cognitive decline, arthritis or cancer for intakes ranging from 0.6 to 3 mg/day, and limited evidence exists for impaired immune function in healthy subjects with a very low (0.38 mg/day) Cu intake. However, data from observation studies should be regarded with caution because of uncertainties regarding Cu concentration in various foods and water. Further studies that accurately evaluate Cu exposure based on reliable biomarkers of Cu status are needed.","author":[{"dropping-particle":"","family":"Bost","given":"Muriel","non-dropping-particle":"","parse-names":false,"suffix":""},{"dropping-particle":"","family":"Houdart","given":"Sabine","non-dropping-particle":"","parse-names":false,"suffix":""},{"dropping-particle":"","family":"Oberli","given":"Marion","non-dropping-particle":"","parse-names":false,"suffix":""},{"dropping-particle":"","family":"Kalonji","given":"Esther","non-dropping-particle":"","parse-names":false,"suffix":""},{"dropping-particle":"","family":"Huneau","given":"Jean François","non-dropping-particle":"","parse-names":false,"suffix":""},{"dropping-particle":"","family":"Margaritis","given":"Irène","non-dropping-particle":"","parse-names":false,"suffix":""}],"container-title":"Journal of Trace Elements in Medicine and Biology","id":"ITEM-1","issued":{"date-parts":[["2016"]]},"page":"107-115","publisher":"Elsevier GmbH.","title":"Dietary copper and human health: Current evidence and unresolved issues","type":"article-journal","volume":"35"},"uris":["http://www.mendeley.com/documents/?uuid=b31554a5-fda0-4fba-bafe-a8436e0355f2"]}],"mendeley":{"formattedCitation":"(Bost et al., 2016)","plainTextFormattedCitation":"(Bost et al., 2016)","previouslyFormattedCitation":"(Bost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(Bost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Style w:val="fontstyle01"/>
          <w:rFonts w:ascii="Arial" w:hAnsi="Arial" w:cs="Arial"/>
          <w:color w:val="000000" w:themeColor="text1"/>
          <w:sz w:val="20"/>
          <w:szCs w:val="20"/>
          <w:lang w:val="en-US"/>
        </w:rPr>
        <w:t xml:space="preserve"> </w:t>
      </w:r>
    </w:p>
    <w:p w14:paraId="0D1CCF37" w14:textId="27D42EC2"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Like </w:t>
      </w:r>
      <w:r w:rsidR="00F14B04" w:rsidRPr="005250A4">
        <w:rPr>
          <w:rFonts w:ascii="Arial" w:eastAsia="Times New Roman" w:hAnsi="Arial" w:cs="Arial"/>
          <w:color w:val="000000" w:themeColor="text1"/>
          <w:sz w:val="20"/>
          <w:szCs w:val="20"/>
          <w:lang w:val="en-US" w:eastAsia="fr-FR"/>
        </w:rPr>
        <w:t xml:space="preserve">those of </w:t>
      </w:r>
      <w:r w:rsidRPr="005250A4">
        <w:rPr>
          <w:rFonts w:ascii="Arial" w:eastAsia="Times New Roman" w:hAnsi="Arial" w:cs="Arial"/>
          <w:color w:val="000000" w:themeColor="text1"/>
          <w:sz w:val="20"/>
          <w:szCs w:val="20"/>
          <w:lang w:val="en-US" w:eastAsia="fr-FR"/>
        </w:rPr>
        <w:t>copper, the iron and zinc contents obtained in this study should not be overlooked. The</w:t>
      </w:r>
      <w:r w:rsidR="00F14B04" w:rsidRPr="005250A4">
        <w:rPr>
          <w:rFonts w:ascii="Arial" w:eastAsia="Times New Roman" w:hAnsi="Arial" w:cs="Arial"/>
          <w:color w:val="000000" w:themeColor="text1"/>
          <w:sz w:val="20"/>
          <w:szCs w:val="20"/>
          <w:lang w:val="en-US" w:eastAsia="fr-FR"/>
        </w:rPr>
        <w:t xml:space="preserve"> contents</w:t>
      </w:r>
      <w:r w:rsidRPr="005250A4">
        <w:rPr>
          <w:rFonts w:ascii="Arial" w:eastAsia="Times New Roman" w:hAnsi="Arial" w:cs="Arial"/>
          <w:color w:val="000000" w:themeColor="text1"/>
          <w:sz w:val="20"/>
          <w:szCs w:val="20"/>
          <w:lang w:val="en-US" w:eastAsia="fr-FR"/>
        </w:rPr>
        <w:t xml:space="preserve"> were highest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w:t>
      </w:r>
      <w:r w:rsidR="00F14B04" w:rsidRPr="005250A4">
        <w:rPr>
          <w:rFonts w:ascii="Arial" w:eastAsia="Times New Roman" w:hAnsi="Arial" w:cs="Arial"/>
          <w:color w:val="000000" w:themeColor="text1"/>
          <w:sz w:val="20"/>
          <w:szCs w:val="20"/>
          <w:lang w:val="en-US" w:eastAsia="fr-FR"/>
        </w:rPr>
        <w:t xml:space="preserve"> at</w:t>
      </w:r>
      <w:r w:rsidRPr="005250A4">
        <w:rPr>
          <w:rFonts w:ascii="Arial" w:eastAsia="Times New Roman" w:hAnsi="Arial" w:cs="Arial"/>
          <w:color w:val="000000" w:themeColor="text1"/>
          <w:sz w:val="20"/>
          <w:szCs w:val="20"/>
          <w:lang w:val="en-US" w:eastAsia="fr-FR"/>
        </w:rPr>
        <w:t xml:space="preserve"> 1.29 ± 0.01 and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respectively. Similar values for iron (1.95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zinc (2.44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These two trace elements are essential minerals in many of the body’s biochemical mechanisms. For instance, the body requires iron for the synthesis of oxygen transport proteins, particularly hemoglobin and myoglobin, and for the formation of heme enzymes and other iron-containing enzymes involved in electron transfer and redox reactions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{"citationItems":[{"id":"ITEM-1","itemData":{"abstract":"It is well-known that deficiency or over exposure to various elements has noticeable effects on human health. The effect of an element is determined by several characteristics, including absorption, metabolism, and degree of interaction with physiological processes. Iron is an essential element for almost all living organisms as it participates in a wide variety of metabolic processes, including oxygen transport, deoxyribonucleic acid (DNA) synthesis, and electron transport. However, as iron can form free radicals, its concentration in body tissues must be tightly regulated because in excessive amounts, it can lead to tissue damage. Disorders of iron metabolism are among the most common diseases of humans and encompass a broad spectrum of diseases with diverse clinical manifestations, ranging from anemia to iron overload, and possibly to neurodegenerative diseases. In this review, we discuss the latest progress in studies of iron metabolism and bioavailability, and our current understanding of human iron requirement and consequences and causes of iron deficiency. Finally, we discuss strategies for prevention of iron deficiency.","author":[{"dropping-particle":"","family":"Abbaspour","given":"Nazanin","non-dropping-particle":"","parse-names":false,"suffix":""},{"dropping-particle":"","family":"Hurrell","given":"Richard","non-dropping-particle":"","parse-names":false,"suffix":""},{"dropping-particle":"","family":"Kelishadi","given":"Roya","non-dropping-particle":"","parse-names":false,"suffix":""}],"container-title":"Journal of Research in Medical Sciences","id":"ITEM-1","issue":"February","issued":{"date-parts":[["2014"]]},"page":"164-174","title":"Review on iron and its importance for human health.","type":"article-journal","volume":"19"},"uris":["http://www.mendeley.com/documents/?uuid=070044c4-f8e1-40b7-a9e6-c40ffb3531a2"]}],"mendeley":{"formattedCitation":"(Abbaspour et al., 2014)","plainTextFormattedCitation":"(Abbaspour et al., 2014)","previouslyFormattedCitation":"(Abbaspour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(Abbaspour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Zinc is used to treat and prevent diarrhea in infants and children. It is an important activator of </w:t>
      </w:r>
      <w:r w:rsidR="009E6627" w:rsidRPr="005250A4">
        <w:rPr>
          <w:rFonts w:ascii="Arial" w:eastAsia="Times New Roman" w:hAnsi="Arial" w:cs="Arial"/>
          <w:color w:val="000000" w:themeColor="text1"/>
          <w:sz w:val="20"/>
          <w:szCs w:val="20"/>
          <w:lang w:val="en-US" w:eastAsia="fr-FR"/>
        </w:rPr>
        <w:t xml:space="preserve">more than </w:t>
      </w:r>
      <w:r w:rsidRPr="005250A4">
        <w:rPr>
          <w:rFonts w:ascii="Arial" w:eastAsia="Times New Roman" w:hAnsi="Arial" w:cs="Arial"/>
          <w:color w:val="000000" w:themeColor="text1"/>
          <w:sz w:val="20"/>
          <w:szCs w:val="20"/>
          <w:lang w:val="en-US" w:eastAsia="fr-FR"/>
        </w:rPr>
        <w:t xml:space="preserve">300 enzymes and is involved in protein synthesis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Although the </w:t>
      </w:r>
      <w:proofErr w:type="spellStart"/>
      <w:r w:rsidRPr="005250A4">
        <w:rPr>
          <w:rFonts w:ascii="Arial" w:eastAsia="Times New Roman" w:hAnsi="Arial" w:cs="Arial"/>
          <w:color w:val="000000" w:themeColor="text1"/>
          <w:sz w:val="20"/>
          <w:szCs w:val="20"/>
          <w:lang w:val="en-US" w:eastAsia="fr-FR"/>
        </w:rPr>
        <w:t>bioaccessibility</w:t>
      </w:r>
      <w:proofErr w:type="spellEnd"/>
      <w:r w:rsidRPr="005250A4">
        <w:rPr>
          <w:rFonts w:ascii="Arial" w:eastAsia="Times New Roman" w:hAnsi="Arial" w:cs="Arial"/>
          <w:color w:val="000000" w:themeColor="text1"/>
          <w:sz w:val="20"/>
          <w:szCs w:val="20"/>
          <w:lang w:val="en-US" w:eastAsia="fr-FR"/>
        </w:rPr>
        <w:t xml:space="preserve"> of these trace elements is generally limited, as reported by several authors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{"citationItems":[{"id":"ITEM-1","itemData":{"DOI":"10.9734/EJNFS/2020/v12i1130325","author":[{"dropping-particle":"","family":"Assiéné","given":"Agamou Julien Armel","non-dropping-particle":"","parse-names":false,"suffix":""},{"dropping-particle":"","family":"Fombang","given":"Edith Nig","non-dropping-particle":"","parse-names":false,"suffix":""},{"dropping-particle":"","family":"Mbofung","given":"Moses Carl","non-dropping-particle":"","parse-names":false,"suffix":""}],"container-title":"European Journal of Nutrition &amp; Food Safety","id":"ITEM-1","issue":"11","issued":{"date-parts":[["2020"]]},"page":"90-103","title":"In vitro Protein Digestibility and Iron Bioavailability According to Agro-Ecological Zone and Stage of Maturity of Moringa oleifera Lam Leaves","type":"article-journal","volume":"12"},"uris":["http://www.mendeley.com/documents/?uuid=c0374133-ac7d-4c1b-89a7-3307a35f77ba"]}],"mendeley":{"formattedCitation":"(Assiéné et al., 2020)","plainTextFormattedCitation":"(Assiéné et al., 2020)","previouslyFormattedCitation":"(Assiéné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their intake in milligrams (a</w:t>
      </w:r>
      <w:r w:rsidR="009E6627"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5%) remains significant in covering the recommended daily intake.</w:t>
      </w:r>
    </w:p>
    <w:p w14:paraId="254626A2" w14:textId="65F7DD5E" w:rsidR="004749E1" w:rsidRPr="005250A4" w:rsidRDefault="00FC5435" w:rsidP="006C6D97">
      <w:pPr>
        <w:pStyle w:val="ListParagraph"/>
        <w:numPr>
          <w:ilvl w:val="3"/>
          <w:numId w:val="5"/>
        </w:numPr>
        <w:spacing w:line="360" w:lineRule="auto"/>
        <w:jc w:val="both"/>
        <w:rPr>
          <w:rFonts w:ascii="Arial" w:hAnsi="Arial" w:cs="Arial"/>
          <w:b/>
          <w:iCs/>
          <w:color w:val="000000" w:themeColor="text1"/>
          <w:sz w:val="20"/>
          <w:szCs w:val="20"/>
          <w:lang w:val="en-US"/>
        </w:rPr>
      </w:pPr>
      <w:r w:rsidRPr="005250A4">
        <w:rPr>
          <w:rFonts w:ascii="Arial" w:hAnsi="Arial" w:cs="Arial"/>
          <w:b/>
          <w:iCs/>
          <w:color w:val="000000" w:themeColor="text1"/>
          <w:sz w:val="20"/>
          <w:szCs w:val="20"/>
          <w:lang w:val="en-US"/>
        </w:rPr>
        <w:t>Macro</w:t>
      </w:r>
      <w:r w:rsidR="0004545E" w:rsidRPr="005250A4">
        <w:rPr>
          <w:rFonts w:ascii="Arial" w:hAnsi="Arial" w:cs="Arial"/>
          <w:b/>
          <w:iCs/>
          <w:color w:val="000000" w:themeColor="text1"/>
          <w:sz w:val="20"/>
          <w:szCs w:val="20"/>
          <w:lang w:val="en-US"/>
        </w:rPr>
        <w:t xml:space="preserve"> </w:t>
      </w:r>
      <w:r w:rsidRPr="005250A4">
        <w:rPr>
          <w:rFonts w:ascii="Arial" w:hAnsi="Arial" w:cs="Arial"/>
          <w:b/>
          <w:iCs/>
          <w:color w:val="000000" w:themeColor="text1"/>
          <w:sz w:val="20"/>
          <w:szCs w:val="20"/>
          <w:lang w:val="en-US"/>
        </w:rPr>
        <w:t>ele</w:t>
      </w:r>
      <w:r w:rsidR="005E4E45" w:rsidRPr="005250A4">
        <w:rPr>
          <w:rFonts w:ascii="Arial" w:hAnsi="Arial" w:cs="Arial"/>
          <w:b/>
          <w:iCs/>
          <w:color w:val="000000" w:themeColor="text1"/>
          <w:sz w:val="20"/>
          <w:szCs w:val="20"/>
          <w:lang w:val="en-US"/>
        </w:rPr>
        <w:t xml:space="preserve">ments </w:t>
      </w:r>
    </w:p>
    <w:p w14:paraId="0F44CA6E" w14:textId="0263B32B" w:rsidR="00D64A3F" w:rsidRPr="005250A4" w:rsidRDefault="00D64A3F" w:rsidP="0087571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xml:space="preserve"> (Ca, Mg, P, K, </w:t>
      </w:r>
      <w:r w:rsidR="00945926"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 xml:space="preserve">Na) in the organs of the two plants studied </w:t>
      </w:r>
      <w:r w:rsidR="00945926" w:rsidRPr="005250A4">
        <w:rPr>
          <w:rFonts w:ascii="Arial" w:eastAsia="Times New Roman" w:hAnsi="Arial" w:cs="Arial"/>
          <w:color w:val="000000" w:themeColor="text1"/>
          <w:sz w:val="20"/>
          <w:szCs w:val="20"/>
          <w:lang w:val="en-US" w:eastAsia="fr-FR"/>
        </w:rPr>
        <w:t xml:space="preserve">were </w:t>
      </w:r>
      <w:r w:rsidRPr="005250A4">
        <w:rPr>
          <w:rFonts w:ascii="Arial" w:eastAsia="Times New Roman" w:hAnsi="Arial" w:cs="Arial"/>
          <w:color w:val="000000" w:themeColor="text1"/>
          <w:sz w:val="20"/>
          <w:szCs w:val="20"/>
          <w:lang w:val="en-US" w:eastAsia="fr-FR"/>
        </w:rPr>
        <w:t xml:space="preserve">most abundant in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(Table 2). The values are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302.57 ± 1.28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phosphorus</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2684.62 ± 2.43 mg/100g DM for potassium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153.63 ± 2.78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sodium. Calcium and potassium are the two most abundant elements. The</w:t>
      </w:r>
      <w:r w:rsidR="00945926" w:rsidRPr="005250A4">
        <w:rPr>
          <w:rFonts w:ascii="Arial" w:eastAsia="Times New Roman" w:hAnsi="Arial" w:cs="Arial"/>
          <w:color w:val="000000" w:themeColor="text1"/>
          <w:sz w:val="20"/>
          <w:szCs w:val="20"/>
          <w:lang w:val="en-US" w:eastAsia="fr-FR"/>
        </w:rPr>
        <w:t>re</w:t>
      </w:r>
      <w:r w:rsidRPr="005250A4">
        <w:rPr>
          <w:rFonts w:ascii="Arial" w:eastAsia="Times New Roman" w:hAnsi="Arial" w:cs="Arial"/>
          <w:color w:val="000000" w:themeColor="text1"/>
          <w:sz w:val="20"/>
          <w:szCs w:val="20"/>
          <w:lang w:val="en-US" w:eastAsia="fr-FR"/>
        </w:rPr>
        <w:t xml:space="preserve"> values significantly exceed</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the 324.78 and 411.47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reported by</w:t>
      </w:r>
      <w:r w:rsidR="00535C77">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1E06B5" w:rsidRPr="005250A4">
        <w:rPr>
          <w:rFonts w:ascii="Arial" w:eastAsia="Times New Roman" w:hAnsi="Arial" w:cs="Arial"/>
          <w:color w:val="000000" w:themeColor="text1"/>
          <w:sz w:val="20"/>
          <w:szCs w:val="20"/>
          <w:lang w:val="en-US" w:eastAsia="fr-FR"/>
        </w:rPr>
        <w:fldChar w:fldCharType="end"/>
      </w:r>
      <w:r w:rsidR="001E06B5"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 xml:space="preserve">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fruits, respectively. The same authors also report</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lower contents of magnesium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124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similar contents of sodium </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155.06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w:t>
      </w:r>
      <w:r w:rsidR="001E06B5" w:rsidRPr="005250A4">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Gemede et al. </w:t>
      </w:r>
      <w:r w:rsidR="00535C7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1E06B5"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w:t>
      </w:r>
      <w:r w:rsidR="00945926" w:rsidRPr="005250A4">
        <w:rPr>
          <w:rFonts w:ascii="Arial" w:eastAsia="Times New Roman" w:hAnsi="Arial" w:cs="Arial"/>
          <w:color w:val="000000" w:themeColor="text1"/>
          <w:sz w:val="20"/>
          <w:szCs w:val="20"/>
          <w:lang w:val="en-US" w:eastAsia="fr-FR"/>
        </w:rPr>
        <w:t>ed a</w:t>
      </w:r>
      <w:r w:rsidRPr="005250A4">
        <w:rPr>
          <w:rFonts w:ascii="Arial" w:eastAsia="Times New Roman" w:hAnsi="Arial" w:cs="Arial"/>
          <w:color w:val="000000" w:themeColor="text1"/>
          <w:sz w:val="20"/>
          <w:szCs w:val="20"/>
          <w:lang w:val="en-US" w:eastAsia="fr-FR"/>
        </w:rPr>
        <w:t xml:space="preserve"> lower phosphorus content</w:t>
      </w:r>
      <w:r w:rsidR="00945926" w:rsidRPr="005250A4">
        <w:rPr>
          <w:rFonts w:ascii="Arial" w:eastAsia="Times New Roman" w:hAnsi="Arial" w:cs="Arial"/>
          <w:color w:val="000000" w:themeColor="text1"/>
          <w:sz w:val="20"/>
          <w:szCs w:val="20"/>
          <w:lang w:val="en-US" w:eastAsia="fr-FR"/>
        </w:rPr>
        <w:t xml:space="preserve"> of </w:t>
      </w:r>
      <w:r w:rsidRPr="005250A4">
        <w:rPr>
          <w:rFonts w:ascii="Arial" w:eastAsia="Times New Roman" w:hAnsi="Arial" w:cs="Arial"/>
          <w:color w:val="000000" w:themeColor="text1"/>
          <w:sz w:val="20"/>
          <w:szCs w:val="20"/>
          <w:lang w:val="en-US" w:eastAsia="fr-FR"/>
        </w:rPr>
        <w:t>101.58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 observed diffe</w:t>
      </w:r>
      <w:r w:rsidR="00C9652A" w:rsidRPr="005250A4">
        <w:rPr>
          <w:rFonts w:ascii="Arial" w:eastAsia="Times New Roman" w:hAnsi="Arial" w:cs="Arial"/>
          <w:color w:val="000000" w:themeColor="text1"/>
          <w:sz w:val="20"/>
          <w:szCs w:val="20"/>
          <w:lang w:val="en-US" w:eastAsia="fr-FR"/>
        </w:rPr>
        <w:t xml:space="preserve">rences between the </w:t>
      </w:r>
      <w:proofErr w:type="spellStart"/>
      <w:r w:rsidR="00C9652A" w:rsidRPr="005250A4">
        <w:rPr>
          <w:rFonts w:ascii="Arial" w:eastAsia="Times New Roman" w:hAnsi="Arial" w:cs="Arial"/>
          <w:color w:val="000000" w:themeColor="text1"/>
          <w:sz w:val="20"/>
          <w:szCs w:val="20"/>
          <w:lang w:val="en-US" w:eastAsia="fr-FR"/>
        </w:rPr>
        <w:t>macroelement</w:t>
      </w:r>
      <w:proofErr w:type="spellEnd"/>
      <w:r w:rsidRPr="005250A4">
        <w:rPr>
          <w:rFonts w:ascii="Arial" w:eastAsia="Times New Roman" w:hAnsi="Arial" w:cs="Arial"/>
          <w:color w:val="000000" w:themeColor="text1"/>
          <w:sz w:val="20"/>
          <w:szCs w:val="20"/>
          <w:lang w:val="en-US" w:eastAsia="fr-FR"/>
        </w:rPr>
        <w:t xml:space="preserve"> values obtained in this study and those of other authors can be attributed to the effects of growing conditions on plant development (chemical and natural fertilizers, soil type, etc.), </w:t>
      </w:r>
      <w:r w:rsidR="00D52BC2" w:rsidRPr="005250A4">
        <w:rPr>
          <w:rFonts w:ascii="Arial" w:eastAsia="Times New Roman" w:hAnsi="Arial" w:cs="Arial"/>
          <w:color w:val="000000" w:themeColor="text1"/>
          <w:sz w:val="20"/>
          <w:szCs w:val="20"/>
          <w:lang w:val="en-US" w:eastAsia="fr-FR"/>
        </w:rPr>
        <w:t xml:space="preserve">the relief of the area where the two plants are grown, </w:t>
      </w:r>
      <w:r w:rsidR="00C9652A" w:rsidRPr="005250A4">
        <w:rPr>
          <w:rFonts w:ascii="Arial" w:eastAsia="Times New Roman" w:hAnsi="Arial" w:cs="Arial"/>
          <w:color w:val="000000" w:themeColor="text1"/>
          <w:sz w:val="20"/>
          <w:szCs w:val="20"/>
          <w:lang w:val="en-US" w:eastAsia="fr-FR"/>
        </w:rPr>
        <w:t>season</w:t>
      </w:r>
      <w:r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post-harvest</w:t>
      </w:r>
      <w:r w:rsidRPr="005250A4">
        <w:rPr>
          <w:rFonts w:ascii="Arial" w:eastAsia="Times New Roman" w:hAnsi="Arial" w:cs="Arial"/>
          <w:color w:val="000000" w:themeColor="text1"/>
          <w:sz w:val="20"/>
          <w:szCs w:val="20"/>
          <w:lang w:val="en-US" w:eastAsia="fr-FR"/>
        </w:rPr>
        <w:t xml:space="preserve"> treatments, and the precision of </w:t>
      </w:r>
      <w:r w:rsidR="00945926" w:rsidRPr="005250A4">
        <w:rPr>
          <w:rFonts w:ascii="Arial" w:eastAsia="Times New Roman" w:hAnsi="Arial" w:cs="Arial"/>
          <w:color w:val="000000" w:themeColor="text1"/>
          <w:sz w:val="20"/>
          <w:szCs w:val="20"/>
          <w:lang w:val="en-US" w:eastAsia="fr-FR"/>
        </w:rPr>
        <w:t xml:space="preserve">the </w:t>
      </w:r>
      <w:r w:rsidRPr="005250A4">
        <w:rPr>
          <w:rFonts w:ascii="Arial" w:eastAsia="Times New Roman" w:hAnsi="Arial" w:cs="Arial"/>
          <w:color w:val="000000" w:themeColor="text1"/>
          <w:sz w:val="20"/>
          <w:szCs w:val="20"/>
          <w:lang w:val="en-US" w:eastAsia="fr-FR"/>
        </w:rPr>
        <w:t>analytical methods.</w:t>
      </w:r>
    </w:p>
    <w:p w14:paraId="5D168C91" w14:textId="528D2A3F" w:rsidR="00065DDC" w:rsidRPr="005250A4" w:rsidRDefault="00D64A3F" w:rsidP="006F041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These results also demonstrate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are</w:t>
      </w:r>
      <w:r w:rsidR="00945926" w:rsidRPr="005250A4">
        <w:rPr>
          <w:rFonts w:ascii="Arial" w:eastAsia="Times New Roman" w:hAnsi="Arial" w:cs="Arial"/>
          <w:color w:val="000000" w:themeColor="text1"/>
          <w:sz w:val="20"/>
          <w:szCs w:val="20"/>
          <w:lang w:val="en-US" w:eastAsia="fr-FR"/>
        </w:rPr>
        <w:t xml:space="preserve"> significant sources</w:t>
      </w:r>
      <w:r w:rsidRPr="005250A4">
        <w:rPr>
          <w:rFonts w:ascii="Arial" w:eastAsia="Times New Roman" w:hAnsi="Arial" w:cs="Arial"/>
          <w:color w:val="000000" w:themeColor="text1"/>
          <w:sz w:val="20"/>
          <w:szCs w:val="20"/>
          <w:lang w:val="en-US" w:eastAsia="fr-FR"/>
        </w:rPr>
        <w:t xml:space="preserve"> of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This observation is supported by the ranges of values obtained, notably</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1120.00 ± 2.00 to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 9.72 ± 0.15 to 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 6.30 ± 0.20 to 302.57 ± 1.28 mg/100g DM for phosphorus; 1139.32 ± 1.23 to 2684.62 ± 2.43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potassium; and 73.92 ± 1.08 to 153.63 ± 2.78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sodium. These </w:t>
      </w:r>
      <w:r w:rsidR="00945926" w:rsidRPr="005250A4">
        <w:rPr>
          <w:rFonts w:ascii="Arial" w:eastAsia="Times New Roman" w:hAnsi="Arial" w:cs="Arial"/>
          <w:color w:val="000000" w:themeColor="text1"/>
          <w:sz w:val="20"/>
          <w:szCs w:val="20"/>
          <w:lang w:val="en-US" w:eastAsia="fr-FR"/>
        </w:rPr>
        <w:t xml:space="preserve">factors </w:t>
      </w:r>
      <w:r w:rsidRPr="005250A4">
        <w:rPr>
          <w:rFonts w:ascii="Arial" w:eastAsia="Times New Roman" w:hAnsi="Arial" w:cs="Arial"/>
          <w:color w:val="000000" w:themeColor="text1"/>
          <w:sz w:val="20"/>
          <w:szCs w:val="20"/>
          <w:lang w:val="en-US" w:eastAsia="fr-FR"/>
        </w:rPr>
        <w:t>contribute significantly to meeting consumers’ daily intake. In fact, regular consumption of these leaves and fruits, as reported by several authors</w:t>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(Gemede et al., 2015</w:t>
      </w:r>
      <w:r w:rsidR="00DD6338">
        <w:rPr>
          <w:rFonts w:ascii="Arial" w:eastAsia="Times New Roman" w:hAnsi="Arial" w:cs="Arial"/>
          <w:noProof/>
          <w:color w:val="000000" w:themeColor="text1"/>
          <w:sz w:val="20"/>
          <w:szCs w:val="20"/>
          <w:lang w:val="en-US" w:eastAsia="fr-FR"/>
        </w:rPr>
        <w:t>;</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Romdhane et al., 2020)</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is a major asset in the fight against micronutrient deficiencies. Indeed, these various elements play important roles in the body. Calcium is essential for muscle contraction, oocyte activation, the formation of strong </w:t>
      </w:r>
      <w:r w:rsidRPr="005250A4">
        <w:rPr>
          <w:rFonts w:ascii="Arial" w:eastAsia="Times New Roman" w:hAnsi="Arial" w:cs="Arial"/>
          <w:color w:val="000000" w:themeColor="text1"/>
          <w:sz w:val="20"/>
          <w:szCs w:val="20"/>
          <w:lang w:val="en-US" w:eastAsia="fr-FR"/>
        </w:rPr>
        <w:lastRenderedPageBreak/>
        <w:t xml:space="preserve">bones and teeth, blood coagulation, etc.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{"citationItems":[{"id":"ITEM-1","itemData":{"abstract":"Calcium is very essential in muscle contraction, oocyte activation, building strong bones and teeth, blood clotting, nerve impulse, transmission, regulating heart beat and fluid balance within cells. The requirements are greatest during the period of growth such as childhood, during pregnancy, when breast feeding. Long term of calcium deficiency can lead to oestoporosis in which the bone deteriorates and there is an increased rise of fractures. Eating a well-balanced diet can provide all the necessary nutrients and help prevent calcium deficiency. INTRODUCTION The group IIA of the periodic table contains the alkaline earth metals such as Ca, St, Ba and Ra. All the non metallic substances are insoluble in water and unchanged by five were called earths. Limes and magnesia showed alkaline reactions hence alkaline earths. The name calcium is derived from latin word calas meaning lime was known as early as the first centuries when the ancient Romans prepared lime as CaO. It was not actually isolated until 1808 in England when Sir Humphrey Davy electrolyzed a mixture of lime and mercuric oxide. Davy was trying to isolate calcium along with magnesium, strontium and barium.Out of alkaline earth group, Ca has achieved the greatest use and tonnage.","author":[{"dropping-particle":"","family":"Pravina","given":"Piste","non-dropping-particle":"","parse-names":false,"suffix":""},{"dropping-particle":"","family":"Sayaji","given":"Didwagh","non-dropping-particle":"","parse-names":false,"suffix":""},{"dropping-particle":"","family":"Avinash","given":"Mokashi","non-dropping-particle":"","parse-names":false,"suffix":""}],"container-title":"Academia.Edu","id":"ITEM-1","issue":"2","issued":{"date-parts":[["2013"]]},"page":"659-668","title":"Calcium and its role in human body","type":"article-journal","volume":"4"},"uris":["http://www.mendeley.com/documents/?uuid=5df566eb-b471-44ac-9eca-266111693c60"]}],"mendeley":{"formattedCitation":"(Pravina et al., 2013)","plainTextFormattedCitation":"(Pravina et al., 2013)","previouslyFormattedCitation":"(Pravina et al., 2013)"},"properties":{"noteIndex":0},"schema":"https://github.com/citation-style-language/schema/raw/master/csl-citation.json"}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(Pravina et al., 2013)</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Pr="005250A4">
        <w:rPr>
          <w:rFonts w:ascii="Arial" w:eastAsia="Times New Roman" w:hAnsi="Arial" w:cs="Arial"/>
          <w:color w:val="000000" w:themeColor="text1"/>
          <w:sz w:val="20"/>
          <w:szCs w:val="20"/>
          <w:lang w:val="en-US" w:eastAsia="fr-FR"/>
        </w:rPr>
        <w:t xml:space="preserve"> Magnesium is an essential cofactor for various metabolic reactions involving</w:t>
      </w:r>
      <w:r w:rsidR="00164991" w:rsidRPr="005250A4">
        <w:rPr>
          <w:rFonts w:ascii="Arial" w:eastAsia="Times New Roman" w:hAnsi="Arial" w:cs="Arial"/>
          <w:color w:val="000000" w:themeColor="text1"/>
          <w:sz w:val="20"/>
          <w:szCs w:val="20"/>
          <w:lang w:val="en-US" w:eastAsia="fr-FR"/>
        </w:rPr>
        <w:t xml:space="preserve"> more than</w:t>
      </w:r>
      <w:r w:rsidRPr="005250A4">
        <w:rPr>
          <w:rFonts w:ascii="Arial" w:eastAsia="Times New Roman" w:hAnsi="Arial" w:cs="Arial"/>
          <w:color w:val="000000" w:themeColor="text1"/>
          <w:sz w:val="20"/>
          <w:szCs w:val="20"/>
          <w:lang w:val="en-US" w:eastAsia="fr-FR"/>
        </w:rPr>
        <w:t xml:space="preserve"> 300 enzymes in the human body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{"citationItems":[{"id":"ITEM-1","itemData":{"DOI":"https://doi.org/10.1155/2018/9041694","author":[{"dropping-particle":"Al","family":"Alawi","given":"Abdullah M","non-dropping-particle":"","parse-names":false,"suffix":""},{"dropping-particle":"","family":"Majoni","given":"Sandawana William","non-dropping-particle":"","parse-names":false,"suffix":""},{"dropping-particle":"","family":"Falhammar","given":"Henrik","non-dropping-particle":"","parse-names":false,"suffix":""}],"container-title":"Int J Endocrinol","id":"ITEM-1","issued":{"date-parts":[["2018"]]},"page":"17 pages","title":"Review Article Magnesium and Human Health : Perspectives and Research Directions","type":"article-journal","volume":"2018"},"uris":["http://www.mendeley.com/documents/?uuid=feb0c485-a4e8-4284-aa13-398e1f6f3800"]}],"mendeley":{"formattedCitation":"(Alawi et al., 2018)","plainTextFormattedCitation":"(Alawi et al., 2018)","previouslyFormattedCitation":"(Alawi et al., 2018)"},"properties":{"noteIndex":0},"schema":"https://github.com/citation-style-language/schema/raw/master/csl-citation.json"}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(Alawi et al., 2018)</w:t>
      </w:r>
      <w:r w:rsidR="0087571D" w:rsidRPr="005250A4">
        <w:rPr>
          <w:rStyle w:val="fontstyle01"/>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Phosphorus plays an important role in energy metabolism (ATP, GTP, ADP, </w:t>
      </w:r>
      <w:r w:rsidR="00164991"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GDP), acid</w:t>
      </w:r>
      <w:r w:rsidR="0016499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base balance, and intracellular cell signaling</w:t>
      </w:r>
      <w:r w:rsidR="001E06B5" w:rsidRPr="005250A4">
        <w:rPr>
          <w:rFonts w:ascii="Arial" w:eastAsia="Times New Roman" w:hAnsi="Arial" w:cs="Arial"/>
          <w:color w:val="000000" w:themeColor="text1"/>
          <w:sz w:val="20"/>
          <w:szCs w:val="20"/>
          <w:lang w:val="en-US" w:eastAsia="fr-FR"/>
        </w:rPr>
        <w:t xml:space="preserve"> </w:t>
      </w:r>
      <w:r w:rsidR="001E06B5" w:rsidRP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{"citationItems":[{"id":"ITEM-1","itemData":{"DOI":"10.1201/9781315119533","ISBN":"9781498706971","abstract":"Phosphorus is an essential mineral that is prevalent in a variety of foods. Additionally it is a common additive in processed foods, used as both a preservative and for flavor enhancement. Therefore, in the United States the average person’s intake far exceeds the daily requirement. The human body has multiple mechanisms to maintain phosphorous homeostasis and prevent the excess phosphorous from causing complications. However, once there is a breakdown in these mechanisms, such as in renal failure, there is mounting evidence of the systemic harm associated with elevated serum phosphorous levels. It has been known for a number of years that patients with renal failure and elevated serum phosphorous levels develop renal osteodystrophy, but newer evidence now reveals associations with left ventricular hypertrophy, cardiovascular disease, faster progression of chronic kidney disease, and increased mortality. This chapter will attempt to describe the mechanism of phosphorous homeostasis and the consequences of elevated serum phosphorous levels in chronic kidney disease patients. Lastly, we will review the basics of treatments of hyperphosphatemia in these patients.","author":[{"dropping-particle":"","family":"Chang","given":"Alex R","non-dropping-particle":"","parse-names":false,"suffix":""},{"dropping-particle":"","family":"Anderson","given":"Cheryl","non-dropping-particle":"","parse-names":false,"suffix":""}],"container-title":"Annual Review of Nutrition","id":"ITEM-1","issue":"June 14","issued":{"date-parts":[["2017"]]},"page":"321-346","title":"Dietary phosphorus intake and kidney function","type":"article-journal","volume":"37"},"uris":["http://www.mendeley.com/documents/?uuid=5e97abb4-227f-4570-a1ad-2f8c1aba5cb3"]}],"mendeley":{"formattedCitation":"(A. R. Chang &amp; Anderson, 2017)","plainTextFormattedCitation":"(A. R. Chang &amp; Anderson, 2017)","previouslyFormattedCitation":"(A. R. Chang &amp; Anderson, 2017)"},"properties":{"noteIndex":0},"schema":"https://github.com/citation-style-language/schema/raw/master/csl-citation.json"}</w:instrText>
      </w:r>
      <w:r w:rsidR="001E06B5" w:rsidRP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(A. R. Chang &amp; Anderson, 2017)</w:t>
      </w:r>
      <w:r w:rsidR="001E06B5" w:rsidRPr="00DD6338">
        <w:rPr>
          <w:rFonts w:ascii="Arial" w:eastAsia="Times New Roman" w:hAnsi="Arial" w:cs="Arial"/>
          <w:color w:val="000000" w:themeColor="text1"/>
          <w:sz w:val="20"/>
          <w:szCs w:val="20"/>
          <w:lang w:val="en-US" w:eastAsia="fr-FR"/>
        </w:rPr>
        <w:fldChar w:fldCharType="end"/>
      </w:r>
      <w:r w:rsidR="0087571D" w:rsidRPr="00DD6338">
        <w:rPr>
          <w:rStyle w:val="fontstyle01"/>
          <w:rFonts w:ascii="Arial" w:hAnsi="Arial" w:cs="Arial"/>
          <w:color w:val="000000" w:themeColor="text1"/>
          <w:sz w:val="20"/>
          <w:szCs w:val="20"/>
          <w:lang w:val="en-US"/>
        </w:rPr>
        <w:t>.</w:t>
      </w:r>
      <w:r w:rsidRP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Potassium is the most abundant cation in intracellular fluid, where it plays a key role in maintaining cellular functions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{"citationItems":[{"id":"ITEM-1","itemData":{"DOI":"10.3390/nu8070444","ISSN":"20726643","PMID":"27455317","abstract":"Potassium is an essential nutrient. It is the most abundant cation in intracellular fluid where it plays a key role in maintaining cell function. The gradient of potassium across the cell membrane determines cellular membrane potential, which is maintained in large part by the ubiquitous ion channel the sodium-potassium (Na+-K+) ATPase pump. Approximately 90% of potassium consumed (60–100 mEq) is lost in the urine, with the other 10% excreted in the stool, and a very small amount lost in sweat. Little is known about the bioavailability of potassium, especially from dietary sources. Less is understood on how bioavailability may affect health outcomes. Hypertension (HTN) is the leading cause of cardiovascular disease (CVD) and a major financial burden ($50.6 billion) to the US public health system, and has a significant impact on all-cause morbidity and mortality worldwide. The relationship between increased potassium supplementation and a decrease in HTN is relatively well understood, but the effect of increased potassium intake from dietary sources on blood pressure overall is less clear. In addition, treatment options for hypertensive individuals (e.g., thiazide diuretics) may further compound chronic disease risk via impairments in potassium utilization and glucose control. Understanding potassium bioavailability from various sources may help to reveal how specific compounds and tissues influence potassium movement, and further the understanding of its role in health.","author":[{"dropping-particle":"","family":"Stone","given":"Michael S.","non-dropping-particle":"","parse-names":false,"suffix":""},{"dropping-particle":"","family":"Martyn","given":"Lisa","non-dropping-particle":"","parse-names":false,"suffix":""},{"dropping-particle":"","family":"Weaver","given":"Connie M.","non-dropping-particle":"","parse-names":false,"suffix":""}],"container-title":"Nutrients","id":"ITEM-1","issue":"7","issued":{"date-parts":[["2016"]]},"page":"1-13","title":"Potassium intake, bioavailability, hypertension, and glucose control","type":"article-journal","volume":"8"},"uris":["http://www.mendeley.com/documents/?uuid=e6520118-066c-430d-a5bf-0ce8fd66a938"]}],"mendeley":{"formattedCitation":"(Stone et al., 2016)","plainTextFormattedCitation":"(Stone et al., 2016)","previouslyFormattedCitation":"(Stone et al., 2016)"},"properties":{"noteIndex":0},"schema":"https://github.com/citation-style-language/schema/raw/master/csl-citation.json"}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(Stone et al., 2016)</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Sodium is essential for cellular homeostasis and physiological function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{"citationItems":[{"id":"ITEM-1","itemData":{"DOI":"10.1016/j.jacc.2014.12.039","ISSN":"15583597","PMID":"25766952","abstract":"Sodium is essential for cellular homeostasis and physiological function. Excess dietary sodium has been linked to elevations in blood pressure (BP). Salt sensitivity of BP varies widely, but certain subgroups tend to be more salt sensitive. The mechanisms underlying sodium-induced increases in BP are not completely understood but may involve alterations in renal function, fluid volume, fluid-regulatory hormones, the vasculature, cardiac function, and the autonomic nervous system. Recent pre-clinical and clinical data support that even in the absence of an increase in BP, excess dietary sodium can adversely affect target organs, including the blood vessels, heart, kidneys, and brain. In this review, the investigators review these issues and the epidemiological research relating dietary sodium to BP and cardiovascular health outcomes, addressing recent controversies. They also provide information and strategies for reducing dietary sodium.","author":[{"dropping-particle":"","family":"Farquhar","given":"William B.","non-dropping-particle":"","parse-names":false,"suffix":""},{"dropping-particle":"","family":"Edwards","given":"David G.","non-dropping-particle":"","parse-names":false,"suffix":""},{"dropping-particle":"","family":"Jurkovitz","given":"Claudine T.","non-dropping-particle":"","parse-names":false,"suffix":""},{"dropping-particle":"","family":"Weintraub","given":"William S.","non-dropping-particle":"","parse-names":false,"suffix":""}],"container-title":"Journal of the American College of Cardiology","id":"ITEM-1","issue":"10","issued":{"date-parts":[["2015"]]},"page":"1042-1050","title":"Dietary sodium and health: More than just blood pressure","type":"article-journal","volume":"65"},"uris":["http://www.mendeley.com/documents/?uuid=045a786b-b93a-4890-83c8-75d257da2d59"]}],"mendeley":{"formattedCitation":"(Farquhar et al., 2015)","plainTextFormattedCitation":"(Farquhar et al., 2015)","previouslyFormattedCitation":"(Farquhar et al., 2015)"},"properties":{"noteIndex":0},"schema":"https://github.com/citation-style-language/schema/raw/master/csl-citation.json"}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(Farquhar et al., 2015)</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00065DDC" w:rsidRPr="005250A4">
        <w:rPr>
          <w:rFonts w:ascii="Arial" w:eastAsia="Times New Roman" w:hAnsi="Arial" w:cs="Arial"/>
          <w:color w:val="000000" w:themeColor="text1"/>
          <w:sz w:val="20"/>
          <w:szCs w:val="20"/>
          <w:lang w:val="en-US" w:eastAsia="fr-FR"/>
        </w:rPr>
        <w:t xml:space="preserve"> </w:t>
      </w:r>
    </w:p>
    <w:p w14:paraId="451B6FC4" w14:textId="495ADAE2" w:rsidR="00D64A3F" w:rsidRPr="00A65703" w:rsidRDefault="00D64A3F" w:rsidP="006F041F">
      <w:pPr>
        <w:spacing w:before="100" w:beforeAutospacing="1" w:after="100" w:afterAutospacing="1" w:line="360" w:lineRule="auto"/>
        <w:jc w:val="both"/>
        <w:rPr>
          <w:rStyle w:val="fontstyle01"/>
          <w:rFonts w:ascii="Arial" w:eastAsia="Times New Roman" w:hAnsi="Arial" w:cs="Arial"/>
          <w:color w:val="000000" w:themeColor="text1"/>
          <w:sz w:val="20"/>
          <w:szCs w:val="20"/>
          <w:lang w:eastAsia="fr-FR"/>
        </w:rPr>
      </w:pPr>
      <w:r w:rsidRPr="005250A4">
        <w:rPr>
          <w:rFonts w:ascii="Arial" w:eastAsia="Times New Roman" w:hAnsi="Arial" w:cs="Arial"/>
          <w:color w:val="000000" w:themeColor="text1"/>
          <w:sz w:val="20"/>
          <w:szCs w:val="20"/>
          <w:lang w:val="en-US" w:eastAsia="fr-FR"/>
        </w:rPr>
        <w:t xml:space="preserve">In light of the above, it is clear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have significant nutritional potential. They should certainly make a significant contribution to meeting the nutrient requirements of the populations in which they occupy a prominent place in the diet. According to several authors</w:t>
      </w:r>
      <w:r w:rsidR="00A65703">
        <w:rPr>
          <w:rFonts w:ascii="Arial" w:eastAsia="Times New Roman" w:hAnsi="Arial" w:cs="Arial"/>
          <w:color w:val="000000" w:themeColor="text1"/>
          <w:sz w:val="20"/>
          <w:szCs w:val="20"/>
          <w:lang w:val="en-US" w:eastAsia="fr-FR"/>
        </w:rPr>
        <w:t xml:space="preserve"> </w:t>
      </w:r>
      <w:r w:rsidR="00A65703">
        <w:rPr>
          <w:rFonts w:ascii="Arial" w:eastAsia="Times New Roman" w:hAnsi="Arial" w:cs="Arial"/>
          <w:color w:val="000000" w:themeColor="text1"/>
          <w:sz w:val="20"/>
          <w:szCs w:val="20"/>
          <w:lang w:val="en-US" w:eastAsia="fr-FR"/>
        </w:rPr>
        <w:fldChar w:fldCharType="begin" w:fldLock="1"/>
      </w:r>
      <w:r w:rsidR="00CB3EB5">
        <w:rPr>
          <w:rFonts w:ascii="Arial" w:eastAsia="Times New Roman" w:hAnsi="Arial" w:cs="Arial"/>
          <w:color w:val="000000" w:themeColor="text1"/>
          <w:sz w:val="20"/>
          <w:szCs w:val="20"/>
          <w:lang w:val="en-US" w:eastAsia="fr-FR"/>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2022)","manualFormatting":"(Abdel-Razek et al., 2022; ","plainTextFormattedCitation":"(Abdel-Razek et al., 2022)","previouslyFormattedCitation":"(Abdel-Razek et al., 2022)"},"properties":{"noteIndex":0},"schema":"https://github.com/citation-style-language/schema/raw/master/csl-citation.json"}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A65703">
        <w:rPr>
          <w:rFonts w:ascii="Arial" w:eastAsia="Times New Roman" w:hAnsi="Arial" w:cs="Arial"/>
          <w:noProof/>
          <w:color w:val="000000" w:themeColor="text1"/>
          <w:sz w:val="20"/>
          <w:szCs w:val="20"/>
          <w:lang w:eastAsia="fr-FR"/>
        </w:rPr>
        <w:t>(Abdel-Razek et al., 2022</w:t>
      </w:r>
      <w:r w:rsidR="00A65703">
        <w:rPr>
          <w:rFonts w:ascii="Arial" w:eastAsia="Times New Roman" w:hAnsi="Arial" w:cs="Arial"/>
          <w:noProof/>
          <w:color w:val="000000" w:themeColor="text1"/>
          <w:sz w:val="20"/>
          <w:szCs w:val="20"/>
          <w:lang w:eastAsia="fr-FR"/>
        </w:rPr>
        <w:t xml:space="preserve">; </w:t>
      </w:r>
      <w:r w:rsidR="00A65703">
        <w:rPr>
          <w:rFonts w:ascii="Arial" w:eastAsia="Times New Roman" w:hAnsi="Arial" w:cs="Arial"/>
          <w:color w:val="000000" w:themeColor="text1"/>
          <w:sz w:val="20"/>
          <w:szCs w:val="20"/>
          <w:lang w:val="en-US" w:eastAsia="fr-FR"/>
        </w:rPr>
        <w:fldChar w:fldCharType="end"/>
      </w:r>
      <w:r w:rsidR="00A65703">
        <w:rPr>
          <w:rFonts w:ascii="Arial" w:eastAsia="Times New Roman" w:hAnsi="Arial" w:cs="Arial"/>
          <w:color w:val="000000" w:themeColor="text1"/>
          <w:sz w:val="20"/>
          <w:szCs w:val="20"/>
          <w:lang w:val="en-US" w:eastAsia="fr-FR"/>
        </w:rPr>
        <w:fldChar w:fldCharType="begin" w:fldLock="1"/>
      </w:r>
      <w:r w:rsidR="00A65703" w:rsidRPr="00A65703">
        <w:rPr>
          <w:rFonts w:ascii="Arial" w:eastAsia="Times New Roman" w:hAnsi="Arial" w:cs="Arial"/>
          <w:color w:val="000000" w:themeColor="text1"/>
          <w:sz w:val="20"/>
          <w:szCs w:val="20"/>
          <w:lang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A65703">
        <w:rPr>
          <w:rFonts w:ascii="Arial" w:eastAsia="Times New Roman" w:hAnsi="Arial" w:cs="Arial"/>
          <w:noProof/>
          <w:color w:val="000000" w:themeColor="text1"/>
          <w:sz w:val="20"/>
          <w:szCs w:val="20"/>
          <w:lang w:eastAsia="fr-FR"/>
        </w:rPr>
        <w:t>Islam, 2013)</w:t>
      </w:r>
      <w:r w:rsidR="00A65703">
        <w:rPr>
          <w:rFonts w:ascii="Arial" w:eastAsia="Times New Roman" w:hAnsi="Arial" w:cs="Arial"/>
          <w:color w:val="000000" w:themeColor="text1"/>
          <w:sz w:val="20"/>
          <w:szCs w:val="20"/>
          <w:lang w:val="en-US" w:eastAsia="fr-FR"/>
        </w:rPr>
        <w:fldChar w:fldCharType="end"/>
      </w:r>
      <w:r w:rsidR="00DD6338" w:rsidRPr="00A65703">
        <w:rPr>
          <w:rFonts w:ascii="Arial" w:eastAsia="Times New Roman" w:hAnsi="Arial" w:cs="Arial"/>
          <w:color w:val="000000" w:themeColor="text1"/>
          <w:sz w:val="20"/>
          <w:szCs w:val="20"/>
          <w:lang w:eastAsia="fr-FR"/>
        </w:rPr>
        <w:t xml:space="preserve">, </w:t>
      </w:r>
      <w:r w:rsidRPr="00A65703">
        <w:rPr>
          <w:rFonts w:ascii="Arial" w:eastAsia="Times New Roman" w:hAnsi="Arial" w:cs="Arial"/>
          <w:color w:val="000000" w:themeColor="text1"/>
          <w:sz w:val="20"/>
          <w:szCs w:val="20"/>
          <w:lang w:eastAsia="fr-FR"/>
        </w:rPr>
        <w:t xml:space="preserve">the </w:t>
      </w:r>
      <w:proofErr w:type="spellStart"/>
      <w:r w:rsidRPr="00A65703">
        <w:rPr>
          <w:rFonts w:ascii="Arial" w:eastAsia="Times New Roman" w:hAnsi="Arial" w:cs="Arial"/>
          <w:color w:val="000000" w:themeColor="text1"/>
          <w:sz w:val="20"/>
          <w:szCs w:val="20"/>
          <w:lang w:eastAsia="fr-FR"/>
        </w:rPr>
        <w:t>potential</w:t>
      </w:r>
      <w:proofErr w:type="spellEnd"/>
      <w:r w:rsidRPr="00A65703">
        <w:rPr>
          <w:rFonts w:ascii="Arial" w:eastAsia="Times New Roman" w:hAnsi="Arial" w:cs="Arial"/>
          <w:color w:val="000000" w:themeColor="text1"/>
          <w:sz w:val="20"/>
          <w:szCs w:val="20"/>
          <w:lang w:eastAsia="fr-FR"/>
        </w:rPr>
        <w:t xml:space="preserve"> </w:t>
      </w:r>
      <w:proofErr w:type="spellStart"/>
      <w:r w:rsidRPr="00A65703">
        <w:rPr>
          <w:rFonts w:ascii="Arial" w:eastAsia="Times New Roman" w:hAnsi="Arial" w:cs="Arial"/>
          <w:color w:val="000000" w:themeColor="text1"/>
          <w:sz w:val="20"/>
          <w:szCs w:val="20"/>
          <w:lang w:eastAsia="fr-FR"/>
        </w:rPr>
        <w:t>benefits</w:t>
      </w:r>
      <w:proofErr w:type="spellEnd"/>
      <w:r w:rsidRPr="00A65703">
        <w:rPr>
          <w:rFonts w:ascii="Arial" w:eastAsia="Times New Roman" w:hAnsi="Arial" w:cs="Arial"/>
          <w:color w:val="000000" w:themeColor="text1"/>
          <w:sz w:val="20"/>
          <w:szCs w:val="20"/>
          <w:lang w:eastAsia="fr-FR"/>
        </w:rPr>
        <w:t xml:space="preserve"> </w:t>
      </w:r>
      <w:proofErr w:type="spellStart"/>
      <w:r w:rsidRPr="00A65703">
        <w:rPr>
          <w:rFonts w:ascii="Arial" w:eastAsia="Times New Roman" w:hAnsi="Arial" w:cs="Arial"/>
          <w:color w:val="000000" w:themeColor="text1"/>
          <w:sz w:val="20"/>
          <w:szCs w:val="20"/>
          <w:lang w:eastAsia="fr-FR"/>
        </w:rPr>
        <w:t>observed</w:t>
      </w:r>
      <w:proofErr w:type="spellEnd"/>
      <w:r w:rsidRPr="00A65703">
        <w:rPr>
          <w:rFonts w:ascii="Arial" w:eastAsia="Times New Roman" w:hAnsi="Arial" w:cs="Arial"/>
          <w:color w:val="000000" w:themeColor="text1"/>
          <w:sz w:val="20"/>
          <w:szCs w:val="20"/>
          <w:lang w:eastAsia="fr-FR"/>
        </w:rPr>
        <w:t xml:space="preserve"> in the </w:t>
      </w:r>
      <w:proofErr w:type="spellStart"/>
      <w:r w:rsidRPr="00A65703">
        <w:rPr>
          <w:rFonts w:ascii="Arial" w:eastAsia="Times New Roman" w:hAnsi="Arial" w:cs="Arial"/>
          <w:color w:val="000000" w:themeColor="text1"/>
          <w:sz w:val="20"/>
          <w:szCs w:val="20"/>
          <w:lang w:eastAsia="fr-FR"/>
        </w:rPr>
        <w:t>consumption</w:t>
      </w:r>
      <w:proofErr w:type="spellEnd"/>
      <w:r w:rsidRPr="00A65703">
        <w:rPr>
          <w:rFonts w:ascii="Arial" w:eastAsia="Times New Roman" w:hAnsi="Arial" w:cs="Arial"/>
          <w:color w:val="000000" w:themeColor="text1"/>
          <w:sz w:val="20"/>
          <w:szCs w:val="20"/>
          <w:lang w:eastAsia="fr-FR"/>
        </w:rPr>
        <w:t xml:space="preserve"> of </w:t>
      </w:r>
      <w:proofErr w:type="spellStart"/>
      <w:r w:rsidRPr="00A65703">
        <w:rPr>
          <w:rFonts w:ascii="Arial" w:eastAsia="Times New Roman" w:hAnsi="Arial" w:cs="Arial"/>
          <w:color w:val="000000" w:themeColor="text1"/>
          <w:sz w:val="20"/>
          <w:szCs w:val="20"/>
          <w:lang w:eastAsia="fr-FR"/>
        </w:rPr>
        <w:t>these</w:t>
      </w:r>
      <w:proofErr w:type="spellEnd"/>
      <w:r w:rsidRPr="00A65703">
        <w:rPr>
          <w:rFonts w:ascii="Arial" w:eastAsia="Times New Roman" w:hAnsi="Arial" w:cs="Arial"/>
          <w:color w:val="000000" w:themeColor="text1"/>
          <w:sz w:val="20"/>
          <w:szCs w:val="20"/>
          <w:lang w:eastAsia="fr-FR"/>
        </w:rPr>
        <w:t xml:space="preserve"> </w:t>
      </w:r>
      <w:proofErr w:type="spellStart"/>
      <w:r w:rsidRPr="00A65703">
        <w:rPr>
          <w:rFonts w:ascii="Arial" w:eastAsia="Times New Roman" w:hAnsi="Arial" w:cs="Arial"/>
          <w:color w:val="000000" w:themeColor="text1"/>
          <w:sz w:val="20"/>
          <w:szCs w:val="20"/>
          <w:lang w:eastAsia="fr-FR"/>
        </w:rPr>
        <w:t>two</w:t>
      </w:r>
      <w:proofErr w:type="spellEnd"/>
      <w:r w:rsidRPr="00A65703">
        <w:rPr>
          <w:rFonts w:ascii="Arial" w:eastAsia="Times New Roman" w:hAnsi="Arial" w:cs="Arial"/>
          <w:color w:val="000000" w:themeColor="text1"/>
          <w:sz w:val="20"/>
          <w:szCs w:val="20"/>
          <w:lang w:eastAsia="fr-FR"/>
        </w:rPr>
        <w:t xml:space="preserve"> </w:t>
      </w:r>
      <w:proofErr w:type="spellStart"/>
      <w:r w:rsidRPr="00A65703">
        <w:rPr>
          <w:rFonts w:ascii="Arial" w:eastAsia="Times New Roman" w:hAnsi="Arial" w:cs="Arial"/>
          <w:color w:val="000000" w:themeColor="text1"/>
          <w:sz w:val="20"/>
          <w:szCs w:val="20"/>
          <w:lang w:eastAsia="fr-FR"/>
        </w:rPr>
        <w:t>organs</w:t>
      </w:r>
      <w:proofErr w:type="spellEnd"/>
      <w:r w:rsidRPr="00A65703">
        <w:rPr>
          <w:rFonts w:ascii="Arial" w:eastAsia="Times New Roman" w:hAnsi="Arial" w:cs="Arial"/>
          <w:color w:val="000000" w:themeColor="text1"/>
          <w:sz w:val="20"/>
          <w:szCs w:val="20"/>
          <w:lang w:eastAsia="fr-FR"/>
        </w:rPr>
        <w:t xml:space="preserve"> are not </w:t>
      </w:r>
      <w:proofErr w:type="spellStart"/>
      <w:r w:rsidRPr="00A65703">
        <w:rPr>
          <w:rFonts w:ascii="Arial" w:eastAsia="Times New Roman" w:hAnsi="Arial" w:cs="Arial"/>
          <w:color w:val="000000" w:themeColor="text1"/>
          <w:sz w:val="20"/>
          <w:szCs w:val="20"/>
          <w:lang w:eastAsia="fr-FR"/>
        </w:rPr>
        <w:t>limited</w:t>
      </w:r>
      <w:proofErr w:type="spellEnd"/>
      <w:r w:rsidRPr="00A65703">
        <w:rPr>
          <w:rFonts w:ascii="Arial" w:eastAsia="Times New Roman" w:hAnsi="Arial" w:cs="Arial"/>
          <w:color w:val="000000" w:themeColor="text1"/>
          <w:sz w:val="20"/>
          <w:szCs w:val="20"/>
          <w:lang w:eastAsia="fr-FR"/>
        </w:rPr>
        <w:t xml:space="preserve"> to </w:t>
      </w:r>
      <w:proofErr w:type="spellStart"/>
      <w:r w:rsidRPr="00A65703">
        <w:rPr>
          <w:rFonts w:ascii="Arial" w:eastAsia="Times New Roman" w:hAnsi="Arial" w:cs="Arial"/>
          <w:color w:val="000000" w:themeColor="text1"/>
          <w:sz w:val="20"/>
          <w:szCs w:val="20"/>
          <w:lang w:eastAsia="fr-FR"/>
        </w:rPr>
        <w:t>nutritional</w:t>
      </w:r>
      <w:proofErr w:type="spellEnd"/>
      <w:r w:rsidRPr="00A65703">
        <w:rPr>
          <w:rFonts w:ascii="Arial" w:eastAsia="Times New Roman" w:hAnsi="Arial" w:cs="Arial"/>
          <w:color w:val="000000" w:themeColor="text1"/>
          <w:sz w:val="20"/>
          <w:szCs w:val="20"/>
          <w:lang w:eastAsia="fr-FR"/>
        </w:rPr>
        <w:t xml:space="preserve"> </w:t>
      </w:r>
      <w:proofErr w:type="spellStart"/>
      <w:r w:rsidRPr="00A65703">
        <w:rPr>
          <w:rFonts w:ascii="Arial" w:eastAsia="Times New Roman" w:hAnsi="Arial" w:cs="Arial"/>
          <w:color w:val="000000" w:themeColor="text1"/>
          <w:sz w:val="20"/>
          <w:szCs w:val="20"/>
          <w:lang w:eastAsia="fr-FR"/>
        </w:rPr>
        <w:t>levels</w:t>
      </w:r>
      <w:proofErr w:type="spellEnd"/>
      <w:r w:rsidRPr="00A65703">
        <w:rPr>
          <w:rFonts w:ascii="Arial" w:eastAsia="Times New Roman" w:hAnsi="Arial" w:cs="Arial"/>
          <w:color w:val="000000" w:themeColor="text1"/>
          <w:sz w:val="20"/>
          <w:szCs w:val="20"/>
          <w:lang w:eastAsia="fr-FR"/>
        </w:rPr>
        <w:t>.</w:t>
      </w:r>
    </w:p>
    <w:p w14:paraId="489B8AEB" w14:textId="77777777" w:rsidR="00933753" w:rsidRPr="00202D84" w:rsidRDefault="000A4569" w:rsidP="00F767DB">
      <w:pPr>
        <w:pStyle w:val="ListParagraph"/>
        <w:numPr>
          <w:ilvl w:val="1"/>
          <w:numId w:val="5"/>
        </w:numPr>
        <w:spacing w:line="480" w:lineRule="auto"/>
        <w:jc w:val="both"/>
        <w:rPr>
          <w:rFonts w:ascii="Arial" w:hAnsi="Arial" w:cs="Arial"/>
          <w:b/>
          <w:color w:val="000000" w:themeColor="text1"/>
          <w:lang w:val="en-US"/>
        </w:rPr>
      </w:pPr>
      <w:r w:rsidRPr="00202D84">
        <w:rPr>
          <w:rStyle w:val="fontstyle01"/>
          <w:rFonts w:ascii="Arial" w:hAnsi="Arial" w:cs="Arial"/>
          <w:b/>
          <w:color w:val="000000" w:themeColor="text1"/>
          <w:sz w:val="22"/>
          <w:szCs w:val="22"/>
          <w:lang w:val="en-US"/>
        </w:rPr>
        <w:t>Bioactive potential</w:t>
      </w:r>
      <w:r w:rsidR="00ED5287" w:rsidRPr="00202D84">
        <w:rPr>
          <w:rStyle w:val="fontstyle01"/>
          <w:rFonts w:ascii="Arial" w:hAnsi="Arial" w:cs="Arial"/>
          <w:b/>
          <w:color w:val="000000" w:themeColor="text1"/>
          <w:sz w:val="22"/>
          <w:szCs w:val="22"/>
          <w:lang w:val="en-US"/>
        </w:rPr>
        <w:t xml:space="preserve"> </w:t>
      </w:r>
      <w:r w:rsidR="00E72C01" w:rsidRPr="00202D84">
        <w:rPr>
          <w:rStyle w:val="fontstyle01"/>
          <w:rFonts w:ascii="Arial" w:hAnsi="Arial" w:cs="Arial"/>
          <w:b/>
          <w:color w:val="000000" w:themeColor="text1"/>
          <w:sz w:val="22"/>
          <w:szCs w:val="22"/>
          <w:lang w:val="en-US"/>
        </w:rPr>
        <w:t xml:space="preserve">of </w:t>
      </w:r>
      <w:r w:rsidR="00935722" w:rsidRPr="00202D84">
        <w:rPr>
          <w:rFonts w:ascii="Arial" w:eastAsia="Times New Roman" w:hAnsi="Arial" w:cs="Arial"/>
          <w:b/>
          <w:color w:val="000000" w:themeColor="text1"/>
          <w:lang w:val="en-US" w:eastAsia="fr-FR"/>
        </w:rPr>
        <w:t>leaf and fruit</w:t>
      </w:r>
      <w:r w:rsidR="00CC3F9C" w:rsidRPr="00202D84">
        <w:rPr>
          <w:rFonts w:ascii="Arial" w:eastAsia="Times New Roman" w:hAnsi="Arial" w:cs="Arial"/>
          <w:b/>
          <w:color w:val="000000" w:themeColor="text1"/>
          <w:lang w:val="en-US" w:eastAsia="fr-FR"/>
        </w:rPr>
        <w:t xml:space="preserve"> powders</w:t>
      </w:r>
    </w:p>
    <w:p w14:paraId="122D359C" w14:textId="77777777" w:rsidR="0004545E" w:rsidRPr="005250A4" w:rsidRDefault="00160469" w:rsidP="00B17ABC">
      <w:pPr>
        <w:pStyle w:val="ListParagraph"/>
        <w:numPr>
          <w:ilvl w:val="2"/>
          <w:numId w:val="7"/>
        </w:numPr>
        <w:spacing w:line="480" w:lineRule="auto"/>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Identification of the bioactive compound</w:t>
      </w:r>
      <w:r w:rsidR="00810195" w:rsidRPr="005250A4">
        <w:rPr>
          <w:rFonts w:ascii="Arial" w:hAnsi="Arial" w:cs="Arial"/>
          <w:b/>
          <w:color w:val="000000" w:themeColor="text1"/>
          <w:sz w:val="20"/>
          <w:szCs w:val="20"/>
          <w:lang w:val="en-US"/>
        </w:rPr>
        <w:t xml:space="preserve"> </w:t>
      </w:r>
      <w:r w:rsidRPr="005250A4">
        <w:rPr>
          <w:rFonts w:ascii="Arial" w:hAnsi="Arial" w:cs="Arial"/>
          <w:b/>
          <w:color w:val="000000" w:themeColor="text1"/>
          <w:sz w:val="20"/>
          <w:szCs w:val="20"/>
          <w:lang w:val="en-US"/>
        </w:rPr>
        <w:t>groups</w:t>
      </w:r>
    </w:p>
    <w:p w14:paraId="6B6E6C26" w14:textId="6F61620E" w:rsidR="00352E76" w:rsidRPr="005250A4" w:rsidRDefault="00352E76" w:rsidP="000F384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Phytochemical screening of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leaves and fruit powders reveal</w:t>
      </w:r>
      <w:r w:rsidR="00D97FF5"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a ran</w:t>
      </w:r>
      <w:r w:rsidR="007A45E0" w:rsidRPr="005250A4">
        <w:rPr>
          <w:rFonts w:ascii="Arial" w:hAnsi="Arial" w:cs="Arial"/>
          <w:color w:val="000000" w:themeColor="text1"/>
          <w:sz w:val="20"/>
          <w:szCs w:val="20"/>
          <w:lang w:val="en-US"/>
        </w:rPr>
        <w:t>ge of bioactive compound group</w:t>
      </w:r>
      <w:r w:rsidRPr="005250A4">
        <w:rPr>
          <w:rFonts w:ascii="Arial" w:hAnsi="Arial" w:cs="Arial"/>
          <w:color w:val="000000" w:themeColor="text1"/>
          <w:sz w:val="20"/>
          <w:szCs w:val="20"/>
          <w:lang w:val="en-US"/>
        </w:rPr>
        <w:t>s (Table 3). These include alkaloids, polyphenols, flavonoids, tannins, sterols, triterpenes, saponins, quinones and anthraquinones. These</w:t>
      </w:r>
      <w:r w:rsidR="007D1294" w:rsidRPr="005250A4">
        <w:rPr>
          <w:rFonts w:ascii="Arial" w:hAnsi="Arial" w:cs="Arial"/>
          <w:color w:val="000000" w:themeColor="text1"/>
          <w:sz w:val="20"/>
          <w:szCs w:val="20"/>
          <w:lang w:val="en-US"/>
        </w:rPr>
        <w:t xml:space="preserve"> bioactive compounds are </w:t>
      </w:r>
      <w:r w:rsidRPr="005250A4">
        <w:rPr>
          <w:rFonts w:ascii="Arial" w:hAnsi="Arial" w:cs="Arial"/>
          <w:color w:val="000000" w:themeColor="text1"/>
          <w:sz w:val="20"/>
          <w:szCs w:val="20"/>
          <w:lang w:val="en-US"/>
        </w:rPr>
        <w:t xml:space="preserve">secondary metabolites. They are a group of compounds synthesized by plants in response to external aggression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extent of stress or aggression certainly affects the intensity of each group of compounds, and may </w:t>
      </w:r>
      <w:r w:rsidR="000157FB" w:rsidRPr="005250A4">
        <w:rPr>
          <w:rFonts w:ascii="Arial" w:hAnsi="Arial" w:cs="Arial"/>
          <w:color w:val="000000" w:themeColor="text1"/>
          <w:sz w:val="20"/>
          <w:szCs w:val="20"/>
          <w:lang w:val="en-US"/>
        </w:rPr>
        <w:t>explain the great variability of</w:t>
      </w:r>
      <w:r w:rsidRPr="005250A4">
        <w:rPr>
          <w:rFonts w:ascii="Arial" w:hAnsi="Arial" w:cs="Arial"/>
          <w:color w:val="000000" w:themeColor="text1"/>
          <w:sz w:val="20"/>
          <w:szCs w:val="20"/>
          <w:lang w:val="en-US"/>
        </w:rPr>
        <w:t xml:space="preserve"> their presence in the leaves and fruit studied. Quinones and anthraquinones are absent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fruits and </w:t>
      </w:r>
      <w:r w:rsidRPr="005250A4">
        <w:rPr>
          <w:rFonts w:ascii="Arial" w:hAnsi="Arial" w:cs="Arial"/>
          <w:i/>
          <w:color w:val="000000" w:themeColor="text1"/>
          <w:sz w:val="20"/>
          <w:szCs w:val="20"/>
          <w:lang w:val="en-US"/>
        </w:rPr>
        <w:t>A. esculentus</w:t>
      </w:r>
      <w:r w:rsidR="00EA6835" w:rsidRPr="005250A4">
        <w:rPr>
          <w:rFonts w:ascii="Arial" w:hAnsi="Arial" w:cs="Arial"/>
          <w:color w:val="000000" w:themeColor="text1"/>
          <w:sz w:val="20"/>
          <w:szCs w:val="20"/>
          <w:lang w:val="en-US"/>
        </w:rPr>
        <w:t xml:space="preserve"> leaves and fruits a</w:t>
      </w:r>
      <w:r w:rsidRPr="005250A4">
        <w:rPr>
          <w:rFonts w:ascii="Arial" w:hAnsi="Arial" w:cs="Arial"/>
          <w:color w:val="000000" w:themeColor="text1"/>
          <w:sz w:val="20"/>
          <w:szCs w:val="20"/>
          <w:lang w:val="en-US"/>
        </w:rPr>
        <w:t xml:space="preserve">nd </w:t>
      </w:r>
      <w:r w:rsidR="00985D26"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moderately present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Other compounds such as alkaloids, sterols, triterpenes and saponins are moderately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the leaves and fruits of both plants. Polyphenols are </w:t>
      </w:r>
      <w:r w:rsidR="00985D26" w:rsidRPr="005250A4">
        <w:rPr>
          <w:rFonts w:ascii="Arial" w:hAnsi="Arial" w:cs="Arial"/>
          <w:color w:val="000000" w:themeColor="text1"/>
          <w:sz w:val="20"/>
          <w:szCs w:val="20"/>
          <w:lang w:val="en-US"/>
        </w:rPr>
        <w:t xml:space="preserve">present at </w:t>
      </w:r>
      <w:r w:rsidRPr="005250A4">
        <w:rPr>
          <w:rFonts w:ascii="Arial" w:hAnsi="Arial" w:cs="Arial"/>
          <w:color w:val="000000" w:themeColor="text1"/>
          <w:sz w:val="20"/>
          <w:szCs w:val="20"/>
          <w:lang w:val="en-US"/>
        </w:rPr>
        <w:t xml:space="preserve">high and </w:t>
      </w:r>
      <w:r w:rsidR="007D1294" w:rsidRPr="005250A4">
        <w:rPr>
          <w:rFonts w:ascii="Arial" w:hAnsi="Arial" w:cs="Arial"/>
          <w:color w:val="000000" w:themeColor="text1"/>
          <w:sz w:val="20"/>
          <w:szCs w:val="20"/>
          <w:lang w:val="en-US"/>
        </w:rPr>
        <w:t>moderate</w:t>
      </w:r>
      <w:r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 xml:space="preserve">levels </w:t>
      </w:r>
      <w:r w:rsidRPr="005250A4">
        <w:rPr>
          <w:rFonts w:ascii="Arial" w:hAnsi="Arial" w:cs="Arial"/>
          <w:color w:val="000000" w:themeColor="text1"/>
          <w:sz w:val="20"/>
          <w:szCs w:val="20"/>
          <w:lang w:val="en-US"/>
        </w:rPr>
        <w:t xml:space="preserve">in the fruits of both plants and the leaves of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respectively. </w:t>
      </w:r>
      <w:r w:rsidR="00985D26" w:rsidRPr="005250A4">
        <w:rPr>
          <w:rFonts w:ascii="Arial" w:hAnsi="Arial" w:cs="Arial"/>
          <w:color w:val="000000" w:themeColor="text1"/>
          <w:sz w:val="20"/>
          <w:szCs w:val="20"/>
          <w:lang w:val="en-US"/>
        </w:rPr>
        <w:t>However,</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this gr</w:t>
      </w:r>
      <w:r w:rsidR="000157FB" w:rsidRPr="005250A4">
        <w:rPr>
          <w:rFonts w:ascii="Arial" w:hAnsi="Arial" w:cs="Arial"/>
          <w:color w:val="000000" w:themeColor="text1"/>
          <w:sz w:val="20"/>
          <w:szCs w:val="20"/>
          <w:lang w:val="en-US"/>
        </w:rPr>
        <w:t xml:space="preserve">oup of compounds </w:t>
      </w:r>
      <w:r w:rsidR="00985D26" w:rsidRPr="005250A4">
        <w:rPr>
          <w:rFonts w:ascii="Arial" w:hAnsi="Arial" w:cs="Arial"/>
          <w:color w:val="000000" w:themeColor="text1"/>
          <w:sz w:val="20"/>
          <w:szCs w:val="20"/>
          <w:lang w:val="en-US"/>
        </w:rPr>
        <w:t>was more abundant</w:t>
      </w:r>
      <w:r w:rsidR="000157FB" w:rsidRPr="005250A4">
        <w:rPr>
          <w:rFonts w:ascii="Arial" w:hAnsi="Arial" w:cs="Arial"/>
          <w:color w:val="000000" w:themeColor="text1"/>
          <w:sz w:val="20"/>
          <w:szCs w:val="20"/>
          <w:lang w:val="en-US"/>
        </w:rPr>
        <w:t>. Flavonoids are present in the organs of both plants</w:t>
      </w:r>
      <w:r w:rsidR="00F64531" w:rsidRPr="005250A4">
        <w:rPr>
          <w:rFonts w:ascii="Arial" w:hAnsi="Arial" w:cs="Arial"/>
          <w:color w:val="000000" w:themeColor="text1"/>
          <w:sz w:val="20"/>
          <w:szCs w:val="20"/>
          <w:lang w:val="en-US"/>
        </w:rPr>
        <w:t>. However, they are</w:t>
      </w:r>
      <w:r w:rsidR="000157FB"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w:t>
      </w:r>
      <w:r w:rsidR="00F64531"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DE1D8B" w:rsidRPr="005250A4">
        <w:rPr>
          <w:rFonts w:ascii="Arial" w:hAnsi="Arial" w:cs="Arial"/>
          <w:color w:val="000000" w:themeColor="text1"/>
          <w:sz w:val="20"/>
          <w:szCs w:val="20"/>
          <w:lang w:val="en-US"/>
        </w:rPr>
        <w:t xml:space="preserve">The same observation </w:t>
      </w:r>
      <w:r w:rsidR="00985D26" w:rsidRPr="005250A4">
        <w:rPr>
          <w:rFonts w:ascii="Arial" w:hAnsi="Arial" w:cs="Arial"/>
          <w:color w:val="000000" w:themeColor="text1"/>
          <w:sz w:val="20"/>
          <w:szCs w:val="20"/>
          <w:lang w:val="en-US"/>
        </w:rPr>
        <w:t>was made for</w:t>
      </w:r>
      <w:r w:rsidR="00DE1D8B" w:rsidRPr="005250A4">
        <w:rPr>
          <w:rFonts w:ascii="Arial" w:hAnsi="Arial" w:cs="Arial"/>
          <w:color w:val="000000" w:themeColor="text1"/>
          <w:sz w:val="20"/>
          <w:szCs w:val="20"/>
          <w:lang w:val="en-US"/>
        </w:rPr>
        <w:t xml:space="preserve"> tannins. However, they </w:t>
      </w:r>
      <w:r w:rsidR="00985D26" w:rsidRPr="005250A4">
        <w:rPr>
          <w:rFonts w:ascii="Arial" w:hAnsi="Arial" w:cs="Arial"/>
          <w:color w:val="000000" w:themeColor="text1"/>
          <w:sz w:val="20"/>
          <w:szCs w:val="20"/>
          <w:lang w:val="en-US"/>
        </w:rPr>
        <w:t>are</w:t>
      </w:r>
      <w:r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 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00D4448A" w:rsidRPr="005250A4">
        <w:rPr>
          <w:rFonts w:ascii="Arial" w:hAnsi="Arial" w:cs="Arial"/>
          <w:color w:val="000000" w:themeColor="text1"/>
          <w:sz w:val="20"/>
          <w:szCs w:val="20"/>
          <w:lang w:val="en-US"/>
        </w:rPr>
        <w:t xml:space="preserve"> leaves. Many authors </w:t>
      </w:r>
      <w:r w:rsidRPr="005250A4">
        <w:rPr>
          <w:rFonts w:ascii="Arial" w:hAnsi="Arial" w:cs="Arial"/>
          <w:color w:val="000000" w:themeColor="text1"/>
          <w:sz w:val="20"/>
          <w:szCs w:val="20"/>
          <w:lang w:val="en-US"/>
        </w:rPr>
        <w:t xml:space="preserve">reported similar results on the presence of different bioactive compounds in the leaves and fruits of </w:t>
      </w:r>
      <w:r w:rsidR="00177826"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two plants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{"citationItems":[{"id":"ITEM-1","itemData":{"DOI":"10.1016/j.meafoo.2022.100034","ISSN":"27722759","abstract":"Igbo-Ora, a small town in Oyo State, south-western Nigeria, has the world's highest dizygotic twinning rate. The real cause of this phenomenon is uncertain, but the residents generally believe their traditional diet of Abelmoschus esculentus (L) (okra) leaf soup known as “Ilasa” is majorly responsible for their multiple births. This study is a pointer and is aimed at determining the phytochemical, nutritional and antioxidant potentials of an extract of Abelmoschus esculentus (L) (okra) leaf. Ethanolic extract of the powdered okra leaf sample was prepared and subjected to qualitative and quantitative analyses using standard methods. Proximate composition, mineral elements, amino acids and vitamins constituents were analyzed. The in vitro antioxidant potential of the leaf extract was also carried to evaluate the radical scavenging and reducing properties of the extract. The extract contained a significant amount of polyphenols which could be responsible for its protective and therapeutic potentials. The leaf contained about 10% of crude protein, and a minimized amount of moisture (about 8%) and the fibre (6.24%) content superseded the fat (2.54%). The carbohydrate composition was significantly high (66.99 ± 0.03). These portrayed the leaf as not just possessing bioactive phytochemicals but as a nutritionally relevant sample. The extract of the leaf inhibited the activities of radicals namely DPPH, ABTS and nitric oxide via its reducing potential. As a pilot study to further research on the fertility potency of the leaf, this study has revealed the antioxidant activity of the leaf vis a vis its nutritional and phytochemical compositions.","author":[{"dropping-particle":"","family":"Borokini","given":"Funmilayo Bosede","non-dropping-particle":"","parse-names":false,"suffix":""},{"dropping-particle":"","family":"Oladipo","given":"Gideon Oludare","non-dropping-particle":"","parse-names":false,"suffix":""},{"dropping-particle":"","family":"Komolafe","given":"Olamide Yemisi","non-dropping-particle":"","parse-names":false,"suffix":""},{"dropping-particle":"","family":"Ajongbolo","given":"Kehinde Funto","non-dropping-particle":"","parse-names":false,"suffix":""}],"container-title":"Measurement: Food","id":"ITEM-1","issued":{"date-parts":[["2022"]]},"page":"100034","publisher":"Elsevier Ltd","title":"Phytochemical, nutritional and antioxidant properties of Abelmoschus esculentus Moench L leaf: A pointer to its fertility potentials","type":"article-journal","volume":"6"},"uris":["http://www.mendeley.com/documents/?uuid=ef7419ae-29f6-4152-8015-6f8e1ebadb88"]}],"mendeley":{"formattedCitation":"(Borokini et al., 2022)","plainTextFormattedCitation":"(Borokini et al., 2022)","previouslyFormattedCitation":"(Borokini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(Borokini et al., 2022)</w:t>
      </w:r>
      <w:r w:rsidRPr="005250A4">
        <w:rPr>
          <w:rFonts w:ascii="Arial" w:hAnsi="Arial" w:cs="Arial"/>
          <w:color w:val="000000" w:themeColor="text1"/>
          <w:sz w:val="20"/>
          <w:szCs w:val="20"/>
        </w:rPr>
        <w:fldChar w:fldCharType="end"/>
      </w:r>
      <w:r w:rsidR="00DE1D8B" w:rsidRPr="005250A4">
        <w:rPr>
          <w:rFonts w:ascii="Arial" w:hAnsi="Arial" w:cs="Arial"/>
          <w:color w:val="000000" w:themeColor="text1"/>
          <w:sz w:val="20"/>
          <w:szCs w:val="20"/>
          <w:lang w:val="en-US"/>
        </w:rPr>
        <w:t xml:space="preserve">. </w:t>
      </w:r>
      <w:r w:rsidR="00D4448A" w:rsidRPr="005250A4">
        <w:rPr>
          <w:rFonts w:ascii="Arial" w:hAnsi="Arial" w:cs="Arial"/>
          <w:color w:val="000000" w:themeColor="text1"/>
          <w:sz w:val="20"/>
          <w:szCs w:val="20"/>
          <w:lang w:val="en-US"/>
        </w:rPr>
        <w:t>Another</w:t>
      </w:r>
      <w:r w:rsidR="00177826" w:rsidRPr="005250A4">
        <w:rPr>
          <w:rFonts w:ascii="Arial" w:hAnsi="Arial" w:cs="Arial"/>
          <w:color w:val="000000" w:themeColor="text1"/>
          <w:sz w:val="20"/>
          <w:szCs w:val="20"/>
          <w:lang w:val="en-US"/>
        </w:rPr>
        <w:t xml:space="preserve"> study </w:t>
      </w:r>
      <w:r w:rsidR="00DE1D8B" w:rsidRPr="005250A4">
        <w:rPr>
          <w:rFonts w:ascii="Arial" w:hAnsi="Arial" w:cs="Arial"/>
          <w:color w:val="000000" w:themeColor="text1"/>
          <w:sz w:val="20"/>
          <w:szCs w:val="20"/>
          <w:lang w:val="en-US"/>
        </w:rPr>
        <w:t>reported that</w:t>
      </w:r>
      <w:r w:rsidRPr="005250A4">
        <w:rPr>
          <w:rFonts w:ascii="Arial" w:hAnsi="Arial" w:cs="Arial"/>
          <w:color w:val="000000" w:themeColor="text1"/>
          <w:sz w:val="20"/>
          <w:szCs w:val="20"/>
          <w:lang w:val="en-US"/>
        </w:rPr>
        <w:t xml:space="preserve"> each group of compounds possesses important bioactive activities with beneficial health effects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p>
    <w:p w14:paraId="0637DCC7" w14:textId="3D40AD65" w:rsidR="00F111A9" w:rsidRPr="005250A4" w:rsidRDefault="004D5E14" w:rsidP="00F111A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Alkaloids are a group of compounds known for their antimalarial, antimicrobial, antiviral and anti-inflammatory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{"citationItems":[{"id":"ITEM-1","itemData":{"DOI":"10.1016/j.mtchem.2018.05.001","ISSN":"24685194","abstract":"Alkaloids are plant secondary metabolite. They are well known nitrogen-containing natural bioactive compounds. Cutting edge research is going on alkaloids to unravel novel therapeutic approaches. Literature reveals that alkaloids contribute multiple biological activities and some alkaloids transform into active metabolites too. In this review, we have focused on marketed and experimental alkaloids. We have summarized sources and biological activities of reported alkaloids in past decades.","author":[{"dropping-particle":"","family":"Debnath","given":"Bikash","non-dropping-particle":"","parse-names":false,"suffix":""},{"dropping-particle":"","family":"Singh","given":"Waikhom Somraj","non-dropping-particle":"","parse-names":false,"suffix":""},{"dropping-particle":"","family":"Das","given":"Manik","non-dropping-particle":"","parse-names":false,"suffix":""},{"dropping-particle":"","family":"Goswami","given":"Sanchari","non-dropping-particle":"","parse-names":false,"suffix":""},{"dropping-particle":"","family":"Singh","given":"Mahesh Kumar","non-dropping-particle":"","parse-names":false,"suffix":""},{"dropping-particle":"","family":"Maiti","given":"Debasish","non-dropping-particle":"","parse-names":false,"suffix":""},{"dropping-particle":"","family":"Manna","given":"Kuntal","non-dropping-particle":"","parse-names":false,"suffix":""}],"container-title":"Materials Today Chemistry","id":"ITEM-1","issued":{"date-parts":[["2018"]]},"page":"56-72","publisher":"Elsevier Ltd","title":"Role of plant alkaloids on human health: A review of biological activities","type":"article-journal","volume":"9"},"uris":["http://www.mendeley.com/documents/?uuid=254cf1ea-27a0-4670-9331-b7fe9c0490dd"]}],"mendeley":{"formattedCitation":"(Debnath et al., 2018)","plainTextFormattedCitation":"(Debnath et al., 2018)","previouslyFormattedCitation":"(Debnath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(Debnath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65DDC"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lang w:val="en-US"/>
        </w:rPr>
        <w:t>Polyphenols have antioxidant properties. The</w:t>
      </w:r>
      <w:r w:rsidR="00240F2B" w:rsidRPr="005250A4">
        <w:rPr>
          <w:rFonts w:ascii="Arial" w:hAnsi="Arial" w:cs="Arial"/>
          <w:color w:val="000000" w:themeColor="text1"/>
          <w:sz w:val="20"/>
          <w:szCs w:val="20"/>
          <w:lang w:val="en-US"/>
        </w:rPr>
        <w:t>se compounds</w:t>
      </w:r>
      <w:r w:rsidR="00F111A9" w:rsidRPr="005250A4">
        <w:rPr>
          <w:rFonts w:ascii="Arial" w:hAnsi="Arial" w:cs="Arial"/>
          <w:color w:val="000000" w:themeColor="text1"/>
          <w:sz w:val="20"/>
          <w:szCs w:val="20"/>
          <w:lang w:val="en-US"/>
        </w:rPr>
        <w:t xml:space="preserve"> can combat oxidative stress. Oxidative stress is a risk factor </w:t>
      </w:r>
      <w:r w:rsidR="00240F2B" w:rsidRPr="005250A4">
        <w:rPr>
          <w:rFonts w:ascii="Arial" w:hAnsi="Arial" w:cs="Arial"/>
          <w:color w:val="000000" w:themeColor="text1"/>
          <w:sz w:val="20"/>
          <w:szCs w:val="20"/>
          <w:lang w:val="en-US"/>
        </w:rPr>
        <w:t>for</w:t>
      </w:r>
      <w:r w:rsidR="00F111A9" w:rsidRPr="005250A4">
        <w:rPr>
          <w:rFonts w:ascii="Arial" w:hAnsi="Arial" w:cs="Arial"/>
          <w:color w:val="000000" w:themeColor="text1"/>
          <w:sz w:val="20"/>
          <w:szCs w:val="20"/>
          <w:lang w:val="en-US"/>
        </w:rPr>
        <w:t xml:space="preserve"> the development of a number of diseases, including cardiovascular disease and hypertension</w:t>
      </w:r>
      <w:r w:rsidR="00C2688B" w:rsidRPr="005250A4">
        <w:rPr>
          <w:rFonts w:ascii="Arial" w:hAnsi="Arial" w:cs="Arial"/>
          <w:color w:val="000000" w:themeColor="text1"/>
          <w:sz w:val="20"/>
          <w:szCs w:val="20"/>
          <w:lang w:val="en-US"/>
        </w:rPr>
        <w:t xml:space="preserve"> </w:t>
      </w:r>
      <w:r w:rsidR="00C2688B"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{"citationItems":[{"id":"ITEM-1","itemData":{"DOI":"10.7763/ijcea.2014.v5.416","abstract":"</w:instrText>
      </w:r>
      <w:r w:rsidR="00E91D2D">
        <w:rPr>
          <w:rFonts w:ascii="Arial" w:hAnsi="Arial" w:cs="Arial"/>
          <w:color w:val="000000" w:themeColor="text1"/>
          <w:sz w:val="20"/>
          <w:szCs w:val="20"/>
          <w:lang w:val="en-US"/>
        </w:rPr>
        <w:instrText> Abstract—Recent research focuses on health benefits of phytochemicals, especially antioxidant and antimicrobial properties of phenolic compounds, which is known to exert preventive activity against infectious and degenerative diseases, inflammation and allergies via antioxidant, antimicrobial and proteins/enzymes neutralization/modulation mechanisms. Phenolic compounds are reactive metabolites in a wide range of plant-derived foods and mainly divided in four groups: phenolic acids, flavonoids, stilbenes and tannins. They work as terminators of free radicals and chelators of metal ions that are capable of catalyzing lipid oxidation. Therefore, this review examines the functional properties of phenolics.","author":[{"dropping-particle":"","family":"Ozcan","given":"T.","non-dropping-particle":"","parse-names":false,"suffix":""},{"dropping-particle":"","family":"Akpinar-Bayizit","given":"A.","non-dropping-particle":"","parse-names":false,"suffix":""},{"dropping-particle":"","family":"Yilmaz-Ersan","given":"L.","non-dropping-particle":"","parse-names":false,"suffix":""},{"dropping-particle":"","family":"Delikanli","given":"B.","non-dropping-particle":"","parse-names":false,"suffix":""}],"container-title":"International Journal of Chemical Engineering and Applications","id":"ITEM-1","issue":"5","issued":{"date-parts":[["2014","10"]]},"page":"393-396","publisher":"EJournal Publishing","title":"Phenolics in Human Health","type":"article-journal","volume":"5"},"uris":["http://www.mendeley.com/documents/?uuid=b9994711-8c3f-341d-8e24-35dea615305c"]}],"mendeley":{"formattedCitation":"(Ozcan et al., 2014)","plainTextFormattedCitation":"(Ozcan et al., 2014)","previouslyFormattedCitation":"(Ozcan et al., 2014)"},"properties":{"noteIndex":0},"schema":"https://github.com/citation-style-language/schema/raw/master/csl-citation.json"}</w:instrText>
      </w:r>
      <w:r w:rsidR="00C2688B"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(Ozcan et al., 2014)</w:t>
      </w:r>
      <w:r w:rsidR="00C2688B" w:rsidRPr="005250A4">
        <w:rPr>
          <w:rFonts w:ascii="Arial" w:hAnsi="Arial" w:cs="Arial"/>
          <w:color w:val="000000" w:themeColor="text1"/>
          <w:sz w:val="20"/>
          <w:szCs w:val="20"/>
          <w:lang w:val="en-US"/>
        </w:rPr>
        <w:fldChar w:fldCharType="end"/>
      </w:r>
      <w:r w:rsidR="00F111A9" w:rsidRPr="005250A4">
        <w:rPr>
          <w:rFonts w:ascii="Arial" w:hAnsi="Arial" w:cs="Arial"/>
          <w:color w:val="000000" w:themeColor="text1"/>
          <w:sz w:val="20"/>
          <w:szCs w:val="20"/>
          <w:lang w:val="en-US"/>
        </w:rPr>
        <w:t xml:space="preserve">. Flavonoids are polyphenols. Some </w:t>
      </w:r>
      <w:r w:rsidR="00BE6F91" w:rsidRPr="005250A4">
        <w:rPr>
          <w:rFonts w:ascii="Arial" w:hAnsi="Arial" w:cs="Arial"/>
          <w:color w:val="000000" w:themeColor="text1"/>
          <w:sz w:val="20"/>
          <w:szCs w:val="20"/>
          <w:lang w:val="en-US"/>
        </w:rPr>
        <w:t xml:space="preserve">of these compounds </w:t>
      </w:r>
      <w:r w:rsidR="00F111A9" w:rsidRPr="005250A4">
        <w:rPr>
          <w:rFonts w:ascii="Arial" w:hAnsi="Arial" w:cs="Arial"/>
          <w:color w:val="000000" w:themeColor="text1"/>
          <w:sz w:val="20"/>
          <w:szCs w:val="20"/>
          <w:lang w:val="en-US"/>
        </w:rPr>
        <w:t xml:space="preserve">are known for their anticancer, antiviral and antimicrobial properties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{"citationItems":[{"id":"ITEM-1","itemData":{"DOI":"10.13040/IJPSR.0975-8232.10(4).1567-74","abstract":"Background: Plants and herbs consumed by humans are the rich sources of phytonutrients compounds synthesized in plants itself. Such bioactive substances are responsible for the plant's antioxidant and medicinal values. Flavonoids are an essential group of naturally occurring polyphenolic compounds, and its flavan nucleus characterizes it. It is one of the most common classes of compounds available in vegetables, fruits, and plant-derived beverages. Flavonoids are considered as health promoting and disease preventing dietary supplements. It is now considered as an indispensable component in a variety of nutraceutical, pharmaceutical, medicinal, cosmetic and other applications. Objectives: The main aim of this present review is to discuss the current trends of research and development on flavonoids, general working mechanisms of flavonoids, functions, and applications of flavonoids, prediction of flavonoids as potential drugs in preventing many chronic diseases and future research directions. Discussion: Their basic structures consist of C6-C3-C6 rings with different substitution patterns to produce a series of subclass compounds such as flavones, flavonols, flavanones, isoflavones, flavanols or catechins and anthocyanins. Many flavonoid compounds are shown to have an antioxidative activity, free radical scavenging capacity, cardioprotective, antidiabetic, anti-inflammatory, anti-allergic while some other flavonoid compounds exhibit potential antiviral activities. More recently flavonoids are proven to be the most effective as an anti-cancer agent, through apoptosis by induction of cell cycle arrest and inhibition of key enzymes involved in tumor promotion. INTRODUCTION: Polyphenols are chemical compounds of the secondary plant metabolism that can accumulate in specific group of plant organs such as leaves, fruits, roots, and stems. As a large group of bioactive chemicals, they have diverse biological functions. Flavonoids are phenolic substances widely distributed in all vascular plants.","author":[{"dropping-particle":"","family":"Prithvira","given":"Karak","non-dropping-particle":"","parse-names":false,"suffix":""}],"container-title":"International Journal of Pharmaceutical Sciences and Research","id":"ITEM-1","issue":"4","issued":{"date-parts":[["2019"]]},"page":"1567-1574","title":"Biological Activities of Flavonoids: an Overview","type":"article-journal","volume":"10"},"uris":["http://www.mendeley.com/documents/?uuid=ae9564a9-43f4-4f89-be74-5908a49d4ef7"]}],"mendeley":{"formattedCitation":"(Prithvira, 2019)","plainTextFormattedCitation":"(Prithvira, 2019)","previouslyFormattedCitation":"(Prithvira, 2019)"},"properties":{"noteIndex":0},"schema":"https://github.com/citation-style-language/schema/raw/master/csl-citation.json"}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(Prithvira, 2019)</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Tannins are a subclass of polyphenols and therefore possess the same biological activities as polyphenols. Sterols (phytosterols) are known for their cholesterol-lowering </w:t>
      </w:r>
      <w:r w:rsidR="00F111A9" w:rsidRPr="005250A4">
        <w:rPr>
          <w:rFonts w:ascii="Arial" w:hAnsi="Arial" w:cs="Arial"/>
          <w:color w:val="000000" w:themeColor="text1"/>
          <w:sz w:val="20"/>
          <w:szCs w:val="20"/>
          <w:lang w:val="en-US"/>
        </w:rPr>
        <w:lastRenderedPageBreak/>
        <w:t>properties. Some sterols (beta-sitosterol) are used</w:t>
      </w:r>
      <w:r w:rsidR="00BE6F91" w:rsidRPr="005250A4">
        <w:rPr>
          <w:rFonts w:ascii="Arial" w:hAnsi="Arial" w:cs="Arial"/>
          <w:color w:val="000000" w:themeColor="text1"/>
          <w:sz w:val="20"/>
          <w:szCs w:val="20"/>
          <w:lang w:val="en-US"/>
        </w:rPr>
        <w:t xml:space="preserve"> to treat</w:t>
      </w:r>
      <w:r w:rsidR="00F111A9" w:rsidRPr="005250A4">
        <w:rPr>
          <w:rFonts w:ascii="Arial" w:hAnsi="Arial" w:cs="Arial"/>
          <w:color w:val="000000" w:themeColor="text1"/>
          <w:sz w:val="20"/>
          <w:szCs w:val="20"/>
          <w:lang w:val="en-US"/>
        </w:rPr>
        <w:t xml:space="preserve"> benign prostatic hypertrophy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{"citationItems":[{"id":"ITEM-1","itemData":{"DOI":"10.1021/acs.jafc.8b00059","ISSN":"15205118","PMID":"29521096","abstract":"Plant sterols have attracted increasing attention due to their excellent cholesterol-lowering activity. However, free plant sterols have some characteristics of low oil solubility, water insolubility, high melting point, and low bioavailability, which greatly limit their application in foods. Numerous studies have been undertaken to modify their chemical structures to improve their chemical and physical properties in meeting the needs of various applications. The present review is to summarize the literature and update the progress on structural modifications of plant sterols in the following aspects: (i) synthesis of plant sterol esters by esterification and transesterification with hydrophobic fatty acids and triacylglycerols to improve their oil solubility, (ii) synthesis of plant sterol derivatives by coupling with various hydrophilic moieties to enhance their water solubility, and (iii) mechanisms by which plant sterols reduce plasma cholesterol and the effect of structural modifications on plasma cholesterol-lowering activity of plant sterols.","author":[{"dropping-particle":"Sen","family":"He","given":"Wen","non-dropping-particle":"","parse-names":false,"suffix":""},{"dropping-particle":"","family":"Zhu","given":"Hanyue","non-dropping-particle":"","parse-names":false,"suffix":""},{"dropping-particle":"","family":"Chen","given":"Zhen Yu","non-dropping-particle":"","parse-names":false,"suffix":""}],"container-title":"Journal of Agricultural and Food Chemistry","id":"ITEM-1","issue":"12","issued":{"date-parts":[["2018"]]},"page":"3047-3062","title":"Plant Sterols: Chemical and Enzymatic Structural Modifications and Effects on Their Cholesterol-Lowering Activity","type":"article-journal","volume":"66"},"uris":["http://www.mendeley.com/documents/?uuid=442be098-2bfe-48d1-ba00-939fa74fd3e9"]}],"mendeley":{"formattedCitation":"(He et al., 2018)","plainTextFormattedCitation":"(He et al., 2018)","previouslyFormattedCitation":"(He et al., 2018)"},"properties":{"noteIndex":0},"schema":"https://github.com/citation-style-language/schema/raw/master/csl-citation.json"}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(He et al., 2018)</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Triterpenes stand out for their anti-inflammatory and antimicrobial properties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Saponins have an expectorant </w:t>
      </w:r>
      <w:r w:rsidR="00BE6F91" w:rsidRPr="005250A4">
        <w:rPr>
          <w:rFonts w:ascii="Arial" w:hAnsi="Arial" w:cs="Arial"/>
          <w:color w:val="000000" w:themeColor="text1"/>
          <w:sz w:val="20"/>
          <w:szCs w:val="20"/>
          <w:lang w:val="en-US"/>
        </w:rPr>
        <w:t xml:space="preserve">effect </w:t>
      </w:r>
      <w:r w:rsidR="00F111A9" w:rsidRPr="005250A4">
        <w:rPr>
          <w:rFonts w:ascii="Arial" w:hAnsi="Arial" w:cs="Arial"/>
          <w:color w:val="000000" w:themeColor="text1"/>
          <w:sz w:val="20"/>
          <w:szCs w:val="20"/>
          <w:lang w:val="en-US"/>
        </w:rPr>
        <w:t xml:space="preserve">and are also active against respiratory diseases such as coughs and bronchitis. Some saponins have antibacterial and antifungal properties with a broad spectrum of action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Quinones are used as antibiotics</w:t>
      </w:r>
      <w:r w:rsidR="00F111A9"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Anthraquinones are laxatives and purgatives. They are also distinguished by their anticancer, anti-inflammatory, diuretic, antiarthritic, antifungal, antibacterial, and antimalarial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{"citationItems":[{"id":"ITEM-1","itemData":{"DOI":"10.1016/B978-0-444-64056-7.00011-8","ISBN":"9780444640567","ISSN":"15725995","abstract":"Anthraquinones are a class of abundant compounds obtained from natural sources, being common in different organisms, such as bacteria, fungi, plants, and some animals. Plants are the source of about 200 compounds belonging to this class, and they are present in roots, rhizomes, flowers, and fruits. Anthraquinones stand out for their remarkable biological activities: anticancer, antiinflammatory, diuretic, antiarthritic, antifungal, antibacterial, and antimalarial. In addition, some representatives of this class are already clinically employed and commercially available. These molecules also have applications in analytical chemistry and industrial processes for the production of cellulose. They can be applied as dyes, agrochemicals, and prototypes for the development of new molecules with biological activities. This chapter focuses on the most relevant characteristics and applications of this class of compounds as well as their extraction from natural sources, characterization, and the study of biosynthetic routes. Remarkable overall syntheses that led to significant advances in the fight against disease are also addressed.","author":[{"dropping-particle":"","family":"Diaz-Muñoz","given":"Gaspar","non-dropping-particle":"","parse-names":false,"suffix":""},{"dropping-particle":"","family":"Miranda","given":"Izabel L.","non-dropping-particle":"","parse-names":false,"suffix":""},{"dropping-particle":"","family":"Sartori","given":"Suélen K.","non-dropping-particle":"","parse-names":false,"suffix":""},{"dropping-particle":"","family":"Rezende","given":"Daniele C.","non-dropping-particle":"de","parse-names":false,"suffix":""},{"dropping-particle":"","family":"Diaz","given":"Marisa A.N.","non-dropping-particle":"","parse-names":false,"suffix":""}],"container-title":"Studies in Natural Products Chemistry","id":"ITEM-1","issued":{"date-parts":[["2018"]]},"page":"313-338","title":"Anthraquinones: An Overview","type":"chapter","volume":"58"},"uris":["http://www.mendeley.com/documents/?uuid=e1a4ecb7-ce95-4723-9dc8-85ecee15903b"]}],"mendeley":{"formattedCitation":"(Diaz-Muñoz et al., 2018)","plainTextFormattedCitation":"(Diaz-Muñoz et al., 2018)","previouslyFormattedCitation":"(Diaz-Muñoz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(Diaz-Muñoz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D280C" w:rsidRPr="005250A4">
        <w:rPr>
          <w:rFonts w:ascii="Arial" w:hAnsi="Arial" w:cs="Arial"/>
          <w:color w:val="000000" w:themeColor="text1"/>
          <w:sz w:val="20"/>
          <w:szCs w:val="20"/>
          <w:lang w:val="en-US"/>
        </w:rPr>
        <w:t xml:space="preserve"> </w:t>
      </w:r>
    </w:p>
    <w:p w14:paraId="281D7238" w14:textId="77777777" w:rsidR="009C39D7" w:rsidRPr="005250A4" w:rsidRDefault="005D35EA" w:rsidP="00202D84">
      <w:pPr>
        <w:spacing w:before="24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Table </w:t>
      </w:r>
      <w:r w:rsidR="005A7E94" w:rsidRPr="005250A4">
        <w:rPr>
          <w:rFonts w:ascii="Arial" w:hAnsi="Arial" w:cs="Arial"/>
          <w:color w:val="000000" w:themeColor="text1"/>
          <w:sz w:val="20"/>
          <w:szCs w:val="20"/>
          <w:lang w:val="en-US"/>
        </w:rPr>
        <w:t>3</w:t>
      </w:r>
      <w:r w:rsidR="00B96810" w:rsidRPr="005250A4">
        <w:rPr>
          <w:rFonts w:ascii="Arial" w:hAnsi="Arial" w:cs="Arial"/>
          <w:color w:val="000000" w:themeColor="text1"/>
          <w:sz w:val="20"/>
          <w:szCs w:val="20"/>
          <w:lang w:val="en-US"/>
        </w:rPr>
        <w:t>:</w:t>
      </w:r>
      <w:r w:rsidR="004D4AFC" w:rsidRPr="005250A4">
        <w:rPr>
          <w:rFonts w:ascii="Arial" w:hAnsi="Arial" w:cs="Arial"/>
          <w:color w:val="000000" w:themeColor="text1"/>
          <w:sz w:val="20"/>
          <w:szCs w:val="20"/>
          <w:lang w:val="en-US"/>
        </w:rPr>
        <w:t xml:space="preserve"> </w:t>
      </w:r>
      <w:r w:rsidR="00464838" w:rsidRPr="005250A4">
        <w:rPr>
          <w:rFonts w:ascii="Arial" w:hAnsi="Arial" w:cs="Arial"/>
          <w:color w:val="000000" w:themeColor="text1"/>
          <w:sz w:val="20"/>
          <w:szCs w:val="20"/>
          <w:lang w:val="en-US"/>
        </w:rPr>
        <w:t xml:space="preserve">Identification of </w:t>
      </w:r>
      <w:r w:rsidR="00B33C33" w:rsidRPr="005250A4">
        <w:rPr>
          <w:rFonts w:ascii="Arial" w:hAnsi="Arial" w:cs="Arial"/>
          <w:color w:val="000000" w:themeColor="text1"/>
          <w:sz w:val="20"/>
          <w:szCs w:val="20"/>
          <w:lang w:val="en-US"/>
        </w:rPr>
        <w:t xml:space="preserve">some </w:t>
      </w:r>
      <w:r w:rsidR="00464838" w:rsidRPr="005250A4">
        <w:rPr>
          <w:rFonts w:ascii="Arial" w:hAnsi="Arial" w:cs="Arial"/>
          <w:color w:val="000000" w:themeColor="text1"/>
          <w:sz w:val="20"/>
          <w:szCs w:val="20"/>
          <w:lang w:val="en-US"/>
        </w:rPr>
        <w:t xml:space="preserve">bioactive compounds </w:t>
      </w:r>
      <w:r w:rsidR="00BE6F91" w:rsidRPr="005250A4">
        <w:rPr>
          <w:rFonts w:ascii="Arial" w:hAnsi="Arial" w:cs="Arial"/>
          <w:color w:val="000000" w:themeColor="text1"/>
          <w:sz w:val="20"/>
          <w:szCs w:val="20"/>
          <w:lang w:val="en-US"/>
        </w:rPr>
        <w:t xml:space="preserve">in the leaves </w:t>
      </w:r>
      <w:r w:rsidR="00107FF1" w:rsidRPr="005250A4">
        <w:rPr>
          <w:rFonts w:ascii="Arial" w:hAnsi="Arial" w:cs="Arial"/>
          <w:color w:val="000000" w:themeColor="text1"/>
          <w:sz w:val="20"/>
          <w:szCs w:val="20"/>
          <w:lang w:val="en-US"/>
        </w:rPr>
        <w:t xml:space="preserve">and fruit </w:t>
      </w:r>
      <w:r w:rsidR="00464838" w:rsidRPr="005250A4">
        <w:rPr>
          <w:rFonts w:ascii="Arial" w:hAnsi="Arial" w:cs="Arial"/>
          <w:color w:val="000000" w:themeColor="text1"/>
          <w:sz w:val="20"/>
          <w:szCs w:val="20"/>
          <w:lang w:val="en-US"/>
        </w:rPr>
        <w:t xml:space="preserve">powders </w:t>
      </w:r>
      <w:r w:rsidR="00107FF1" w:rsidRPr="005250A4">
        <w:rPr>
          <w:rFonts w:ascii="Arial" w:hAnsi="Arial" w:cs="Arial"/>
          <w:color w:val="000000" w:themeColor="text1"/>
          <w:sz w:val="20"/>
          <w:szCs w:val="20"/>
          <w:lang w:val="en-US"/>
        </w:rPr>
        <w:t xml:space="preserve">of </w:t>
      </w:r>
      <w:r w:rsidR="00107FF1" w:rsidRPr="005250A4">
        <w:rPr>
          <w:rFonts w:ascii="Arial" w:hAnsi="Arial" w:cs="Arial"/>
          <w:i/>
          <w:color w:val="000000" w:themeColor="text1"/>
          <w:sz w:val="20"/>
          <w:szCs w:val="20"/>
          <w:lang w:val="en-US"/>
        </w:rPr>
        <w:t xml:space="preserve">Corchorus </w:t>
      </w:r>
      <w:proofErr w:type="spellStart"/>
      <w:r w:rsidR="00107FF1" w:rsidRPr="005250A4">
        <w:rPr>
          <w:rFonts w:ascii="Arial" w:hAnsi="Arial" w:cs="Arial"/>
          <w:i/>
          <w:color w:val="000000" w:themeColor="text1"/>
          <w:sz w:val="20"/>
          <w:szCs w:val="20"/>
          <w:lang w:val="en-US"/>
        </w:rPr>
        <w:t>olitorius</w:t>
      </w:r>
      <w:proofErr w:type="spellEnd"/>
      <w:r w:rsidR="00107FF1" w:rsidRPr="005250A4">
        <w:rPr>
          <w:rFonts w:ascii="Arial" w:hAnsi="Arial" w:cs="Arial"/>
          <w:i/>
          <w:color w:val="000000" w:themeColor="text1"/>
          <w:sz w:val="20"/>
          <w:szCs w:val="20"/>
          <w:lang w:val="en-US"/>
        </w:rPr>
        <w:t xml:space="preserve"> </w:t>
      </w:r>
      <w:r w:rsidR="00107FF1" w:rsidRPr="005250A4">
        <w:rPr>
          <w:rFonts w:ascii="Arial" w:hAnsi="Arial" w:cs="Arial"/>
          <w:color w:val="000000" w:themeColor="text1"/>
          <w:sz w:val="20"/>
          <w:szCs w:val="20"/>
          <w:lang w:val="en-US"/>
        </w:rPr>
        <w:t>and</w:t>
      </w:r>
      <w:r w:rsidR="00107FF1" w:rsidRPr="005250A4">
        <w:rPr>
          <w:rFonts w:ascii="Arial" w:hAnsi="Arial" w:cs="Arial"/>
          <w:i/>
          <w:color w:val="000000" w:themeColor="text1"/>
          <w:sz w:val="20"/>
          <w:szCs w:val="20"/>
          <w:lang w:val="en-US"/>
        </w:rPr>
        <w:t xml:space="preserve"> Abelmoschus esculentus</w:t>
      </w:r>
    </w:p>
    <w:tbl>
      <w:tblPr>
        <w:tblStyle w:val="TableGrid"/>
        <w:tblW w:w="9414" w:type="dxa"/>
        <w:tblLayout w:type="fixed"/>
        <w:tblLook w:val="04A0" w:firstRow="1" w:lastRow="0" w:firstColumn="1" w:lastColumn="0" w:noHBand="0" w:noVBand="1"/>
      </w:tblPr>
      <w:tblGrid>
        <w:gridCol w:w="2359"/>
        <w:gridCol w:w="1608"/>
        <w:gridCol w:w="1738"/>
        <w:gridCol w:w="2384"/>
        <w:gridCol w:w="1325"/>
      </w:tblGrid>
      <w:tr w:rsidR="00175578" w:rsidRPr="005250A4" w14:paraId="74097FBE" w14:textId="77777777" w:rsidTr="00D934CE">
        <w:trPr>
          <w:trHeight w:val="424"/>
        </w:trPr>
        <w:tc>
          <w:tcPr>
            <w:tcW w:w="2359" w:type="dxa"/>
            <w:vMerge w:val="restart"/>
            <w:tcBorders>
              <w:left w:val="nil"/>
              <w:bottom w:val="nil"/>
              <w:right w:val="nil"/>
            </w:tcBorders>
            <w:vAlign w:val="center"/>
          </w:tcPr>
          <w:p w14:paraId="0CB3A377" w14:textId="77777777" w:rsidR="009C39D7" w:rsidRPr="005250A4" w:rsidRDefault="002029EC" w:rsidP="00F92F0D">
            <w:pPr>
              <w:rPr>
                <w:rFonts w:ascii="Arial" w:hAnsi="Arial" w:cs="Arial"/>
                <w:b/>
                <w:color w:val="000000" w:themeColor="text1"/>
                <w:sz w:val="18"/>
                <w:szCs w:val="14"/>
                <w:lang w:val="en-US"/>
              </w:rPr>
            </w:pPr>
            <w:r w:rsidRPr="005250A4">
              <w:rPr>
                <w:rFonts w:ascii="Arial" w:hAnsi="Arial" w:cs="Arial"/>
                <w:b/>
                <w:color w:val="000000" w:themeColor="text1"/>
                <w:sz w:val="18"/>
                <w:szCs w:val="14"/>
                <w:lang w:val="en-US"/>
              </w:rPr>
              <w:t xml:space="preserve">Bioactive compounds </w:t>
            </w:r>
            <w:r w:rsidR="009C39D7" w:rsidRPr="005250A4">
              <w:rPr>
                <w:rFonts w:ascii="Arial" w:hAnsi="Arial" w:cs="Arial"/>
                <w:b/>
                <w:color w:val="000000" w:themeColor="text1"/>
                <w:sz w:val="18"/>
                <w:szCs w:val="14"/>
                <w:lang w:val="en-US"/>
              </w:rPr>
              <w:t xml:space="preserve"> </w:t>
            </w:r>
          </w:p>
        </w:tc>
        <w:tc>
          <w:tcPr>
            <w:tcW w:w="3346" w:type="dxa"/>
            <w:gridSpan w:val="2"/>
            <w:tcBorders>
              <w:left w:val="nil"/>
              <w:bottom w:val="nil"/>
              <w:right w:val="nil"/>
            </w:tcBorders>
            <w:vAlign w:val="center"/>
          </w:tcPr>
          <w:p w14:paraId="6292CCE4" w14:textId="72F3BE3B" w:rsidR="009C39D7" w:rsidRPr="005250A4" w:rsidRDefault="009C39D7" w:rsidP="006853A0">
            <w:pPr>
              <w:jc w:val="center"/>
              <w:rPr>
                <w:rFonts w:ascii="Arial" w:hAnsi="Arial" w:cs="Arial"/>
                <w:color w:val="000000" w:themeColor="text1"/>
                <w:sz w:val="18"/>
                <w:szCs w:val="14"/>
              </w:rPr>
            </w:pPr>
            <w:proofErr w:type="spellStart"/>
            <w:r w:rsidRPr="005250A4">
              <w:rPr>
                <w:rFonts w:ascii="Arial" w:hAnsi="Arial" w:cs="Arial"/>
                <w:i/>
                <w:color w:val="000000" w:themeColor="text1"/>
                <w:sz w:val="18"/>
                <w:szCs w:val="14"/>
              </w:rPr>
              <w:t>Corchorus</w:t>
            </w:r>
            <w:proofErr w:type="spellEnd"/>
            <w:r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olitorius</w:t>
            </w:r>
            <w:proofErr w:type="spellEnd"/>
          </w:p>
        </w:tc>
        <w:tc>
          <w:tcPr>
            <w:tcW w:w="3708" w:type="dxa"/>
            <w:gridSpan w:val="2"/>
            <w:tcBorders>
              <w:left w:val="nil"/>
              <w:bottom w:val="nil"/>
              <w:right w:val="nil"/>
            </w:tcBorders>
            <w:vAlign w:val="center"/>
          </w:tcPr>
          <w:p w14:paraId="34CB3DA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i/>
                <w:color w:val="000000" w:themeColor="text1"/>
                <w:sz w:val="18"/>
                <w:szCs w:val="14"/>
              </w:rPr>
              <w:t xml:space="preserve"> </w:t>
            </w:r>
            <w:r w:rsidR="00107FF1"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Abelmoschus</w:t>
            </w:r>
            <w:proofErr w:type="spellEnd"/>
            <w:r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esculentus</w:t>
            </w:r>
            <w:proofErr w:type="spellEnd"/>
          </w:p>
        </w:tc>
      </w:tr>
      <w:tr w:rsidR="00175578" w:rsidRPr="005250A4" w14:paraId="6B70BD66" w14:textId="77777777" w:rsidTr="00D934CE">
        <w:trPr>
          <w:trHeight w:val="233"/>
        </w:trPr>
        <w:tc>
          <w:tcPr>
            <w:tcW w:w="2359" w:type="dxa"/>
            <w:vMerge/>
            <w:tcBorders>
              <w:top w:val="nil"/>
              <w:left w:val="nil"/>
              <w:bottom w:val="single" w:sz="4" w:space="0" w:color="auto"/>
              <w:right w:val="nil"/>
            </w:tcBorders>
            <w:vAlign w:val="center"/>
          </w:tcPr>
          <w:p w14:paraId="2B7685D3" w14:textId="77777777" w:rsidR="009C39D7" w:rsidRPr="005250A4" w:rsidRDefault="009C39D7" w:rsidP="00F92F0D">
            <w:pPr>
              <w:rPr>
                <w:rFonts w:ascii="Arial" w:hAnsi="Arial" w:cs="Arial"/>
                <w:color w:val="000000" w:themeColor="text1"/>
                <w:sz w:val="18"/>
                <w:szCs w:val="14"/>
              </w:rPr>
            </w:pPr>
          </w:p>
        </w:tc>
        <w:tc>
          <w:tcPr>
            <w:tcW w:w="1608" w:type="dxa"/>
            <w:tcBorders>
              <w:top w:val="nil"/>
              <w:left w:val="nil"/>
              <w:bottom w:val="single" w:sz="4" w:space="0" w:color="auto"/>
              <w:right w:val="nil"/>
            </w:tcBorders>
            <w:vAlign w:val="center"/>
          </w:tcPr>
          <w:p w14:paraId="7CF8B568" w14:textId="77777777" w:rsidR="009C39D7" w:rsidRPr="005250A4" w:rsidRDefault="009C39D7" w:rsidP="00F92F0D">
            <w:pPr>
              <w:jc w:val="center"/>
              <w:rPr>
                <w:rFonts w:ascii="Arial" w:hAnsi="Arial" w:cs="Arial"/>
                <w:color w:val="000000" w:themeColor="text1"/>
                <w:sz w:val="18"/>
                <w:szCs w:val="14"/>
              </w:rPr>
            </w:pPr>
            <w:proofErr w:type="spellStart"/>
            <w:r w:rsidRPr="005250A4">
              <w:rPr>
                <w:rFonts w:ascii="Arial" w:hAnsi="Arial" w:cs="Arial"/>
                <w:color w:val="000000" w:themeColor="text1"/>
                <w:sz w:val="18"/>
                <w:szCs w:val="14"/>
              </w:rPr>
              <w:t>Leave</w:t>
            </w:r>
            <w:proofErr w:type="spellEnd"/>
          </w:p>
        </w:tc>
        <w:tc>
          <w:tcPr>
            <w:tcW w:w="1737" w:type="dxa"/>
            <w:tcBorders>
              <w:top w:val="nil"/>
              <w:left w:val="nil"/>
              <w:bottom w:val="single" w:sz="4" w:space="0" w:color="auto"/>
              <w:right w:val="nil"/>
            </w:tcBorders>
            <w:vAlign w:val="center"/>
          </w:tcPr>
          <w:p w14:paraId="6C545B1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c>
          <w:tcPr>
            <w:tcW w:w="2384" w:type="dxa"/>
            <w:tcBorders>
              <w:top w:val="nil"/>
              <w:left w:val="nil"/>
              <w:bottom w:val="single" w:sz="4" w:space="0" w:color="auto"/>
              <w:right w:val="nil"/>
            </w:tcBorders>
            <w:vAlign w:val="center"/>
          </w:tcPr>
          <w:p w14:paraId="7B37EC41" w14:textId="77777777" w:rsidR="009C39D7" w:rsidRPr="005250A4" w:rsidRDefault="009C39D7" w:rsidP="00F92F0D">
            <w:pPr>
              <w:jc w:val="center"/>
              <w:rPr>
                <w:rFonts w:ascii="Arial" w:hAnsi="Arial" w:cs="Arial"/>
                <w:color w:val="000000" w:themeColor="text1"/>
                <w:sz w:val="18"/>
                <w:szCs w:val="14"/>
              </w:rPr>
            </w:pPr>
            <w:proofErr w:type="spellStart"/>
            <w:r w:rsidRPr="005250A4">
              <w:rPr>
                <w:rFonts w:ascii="Arial" w:hAnsi="Arial" w:cs="Arial"/>
                <w:color w:val="000000" w:themeColor="text1"/>
                <w:sz w:val="18"/>
                <w:szCs w:val="14"/>
              </w:rPr>
              <w:t>Leave</w:t>
            </w:r>
            <w:proofErr w:type="spellEnd"/>
          </w:p>
        </w:tc>
        <w:tc>
          <w:tcPr>
            <w:tcW w:w="1324" w:type="dxa"/>
            <w:tcBorders>
              <w:top w:val="nil"/>
              <w:left w:val="nil"/>
              <w:bottom w:val="single" w:sz="4" w:space="0" w:color="auto"/>
              <w:right w:val="nil"/>
            </w:tcBorders>
            <w:vAlign w:val="center"/>
          </w:tcPr>
          <w:p w14:paraId="2B6F648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r>
      <w:tr w:rsidR="00175578" w:rsidRPr="005250A4" w14:paraId="751F4347" w14:textId="77777777" w:rsidTr="00D934CE">
        <w:trPr>
          <w:trHeight w:val="341"/>
        </w:trPr>
        <w:tc>
          <w:tcPr>
            <w:tcW w:w="2359" w:type="dxa"/>
            <w:tcBorders>
              <w:top w:val="single" w:sz="4" w:space="0" w:color="auto"/>
              <w:left w:val="nil"/>
              <w:bottom w:val="nil"/>
              <w:right w:val="nil"/>
            </w:tcBorders>
            <w:vAlign w:val="center"/>
          </w:tcPr>
          <w:p w14:paraId="5F1EE5E4" w14:textId="77777777" w:rsidR="009C39D7" w:rsidRPr="005250A4" w:rsidRDefault="00FC5D03" w:rsidP="004D4AFC">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Alcaloïd</w:t>
            </w:r>
            <w:r w:rsidR="009C39D7" w:rsidRPr="005250A4">
              <w:rPr>
                <w:rFonts w:ascii="Arial" w:hAnsi="Arial" w:cs="Arial"/>
                <w:color w:val="000000" w:themeColor="text1"/>
                <w:sz w:val="18"/>
                <w:szCs w:val="14"/>
              </w:rPr>
              <w:t>s</w:t>
            </w:r>
            <w:proofErr w:type="spellEnd"/>
          </w:p>
        </w:tc>
        <w:tc>
          <w:tcPr>
            <w:tcW w:w="1608" w:type="dxa"/>
            <w:tcBorders>
              <w:top w:val="single" w:sz="4" w:space="0" w:color="auto"/>
              <w:left w:val="nil"/>
              <w:bottom w:val="nil"/>
              <w:right w:val="nil"/>
            </w:tcBorders>
            <w:vAlign w:val="center"/>
          </w:tcPr>
          <w:p w14:paraId="3F665523"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737" w:type="dxa"/>
            <w:tcBorders>
              <w:top w:val="single" w:sz="4" w:space="0" w:color="auto"/>
              <w:left w:val="nil"/>
              <w:bottom w:val="nil"/>
              <w:right w:val="nil"/>
            </w:tcBorders>
            <w:vAlign w:val="center"/>
          </w:tcPr>
          <w:p w14:paraId="53DCFC7A"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2384" w:type="dxa"/>
            <w:tcBorders>
              <w:top w:val="single" w:sz="4" w:space="0" w:color="auto"/>
              <w:left w:val="nil"/>
              <w:bottom w:val="nil"/>
              <w:right w:val="nil"/>
            </w:tcBorders>
            <w:vAlign w:val="center"/>
          </w:tcPr>
          <w:p w14:paraId="5FCEA936"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324" w:type="dxa"/>
            <w:tcBorders>
              <w:top w:val="single" w:sz="4" w:space="0" w:color="auto"/>
              <w:left w:val="nil"/>
              <w:bottom w:val="nil"/>
              <w:right w:val="nil"/>
            </w:tcBorders>
            <w:vAlign w:val="center"/>
          </w:tcPr>
          <w:p w14:paraId="163E751B"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r>
      <w:tr w:rsidR="00175578" w:rsidRPr="005250A4" w14:paraId="371807F2" w14:textId="77777777" w:rsidTr="00D934CE">
        <w:trPr>
          <w:trHeight w:val="487"/>
        </w:trPr>
        <w:tc>
          <w:tcPr>
            <w:tcW w:w="2359" w:type="dxa"/>
            <w:tcBorders>
              <w:top w:val="nil"/>
              <w:left w:val="nil"/>
              <w:bottom w:val="nil"/>
              <w:right w:val="nil"/>
            </w:tcBorders>
            <w:vAlign w:val="center"/>
          </w:tcPr>
          <w:p w14:paraId="4B64FD05" w14:textId="77777777" w:rsidR="009C39D7" w:rsidRPr="005250A4" w:rsidRDefault="00FC5D03" w:rsidP="009C39D7">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Polyphe</w:t>
            </w:r>
            <w:r w:rsidR="009C39D7" w:rsidRPr="005250A4">
              <w:rPr>
                <w:rFonts w:ascii="Arial" w:hAnsi="Arial" w:cs="Arial"/>
                <w:color w:val="000000" w:themeColor="text1"/>
                <w:sz w:val="18"/>
                <w:szCs w:val="14"/>
              </w:rPr>
              <w:t>nols</w:t>
            </w:r>
            <w:proofErr w:type="spellEnd"/>
          </w:p>
        </w:tc>
        <w:tc>
          <w:tcPr>
            <w:tcW w:w="1608" w:type="dxa"/>
            <w:tcBorders>
              <w:top w:val="nil"/>
              <w:left w:val="nil"/>
              <w:bottom w:val="nil"/>
              <w:right w:val="nil"/>
            </w:tcBorders>
            <w:vAlign w:val="center"/>
          </w:tcPr>
          <w:p w14:paraId="7C4B76F7" w14:textId="77777777" w:rsidR="009C39D7" w:rsidRPr="005250A4" w:rsidRDefault="004D4AFC"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737" w:type="dxa"/>
            <w:tcBorders>
              <w:top w:val="nil"/>
              <w:left w:val="nil"/>
              <w:bottom w:val="nil"/>
              <w:right w:val="nil"/>
            </w:tcBorders>
            <w:vAlign w:val="center"/>
          </w:tcPr>
          <w:p w14:paraId="761FCCE0"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2384" w:type="dxa"/>
            <w:tcBorders>
              <w:top w:val="nil"/>
              <w:left w:val="nil"/>
              <w:bottom w:val="nil"/>
              <w:right w:val="nil"/>
            </w:tcBorders>
            <w:vAlign w:val="center"/>
          </w:tcPr>
          <w:p w14:paraId="3D03A3FD"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324" w:type="dxa"/>
            <w:tcBorders>
              <w:top w:val="nil"/>
              <w:left w:val="nil"/>
              <w:bottom w:val="nil"/>
              <w:right w:val="nil"/>
            </w:tcBorders>
            <w:vAlign w:val="center"/>
          </w:tcPr>
          <w:p w14:paraId="4FB6E911"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r>
      <w:tr w:rsidR="00175578" w:rsidRPr="005250A4" w14:paraId="3729DF24" w14:textId="77777777" w:rsidTr="00D934CE">
        <w:trPr>
          <w:trHeight w:val="487"/>
        </w:trPr>
        <w:tc>
          <w:tcPr>
            <w:tcW w:w="2359" w:type="dxa"/>
            <w:tcBorders>
              <w:top w:val="nil"/>
              <w:left w:val="nil"/>
              <w:bottom w:val="nil"/>
              <w:right w:val="nil"/>
            </w:tcBorders>
            <w:vAlign w:val="center"/>
          </w:tcPr>
          <w:p w14:paraId="2FF58F6E"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Flavonoïds</w:t>
            </w:r>
            <w:proofErr w:type="spellEnd"/>
          </w:p>
        </w:tc>
        <w:tc>
          <w:tcPr>
            <w:tcW w:w="1608" w:type="dxa"/>
            <w:tcBorders>
              <w:top w:val="nil"/>
              <w:left w:val="nil"/>
              <w:bottom w:val="nil"/>
              <w:right w:val="nil"/>
            </w:tcBorders>
            <w:vAlign w:val="center"/>
          </w:tcPr>
          <w:p w14:paraId="7A8C317E"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F53BA5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A216AE8"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6F0F407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58632CB" w14:textId="77777777" w:rsidTr="00D934CE">
        <w:trPr>
          <w:trHeight w:val="441"/>
        </w:trPr>
        <w:tc>
          <w:tcPr>
            <w:tcW w:w="2359" w:type="dxa"/>
            <w:tcBorders>
              <w:top w:val="nil"/>
              <w:left w:val="nil"/>
              <w:bottom w:val="nil"/>
              <w:right w:val="nil"/>
            </w:tcBorders>
            <w:vAlign w:val="center"/>
          </w:tcPr>
          <w:p w14:paraId="5C6238ED"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Tan</w:t>
            </w:r>
            <w:r w:rsidR="00D02BAE" w:rsidRPr="005250A4">
              <w:rPr>
                <w:rFonts w:ascii="Arial" w:hAnsi="Arial" w:cs="Arial"/>
                <w:color w:val="000000" w:themeColor="text1"/>
                <w:sz w:val="18"/>
                <w:szCs w:val="14"/>
              </w:rPr>
              <w:t>n</w:t>
            </w:r>
            <w:r w:rsidRPr="005250A4">
              <w:rPr>
                <w:rFonts w:ascii="Arial" w:hAnsi="Arial" w:cs="Arial"/>
                <w:color w:val="000000" w:themeColor="text1"/>
                <w:sz w:val="18"/>
                <w:szCs w:val="14"/>
              </w:rPr>
              <w:t>ins</w:t>
            </w:r>
          </w:p>
        </w:tc>
        <w:tc>
          <w:tcPr>
            <w:tcW w:w="1608" w:type="dxa"/>
            <w:tcBorders>
              <w:top w:val="nil"/>
              <w:left w:val="nil"/>
              <w:bottom w:val="nil"/>
              <w:right w:val="nil"/>
            </w:tcBorders>
            <w:vAlign w:val="center"/>
          </w:tcPr>
          <w:p w14:paraId="3F2EB590"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7DF82A81"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348384DC"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48CB846"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6FFDFD3E" w14:textId="77777777" w:rsidTr="00D934CE">
        <w:trPr>
          <w:trHeight w:val="456"/>
        </w:trPr>
        <w:tc>
          <w:tcPr>
            <w:tcW w:w="2359" w:type="dxa"/>
            <w:tcBorders>
              <w:top w:val="nil"/>
              <w:left w:val="nil"/>
              <w:bottom w:val="nil"/>
              <w:right w:val="nil"/>
            </w:tcBorders>
            <w:vAlign w:val="center"/>
          </w:tcPr>
          <w:p w14:paraId="585755A9"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Stérols</w:t>
            </w:r>
          </w:p>
        </w:tc>
        <w:tc>
          <w:tcPr>
            <w:tcW w:w="1608" w:type="dxa"/>
            <w:tcBorders>
              <w:top w:val="nil"/>
              <w:left w:val="nil"/>
              <w:bottom w:val="nil"/>
              <w:right w:val="nil"/>
            </w:tcBorders>
            <w:vAlign w:val="center"/>
          </w:tcPr>
          <w:p w14:paraId="297E0BE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39BC97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6A8D335F"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45F8AC7C"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975DFB8" w14:textId="77777777" w:rsidTr="00D934CE">
        <w:trPr>
          <w:trHeight w:val="456"/>
        </w:trPr>
        <w:tc>
          <w:tcPr>
            <w:tcW w:w="2359" w:type="dxa"/>
            <w:tcBorders>
              <w:top w:val="nil"/>
              <w:left w:val="nil"/>
              <w:bottom w:val="nil"/>
              <w:right w:val="nil"/>
            </w:tcBorders>
            <w:vAlign w:val="center"/>
          </w:tcPr>
          <w:p w14:paraId="7DE91873"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Triterpèn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725BE76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AC8CBA8"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1439CE4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08AABF3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97FE707" w14:textId="77777777" w:rsidTr="00D934CE">
        <w:trPr>
          <w:trHeight w:val="456"/>
        </w:trPr>
        <w:tc>
          <w:tcPr>
            <w:tcW w:w="2359" w:type="dxa"/>
            <w:tcBorders>
              <w:top w:val="nil"/>
              <w:left w:val="nil"/>
              <w:bottom w:val="nil"/>
              <w:right w:val="nil"/>
            </w:tcBorders>
            <w:vAlign w:val="center"/>
          </w:tcPr>
          <w:p w14:paraId="5A1467AA"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Saponin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5BD9CC1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D772D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02B9C52"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5418E116"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2D047B2" w14:textId="77777777" w:rsidTr="00D934CE">
        <w:trPr>
          <w:trHeight w:val="416"/>
        </w:trPr>
        <w:tc>
          <w:tcPr>
            <w:tcW w:w="2359" w:type="dxa"/>
            <w:tcBorders>
              <w:top w:val="nil"/>
              <w:left w:val="nil"/>
              <w:bottom w:val="nil"/>
              <w:right w:val="nil"/>
            </w:tcBorders>
            <w:vAlign w:val="center"/>
          </w:tcPr>
          <w:p w14:paraId="1ACECFD0" w14:textId="77777777" w:rsidR="002029EC" w:rsidRPr="005250A4" w:rsidRDefault="00FC5D03" w:rsidP="002029EC">
            <w:pPr>
              <w:rPr>
                <w:rFonts w:ascii="Arial" w:hAnsi="Arial" w:cs="Arial"/>
                <w:color w:val="000000" w:themeColor="text1"/>
                <w:sz w:val="18"/>
                <w:szCs w:val="14"/>
              </w:rPr>
            </w:pPr>
            <w:r w:rsidRPr="005250A4">
              <w:rPr>
                <w:rFonts w:ascii="Arial" w:hAnsi="Arial" w:cs="Arial"/>
                <w:color w:val="000000" w:themeColor="text1"/>
                <w:sz w:val="18"/>
                <w:szCs w:val="14"/>
              </w:rPr>
              <w:t>Quinone</w:t>
            </w:r>
            <w:r w:rsidR="002029EC" w:rsidRPr="005250A4">
              <w:rPr>
                <w:rFonts w:ascii="Arial" w:hAnsi="Arial" w:cs="Arial"/>
                <w:color w:val="000000" w:themeColor="text1"/>
                <w:sz w:val="18"/>
                <w:szCs w:val="14"/>
              </w:rPr>
              <w:t>s</w:t>
            </w:r>
          </w:p>
        </w:tc>
        <w:tc>
          <w:tcPr>
            <w:tcW w:w="1608" w:type="dxa"/>
            <w:tcBorders>
              <w:top w:val="nil"/>
              <w:left w:val="nil"/>
              <w:bottom w:val="nil"/>
              <w:right w:val="nil"/>
            </w:tcBorders>
            <w:vAlign w:val="center"/>
          </w:tcPr>
          <w:p w14:paraId="0B0710F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29239D1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564F4E41"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B7A02F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4FCD30CC" w14:textId="77777777" w:rsidTr="00D934CE">
        <w:trPr>
          <w:trHeight w:val="456"/>
        </w:trPr>
        <w:tc>
          <w:tcPr>
            <w:tcW w:w="2359" w:type="dxa"/>
            <w:tcBorders>
              <w:top w:val="nil"/>
              <w:left w:val="nil"/>
              <w:bottom w:val="single" w:sz="4" w:space="0" w:color="auto"/>
              <w:right w:val="nil"/>
            </w:tcBorders>
            <w:vAlign w:val="center"/>
          </w:tcPr>
          <w:p w14:paraId="1B5B5793"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Anthraquinones</w:t>
            </w:r>
          </w:p>
        </w:tc>
        <w:tc>
          <w:tcPr>
            <w:tcW w:w="1608" w:type="dxa"/>
            <w:tcBorders>
              <w:top w:val="nil"/>
              <w:left w:val="nil"/>
              <w:bottom w:val="single" w:sz="4" w:space="0" w:color="auto"/>
              <w:right w:val="nil"/>
            </w:tcBorders>
            <w:vAlign w:val="center"/>
          </w:tcPr>
          <w:p w14:paraId="1A3B6910"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single" w:sz="4" w:space="0" w:color="auto"/>
              <w:right w:val="nil"/>
            </w:tcBorders>
            <w:vAlign w:val="center"/>
          </w:tcPr>
          <w:p w14:paraId="743A494D"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single" w:sz="4" w:space="0" w:color="auto"/>
              <w:right w:val="nil"/>
            </w:tcBorders>
            <w:vAlign w:val="center"/>
          </w:tcPr>
          <w:p w14:paraId="7B1AFB8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single" w:sz="4" w:space="0" w:color="auto"/>
              <w:right w:val="nil"/>
            </w:tcBorders>
            <w:vAlign w:val="center"/>
          </w:tcPr>
          <w:p w14:paraId="5530E4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A65703" w14:paraId="619D1CDA" w14:textId="77777777" w:rsidTr="00D934CE">
        <w:trPr>
          <w:trHeight w:val="301"/>
        </w:trPr>
        <w:tc>
          <w:tcPr>
            <w:tcW w:w="9414" w:type="dxa"/>
            <w:gridSpan w:val="5"/>
            <w:tcBorders>
              <w:top w:val="single" w:sz="4" w:space="0" w:color="auto"/>
              <w:left w:val="nil"/>
              <w:bottom w:val="nil"/>
              <w:right w:val="nil"/>
            </w:tcBorders>
            <w:vAlign w:val="center"/>
          </w:tcPr>
          <w:p w14:paraId="0DD5E41E" w14:textId="77777777" w:rsidR="002029EC" w:rsidRPr="005250A4" w:rsidRDefault="002029EC" w:rsidP="002029EC">
            <w:pPr>
              <w:rPr>
                <w:rFonts w:ascii="Arial" w:eastAsia="Times New Roman" w:hAnsi="Arial" w:cs="Arial"/>
                <w:color w:val="000000" w:themeColor="text1"/>
                <w:sz w:val="18"/>
                <w:szCs w:val="14"/>
                <w:lang w:val="en-US" w:eastAsia="fr-FR"/>
              </w:rPr>
            </w:pP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Absence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Presence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Mean </w:t>
            </w:r>
            <w:proofErr w:type="gramStart"/>
            <w:r w:rsidRPr="005250A4">
              <w:rPr>
                <w:rFonts w:ascii="Arial" w:eastAsia="Times New Roman" w:hAnsi="Arial" w:cs="Arial"/>
                <w:color w:val="000000" w:themeColor="text1"/>
                <w:sz w:val="18"/>
                <w:szCs w:val="14"/>
                <w:lang w:val="en-US" w:eastAsia="fr-FR"/>
              </w:rPr>
              <w:t>presence ;</w:t>
            </w:r>
            <w:proofErr w:type="gramEnd"/>
            <w:r w:rsidRPr="005250A4">
              <w:rPr>
                <w:rFonts w:ascii="Arial" w:eastAsia="Times New Roman" w:hAnsi="Arial" w:cs="Arial"/>
                <w:color w:val="000000" w:themeColor="text1"/>
                <w:sz w:val="18"/>
                <w:szCs w:val="14"/>
                <w:lang w:val="en-US" w:eastAsia="fr-FR"/>
              </w:rPr>
              <w:t xml:space="preserv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High presence; +++</w:t>
            </w:r>
            <w:proofErr w:type="gramStart"/>
            <w:r w:rsidRPr="005250A4">
              <w:rPr>
                <w:rFonts w:ascii="Arial" w:eastAsia="Times New Roman" w:hAnsi="Arial" w:cs="Arial"/>
                <w:color w:val="000000" w:themeColor="text1"/>
                <w:sz w:val="18"/>
                <w:szCs w:val="14"/>
                <w:lang w:val="en-US" w:eastAsia="fr-FR"/>
              </w:rPr>
              <w:t>+ :</w:t>
            </w:r>
            <w:proofErr w:type="gramEnd"/>
            <w:r w:rsidRPr="005250A4">
              <w:rPr>
                <w:rFonts w:ascii="Arial" w:eastAsia="Times New Roman" w:hAnsi="Arial" w:cs="Arial"/>
                <w:color w:val="000000" w:themeColor="text1"/>
                <w:sz w:val="18"/>
                <w:szCs w:val="14"/>
                <w:lang w:val="en-US" w:eastAsia="fr-FR"/>
              </w:rPr>
              <w:t xml:space="preserve"> Higher presence</w:t>
            </w:r>
          </w:p>
        </w:tc>
      </w:tr>
    </w:tbl>
    <w:p w14:paraId="1339F8DB" w14:textId="1B593D27" w:rsidR="00006337" w:rsidRPr="00006337" w:rsidRDefault="00006337" w:rsidP="00006337">
      <w:pPr>
        <w:pStyle w:val="ListParagraph"/>
        <w:spacing w:before="240"/>
        <w:ind w:left="567"/>
        <w:rPr>
          <w:rFonts w:ascii="Arial" w:hAnsi="Arial" w:cs="Arial"/>
          <w:b/>
          <w:color w:val="000000" w:themeColor="text1"/>
          <w:sz w:val="20"/>
          <w:szCs w:val="20"/>
          <w:lang w:val="en-US"/>
        </w:rPr>
      </w:pPr>
    </w:p>
    <w:p w14:paraId="09C7584F" w14:textId="6C40F669" w:rsidR="00994318" w:rsidRPr="005250A4" w:rsidRDefault="005233D4" w:rsidP="00B17ABC">
      <w:pPr>
        <w:pStyle w:val="ListParagraph"/>
        <w:numPr>
          <w:ilvl w:val="2"/>
          <w:numId w:val="7"/>
        </w:numPr>
        <w:spacing w:before="240"/>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shd w:val="clear" w:color="auto" w:fill="FFFFFF"/>
          <w:lang w:val="en-US"/>
        </w:rPr>
        <w:t>Quantification of polyphenols, flavonoids, and condensed tannins</w:t>
      </w:r>
    </w:p>
    <w:p w14:paraId="3F9385C6" w14:textId="77777777" w:rsidR="009F47DF" w:rsidRPr="005250A4" w:rsidRDefault="009F47DF" w:rsidP="009F47DF">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bioactive compounds identified in the leaves and fruits of </w:t>
      </w:r>
      <w:r w:rsidRPr="005250A4">
        <w:rPr>
          <w:rStyle w:val="Emphasis"/>
          <w:rFonts w:ascii="Arial" w:hAnsi="Arial" w:cs="Arial"/>
          <w:color w:val="000000" w:themeColor="text1"/>
          <w:sz w:val="20"/>
          <w:szCs w:val="20"/>
          <w:lang w:val="en-US"/>
        </w:rPr>
        <w:t xml:space="preserve">Corchorus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r w:rsidRPr="005250A4">
        <w:rPr>
          <w:rStyle w:val="Emphasis"/>
          <w:rFonts w:ascii="Arial" w:hAnsi="Arial" w:cs="Arial"/>
          <w:color w:val="000000" w:themeColor="text1"/>
          <w:sz w:val="20"/>
          <w:szCs w:val="20"/>
          <w:lang w:val="en-US"/>
        </w:rPr>
        <w:t>Abelmoschus esculentus</w:t>
      </w:r>
      <w:r w:rsidRPr="005250A4">
        <w:rPr>
          <w:rFonts w:ascii="Arial" w:hAnsi="Arial" w:cs="Arial"/>
          <w:color w:val="000000" w:themeColor="text1"/>
          <w:sz w:val="20"/>
          <w:szCs w:val="20"/>
          <w:lang w:val="en-US"/>
        </w:rPr>
        <w:t>, as presented in Table 3, allowed for qualitative identification of the most abundant compounds, including polyphenols, flavonoids, and tannins. The content</w:t>
      </w:r>
      <w:r w:rsidR="00540AE8"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of these three compounds w</w:t>
      </w:r>
      <w:r w:rsidR="00540AE8" w:rsidRPr="005250A4">
        <w:rPr>
          <w:rFonts w:ascii="Arial" w:hAnsi="Arial" w:cs="Arial"/>
          <w:color w:val="000000" w:themeColor="text1"/>
          <w:sz w:val="20"/>
          <w:szCs w:val="20"/>
          <w:lang w:val="en-US"/>
        </w:rPr>
        <w:t>ere</w:t>
      </w:r>
      <w:r w:rsidRPr="005250A4">
        <w:rPr>
          <w:rFonts w:ascii="Arial" w:hAnsi="Arial" w:cs="Arial"/>
          <w:color w:val="000000" w:themeColor="text1"/>
          <w:sz w:val="20"/>
          <w:szCs w:val="20"/>
          <w:lang w:val="en-US"/>
        </w:rPr>
        <w:t xml:space="preserve"> determined and </w:t>
      </w:r>
      <w:r w:rsidR="00540AE8"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presented in Table 4. Regardless of the studied organ, the total polyphenol content ranged from 4.28 ± 0.10 to 240.10 ± 1.99 mg GAE/g DM;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total flavonoid content ranged from 0.22 ± 0.01 to 15.03 ± 0.97 mg QE/g DM; and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condensed tannin content ranged from 0.15 ± 0.02 to 25.10 ± 1.05 mg CE/g DM.</w:t>
      </w:r>
    </w:p>
    <w:p w14:paraId="5AAC8F3B" w14:textId="6AE62223" w:rsidR="00E46855" w:rsidRPr="005250A4" w:rsidRDefault="009F47DF" w:rsidP="00130670">
      <w:pPr>
        <w:pStyle w:val="NormalWeb"/>
        <w:spacing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Notably, the leaf powders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0008421F" w:rsidRPr="005250A4">
        <w:rPr>
          <w:rFonts w:ascii="Arial" w:hAnsi="Arial" w:cs="Arial"/>
          <w:color w:val="000000" w:themeColor="text1"/>
          <w:sz w:val="20"/>
          <w:szCs w:val="20"/>
          <w:lang w:val="en-US"/>
        </w:rPr>
        <w:t xml:space="preserve"> exhibited the highest content</w:t>
      </w:r>
      <w:r w:rsidRPr="005250A4">
        <w:rPr>
          <w:rFonts w:ascii="Arial" w:hAnsi="Arial" w:cs="Arial"/>
          <w:color w:val="000000" w:themeColor="text1"/>
          <w:sz w:val="20"/>
          <w:szCs w:val="20"/>
          <w:lang w:val="en-US"/>
        </w:rPr>
        <w:t xml:space="preserve">s of total polyphenols (240.10 ± 1.99 mg GAE/g DM) and condensed tannins (25.10 ± 1.05 mg CE/g DM). These values were nearly similar </w:t>
      </w:r>
      <w:r w:rsidR="0008421F" w:rsidRPr="005250A4">
        <w:rPr>
          <w:rFonts w:ascii="Arial" w:hAnsi="Arial" w:cs="Arial"/>
          <w:color w:val="000000" w:themeColor="text1"/>
          <w:sz w:val="20"/>
          <w:szCs w:val="20"/>
          <w:lang w:val="en-US"/>
        </w:rPr>
        <w:t xml:space="preserve">(total polyphenols: 244.18 mg GAE/g DM) and lower (condensed tannins: 95.08 mg CE/g DM)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{"citationItems":[{"id":"ITEM-1","itemData":{"DOI":"10.1016/j.foodchem.2012.10.052","ISSN":"03088146","PMID":"23411207","abstract":"Corchorus olitorius L. is grown in Taiwan during summer. Tender leaves are crushed and washed by running water before eating. Five fractions including crude phenolic extracts (using 80 per cent aqueous acetone) of whole plant, leaf, stem, washed leaf (WL) and dried water washing material (WW) were used in this study. Linoleic acid autoxidation inhibitions on all fractions were higher than that on α-tocopherol. Except for WL and WW, other fractions also showed DPPH radical scavenging efficiency. The effect of all fractions on the regulation of inflammatory responses in lipopolysaccharide (LPS)-stimulated J774A.1 macrophage cells was investigated. All fractions diminished LPS-induced protein expression of inducible nitric oxide synthase (iNOS) and cyclooxygenase 2 (COX-2). Nitric oxide (NO) and prostaglandin E2 (PGE2), downstream products, were also suppressed in dose-dependent manners, except for WL and WW. Oxidative modification and loss of leaf phenolics after kneading and washing greatly affected DPPH radical scavenging and inflammatory responses. © 2012 Elsevier Ltd. All rights reserved.","author":[{"dropping-particle":"","family":"Yan","given":"Yeong Yu","non-dropping-particle":"","parse-names":false,"suffix":""},{"dropping-particle":"","family":"Wang","given":"Yue Wen","non-dropping-particle":"","parse-names":false,"suffix":""},{"dropping-particle":"","family":"Chen","given":"Su Lin","non-dropping-particle":"","parse-names":false,"suffix":""},{"dropping-particle":"","family":"Zhuang","given":"Shu Ru","non-dropping-particle":"","parse-names":false,"suffix":""},{"dropping-particle":"","family":"Wang","given":"Chin Kun","non-dropping-particle":"","parse-names":false,"suffix":""}],"container-title":"Food Chemistry","id":"ITEM-1","issue":"2-3","issued":{"date-parts":[["2013"]]},"page":"1008-1014","title":"Anti-inflammatory effects of phenolic crude extracts from five fractions of Corchorus Olitorius L.","type":"article-journal","volume":"138"},"uris":["http://www.mendeley.com/documents/?uuid=ab3f68c6-7b0b-4b33-b28d-29fcb24331fc"]}],"mendeley":{"formattedCitation":"(Yan et al., 2013)","manualFormatting":"Yan et al. (2013)","plainTextFormattedCitation":"(Yan et al., 2013)","previouslyFormattedCitation":"(Yan et al., 2013)"},"properties":{"noteIndex":0},"schema":"https://github.com/citation-style-language/schema/raw/master/csl-citation.json"}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Yan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2013)</w:t>
      </w:r>
      <w:r w:rsidR="00425F62" w:rsidRPr="005250A4">
        <w:rPr>
          <w:rFonts w:ascii="Arial" w:hAnsi="Arial" w:cs="Arial"/>
          <w:color w:val="000000" w:themeColor="text1"/>
          <w:sz w:val="20"/>
          <w:szCs w:val="20"/>
          <w:lang w:val="en-US"/>
        </w:rPr>
        <w:fldChar w:fldCharType="end"/>
      </w:r>
      <w:r w:rsidR="00425F62"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w:t>
      </w:r>
      <w:r w:rsidR="0008421F"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Compared to other leafy vegetables such as </w:t>
      </w:r>
      <w:r w:rsidRPr="005250A4">
        <w:rPr>
          <w:rStyle w:val="Emphasis"/>
          <w:rFonts w:ascii="Arial" w:hAnsi="Arial" w:cs="Arial"/>
          <w:color w:val="000000" w:themeColor="text1"/>
          <w:sz w:val="20"/>
          <w:szCs w:val="20"/>
          <w:lang w:val="en-US"/>
        </w:rPr>
        <w:t xml:space="preserve">Solanum </w:t>
      </w:r>
      <w:proofErr w:type="spellStart"/>
      <w:r w:rsidRPr="005250A4">
        <w:rPr>
          <w:rStyle w:val="Emphasis"/>
          <w:rFonts w:ascii="Arial" w:hAnsi="Arial" w:cs="Arial"/>
          <w:color w:val="000000" w:themeColor="text1"/>
          <w:sz w:val="20"/>
          <w:szCs w:val="20"/>
          <w:lang w:val="en-US"/>
        </w:rPr>
        <w:t>torvum</w:t>
      </w:r>
      <w:proofErr w:type="spellEnd"/>
      <w:r w:rsidRPr="005250A4">
        <w:rPr>
          <w:rFonts w:ascii="Arial" w:hAnsi="Arial" w:cs="Arial"/>
          <w:color w:val="000000" w:themeColor="text1"/>
          <w:sz w:val="20"/>
          <w:szCs w:val="20"/>
          <w:lang w:val="en-US"/>
        </w:rPr>
        <w:t xml:space="preserve">, these results were significantly higher (polyphenols: 43.63 mg GAE/g DM; </w:t>
      </w:r>
      <w:r w:rsidRPr="005250A4">
        <w:rPr>
          <w:rFonts w:ascii="Arial" w:hAnsi="Arial" w:cs="Arial"/>
          <w:color w:val="000000" w:themeColor="text1"/>
          <w:sz w:val="20"/>
          <w:szCs w:val="20"/>
          <w:lang w:val="en-US"/>
        </w:rPr>
        <w:lastRenderedPageBreak/>
        <w:t>condensed tannins: 17.73 mg CE/g DM) than 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2024)</w:t>
      </w:r>
      <w:r w:rsidR="00425F62"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Additionally, the fruit powders of </w:t>
      </w:r>
      <w:r w:rsidRPr="005250A4">
        <w:rPr>
          <w:rStyle w:val="Emphasis"/>
          <w:rFonts w:ascii="Arial" w:hAnsi="Arial" w:cs="Arial"/>
          <w:color w:val="000000" w:themeColor="text1"/>
          <w:sz w:val="20"/>
          <w:szCs w:val="20"/>
          <w:lang w:val="en-US"/>
        </w:rPr>
        <w:t>A. esculentus</w:t>
      </w:r>
      <w:r w:rsidR="0008421F" w:rsidRPr="005250A4">
        <w:rPr>
          <w:rFonts w:ascii="Arial" w:hAnsi="Arial" w:cs="Arial"/>
          <w:color w:val="000000" w:themeColor="text1"/>
          <w:sz w:val="20"/>
          <w:szCs w:val="20"/>
          <w:lang w:val="en-US"/>
        </w:rPr>
        <w:t xml:space="preserve"> exhibited the highes</w:t>
      </w:r>
      <w:r w:rsidR="00C50244" w:rsidRPr="005250A4">
        <w:rPr>
          <w:rFonts w:ascii="Arial" w:hAnsi="Arial" w:cs="Arial"/>
          <w:color w:val="000000" w:themeColor="text1"/>
          <w:sz w:val="20"/>
          <w:szCs w:val="20"/>
          <w:lang w:val="en-US"/>
        </w:rPr>
        <w:t xml:space="preserve">t </w:t>
      </w:r>
      <w:r w:rsidRPr="005250A4">
        <w:rPr>
          <w:rFonts w:ascii="Arial" w:hAnsi="Arial" w:cs="Arial"/>
          <w:color w:val="000000" w:themeColor="text1"/>
          <w:sz w:val="20"/>
          <w:szCs w:val="20"/>
          <w:lang w:val="en-US"/>
        </w:rPr>
        <w:t>total flavonoids</w:t>
      </w:r>
      <w:r w:rsidR="00C50244" w:rsidRPr="005250A4">
        <w:rPr>
          <w:rFonts w:ascii="Arial" w:hAnsi="Arial" w:cs="Arial"/>
          <w:color w:val="000000" w:themeColor="text1"/>
          <w:sz w:val="20"/>
          <w:szCs w:val="20"/>
          <w:lang w:val="en-US"/>
        </w:rPr>
        <w:t xml:space="preserve"> content</w:t>
      </w:r>
      <w:r w:rsidRPr="005250A4">
        <w:rPr>
          <w:rFonts w:ascii="Arial" w:hAnsi="Arial" w:cs="Arial"/>
          <w:color w:val="000000" w:themeColor="text1"/>
          <w:sz w:val="20"/>
          <w:szCs w:val="20"/>
          <w:lang w:val="en-US"/>
        </w:rPr>
        <w:t xml:space="preserve"> (15.03 ± 0.97 mg QE/g DM), surpassing the value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DE04E6">
        <w:rPr>
          <w:rFonts w:ascii="Arial" w:hAnsi="Arial" w:cs="Arial"/>
          <w:color w:val="000000" w:themeColor="text1"/>
          <w:sz w:val="20"/>
          <w:szCs w:val="20"/>
          <w:lang w:val="en-US"/>
        </w:rPr>
        <w:instrText>ADDIN CSL_CITATION {"citationItems":[{"id":"ITEM-1","itemData":{"DOI":"10.1016/j.foodchem.2021.129437","ISSN":"18737072","PMID":"33744662","abstract":"Polysaccharides have been isolated from okra pods (Abelmoschus esculentus), with little focus on the leaves. This study characterized a water-soluble polysaccharide isolated from okra leaves (OLP), and investigated its functional properties, for their potential applications. FT-IR and NMR spectroscopy were used to describe structural characteristics and the influence on functional properties was examined. The result revealed OLP as a low-molecular-weight polysaccharide (26.9 × 103 g/mol−1) consisting of galactose (~54 mol%), galacturonic acid (~29 mol%), rhamnose (~9mol%) and arabinose (~5mol%) as the primary sugars, and rhamnogalacturonan-I as the predominant structural unit. OLP was found to be an extensively-branched, highly acetylated, and unmethylated polysaccharide. OLP exhibited non-Newtonian flow behavior and showed comparable or superior functional properties such as thermal stability and emulsifying capacity, and higher antioxidant capacity than polysaccharide previously obtained from okra pods. This study presents a means of utilizing okra leaves as a new polysaccharide source, with potential applications in food-related industries.","author":[{"dropping-particle":"","family":"Olawuyi","given":"Ibukunoluwa Fola","non-dropping-particle":"","parse-names":false,"suffix":""},{"dropping-particle":"","family":"Lee","given":"Won Young","non-dropping-particle":"","parse-names":false,"suffix":""}],"container-title":"Food Chemistry","id":"ITEM-1","issue":"September 2020","issued":{"date-parts":[["2021"]]},"page":"129437","publisher":"Elsevier Ltd","title":"Structural characterization, functional properties and antioxidant activities of polysaccharide extract obtained from okra leaves (Abelmoschus esculentus)","type":"article-journal","volume":"354"},"uris":["http://www.mendeley.com/documents/?uuid=76ffffdd-9424-45e3-ab70-ed128fdf2917"]}],"mendeley":{"formattedCitation":"(Olawuyi &amp; Lee, 2021)","manualFormatting":"Olawuyi &amp; Lee (2021)","plainTextFormattedCitation":"(Olawuyi &amp; Lee, 2021)","previouslyFormattedCitation":"(Olawuyi &amp; Lee, 2021)"},"properties":{"noteIndex":0},"schema":"https://github.com/citation-style-language/schema/raw/master/csl-citation.json"}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Olawuyi &amp; Lee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2021)</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(4.10 mg RE/g DM). </w:t>
      </w:r>
      <w:r w:rsidR="00C50244" w:rsidRPr="005250A4">
        <w:rPr>
          <w:rFonts w:ascii="Arial" w:hAnsi="Arial" w:cs="Arial"/>
          <w:color w:val="000000" w:themeColor="text1"/>
          <w:sz w:val="20"/>
          <w:szCs w:val="20"/>
          <w:lang w:val="en-US"/>
        </w:rPr>
        <w:t>C</w:t>
      </w:r>
      <w:r w:rsidRPr="005250A4">
        <w:rPr>
          <w:rFonts w:ascii="Arial" w:hAnsi="Arial" w:cs="Arial"/>
          <w:color w:val="000000" w:themeColor="text1"/>
          <w:sz w:val="20"/>
          <w:szCs w:val="20"/>
          <w:lang w:val="en-US"/>
        </w:rPr>
        <w:t xml:space="preserve">ompared </w:t>
      </w:r>
      <w:r w:rsidR="00C50244" w:rsidRPr="005250A4">
        <w:rPr>
          <w:rFonts w:ascii="Arial" w:hAnsi="Arial" w:cs="Arial"/>
          <w:color w:val="000000" w:themeColor="text1"/>
          <w:sz w:val="20"/>
          <w:szCs w:val="20"/>
          <w:lang w:val="en-US"/>
        </w:rPr>
        <w:t>with those of</w:t>
      </w:r>
      <w:r w:rsidRPr="005250A4">
        <w:rPr>
          <w:rFonts w:ascii="Arial" w:hAnsi="Arial" w:cs="Arial"/>
          <w:color w:val="000000" w:themeColor="text1"/>
          <w:sz w:val="20"/>
          <w:szCs w:val="20"/>
          <w:lang w:val="en-US"/>
        </w:rPr>
        <w:t xml:space="preserve"> other leafy vegetables</w:t>
      </w:r>
      <w:r w:rsidR="00C50244" w:rsidRPr="005250A4">
        <w:rPr>
          <w:rFonts w:ascii="Arial" w:hAnsi="Arial" w:cs="Arial"/>
          <w:color w:val="000000" w:themeColor="text1"/>
          <w:sz w:val="20"/>
          <w:szCs w:val="20"/>
          <w:lang w:val="en-US"/>
        </w:rPr>
        <w:t>, such as</w:t>
      </w:r>
      <w:r w:rsidRPr="005250A4">
        <w:rPr>
          <w:rFonts w:ascii="Arial" w:hAnsi="Arial" w:cs="Arial"/>
          <w:color w:val="000000" w:themeColor="text1"/>
          <w:sz w:val="20"/>
          <w:szCs w:val="20"/>
          <w:lang w:val="en-US"/>
        </w:rPr>
        <w:t xml:space="preserve"> </w:t>
      </w:r>
      <w:r w:rsidRPr="005250A4">
        <w:rPr>
          <w:rStyle w:val="Emphasis"/>
          <w:rFonts w:ascii="Arial" w:hAnsi="Arial" w:cs="Arial"/>
          <w:color w:val="000000" w:themeColor="text1"/>
          <w:sz w:val="20"/>
          <w:szCs w:val="20"/>
          <w:lang w:val="en-US"/>
        </w:rPr>
        <w:t>Manihot esculentus</w:t>
      </w:r>
      <w:r w:rsidRPr="005250A4">
        <w:rPr>
          <w:rFonts w:ascii="Arial" w:hAnsi="Arial" w:cs="Arial"/>
          <w:color w:val="000000" w:themeColor="text1"/>
          <w:sz w:val="20"/>
          <w:szCs w:val="20"/>
          <w:lang w:val="en-US"/>
        </w:rPr>
        <w:t xml:space="preserve"> (4.71 mg QE/g DM) and </w:t>
      </w:r>
      <w:r w:rsidRPr="005250A4">
        <w:rPr>
          <w:rStyle w:val="Emphasis"/>
          <w:rFonts w:ascii="Arial" w:hAnsi="Arial" w:cs="Arial"/>
          <w:color w:val="000000" w:themeColor="text1"/>
          <w:sz w:val="20"/>
          <w:szCs w:val="20"/>
          <w:lang w:val="en-US"/>
        </w:rPr>
        <w:t>Ceiba pentandra</w:t>
      </w:r>
      <w:r w:rsidRPr="005250A4">
        <w:rPr>
          <w:rFonts w:ascii="Arial" w:hAnsi="Arial" w:cs="Arial"/>
          <w:color w:val="000000" w:themeColor="text1"/>
          <w:sz w:val="20"/>
          <w:szCs w:val="20"/>
          <w:lang w:val="en-US"/>
        </w:rPr>
        <w:t xml:space="preserve"> (4.51 mg QE/g DM), th</w:t>
      </w:r>
      <w:r w:rsidR="00C50244" w:rsidRPr="005250A4">
        <w:rPr>
          <w:rFonts w:ascii="Arial" w:hAnsi="Arial" w:cs="Arial"/>
          <w:color w:val="000000" w:themeColor="text1"/>
          <w:sz w:val="20"/>
          <w:szCs w:val="20"/>
          <w:lang w:val="en-US"/>
        </w:rPr>
        <w:t>ese values were</w:t>
      </w:r>
      <w:r w:rsidRPr="005250A4">
        <w:rPr>
          <w:rFonts w:ascii="Arial" w:hAnsi="Arial" w:cs="Arial"/>
          <w:color w:val="000000" w:themeColor="text1"/>
          <w:sz w:val="20"/>
          <w:szCs w:val="20"/>
          <w:lang w:val="en-US"/>
        </w:rPr>
        <w:t xml:space="preserve"> significantly higher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{"citationItems":[{"id":"ITEM-1","itemData":{"ISBN":"2201-2796","ISSN":"2201-2796","abstract":"The leaves of Ceiba pentandra (Java), Manihot esculentus (Cassava) and Abelmoschus esculentus (Okra) are consumed as vegetables in Southwestern Nigeria. The proximate and phytochemical composition of these leaves were investigated using standard procedures. Powdered dried leaves of Java, Cassava and Okra were analysed for ash, moisture, fat, fibre, protein, carbohydrate, tannins, flavonoids, phenols and ascorbic acid composition. The percentage composition result values for ash, moisture, fat, fibre, protein and carbohydrate in the leaves ranged from 15.00% - 6.30%, 0.15% - 4.85%, 9.60% - 8.40%, 25.44% - 17.55%, 21.16% - 8.65% and 41.25% - 32.65% respectively. Tannins, flavonoids and phenols composition values ranges were 8.98% - 0.81%, 4.71% - 0.12% and 0.07% - 0.03% respectively while ascorbic acid content ranged from 3.16mg/100g to 2.84mg/100g. The result values obtained have shown that these leaves have good nutritive and therapeutic values and there is need for increased inclusion of these leaves as vegetables in everyday meal.","author":[{"dropping-particle":"","family":"Raimi","given":"Monsurat M.","non-dropping-particle":"","parse-names":false,"suffix":""},{"dropping-particle":"","family":"Oyekanmi","given":"Adeyinka M.","non-dropping-particle":"","parse-names":false,"suffix":""},{"dropping-particle":"","family":"Farombi","given":"Abolaji G","non-dropping-particle":"","parse-names":false,"suffix":""}],"container-title":"Scientific Research Journal (SCIRJ)","id":"ITEM-1","issue":"4","issued":{"date-parts":[["2014"]]},"page":"30-34","title":"Proximate and Phytochemical Composition of Leaves of Ceiba pentandra, Manihot esculentus and Abelmoschus esculentus in Southwestern Nigeria","type":"article-journal","volume":"2"},"uris":["http://www.mendeley.com/documents/?uuid=223a3444-7d99-465a-9bd8-8b153c6b1a6c"]}],"mendeley":{"formattedCitation":"(Raimi et al., 2014)","plainTextFormattedCitation":"(Raimi et al., 2014)","previouslyFormattedCitation":"(Raimi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(Raimi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observed differences among these results can be attributed not only to the solvent used and the extraction method but also to various other factors, including biotic stress (fungi, insects, bacteria, weeds, etc.) and specific pedoclimatic conditions for each plant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8421F" w:rsidRPr="005250A4">
        <w:rPr>
          <w:rFonts w:ascii="Arial" w:hAnsi="Arial" w:cs="Arial"/>
          <w:color w:val="000000" w:themeColor="text1"/>
          <w:sz w:val="20"/>
          <w:szCs w:val="20"/>
          <w:lang w:val="en-US"/>
        </w:rPr>
        <w:t>These values indicate that the leaves and fruits of the studied plants are rich in bioactive compounds.</w:t>
      </w:r>
    </w:p>
    <w:p w14:paraId="5587D5F5" w14:textId="77777777" w:rsidR="002029EC" w:rsidRPr="00C30CF4" w:rsidRDefault="00FF5AFD" w:rsidP="00C30CF4">
      <w:pPr>
        <w:spacing w:line="360" w:lineRule="auto"/>
        <w:jc w:val="both"/>
        <w:rPr>
          <w:rFonts w:ascii="Arial" w:hAnsi="Arial" w:cs="Arial"/>
          <w:b/>
          <w:bCs/>
          <w:color w:val="000000" w:themeColor="text1"/>
          <w:sz w:val="20"/>
          <w:szCs w:val="20"/>
          <w:lang w:val="en-US"/>
        </w:rPr>
      </w:pPr>
      <w:r w:rsidRPr="00C30CF4">
        <w:rPr>
          <w:rFonts w:ascii="Arial" w:hAnsi="Arial" w:cs="Arial"/>
          <w:b/>
          <w:bCs/>
          <w:color w:val="000000" w:themeColor="text1"/>
          <w:sz w:val="20"/>
          <w:szCs w:val="20"/>
          <w:lang w:val="en-US"/>
        </w:rPr>
        <w:t>Table</w:t>
      </w:r>
      <w:r w:rsidR="005A7E94" w:rsidRPr="00C30CF4">
        <w:rPr>
          <w:rFonts w:ascii="Arial" w:hAnsi="Arial" w:cs="Arial"/>
          <w:b/>
          <w:bCs/>
          <w:color w:val="000000" w:themeColor="text1"/>
          <w:sz w:val="20"/>
          <w:szCs w:val="20"/>
          <w:lang w:val="en-US"/>
        </w:rPr>
        <w:t xml:space="preserve"> 4</w:t>
      </w:r>
      <w:r w:rsidRPr="00C30CF4">
        <w:rPr>
          <w:rFonts w:ascii="Arial" w:hAnsi="Arial" w:cs="Arial"/>
          <w:b/>
          <w:bCs/>
          <w:color w:val="000000" w:themeColor="text1"/>
          <w:sz w:val="20"/>
          <w:szCs w:val="20"/>
          <w:lang w:val="en-US"/>
        </w:rPr>
        <w:t>:</w:t>
      </w:r>
      <w:r w:rsidR="002029EC" w:rsidRPr="00C30CF4">
        <w:rPr>
          <w:rFonts w:ascii="Arial" w:hAnsi="Arial" w:cs="Arial"/>
          <w:b/>
          <w:bCs/>
          <w:color w:val="000000" w:themeColor="text1"/>
          <w:sz w:val="20"/>
          <w:szCs w:val="20"/>
          <w:lang w:val="en-US"/>
        </w:rPr>
        <w:t xml:space="preserve"> </w:t>
      </w:r>
      <w:r w:rsidR="00DA421F" w:rsidRPr="00C30CF4">
        <w:rPr>
          <w:rFonts w:ascii="Arial" w:hAnsi="Arial" w:cs="Arial"/>
          <w:b/>
          <w:bCs/>
          <w:color w:val="000000" w:themeColor="text1"/>
          <w:sz w:val="20"/>
          <w:szCs w:val="20"/>
          <w:lang w:val="en-US"/>
        </w:rPr>
        <w:t>Polyphenol</w:t>
      </w:r>
      <w:r w:rsidR="00204DE2" w:rsidRPr="00C30CF4">
        <w:rPr>
          <w:rFonts w:ascii="Arial" w:hAnsi="Arial" w:cs="Arial"/>
          <w:b/>
          <w:bCs/>
          <w:color w:val="000000" w:themeColor="text1"/>
          <w:sz w:val="20"/>
          <w:szCs w:val="20"/>
          <w:lang w:val="en-US"/>
        </w:rPr>
        <w:t xml:space="preserve"> </w:t>
      </w:r>
      <w:r w:rsidR="006D3A34" w:rsidRPr="00C30CF4">
        <w:rPr>
          <w:rFonts w:ascii="Arial" w:hAnsi="Arial" w:cs="Arial"/>
          <w:b/>
          <w:bCs/>
          <w:color w:val="000000" w:themeColor="text1"/>
          <w:sz w:val="20"/>
          <w:szCs w:val="20"/>
          <w:lang w:val="en-US"/>
        </w:rPr>
        <w:t xml:space="preserve">contents </w:t>
      </w:r>
      <w:r w:rsidR="00935722" w:rsidRPr="00C30CF4">
        <w:rPr>
          <w:rFonts w:ascii="Arial" w:hAnsi="Arial" w:cs="Arial"/>
          <w:b/>
          <w:bCs/>
          <w:color w:val="000000" w:themeColor="text1"/>
          <w:sz w:val="20"/>
          <w:szCs w:val="20"/>
          <w:lang w:val="en-US"/>
        </w:rPr>
        <w:t xml:space="preserve">of leaf </w:t>
      </w:r>
      <w:r w:rsidR="002029EC" w:rsidRPr="00C30CF4">
        <w:rPr>
          <w:rFonts w:ascii="Arial" w:hAnsi="Arial" w:cs="Arial"/>
          <w:b/>
          <w:bCs/>
          <w:color w:val="000000" w:themeColor="text1"/>
          <w:sz w:val="20"/>
          <w:szCs w:val="20"/>
          <w:lang w:val="en-US"/>
        </w:rPr>
        <w:t xml:space="preserve">and fruit </w:t>
      </w:r>
      <w:r w:rsidR="00E85751" w:rsidRPr="00C30CF4">
        <w:rPr>
          <w:rFonts w:ascii="Arial" w:hAnsi="Arial" w:cs="Arial"/>
          <w:b/>
          <w:bCs/>
          <w:color w:val="000000" w:themeColor="text1"/>
          <w:sz w:val="20"/>
          <w:szCs w:val="20"/>
          <w:lang w:val="en-US"/>
        </w:rPr>
        <w:t xml:space="preserve">powders </w:t>
      </w:r>
      <w:r w:rsidR="002029EC" w:rsidRPr="00C30CF4">
        <w:rPr>
          <w:rFonts w:ascii="Arial" w:hAnsi="Arial" w:cs="Arial"/>
          <w:b/>
          <w:bCs/>
          <w:color w:val="000000" w:themeColor="text1"/>
          <w:sz w:val="20"/>
          <w:szCs w:val="20"/>
          <w:lang w:val="en-US"/>
        </w:rPr>
        <w:t xml:space="preserve">of </w:t>
      </w:r>
      <w:r w:rsidR="002029EC" w:rsidRPr="00C30CF4">
        <w:rPr>
          <w:rFonts w:ascii="Arial" w:hAnsi="Arial" w:cs="Arial"/>
          <w:b/>
          <w:bCs/>
          <w:i/>
          <w:color w:val="000000" w:themeColor="text1"/>
          <w:sz w:val="20"/>
          <w:szCs w:val="20"/>
          <w:lang w:val="en-US"/>
        </w:rPr>
        <w:t xml:space="preserve">Corchorus </w:t>
      </w:r>
      <w:proofErr w:type="spellStart"/>
      <w:r w:rsidR="002029EC" w:rsidRPr="00C30CF4">
        <w:rPr>
          <w:rFonts w:ascii="Arial" w:hAnsi="Arial" w:cs="Arial"/>
          <w:b/>
          <w:bCs/>
          <w:i/>
          <w:color w:val="000000" w:themeColor="text1"/>
          <w:sz w:val="20"/>
          <w:szCs w:val="20"/>
          <w:lang w:val="en-US"/>
        </w:rPr>
        <w:t>olitorius</w:t>
      </w:r>
      <w:proofErr w:type="spellEnd"/>
      <w:r w:rsidR="002029EC" w:rsidRPr="00C30CF4">
        <w:rPr>
          <w:rFonts w:ascii="Arial" w:hAnsi="Arial" w:cs="Arial"/>
          <w:b/>
          <w:bCs/>
          <w:i/>
          <w:color w:val="000000" w:themeColor="text1"/>
          <w:sz w:val="20"/>
          <w:szCs w:val="20"/>
          <w:lang w:val="en-US"/>
        </w:rPr>
        <w:t xml:space="preserve"> </w:t>
      </w:r>
      <w:r w:rsidR="002029EC" w:rsidRPr="00C30CF4">
        <w:rPr>
          <w:rFonts w:ascii="Arial" w:hAnsi="Arial" w:cs="Arial"/>
          <w:b/>
          <w:bCs/>
          <w:color w:val="000000" w:themeColor="text1"/>
          <w:sz w:val="20"/>
          <w:szCs w:val="20"/>
          <w:lang w:val="en-US"/>
        </w:rPr>
        <w:t>and</w:t>
      </w:r>
      <w:r w:rsidR="002029EC" w:rsidRPr="00C30CF4">
        <w:rPr>
          <w:rFonts w:ascii="Arial" w:hAnsi="Arial" w:cs="Arial"/>
          <w:b/>
          <w:bCs/>
          <w:i/>
          <w:color w:val="000000" w:themeColor="text1"/>
          <w:sz w:val="20"/>
          <w:szCs w:val="20"/>
          <w:lang w:val="en-US"/>
        </w:rPr>
        <w:t xml:space="preserve"> Abelmoschus esculentus</w:t>
      </w:r>
    </w:p>
    <w:tbl>
      <w:tblPr>
        <w:tblStyle w:val="TableGrid"/>
        <w:tblW w:w="9356" w:type="dxa"/>
        <w:tblInd w:w="-284" w:type="dxa"/>
        <w:tblLayout w:type="fixed"/>
        <w:tblLook w:val="04A0" w:firstRow="1" w:lastRow="0" w:firstColumn="1" w:lastColumn="0" w:noHBand="0" w:noVBand="1"/>
      </w:tblPr>
      <w:tblGrid>
        <w:gridCol w:w="3142"/>
        <w:gridCol w:w="1428"/>
        <w:gridCol w:w="1666"/>
        <w:gridCol w:w="1585"/>
        <w:gridCol w:w="1535"/>
      </w:tblGrid>
      <w:tr w:rsidR="00175578" w:rsidRPr="00202D84" w14:paraId="4C44560E" w14:textId="77777777" w:rsidTr="00933753">
        <w:trPr>
          <w:trHeight w:val="523"/>
        </w:trPr>
        <w:tc>
          <w:tcPr>
            <w:tcW w:w="3142" w:type="dxa"/>
            <w:vMerge w:val="restart"/>
            <w:tcBorders>
              <w:left w:val="nil"/>
              <w:bottom w:val="nil"/>
              <w:right w:val="nil"/>
            </w:tcBorders>
            <w:vAlign w:val="center"/>
          </w:tcPr>
          <w:p w14:paraId="5727F836" w14:textId="77777777" w:rsidR="00A273BC" w:rsidRPr="00202D84" w:rsidRDefault="00A273BC" w:rsidP="000A025A">
            <w:pPr>
              <w:rPr>
                <w:rFonts w:ascii="Arial" w:hAnsi="Arial" w:cs="Arial"/>
                <w:i/>
                <w:color w:val="000000" w:themeColor="text1"/>
                <w:sz w:val="18"/>
                <w:szCs w:val="18"/>
                <w:lang w:val="en-US"/>
              </w:rPr>
            </w:pPr>
            <w:r w:rsidRPr="00202D84">
              <w:rPr>
                <w:rFonts w:ascii="Arial" w:hAnsi="Arial" w:cs="Arial"/>
                <w:color w:val="000000" w:themeColor="text1"/>
                <w:sz w:val="18"/>
                <w:szCs w:val="18"/>
                <w:lang w:val="en-US"/>
              </w:rPr>
              <w:t>Bioactive compounds</w:t>
            </w:r>
          </w:p>
        </w:tc>
        <w:tc>
          <w:tcPr>
            <w:tcW w:w="3094" w:type="dxa"/>
            <w:gridSpan w:val="2"/>
            <w:tcBorders>
              <w:left w:val="nil"/>
              <w:right w:val="nil"/>
            </w:tcBorders>
            <w:vAlign w:val="center"/>
          </w:tcPr>
          <w:p w14:paraId="336A1226" w14:textId="260450FE" w:rsidR="00A273BC" w:rsidRPr="00202D84" w:rsidRDefault="00A273BC" w:rsidP="006853A0">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 xml:space="preserve">Corchorus </w:t>
            </w:r>
            <w:proofErr w:type="spellStart"/>
            <w:r w:rsidRPr="00202D84">
              <w:rPr>
                <w:rFonts w:ascii="Arial" w:hAnsi="Arial" w:cs="Arial"/>
                <w:i/>
                <w:color w:val="000000" w:themeColor="text1"/>
                <w:sz w:val="18"/>
                <w:szCs w:val="18"/>
                <w:lang w:val="en-US"/>
              </w:rPr>
              <w:t>olitorius</w:t>
            </w:r>
            <w:proofErr w:type="spellEnd"/>
          </w:p>
        </w:tc>
        <w:tc>
          <w:tcPr>
            <w:tcW w:w="3120" w:type="dxa"/>
            <w:gridSpan w:val="2"/>
            <w:tcBorders>
              <w:left w:val="nil"/>
              <w:right w:val="nil"/>
            </w:tcBorders>
            <w:vAlign w:val="center"/>
          </w:tcPr>
          <w:p w14:paraId="0747102D"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 xml:space="preserve">   Abelmoschus esculentus</w:t>
            </w:r>
          </w:p>
        </w:tc>
      </w:tr>
      <w:tr w:rsidR="00175578" w:rsidRPr="00202D84" w14:paraId="3DC6DFC2" w14:textId="77777777" w:rsidTr="00933753">
        <w:trPr>
          <w:trHeight w:val="439"/>
        </w:trPr>
        <w:tc>
          <w:tcPr>
            <w:tcW w:w="3142" w:type="dxa"/>
            <w:vMerge/>
            <w:tcBorders>
              <w:left w:val="nil"/>
              <w:bottom w:val="nil"/>
              <w:right w:val="nil"/>
            </w:tcBorders>
            <w:vAlign w:val="center"/>
          </w:tcPr>
          <w:p w14:paraId="74A62A67" w14:textId="77777777" w:rsidR="00A273BC" w:rsidRPr="00202D84" w:rsidRDefault="00A273BC" w:rsidP="00F92F0D">
            <w:pPr>
              <w:jc w:val="center"/>
              <w:rPr>
                <w:rFonts w:ascii="Arial" w:hAnsi="Arial" w:cs="Arial"/>
                <w:color w:val="000000" w:themeColor="text1"/>
                <w:sz w:val="18"/>
                <w:szCs w:val="18"/>
                <w:lang w:val="en-US"/>
              </w:rPr>
            </w:pPr>
          </w:p>
        </w:tc>
        <w:tc>
          <w:tcPr>
            <w:tcW w:w="1428" w:type="dxa"/>
            <w:tcBorders>
              <w:left w:val="nil"/>
              <w:bottom w:val="single" w:sz="4" w:space="0" w:color="auto"/>
              <w:right w:val="nil"/>
            </w:tcBorders>
            <w:vAlign w:val="center"/>
          </w:tcPr>
          <w:p w14:paraId="25B5B10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666" w:type="dxa"/>
            <w:tcBorders>
              <w:left w:val="nil"/>
              <w:bottom w:val="single" w:sz="4" w:space="0" w:color="auto"/>
              <w:right w:val="nil"/>
            </w:tcBorders>
            <w:vAlign w:val="center"/>
          </w:tcPr>
          <w:p w14:paraId="4654F38B"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c>
          <w:tcPr>
            <w:tcW w:w="1585" w:type="dxa"/>
            <w:tcBorders>
              <w:left w:val="nil"/>
              <w:bottom w:val="single" w:sz="4" w:space="0" w:color="auto"/>
              <w:right w:val="nil"/>
            </w:tcBorders>
            <w:vAlign w:val="center"/>
          </w:tcPr>
          <w:p w14:paraId="440FF67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535" w:type="dxa"/>
            <w:tcBorders>
              <w:left w:val="nil"/>
              <w:bottom w:val="single" w:sz="4" w:space="0" w:color="auto"/>
              <w:right w:val="nil"/>
            </w:tcBorders>
            <w:vAlign w:val="center"/>
          </w:tcPr>
          <w:p w14:paraId="336ED3FA"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r>
      <w:tr w:rsidR="00175578" w:rsidRPr="00202D84" w14:paraId="556C168D" w14:textId="77777777" w:rsidTr="00933753">
        <w:trPr>
          <w:trHeight w:val="754"/>
        </w:trPr>
        <w:tc>
          <w:tcPr>
            <w:tcW w:w="3142" w:type="dxa"/>
            <w:tcBorders>
              <w:top w:val="single" w:sz="4" w:space="0" w:color="auto"/>
              <w:left w:val="nil"/>
              <w:bottom w:val="nil"/>
              <w:right w:val="nil"/>
            </w:tcBorders>
            <w:vAlign w:val="center"/>
          </w:tcPr>
          <w:p w14:paraId="1182E953" w14:textId="77777777" w:rsidR="00A273BC" w:rsidRPr="00202D84" w:rsidRDefault="00A273BC" w:rsidP="00965093">
            <w:pPr>
              <w:rPr>
                <w:rFonts w:ascii="Arial" w:hAnsi="Arial" w:cs="Arial"/>
                <w:b/>
                <w:color w:val="000000" w:themeColor="text1"/>
                <w:sz w:val="18"/>
                <w:szCs w:val="18"/>
                <w:lang w:val="en-US"/>
              </w:rPr>
            </w:pPr>
            <w:r w:rsidRPr="00202D84">
              <w:rPr>
                <w:rFonts w:ascii="Arial" w:hAnsi="Arial" w:cs="Arial"/>
                <w:color w:val="000000" w:themeColor="text1"/>
                <w:sz w:val="18"/>
                <w:szCs w:val="18"/>
                <w:lang w:val="en-US"/>
              </w:rPr>
              <w:t xml:space="preserve">Total polyphenols </w:t>
            </w:r>
            <w:r w:rsidR="00695A5E" w:rsidRPr="00202D84">
              <w:rPr>
                <w:rFonts w:ascii="Arial" w:hAnsi="Arial" w:cs="Arial"/>
                <w:color w:val="000000" w:themeColor="text1"/>
                <w:sz w:val="18"/>
                <w:szCs w:val="18"/>
                <w:lang w:val="en-US"/>
              </w:rPr>
              <w:t>(mg GAE</w:t>
            </w:r>
            <w:r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663DD271"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240.10 ± 1.99</w:t>
            </w:r>
            <w:r w:rsidRPr="00202D84">
              <w:rPr>
                <w:rFonts w:ascii="Arial" w:hAnsi="Arial" w:cs="Arial"/>
                <w:color w:val="000000" w:themeColor="text1"/>
                <w:sz w:val="18"/>
                <w:szCs w:val="18"/>
                <w:vertAlign w:val="superscript"/>
                <w:lang w:val="en-US"/>
              </w:rPr>
              <w:t>d</w:t>
            </w:r>
          </w:p>
        </w:tc>
        <w:tc>
          <w:tcPr>
            <w:tcW w:w="1666" w:type="dxa"/>
            <w:tcBorders>
              <w:top w:val="nil"/>
              <w:left w:val="nil"/>
              <w:bottom w:val="nil"/>
              <w:right w:val="nil"/>
            </w:tcBorders>
            <w:vAlign w:val="center"/>
          </w:tcPr>
          <w:p w14:paraId="6CBF2937"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50.10 ± 1.02</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7C9D1FF5" w14:textId="77777777" w:rsidR="00A273BC" w:rsidRPr="00202D84" w:rsidRDefault="00A273BC" w:rsidP="00965093">
            <w:pPr>
              <w:jc w:val="center"/>
              <w:rPr>
                <w:rFonts w:ascii="Arial" w:hAnsi="Arial" w:cs="Arial"/>
                <w:color w:val="000000" w:themeColor="text1"/>
                <w:sz w:val="18"/>
                <w:szCs w:val="18"/>
                <w:vertAlign w:val="superscript"/>
                <w:lang w:val="en-US"/>
              </w:rPr>
            </w:pPr>
            <w:r w:rsidRPr="00202D84">
              <w:rPr>
                <w:rFonts w:ascii="Arial" w:hAnsi="Arial" w:cs="Arial"/>
                <w:color w:val="000000" w:themeColor="text1"/>
                <w:sz w:val="18"/>
                <w:szCs w:val="18"/>
                <w:lang w:val="en-US"/>
              </w:rPr>
              <w:t>4.28 ± 0.10</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32DFF94F"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95.10 ± 1.04</w:t>
            </w:r>
            <w:r w:rsidRPr="00202D84">
              <w:rPr>
                <w:rFonts w:ascii="Arial" w:hAnsi="Arial" w:cs="Arial"/>
                <w:color w:val="000000" w:themeColor="text1"/>
                <w:sz w:val="18"/>
                <w:szCs w:val="18"/>
                <w:vertAlign w:val="superscript"/>
                <w:lang w:val="en-US"/>
              </w:rPr>
              <w:t>c</w:t>
            </w:r>
          </w:p>
        </w:tc>
      </w:tr>
      <w:tr w:rsidR="00175578" w:rsidRPr="00202D84" w14:paraId="325EB3D5" w14:textId="77777777" w:rsidTr="00933753">
        <w:trPr>
          <w:trHeight w:val="654"/>
        </w:trPr>
        <w:tc>
          <w:tcPr>
            <w:tcW w:w="3142" w:type="dxa"/>
            <w:tcBorders>
              <w:top w:val="nil"/>
              <w:left w:val="nil"/>
              <w:bottom w:val="nil"/>
              <w:right w:val="nil"/>
            </w:tcBorders>
            <w:vAlign w:val="center"/>
          </w:tcPr>
          <w:p w14:paraId="2EAA0AAC" w14:textId="77777777" w:rsidR="00A273BC" w:rsidRPr="00202D84" w:rsidRDefault="000A025A" w:rsidP="00965093">
            <w:pPr>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Total </w:t>
            </w:r>
            <w:r w:rsidR="00653D48" w:rsidRPr="00202D84">
              <w:rPr>
                <w:rFonts w:ascii="Arial" w:hAnsi="Arial" w:cs="Arial"/>
                <w:color w:val="000000" w:themeColor="text1"/>
                <w:sz w:val="18"/>
                <w:szCs w:val="18"/>
                <w:lang w:val="en-US"/>
              </w:rPr>
              <w:t>flavonoids (</w:t>
            </w:r>
            <w:r w:rsidR="00695A5E" w:rsidRPr="00202D84">
              <w:rPr>
                <w:rFonts w:ascii="Arial" w:hAnsi="Arial" w:cs="Arial"/>
                <w:color w:val="000000" w:themeColor="text1"/>
                <w:sz w:val="18"/>
                <w:szCs w:val="18"/>
                <w:lang w:val="en-US"/>
              </w:rPr>
              <w:t>mg QE</w:t>
            </w:r>
            <w:r w:rsidR="00A273BC"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00A273BC"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4C682E18"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0.50 ± 0.05</w:t>
            </w:r>
            <w:r w:rsidRPr="00202D84">
              <w:rPr>
                <w:rFonts w:ascii="Arial" w:hAnsi="Arial" w:cs="Arial"/>
                <w:color w:val="000000" w:themeColor="text1"/>
                <w:sz w:val="18"/>
                <w:szCs w:val="18"/>
                <w:vertAlign w:val="superscript"/>
                <w:lang w:val="en-US"/>
              </w:rPr>
              <w:t>b</w:t>
            </w:r>
          </w:p>
        </w:tc>
        <w:tc>
          <w:tcPr>
            <w:tcW w:w="1666" w:type="dxa"/>
            <w:tcBorders>
              <w:top w:val="nil"/>
              <w:left w:val="nil"/>
              <w:bottom w:val="nil"/>
              <w:right w:val="nil"/>
            </w:tcBorders>
            <w:vAlign w:val="center"/>
          </w:tcPr>
          <w:p w14:paraId="53BD1EB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0.45 ± 0.01</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19513891"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0.22 ± 0.01</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5BF3C879"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bookmarkStart w:id="8" w:name="_Hlk195112887"/>
            <w:r w:rsidRPr="00202D84">
              <w:rPr>
                <w:rFonts w:ascii="Arial" w:hAnsi="Arial" w:cs="Arial"/>
                <w:color w:val="000000" w:themeColor="text1"/>
                <w:sz w:val="18"/>
                <w:szCs w:val="18"/>
                <w:lang w:val="en-US"/>
              </w:rPr>
              <w:t>15.03 ± 0.97</w:t>
            </w:r>
            <w:bookmarkEnd w:id="8"/>
            <w:r w:rsidRPr="00202D84">
              <w:rPr>
                <w:rFonts w:ascii="Arial" w:hAnsi="Arial" w:cs="Arial"/>
                <w:color w:val="000000" w:themeColor="text1"/>
                <w:sz w:val="18"/>
                <w:szCs w:val="18"/>
                <w:vertAlign w:val="superscript"/>
                <w:lang w:val="en-US"/>
              </w:rPr>
              <w:t>c</w:t>
            </w:r>
          </w:p>
        </w:tc>
      </w:tr>
      <w:tr w:rsidR="00175578" w:rsidRPr="00202D84" w14:paraId="0BC7B86D" w14:textId="77777777" w:rsidTr="00933753">
        <w:trPr>
          <w:trHeight w:val="646"/>
        </w:trPr>
        <w:tc>
          <w:tcPr>
            <w:tcW w:w="3142" w:type="dxa"/>
            <w:tcBorders>
              <w:top w:val="nil"/>
              <w:left w:val="nil"/>
              <w:bottom w:val="single" w:sz="4" w:space="0" w:color="auto"/>
              <w:right w:val="nil"/>
            </w:tcBorders>
            <w:vAlign w:val="center"/>
          </w:tcPr>
          <w:p w14:paraId="7625BF1A" w14:textId="77777777" w:rsidR="00A273BC" w:rsidRPr="00202D84" w:rsidRDefault="00A273BC" w:rsidP="00965093">
            <w:pPr>
              <w:rPr>
                <w:rFonts w:ascii="Arial" w:hAnsi="Arial" w:cs="Arial"/>
                <w:color w:val="000000" w:themeColor="text1"/>
                <w:sz w:val="18"/>
                <w:szCs w:val="18"/>
              </w:rPr>
            </w:pPr>
            <w:r w:rsidRPr="00202D84">
              <w:rPr>
                <w:rFonts w:ascii="Arial" w:hAnsi="Arial" w:cs="Arial"/>
                <w:color w:val="000000" w:themeColor="text1"/>
                <w:sz w:val="18"/>
                <w:szCs w:val="18"/>
              </w:rPr>
              <w:t xml:space="preserve">Condensed tannins </w:t>
            </w:r>
            <w:r w:rsidR="00695A5E" w:rsidRPr="00202D84">
              <w:rPr>
                <w:rFonts w:ascii="Arial" w:hAnsi="Arial" w:cs="Arial"/>
                <w:color w:val="000000" w:themeColor="text1"/>
                <w:sz w:val="18"/>
                <w:szCs w:val="18"/>
              </w:rPr>
              <w:t>(mg CE</w:t>
            </w:r>
            <w:r w:rsidRPr="00202D84">
              <w:rPr>
                <w:rFonts w:ascii="Arial" w:hAnsi="Arial" w:cs="Arial"/>
                <w:color w:val="000000" w:themeColor="text1"/>
                <w:sz w:val="18"/>
                <w:szCs w:val="18"/>
              </w:rPr>
              <w:t>/g</w:t>
            </w:r>
            <w:r w:rsidR="00767B9A" w:rsidRPr="00202D84">
              <w:rPr>
                <w:rFonts w:ascii="Arial" w:hAnsi="Arial" w:cs="Arial"/>
                <w:color w:val="000000" w:themeColor="text1"/>
                <w:sz w:val="18"/>
                <w:szCs w:val="18"/>
              </w:rPr>
              <w:t xml:space="preserve"> DM</w:t>
            </w:r>
            <w:r w:rsidRPr="00202D84">
              <w:rPr>
                <w:rFonts w:ascii="Arial" w:hAnsi="Arial" w:cs="Arial"/>
                <w:color w:val="000000" w:themeColor="text1"/>
                <w:sz w:val="18"/>
                <w:szCs w:val="18"/>
              </w:rPr>
              <w:t>)</w:t>
            </w:r>
          </w:p>
        </w:tc>
        <w:tc>
          <w:tcPr>
            <w:tcW w:w="1428" w:type="dxa"/>
            <w:tcBorders>
              <w:top w:val="nil"/>
              <w:left w:val="nil"/>
              <w:bottom w:val="single" w:sz="4" w:space="0" w:color="auto"/>
              <w:right w:val="nil"/>
            </w:tcBorders>
            <w:vAlign w:val="center"/>
          </w:tcPr>
          <w:p w14:paraId="212148A6"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25.10 ± 1.05</w:t>
            </w:r>
            <w:r w:rsidRPr="00202D84">
              <w:rPr>
                <w:rFonts w:ascii="Arial" w:hAnsi="Arial" w:cs="Arial"/>
                <w:color w:val="000000" w:themeColor="text1"/>
                <w:sz w:val="18"/>
                <w:szCs w:val="18"/>
                <w:vertAlign w:val="superscript"/>
                <w:lang w:val="en-US"/>
              </w:rPr>
              <w:t>c</w:t>
            </w:r>
          </w:p>
        </w:tc>
        <w:tc>
          <w:tcPr>
            <w:tcW w:w="1666" w:type="dxa"/>
            <w:tcBorders>
              <w:top w:val="nil"/>
              <w:left w:val="nil"/>
              <w:bottom w:val="single" w:sz="4" w:space="0" w:color="auto"/>
              <w:right w:val="nil"/>
            </w:tcBorders>
            <w:vAlign w:val="center"/>
          </w:tcPr>
          <w:p w14:paraId="14ECDA0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0.15 ± 0.02</w:t>
            </w:r>
            <w:r w:rsidRPr="00202D84">
              <w:rPr>
                <w:rFonts w:ascii="Arial" w:hAnsi="Arial" w:cs="Arial"/>
                <w:color w:val="000000" w:themeColor="text1"/>
                <w:sz w:val="18"/>
                <w:szCs w:val="18"/>
                <w:vertAlign w:val="superscript"/>
                <w:lang w:val="en-US"/>
              </w:rPr>
              <w:t>a</w:t>
            </w:r>
          </w:p>
        </w:tc>
        <w:tc>
          <w:tcPr>
            <w:tcW w:w="1585" w:type="dxa"/>
            <w:tcBorders>
              <w:top w:val="nil"/>
              <w:left w:val="nil"/>
              <w:bottom w:val="single" w:sz="4" w:space="0" w:color="auto"/>
              <w:right w:val="nil"/>
            </w:tcBorders>
            <w:vAlign w:val="center"/>
          </w:tcPr>
          <w:p w14:paraId="5D760514"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eastAsia="Times New Roman" w:hAnsi="Arial" w:cs="Arial"/>
                <w:color w:val="000000" w:themeColor="text1"/>
                <w:sz w:val="18"/>
                <w:szCs w:val="18"/>
                <w:lang w:val="en-US" w:eastAsia="fr-FR"/>
              </w:rPr>
              <w:t xml:space="preserve">0.17 </w:t>
            </w:r>
            <w:r w:rsidRPr="00202D84">
              <w:rPr>
                <w:rFonts w:ascii="Arial" w:hAnsi="Arial" w:cs="Arial"/>
                <w:color w:val="000000" w:themeColor="text1"/>
                <w:sz w:val="18"/>
                <w:szCs w:val="18"/>
                <w:lang w:val="en-US"/>
              </w:rPr>
              <w:t>± 0.01</w:t>
            </w:r>
            <w:r w:rsidRPr="00202D84">
              <w:rPr>
                <w:rFonts w:ascii="Arial" w:hAnsi="Arial" w:cs="Arial"/>
                <w:color w:val="000000" w:themeColor="text1"/>
                <w:sz w:val="18"/>
                <w:szCs w:val="18"/>
                <w:vertAlign w:val="superscript"/>
                <w:lang w:val="en-US"/>
              </w:rPr>
              <w:t>a</w:t>
            </w:r>
          </w:p>
        </w:tc>
        <w:tc>
          <w:tcPr>
            <w:tcW w:w="1535" w:type="dxa"/>
            <w:tcBorders>
              <w:top w:val="nil"/>
              <w:left w:val="nil"/>
              <w:bottom w:val="single" w:sz="4" w:space="0" w:color="auto"/>
              <w:right w:val="nil"/>
            </w:tcBorders>
            <w:vAlign w:val="center"/>
          </w:tcPr>
          <w:p w14:paraId="13ADC0BC"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0.30 ± 0.01</w:t>
            </w:r>
            <w:r w:rsidRPr="00202D84">
              <w:rPr>
                <w:rFonts w:ascii="Arial" w:hAnsi="Arial" w:cs="Arial"/>
                <w:color w:val="000000" w:themeColor="text1"/>
                <w:sz w:val="18"/>
                <w:szCs w:val="18"/>
                <w:vertAlign w:val="superscript"/>
                <w:lang w:val="en-US"/>
              </w:rPr>
              <w:t>b</w:t>
            </w:r>
          </w:p>
        </w:tc>
      </w:tr>
      <w:tr w:rsidR="00175578" w:rsidRPr="00A65703" w14:paraId="41BE435D" w14:textId="77777777" w:rsidTr="007774E4">
        <w:trPr>
          <w:trHeight w:val="450"/>
        </w:trPr>
        <w:tc>
          <w:tcPr>
            <w:tcW w:w="9356" w:type="dxa"/>
            <w:gridSpan w:val="5"/>
            <w:tcBorders>
              <w:top w:val="single" w:sz="4" w:space="0" w:color="auto"/>
              <w:left w:val="nil"/>
              <w:bottom w:val="nil"/>
              <w:right w:val="nil"/>
            </w:tcBorders>
            <w:vAlign w:val="center"/>
          </w:tcPr>
          <w:p w14:paraId="07FAF60F" w14:textId="6F6114B6" w:rsidR="00A273BC" w:rsidRPr="00202D84" w:rsidRDefault="00A273BC" w:rsidP="0093786A">
            <w:pPr>
              <w:jc w:val="both"/>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Mn ± </w:t>
            </w:r>
            <w:r w:rsidR="00C50244" w:rsidRPr="00202D84">
              <w:rPr>
                <w:rFonts w:ascii="Arial" w:hAnsi="Arial" w:cs="Arial"/>
                <w:color w:val="000000" w:themeColor="text1"/>
                <w:sz w:val="18"/>
                <w:szCs w:val="18"/>
                <w:lang w:val="en-US"/>
              </w:rPr>
              <w:t>Sd:</w:t>
            </w:r>
            <w:r w:rsidRPr="00202D84">
              <w:rPr>
                <w:rFonts w:ascii="Arial" w:hAnsi="Arial" w:cs="Arial"/>
                <w:color w:val="000000" w:themeColor="text1"/>
                <w:sz w:val="18"/>
                <w:szCs w:val="18"/>
                <w:lang w:val="en-US"/>
              </w:rPr>
              <w:t xml:space="preserve"> Mean ± Standard </w:t>
            </w:r>
            <w:r w:rsidR="00C50244" w:rsidRPr="00202D84">
              <w:rPr>
                <w:rFonts w:ascii="Arial" w:hAnsi="Arial" w:cs="Arial"/>
                <w:color w:val="000000" w:themeColor="text1"/>
                <w:sz w:val="18"/>
                <w:szCs w:val="18"/>
                <w:lang w:val="en-US"/>
              </w:rPr>
              <w:t>deviation;</w:t>
            </w:r>
            <w:r w:rsidRPr="00202D84">
              <w:rPr>
                <w:rFonts w:ascii="Arial" w:hAnsi="Arial" w:cs="Arial"/>
                <w:color w:val="000000" w:themeColor="text1"/>
                <w:sz w:val="18"/>
                <w:szCs w:val="18"/>
                <w:lang w:val="en-US"/>
              </w:rPr>
              <w:t xml:space="preserve"> Means affected to the different superscript letters for each line indicate a significant difference at P </w:t>
            </w:r>
            <w:r w:rsidR="0018782C" w:rsidRPr="00202D84">
              <w:rPr>
                <w:rFonts w:ascii="Arial" w:hAnsi="Arial" w:cs="Arial"/>
                <w:color w:val="000000" w:themeColor="text1"/>
                <w:sz w:val="18"/>
                <w:szCs w:val="18"/>
                <w:lang w:val="en-US"/>
              </w:rPr>
              <w:t>&lt;</w:t>
            </w:r>
            <w:r w:rsidRPr="00202D84">
              <w:rPr>
                <w:rFonts w:ascii="Arial" w:hAnsi="Arial" w:cs="Arial"/>
                <w:color w:val="000000" w:themeColor="text1"/>
                <w:sz w:val="18"/>
                <w:szCs w:val="18"/>
                <w:lang w:val="en-US"/>
              </w:rPr>
              <w:t xml:space="preserve"> .05</w:t>
            </w:r>
          </w:p>
        </w:tc>
      </w:tr>
    </w:tbl>
    <w:p w14:paraId="4EE95FC7" w14:textId="77777777" w:rsidR="00202FD1" w:rsidRDefault="00202FD1" w:rsidP="00202FD1">
      <w:pPr>
        <w:pStyle w:val="ListParagraph"/>
        <w:spacing w:after="0" w:line="480" w:lineRule="auto"/>
        <w:jc w:val="both"/>
        <w:rPr>
          <w:rFonts w:ascii="Times New Roman" w:hAnsi="Times New Roman" w:cs="Times New Roman"/>
          <w:b/>
          <w:color w:val="000000" w:themeColor="text1"/>
          <w:szCs w:val="24"/>
          <w:lang w:val="en-US"/>
        </w:rPr>
      </w:pPr>
    </w:p>
    <w:p w14:paraId="3B2B1D2E" w14:textId="6F0932A9" w:rsidR="00967CD9" w:rsidRPr="005250A4" w:rsidRDefault="00F767DB" w:rsidP="0020641D">
      <w:pPr>
        <w:pStyle w:val="ListParagraph"/>
        <w:numPr>
          <w:ilvl w:val="2"/>
          <w:numId w:val="7"/>
        </w:numPr>
        <w:spacing w:after="0" w:line="480" w:lineRule="auto"/>
        <w:jc w:val="both"/>
        <w:rPr>
          <w:rStyle w:val="fontstyle01"/>
          <w:rFonts w:ascii="Arial" w:hAnsi="Arial" w:cs="Arial"/>
          <w:b/>
          <w:color w:val="000000" w:themeColor="text1"/>
          <w:sz w:val="20"/>
          <w:szCs w:val="22"/>
          <w:lang w:val="en-US"/>
        </w:rPr>
      </w:pPr>
      <w:r w:rsidRPr="005250A4">
        <w:rPr>
          <w:rFonts w:ascii="Arial" w:hAnsi="Arial" w:cs="Arial"/>
          <w:b/>
          <w:color w:val="000000" w:themeColor="text1"/>
          <w:sz w:val="20"/>
          <w:lang w:val="en-US"/>
        </w:rPr>
        <w:t>A</w:t>
      </w:r>
      <w:r w:rsidR="00453D4E" w:rsidRPr="005250A4">
        <w:rPr>
          <w:rStyle w:val="fontstyle01"/>
          <w:rFonts w:ascii="Arial" w:hAnsi="Arial" w:cs="Arial"/>
          <w:b/>
          <w:color w:val="000000" w:themeColor="text1"/>
          <w:sz w:val="20"/>
          <w:szCs w:val="22"/>
          <w:lang w:val="en-US"/>
        </w:rPr>
        <w:t>ntioxidant activity</w:t>
      </w:r>
      <w:r w:rsidR="00B17ABC" w:rsidRPr="005250A4">
        <w:rPr>
          <w:rStyle w:val="fontstyle01"/>
          <w:rFonts w:ascii="Arial" w:hAnsi="Arial" w:cs="Arial"/>
          <w:b/>
          <w:color w:val="000000" w:themeColor="text1"/>
          <w:sz w:val="20"/>
          <w:szCs w:val="22"/>
          <w:lang w:val="en-US"/>
        </w:rPr>
        <w:t xml:space="preserve"> </w:t>
      </w:r>
    </w:p>
    <w:p w14:paraId="000B31C0" w14:textId="2342E82B" w:rsidR="00FA557E" w:rsidRPr="005250A4" w:rsidRDefault="00FA557E" w:rsidP="002279E9">
      <w:pPr>
        <w:spacing w:after="0" w:line="360" w:lineRule="auto"/>
        <w:jc w:val="both"/>
        <w:rPr>
          <w:rFonts w:ascii="Arial" w:hAnsi="Arial" w:cs="Arial"/>
          <w:color w:val="000000" w:themeColor="text1"/>
          <w:sz w:val="20"/>
          <w:szCs w:val="20"/>
          <w:lang w:val="en-US"/>
        </w:rPr>
      </w:pPr>
      <w:r w:rsidRPr="005250A4">
        <w:rPr>
          <w:rStyle w:val="Strong"/>
          <w:rFonts w:ascii="Arial" w:hAnsi="Arial" w:cs="Arial"/>
          <w:b w:val="0"/>
          <w:color w:val="000000" w:themeColor="text1"/>
          <w:sz w:val="20"/>
          <w:szCs w:val="20"/>
          <w:lang w:val="en-US"/>
        </w:rPr>
        <w:t>Antioxidants</w:t>
      </w:r>
      <w:r w:rsidRPr="005250A4">
        <w:rPr>
          <w:rFonts w:ascii="Arial" w:hAnsi="Arial" w:cs="Arial"/>
          <w:color w:val="000000" w:themeColor="text1"/>
          <w:sz w:val="20"/>
          <w:szCs w:val="20"/>
          <w:lang w:val="en-US"/>
        </w:rPr>
        <w:t xml:space="preserve"> are molecules capable of inhibiting the oxidation of other molecules. In the context of food, an antioxidant is defined as any substance that, when present at a low concentration relative to that of an oxidizable substrate, significantly delays or inhibits the oxidation of that substrate. Antioxidant compounds can neutralize free radicals, including reactive oxygen species (</w:t>
      </w:r>
      <m:oMath>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superoxide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hydroxyl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peroxyl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alkoxyl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and nitric oxide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By slowing the process of lipid peroxidation, which is a major cause of deterioration in food and pharmaceutical products during processing and storage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{"citationItems":[{"id":"ITEM-1","itemData":{"DOI":"10.1007/s00204-011-0774-2","ISSN":"03405761","PMID":"22102161","abstract":"Recently,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Springer-Verlag.","author":[{"dropping-particle":"","family":"Gülçin","given":"Ilhami","non-dropping-particle":"","parse-names":false,"suffix":""}],"container-title":"Archives of Toxicology","id":"ITEM-1","issue":"3","issued":{"date-parts":[["2012"]]},"page":"345-391","title":"Antioxidant activity of food constituents: An overview","type":"article-journal","volume":"86"},"uris":["http://www.mendeley.com/documents/?uuid=dc149c1c-a4d6-47cf-9c5f-d7c1ed353ef1"]}],"mendeley":{"formattedCitation":"(Gülçin, 2012)","plainTextFormattedCitation":"(Gülçin, 2012)","previouslyFormattedCitation":"(Gülçin,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these antioxidant compounds can extend shelf life. Additionally, incorporating these antioxidants into the diet may help combat various chronic diseases, such as obesity, diabetes, and cardiovascular conditions. Given their central role in the diet of populations, the leaves and fruits of the two studied plants</w:t>
      </w:r>
      <w:r w:rsidR="007A60FB" w:rsidRPr="005250A4">
        <w:rPr>
          <w:rFonts w:ascii="Arial" w:hAnsi="Arial" w:cs="Arial"/>
          <w:color w:val="000000" w:themeColor="text1"/>
          <w:sz w:val="20"/>
          <w:szCs w:val="20"/>
          <w:lang w:val="en-US"/>
        </w:rPr>
        <w:t xml:space="preserve"> (</w:t>
      </w:r>
      <w:r w:rsidR="007A60FB" w:rsidRPr="005250A4">
        <w:rPr>
          <w:rFonts w:ascii="Arial" w:hAnsi="Arial" w:cs="Arial"/>
          <w:i/>
          <w:color w:val="000000" w:themeColor="text1"/>
          <w:sz w:val="20"/>
          <w:szCs w:val="20"/>
          <w:lang w:val="en-US"/>
        </w:rPr>
        <w:t xml:space="preserve">C. </w:t>
      </w:r>
      <w:proofErr w:type="spellStart"/>
      <w:r w:rsidR="007A60FB" w:rsidRPr="005250A4">
        <w:rPr>
          <w:rFonts w:ascii="Arial" w:hAnsi="Arial" w:cs="Arial"/>
          <w:i/>
          <w:color w:val="000000" w:themeColor="text1"/>
          <w:sz w:val="20"/>
          <w:szCs w:val="20"/>
          <w:lang w:val="en-US"/>
        </w:rPr>
        <w:t>olitorius</w:t>
      </w:r>
      <w:proofErr w:type="spellEnd"/>
      <w:r w:rsidR="007A60FB" w:rsidRPr="005250A4">
        <w:rPr>
          <w:rFonts w:ascii="Arial" w:hAnsi="Arial" w:cs="Arial"/>
          <w:i/>
          <w:color w:val="000000" w:themeColor="text1"/>
          <w:sz w:val="20"/>
          <w:szCs w:val="20"/>
          <w:lang w:val="en-US"/>
        </w:rPr>
        <w:t xml:space="preserve"> </w:t>
      </w:r>
      <w:r w:rsidR="007A60FB" w:rsidRPr="005250A4">
        <w:rPr>
          <w:rFonts w:ascii="Arial" w:hAnsi="Arial" w:cs="Arial"/>
          <w:color w:val="000000" w:themeColor="text1"/>
          <w:sz w:val="20"/>
          <w:szCs w:val="20"/>
          <w:lang w:val="en-US"/>
        </w:rPr>
        <w:t>and</w:t>
      </w:r>
      <w:r w:rsidR="007A60FB" w:rsidRPr="005250A4">
        <w:rPr>
          <w:rFonts w:ascii="Arial" w:hAnsi="Arial" w:cs="Arial"/>
          <w:i/>
          <w:color w:val="000000" w:themeColor="text1"/>
          <w:sz w:val="20"/>
          <w:szCs w:val="20"/>
          <w:lang w:val="en-US"/>
        </w:rPr>
        <w:t xml:space="preserve"> A. esculentus</w:t>
      </w:r>
      <w:r w:rsidR="007A60FB"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are likely to be rich sources of antioxidant compounds.</w:t>
      </w:r>
    </w:p>
    <w:p w14:paraId="48804387" w14:textId="14EEA347" w:rsidR="00FA557E" w:rsidRPr="005250A4" w:rsidRDefault="00FA557E" w:rsidP="00FA557E">
      <w:pPr>
        <w:pStyle w:val="NormalWeb"/>
        <w:spacing w:line="360" w:lineRule="auto"/>
        <w:rPr>
          <w:rFonts w:ascii="Arial" w:hAnsi="Arial" w:cs="Arial"/>
          <w:color w:val="000000" w:themeColor="text1"/>
          <w:sz w:val="20"/>
          <w:szCs w:val="20"/>
          <w:lang w:val="en-US"/>
        </w:rPr>
      </w:pPr>
      <w:r w:rsidRPr="005250A4">
        <w:rPr>
          <w:rStyle w:val="Strong"/>
          <w:rFonts w:ascii="Arial" w:hAnsi="Arial" w:cs="Arial"/>
          <w:b w:val="0"/>
          <w:color w:val="000000" w:themeColor="text1"/>
          <w:sz w:val="20"/>
          <w:szCs w:val="20"/>
          <w:lang w:val="en-US"/>
        </w:rPr>
        <w:t>Fig</w:t>
      </w:r>
      <w:r w:rsidR="00761298" w:rsidRPr="005250A4">
        <w:rPr>
          <w:rStyle w:val="Strong"/>
          <w:rFonts w:ascii="Arial" w:hAnsi="Arial" w:cs="Arial"/>
          <w:b w:val="0"/>
          <w:color w:val="000000" w:themeColor="text1"/>
          <w:sz w:val="20"/>
          <w:szCs w:val="20"/>
          <w:lang w:val="en-US"/>
        </w:rPr>
        <w:t>.</w:t>
      </w:r>
      <w:r w:rsidRPr="005250A4">
        <w:rPr>
          <w:rStyle w:val="Strong"/>
          <w:rFonts w:ascii="Arial" w:hAnsi="Arial" w:cs="Arial"/>
          <w:b w:val="0"/>
          <w:color w:val="000000" w:themeColor="text1"/>
          <w:sz w:val="20"/>
          <w:szCs w:val="20"/>
          <w:lang w:val="en-US"/>
        </w:rPr>
        <w:t xml:space="preserve"> 1</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illustrates that the powders derived from the leaves and fruits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exhibit</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depending on the studied organ</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The </w:t>
      </w:r>
      <w:r w:rsidRPr="005250A4">
        <w:rPr>
          <w:rStyle w:val="Strong"/>
          <w:rFonts w:ascii="Arial" w:hAnsi="Arial" w:cs="Arial"/>
          <w:b w:val="0"/>
          <w:color w:val="000000" w:themeColor="text1"/>
          <w:sz w:val="20"/>
          <w:szCs w:val="20"/>
          <w:lang w:val="en-US"/>
        </w:rPr>
        <w:t>inhibitory concentrations (IC</w:t>
      </w:r>
      <w:r w:rsidRPr="005250A4">
        <w:rPr>
          <w:rStyle w:val="Strong"/>
          <w:rFonts w:ascii="Arial" w:hAnsi="Arial" w:cs="Arial"/>
          <w:b w:val="0"/>
          <w:color w:val="000000" w:themeColor="text1"/>
          <w:sz w:val="20"/>
          <w:szCs w:val="20"/>
          <w:vertAlign w:val="subscript"/>
          <w:lang w:val="en-US"/>
        </w:rPr>
        <w:t>50</w:t>
      </w:r>
      <w:r w:rsidRPr="005250A4">
        <w:rPr>
          <w:rStyle w:val="Strong"/>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C50244"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lastRenderedPageBreak/>
        <w:t>as follows:</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18.06 ± 1.04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16.17 ± 1.35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ABTS, and</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22.52 ± 1.15 µg/ml</w:t>
      </w:r>
      <w:r w:rsidRPr="005250A4">
        <w:rPr>
          <w:rFonts w:ascii="Arial" w:hAnsi="Arial" w:cs="Arial"/>
          <w:color w:val="000000" w:themeColor="text1"/>
          <w:sz w:val="20"/>
          <w:szCs w:val="20"/>
          <w:lang w:val="en-US"/>
        </w:rPr>
        <w:t xml:space="preserve"> for FRAP. Notably, the leaves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display</w:t>
      </w:r>
      <w:r w:rsidR="00C50244"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the most substantial antioxidant activities for DPPH (18.06 ± 1.04 µg/ml), ABTS (16.17 ± 1.35 µg/ml), and FRAP (22.52 ± 1.15 µg/ml), closely approaching those of the standard, which is vitamin C (8.92 ± 0.66 µg/ml for DPPH, 2.72 ± 0.80 µg/ml for ABTS, and 13.94 ± 0.70 µg/ml for FRAP). However, the inhibitory concentrations of </w:t>
      </w:r>
      <w:r w:rsidR="00C50244"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leaf </w:t>
      </w:r>
      <w:r w:rsidR="00202D84" w:rsidRPr="005250A4">
        <w:rPr>
          <w:rFonts w:ascii="Arial" w:hAnsi="Arial" w:cs="Arial"/>
          <w:color w:val="000000" w:themeColor="text1"/>
          <w:sz w:val="20"/>
          <w:szCs w:val="20"/>
          <w:lang w:val="en-US"/>
        </w:rPr>
        <w:t>extract</w:t>
      </w:r>
      <w:r w:rsidRPr="005250A4">
        <w:rPr>
          <w:rFonts w:ascii="Arial" w:hAnsi="Arial" w:cs="Arial"/>
          <w:color w:val="000000" w:themeColor="text1"/>
          <w:sz w:val="20"/>
          <w:szCs w:val="20"/>
          <w:lang w:val="en-US"/>
        </w:rPr>
        <w:t xml:space="preserve"> responsible for the highest DPPH and ABTS antioxidant activities d</w:t>
      </w:r>
      <w:r w:rsidR="00C50244" w:rsidRPr="005250A4">
        <w:rPr>
          <w:rFonts w:ascii="Arial" w:hAnsi="Arial" w:cs="Arial"/>
          <w:color w:val="000000" w:themeColor="text1"/>
          <w:sz w:val="20"/>
          <w:szCs w:val="20"/>
          <w:lang w:val="en-US"/>
        </w:rPr>
        <w:t>id</w:t>
      </w:r>
      <w:r w:rsidRPr="005250A4">
        <w:rPr>
          <w:rFonts w:ascii="Arial" w:hAnsi="Arial" w:cs="Arial"/>
          <w:color w:val="000000" w:themeColor="text1"/>
          <w:sz w:val="20"/>
          <w:szCs w:val="20"/>
          <w:lang w:val="en-US"/>
        </w:rPr>
        <w:t xml:space="preserve"> not exhibit significant differences. These IC</w:t>
      </w:r>
      <w:r w:rsidRPr="005250A4">
        <w:rPr>
          <w:rFonts w:ascii="Arial" w:hAnsi="Arial" w:cs="Arial"/>
          <w:color w:val="000000" w:themeColor="text1"/>
          <w:sz w:val="20"/>
          <w:szCs w:val="20"/>
          <w:vertAlign w:val="subscript"/>
          <w:lang w:val="en-US"/>
        </w:rPr>
        <w:t>50</w:t>
      </w:r>
      <w:r w:rsidR="007234F0" w:rsidRPr="005250A4">
        <w:rPr>
          <w:rFonts w:ascii="Arial" w:hAnsi="Arial" w:cs="Arial"/>
          <w:color w:val="000000" w:themeColor="text1"/>
          <w:sz w:val="20"/>
          <w:szCs w:val="20"/>
          <w:lang w:val="en-US"/>
        </w:rPr>
        <w:t xml:space="preserve"> values are higher</w:t>
      </w:r>
      <w:r w:rsidRPr="005250A4">
        <w:rPr>
          <w:rFonts w:ascii="Arial" w:hAnsi="Arial" w:cs="Arial"/>
          <w:color w:val="000000" w:themeColor="text1"/>
          <w:sz w:val="20"/>
          <w:szCs w:val="20"/>
          <w:lang w:val="en-US"/>
        </w:rPr>
        <w:t xml:space="preserve">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w:t>
      </w:r>
      <w:r w:rsidR="00A43AD8" w:rsidRPr="005250A4">
        <w:rPr>
          <w:rFonts w:ascii="Arial" w:hAnsi="Arial" w:cs="Arial"/>
          <w:color w:val="000000" w:themeColor="text1"/>
          <w:sz w:val="20"/>
          <w:szCs w:val="20"/>
          <w:lang w:val="en-US"/>
        </w:rPr>
        <w:t xml:space="preserve">ose </w:t>
      </w:r>
      <w:r w:rsidRPr="005250A4">
        <w:rPr>
          <w:rFonts w:ascii="Arial" w:hAnsi="Arial" w:cs="Arial"/>
          <w:color w:val="000000" w:themeColor="text1"/>
          <w:sz w:val="20"/>
          <w:szCs w:val="20"/>
          <w:lang w:val="en-US"/>
        </w:rPr>
        <w:t>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{"citationItems":[{"id":"ITEM-1","itemData":{"DOI":"10.22159/ijcpr.2017v9i5.22138","abstract":"Objective: The present study was carried out to evaluate the in vitro preliminary phytochemical analysis and antioxidant activity of methanolic leaf extracts of Corchorus olitorius L. The in vitro antioxidant activity was evaluated by DPPH radical scavenging activity method.Methods: Fresh jute leaves (immature, mature and senescence) were collected, air dried and the crude powder was prepared for phytochemical and antioxidant analysis. The powder was mixed with 70% methanol and the supernatant was separated. The antioxidant activity of this methanolic extract was measured on the basis of the scavenging activity of the stable 1, 1-diphenyl 2-picrylhydrazyl (DPPH) free radical with slight modifications. Phytochemical analysis was performed according to standard laboratory protocol.Results: The results indicated the presence of different phytochemicals viz. glycosides, steroids, cholesterol, alkaloids, phenols, flavonoids, riboflavin, saponins and terpenoids. The sample also showed antioxidant activity by inhibiting DPPH radical. The significant antioxidant activity of methanolic leaf extract of might be due to the presence of saponins, phenols, flavonoids and alkaloids found in the preliminary phytochemical analysis.Conclusion: Present study reveals that the jute leaf possesses different phytonutrients and exhibited DPPH radical scavenging activity, and therefore, may be used for therapeutic purposes.","author":[{"dropping-particle":"","family":"Sadat","given":"Abdul","non-dropping-particle":"","parse-names":false,"suffix":""},{"dropping-particle":"","family":"Hore","given":"Mayukh","non-dropping-particle":"","parse-names":false,"suffix":""},{"dropping-particle":"","family":"Chakraborty","given":"Kaushik","non-dropping-particle":"","parse-names":false,"suffix":""},{"dropping-particle":"","family":"Roy","given":"Subhrajyoti","non-dropping-particle":"","parse-names":false,"suffix":""}],"container-title":"International Journal of Current Pharmaceutical Research","id":"ITEM-1","issue":"5","issued":{"date-parts":[["2017"]]},"page":"59-63","title":"Phytochemical Analysis and Antioxidant Activity of Methanolic Extract of Leaves of Corchorus Olitorius","type":"article-journal","volume":"9"},"uris":["http://www.mendeley.com/documents/?uuid=9b5a8679-4129-486d-bf1f-6cab42f76094"]}],"mendeley":{"formattedCitation":"(Sadat et al., 2017)","manualFormatting":"Sadat et al. 2017)","plainTextFormattedCitation":"(Sadat et al., 2017)","previouslyFormattedCitation":"(Sadat et al.,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Sadat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(75.41 µg/ml for DPPH) an</w:t>
      </w:r>
      <w:r w:rsidR="00535C77">
        <w:rPr>
          <w:rFonts w:ascii="Arial" w:hAnsi="Arial" w:cs="Arial"/>
          <w:color w:val="000000" w:themeColor="text1"/>
          <w:sz w:val="20"/>
          <w:szCs w:val="20"/>
          <w:lang w:val="en-US"/>
        </w:rPr>
        <w:t>d</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{"citationItems":[{"id":"ITEM-1","itemData":{"DOI":"10.1016/j.indcrop.2018.03.047","ISSN":"09266690","abstract":"Tossa jute (Corchorus olitorius L.) is one of the Tunisian plants, traditionally used as a medicinal herb. The purpose of this study was to analyze the antioxidant and antibacterial activities, and phenolic profiles of C. olitorius L extracts. The effects of various solvents (ethanol, 50/50 ethanol/water and water) on the phenolic profile of C. olitorius leaf and their corresponding biological activity were studied. The results showed that ethanol appeared the most effective solvent for polyphenols and flavonoids’ extraction, as confirmed by the LC–MS analysis. In fact, the ethanolic extract (EE) showed the highest content of phenolic acid and flavonoid compounds. The major identified compounds were quinic acid, 4-O-caffeoylquinic acid, 3,4-di-O-caffeoyquinic acid, protocatchuic acid, caffeic acid, quercetin, and cirsiliol. Also, other phenolic compounds such as p-coumaric acid, trans-Ferulic acid, rosmarinic acid, naringenin, naringin, apegenin-7-O-glucoside, cirsilineol, and cirsiliol were detected in this extract. Results indicated that EE extraction exhibited higher antioxidant activities than the ethanol/aqueous extract (EAE) and aqueous extract (AE), in dose-dependent manner (p &lt; 0.05). At EE concentration of 500 μg/mL, the antioxidant activities were about 91.65 ± 0.15% against 1,1-diphenyl-2-picryl hydrazyl radical (DPPH) radicals, 70.24 ± 0.19% against lipid peroxidation and 86.19 ± 0.85% against β-carotene bleaching. The EE ferric reducing power (FRAP) reached a high absorbance of 2.0 ± 0.14 and displayed a protection role of DNA, at the same concentration. Antimicrobial test showed also that increasing concentrations of phenolic extracts increased the clear diameter zone around the tested bacteria and that EE exhibited the best antibacterial activity against Staphylocaccus aureus, Micrococcus luteus, Bacillus cereus, Escherichia coli, Klebsiella pneumoniae, Salmonella enterica, Salmonella typhi, and Enterobacter sp. The overall data suggested that EE might be used as a natural antioxidant and antimicrobial for functional foods.","author":[{"dropping-particle":"","family":"Yakoub","given":"Amira Racha","non-dropping-particle":"Ben","parse-names":false,"suffix":""},{"dropping-particle":"","family":"Abdehedi","given":"Ola","non-dropping-particle":"","parse-names":false,"suffix":""},{"dropping-particle":"","family":"Jridi","given":"Mourad","non-dropping-particle":"","parse-names":false,"suffix":""},{"dropping-particle":"","family":"Elfalleh","given":"Walid","non-dropping-particle":"","parse-names":false,"suffix":""},{"dropping-particle":"","family":"Nasri","given":"Moncef","non-dropping-particle":"","parse-names":false,"suffix":""},{"dropping-particle":"","family":"Ferchichi","given":"Ali","non-dropping-particle":"","parse-names":false,"suffix":""}],"container-title":"Industrial Crops and Products","id":"ITEM-1","issue":"March","issued":{"date-parts":[["2018"]]},"page":"206-213","title":"Flavonoids, phenols, antioxidant, and antimicrobial activities in various extracts from Tossa jute leave (Corchorus olitorius L.)","type":"article-journal","volume":"118"},"uris":["http://www.mendeley.com/documents/?uuid=aec6e7f1-ef0f-4fc0-a446-63e053eafcbc"]}],"mendeley":{"formattedCitation":"(Ben Yakoub et al., 2018)","manualFormatting":"Ben Yakoub et al. (2018)","plainTextFormattedCitation":"(Ben Yakoub et al., 2018)","previouslyFormattedCitation":"(Ben Yakoub et al., 2018)"},"properties":{"noteIndex":0},"schema":"https://github.com/citation-style-language/schema/raw/master/csl-citation.json"}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Ben Yakoub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2018)</w:t>
      </w:r>
      <w:r w:rsidR="00202FD1" w:rsidRPr="005250A4">
        <w:rPr>
          <w:rFonts w:ascii="Arial" w:hAnsi="Arial" w:cs="Arial"/>
          <w:color w:val="000000" w:themeColor="text1"/>
          <w:sz w:val="20"/>
          <w:szCs w:val="20"/>
          <w:lang w:val="en-US"/>
        </w:rPr>
        <w:fldChar w:fldCharType="end"/>
      </w:r>
      <w:r w:rsidRPr="005250A4">
        <w:rPr>
          <w:rFonts w:ascii="Arial" w:hAnsi="Arial" w:cs="Arial"/>
          <w:color w:val="000000" w:themeColor="text1"/>
          <w:sz w:val="20"/>
          <w:szCs w:val="20"/>
          <w:lang w:val="en-US"/>
        </w:rPr>
        <w:t xml:space="preserve"> (500 µg/ml for FRAP) f</w:t>
      </w:r>
      <w:r w:rsidR="00A43AD8" w:rsidRPr="005250A4">
        <w:rPr>
          <w:rFonts w:ascii="Arial" w:hAnsi="Arial" w:cs="Arial"/>
          <w:color w:val="000000" w:themeColor="text1"/>
          <w:sz w:val="20"/>
          <w:szCs w:val="20"/>
          <w:lang w:val="en-US"/>
        </w:rPr>
        <w:t>or</w:t>
      </w:r>
      <w:r w:rsidRPr="005250A4">
        <w:rPr>
          <w:rFonts w:ascii="Arial" w:hAnsi="Arial" w:cs="Arial"/>
          <w:color w:val="000000" w:themeColor="text1"/>
          <w:sz w:val="20"/>
          <w:szCs w:val="20"/>
          <w:lang w:val="en-US"/>
        </w:rPr>
        <w:t xml:space="preserve"> ethanol extracts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Furthermore, the</w:t>
      </w:r>
      <w:r w:rsidR="00A43AD8" w:rsidRPr="005250A4">
        <w:rPr>
          <w:rFonts w:ascii="Arial" w:hAnsi="Arial" w:cs="Arial"/>
          <w:color w:val="000000" w:themeColor="text1"/>
          <w:sz w:val="20"/>
          <w:szCs w:val="20"/>
          <w:lang w:val="en-US"/>
        </w:rPr>
        <w:t>se values</w:t>
      </w:r>
      <w:r w:rsidRPr="005250A4">
        <w:rPr>
          <w:rFonts w:ascii="Arial" w:hAnsi="Arial" w:cs="Arial"/>
          <w:color w:val="000000" w:themeColor="text1"/>
          <w:sz w:val="20"/>
          <w:szCs w:val="20"/>
          <w:lang w:val="en-US"/>
        </w:rPr>
        <w:t xml:space="preserve"> are lower than </w:t>
      </w:r>
      <w:r w:rsidR="00A43AD8" w:rsidRPr="005250A4">
        <w:rPr>
          <w:rFonts w:ascii="Arial" w:hAnsi="Arial" w:cs="Arial"/>
          <w:color w:val="000000" w:themeColor="text1"/>
          <w:sz w:val="20"/>
          <w:szCs w:val="20"/>
          <w:lang w:val="en-US"/>
        </w:rPr>
        <w:t xml:space="preserve">those of </w:t>
      </w:r>
      <w:r w:rsidRPr="005250A4">
        <w:rPr>
          <w:rFonts w:ascii="Arial" w:hAnsi="Arial" w:cs="Arial"/>
          <w:color w:val="000000" w:themeColor="text1"/>
          <w:sz w:val="20"/>
          <w:szCs w:val="20"/>
          <w:lang w:val="en-US"/>
        </w:rPr>
        <w:t xml:space="preserve">the methanolic leaf extracts of </w:t>
      </w:r>
      <w:r w:rsidRPr="005250A4">
        <w:rPr>
          <w:rStyle w:val="Emphasis"/>
          <w:rFonts w:ascii="Arial" w:hAnsi="Arial" w:cs="Arial"/>
          <w:color w:val="000000" w:themeColor="text1"/>
          <w:sz w:val="20"/>
          <w:szCs w:val="20"/>
          <w:lang w:val="en-US"/>
        </w:rPr>
        <w:t>M. sericea</w:t>
      </w:r>
      <w:r w:rsidRPr="005250A4">
        <w:rPr>
          <w:rFonts w:ascii="Arial" w:hAnsi="Arial" w:cs="Arial"/>
          <w:color w:val="000000" w:themeColor="text1"/>
          <w:sz w:val="20"/>
          <w:szCs w:val="20"/>
          <w:lang w:val="en-US"/>
        </w:rPr>
        <w:t xml:space="preserve"> (13.26 ± 0.39 </w:t>
      </w:r>
      <w:r w:rsidRPr="005250A4">
        <w:rPr>
          <w:rFonts w:ascii="Arial" w:hAnsi="Arial" w:cs="Arial"/>
          <w:color w:val="000000" w:themeColor="text1"/>
          <w:sz w:val="20"/>
          <w:szCs w:val="20"/>
        </w:rPr>
        <w:t>μ</w:t>
      </w:r>
      <w:r w:rsidRPr="005250A4">
        <w:rPr>
          <w:rFonts w:ascii="Arial" w:hAnsi="Arial" w:cs="Arial"/>
          <w:color w:val="000000" w:themeColor="text1"/>
          <w:sz w:val="20"/>
          <w:szCs w:val="20"/>
          <w:lang w:val="en-US"/>
        </w:rPr>
        <w:t>g/ml for ABTS)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{"citationItems":[{"id":"ITEM-1","itemData":{"DOI":"10.5530/pj.2017.2.36","ISSN":"09753575","abstract":"Objectives: To evaluate the phytochemical composition and the antioxidant activity of aqueous-methanolic (20:80) leaves extract of Mundulea sericea Willd. Methods: The extract of leaves was tested for antioxidant activity using various in vitro models viz., 2,2-diphenyl-1-picrylhydrazyl (DPPH), nitric oxide, ABTS, ferric reducing antioxidant power (FRAP), total antioxidant activity and reducing power. The phytochemical composition (GC-MS and HPLC) along with total phenolic and flavonoid content of the extract at different concentrations were also determined. Results: Total phenolic and flavonoid contents were found to be equivalents to 107.86 ?} 0.53 μg of gallic acid and 44.53 ?} 0.156 μg of rutin /mg of dried hydro-methanolic methanolic extract, respectively. Among various antioxidant assays performed, maximum inhibition was observed for ABTS (IC50 13.26 ?} 0.396 μg) followed by DPPH (IC50 79.83 ?} 0.306 μg) and NO (IC50 6.35 ?} 0.23 μg/mL) assay. The GC-MS analysis revealed over 38 compounds; the prevailing compounds were Sec- Butyl ethyl sulfoxide and Di-methyl sulfoxonium formyl methylide. The RP-HPLC analysis further confirmed the presence of rutin, cinnamic acid and salicylic acid. Conclusion: The results of the present study demonstrated that Mundulea sericea leaves possess high phenolic with flavonoid contents and also revealed potential antioxidant activity so these leaves could be used as a viable source of natural antioxidants for industrial and pharmaceutical preparations.","author":[{"dropping-particle":"","family":"Khyade","given":"Mahendra Shivshankar","non-dropping-particle":"","parse-names":false,"suffix":""},{"dropping-particle":"","family":"Waman","given":"Mohan Baban","non-dropping-particle":"","parse-names":false,"suffix":""}],"container-title":"Pharmacognosy Journal","id":"ITEM-1","issue":"2","issued":{"date-parts":[["2017"]]},"page":"213-220","title":"Chemical profile and antioxidant properties of mundulea sericea","type":"article-journal","volume":"9"},"uris":["http://www.mendeley.com/documents/?uuid=8677e087-9619-4431-8303-28703fb511f8"]}],"mendeley":{"formattedCitation":"(Khyade &amp; Waman, 2017)","manualFormatting":"Khyade &amp; Waman (2017)","plainTextFormattedCitation":"(Khyade &amp; Waman, 2017)","previouslyFormattedCitation":"(Khyade &amp; Waman,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Khyade &amp; Waman</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These observed differences may be attributed to the effects of the solvent type used during the extraction process from the studied organs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{"citationItems":[{"id":"ITEM-1","itemData":{"DOI":"10.5530/ax.2012.2.5","ISSN":"22312536","abstract":"Introduction: Canna edulis Ker Gawler, grown in the sub Himalayan region containing starchy rhizome are used by the tribal people as food and herbal medicine. Methods: Investigations were done to find out 2,2-diphenyl-1-picryl hydrazyl (DPPH) radical scavenging activity, total flavonols and total proanthocyanidin contents, nitric oxide (NO) scavenging activity, hydroxyl radical scavenging activity of different solvent fractions of aquous extract of C. edulis rhizome. Among the cellular molecules, lipids containing unsaturated fatty acids with more than one double bond are particularly susceptible to action of free radicals. The resulting reaction, known as lipid peroxidation and anti lipid peroxidation activity has been performed using goat liver homogenate. Results: Six out of 29 fractions showed DPPH free radical inhibition above 75% and were used for further phytochemical screening. Diethyl ether : ethyl acetate (1:3) fraction showed the maximum inhibition percent. Highest amount of total flavonol and total proanthocyanidins were recorded in diethyl ether : ethyl acetate (1:3) fraction. Maximum NO scavenging activity and hydroxyl radical inhibition activity were observed in bioactive diethyl ether : ethyl acetate (1:1) fraction. Inhibition of lipid peroxides was maximum in ethyl acetate fraction. Data from thin layer chromatography (TLC) revealed the presence of phenolic compounds in all fractions, whereas flavonoid glycoside compounds were restricted in ethyl acetate and diethyl ether : ethyl acetate (1:3). Conclusions: Thus it can be concluded that the antiradical scavenging activity of Canna rhizome may be due to the presence of polyphenolic compouns like phenols, flavonoids, proanthocynidins etc.","author":[{"dropping-particle":"","family":"Mishra","given":"Tanmayee","non-dropping-particle":"","parse-names":false,"suffix":""},{"dropping-particle":"","family":"Das","given":"Abhaya Prasad","non-dropping-particle":"","parse-names":false,"suffix":""},{"dropping-particle":"","family":"Sen","given":"Arnab","non-dropping-particle":"","parse-names":false,"suffix":""}],"container-title":"Free Radicals and Antioxidants","id":"ITEM-1","issue":"1","issued":{"date-parts":[["2012"]]},"page":"13-20","title":"Phytochemical Screening and ln-vitro Antioxidant Profiling of Solvent Fractions of Canna edulis Ker Gawler","type":"article-journal","volume":"2"},"uris":["http://www.mendeley.com/documents/?uuid=7a235b6a-fd12-4368-ae14-3f09f0597bd3"]}],"mendeley":{"formattedCitation":"(Mishra et al., 2012)","plainTextFormattedCitation":"(Mishra et al., 2012)","previouslyFormattedCitation":"(Mishra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(Mishra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p>
    <w:p w14:paraId="7BAB7565" w14:textId="05FA5F86" w:rsidR="00563493" w:rsidRPr="005250A4" w:rsidRDefault="00EA0251"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Similar to </w:t>
      </w:r>
      <w:r w:rsidR="00A43AD8" w:rsidRPr="005250A4">
        <w:rPr>
          <w:rFonts w:ascii="Arial" w:hAnsi="Arial" w:cs="Arial"/>
          <w:color w:val="000000" w:themeColor="text1"/>
          <w:sz w:val="20"/>
          <w:szCs w:val="20"/>
          <w:lang w:val="en-US"/>
        </w:rPr>
        <w:t xml:space="preserve">those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the leaves and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also exhibit </w:t>
      </w:r>
      <w:r w:rsidRPr="005250A4">
        <w:rPr>
          <w:rStyle w:val="Strong"/>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across different organs. The </w:t>
      </w:r>
      <w:r w:rsidRPr="005250A4">
        <w:rPr>
          <w:rStyle w:val="Strong"/>
          <w:rFonts w:ascii="Arial" w:hAnsi="Arial" w:cs="Arial"/>
          <w:b w:val="0"/>
          <w:color w:val="000000" w:themeColor="text1"/>
          <w:sz w:val="20"/>
          <w:szCs w:val="20"/>
          <w:lang w:val="en-US"/>
        </w:rPr>
        <w:t>inhibitory concentrations (IC</w:t>
      </w:r>
      <w:r w:rsidRPr="005250A4">
        <w:rPr>
          <w:rStyle w:val="Strong"/>
          <w:rFonts w:ascii="Arial" w:hAnsi="Arial" w:cs="Arial"/>
          <w:b w:val="0"/>
          <w:color w:val="000000" w:themeColor="text1"/>
          <w:sz w:val="20"/>
          <w:szCs w:val="20"/>
          <w:vertAlign w:val="subscript"/>
          <w:lang w:val="en-US"/>
        </w:rPr>
        <w:t>50</w:t>
      </w:r>
      <w:r w:rsidRPr="005250A4">
        <w:rPr>
          <w:rStyle w:val="Strong"/>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A43AD8"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as follows: </w:t>
      </w:r>
      <w:r w:rsidRPr="005250A4">
        <w:rPr>
          <w:rStyle w:val="Strong"/>
          <w:rFonts w:ascii="Arial" w:hAnsi="Arial" w:cs="Arial"/>
          <w:b w:val="0"/>
          <w:color w:val="000000" w:themeColor="text1"/>
          <w:sz w:val="20"/>
          <w:szCs w:val="20"/>
          <w:lang w:val="en-US"/>
        </w:rPr>
        <w:t>19.38 ± 1.52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Strong"/>
          <w:rFonts w:ascii="Arial" w:hAnsi="Arial" w:cs="Arial"/>
          <w:b w:val="0"/>
          <w:color w:val="000000" w:themeColor="text1"/>
          <w:sz w:val="20"/>
          <w:szCs w:val="20"/>
          <w:lang w:val="en-US"/>
        </w:rPr>
        <w:t>47.04 ± 1.19 µg/ml</w:t>
      </w:r>
      <w:r w:rsidRPr="005250A4">
        <w:rPr>
          <w:rFonts w:ascii="Arial" w:hAnsi="Arial" w:cs="Arial"/>
          <w:color w:val="000000" w:themeColor="text1"/>
          <w:sz w:val="20"/>
          <w:szCs w:val="20"/>
          <w:lang w:val="en-US"/>
        </w:rPr>
        <w:t xml:space="preserve"> for ABTS, and </w:t>
      </w:r>
      <w:r w:rsidRPr="005250A4">
        <w:rPr>
          <w:rStyle w:val="Strong"/>
          <w:rFonts w:ascii="Arial" w:hAnsi="Arial" w:cs="Arial"/>
          <w:b w:val="0"/>
          <w:color w:val="000000" w:themeColor="text1"/>
          <w:sz w:val="20"/>
          <w:szCs w:val="20"/>
          <w:lang w:val="en-US"/>
        </w:rPr>
        <w:t>30.38 ± 2.07 µg/ml</w:t>
      </w:r>
      <w:r w:rsidRPr="005250A4">
        <w:rPr>
          <w:rFonts w:ascii="Arial" w:hAnsi="Arial" w:cs="Arial"/>
          <w:color w:val="000000" w:themeColor="text1"/>
          <w:sz w:val="20"/>
          <w:szCs w:val="20"/>
          <w:lang w:val="en-US"/>
        </w:rPr>
        <w:t xml:space="preserve"> for FRAP (</w:t>
      </w:r>
      <w:r w:rsidRPr="005250A4">
        <w:rPr>
          <w:rStyle w:val="Strong"/>
          <w:rFonts w:ascii="Arial" w:hAnsi="Arial" w:cs="Arial"/>
          <w:b w:val="0"/>
          <w:color w:val="000000" w:themeColor="text1"/>
          <w:sz w:val="20"/>
          <w:szCs w:val="20"/>
          <w:lang w:val="en-US"/>
        </w:rPr>
        <w:t>Fig</w:t>
      </w:r>
      <w:r w:rsidR="00761298" w:rsidRPr="005250A4">
        <w:rPr>
          <w:rStyle w:val="Strong"/>
          <w:rFonts w:ascii="Arial" w:hAnsi="Arial" w:cs="Arial"/>
          <w:b w:val="0"/>
          <w:color w:val="000000" w:themeColor="text1"/>
          <w:sz w:val="20"/>
          <w:szCs w:val="20"/>
          <w:lang w:val="en-US"/>
        </w:rPr>
        <w:t>.</w:t>
      </w:r>
      <w:r w:rsidRPr="005250A4">
        <w:rPr>
          <w:rStyle w:val="Strong"/>
          <w:rFonts w:ascii="Arial" w:hAnsi="Arial" w:cs="Arial"/>
          <w:b w:val="0"/>
          <w:color w:val="000000" w:themeColor="text1"/>
          <w:sz w:val="20"/>
          <w:szCs w:val="20"/>
          <w:lang w:val="en-US"/>
        </w:rPr>
        <w:t xml:space="preserve"> 1</w:t>
      </w:r>
      <w:r w:rsidRPr="005250A4">
        <w:rPr>
          <w:rFonts w:ascii="Arial" w:hAnsi="Arial" w:cs="Arial"/>
          <w:color w:val="000000" w:themeColor="text1"/>
          <w:sz w:val="20"/>
          <w:szCs w:val="20"/>
          <w:lang w:val="en-US"/>
        </w:rPr>
        <w:t xml:space="preserve">). Interestingly, unlike </w:t>
      </w:r>
      <w:r w:rsidR="00A43AD8" w:rsidRPr="005250A4">
        <w:rPr>
          <w:rFonts w:ascii="Arial" w:hAnsi="Arial" w:cs="Arial"/>
          <w:color w:val="000000" w:themeColor="text1"/>
          <w:sz w:val="20"/>
          <w:szCs w:val="20"/>
          <w:lang w:val="en-US"/>
        </w:rPr>
        <w:t xml:space="preserve">those in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the most substantial DPPH, ABTS, and FRAP antioxidant activities (11.07 ± 1.64, 18.04 ± 1.94, and 23.17 ± 1.35 µg/ml, respectively) </w:t>
      </w:r>
      <w:r w:rsidR="00A43AD8" w:rsidRPr="005250A4">
        <w:rPr>
          <w:rFonts w:ascii="Arial" w:hAnsi="Arial" w:cs="Arial"/>
          <w:color w:val="000000" w:themeColor="text1"/>
          <w:sz w:val="20"/>
          <w:szCs w:val="20"/>
          <w:lang w:val="en-US"/>
        </w:rPr>
        <w:t>were detected</w:t>
      </w:r>
      <w:r w:rsidRPr="005250A4">
        <w:rPr>
          <w:rFonts w:ascii="Arial" w:hAnsi="Arial" w:cs="Arial"/>
          <w:color w:val="000000" w:themeColor="text1"/>
          <w:sz w:val="20"/>
          <w:szCs w:val="20"/>
          <w:lang w:val="en-US"/>
        </w:rPr>
        <w:t xml:space="preserve"> in the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These values closely</w:t>
      </w:r>
      <w:r w:rsidR="00A43AD8" w:rsidRPr="005250A4">
        <w:rPr>
          <w:rFonts w:ascii="Arial" w:hAnsi="Arial" w:cs="Arial"/>
          <w:color w:val="000000" w:themeColor="text1"/>
          <w:sz w:val="20"/>
          <w:szCs w:val="20"/>
          <w:lang w:val="en-US"/>
        </w:rPr>
        <w:t xml:space="preserve"> resemble</w:t>
      </w:r>
      <w:r w:rsidRPr="005250A4">
        <w:rPr>
          <w:rFonts w:ascii="Arial" w:hAnsi="Arial" w:cs="Arial"/>
          <w:color w:val="000000" w:themeColor="text1"/>
          <w:sz w:val="20"/>
          <w:szCs w:val="20"/>
          <w:lang w:val="en-US"/>
        </w:rPr>
        <w:t xml:space="preserve"> those of the standard molecule, vitamin C (8.92 ± 0.66 µg/ml for DPPH, 2.72 ± 0.80 µg/ml for ABTS, and 13.94 ± 0.70 µg/ml for FRAP). Notably, </w:t>
      </w:r>
      <w:r w:rsidR="00A43AD8" w:rsidRPr="005250A4">
        <w:rPr>
          <w:rFonts w:ascii="Arial" w:hAnsi="Arial" w:cs="Arial"/>
          <w:color w:val="000000" w:themeColor="text1"/>
          <w:sz w:val="20"/>
          <w:szCs w:val="20"/>
          <w:lang w:val="en-US"/>
        </w:rPr>
        <w:t xml:space="preserve">various authors reported </w:t>
      </w:r>
      <w:r w:rsidRPr="005250A4">
        <w:rPr>
          <w:rFonts w:ascii="Arial" w:hAnsi="Arial" w:cs="Arial"/>
          <w:color w:val="000000" w:themeColor="text1"/>
          <w:sz w:val="20"/>
          <w:szCs w:val="20"/>
          <w:lang w:val="en-US"/>
        </w:rPr>
        <w:t>lower IC</w:t>
      </w:r>
      <w:r w:rsidRPr="005250A4">
        <w:rPr>
          <w:rFonts w:ascii="Arial" w:hAnsi="Arial" w:cs="Arial"/>
          <w:color w:val="000000" w:themeColor="text1"/>
          <w:sz w:val="20"/>
          <w:szCs w:val="20"/>
          <w:vertAlign w:val="subscript"/>
          <w:lang w:val="en-US"/>
        </w:rPr>
        <w:t>50</w:t>
      </w:r>
      <w:r w:rsidRPr="005250A4">
        <w:rPr>
          <w:rFonts w:ascii="Arial" w:hAnsi="Arial" w:cs="Arial"/>
          <w:color w:val="000000" w:themeColor="text1"/>
          <w:sz w:val="20"/>
          <w:szCs w:val="20"/>
          <w:lang w:val="en-US"/>
        </w:rPr>
        <w:t xml:space="preserve"> values for methanolic extracts (1000 µg/ml for DPPH)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{"citationItems":[{"id":"ITEM-1","itemData":{"ISSN":"22784535","abstract":"Diabetes mellitus is a leading cause of morbitity and mortality worldwide. There has been a constant search for natural compounds that possess antidiabetic effect with little or no side effects unlike the synthetic compounds. The purpose of this investigation is to determine the antioxidant potential and in vitro anti-diabetic activities of Abelmoschus esculentus. The antioxidant activity of Abelmoschus esculentus extracts was determined by total antioxidant activities like DPPH, ferrous ion chelating activity and inhibition of β- carotene bleaching. At 0.125 to 2.0 mg/mL, the scavenging activities of aqueous, ethanol and methanol extracts on DPPH radical ranged from 10.2 to 80.2%, 11.5 to 90.6% and 12.8 to 93.6%, respectively. The strongest chelating effect 68.5% was obtained from methanol whereas ethanol shows 65.6% at 1.0 mg/mL. At this concentration, the lowest ferrous ion chelating effect was exhibited by aqueous extract (62.4%). Abelmoschus esculentus efficiently inhibits both α-amylase and α-glucosidase enzymes in vitro in a dose dependent manner. These results revealed that methanolic extracts of Abelmoschus esculentus have better antioxidant and antidiabetic activity than ethanol and aqueous extracts which support the medicinal properties of Abelmoschus esculentus.","author":[{"dropping-particle":"","family":"Ahmed","given":"Babu Thabraz","non-dropping-particle":"","parse-names":false,"suffix":""},{"dropping-particle":"","family":"Kumar","given":"Sekar Ashok","non-dropping-particle":"","parse-names":false,"suffix":""}],"container-title":"Research Journal of Biotechnology","id":"ITEM-1","issue":"3","issued":{"date-parts":[["2016"]]},"page":"34-41","title":"Antioxidant and antidiabetic properties of abelmoschus esculentus extract - An in vitro assay","type":"article-journal","volume":"11"},"uris":["http://www.mendeley.com/documents/?uuid=bcbf6b18-8619-4a6c-9f3a-cb40726f3c26"]}],"mendeley":{"formattedCitation":"(Ahmed &amp; Kumar, 2016)","plainTextFormattedCitation":"(Ahmed &amp; Kumar, 2016)","previouslyFormattedCitation":"(Ahmed &amp; Kumar,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(Ahmed &amp; Kumar,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and hydro</w:t>
      </w:r>
      <w:r w:rsidRPr="005250A4">
        <w:rPr>
          <w:rFonts w:ascii="Arial" w:hAnsi="Arial" w:cs="Arial"/>
          <w:color w:val="000000" w:themeColor="text1"/>
          <w:sz w:val="20"/>
          <w:szCs w:val="20"/>
          <w:lang w:val="en-US"/>
        </w:rPr>
        <w:t xml:space="preserve">ethanolic extracts (890 µg/ml for FRAP)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w:instrText>
      </w:r>
      <w:r w:rsidR="00E91D2D" w:rsidRPr="001313B4">
        <w:rPr>
          <w:rFonts w:ascii="Arial" w:hAnsi="Arial" w:cs="Arial"/>
          <w:color w:val="000000" w:themeColor="text1"/>
          <w:sz w:val="20"/>
          <w:szCs w:val="20"/>
          <w:lang w:val="en-US"/>
        </w:rPr>
        <w:instrText>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2020)","plainTextFormattedCitation":"(Romdhane et al., 2020)","previouslyFormattedCitation":"(Romdhane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(Romdhane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from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fruits. </w:t>
      </w:r>
      <w:r w:rsidR="00A43AD8" w:rsidRPr="005250A4">
        <w:rPr>
          <w:rFonts w:ascii="Arial" w:hAnsi="Arial" w:cs="Arial"/>
          <w:color w:val="000000" w:themeColor="text1"/>
          <w:sz w:val="20"/>
          <w:szCs w:val="20"/>
          <w:lang w:val="en-US"/>
        </w:rPr>
        <w:t>Although the</w:t>
      </w:r>
      <w:r w:rsidRPr="005250A4">
        <w:rPr>
          <w:rFonts w:ascii="Arial" w:hAnsi="Arial" w:cs="Arial"/>
          <w:color w:val="000000" w:themeColor="text1"/>
          <w:sz w:val="20"/>
          <w:szCs w:val="20"/>
          <w:lang w:val="en-US"/>
        </w:rPr>
        <w:t xml:space="preserve"> solvent type should indeed be considered during the evaluation of these activities, it is not the sole factor responsible for the observed variations.</w:t>
      </w:r>
    </w:p>
    <w:p w14:paraId="7BC3ABFC" w14:textId="5E03F647" w:rsidR="00171216" w:rsidRPr="005250A4" w:rsidRDefault="00171216"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From the preceding analysis, it is evident that neither the solvent type used during extraction nor the specific plant organs studied serve as the primary determinants of the obtained antioxidant activities and the observed variations. Instead, the substantial diversity of bioactive compounds both in terms of quality and quantity (including nutrients and secondary metabolites)</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plays a pivotal role. Notably, the leaves of </w:t>
      </w:r>
      <w:r w:rsidRPr="005250A4">
        <w:rPr>
          <w:rStyle w:val="Emphasis"/>
          <w:rFonts w:ascii="Arial" w:hAnsi="Arial" w:cs="Arial"/>
          <w:color w:val="000000" w:themeColor="text1"/>
          <w:sz w:val="20"/>
          <w:szCs w:val="20"/>
          <w:lang w:val="en-US"/>
        </w:rPr>
        <w:t xml:space="preserve">C. </w:t>
      </w:r>
      <w:proofErr w:type="spellStart"/>
      <w:r w:rsidRPr="005250A4">
        <w:rPr>
          <w:rStyle w:val="Emphasis"/>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exhibit</w:t>
      </w:r>
      <w:r w:rsidR="00D3778E" w:rsidRPr="005250A4">
        <w:rPr>
          <w:rFonts w:ascii="Arial" w:hAnsi="Arial" w:cs="Arial"/>
          <w:color w:val="000000" w:themeColor="text1"/>
          <w:sz w:val="20"/>
          <w:szCs w:val="20"/>
          <w:lang w:val="en-US"/>
        </w:rPr>
        <w:t>ed high</w:t>
      </w:r>
      <w:r w:rsidRPr="005250A4">
        <w:rPr>
          <w:rFonts w:ascii="Arial" w:hAnsi="Arial" w:cs="Arial"/>
          <w:color w:val="000000" w:themeColor="text1"/>
          <w:sz w:val="20"/>
          <w:szCs w:val="20"/>
          <w:lang w:val="en-US"/>
        </w:rPr>
        <w:t xml:space="preserve"> </w:t>
      </w:r>
      <w:r w:rsidR="00D3778E" w:rsidRPr="005250A4">
        <w:rPr>
          <w:rFonts w:ascii="Arial" w:hAnsi="Arial" w:cs="Arial"/>
          <w:color w:val="000000" w:themeColor="text1"/>
          <w:sz w:val="20"/>
          <w:szCs w:val="20"/>
          <w:lang w:val="en-US"/>
        </w:rPr>
        <w:t>content</w:t>
      </w:r>
      <w:r w:rsidRPr="005250A4">
        <w:rPr>
          <w:rFonts w:ascii="Arial" w:hAnsi="Arial" w:cs="Arial"/>
          <w:color w:val="000000" w:themeColor="text1"/>
          <w:sz w:val="20"/>
          <w:szCs w:val="20"/>
          <w:lang w:val="en-US"/>
        </w:rPr>
        <w:t>s of polyphenols</w:t>
      </w:r>
      <w:r w:rsidR="00D3778E" w:rsidRPr="005250A4">
        <w:rPr>
          <w:rFonts w:ascii="Arial" w:hAnsi="Arial" w:cs="Arial"/>
          <w:color w:val="000000" w:themeColor="text1"/>
          <w:sz w:val="20"/>
          <w:szCs w:val="20"/>
          <w:lang w:val="en-US"/>
        </w:rPr>
        <w:t xml:space="preserve"> and</w:t>
      </w:r>
      <w:r w:rsidRPr="005250A4">
        <w:rPr>
          <w:rFonts w:ascii="Arial" w:hAnsi="Arial" w:cs="Arial"/>
          <w:color w:val="000000" w:themeColor="text1"/>
          <w:sz w:val="20"/>
          <w:szCs w:val="20"/>
          <w:lang w:val="en-US"/>
        </w:rPr>
        <w:t xml:space="preserve"> condensed tannins (Tables 3 and 4)</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and </w:t>
      </w:r>
      <w:r w:rsidR="00D3778E" w:rsidRPr="005250A4">
        <w:rPr>
          <w:rFonts w:ascii="Arial" w:hAnsi="Arial" w:cs="Arial"/>
          <w:color w:val="000000" w:themeColor="text1"/>
          <w:sz w:val="20"/>
          <w:szCs w:val="20"/>
          <w:lang w:val="en-US"/>
        </w:rPr>
        <w:t xml:space="preserve">a high </w:t>
      </w:r>
      <w:r w:rsidRPr="005250A4">
        <w:rPr>
          <w:rFonts w:ascii="Arial" w:hAnsi="Arial" w:cs="Arial"/>
          <w:color w:val="000000" w:themeColor="text1"/>
          <w:sz w:val="20"/>
          <w:szCs w:val="20"/>
          <w:lang w:val="en-US"/>
        </w:rPr>
        <w:t xml:space="preserve">zinc content (Table 1). Conversely, the fruits of </w:t>
      </w:r>
      <w:r w:rsidRPr="005250A4">
        <w:rPr>
          <w:rStyle w:val="Emphasis"/>
          <w:rFonts w:ascii="Arial" w:hAnsi="Arial" w:cs="Arial"/>
          <w:color w:val="000000" w:themeColor="text1"/>
          <w:sz w:val="20"/>
          <w:szCs w:val="20"/>
          <w:lang w:val="en-US"/>
        </w:rPr>
        <w:t>A. esculentus</w:t>
      </w:r>
      <w:r w:rsidRPr="005250A4">
        <w:rPr>
          <w:rFonts w:ascii="Arial" w:hAnsi="Arial" w:cs="Arial"/>
          <w:color w:val="000000" w:themeColor="text1"/>
          <w:sz w:val="20"/>
          <w:szCs w:val="20"/>
          <w:lang w:val="en-US"/>
        </w:rPr>
        <w:t xml:space="preserve"> </w:t>
      </w:r>
      <w:r w:rsidR="0083560A" w:rsidRPr="005250A4">
        <w:rPr>
          <w:rFonts w:ascii="Arial" w:hAnsi="Arial" w:cs="Arial"/>
          <w:color w:val="000000" w:themeColor="text1"/>
          <w:sz w:val="20"/>
          <w:szCs w:val="20"/>
          <w:lang w:val="en-US"/>
        </w:rPr>
        <w:t>exhibited</w:t>
      </w:r>
      <w:r w:rsidRPr="005250A4">
        <w:rPr>
          <w:rFonts w:ascii="Arial" w:hAnsi="Arial" w:cs="Arial"/>
          <w:color w:val="000000" w:themeColor="text1"/>
          <w:sz w:val="20"/>
          <w:szCs w:val="20"/>
          <w:lang w:val="en-US"/>
        </w:rPr>
        <w:t xml:space="preserve"> elevated </w:t>
      </w:r>
      <w:r w:rsidR="0083560A" w:rsidRPr="005250A4">
        <w:rPr>
          <w:rFonts w:ascii="Arial" w:hAnsi="Arial" w:cs="Arial"/>
          <w:color w:val="000000" w:themeColor="text1"/>
          <w:sz w:val="20"/>
          <w:szCs w:val="20"/>
          <w:lang w:val="en-US"/>
        </w:rPr>
        <w:t>values</w:t>
      </w:r>
      <w:r w:rsidRPr="005250A4">
        <w:rPr>
          <w:rFonts w:ascii="Arial" w:hAnsi="Arial" w:cs="Arial"/>
          <w:color w:val="000000" w:themeColor="text1"/>
          <w:sz w:val="20"/>
          <w:szCs w:val="20"/>
          <w:lang w:val="en-US"/>
        </w:rPr>
        <w:t xml:space="preserve"> of polyphen</w:t>
      </w:r>
      <w:r w:rsidR="007234F0" w:rsidRPr="005250A4">
        <w:rPr>
          <w:rFonts w:ascii="Arial" w:hAnsi="Arial" w:cs="Arial"/>
          <w:color w:val="000000" w:themeColor="text1"/>
          <w:sz w:val="20"/>
          <w:szCs w:val="20"/>
          <w:lang w:val="en-US"/>
        </w:rPr>
        <w:t>ols and flavonoids (</w:t>
      </w:r>
      <w:r w:rsidRPr="005250A4">
        <w:rPr>
          <w:rFonts w:ascii="Arial" w:hAnsi="Arial" w:cs="Arial"/>
          <w:color w:val="000000" w:themeColor="text1"/>
          <w:sz w:val="20"/>
          <w:szCs w:val="20"/>
          <w:lang w:val="en-US"/>
        </w:rPr>
        <w:t>Tables 3 and 4), along with notable zinc content (Table 1). The</w:t>
      </w:r>
      <w:r w:rsidR="00940EC8" w:rsidRPr="005250A4">
        <w:rPr>
          <w:rFonts w:ascii="Arial" w:hAnsi="Arial" w:cs="Arial"/>
          <w:color w:val="000000" w:themeColor="text1"/>
          <w:sz w:val="20"/>
          <w:szCs w:val="20"/>
          <w:lang w:val="en-US"/>
        </w:rPr>
        <w:t xml:space="preserve"> antioxidant properties of these</w:t>
      </w:r>
      <w:r w:rsidRPr="005250A4">
        <w:rPr>
          <w:rFonts w:ascii="Arial" w:hAnsi="Arial" w:cs="Arial"/>
          <w:color w:val="000000" w:themeColor="text1"/>
          <w:sz w:val="20"/>
          <w:szCs w:val="20"/>
          <w:lang w:val="en-US"/>
        </w:rPr>
        <w:t xml:space="preserve"> bioactive molecules have been extensively investigated</w:t>
      </w:r>
      <w:r w:rsidR="00940EC8"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by numerous </w:t>
      </w:r>
      <w:r w:rsidR="00D525FA" w:rsidRPr="005250A4">
        <w:rPr>
          <w:rFonts w:ascii="Arial" w:hAnsi="Arial" w:cs="Arial"/>
          <w:color w:val="000000" w:themeColor="text1"/>
          <w:sz w:val="20"/>
          <w:szCs w:val="20"/>
          <w:lang w:val="en-US"/>
        </w:rPr>
        <w:t>researchers</w:t>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E603C3">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2014)","manualFormatting":"(Prasad, 2014;","plainTextFormattedCitation":"(Prasad, 2014)","previouslyFormattedCitation":"(Prasad, 2014)"},"properties":{"noteIndex":0},"schema":"https://github.com/citation-style-language/schema/raw/master/csl-citation.json"}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(Prasad, 2014</w:t>
      </w:r>
      <w:r w:rsidR="00E603C3">
        <w:rPr>
          <w:rFonts w:ascii="Arial" w:hAnsi="Arial" w:cs="Arial"/>
          <w:noProof/>
          <w:color w:val="000000" w:themeColor="text1"/>
          <w:sz w:val="20"/>
          <w:szCs w:val="20"/>
          <w:lang w:val="en-US"/>
        </w:rPr>
        <w:t>;</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7178A0">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2016)","manualFormatting":"Apak et al., 2016)","plainTextFormattedCitation":"(Apak et al., 2016)","previouslyFormattedCitation":"(Apak et al., 2016)"},"properties":{"noteIndex":0},"schema":"https://github.com/citation-style-language/schema/raw/master/csl-citation.json"}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Apak et al., 2016)</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w:t>
      </w:r>
      <w:r w:rsidR="0012384A" w:rsidRPr="005250A4">
        <w:rPr>
          <w:rFonts w:ascii="Arial" w:hAnsi="Arial" w:cs="Arial"/>
          <w:color w:val="000000" w:themeColor="text1"/>
          <w:sz w:val="20"/>
          <w:szCs w:val="20"/>
          <w:lang w:val="en-US"/>
        </w:rPr>
        <w:t xml:space="preserve"> </w:t>
      </w:r>
    </w:p>
    <w:p w14:paraId="495D7D82" w14:textId="363CDC71" w:rsidR="003138BF" w:rsidRPr="005250A4" w:rsidRDefault="00171216" w:rsidP="008B25B9">
      <w:pPr>
        <w:pStyle w:val="NormalWeb"/>
        <w:spacing w:before="0" w:beforeAutospacing="0"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Phenols serve as effective electron donors due to their highly reactive hydroxyl group, which has the capacity to absorb free radicals </w:t>
      </w:r>
      <m:oMath>
        <m:r>
          <w:rPr>
            <w:rFonts w:ascii="Cambria Math" w:hAnsi="Cambria Math" w:cs="Arial"/>
            <w:color w:val="000000" w:themeColor="text1"/>
            <w:sz w:val="20"/>
            <w:szCs w:val="20"/>
            <w:lang w:val="en-US"/>
          </w:rPr>
          <m:t>(</m:t>
        </m:r>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xml:space="preserv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eastAsiaTheme="minorEastAsia" w:hAnsi="Arial" w:cs="Arial"/>
          <w:color w:val="000000" w:themeColor="text1"/>
          <w:sz w:val="20"/>
          <w:szCs w:val="20"/>
          <w:lang w:val="en-US"/>
        </w:rPr>
        <w:t xml:space="preserv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2016)","plainTextFormattedCitation":"(Apak et al., 2016)","previouslyFormattedCitation":"(Apak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(Apak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They can inhibit auto-oxidation and radical chain reactions by releasing hydrogen atoms. On the other hand, the resonance and </w:t>
      </w:r>
      <w:r w:rsidR="00AB3A2D" w:rsidRPr="005250A4">
        <w:rPr>
          <w:rFonts w:ascii="Arial" w:hAnsi="Arial" w:cs="Arial"/>
          <w:color w:val="000000" w:themeColor="text1"/>
          <w:sz w:val="20"/>
          <w:szCs w:val="20"/>
          <w:lang w:val="en-US"/>
        </w:rPr>
        <w:t>non-localization</w:t>
      </w:r>
      <w:r w:rsidRPr="005250A4">
        <w:rPr>
          <w:rFonts w:ascii="Arial" w:hAnsi="Arial" w:cs="Arial"/>
          <w:color w:val="000000" w:themeColor="text1"/>
          <w:sz w:val="20"/>
          <w:szCs w:val="20"/>
          <w:lang w:val="en-US"/>
        </w:rPr>
        <w:t xml:space="preserve"> properties of phenols lead to stable radical intermediates that lack suitable sites when attacked by dioxygen, resulting in new radical reactions or chains that can be rapidly oxidized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2012)","plainTextFormattedCitation":"(Ramamurthy et al., 2012)","previouslyFormattedCitation":"(Ramamurthy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(Ramamurthy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A227C"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Notably, tannins specifica</w:t>
      </w:r>
      <w:r w:rsidR="002A1BBD" w:rsidRPr="005250A4">
        <w:rPr>
          <w:rFonts w:ascii="Arial" w:hAnsi="Arial" w:cs="Arial"/>
          <w:color w:val="000000" w:themeColor="text1"/>
          <w:sz w:val="20"/>
          <w:szCs w:val="20"/>
          <w:lang w:val="en-US"/>
        </w:rPr>
        <w:t xml:space="preserve">lly inhibit lipid peroxidation. </w:t>
      </w:r>
      <w:r w:rsidR="007E17A7" w:rsidRPr="005250A4">
        <w:rPr>
          <w:rFonts w:ascii="Arial" w:hAnsi="Arial" w:cs="Arial"/>
          <w:color w:val="000000" w:themeColor="text1"/>
          <w:sz w:val="20"/>
          <w:szCs w:val="20"/>
          <w:lang w:val="en-US"/>
        </w:rPr>
        <w:t>P</w:t>
      </w:r>
      <w:r w:rsidRPr="005250A4">
        <w:rPr>
          <w:rFonts w:ascii="Arial" w:hAnsi="Arial" w:cs="Arial"/>
          <w:color w:val="000000" w:themeColor="text1"/>
          <w:sz w:val="20"/>
          <w:szCs w:val="20"/>
          <w:lang w:val="en-US"/>
        </w:rPr>
        <w:t>olyphenols</w:t>
      </w:r>
      <w:r w:rsidR="007E17A7"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possess electron-donating properties. This reducing property of tannins helps neutralize free radicals by forming </w:t>
      </w:r>
      <w:r w:rsidRPr="005250A4">
        <w:rPr>
          <w:rFonts w:ascii="Arial" w:hAnsi="Arial" w:cs="Arial"/>
          <w:color w:val="000000" w:themeColor="text1"/>
          <w:sz w:val="20"/>
          <w:szCs w:val="20"/>
          <w:lang w:val="en-US"/>
        </w:rPr>
        <w:lastRenderedPageBreak/>
        <w:t xml:space="preserve">stable products, effectively terminating radical chain reactions that can be detrimental to the organism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{"citationItems":[{"id":"ITEM-1","itemData":{"DOI":"10.1016/j.arabjc.2009.12.008","ISSN":"18785352","abstract":"Tannic acid, a naturally occurring plant polyphenol, is composed of a central glucose molecule derivatized at its hydroxyl groups with one or more galloyl residues. In the present paper, we examines the in vitro radical scavenging and antioxidant capacity of tannic acid by using different in vitro analytical methodologies such as 1,1-diphenyl-2-picryl-hydrazyl free radical (DPPH{radical dot}) scavenging, 2,2′-azino-bis(3-ethylbenzthiazoline-6-sulfonic acid) (ABTS) radical scavenging activity, total antioxidant activity determination by ferric thiocyanate, total reducing ability determination using by Fe3+-Fe2+ transformation method, superoxide anion radical scavenging by riboflavin-methionine-illuminate system, hydrogen peroxide scavenging and ferrous ions (Fe2+) chelating activities. Also, butylated hydroxyanisole (BHA), butylated hydroxytoluene (BHT), α-tocopherol and trolox, a water-soluble analogue of tocopherol, were used as the reference antioxidant radical scavenger compounds. Tannic acid inhibited 97.7% lipid peroxidation of linoleic acid emulsion at 15 μg/mL concentration. On the other hand, the above mentioned standard antioxidants indicated an inhibition of 92.2%, 99.6%, 84.6% and 95.6% on peroxidation of linoleic acid emulsion at 45 μg/mL concentration, respectively. In addition, tannic acid had an effective DPPH{radical dot} scavenging, ABTS{radical dot}+ radical scavenging, superoxide anion radical scavenging, hydrogen peroxide scavenging, Fe3+ reducing power and metal chelating on ferrous ions activities. Also, those various antioxidant activities were compared to BHA, BHT, α-tocopherol and trolox as references antioxidant compounds. The present study shows that tannic acid is the effective natural antioxidant component that can be used as food preservative agents or nutraceuticals. © 2009.","author":[{"dropping-particle":"","family":"Gülçin","given":"Ilhami","non-dropping-particle":"","parse-names":false,"suffix":""},{"dropping-particle":"","family":"Huyut","given":"Zübeyr","non-dropping-particle":"","parse-names":false,"suffix":""},{"dropping-particle":"","family":"Elmastaş","given":"Mahfuz","non-dropping-particle":"","parse-names":false,"suffix":""},{"dropping-particle":"","family":"Aboul-Enein","given":"Hassan Y.","non-dropping-particle":"","parse-names":false,"suffix":""}],"container-title":"Arabian Journal of Chemistry","id":"ITEM-1","issue":"1","issued":{"date-parts":[["2010"]]},"page":"43-53","title":"Radical scavenging and antioxidant activity of tannic acid","type":"article-journal","volume":"3"},"uris":["http://www.mendeley.com/documents/?uuid=d61f38c7-e76c-41d4-87b1-7d57e50770b9"]}],"mendeley":{"formattedCitation":"(Gülçin et al., 2010)","plainTextFormattedCitation":"(Gülçin et al., 2010)","previouslyFormattedCitation":"(Gülçin et al., 2010)"},"properties":{"noteIndex":0},"schema":"https://github.com/citation-style-language/schema/raw/master/csl-citation.json"}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et al., 2010)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In contrast, flavonoids, with their diverse range, inhibit or slow oxidation processes generated by free radicals and reactive oxygen species (ROS) within the body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{"citationItems":[{"id":"ITEM-1","itemData":{"DOI":"10.1080/14786419.2018.1493588","ISSN":"14786427","PMID":"30445839","abstract":"Flavonoids have aroused much interest in research, since they present a great diversity of biological activities observed in vitro, such as: antioxidant effect, modulation of the enzymatic activity and inhibition of cellular proliferation, exerting beneficial effects on the organism, as well as the use of its therapeutic potential. With wide distribution in the plant kingdom represent a class of phenolic compounds that differ in their chemical structure and particular characteristics. The objective of this review was to describe the relevant aspects of flavonoids, reporting the different known groups, the probable mechanisms by which they act, their pharmacological properties and to gain a better understanding of the reported beneficial health effects of these substances. This systematic review consisted of research using scientific databases such as Scopus, Science Direct, PubMed, SciVerse and SciELO, without time limitation. Some pharmacological properties of some flavonoids and their health benefits have been confirmed by previous studies.","author":[{"dropping-particle":"","family":"Jucá","given":"Mércia Marques","non-dropping-particle":"","parse-names":false,"suffix":""},{"dropping-particle":"","family":"Cysne Filho","given":"Francisco Mauricio Sales","non-dropping-particle":"","parse-names":false,"suffix":""},{"dropping-particle":"","family":"Almeida","given":"Jamily Cunha","non-dropping-particle":"de","parse-names":false,"suffix":""},{"dropping-particle":"","family":"Mesquita","given":"Dara da Silva","non-dropping-particle":"","parse-names":false,"suffix":""},{"dropping-particle":"","family":"Barriga","given":"Jéssica Rodrigues de Moraes","non-dropping-particle":"","parse-names":false,"suffix":""},{"dropping-particle":"","family":"Dias","given":"Kátia Cilene Ferreira","non-dropping-particle":"","parse-names":false,"suffix":""},{"dropping-particle":"","family":"Barbosa","given":"Talita Matias","non-dropping-particle":"","parse-names":false,"suffix":""},{"dropping-particle":"","family":"Vasconcelos","given":"Luna Costa","non-dropping-particle":"","parse-names":false,"suffix":""},{"dropping-particle":"","family":"Leal","given":"Luzia Kalyne Almeida Moreira","non-dropping-particle":"","parse-names":false,"suffix":""},{"dropping-particle":"","family":"Ribeiro","given":"José Eduardo","non-dropping-particle":"","parse-names":false,"suffix":""},{"dropping-particle":"","family":"Vasconcelos","given":"Silvânia Maria Mendes","non-dropping-particle":"","parse-names":false,"suffix":""}],"container-title":"Natural Product Research","id":"ITEM-1","issue":"5","issued":{"date-parts":[["2020"]]},"page":"692-705","title":"Flavonoids: biological activities and therapeutic potential","type":"article-journal","volume":"34"},"uris":["http://www.mendeley.com/documents/?uuid=9992e889-10cd-4a42-bd93-61f331744405"]}],"mendeley":{"formattedCitation":"(Jucá et al., 2020)","plainTextFormattedCitation":"(Jucá et al., 2020)","previouslyFormattedCitation":"(Jucá et al., 2020)"},"properties":{"noteIndex":0},"schema":"https://github.com/citation-style-language/schema/raw/master/csl-citation.json"}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(Jucá et al., 2020)</w:t>
      </w:r>
      <w:r w:rsidR="00563493"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Additionally, zinc, akin to flavonoids, acts as an inhibitor of NADPH oxidase, leading to reduced ROS generation. Zinc also serves as a cofactor for superoxide dismutase (SOD), an enzyme </w:t>
      </w:r>
      <w:r w:rsidR="007E17A7" w:rsidRPr="005250A4">
        <w:rPr>
          <w:rFonts w:ascii="Arial" w:hAnsi="Arial" w:cs="Arial"/>
          <w:color w:val="000000" w:themeColor="text1"/>
          <w:sz w:val="20"/>
          <w:szCs w:val="20"/>
          <w:lang w:val="en-US"/>
        </w:rPr>
        <w:t xml:space="preserve">that </w:t>
      </w:r>
      <w:r w:rsidRPr="005250A4">
        <w:rPr>
          <w:rFonts w:ascii="Arial" w:hAnsi="Arial" w:cs="Arial"/>
          <w:color w:val="000000" w:themeColor="text1"/>
          <w:sz w:val="20"/>
          <w:szCs w:val="20"/>
          <w:lang w:val="en-US"/>
        </w:rPr>
        <w:t>catal</w:t>
      </w:r>
      <w:r w:rsidR="00563493" w:rsidRPr="005250A4">
        <w:rPr>
          <w:rFonts w:ascii="Arial" w:hAnsi="Arial" w:cs="Arial"/>
          <w:color w:val="000000" w:themeColor="text1"/>
          <w:sz w:val="20"/>
          <w:szCs w:val="20"/>
          <w:lang w:val="en-US"/>
        </w:rPr>
        <w:t>yz</w:t>
      </w:r>
      <w:r w:rsidR="007E17A7" w:rsidRPr="005250A4">
        <w:rPr>
          <w:rFonts w:ascii="Arial" w:hAnsi="Arial" w:cs="Arial"/>
          <w:color w:val="000000" w:themeColor="text1"/>
          <w:sz w:val="20"/>
          <w:szCs w:val="20"/>
          <w:lang w:val="en-US"/>
        </w:rPr>
        <w:t>es</w:t>
      </w:r>
      <w:r w:rsidR="00563493" w:rsidRPr="005250A4">
        <w:rPr>
          <w:rFonts w:ascii="Arial" w:hAnsi="Arial" w:cs="Arial"/>
          <w:color w:val="000000" w:themeColor="text1"/>
          <w:sz w:val="20"/>
          <w:szCs w:val="20"/>
          <w:lang w:val="en-US"/>
        </w:rPr>
        <w:t xml:space="preserve"> the dismutation of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00563493" w:rsidRPr="005250A4">
        <w:rPr>
          <w:rFonts w:ascii="Arial" w:hAnsi="Arial" w:cs="Arial"/>
          <w:color w:val="000000" w:themeColor="text1"/>
          <w:sz w:val="20"/>
          <w:szCs w:val="20"/>
          <w:lang w:val="en-US"/>
        </w:rPr>
        <w:t xml:space="preserve"> to H</w:t>
      </w:r>
      <w:r w:rsidR="00563493" w:rsidRPr="005250A4">
        <w:rPr>
          <w:rFonts w:ascii="Arial" w:hAnsi="Arial" w:cs="Arial"/>
          <w:color w:val="000000" w:themeColor="text1"/>
          <w:sz w:val="20"/>
          <w:szCs w:val="20"/>
          <w:vertAlign w:val="subscript"/>
          <w:lang w:val="en-US"/>
        </w:rPr>
        <w:t>2</w:t>
      </w:r>
      <w:r w:rsidR="00563493" w:rsidRPr="005250A4">
        <w:rPr>
          <w:rFonts w:ascii="Arial" w:hAnsi="Arial" w:cs="Arial"/>
          <w:color w:val="000000" w:themeColor="text1"/>
          <w:sz w:val="20"/>
          <w:szCs w:val="20"/>
          <w:lang w:val="en-US"/>
        </w:rPr>
        <w:t>O</w:t>
      </w:r>
      <w:r w:rsidR="00563493" w:rsidRPr="005250A4">
        <w:rPr>
          <w:rFonts w:ascii="Arial" w:hAnsi="Arial" w:cs="Arial"/>
          <w:color w:val="000000" w:themeColor="text1"/>
          <w:sz w:val="20"/>
          <w:szCs w:val="20"/>
          <w:vertAlign w:val="subscript"/>
          <w:lang w:val="en-US"/>
        </w:rPr>
        <w:t>2</w:t>
      </w:r>
      <w:r w:rsidRPr="005250A4">
        <w:rPr>
          <w:rFonts w:ascii="Arial" w:hAnsi="Arial" w:cs="Arial"/>
          <w:color w:val="000000" w:themeColor="text1"/>
          <w:sz w:val="20"/>
          <w:szCs w:val="20"/>
          <w:lang w:val="en-US"/>
        </w:rPr>
        <w:t xml:space="preserve">. Furthermore, zinc induces the production of metallothionein, which is rich in cysteine and serves as an excellent detoxification agent for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00563493" w:rsidRPr="005250A4">
        <w:rPr>
          <w:rFonts w:ascii="Arial" w:hAnsi="Arial" w:cs="Arial"/>
          <w:color w:val="000000" w:themeColor="text1"/>
          <w:sz w:val="20"/>
          <w:szCs w:val="20"/>
          <w:lang w:val="en-US"/>
        </w:rPr>
        <w:t xml:space="preserve">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00563493" w:rsidRPr="005250A4">
        <w:rPr>
          <w:rFonts w:ascii="Arial" w:hAnsi="Arial" w:cs="Arial"/>
          <w:color w:val="000000" w:themeColor="text1"/>
          <w:sz w:val="20"/>
          <w:szCs w:val="20"/>
        </w:rPr>
        <w:fldChar w:fldCharType="end"/>
      </w:r>
      <w:r w:rsidR="00563493"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p>
    <w:p w14:paraId="3902D8D0" w14:textId="77777777" w:rsidR="00260B7B" w:rsidRPr="00175578" w:rsidRDefault="006D3A34" w:rsidP="00A273BC">
      <w:pPr>
        <w:spacing w:line="360" w:lineRule="auto"/>
        <w:jc w:val="both"/>
        <w:rPr>
          <w:rFonts w:ascii="Times New Roman" w:hAnsi="Times New Roman" w:cs="Times New Roman"/>
          <w:color w:val="000000" w:themeColor="text1"/>
          <w:sz w:val="24"/>
          <w:szCs w:val="24"/>
          <w:lang w:val="en-US"/>
        </w:rPr>
      </w:pPr>
      <w:r w:rsidRPr="00175578">
        <w:rPr>
          <w:rFonts w:ascii="Times New Roman" w:hAnsi="Times New Roman" w:cs="Times New Roman"/>
          <w:noProof/>
          <w:color w:val="000000" w:themeColor="text1"/>
          <w:lang w:eastAsia="fr-FR"/>
        </w:rPr>
        <w:drawing>
          <wp:inline distT="0" distB="0" distL="0" distR="0" wp14:anchorId="18E028DB" wp14:editId="4CD9AB72">
            <wp:extent cx="6257925" cy="31623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031FD7" w14:textId="3322DEC4" w:rsidR="00036666" w:rsidRPr="00987596" w:rsidRDefault="00241C57" w:rsidP="00987596">
      <w:pPr>
        <w:pStyle w:val="NormalWeb"/>
        <w:spacing w:before="0" w:beforeAutospacing="0" w:line="360" w:lineRule="auto"/>
        <w:jc w:val="center"/>
        <w:rPr>
          <w:rFonts w:ascii="Arial" w:hAnsi="Arial" w:cs="Arial"/>
          <w:bCs/>
          <w:color w:val="000000" w:themeColor="text1"/>
          <w:sz w:val="20"/>
          <w:szCs w:val="20"/>
          <w:lang w:val="en-US"/>
        </w:rPr>
      </w:pPr>
      <w:r w:rsidRPr="005250A4">
        <w:rPr>
          <w:rFonts w:ascii="Arial" w:hAnsi="Arial" w:cs="Arial"/>
          <w:color w:val="000000" w:themeColor="text1"/>
          <w:sz w:val="20"/>
          <w:szCs w:val="20"/>
          <w:lang w:val="en-US"/>
        </w:rPr>
        <w:t>Fig</w:t>
      </w:r>
      <w:r w:rsidR="00761298"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1</w:t>
      </w:r>
      <w:r w:rsidR="00761298" w:rsidRPr="005250A4">
        <w:rPr>
          <w:rFonts w:ascii="Arial" w:hAnsi="Arial" w:cs="Arial"/>
          <w:color w:val="000000" w:themeColor="text1"/>
          <w:sz w:val="20"/>
          <w:szCs w:val="20"/>
          <w:lang w:val="en-US"/>
        </w:rPr>
        <w:t>.</w:t>
      </w:r>
      <w:r w:rsidR="00E359A3" w:rsidRPr="005250A4">
        <w:rPr>
          <w:rFonts w:ascii="Arial" w:hAnsi="Arial" w:cs="Arial"/>
          <w:color w:val="000000" w:themeColor="text1"/>
          <w:sz w:val="20"/>
          <w:szCs w:val="20"/>
          <w:lang w:val="en-US"/>
        </w:rPr>
        <w:t xml:space="preserve"> Antioxidant activity</w:t>
      </w:r>
      <w:r w:rsidRPr="005250A4">
        <w:rPr>
          <w:rFonts w:ascii="Arial" w:hAnsi="Arial" w:cs="Arial"/>
          <w:color w:val="000000" w:themeColor="text1"/>
          <w:sz w:val="20"/>
          <w:szCs w:val="20"/>
          <w:lang w:val="en-US"/>
        </w:rPr>
        <w:t xml:space="preserve"> of leave</w:t>
      </w:r>
      <w:r w:rsidR="009D5750"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and fruits of </w:t>
      </w:r>
      <w:r w:rsidRPr="005250A4">
        <w:rPr>
          <w:rFonts w:ascii="Arial" w:hAnsi="Arial" w:cs="Arial"/>
          <w:i/>
          <w:color w:val="000000" w:themeColor="text1"/>
          <w:sz w:val="20"/>
          <w:szCs w:val="20"/>
          <w:lang w:val="en-US"/>
        </w:rPr>
        <w:t xml:space="preserve">Corchorus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r w:rsidR="002A1BBD" w:rsidRPr="005250A4">
        <w:rPr>
          <w:rFonts w:ascii="Arial" w:hAnsi="Arial" w:cs="Arial"/>
          <w:i/>
          <w:color w:val="000000" w:themeColor="text1"/>
          <w:sz w:val="20"/>
          <w:szCs w:val="20"/>
          <w:lang w:val="en-US"/>
        </w:rPr>
        <w:t>Abelmos</w:t>
      </w:r>
      <w:r w:rsidR="00EC75FB" w:rsidRPr="005250A4">
        <w:rPr>
          <w:rFonts w:ascii="Arial" w:hAnsi="Arial" w:cs="Arial"/>
          <w:i/>
          <w:color w:val="000000" w:themeColor="text1"/>
          <w:sz w:val="20"/>
          <w:szCs w:val="20"/>
          <w:lang w:val="en-US"/>
        </w:rPr>
        <w:t xml:space="preserve">chus esculentus </w:t>
      </w:r>
      <w:r w:rsidR="002A1BBD" w:rsidRPr="005250A4">
        <w:rPr>
          <w:rFonts w:ascii="Arial" w:hAnsi="Arial" w:cs="Arial"/>
          <w:color w:val="000000" w:themeColor="text1"/>
          <w:sz w:val="20"/>
          <w:szCs w:val="20"/>
          <w:lang w:val="en-US"/>
        </w:rPr>
        <w:t>(</w:t>
      </w:r>
      <w:r w:rsidR="00EE7F38" w:rsidRPr="005250A4">
        <w:rPr>
          <w:rFonts w:ascii="Arial" w:hAnsi="Arial" w:cs="Arial"/>
          <w:color w:val="000000" w:themeColor="text1"/>
          <w:sz w:val="20"/>
          <w:szCs w:val="20"/>
          <w:lang w:val="en-US"/>
        </w:rPr>
        <w:t>t</w:t>
      </w:r>
      <w:r w:rsidR="002A1BBD" w:rsidRPr="005250A4">
        <w:rPr>
          <w:rFonts w:ascii="Arial" w:hAnsi="Arial" w:cs="Arial"/>
          <w:color w:val="000000" w:themeColor="text1"/>
          <w:sz w:val="20"/>
          <w:szCs w:val="20"/>
          <w:lang w:val="en-US"/>
        </w:rPr>
        <w:t xml:space="preserve">he lowercase letters assigned to the top of each bar, </w:t>
      </w:r>
      <w:r w:rsidR="00EE7F38" w:rsidRPr="005250A4">
        <w:rPr>
          <w:rFonts w:ascii="Arial" w:hAnsi="Arial" w:cs="Arial"/>
          <w:color w:val="000000" w:themeColor="text1"/>
          <w:sz w:val="20"/>
          <w:szCs w:val="20"/>
          <w:lang w:val="en-US"/>
        </w:rPr>
        <w:t xml:space="preserve">which are </w:t>
      </w:r>
      <w:r w:rsidR="002A1BBD" w:rsidRPr="005250A4">
        <w:rPr>
          <w:rFonts w:ascii="Arial" w:hAnsi="Arial" w:cs="Arial"/>
          <w:color w:val="000000" w:themeColor="text1"/>
          <w:sz w:val="20"/>
          <w:szCs w:val="20"/>
          <w:lang w:val="en-US"/>
        </w:rPr>
        <w:t xml:space="preserve">distinct for each plant matrix, indicate a significant difference at the probability threshold of </w:t>
      </w:r>
      <w:r w:rsidR="00014DE2" w:rsidRPr="005250A4">
        <w:rPr>
          <w:rStyle w:val="Strong"/>
          <w:rFonts w:ascii="Arial" w:hAnsi="Arial" w:cs="Arial"/>
          <w:b w:val="0"/>
          <w:color w:val="000000" w:themeColor="text1"/>
          <w:sz w:val="20"/>
          <w:szCs w:val="20"/>
          <w:lang w:val="en-US"/>
        </w:rPr>
        <w:t xml:space="preserve">P </w:t>
      </w:r>
      <w:r w:rsidR="00CA7959" w:rsidRPr="005250A4">
        <w:rPr>
          <w:rStyle w:val="Strong"/>
          <w:rFonts w:ascii="Arial" w:hAnsi="Arial" w:cs="Arial"/>
          <w:b w:val="0"/>
          <w:color w:val="000000" w:themeColor="text1"/>
          <w:sz w:val="20"/>
          <w:szCs w:val="20"/>
          <w:lang w:val="en-US"/>
        </w:rPr>
        <w:t>&lt;</w:t>
      </w:r>
      <w:r w:rsidR="002A1BBD" w:rsidRPr="005250A4">
        <w:rPr>
          <w:rStyle w:val="Strong"/>
          <w:rFonts w:ascii="Arial" w:hAnsi="Arial" w:cs="Arial"/>
          <w:b w:val="0"/>
          <w:color w:val="000000" w:themeColor="text1"/>
          <w:sz w:val="20"/>
          <w:szCs w:val="20"/>
          <w:lang w:val="en-US"/>
        </w:rPr>
        <w:t xml:space="preserve"> .05)</w:t>
      </w:r>
      <w:r w:rsidR="00D7533E" w:rsidRPr="005250A4">
        <w:rPr>
          <w:rFonts w:ascii="Arial" w:hAnsi="Arial" w:cs="Arial"/>
          <w:color w:val="000000" w:themeColor="text1"/>
          <w:sz w:val="20"/>
          <w:szCs w:val="20"/>
          <w:lang w:val="en-US"/>
        </w:rPr>
        <w:tab/>
      </w:r>
    </w:p>
    <w:p w14:paraId="2B58738A" w14:textId="77777777" w:rsidR="008A6B66" w:rsidRPr="00175578" w:rsidRDefault="008A6B66" w:rsidP="00C240F5">
      <w:pPr>
        <w:tabs>
          <w:tab w:val="left" w:pos="4710"/>
        </w:tabs>
        <w:rPr>
          <w:rFonts w:ascii="Times New Roman" w:hAnsi="Times New Roman" w:cs="Times New Roman"/>
          <w:color w:val="000000" w:themeColor="text1"/>
          <w:lang w:val="en-US"/>
        </w:rPr>
        <w:sectPr w:rsidR="008A6B66" w:rsidRPr="00175578" w:rsidSect="00E95FD3">
          <w:pgSz w:w="11906" w:h="16838"/>
          <w:pgMar w:top="1417" w:right="1417" w:bottom="1417" w:left="1417" w:header="708" w:footer="708" w:gutter="0"/>
          <w:cols w:space="708"/>
          <w:docGrid w:linePitch="360"/>
        </w:sectPr>
      </w:pPr>
    </w:p>
    <w:p w14:paraId="7B5532B8" w14:textId="565E252E" w:rsidR="0022296C" w:rsidRPr="005250A4" w:rsidRDefault="00202D84" w:rsidP="0020641D">
      <w:pPr>
        <w:pStyle w:val="ListParagraph"/>
        <w:numPr>
          <w:ilvl w:val="0"/>
          <w:numId w:val="7"/>
        </w:numPr>
        <w:tabs>
          <w:tab w:val="left" w:pos="2685"/>
        </w:tabs>
        <w:spacing w:before="240"/>
        <w:ind w:left="284" w:hanging="284"/>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 xml:space="preserve">CONCLUSION </w:t>
      </w:r>
    </w:p>
    <w:p w14:paraId="64325CBA" w14:textId="47477F4E" w:rsidR="007246B7" w:rsidRPr="005250A4" w:rsidRDefault="007246B7" w:rsidP="00545209">
      <w:pPr>
        <w:pStyle w:val="NormalWeb"/>
        <w:spacing w:line="360" w:lineRule="auto"/>
        <w:rPr>
          <w:rFonts w:ascii="Arial" w:hAnsi="Arial" w:cs="Arial"/>
          <w:color w:val="000000" w:themeColor="text1"/>
          <w:sz w:val="20"/>
          <w:szCs w:val="20"/>
          <w:lang w:val="en-US"/>
        </w:rPr>
      </w:pPr>
      <w:r w:rsidRPr="007246B7">
        <w:rPr>
          <w:rFonts w:ascii="Arial" w:hAnsi="Arial" w:cs="Arial"/>
          <w:color w:val="000000" w:themeColor="text1"/>
          <w:sz w:val="20"/>
          <w:szCs w:val="20"/>
          <w:lang w:val="en-US"/>
        </w:rPr>
        <w:t xml:space="preserve">The aim of this study was to determine the powders derived from the leaves and fruits of </w:t>
      </w:r>
      <w:r w:rsidRPr="007246B7">
        <w:rPr>
          <w:rFonts w:ascii="Arial" w:hAnsi="Arial" w:cs="Arial"/>
          <w:i/>
          <w:iCs/>
          <w:color w:val="000000" w:themeColor="text1"/>
          <w:sz w:val="20"/>
          <w:szCs w:val="20"/>
          <w:lang w:val="en-US"/>
        </w:rPr>
        <w:t xml:space="preserve">Corchorus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and </w:t>
      </w:r>
      <w:r w:rsidRPr="007246B7">
        <w:rPr>
          <w:rFonts w:ascii="Arial" w:hAnsi="Arial" w:cs="Arial"/>
          <w:i/>
          <w:iCs/>
          <w:color w:val="000000" w:themeColor="text1"/>
          <w:sz w:val="20"/>
          <w:szCs w:val="20"/>
          <w:lang w:val="en-US"/>
        </w:rPr>
        <w:t>Abelmoschus esculentus</w:t>
      </w:r>
      <w:r w:rsidRPr="007246B7">
        <w:rPr>
          <w:rFonts w:ascii="Arial" w:hAnsi="Arial" w:cs="Arial"/>
          <w:color w:val="000000" w:themeColor="text1"/>
          <w:sz w:val="20"/>
          <w:szCs w:val="20"/>
          <w:lang w:val="en-US"/>
        </w:rPr>
        <w:t>, which simultaneously exhibit high</w:t>
      </w:r>
      <w:r w:rsidR="000854BE">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xml:space="preserve">, high nutrient density, and reduced energy density. The powders from </w:t>
      </w:r>
      <w:r w:rsidRPr="007246B7">
        <w:rPr>
          <w:rFonts w:ascii="Arial" w:hAnsi="Arial" w:cs="Arial"/>
          <w:i/>
          <w:iCs/>
          <w:color w:val="000000" w:themeColor="text1"/>
          <w:sz w:val="20"/>
          <w:szCs w:val="20"/>
          <w:lang w:val="en-US"/>
        </w:rPr>
        <w:t xml:space="preserve">C.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fruits and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leaves exhibit high energy density (due to high available carbohydrate and total lipid content and maximum energy intake), low nutrient density, and high contents of total ash and crude fiber. These powders are primarily intended for patients seeking weight gain management.</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 xml:space="preserve">C.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leaves exhibit moderate nutrient density (with elevated copper, calcium, phosphorus, and protein contents), low energy density, high total polyphenol and condensed tannin contents, and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These powders are prioritized for managing chronic diseases and addressing mineral and protein deficiencies.</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 high nutrient density (with elevated iron, zinc, magnesium, potassium, and sodium contents), reduced energy density, and high total flavonoid content and antioxidant activity. These powders are primarily intended for managing chronic diseases and mineral deficiencies. Only the powder from </w:t>
      </w:r>
      <w:r w:rsidRPr="007246B7">
        <w:rPr>
          <w:rFonts w:ascii="Arial" w:hAnsi="Arial" w:cs="Arial"/>
          <w:i/>
          <w:iCs/>
          <w:color w:val="000000" w:themeColor="text1"/>
          <w:sz w:val="20"/>
          <w:szCs w:val="20"/>
          <w:lang w:val="en-US"/>
        </w:rPr>
        <w:t>A. esculentus</w:t>
      </w:r>
      <w:r w:rsidRPr="007246B7">
        <w:rPr>
          <w:rFonts w:ascii="Arial" w:hAnsi="Arial" w:cs="Arial"/>
          <w:color w:val="000000" w:themeColor="text1"/>
          <w:sz w:val="20"/>
          <w:szCs w:val="20"/>
          <w:lang w:val="en-US"/>
        </w:rPr>
        <w:t xml:space="preserve"> fruits exhibited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high nutrient density, and reduced energy density on average. It is more advisable than the other powders for meeting the needs of patients with chronic diseases, specifically those who are overweight or obese.</w:t>
      </w:r>
    </w:p>
    <w:p w14:paraId="3E125758" w14:textId="17E5B15C" w:rsidR="00E021D4" w:rsidRPr="005250A4" w:rsidRDefault="005250A4" w:rsidP="00E0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DISCLAIMER (ARTIFICIAL INTELLIGENCE)</w:t>
      </w:r>
    </w:p>
    <w:p w14:paraId="72D5EA5D" w14:textId="6451D273" w:rsidR="00D33046" w:rsidRPr="005250A4" w:rsidRDefault="00D33046" w:rsidP="00E0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Authors hereby declare that no generative AI technologies such as large language Models (ChatGPT, Copilot, etc.) and text to image generators have been used during the writing or editing of this manuscript.</w:t>
      </w:r>
    </w:p>
    <w:p w14:paraId="0A3272AD" w14:textId="276E800C" w:rsidR="00C03B2F" w:rsidRPr="005250A4" w:rsidRDefault="005250A4" w:rsidP="00E021D4">
      <w:pPr>
        <w:spacing w:before="240"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CONSENT AND ETHICAL APPROVAL</w:t>
      </w:r>
    </w:p>
    <w:p w14:paraId="7AC03DE5" w14:textId="11FE4BC8" w:rsidR="00E021D4" w:rsidRPr="005250A4" w:rsidRDefault="00D33046" w:rsidP="00E021D4">
      <w:pPr>
        <w:spacing w:after="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It is </w:t>
      </w:r>
      <w:r w:rsidR="00202D84">
        <w:rPr>
          <w:rFonts w:ascii="Arial" w:hAnsi="Arial" w:cs="Arial"/>
          <w:color w:val="000000" w:themeColor="text1"/>
          <w:sz w:val="20"/>
          <w:szCs w:val="20"/>
          <w:lang w:val="en-US"/>
        </w:rPr>
        <w:t xml:space="preserve">not </w:t>
      </w:r>
      <w:r w:rsidRPr="005250A4">
        <w:rPr>
          <w:rFonts w:ascii="Arial" w:hAnsi="Arial" w:cs="Arial"/>
          <w:color w:val="000000" w:themeColor="text1"/>
          <w:sz w:val="20"/>
          <w:szCs w:val="20"/>
          <w:lang w:val="en-US"/>
        </w:rPr>
        <w:t>applicable</w:t>
      </w:r>
    </w:p>
    <w:p w14:paraId="329D55B1" w14:textId="25C90A26" w:rsidR="00C651BB" w:rsidRPr="005250A4" w:rsidRDefault="005250A4" w:rsidP="008534F2">
      <w:pPr>
        <w:spacing w:before="240"/>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ACKNOWLEDGEMENT</w:t>
      </w:r>
    </w:p>
    <w:p w14:paraId="343F0DD1" w14:textId="4F7B6DFC" w:rsidR="00E91D2D" w:rsidRPr="005250A4" w:rsidRDefault="00C651BB" w:rsidP="00C651BB">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authors would like to thank all members and Leadership of the Animal Feed and Nutrition Laboratory and Soil Science Laboratory of the Faculty of Agronomy and Agricultural Sciences of the University of </w:t>
      </w:r>
      <w:proofErr w:type="spellStart"/>
      <w:r w:rsidRPr="005250A4">
        <w:rPr>
          <w:rFonts w:ascii="Arial" w:hAnsi="Arial" w:cs="Arial"/>
          <w:color w:val="000000" w:themeColor="text1"/>
          <w:sz w:val="20"/>
          <w:szCs w:val="20"/>
          <w:lang w:val="en-US"/>
        </w:rPr>
        <w:t>Dschang</w:t>
      </w:r>
      <w:proofErr w:type="spellEnd"/>
      <w:r w:rsidRPr="005250A4">
        <w:rPr>
          <w:rFonts w:ascii="Arial" w:hAnsi="Arial" w:cs="Arial"/>
          <w:color w:val="000000" w:themeColor="text1"/>
          <w:sz w:val="20"/>
          <w:szCs w:val="20"/>
          <w:lang w:val="en-US"/>
        </w:rPr>
        <w:t xml:space="preserve">.  </w:t>
      </w:r>
    </w:p>
    <w:p w14:paraId="6A430527" w14:textId="350DC086" w:rsidR="00D33046" w:rsidRPr="005250A4" w:rsidRDefault="005250A4" w:rsidP="00D33046">
      <w:pPr>
        <w:spacing w:before="240" w:after="100" w:afterAutospacing="1" w:line="24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b/>
          <w:bCs/>
          <w:color w:val="000000" w:themeColor="text1"/>
          <w:sz w:val="20"/>
          <w:szCs w:val="20"/>
          <w:lang w:val="en-US" w:eastAsia="fr-FR"/>
        </w:rPr>
        <w:t>COMPETING INTERESTS</w:t>
      </w:r>
    </w:p>
    <w:p w14:paraId="35F2DDB8" w14:textId="30EC1808" w:rsidR="00D33046" w:rsidRPr="005250A4" w:rsidRDefault="00D33046" w:rsidP="00D33046">
      <w:pPr>
        <w:spacing w:before="100" w:beforeAutospacing="1" w:after="100" w:afterAutospacing="1" w:line="24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Authors have declared that no competing interests exist</w:t>
      </w:r>
    </w:p>
    <w:p w14:paraId="2CC0F0BC" w14:textId="679AFA20" w:rsidR="00D33046" w:rsidRPr="005250A4" w:rsidRDefault="005250A4" w:rsidP="00D33046">
      <w:pPr>
        <w:spacing w:before="240"/>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AUTHOR CONTRIBUTIONS</w:t>
      </w:r>
    </w:p>
    <w:p w14:paraId="2130DAB5" w14:textId="21B5CC7F" w:rsidR="00D33046" w:rsidRPr="005250A4" w:rsidRDefault="00D33046" w:rsidP="00D33046">
      <w:pPr>
        <w:spacing w:before="240" w:line="360" w:lineRule="auto"/>
        <w:jc w:val="both"/>
        <w:rPr>
          <w:rFonts w:ascii="Arial" w:hAnsi="Arial" w:cs="Arial"/>
          <w:color w:val="000000" w:themeColor="text1"/>
          <w:sz w:val="20"/>
          <w:szCs w:val="20"/>
          <w:lang w:val="en-US"/>
        </w:rPr>
      </w:pPr>
      <w:proofErr w:type="spellStart"/>
      <w:r w:rsidRPr="005250A4">
        <w:rPr>
          <w:rFonts w:ascii="Arial" w:hAnsi="Arial" w:cs="Arial"/>
          <w:b/>
          <w:color w:val="000000" w:themeColor="text1"/>
          <w:sz w:val="20"/>
          <w:szCs w:val="20"/>
          <w:lang w:val="en-US"/>
        </w:rPr>
        <w:t>Assiéné</w:t>
      </w:r>
      <w:proofErr w:type="spellEnd"/>
      <w:r w:rsidRPr="005250A4">
        <w:rPr>
          <w:rFonts w:ascii="Arial" w:hAnsi="Arial" w:cs="Arial"/>
          <w:b/>
          <w:color w:val="000000" w:themeColor="text1"/>
          <w:sz w:val="20"/>
          <w:szCs w:val="20"/>
          <w:lang w:val="en-US"/>
        </w:rPr>
        <w:t xml:space="preserve"> Agamou Julien Armel:</w:t>
      </w:r>
      <w:r w:rsidRPr="005250A4">
        <w:rPr>
          <w:rFonts w:ascii="Arial" w:hAnsi="Arial" w:cs="Arial"/>
          <w:color w:val="000000" w:themeColor="text1"/>
          <w:sz w:val="20"/>
          <w:szCs w:val="20"/>
          <w:lang w:val="en-US"/>
        </w:rPr>
        <w:t xml:space="preserve"> Conceptualization, Investigation, Methodology, Data analysis, Writing-Original draft, Writing-review and editing; </w:t>
      </w:r>
      <w:proofErr w:type="spellStart"/>
      <w:r w:rsidRPr="005250A4">
        <w:rPr>
          <w:rFonts w:ascii="Arial" w:hAnsi="Arial" w:cs="Arial"/>
          <w:b/>
          <w:color w:val="000000" w:themeColor="text1"/>
          <w:sz w:val="20"/>
          <w:szCs w:val="20"/>
          <w:lang w:val="en-US"/>
        </w:rPr>
        <w:t>Djeukeu</w:t>
      </w:r>
      <w:proofErr w:type="spellEnd"/>
      <w:r w:rsidRPr="005250A4">
        <w:rPr>
          <w:rFonts w:ascii="Arial" w:hAnsi="Arial" w:cs="Arial"/>
          <w:b/>
          <w:color w:val="000000" w:themeColor="text1"/>
          <w:sz w:val="20"/>
          <w:szCs w:val="20"/>
          <w:lang w:val="en-US"/>
        </w:rPr>
        <w:t xml:space="preserve"> Asongni William</w:t>
      </w:r>
      <w:r w:rsidRPr="005250A4">
        <w:rPr>
          <w:rFonts w:ascii="Arial" w:hAnsi="Arial" w:cs="Arial"/>
          <w:color w:val="000000" w:themeColor="text1"/>
          <w:sz w:val="20"/>
          <w:szCs w:val="20"/>
          <w:lang w:val="en-US"/>
        </w:rPr>
        <w:t xml:space="preserve">: Methodology; Data analysis, </w:t>
      </w:r>
      <w:proofErr w:type="gramStart"/>
      <w:r w:rsidRPr="005250A4">
        <w:rPr>
          <w:rFonts w:ascii="Arial" w:hAnsi="Arial" w:cs="Arial"/>
          <w:color w:val="000000" w:themeColor="text1"/>
          <w:sz w:val="20"/>
          <w:szCs w:val="20"/>
          <w:lang w:val="en-US"/>
        </w:rPr>
        <w:t>Review</w:t>
      </w:r>
      <w:proofErr w:type="gramEnd"/>
      <w:r w:rsidRPr="005250A4">
        <w:rPr>
          <w:rFonts w:ascii="Arial" w:hAnsi="Arial" w:cs="Arial"/>
          <w:color w:val="000000" w:themeColor="text1"/>
          <w:sz w:val="20"/>
          <w:szCs w:val="20"/>
          <w:lang w:val="en-US"/>
        </w:rPr>
        <w:t xml:space="preserve"> original draft; </w:t>
      </w:r>
      <w:proofErr w:type="spellStart"/>
      <w:r w:rsidRPr="005250A4">
        <w:rPr>
          <w:rFonts w:ascii="Arial" w:hAnsi="Arial" w:cs="Arial"/>
          <w:b/>
          <w:color w:val="000000" w:themeColor="text1"/>
          <w:sz w:val="20"/>
          <w:szCs w:val="20"/>
          <w:lang w:val="en-US"/>
        </w:rPr>
        <w:t>Assiéné</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Oyong</w:t>
      </w:r>
      <w:proofErr w:type="spellEnd"/>
      <w:r w:rsidRPr="005250A4">
        <w:rPr>
          <w:rFonts w:ascii="Arial" w:hAnsi="Arial" w:cs="Arial"/>
          <w:b/>
          <w:color w:val="000000" w:themeColor="text1"/>
          <w:sz w:val="20"/>
          <w:szCs w:val="20"/>
          <w:lang w:val="en-US"/>
        </w:rPr>
        <w:t xml:space="preserve"> Damase Serge</w:t>
      </w:r>
      <w:r w:rsidRPr="005250A4">
        <w:rPr>
          <w:rFonts w:ascii="Arial" w:hAnsi="Arial" w:cs="Arial"/>
          <w:color w:val="000000" w:themeColor="text1"/>
          <w:sz w:val="20"/>
          <w:szCs w:val="20"/>
          <w:lang w:val="en-US"/>
        </w:rPr>
        <w:t xml:space="preserve">: Data analysis, </w:t>
      </w:r>
      <w:proofErr w:type="gramStart"/>
      <w:r w:rsidRPr="005250A4">
        <w:rPr>
          <w:rFonts w:ascii="Arial" w:hAnsi="Arial" w:cs="Arial"/>
          <w:color w:val="000000" w:themeColor="text1"/>
          <w:sz w:val="20"/>
          <w:szCs w:val="20"/>
          <w:lang w:val="en-US"/>
        </w:rPr>
        <w:t>Review</w:t>
      </w:r>
      <w:proofErr w:type="gramEnd"/>
      <w:r w:rsidRPr="005250A4">
        <w:rPr>
          <w:rFonts w:ascii="Arial" w:hAnsi="Arial" w:cs="Arial"/>
          <w:color w:val="000000" w:themeColor="text1"/>
          <w:sz w:val="20"/>
          <w:szCs w:val="20"/>
          <w:lang w:val="en-US"/>
        </w:rPr>
        <w:t xml:space="preserve"> original draft</w:t>
      </w:r>
      <w:r w:rsidRPr="005250A4">
        <w:rPr>
          <w:rFonts w:ascii="Arial" w:hAnsi="Arial" w:cs="Arial"/>
          <w:b/>
          <w:color w:val="000000" w:themeColor="text1"/>
          <w:sz w:val="20"/>
          <w:szCs w:val="20"/>
          <w:lang w:val="en-US"/>
        </w:rPr>
        <w:t xml:space="preserve">; Nyangono </w:t>
      </w:r>
      <w:proofErr w:type="spellStart"/>
      <w:r w:rsidRPr="005250A4">
        <w:rPr>
          <w:rFonts w:ascii="Arial" w:hAnsi="Arial" w:cs="Arial"/>
          <w:b/>
          <w:color w:val="000000" w:themeColor="text1"/>
          <w:sz w:val="20"/>
          <w:szCs w:val="20"/>
          <w:lang w:val="en-US"/>
        </w:rPr>
        <w:t>Biyegue</w:t>
      </w:r>
      <w:proofErr w:type="spellEnd"/>
      <w:r w:rsidRPr="005250A4">
        <w:rPr>
          <w:rFonts w:ascii="Arial" w:hAnsi="Arial" w:cs="Arial"/>
          <w:b/>
          <w:color w:val="000000" w:themeColor="text1"/>
          <w:sz w:val="20"/>
          <w:szCs w:val="20"/>
          <w:lang w:val="en-US"/>
        </w:rPr>
        <w:t xml:space="preserve"> Fernande</w:t>
      </w:r>
      <w:r w:rsidRPr="005250A4">
        <w:rPr>
          <w:rFonts w:ascii="Arial" w:hAnsi="Arial" w:cs="Arial"/>
          <w:color w:val="000000" w:themeColor="text1"/>
          <w:sz w:val="20"/>
          <w:szCs w:val="20"/>
          <w:lang w:val="en-US"/>
        </w:rPr>
        <w:t>: Supervision, Methodology, Review original draft</w:t>
      </w:r>
    </w:p>
    <w:p w14:paraId="21B20AB3" w14:textId="63ADE942" w:rsidR="009862B6" w:rsidRPr="005250A4" w:rsidRDefault="005250A4" w:rsidP="00203B28">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REFERENCES</w:t>
      </w:r>
    </w:p>
    <w:p w14:paraId="41C6B92F" w14:textId="696AA56E" w:rsidR="00CB3EB5" w:rsidRPr="00CB3EB5" w:rsidRDefault="00C23E48" w:rsidP="00CB3EB5">
      <w:pPr>
        <w:widowControl w:val="0"/>
        <w:autoSpaceDE w:val="0"/>
        <w:autoSpaceDN w:val="0"/>
        <w:adjustRightInd w:val="0"/>
        <w:spacing w:before="240" w:line="240" w:lineRule="auto"/>
        <w:ind w:left="480" w:hanging="480"/>
        <w:rPr>
          <w:rFonts w:ascii="Arial" w:hAnsi="Arial" w:cs="Arial"/>
          <w:noProof/>
          <w:sz w:val="20"/>
        </w:rPr>
      </w:pPr>
      <w:r w:rsidRPr="005250A4">
        <w:rPr>
          <w:rFonts w:ascii="Arial" w:hAnsi="Arial" w:cs="Arial"/>
          <w:color w:val="000000" w:themeColor="text1"/>
          <w:sz w:val="20"/>
          <w:szCs w:val="20"/>
          <w:lang w:val="en-US"/>
        </w:rPr>
        <w:fldChar w:fldCharType="begin" w:fldLock="1"/>
      </w:r>
      <w:r w:rsidRPr="005250A4">
        <w:rPr>
          <w:rFonts w:ascii="Arial" w:hAnsi="Arial" w:cs="Arial"/>
          <w:color w:val="000000" w:themeColor="text1"/>
          <w:sz w:val="20"/>
          <w:szCs w:val="20"/>
          <w:lang w:val="en-US"/>
        </w:rPr>
        <w:instrText xml:space="preserve">ADDIN Mendeley Bibliography CSL_BIBLIOGRAPHY </w:instrText>
      </w:r>
      <w:r w:rsidRPr="005250A4">
        <w:rPr>
          <w:rFonts w:ascii="Arial" w:hAnsi="Arial" w:cs="Arial"/>
          <w:color w:val="000000" w:themeColor="text1"/>
          <w:sz w:val="20"/>
          <w:szCs w:val="20"/>
          <w:lang w:val="en-US"/>
        </w:rPr>
        <w:fldChar w:fldCharType="separate"/>
      </w:r>
      <w:r w:rsidR="00CB3EB5" w:rsidRPr="00CB3EB5">
        <w:rPr>
          <w:rFonts w:ascii="Arial" w:hAnsi="Arial" w:cs="Arial"/>
          <w:noProof/>
          <w:sz w:val="20"/>
        </w:rPr>
        <w:t xml:space="preserve">Abbaspour, N., Hurrell, R., &amp; Kelishadi, R. (2014). Review on iron and its importance for human health. </w:t>
      </w:r>
      <w:r w:rsidR="00CB3EB5" w:rsidRPr="00CB3EB5">
        <w:rPr>
          <w:rFonts w:ascii="Arial" w:hAnsi="Arial" w:cs="Arial"/>
          <w:i/>
          <w:iCs/>
          <w:noProof/>
          <w:sz w:val="20"/>
        </w:rPr>
        <w:t>Journal of Research in Medical Sciences</w:t>
      </w:r>
      <w:r w:rsidR="00CB3EB5" w:rsidRPr="00CB3EB5">
        <w:rPr>
          <w:rFonts w:ascii="Arial" w:hAnsi="Arial" w:cs="Arial"/>
          <w:noProof/>
          <w:sz w:val="20"/>
        </w:rPr>
        <w:t xml:space="preserve">, </w:t>
      </w:r>
      <w:r w:rsidR="00CB3EB5" w:rsidRPr="00CB3EB5">
        <w:rPr>
          <w:rFonts w:ascii="Arial" w:hAnsi="Arial" w:cs="Arial"/>
          <w:i/>
          <w:iCs/>
          <w:noProof/>
          <w:sz w:val="20"/>
        </w:rPr>
        <w:t>19</w:t>
      </w:r>
      <w:r w:rsidR="00CB3EB5" w:rsidRPr="00CB3EB5">
        <w:rPr>
          <w:rFonts w:ascii="Arial" w:hAnsi="Arial" w:cs="Arial"/>
          <w:noProof/>
          <w:sz w:val="20"/>
        </w:rPr>
        <w:t>(February), 164–174.</w:t>
      </w:r>
    </w:p>
    <w:p w14:paraId="7FBB1C6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Abdel-Razek, M. A. M., Abdelwahab, M. F., Abdelmohsen, U. R., &amp; Hamed, A. N. E. (2022). Pharmacological and phytochemical biodiversity of Corchorus olitorius. </w:t>
      </w:r>
      <w:r w:rsidRPr="00CB3EB5">
        <w:rPr>
          <w:rFonts w:ascii="Arial" w:hAnsi="Arial" w:cs="Arial"/>
          <w:i/>
          <w:iCs/>
          <w:noProof/>
          <w:sz w:val="20"/>
        </w:rPr>
        <w:t>RSC Advances</w:t>
      </w:r>
      <w:r w:rsidRPr="00CB3EB5">
        <w:rPr>
          <w:rFonts w:ascii="Arial" w:hAnsi="Arial" w:cs="Arial"/>
          <w:noProof/>
          <w:sz w:val="20"/>
        </w:rPr>
        <w:t xml:space="preserve">, </w:t>
      </w:r>
      <w:r w:rsidRPr="00CB3EB5">
        <w:rPr>
          <w:rFonts w:ascii="Arial" w:hAnsi="Arial" w:cs="Arial"/>
          <w:i/>
          <w:iCs/>
          <w:noProof/>
          <w:sz w:val="20"/>
        </w:rPr>
        <w:t>12</w:t>
      </w:r>
      <w:r w:rsidRPr="00CB3EB5">
        <w:rPr>
          <w:rFonts w:ascii="Arial" w:hAnsi="Arial" w:cs="Arial"/>
          <w:noProof/>
          <w:sz w:val="20"/>
        </w:rPr>
        <w:t>(54), 35103–35114. https://doi.org/10.1039/d2ra07406k</w:t>
      </w:r>
    </w:p>
    <w:p w14:paraId="483CD369"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Adesina, A. J., Olaleye, A. A., Popoola, Olatunya, Gbolagade, Idowu, K. A., &amp; Ajakaye, A. O. (2022). Nutritional evaluation of leafy vegetables of Corchorus olitorius family from Ekiti State, Nigeria. </w:t>
      </w:r>
      <w:r w:rsidRPr="00CB3EB5">
        <w:rPr>
          <w:rFonts w:ascii="Arial" w:hAnsi="Arial" w:cs="Arial"/>
          <w:i/>
          <w:iCs/>
          <w:noProof/>
          <w:sz w:val="20"/>
        </w:rPr>
        <w:t>ChemSearch Journal</w:t>
      </w:r>
      <w:r w:rsidRPr="00CB3EB5">
        <w:rPr>
          <w:rFonts w:ascii="Arial" w:hAnsi="Arial" w:cs="Arial"/>
          <w:noProof/>
          <w:sz w:val="20"/>
        </w:rPr>
        <w:t xml:space="preserve">, </w:t>
      </w:r>
      <w:r w:rsidRPr="00CB3EB5">
        <w:rPr>
          <w:rFonts w:ascii="Arial" w:hAnsi="Arial" w:cs="Arial"/>
          <w:i/>
          <w:iCs/>
          <w:noProof/>
          <w:sz w:val="20"/>
        </w:rPr>
        <w:t>13</w:t>
      </w:r>
      <w:r w:rsidRPr="00CB3EB5">
        <w:rPr>
          <w:rFonts w:ascii="Arial" w:hAnsi="Arial" w:cs="Arial"/>
          <w:noProof/>
          <w:sz w:val="20"/>
        </w:rPr>
        <w:t>(1), 147–156. http://www.ajol.info/index.php/csj</w:t>
      </w:r>
    </w:p>
    <w:p w14:paraId="60874E11"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Ahmed, B. T., &amp; Kumar, S. A. (2016). Antioxidant and antidiabetic properties of abelmoschus esculentus extract - An in vitro assay. </w:t>
      </w:r>
      <w:r w:rsidRPr="00CB3EB5">
        <w:rPr>
          <w:rFonts w:ascii="Arial" w:hAnsi="Arial" w:cs="Arial"/>
          <w:i/>
          <w:iCs/>
          <w:noProof/>
          <w:sz w:val="20"/>
        </w:rPr>
        <w:t>Research Journal of Biotechnology</w:t>
      </w:r>
      <w:r w:rsidRPr="00CB3EB5">
        <w:rPr>
          <w:rFonts w:ascii="Arial" w:hAnsi="Arial" w:cs="Arial"/>
          <w:noProof/>
          <w:sz w:val="20"/>
        </w:rPr>
        <w:t xml:space="preserve">, </w:t>
      </w:r>
      <w:r w:rsidRPr="00CB3EB5">
        <w:rPr>
          <w:rFonts w:ascii="Arial" w:hAnsi="Arial" w:cs="Arial"/>
          <w:i/>
          <w:iCs/>
          <w:noProof/>
          <w:sz w:val="20"/>
        </w:rPr>
        <w:t>11</w:t>
      </w:r>
      <w:r w:rsidRPr="00CB3EB5">
        <w:rPr>
          <w:rFonts w:ascii="Arial" w:hAnsi="Arial" w:cs="Arial"/>
          <w:noProof/>
          <w:sz w:val="20"/>
        </w:rPr>
        <w:t>(3), 34–41.</w:t>
      </w:r>
    </w:p>
    <w:p w14:paraId="41CAC3BC"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Alawi, A. M. Al, Majoni, S. W., &amp; Falhammar, H. (2018). Review Article Magnesium and Human Health : Perspectives and Research Directions. </w:t>
      </w:r>
      <w:r w:rsidRPr="00CB3EB5">
        <w:rPr>
          <w:rFonts w:ascii="Arial" w:hAnsi="Arial" w:cs="Arial"/>
          <w:i/>
          <w:iCs/>
          <w:noProof/>
          <w:sz w:val="20"/>
        </w:rPr>
        <w:t>Int J Endocrinol</w:t>
      </w:r>
      <w:r w:rsidRPr="00CB3EB5">
        <w:rPr>
          <w:rFonts w:ascii="Arial" w:hAnsi="Arial" w:cs="Arial"/>
          <w:noProof/>
          <w:sz w:val="20"/>
        </w:rPr>
        <w:t xml:space="preserve">, </w:t>
      </w:r>
      <w:r w:rsidRPr="00CB3EB5">
        <w:rPr>
          <w:rFonts w:ascii="Arial" w:hAnsi="Arial" w:cs="Arial"/>
          <w:i/>
          <w:iCs/>
          <w:noProof/>
          <w:sz w:val="20"/>
        </w:rPr>
        <w:t>2018</w:t>
      </w:r>
      <w:r w:rsidRPr="00CB3EB5">
        <w:rPr>
          <w:rFonts w:ascii="Arial" w:hAnsi="Arial" w:cs="Arial"/>
          <w:noProof/>
          <w:sz w:val="20"/>
        </w:rPr>
        <w:t>, 17 pages. https://doi.org/https://doi.org/10.1155/2018/9041694</w:t>
      </w:r>
    </w:p>
    <w:p w14:paraId="1AC3C9C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AOAC. (1999). </w:t>
      </w:r>
      <w:r w:rsidRPr="00CB3EB5">
        <w:rPr>
          <w:rFonts w:ascii="Arial" w:hAnsi="Arial" w:cs="Arial"/>
          <w:i/>
          <w:iCs/>
          <w:noProof/>
          <w:sz w:val="20"/>
        </w:rPr>
        <w:t>Official methods of analysis</w:t>
      </w:r>
      <w:r w:rsidRPr="00CB3EB5">
        <w:rPr>
          <w:rFonts w:ascii="Arial" w:hAnsi="Arial" w:cs="Arial"/>
          <w:noProof/>
          <w:sz w:val="20"/>
        </w:rPr>
        <w:t xml:space="preserve"> (16th editi). Association of Official Analytical Chemists.</w:t>
      </w:r>
    </w:p>
    <w:p w14:paraId="6421BAC0"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AOAC. (2011). Official methods of analysis of AOAC International. In </w:t>
      </w:r>
      <w:r w:rsidRPr="00CB3EB5">
        <w:rPr>
          <w:rFonts w:ascii="Arial" w:hAnsi="Arial" w:cs="Arial"/>
          <w:i/>
          <w:iCs/>
          <w:noProof/>
          <w:sz w:val="20"/>
        </w:rPr>
        <w:t>AOAC International, Gaitherburg</w:t>
      </w:r>
      <w:r w:rsidRPr="00CB3EB5">
        <w:rPr>
          <w:rFonts w:ascii="Arial" w:hAnsi="Arial" w:cs="Arial"/>
          <w:noProof/>
          <w:sz w:val="20"/>
        </w:rPr>
        <w:t xml:space="preserve"> (Vol. 18st).</w:t>
      </w:r>
    </w:p>
    <w:p w14:paraId="7D064C8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Apak, R., Özyürek, M., Güçlü, K., &amp; Çapanoglu, E. (2016). Antioxidant activity/capacity measurement. 1. Classification, physicochemical principles, mechanisms, and electron transfer (ET)-based assays. </w:t>
      </w:r>
      <w:r w:rsidRPr="00CB3EB5">
        <w:rPr>
          <w:rFonts w:ascii="Arial" w:hAnsi="Arial" w:cs="Arial"/>
          <w:i/>
          <w:iCs/>
          <w:noProof/>
          <w:sz w:val="20"/>
        </w:rPr>
        <w:t>Journal of Agricultural and Food Chemistry</w:t>
      </w:r>
      <w:r w:rsidRPr="00CB3EB5">
        <w:rPr>
          <w:rFonts w:ascii="Arial" w:hAnsi="Arial" w:cs="Arial"/>
          <w:noProof/>
          <w:sz w:val="20"/>
        </w:rPr>
        <w:t xml:space="preserve">, </w:t>
      </w:r>
      <w:r w:rsidRPr="00CB3EB5">
        <w:rPr>
          <w:rFonts w:ascii="Arial" w:hAnsi="Arial" w:cs="Arial"/>
          <w:i/>
          <w:iCs/>
          <w:noProof/>
          <w:sz w:val="20"/>
        </w:rPr>
        <w:t>64</w:t>
      </w:r>
      <w:r w:rsidRPr="00CB3EB5">
        <w:rPr>
          <w:rFonts w:ascii="Arial" w:hAnsi="Arial" w:cs="Arial"/>
          <w:noProof/>
          <w:sz w:val="20"/>
        </w:rPr>
        <w:t>(5), 997–1027. https://doi.org/10.1021/acs.jafc.5b04739</w:t>
      </w:r>
    </w:p>
    <w:p w14:paraId="75B410F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Assiéné, A. J. A., Djeukeu, A. W., Assiéné, O. D. S., Mbida-Mbida, Y. I., &amp; Nyangono, B. C. F. (2024). Nutritional and bioactive potentials of a powder and a decoction made from Ceylon cinnamon bark , Laurus nobilis leaves , and Curcuma longa Linn rhizome. </w:t>
      </w:r>
      <w:r w:rsidRPr="00CB3EB5">
        <w:rPr>
          <w:rFonts w:ascii="Arial" w:hAnsi="Arial" w:cs="Arial"/>
          <w:i/>
          <w:iCs/>
          <w:noProof/>
          <w:sz w:val="20"/>
        </w:rPr>
        <w:t>Applied Food Research</w:t>
      </w:r>
      <w:r w:rsidRPr="00CB3EB5">
        <w:rPr>
          <w:rFonts w:ascii="Arial" w:hAnsi="Arial" w:cs="Arial"/>
          <w:noProof/>
          <w:sz w:val="20"/>
        </w:rPr>
        <w:t xml:space="preserve">, </w:t>
      </w:r>
      <w:r w:rsidRPr="00CB3EB5">
        <w:rPr>
          <w:rFonts w:ascii="Arial" w:hAnsi="Arial" w:cs="Arial"/>
          <w:i/>
          <w:iCs/>
          <w:noProof/>
          <w:sz w:val="20"/>
        </w:rPr>
        <w:t>4</w:t>
      </w:r>
      <w:r w:rsidRPr="00CB3EB5">
        <w:rPr>
          <w:rFonts w:ascii="Arial" w:hAnsi="Arial" w:cs="Arial"/>
          <w:noProof/>
          <w:sz w:val="20"/>
        </w:rPr>
        <w:t>(2024), 100436. https://doi.org/10.1016/j.afres.2024.100436</w:t>
      </w:r>
    </w:p>
    <w:p w14:paraId="17FBE039"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Assiéné, A. J. A., Djeukeu, A. W., Assiéné, O. D. S., Tize, Z., Obono, N. L., Mbango, E. P., Mboube, N. O., Keubing, F. S. R., &amp; Fongnzossie, F. E. (2024). Influence of particle size fraction and bioactive compound contents on the biological activities of Solanum torvum L. leaf powder extracts. </w:t>
      </w:r>
      <w:r w:rsidRPr="00CB3EB5">
        <w:rPr>
          <w:rFonts w:ascii="Arial" w:hAnsi="Arial" w:cs="Arial"/>
          <w:i/>
          <w:iCs/>
          <w:noProof/>
          <w:sz w:val="20"/>
        </w:rPr>
        <w:t>Journal of Experimental Biology and Agricultural Sciences</w:t>
      </w:r>
      <w:r w:rsidRPr="00CB3EB5">
        <w:rPr>
          <w:rFonts w:ascii="Arial" w:hAnsi="Arial" w:cs="Arial"/>
          <w:noProof/>
          <w:sz w:val="20"/>
        </w:rPr>
        <w:t xml:space="preserve">, </w:t>
      </w:r>
      <w:r w:rsidRPr="00CB3EB5">
        <w:rPr>
          <w:rFonts w:ascii="Arial" w:hAnsi="Arial" w:cs="Arial"/>
          <w:i/>
          <w:iCs/>
          <w:noProof/>
          <w:sz w:val="20"/>
        </w:rPr>
        <w:t>12</w:t>
      </w:r>
      <w:r w:rsidRPr="00CB3EB5">
        <w:rPr>
          <w:rFonts w:ascii="Arial" w:hAnsi="Arial" w:cs="Arial"/>
          <w:noProof/>
          <w:sz w:val="20"/>
        </w:rPr>
        <w:t>(2), 203–217. https://doi.org/10.18006/2024.12(2).203.217</w:t>
      </w:r>
    </w:p>
    <w:p w14:paraId="34D5B45D"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Assiéné, A. J. A., Fombang, E. N., &amp; Mbofung, C. M. F. (2015). Particular benefits can be attributed to Moringa oleifera Lam leaves based on origin and stage of maturity. </w:t>
      </w:r>
      <w:r w:rsidRPr="00CB3EB5">
        <w:rPr>
          <w:rFonts w:ascii="Arial" w:hAnsi="Arial" w:cs="Arial"/>
          <w:i/>
          <w:iCs/>
          <w:noProof/>
          <w:sz w:val="20"/>
        </w:rPr>
        <w:t>Journal of Experimental Biology and Agricultural Sciences</w:t>
      </w:r>
      <w:r w:rsidRPr="00CB3EB5">
        <w:rPr>
          <w:rFonts w:ascii="Arial" w:hAnsi="Arial" w:cs="Arial"/>
          <w:noProof/>
          <w:sz w:val="20"/>
        </w:rPr>
        <w:t xml:space="preserve">, </w:t>
      </w:r>
      <w:r w:rsidRPr="00CB3EB5">
        <w:rPr>
          <w:rFonts w:ascii="Arial" w:hAnsi="Arial" w:cs="Arial"/>
          <w:i/>
          <w:iCs/>
          <w:noProof/>
          <w:sz w:val="20"/>
        </w:rPr>
        <w:t>3</w:t>
      </w:r>
      <w:r w:rsidRPr="00CB3EB5">
        <w:rPr>
          <w:rFonts w:ascii="Arial" w:hAnsi="Arial" w:cs="Arial"/>
          <w:noProof/>
          <w:sz w:val="20"/>
        </w:rPr>
        <w:t>(2320), 541–555. https://doi.org/http://dx.doi.org/10.18006/2015.3(6).541.555</w:t>
      </w:r>
    </w:p>
    <w:p w14:paraId="05751C7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Assiéné, A. J. A., Fombang, E. N., &amp; Mbofung, M. C. (2020). In vitro Protein Digestibility and Iron Bioavailability According to Agro-Ecological Zone and Stage of Maturity of Moringa oleifera Lam Leaves. </w:t>
      </w:r>
      <w:r w:rsidRPr="00CB3EB5">
        <w:rPr>
          <w:rFonts w:ascii="Arial" w:hAnsi="Arial" w:cs="Arial"/>
          <w:i/>
          <w:iCs/>
          <w:noProof/>
          <w:sz w:val="20"/>
        </w:rPr>
        <w:t>European Journal of Nutrition &amp; Food Safety</w:t>
      </w:r>
      <w:r w:rsidRPr="00CB3EB5">
        <w:rPr>
          <w:rFonts w:ascii="Arial" w:hAnsi="Arial" w:cs="Arial"/>
          <w:noProof/>
          <w:sz w:val="20"/>
        </w:rPr>
        <w:t xml:space="preserve">, </w:t>
      </w:r>
      <w:r w:rsidRPr="00CB3EB5">
        <w:rPr>
          <w:rFonts w:ascii="Arial" w:hAnsi="Arial" w:cs="Arial"/>
          <w:i/>
          <w:iCs/>
          <w:noProof/>
          <w:sz w:val="20"/>
        </w:rPr>
        <w:t>12</w:t>
      </w:r>
      <w:r w:rsidRPr="00CB3EB5">
        <w:rPr>
          <w:rFonts w:ascii="Arial" w:hAnsi="Arial" w:cs="Arial"/>
          <w:noProof/>
          <w:sz w:val="20"/>
        </w:rPr>
        <w:t>(11), 90–103. https://doi.org/10.9734/EJNFS/2020/v12i1130325</w:t>
      </w:r>
    </w:p>
    <w:p w14:paraId="78D1E269"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Astrup, A., &amp; Bügel, S. (2018). Overfed but undernourished : recognizing nutritional inadequacies/deficiencies in patients with overweight or obesity. </w:t>
      </w:r>
      <w:r w:rsidRPr="00CB3EB5">
        <w:rPr>
          <w:rFonts w:ascii="Arial" w:hAnsi="Arial" w:cs="Arial"/>
          <w:i/>
          <w:iCs/>
          <w:noProof/>
          <w:sz w:val="20"/>
        </w:rPr>
        <w:t>International Journal of Obesity</w:t>
      </w:r>
      <w:r w:rsidRPr="00CB3EB5">
        <w:rPr>
          <w:rFonts w:ascii="Arial" w:hAnsi="Arial" w:cs="Arial"/>
          <w:noProof/>
          <w:sz w:val="20"/>
        </w:rPr>
        <w:t>. https://doi.org/10.1038/s41366-018-0143-9</w:t>
      </w:r>
    </w:p>
    <w:p w14:paraId="26E7C68A"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Bawa, S. H., &amp; Badrie, N. (2016). Nutrient profile, bioactive components, and functional properties of okra (Abelmoschus esculentus (L.) Moench). In </w:t>
      </w:r>
      <w:r w:rsidRPr="00CB3EB5">
        <w:rPr>
          <w:rFonts w:ascii="Arial" w:hAnsi="Arial" w:cs="Arial"/>
          <w:i/>
          <w:iCs/>
          <w:noProof/>
          <w:sz w:val="20"/>
        </w:rPr>
        <w:t>Fruits, Vegetables, and Herbs: Bioactive Foods in Health Promotion</w:t>
      </w:r>
      <w:r w:rsidRPr="00CB3EB5">
        <w:rPr>
          <w:rFonts w:ascii="Arial" w:hAnsi="Arial" w:cs="Arial"/>
          <w:noProof/>
          <w:sz w:val="20"/>
        </w:rPr>
        <w:t>. Elsevier Inc. https://doi.org/10.1016/B978-0-12-802972-5.00018-4</w:t>
      </w:r>
    </w:p>
    <w:p w14:paraId="24B8614B"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Ben Yakoub, A. R., Abdehedi, O., Jridi, M., Elfalleh, W., Nasri, M., &amp; Ferchichi, A. (2018). Flavonoids, </w:t>
      </w:r>
      <w:r w:rsidRPr="00CB3EB5">
        <w:rPr>
          <w:rFonts w:ascii="Arial" w:hAnsi="Arial" w:cs="Arial"/>
          <w:noProof/>
          <w:sz w:val="20"/>
        </w:rPr>
        <w:lastRenderedPageBreak/>
        <w:t xml:space="preserve">phenols, antioxidant, and antimicrobial activities in various extracts from Tossa jute leave (Corchorus olitorius L.). </w:t>
      </w:r>
      <w:r w:rsidRPr="00CB3EB5">
        <w:rPr>
          <w:rFonts w:ascii="Arial" w:hAnsi="Arial" w:cs="Arial"/>
          <w:i/>
          <w:iCs/>
          <w:noProof/>
          <w:sz w:val="20"/>
        </w:rPr>
        <w:t>Industrial Crops and Products</w:t>
      </w:r>
      <w:r w:rsidRPr="00CB3EB5">
        <w:rPr>
          <w:rFonts w:ascii="Arial" w:hAnsi="Arial" w:cs="Arial"/>
          <w:noProof/>
          <w:sz w:val="20"/>
        </w:rPr>
        <w:t xml:space="preserve">, </w:t>
      </w:r>
      <w:r w:rsidRPr="00CB3EB5">
        <w:rPr>
          <w:rFonts w:ascii="Arial" w:hAnsi="Arial" w:cs="Arial"/>
          <w:i/>
          <w:iCs/>
          <w:noProof/>
          <w:sz w:val="20"/>
        </w:rPr>
        <w:t>118</w:t>
      </w:r>
      <w:r w:rsidRPr="00CB3EB5">
        <w:rPr>
          <w:rFonts w:ascii="Arial" w:hAnsi="Arial" w:cs="Arial"/>
          <w:noProof/>
          <w:sz w:val="20"/>
        </w:rPr>
        <w:t>(March), 206–213. https://doi.org/10.1016/j.indcrop.2018.03.047</w:t>
      </w:r>
    </w:p>
    <w:p w14:paraId="507946D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Borokini, F. B., Oladipo, G. O., Komolafe, O. Y., &amp; Ajongbolo, K. F. (2022). Phytochemical, nutritional and antioxidant properties of Abelmoschus esculentus Moench L leaf: A pointer to its fertility potentials. </w:t>
      </w:r>
      <w:r w:rsidRPr="00CB3EB5">
        <w:rPr>
          <w:rFonts w:ascii="Arial" w:hAnsi="Arial" w:cs="Arial"/>
          <w:i/>
          <w:iCs/>
          <w:noProof/>
          <w:sz w:val="20"/>
        </w:rPr>
        <w:t>Measurement: Food</w:t>
      </w:r>
      <w:r w:rsidRPr="00CB3EB5">
        <w:rPr>
          <w:rFonts w:ascii="Arial" w:hAnsi="Arial" w:cs="Arial"/>
          <w:noProof/>
          <w:sz w:val="20"/>
        </w:rPr>
        <w:t xml:space="preserve">, </w:t>
      </w:r>
      <w:r w:rsidRPr="00CB3EB5">
        <w:rPr>
          <w:rFonts w:ascii="Arial" w:hAnsi="Arial" w:cs="Arial"/>
          <w:i/>
          <w:iCs/>
          <w:noProof/>
          <w:sz w:val="20"/>
        </w:rPr>
        <w:t>6</w:t>
      </w:r>
      <w:r w:rsidRPr="00CB3EB5">
        <w:rPr>
          <w:rFonts w:ascii="Arial" w:hAnsi="Arial" w:cs="Arial"/>
          <w:noProof/>
          <w:sz w:val="20"/>
        </w:rPr>
        <w:t>, 100034. https://doi.org/10.1016/j.meafoo.2022.100034</w:t>
      </w:r>
    </w:p>
    <w:p w14:paraId="579ED88E"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Bost, M., Houdart, S., Oberli, M., Kalonji, E., Huneau, J. F., &amp; Margaritis, I. (2016). Dietary copper and human health: Current evidence and unresolved issues. </w:t>
      </w:r>
      <w:r w:rsidRPr="00CB3EB5">
        <w:rPr>
          <w:rFonts w:ascii="Arial" w:hAnsi="Arial" w:cs="Arial"/>
          <w:i/>
          <w:iCs/>
          <w:noProof/>
          <w:sz w:val="20"/>
        </w:rPr>
        <w:t>Journal of Trace Elements in Medicine and Biology</w:t>
      </w:r>
      <w:r w:rsidRPr="00CB3EB5">
        <w:rPr>
          <w:rFonts w:ascii="Arial" w:hAnsi="Arial" w:cs="Arial"/>
          <w:noProof/>
          <w:sz w:val="20"/>
        </w:rPr>
        <w:t xml:space="preserve">, </w:t>
      </w:r>
      <w:r w:rsidRPr="00CB3EB5">
        <w:rPr>
          <w:rFonts w:ascii="Arial" w:hAnsi="Arial" w:cs="Arial"/>
          <w:i/>
          <w:iCs/>
          <w:noProof/>
          <w:sz w:val="20"/>
        </w:rPr>
        <w:t>35</w:t>
      </w:r>
      <w:r w:rsidRPr="00CB3EB5">
        <w:rPr>
          <w:rFonts w:ascii="Arial" w:hAnsi="Arial" w:cs="Arial"/>
          <w:noProof/>
          <w:sz w:val="20"/>
        </w:rPr>
        <w:t>, 107–115. https://doi.org/10.1016/j.jtemb.2016.02.006</w:t>
      </w:r>
    </w:p>
    <w:p w14:paraId="03E69981"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Bourely. (1982). Observation sur le dosage de l’huile des graines de cotonnie. </w:t>
      </w:r>
      <w:r w:rsidRPr="00CB3EB5">
        <w:rPr>
          <w:rFonts w:ascii="Arial" w:hAnsi="Arial" w:cs="Arial"/>
          <w:i/>
          <w:iCs/>
          <w:noProof/>
          <w:sz w:val="20"/>
        </w:rPr>
        <w:t>Coton et Fibres Tropicales</w:t>
      </w:r>
      <w:r w:rsidRPr="00CB3EB5">
        <w:rPr>
          <w:rFonts w:ascii="Arial" w:hAnsi="Arial" w:cs="Arial"/>
          <w:noProof/>
          <w:sz w:val="20"/>
        </w:rPr>
        <w:t xml:space="preserve">, </w:t>
      </w:r>
      <w:r w:rsidRPr="00CB3EB5">
        <w:rPr>
          <w:rFonts w:ascii="Arial" w:hAnsi="Arial" w:cs="Arial"/>
          <w:i/>
          <w:iCs/>
          <w:noProof/>
          <w:sz w:val="20"/>
        </w:rPr>
        <w:t>27</w:t>
      </w:r>
      <w:r w:rsidRPr="00CB3EB5">
        <w:rPr>
          <w:rFonts w:ascii="Arial" w:hAnsi="Arial" w:cs="Arial"/>
          <w:noProof/>
          <w:sz w:val="20"/>
        </w:rPr>
        <w:t>, 183–196. https://agritrop.cirad.fr/455410/</w:t>
      </w:r>
    </w:p>
    <w:p w14:paraId="409B9C24"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Chang, A. R., &amp; Anderson, C. (2017). Dietary phosphorus intake and kidney function. </w:t>
      </w:r>
      <w:r w:rsidRPr="00CB3EB5">
        <w:rPr>
          <w:rFonts w:ascii="Arial" w:hAnsi="Arial" w:cs="Arial"/>
          <w:i/>
          <w:iCs/>
          <w:noProof/>
          <w:sz w:val="20"/>
        </w:rPr>
        <w:t>Annual Review of Nutrition</w:t>
      </w:r>
      <w:r w:rsidRPr="00CB3EB5">
        <w:rPr>
          <w:rFonts w:ascii="Arial" w:hAnsi="Arial" w:cs="Arial"/>
          <w:noProof/>
          <w:sz w:val="20"/>
        </w:rPr>
        <w:t xml:space="preserve">, </w:t>
      </w:r>
      <w:r w:rsidRPr="00CB3EB5">
        <w:rPr>
          <w:rFonts w:ascii="Arial" w:hAnsi="Arial" w:cs="Arial"/>
          <w:i/>
          <w:iCs/>
          <w:noProof/>
          <w:sz w:val="20"/>
        </w:rPr>
        <w:t>37</w:t>
      </w:r>
      <w:r w:rsidRPr="00CB3EB5">
        <w:rPr>
          <w:rFonts w:ascii="Arial" w:hAnsi="Arial" w:cs="Arial"/>
          <w:noProof/>
          <w:sz w:val="20"/>
        </w:rPr>
        <w:t>(June 14), 321–346. https://doi.org/10.1201/9781315119533</w:t>
      </w:r>
    </w:p>
    <w:p w14:paraId="2CC1E659"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Chang, C. C., Yang, M. H., Wen, H. M., &amp; Chern, J. C. (2002). Estimation of total flavonoid content in propolis by two complementary colometric methods. </w:t>
      </w:r>
      <w:r w:rsidRPr="00CB3EB5">
        <w:rPr>
          <w:rFonts w:ascii="Arial" w:hAnsi="Arial" w:cs="Arial"/>
          <w:i/>
          <w:iCs/>
          <w:noProof/>
          <w:sz w:val="20"/>
        </w:rPr>
        <w:t>Journal of Food and Drug Analysis</w:t>
      </w:r>
      <w:r w:rsidRPr="00CB3EB5">
        <w:rPr>
          <w:rFonts w:ascii="Arial" w:hAnsi="Arial" w:cs="Arial"/>
          <w:noProof/>
          <w:sz w:val="20"/>
        </w:rPr>
        <w:t xml:space="preserve">, </w:t>
      </w:r>
      <w:r w:rsidRPr="00CB3EB5">
        <w:rPr>
          <w:rFonts w:ascii="Arial" w:hAnsi="Arial" w:cs="Arial"/>
          <w:i/>
          <w:iCs/>
          <w:noProof/>
          <w:sz w:val="20"/>
        </w:rPr>
        <w:t>10</w:t>
      </w:r>
      <w:r w:rsidRPr="00CB3EB5">
        <w:rPr>
          <w:rFonts w:ascii="Arial" w:hAnsi="Arial" w:cs="Arial"/>
          <w:noProof/>
          <w:sz w:val="20"/>
        </w:rPr>
        <w:t>(3), 178–182. https://doi.org/10.38212/2224-6614.2748</w:t>
      </w:r>
    </w:p>
    <w:p w14:paraId="25AEB2E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Debnath, B., Singh, W. S., Das, M., Goswami, S., Singh, M. K., Maiti, D., &amp; Manna, K. (2018). Role of plant alkaloids on human health: A review of biological activities. </w:t>
      </w:r>
      <w:r w:rsidRPr="00CB3EB5">
        <w:rPr>
          <w:rFonts w:ascii="Arial" w:hAnsi="Arial" w:cs="Arial"/>
          <w:i/>
          <w:iCs/>
          <w:noProof/>
          <w:sz w:val="20"/>
        </w:rPr>
        <w:t>Materials Today Chemistry</w:t>
      </w:r>
      <w:r w:rsidRPr="00CB3EB5">
        <w:rPr>
          <w:rFonts w:ascii="Arial" w:hAnsi="Arial" w:cs="Arial"/>
          <w:noProof/>
          <w:sz w:val="20"/>
        </w:rPr>
        <w:t xml:space="preserve">, </w:t>
      </w:r>
      <w:r w:rsidRPr="00CB3EB5">
        <w:rPr>
          <w:rFonts w:ascii="Arial" w:hAnsi="Arial" w:cs="Arial"/>
          <w:i/>
          <w:iCs/>
          <w:noProof/>
          <w:sz w:val="20"/>
        </w:rPr>
        <w:t>9</w:t>
      </w:r>
      <w:r w:rsidRPr="00CB3EB5">
        <w:rPr>
          <w:rFonts w:ascii="Arial" w:hAnsi="Arial" w:cs="Arial"/>
          <w:noProof/>
          <w:sz w:val="20"/>
        </w:rPr>
        <w:t>, 56–72. https://doi.org/10.1016/j.mtchem.2018.05.001</w:t>
      </w:r>
    </w:p>
    <w:p w14:paraId="3A13430E"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Diaz-Muñoz, G., Miranda, I. L., Sartori, S. K., de Rezende, D. C., &amp; Diaz, M. A. N. (2018). Anthraquinones: An Overview. In </w:t>
      </w:r>
      <w:r w:rsidRPr="00CB3EB5">
        <w:rPr>
          <w:rFonts w:ascii="Arial" w:hAnsi="Arial" w:cs="Arial"/>
          <w:i/>
          <w:iCs/>
          <w:noProof/>
          <w:sz w:val="20"/>
        </w:rPr>
        <w:t>Studies in Natural Products Chemistry</w:t>
      </w:r>
      <w:r w:rsidRPr="00CB3EB5">
        <w:rPr>
          <w:rFonts w:ascii="Arial" w:hAnsi="Arial" w:cs="Arial"/>
          <w:noProof/>
          <w:sz w:val="20"/>
        </w:rPr>
        <w:t xml:space="preserve"> (Vol. 58, pp. 313–338). https://doi.org/10.1016/B978-0-444-64056-7.00011-8</w:t>
      </w:r>
    </w:p>
    <w:p w14:paraId="10004DD3"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Fang, Z., Li, J., Yang, R., Fang, L., &amp; Zhang, Y. (2020). A review: The triterpenoid saponins and biological activities of lonicera linn. </w:t>
      </w:r>
      <w:r w:rsidRPr="00CB3EB5">
        <w:rPr>
          <w:rFonts w:ascii="Arial" w:hAnsi="Arial" w:cs="Arial"/>
          <w:i/>
          <w:iCs/>
          <w:noProof/>
          <w:sz w:val="20"/>
        </w:rPr>
        <w:t>Molecules</w:t>
      </w:r>
      <w:r w:rsidRPr="00CB3EB5">
        <w:rPr>
          <w:rFonts w:ascii="Arial" w:hAnsi="Arial" w:cs="Arial"/>
          <w:noProof/>
          <w:sz w:val="20"/>
        </w:rPr>
        <w:t xml:space="preserve">, </w:t>
      </w:r>
      <w:r w:rsidRPr="00CB3EB5">
        <w:rPr>
          <w:rFonts w:ascii="Arial" w:hAnsi="Arial" w:cs="Arial"/>
          <w:i/>
          <w:iCs/>
          <w:noProof/>
          <w:sz w:val="20"/>
        </w:rPr>
        <w:t>25</w:t>
      </w:r>
      <w:r w:rsidRPr="00CB3EB5">
        <w:rPr>
          <w:rFonts w:ascii="Arial" w:hAnsi="Arial" w:cs="Arial"/>
          <w:noProof/>
          <w:sz w:val="20"/>
        </w:rPr>
        <w:t>(17), 1–16. https://doi.org/10.3390/molecules25173773</w:t>
      </w:r>
    </w:p>
    <w:p w14:paraId="76B6540B"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Farquhar, W. B., Edwards, D. G., Jurkovitz, C. T., &amp; Weintraub, W. S. (2015). Dietary sodium and health: More than just blood pressure. </w:t>
      </w:r>
      <w:r w:rsidRPr="00CB3EB5">
        <w:rPr>
          <w:rFonts w:ascii="Arial" w:hAnsi="Arial" w:cs="Arial"/>
          <w:i/>
          <w:iCs/>
          <w:noProof/>
          <w:sz w:val="20"/>
        </w:rPr>
        <w:t>Journal of the American College of Cardiology</w:t>
      </w:r>
      <w:r w:rsidRPr="00CB3EB5">
        <w:rPr>
          <w:rFonts w:ascii="Arial" w:hAnsi="Arial" w:cs="Arial"/>
          <w:noProof/>
          <w:sz w:val="20"/>
        </w:rPr>
        <w:t xml:space="preserve">, </w:t>
      </w:r>
      <w:r w:rsidRPr="00CB3EB5">
        <w:rPr>
          <w:rFonts w:ascii="Arial" w:hAnsi="Arial" w:cs="Arial"/>
          <w:i/>
          <w:iCs/>
          <w:noProof/>
          <w:sz w:val="20"/>
        </w:rPr>
        <w:t>65</w:t>
      </w:r>
      <w:r w:rsidRPr="00CB3EB5">
        <w:rPr>
          <w:rFonts w:ascii="Arial" w:hAnsi="Arial" w:cs="Arial"/>
          <w:noProof/>
          <w:sz w:val="20"/>
        </w:rPr>
        <w:t>(10), 1042–1050. https://doi.org/10.1016/j.jacc.2014.12.039</w:t>
      </w:r>
    </w:p>
    <w:p w14:paraId="4BC31345"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Fischer, E., &amp; Stein, E. A. (1961). DNS colorimetric determination of available carbohydrates in foods. </w:t>
      </w:r>
      <w:r w:rsidRPr="00CB3EB5">
        <w:rPr>
          <w:rFonts w:ascii="Arial" w:hAnsi="Arial" w:cs="Arial"/>
          <w:i/>
          <w:iCs/>
          <w:noProof/>
          <w:sz w:val="20"/>
        </w:rPr>
        <w:t>Biochemical Preparation</w:t>
      </w:r>
      <w:r w:rsidRPr="00CB3EB5">
        <w:rPr>
          <w:rFonts w:ascii="Arial" w:hAnsi="Arial" w:cs="Arial"/>
          <w:noProof/>
          <w:sz w:val="20"/>
        </w:rPr>
        <w:t xml:space="preserve">, </w:t>
      </w:r>
      <w:r w:rsidRPr="00CB3EB5">
        <w:rPr>
          <w:rFonts w:ascii="Arial" w:hAnsi="Arial" w:cs="Arial"/>
          <w:i/>
          <w:iCs/>
          <w:noProof/>
          <w:sz w:val="20"/>
        </w:rPr>
        <w:t>8</w:t>
      </w:r>
      <w:r w:rsidRPr="00CB3EB5">
        <w:rPr>
          <w:rFonts w:ascii="Arial" w:hAnsi="Arial" w:cs="Arial"/>
          <w:noProof/>
          <w:sz w:val="20"/>
        </w:rPr>
        <w:t>, 30–37.</w:t>
      </w:r>
    </w:p>
    <w:p w14:paraId="15C71FDA"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Galla, N. R., Pamidighantam, P. R., Karakala, B., Gurusiddaiah, M. R., &amp; Akula, S. (2017). Nutritional, textural and sensory quality of biscuits supplemented with spinach (Spinacia oleracea L.). </w:t>
      </w:r>
      <w:r w:rsidRPr="00CB3EB5">
        <w:rPr>
          <w:rFonts w:ascii="Arial" w:hAnsi="Arial" w:cs="Arial"/>
          <w:i/>
          <w:iCs/>
          <w:noProof/>
          <w:sz w:val="20"/>
        </w:rPr>
        <w:t>International Journal of Gastronomy and Food Science</w:t>
      </w:r>
      <w:r w:rsidRPr="00CB3EB5">
        <w:rPr>
          <w:rFonts w:ascii="Arial" w:hAnsi="Arial" w:cs="Arial"/>
          <w:noProof/>
          <w:sz w:val="20"/>
        </w:rPr>
        <w:t xml:space="preserve">, </w:t>
      </w:r>
      <w:r w:rsidRPr="00CB3EB5">
        <w:rPr>
          <w:rFonts w:ascii="Arial" w:hAnsi="Arial" w:cs="Arial"/>
          <w:i/>
          <w:iCs/>
          <w:noProof/>
          <w:sz w:val="20"/>
        </w:rPr>
        <w:t>7</w:t>
      </w:r>
      <w:r w:rsidRPr="00CB3EB5">
        <w:rPr>
          <w:rFonts w:ascii="Arial" w:hAnsi="Arial" w:cs="Arial"/>
          <w:noProof/>
          <w:sz w:val="20"/>
        </w:rPr>
        <w:t>(2017), 20–26. https://doi.org/10.1016/j.ijgfs.2016.12.003</w:t>
      </w:r>
    </w:p>
    <w:p w14:paraId="131DA33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Gemede, H. F., Ratta, N., Haki, G. D., &amp; Beyene, A. Z. W. F. (2015). Nutritional Quality and Health Benefits of Okra (Abelmoschus esculentus): A Review. </w:t>
      </w:r>
      <w:r w:rsidRPr="00CB3EB5">
        <w:rPr>
          <w:rFonts w:ascii="Arial" w:hAnsi="Arial" w:cs="Arial"/>
          <w:i/>
          <w:iCs/>
          <w:noProof/>
          <w:sz w:val="20"/>
        </w:rPr>
        <w:t>Journal of Food Processing &amp; Technology</w:t>
      </w:r>
      <w:r w:rsidRPr="00CB3EB5">
        <w:rPr>
          <w:rFonts w:ascii="Arial" w:hAnsi="Arial" w:cs="Arial"/>
          <w:noProof/>
          <w:sz w:val="20"/>
        </w:rPr>
        <w:t xml:space="preserve">, </w:t>
      </w:r>
      <w:r w:rsidRPr="00CB3EB5">
        <w:rPr>
          <w:rFonts w:ascii="Arial" w:hAnsi="Arial" w:cs="Arial"/>
          <w:i/>
          <w:iCs/>
          <w:noProof/>
          <w:sz w:val="20"/>
        </w:rPr>
        <w:t>06</w:t>
      </w:r>
      <w:r w:rsidRPr="00CB3EB5">
        <w:rPr>
          <w:rFonts w:ascii="Arial" w:hAnsi="Arial" w:cs="Arial"/>
          <w:noProof/>
          <w:sz w:val="20"/>
        </w:rPr>
        <w:t>(06). https://doi.org/10.4172/2157-7110.1000458</w:t>
      </w:r>
    </w:p>
    <w:p w14:paraId="730C7270"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Guerriero, G., Berni, R., Muñoz-Sanchez, J. A., Apone, F., Abdel-Salam, E. M., Qahtan, A. A., Alatar, A. A., Cantini, C., Cai, G., Hausman, J. F., Siddiqui, K. S., Hernández-Sotomayor, S. M. T., &amp; Faisal, M. (2018). Production of plant secondary metabolites: Examples, tips and suggestions for biotechnologists. </w:t>
      </w:r>
      <w:r w:rsidRPr="00CB3EB5">
        <w:rPr>
          <w:rFonts w:ascii="Arial" w:hAnsi="Arial" w:cs="Arial"/>
          <w:i/>
          <w:iCs/>
          <w:noProof/>
          <w:sz w:val="20"/>
        </w:rPr>
        <w:t>Genes</w:t>
      </w:r>
      <w:r w:rsidRPr="00CB3EB5">
        <w:rPr>
          <w:rFonts w:ascii="Arial" w:hAnsi="Arial" w:cs="Arial"/>
          <w:noProof/>
          <w:sz w:val="20"/>
        </w:rPr>
        <w:t xml:space="preserve">, </w:t>
      </w:r>
      <w:r w:rsidRPr="00CB3EB5">
        <w:rPr>
          <w:rFonts w:ascii="Arial" w:hAnsi="Arial" w:cs="Arial"/>
          <w:i/>
          <w:iCs/>
          <w:noProof/>
          <w:sz w:val="20"/>
        </w:rPr>
        <w:t>9</w:t>
      </w:r>
      <w:r w:rsidRPr="00CB3EB5">
        <w:rPr>
          <w:rFonts w:ascii="Arial" w:hAnsi="Arial" w:cs="Arial"/>
          <w:noProof/>
          <w:sz w:val="20"/>
        </w:rPr>
        <w:t>(309), 1–22. https://doi.org/10.3390/genes9060309</w:t>
      </w:r>
    </w:p>
    <w:p w14:paraId="3F8F28A0"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Gülçin, I. (2012). Antioxidant activity of food constituents: An overview. </w:t>
      </w:r>
      <w:r w:rsidRPr="00CB3EB5">
        <w:rPr>
          <w:rFonts w:ascii="Arial" w:hAnsi="Arial" w:cs="Arial"/>
          <w:i/>
          <w:iCs/>
          <w:noProof/>
          <w:sz w:val="20"/>
        </w:rPr>
        <w:t>Archives of Toxicology</w:t>
      </w:r>
      <w:r w:rsidRPr="00CB3EB5">
        <w:rPr>
          <w:rFonts w:ascii="Arial" w:hAnsi="Arial" w:cs="Arial"/>
          <w:noProof/>
          <w:sz w:val="20"/>
        </w:rPr>
        <w:t xml:space="preserve">, </w:t>
      </w:r>
      <w:r w:rsidRPr="00CB3EB5">
        <w:rPr>
          <w:rFonts w:ascii="Arial" w:hAnsi="Arial" w:cs="Arial"/>
          <w:i/>
          <w:iCs/>
          <w:noProof/>
          <w:sz w:val="20"/>
        </w:rPr>
        <w:t>86</w:t>
      </w:r>
      <w:r w:rsidRPr="00CB3EB5">
        <w:rPr>
          <w:rFonts w:ascii="Arial" w:hAnsi="Arial" w:cs="Arial"/>
          <w:noProof/>
          <w:sz w:val="20"/>
        </w:rPr>
        <w:t>(3), 345–391. https://doi.org/10.1007/s00204-011-0774-2</w:t>
      </w:r>
    </w:p>
    <w:p w14:paraId="7216585D"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Gülçin, I., Huyut, Z., Elmastaş, M., &amp; Aboul-Enein, H. Y. (2010). Radical scavenging and antioxidant activity of tannic acid. </w:t>
      </w:r>
      <w:r w:rsidRPr="00CB3EB5">
        <w:rPr>
          <w:rFonts w:ascii="Arial" w:hAnsi="Arial" w:cs="Arial"/>
          <w:i/>
          <w:iCs/>
          <w:noProof/>
          <w:sz w:val="20"/>
        </w:rPr>
        <w:t>Arabian Journal of Chemistry</w:t>
      </w:r>
      <w:r w:rsidRPr="00CB3EB5">
        <w:rPr>
          <w:rFonts w:ascii="Arial" w:hAnsi="Arial" w:cs="Arial"/>
          <w:noProof/>
          <w:sz w:val="20"/>
        </w:rPr>
        <w:t xml:space="preserve">, </w:t>
      </w:r>
      <w:r w:rsidRPr="00CB3EB5">
        <w:rPr>
          <w:rFonts w:ascii="Arial" w:hAnsi="Arial" w:cs="Arial"/>
          <w:i/>
          <w:iCs/>
          <w:noProof/>
          <w:sz w:val="20"/>
        </w:rPr>
        <w:t>3</w:t>
      </w:r>
      <w:r w:rsidRPr="00CB3EB5">
        <w:rPr>
          <w:rFonts w:ascii="Arial" w:hAnsi="Arial" w:cs="Arial"/>
          <w:noProof/>
          <w:sz w:val="20"/>
        </w:rPr>
        <w:t xml:space="preserve">(1), 43–53. </w:t>
      </w:r>
      <w:r w:rsidRPr="00CB3EB5">
        <w:rPr>
          <w:rFonts w:ascii="Arial" w:hAnsi="Arial" w:cs="Arial"/>
          <w:noProof/>
          <w:sz w:val="20"/>
        </w:rPr>
        <w:lastRenderedPageBreak/>
        <w:t>https://doi.org/10.1016/j.arabjc.2009.12.008</w:t>
      </w:r>
    </w:p>
    <w:p w14:paraId="5E48EA9C"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Harborne, J. B. (1998). Phytochemical Methods: A Guide to Modern Techniques of Plant Analysis. Second Edition. In </w:t>
      </w:r>
      <w:r w:rsidRPr="00CB3EB5">
        <w:rPr>
          <w:rFonts w:ascii="Arial" w:hAnsi="Arial" w:cs="Arial"/>
          <w:i/>
          <w:iCs/>
          <w:noProof/>
          <w:sz w:val="20"/>
        </w:rPr>
        <w:t>Brittonia</w:t>
      </w:r>
      <w:r w:rsidRPr="00CB3EB5">
        <w:rPr>
          <w:rFonts w:ascii="Arial" w:hAnsi="Arial" w:cs="Arial"/>
          <w:noProof/>
          <w:sz w:val="20"/>
        </w:rPr>
        <w:t xml:space="preserve"> (Vol. 42, Issue 2). Springer Dordrecht. https://doi.org/10.2307/2807624</w:t>
      </w:r>
    </w:p>
    <w:p w14:paraId="2E5D4235"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He, W. Sen, Zhu, H., &amp; Chen, Z. Y. (2018). Plant Sterols: Chemical and Enzymatic Structural Modifications and Effects on Their Cholesterol-Lowering Activity. </w:t>
      </w:r>
      <w:r w:rsidRPr="00CB3EB5">
        <w:rPr>
          <w:rFonts w:ascii="Arial" w:hAnsi="Arial" w:cs="Arial"/>
          <w:i/>
          <w:iCs/>
          <w:noProof/>
          <w:sz w:val="20"/>
        </w:rPr>
        <w:t>Journal of Agricultural and Food Chemistry</w:t>
      </w:r>
      <w:r w:rsidRPr="00CB3EB5">
        <w:rPr>
          <w:rFonts w:ascii="Arial" w:hAnsi="Arial" w:cs="Arial"/>
          <w:noProof/>
          <w:sz w:val="20"/>
        </w:rPr>
        <w:t xml:space="preserve">, </w:t>
      </w:r>
      <w:r w:rsidRPr="00CB3EB5">
        <w:rPr>
          <w:rFonts w:ascii="Arial" w:hAnsi="Arial" w:cs="Arial"/>
          <w:i/>
          <w:iCs/>
          <w:noProof/>
          <w:sz w:val="20"/>
        </w:rPr>
        <w:t>66</w:t>
      </w:r>
      <w:r w:rsidRPr="00CB3EB5">
        <w:rPr>
          <w:rFonts w:ascii="Arial" w:hAnsi="Arial" w:cs="Arial"/>
          <w:noProof/>
          <w:sz w:val="20"/>
        </w:rPr>
        <w:t>(12), 3047–3062. https://doi.org/10.1021/acs.jafc.8b00059</w:t>
      </w:r>
    </w:p>
    <w:p w14:paraId="4AC1B56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Hussain, S., Jõudu, I., &amp; Bhat, R. (2020). Dietary fiber from underutilized plant resources-A positive approach for valorization of fruit and vegetable wastes. </w:t>
      </w:r>
      <w:r w:rsidRPr="00CB3EB5">
        <w:rPr>
          <w:rFonts w:ascii="Arial" w:hAnsi="Arial" w:cs="Arial"/>
          <w:i/>
          <w:iCs/>
          <w:noProof/>
          <w:sz w:val="20"/>
        </w:rPr>
        <w:t>Sustainability (Switzerland)</w:t>
      </w:r>
      <w:r w:rsidRPr="00CB3EB5">
        <w:rPr>
          <w:rFonts w:ascii="Arial" w:hAnsi="Arial" w:cs="Arial"/>
          <w:noProof/>
          <w:sz w:val="20"/>
        </w:rPr>
        <w:t xml:space="preserve">, </w:t>
      </w:r>
      <w:r w:rsidRPr="00CB3EB5">
        <w:rPr>
          <w:rFonts w:ascii="Arial" w:hAnsi="Arial" w:cs="Arial"/>
          <w:i/>
          <w:iCs/>
          <w:noProof/>
          <w:sz w:val="20"/>
        </w:rPr>
        <w:t>12</w:t>
      </w:r>
      <w:r w:rsidRPr="00CB3EB5">
        <w:rPr>
          <w:rFonts w:ascii="Arial" w:hAnsi="Arial" w:cs="Arial"/>
          <w:noProof/>
          <w:sz w:val="20"/>
        </w:rPr>
        <w:t>(13). https://doi.org/10.3390/su12135401</w:t>
      </w:r>
    </w:p>
    <w:p w14:paraId="045A366C"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Islam, M. M. (2013). Biochemistry, Medicinal and Food values of Jute (Corchorus capsularis L. and C. olitorius L.) leaf: A Review. </w:t>
      </w:r>
      <w:r w:rsidRPr="00CB3EB5">
        <w:rPr>
          <w:rFonts w:ascii="Arial" w:hAnsi="Arial" w:cs="Arial"/>
          <w:i/>
          <w:iCs/>
          <w:noProof/>
          <w:sz w:val="20"/>
        </w:rPr>
        <w:t>International Journal of Enhanced Research in Science Technology &amp; Engineering</w:t>
      </w:r>
      <w:r w:rsidRPr="00CB3EB5">
        <w:rPr>
          <w:rFonts w:ascii="Arial" w:hAnsi="Arial" w:cs="Arial"/>
          <w:noProof/>
          <w:sz w:val="20"/>
        </w:rPr>
        <w:t xml:space="preserve">, </w:t>
      </w:r>
      <w:r w:rsidRPr="00CB3EB5">
        <w:rPr>
          <w:rFonts w:ascii="Arial" w:hAnsi="Arial" w:cs="Arial"/>
          <w:i/>
          <w:iCs/>
          <w:noProof/>
          <w:sz w:val="20"/>
        </w:rPr>
        <w:t>2</w:t>
      </w:r>
      <w:r w:rsidRPr="00CB3EB5">
        <w:rPr>
          <w:rFonts w:ascii="Arial" w:hAnsi="Arial" w:cs="Arial"/>
          <w:noProof/>
          <w:sz w:val="20"/>
        </w:rPr>
        <w:t>(11), 35–44. http://www.erpublications.com/uploaded_files/download/download_27_11_2013_06_45_32.pdf</w:t>
      </w:r>
    </w:p>
    <w:p w14:paraId="13E6919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Jucá, M. M., Cysne Filho, F. M. S., de Almeida, J. C., Mesquita, D. da S., Barriga, J. R. de M., Dias, K. C. F., Barbosa, T. M., Vasconcelos, L. C., Leal, L. K. A. M., Ribeiro, J. E., &amp; Vasconcelos, S. M. M. (2020). Flavonoids: biological activities and therapeutic potential. </w:t>
      </w:r>
      <w:r w:rsidRPr="00CB3EB5">
        <w:rPr>
          <w:rFonts w:ascii="Arial" w:hAnsi="Arial" w:cs="Arial"/>
          <w:i/>
          <w:iCs/>
          <w:noProof/>
          <w:sz w:val="20"/>
        </w:rPr>
        <w:t>Natural Product Research</w:t>
      </w:r>
      <w:r w:rsidRPr="00CB3EB5">
        <w:rPr>
          <w:rFonts w:ascii="Arial" w:hAnsi="Arial" w:cs="Arial"/>
          <w:noProof/>
          <w:sz w:val="20"/>
        </w:rPr>
        <w:t xml:space="preserve">, </w:t>
      </w:r>
      <w:r w:rsidRPr="00CB3EB5">
        <w:rPr>
          <w:rFonts w:ascii="Arial" w:hAnsi="Arial" w:cs="Arial"/>
          <w:i/>
          <w:iCs/>
          <w:noProof/>
          <w:sz w:val="20"/>
        </w:rPr>
        <w:t>34</w:t>
      </w:r>
      <w:r w:rsidRPr="00CB3EB5">
        <w:rPr>
          <w:rFonts w:ascii="Arial" w:hAnsi="Arial" w:cs="Arial"/>
          <w:noProof/>
          <w:sz w:val="20"/>
        </w:rPr>
        <w:t>(5), 692–705. https://doi.org/10.1080/14786419.2018.1493588</w:t>
      </w:r>
    </w:p>
    <w:p w14:paraId="0F6B5AB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Jung, F., Krüger-Genge, A., Waldeck, P., &amp; Küpper, J. H. (2019). Spirulina platensis, a super food? </w:t>
      </w:r>
      <w:r w:rsidRPr="00CB3EB5">
        <w:rPr>
          <w:rFonts w:ascii="Arial" w:hAnsi="Arial" w:cs="Arial"/>
          <w:i/>
          <w:iCs/>
          <w:noProof/>
          <w:sz w:val="20"/>
        </w:rPr>
        <w:t>Journal of Cellular Biotechnology</w:t>
      </w:r>
      <w:r w:rsidRPr="00CB3EB5">
        <w:rPr>
          <w:rFonts w:ascii="Arial" w:hAnsi="Arial" w:cs="Arial"/>
          <w:noProof/>
          <w:sz w:val="20"/>
        </w:rPr>
        <w:t xml:space="preserve">, </w:t>
      </w:r>
      <w:r w:rsidRPr="00CB3EB5">
        <w:rPr>
          <w:rFonts w:ascii="Arial" w:hAnsi="Arial" w:cs="Arial"/>
          <w:i/>
          <w:iCs/>
          <w:noProof/>
          <w:sz w:val="20"/>
        </w:rPr>
        <w:t>5</w:t>
      </w:r>
      <w:r w:rsidRPr="00CB3EB5">
        <w:rPr>
          <w:rFonts w:ascii="Arial" w:hAnsi="Arial" w:cs="Arial"/>
          <w:noProof/>
          <w:sz w:val="20"/>
        </w:rPr>
        <w:t>(1), 43–54. https://doi.org/10.3233/JCB-189012</w:t>
      </w:r>
    </w:p>
    <w:p w14:paraId="24830B2C"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Khyade, M. S., &amp; Waman, M. B. (2017). Chemical profile and antioxidant properties of mundulea sericea. </w:t>
      </w:r>
      <w:r w:rsidRPr="00CB3EB5">
        <w:rPr>
          <w:rFonts w:ascii="Arial" w:hAnsi="Arial" w:cs="Arial"/>
          <w:i/>
          <w:iCs/>
          <w:noProof/>
          <w:sz w:val="20"/>
        </w:rPr>
        <w:t>Pharmacognosy Journal</w:t>
      </w:r>
      <w:r w:rsidRPr="00CB3EB5">
        <w:rPr>
          <w:rFonts w:ascii="Arial" w:hAnsi="Arial" w:cs="Arial"/>
          <w:noProof/>
          <w:sz w:val="20"/>
        </w:rPr>
        <w:t xml:space="preserve">, </w:t>
      </w:r>
      <w:r w:rsidRPr="00CB3EB5">
        <w:rPr>
          <w:rFonts w:ascii="Arial" w:hAnsi="Arial" w:cs="Arial"/>
          <w:i/>
          <w:iCs/>
          <w:noProof/>
          <w:sz w:val="20"/>
        </w:rPr>
        <w:t>9</w:t>
      </w:r>
      <w:r w:rsidRPr="00CB3EB5">
        <w:rPr>
          <w:rFonts w:ascii="Arial" w:hAnsi="Arial" w:cs="Arial"/>
          <w:noProof/>
          <w:sz w:val="20"/>
        </w:rPr>
        <w:t>(2), 213–220. https://doi.org/10.5530/pj.2017.2.36</w:t>
      </w:r>
    </w:p>
    <w:p w14:paraId="52506CC7"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Klevay, L. M. (2022). The contemporaneous epidemic of chronic, copper deficiency. </w:t>
      </w:r>
      <w:r w:rsidRPr="00CB3EB5">
        <w:rPr>
          <w:rFonts w:ascii="Arial" w:hAnsi="Arial" w:cs="Arial"/>
          <w:i/>
          <w:iCs/>
          <w:noProof/>
          <w:sz w:val="20"/>
        </w:rPr>
        <w:t>Journal of Nutritional Science</w:t>
      </w:r>
      <w:r w:rsidRPr="00CB3EB5">
        <w:rPr>
          <w:rFonts w:ascii="Arial" w:hAnsi="Arial" w:cs="Arial"/>
          <w:noProof/>
          <w:sz w:val="20"/>
        </w:rPr>
        <w:t xml:space="preserve">, </w:t>
      </w:r>
      <w:r w:rsidRPr="00CB3EB5">
        <w:rPr>
          <w:rFonts w:ascii="Arial" w:hAnsi="Arial" w:cs="Arial"/>
          <w:i/>
          <w:iCs/>
          <w:noProof/>
          <w:sz w:val="20"/>
        </w:rPr>
        <w:t>11</w:t>
      </w:r>
      <w:r w:rsidRPr="00CB3EB5">
        <w:rPr>
          <w:rFonts w:ascii="Arial" w:hAnsi="Arial" w:cs="Arial"/>
          <w:noProof/>
          <w:sz w:val="20"/>
        </w:rPr>
        <w:t>(89), 1–6. https://doi.org/10.1017/jns.2022.83</w:t>
      </w:r>
    </w:p>
    <w:p w14:paraId="7269E74E"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Loumerem, M., &amp; Alercia, A. (2016). Descriptors for jute (Corchorus olitorius L.). </w:t>
      </w:r>
      <w:r w:rsidRPr="00CB3EB5">
        <w:rPr>
          <w:rFonts w:ascii="Arial" w:hAnsi="Arial" w:cs="Arial"/>
          <w:i/>
          <w:iCs/>
          <w:noProof/>
          <w:sz w:val="20"/>
        </w:rPr>
        <w:t>Genetic Resources and Crop Evolution</w:t>
      </w:r>
      <w:r w:rsidRPr="00CB3EB5">
        <w:rPr>
          <w:rFonts w:ascii="Arial" w:hAnsi="Arial" w:cs="Arial"/>
          <w:noProof/>
          <w:sz w:val="20"/>
        </w:rPr>
        <w:t xml:space="preserve">, </w:t>
      </w:r>
      <w:r w:rsidRPr="00CB3EB5">
        <w:rPr>
          <w:rFonts w:ascii="Arial" w:hAnsi="Arial" w:cs="Arial"/>
          <w:i/>
          <w:iCs/>
          <w:noProof/>
          <w:sz w:val="20"/>
        </w:rPr>
        <w:t>63</w:t>
      </w:r>
      <w:r w:rsidRPr="00CB3EB5">
        <w:rPr>
          <w:rFonts w:ascii="Arial" w:hAnsi="Arial" w:cs="Arial"/>
          <w:noProof/>
          <w:sz w:val="20"/>
        </w:rPr>
        <w:t>(7), 1103–1111. https://doi.org/10.1007/s10722-016-0415-y</w:t>
      </w:r>
    </w:p>
    <w:p w14:paraId="63DB937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Makkar, H. P. S., Siddhuraju, P., &amp; Becker, K. (2007). </w:t>
      </w:r>
      <w:r w:rsidRPr="00CB3EB5">
        <w:rPr>
          <w:rFonts w:ascii="Arial" w:hAnsi="Arial" w:cs="Arial"/>
          <w:i/>
          <w:iCs/>
          <w:noProof/>
          <w:sz w:val="20"/>
        </w:rPr>
        <w:t>Plant secondary metabolites</w:t>
      </w:r>
      <w:r w:rsidRPr="00CB3EB5">
        <w:rPr>
          <w:rFonts w:ascii="Arial" w:hAnsi="Arial" w:cs="Arial"/>
          <w:noProof/>
          <w:sz w:val="20"/>
        </w:rPr>
        <w:t>. Humana Press Inc., Totowa, New Jersey 07512. www.humanapress.com</w:t>
      </w:r>
    </w:p>
    <w:p w14:paraId="79B45CD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Mishra, T., Das, A. P., &amp; Sen, A. (2012). Phytochemical Screening and ln-vitro Antioxidant Profiling of Solvent Fractions of Canna edulis Ker Gawler. </w:t>
      </w:r>
      <w:r w:rsidRPr="00CB3EB5">
        <w:rPr>
          <w:rFonts w:ascii="Arial" w:hAnsi="Arial" w:cs="Arial"/>
          <w:i/>
          <w:iCs/>
          <w:noProof/>
          <w:sz w:val="20"/>
        </w:rPr>
        <w:t>Free Radicals and Antioxidants</w:t>
      </w:r>
      <w:r w:rsidRPr="00CB3EB5">
        <w:rPr>
          <w:rFonts w:ascii="Arial" w:hAnsi="Arial" w:cs="Arial"/>
          <w:noProof/>
          <w:sz w:val="20"/>
        </w:rPr>
        <w:t xml:space="preserve">, </w:t>
      </w:r>
      <w:r w:rsidRPr="00CB3EB5">
        <w:rPr>
          <w:rFonts w:ascii="Arial" w:hAnsi="Arial" w:cs="Arial"/>
          <w:i/>
          <w:iCs/>
          <w:noProof/>
          <w:sz w:val="20"/>
        </w:rPr>
        <w:t>2</w:t>
      </w:r>
      <w:r w:rsidRPr="00CB3EB5">
        <w:rPr>
          <w:rFonts w:ascii="Arial" w:hAnsi="Arial" w:cs="Arial"/>
          <w:noProof/>
          <w:sz w:val="20"/>
        </w:rPr>
        <w:t>(1), 13–20. https://doi.org/10.5530/ax.2012.2.5</w:t>
      </w:r>
    </w:p>
    <w:p w14:paraId="175AC1E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Ogboru, R., Okolie, P., &amp; Agboje, I. (2015). Phytochemical Screening and Medicinal Potentials of the Bark of. </w:t>
      </w:r>
      <w:r w:rsidRPr="00CB3EB5">
        <w:rPr>
          <w:rFonts w:ascii="Arial" w:hAnsi="Arial" w:cs="Arial"/>
          <w:i/>
          <w:iCs/>
          <w:noProof/>
          <w:sz w:val="20"/>
        </w:rPr>
        <w:t>Environmental Analytical Chemistry</w:t>
      </w:r>
      <w:r w:rsidRPr="00CB3EB5">
        <w:rPr>
          <w:rFonts w:ascii="Arial" w:hAnsi="Arial" w:cs="Arial"/>
          <w:noProof/>
          <w:sz w:val="20"/>
        </w:rPr>
        <w:t xml:space="preserve">, </w:t>
      </w:r>
      <w:r w:rsidRPr="00CB3EB5">
        <w:rPr>
          <w:rFonts w:ascii="Arial" w:hAnsi="Arial" w:cs="Arial"/>
          <w:i/>
          <w:iCs/>
          <w:noProof/>
          <w:sz w:val="20"/>
        </w:rPr>
        <w:t>2</w:t>
      </w:r>
      <w:r w:rsidRPr="00CB3EB5">
        <w:rPr>
          <w:rFonts w:ascii="Arial" w:hAnsi="Arial" w:cs="Arial"/>
          <w:noProof/>
          <w:sz w:val="20"/>
        </w:rPr>
        <w:t>(5), 2–4. https://doi.org/10.4172/2380-2391.1000158</w:t>
      </w:r>
    </w:p>
    <w:p w14:paraId="0FCDA971"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Olawuyi, I. F., &amp; Lee, W. Y. (2021). Structural characterization, functional properties and antioxidant activities of polysaccharide extract obtained from okra leaves (Abelmoschus esculentus). </w:t>
      </w:r>
      <w:r w:rsidRPr="00CB3EB5">
        <w:rPr>
          <w:rFonts w:ascii="Arial" w:hAnsi="Arial" w:cs="Arial"/>
          <w:i/>
          <w:iCs/>
          <w:noProof/>
          <w:sz w:val="20"/>
        </w:rPr>
        <w:t>Food Chemistry</w:t>
      </w:r>
      <w:r w:rsidRPr="00CB3EB5">
        <w:rPr>
          <w:rFonts w:ascii="Arial" w:hAnsi="Arial" w:cs="Arial"/>
          <w:noProof/>
          <w:sz w:val="20"/>
        </w:rPr>
        <w:t xml:space="preserve">, </w:t>
      </w:r>
      <w:r w:rsidRPr="00CB3EB5">
        <w:rPr>
          <w:rFonts w:ascii="Arial" w:hAnsi="Arial" w:cs="Arial"/>
          <w:i/>
          <w:iCs/>
          <w:noProof/>
          <w:sz w:val="20"/>
        </w:rPr>
        <w:t>354</w:t>
      </w:r>
      <w:r w:rsidRPr="00CB3EB5">
        <w:rPr>
          <w:rFonts w:ascii="Arial" w:hAnsi="Arial" w:cs="Arial"/>
          <w:noProof/>
          <w:sz w:val="20"/>
        </w:rPr>
        <w:t>(September 2020), 129437. https://doi.org/10.1016/j.foodchem.2021.129437</w:t>
      </w:r>
    </w:p>
    <w:p w14:paraId="5FEA0474"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Ozcan, T., Akpinar-Bayizit, A., Yilmaz-Ersan, L., &amp; Delikanli, B. (2014). Phenolics in Human Health. </w:t>
      </w:r>
      <w:r w:rsidRPr="00CB3EB5">
        <w:rPr>
          <w:rFonts w:ascii="Arial" w:hAnsi="Arial" w:cs="Arial"/>
          <w:i/>
          <w:iCs/>
          <w:noProof/>
          <w:sz w:val="20"/>
        </w:rPr>
        <w:t>International Journal of Chemical Engineering and Applications</w:t>
      </w:r>
      <w:r w:rsidRPr="00CB3EB5">
        <w:rPr>
          <w:rFonts w:ascii="Arial" w:hAnsi="Arial" w:cs="Arial"/>
          <w:noProof/>
          <w:sz w:val="20"/>
        </w:rPr>
        <w:t xml:space="preserve">, </w:t>
      </w:r>
      <w:r w:rsidRPr="00CB3EB5">
        <w:rPr>
          <w:rFonts w:ascii="Arial" w:hAnsi="Arial" w:cs="Arial"/>
          <w:i/>
          <w:iCs/>
          <w:noProof/>
          <w:sz w:val="20"/>
        </w:rPr>
        <w:t>5</w:t>
      </w:r>
      <w:r w:rsidRPr="00CB3EB5">
        <w:rPr>
          <w:rFonts w:ascii="Arial" w:hAnsi="Arial" w:cs="Arial"/>
          <w:noProof/>
          <w:sz w:val="20"/>
        </w:rPr>
        <w:t>(5), 393–396. https://doi.org/10.7763/ijcea.2014.v5.416</w:t>
      </w:r>
    </w:p>
    <w:p w14:paraId="2FB9BD05"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Padmaja, M., Sravanthi, M., &amp; Hemalatha, K. P. J. (2011). Evaluation of Antioxidant Activity of Two Indian Medicinal Plants. </w:t>
      </w:r>
      <w:r w:rsidRPr="00CB3EB5">
        <w:rPr>
          <w:rFonts w:ascii="Arial" w:hAnsi="Arial" w:cs="Arial"/>
          <w:i/>
          <w:iCs/>
          <w:noProof/>
          <w:sz w:val="20"/>
        </w:rPr>
        <w:t>Journal of Phytology</w:t>
      </w:r>
      <w:r w:rsidRPr="00CB3EB5">
        <w:rPr>
          <w:rFonts w:ascii="Arial" w:hAnsi="Arial" w:cs="Arial"/>
          <w:noProof/>
          <w:sz w:val="20"/>
        </w:rPr>
        <w:t xml:space="preserve">, </w:t>
      </w:r>
      <w:r w:rsidRPr="00CB3EB5">
        <w:rPr>
          <w:rFonts w:ascii="Arial" w:hAnsi="Arial" w:cs="Arial"/>
          <w:i/>
          <w:iCs/>
          <w:noProof/>
          <w:sz w:val="20"/>
        </w:rPr>
        <w:t>3</w:t>
      </w:r>
      <w:r w:rsidRPr="00CB3EB5">
        <w:rPr>
          <w:rFonts w:ascii="Arial" w:hAnsi="Arial" w:cs="Arial"/>
          <w:noProof/>
          <w:sz w:val="20"/>
        </w:rPr>
        <w:t>(3), 86–91.</w:t>
      </w:r>
    </w:p>
    <w:p w14:paraId="03952B5B"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Prasad, A. S. (2014). Zinc is an Antioxidant and Anti-Inflammatory Agent: Its Role in Human Health. </w:t>
      </w:r>
      <w:r w:rsidRPr="00CB3EB5">
        <w:rPr>
          <w:rFonts w:ascii="Arial" w:hAnsi="Arial" w:cs="Arial"/>
          <w:i/>
          <w:iCs/>
          <w:noProof/>
          <w:sz w:val="20"/>
        </w:rPr>
        <w:t>Frontiers in Nutrition</w:t>
      </w:r>
      <w:r w:rsidRPr="00CB3EB5">
        <w:rPr>
          <w:rFonts w:ascii="Arial" w:hAnsi="Arial" w:cs="Arial"/>
          <w:noProof/>
          <w:sz w:val="20"/>
        </w:rPr>
        <w:t xml:space="preserve">, </w:t>
      </w:r>
      <w:r w:rsidRPr="00CB3EB5">
        <w:rPr>
          <w:rFonts w:ascii="Arial" w:hAnsi="Arial" w:cs="Arial"/>
          <w:i/>
          <w:iCs/>
          <w:noProof/>
          <w:sz w:val="20"/>
        </w:rPr>
        <w:t>1</w:t>
      </w:r>
      <w:r w:rsidRPr="00CB3EB5">
        <w:rPr>
          <w:rFonts w:ascii="Arial" w:hAnsi="Arial" w:cs="Arial"/>
          <w:noProof/>
          <w:sz w:val="20"/>
        </w:rPr>
        <w:t>(September), 1–10. https://doi.org/10.3389/fnut.2014.00014</w:t>
      </w:r>
    </w:p>
    <w:p w14:paraId="0CAD00ED"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lastRenderedPageBreak/>
        <w:t xml:space="preserve">Pravina, P., Sayaji, D., &amp; Avinash, M. (2013). Calcium and its role in human body. </w:t>
      </w:r>
      <w:r w:rsidRPr="00CB3EB5">
        <w:rPr>
          <w:rFonts w:ascii="Arial" w:hAnsi="Arial" w:cs="Arial"/>
          <w:i/>
          <w:iCs/>
          <w:noProof/>
          <w:sz w:val="20"/>
        </w:rPr>
        <w:t>Academia.Edu</w:t>
      </w:r>
      <w:r w:rsidRPr="00CB3EB5">
        <w:rPr>
          <w:rFonts w:ascii="Arial" w:hAnsi="Arial" w:cs="Arial"/>
          <w:noProof/>
          <w:sz w:val="20"/>
        </w:rPr>
        <w:t xml:space="preserve">, </w:t>
      </w:r>
      <w:r w:rsidRPr="00CB3EB5">
        <w:rPr>
          <w:rFonts w:ascii="Arial" w:hAnsi="Arial" w:cs="Arial"/>
          <w:i/>
          <w:iCs/>
          <w:noProof/>
          <w:sz w:val="20"/>
        </w:rPr>
        <w:t>4</w:t>
      </w:r>
      <w:r w:rsidRPr="00CB3EB5">
        <w:rPr>
          <w:rFonts w:ascii="Arial" w:hAnsi="Arial" w:cs="Arial"/>
          <w:noProof/>
          <w:sz w:val="20"/>
        </w:rPr>
        <w:t>(2), 659–668. http://www.academia.edu/download/32830082/8.pdf</w:t>
      </w:r>
    </w:p>
    <w:p w14:paraId="640946C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Prithvira, K. (2019). Biological Activities of Flavonoids: an Overview. </w:t>
      </w:r>
      <w:r w:rsidRPr="00CB3EB5">
        <w:rPr>
          <w:rFonts w:ascii="Arial" w:hAnsi="Arial" w:cs="Arial"/>
          <w:i/>
          <w:iCs/>
          <w:noProof/>
          <w:sz w:val="20"/>
        </w:rPr>
        <w:t>International Journal of Pharmaceutical Sciences and Research</w:t>
      </w:r>
      <w:r w:rsidRPr="00CB3EB5">
        <w:rPr>
          <w:rFonts w:ascii="Arial" w:hAnsi="Arial" w:cs="Arial"/>
          <w:noProof/>
          <w:sz w:val="20"/>
        </w:rPr>
        <w:t xml:space="preserve">, </w:t>
      </w:r>
      <w:r w:rsidRPr="00CB3EB5">
        <w:rPr>
          <w:rFonts w:ascii="Arial" w:hAnsi="Arial" w:cs="Arial"/>
          <w:i/>
          <w:iCs/>
          <w:noProof/>
          <w:sz w:val="20"/>
        </w:rPr>
        <w:t>10</w:t>
      </w:r>
      <w:r w:rsidRPr="00CB3EB5">
        <w:rPr>
          <w:rFonts w:ascii="Arial" w:hAnsi="Arial" w:cs="Arial"/>
          <w:noProof/>
          <w:sz w:val="20"/>
        </w:rPr>
        <w:t>(4), 1567–1574. https://doi.org/10.13040/IJPSR.0975-8232.10(4).1567-74</w:t>
      </w:r>
    </w:p>
    <w:p w14:paraId="52ED59D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Raimi, M. M., Oyekanmi, A. M., &amp; Farombi, A. G. (2014). Proximate and Phytochemical Composition of Leaves of Ceiba pentandra, Manihot esculentus and Abelmoschus esculentus in Southwestern Nigeria. </w:t>
      </w:r>
      <w:r w:rsidRPr="00CB3EB5">
        <w:rPr>
          <w:rFonts w:ascii="Arial" w:hAnsi="Arial" w:cs="Arial"/>
          <w:i/>
          <w:iCs/>
          <w:noProof/>
          <w:sz w:val="20"/>
        </w:rPr>
        <w:t>Scientific Research Journal (SCIRJ)</w:t>
      </w:r>
      <w:r w:rsidRPr="00CB3EB5">
        <w:rPr>
          <w:rFonts w:ascii="Arial" w:hAnsi="Arial" w:cs="Arial"/>
          <w:noProof/>
          <w:sz w:val="20"/>
        </w:rPr>
        <w:t xml:space="preserve">, </w:t>
      </w:r>
      <w:r w:rsidRPr="00CB3EB5">
        <w:rPr>
          <w:rFonts w:ascii="Arial" w:hAnsi="Arial" w:cs="Arial"/>
          <w:i/>
          <w:iCs/>
          <w:noProof/>
          <w:sz w:val="20"/>
        </w:rPr>
        <w:t>2</w:t>
      </w:r>
      <w:r w:rsidRPr="00CB3EB5">
        <w:rPr>
          <w:rFonts w:ascii="Arial" w:hAnsi="Arial" w:cs="Arial"/>
          <w:noProof/>
          <w:sz w:val="20"/>
        </w:rPr>
        <w:t>(4), 30–34. http://www.scirj.org/papers-0414/scirj-P0414132.pdf</w:t>
      </w:r>
    </w:p>
    <w:p w14:paraId="769BAE1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Ramamurthy, C. H., Kumar, M. S., Suyavaran, V. S. A., Mareeswaran, R., &amp; Thirunavukkarasu, C. (2012). Evaluation of Antioxidant, Radical Scavenging Activity and Polyphenolics Profile in Solanum torvum L. Fruits. </w:t>
      </w:r>
      <w:r w:rsidRPr="00CB3EB5">
        <w:rPr>
          <w:rFonts w:ascii="Arial" w:hAnsi="Arial" w:cs="Arial"/>
          <w:i/>
          <w:iCs/>
          <w:noProof/>
          <w:sz w:val="20"/>
        </w:rPr>
        <w:t>Journal of Food Science</w:t>
      </w:r>
      <w:r w:rsidRPr="00CB3EB5">
        <w:rPr>
          <w:rFonts w:ascii="Arial" w:hAnsi="Arial" w:cs="Arial"/>
          <w:noProof/>
          <w:sz w:val="20"/>
        </w:rPr>
        <w:t xml:space="preserve">, </w:t>
      </w:r>
      <w:r w:rsidRPr="00CB3EB5">
        <w:rPr>
          <w:rFonts w:ascii="Arial" w:hAnsi="Arial" w:cs="Arial"/>
          <w:i/>
          <w:iCs/>
          <w:noProof/>
          <w:sz w:val="20"/>
        </w:rPr>
        <w:t>77</w:t>
      </w:r>
      <w:r w:rsidRPr="00CB3EB5">
        <w:rPr>
          <w:rFonts w:ascii="Arial" w:hAnsi="Arial" w:cs="Arial"/>
          <w:noProof/>
          <w:sz w:val="20"/>
        </w:rPr>
        <w:t>(8), 907–913. https://doi.org/10.1111/j.1750-3841.2012.02830.x</w:t>
      </w:r>
    </w:p>
    <w:p w14:paraId="4D72C2A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Rodríguez-Miranda, J., Ruiz-López, I. I., Herman-Lara, E., Martínez-Sánchez, C. E., Delgado-Licon, E., &amp; Vivar-Vera, M. A. (2011). Development of extruded snacks using taro (Colocasia esculenta) and nixtamalized maize (Zea mays) flour blends. </w:t>
      </w:r>
      <w:r w:rsidRPr="00CB3EB5">
        <w:rPr>
          <w:rFonts w:ascii="Arial" w:hAnsi="Arial" w:cs="Arial"/>
          <w:i/>
          <w:iCs/>
          <w:noProof/>
          <w:sz w:val="20"/>
        </w:rPr>
        <w:t>LWT</w:t>
      </w:r>
      <w:r w:rsidRPr="00CB3EB5">
        <w:rPr>
          <w:rFonts w:ascii="Arial" w:hAnsi="Arial" w:cs="Arial"/>
          <w:noProof/>
          <w:sz w:val="20"/>
        </w:rPr>
        <w:t xml:space="preserve">, </w:t>
      </w:r>
      <w:r w:rsidRPr="00CB3EB5">
        <w:rPr>
          <w:rFonts w:ascii="Arial" w:hAnsi="Arial" w:cs="Arial"/>
          <w:i/>
          <w:iCs/>
          <w:noProof/>
          <w:sz w:val="20"/>
        </w:rPr>
        <w:t>44</w:t>
      </w:r>
      <w:r w:rsidRPr="00CB3EB5">
        <w:rPr>
          <w:rFonts w:ascii="Arial" w:hAnsi="Arial" w:cs="Arial"/>
          <w:noProof/>
          <w:sz w:val="20"/>
        </w:rPr>
        <w:t>(3), 673–680. https://doi.org/10.1016/j.lwt.2010.06.036</w:t>
      </w:r>
    </w:p>
    <w:p w14:paraId="46A19AB1"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Romdhane, M. H., Chahdoura, H., Barros, L., Dias, M. I., Corrêa, R. C. G., Morales, P., Ciudad-Mulero, M., Flamini, G., Majdoub, H., &amp; Ferreira, I. C. F. R. (2020). Chemical composition, nutritional value, and biological evaluation of tunisian okra pods (abelmoschus esculentus L. moench). </w:t>
      </w:r>
      <w:r w:rsidRPr="00CB3EB5">
        <w:rPr>
          <w:rFonts w:ascii="Arial" w:hAnsi="Arial" w:cs="Arial"/>
          <w:i/>
          <w:iCs/>
          <w:noProof/>
          <w:sz w:val="20"/>
        </w:rPr>
        <w:t>Molecules</w:t>
      </w:r>
      <w:r w:rsidRPr="00CB3EB5">
        <w:rPr>
          <w:rFonts w:ascii="Arial" w:hAnsi="Arial" w:cs="Arial"/>
          <w:noProof/>
          <w:sz w:val="20"/>
        </w:rPr>
        <w:t xml:space="preserve">, </w:t>
      </w:r>
      <w:r w:rsidRPr="00CB3EB5">
        <w:rPr>
          <w:rFonts w:ascii="Arial" w:hAnsi="Arial" w:cs="Arial"/>
          <w:i/>
          <w:iCs/>
          <w:noProof/>
          <w:sz w:val="20"/>
        </w:rPr>
        <w:t>25</w:t>
      </w:r>
      <w:r w:rsidRPr="00CB3EB5">
        <w:rPr>
          <w:rFonts w:ascii="Arial" w:hAnsi="Arial" w:cs="Arial"/>
          <w:noProof/>
          <w:sz w:val="20"/>
        </w:rPr>
        <w:t>(20). https://doi.org/10.3390/molecules25204739</w:t>
      </w:r>
    </w:p>
    <w:p w14:paraId="40B849F9"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Sadat, A., Hore, M., Chakraborty, K., &amp; Roy, S. (2017). Phytochemical Analysis and Antioxidant Activity of Methanolic Extract of Leaves of Corchorus Olitorius. </w:t>
      </w:r>
      <w:r w:rsidRPr="00CB3EB5">
        <w:rPr>
          <w:rFonts w:ascii="Arial" w:hAnsi="Arial" w:cs="Arial"/>
          <w:i/>
          <w:iCs/>
          <w:noProof/>
          <w:sz w:val="20"/>
        </w:rPr>
        <w:t>International Journal of Current Pharmaceutical Research</w:t>
      </w:r>
      <w:r w:rsidRPr="00CB3EB5">
        <w:rPr>
          <w:rFonts w:ascii="Arial" w:hAnsi="Arial" w:cs="Arial"/>
          <w:noProof/>
          <w:sz w:val="20"/>
        </w:rPr>
        <w:t xml:space="preserve">, </w:t>
      </w:r>
      <w:r w:rsidRPr="00CB3EB5">
        <w:rPr>
          <w:rFonts w:ascii="Arial" w:hAnsi="Arial" w:cs="Arial"/>
          <w:i/>
          <w:iCs/>
          <w:noProof/>
          <w:sz w:val="20"/>
        </w:rPr>
        <w:t>9</w:t>
      </w:r>
      <w:r w:rsidRPr="00CB3EB5">
        <w:rPr>
          <w:rFonts w:ascii="Arial" w:hAnsi="Arial" w:cs="Arial"/>
          <w:noProof/>
          <w:sz w:val="20"/>
        </w:rPr>
        <w:t>(5), 59–63. https://doi.org/10.22159/ijcpr.2017v9i5.22138</w:t>
      </w:r>
    </w:p>
    <w:p w14:paraId="78FAAED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Senizza, B., Rocchetti, G., Sinan, K. I., Zengin, G., Mahomoodally, M. F., Glamocilja, J., Sokovic, M., Lobine, D., Etienne, O. K., &amp; Lucini, L. (2021). The phenolic and alkaloid profiles of Solanum erianthum and Solanum torvum modulated their biological properties. </w:t>
      </w:r>
      <w:r w:rsidRPr="00CB3EB5">
        <w:rPr>
          <w:rFonts w:ascii="Arial" w:hAnsi="Arial" w:cs="Arial"/>
          <w:i/>
          <w:iCs/>
          <w:noProof/>
          <w:sz w:val="20"/>
        </w:rPr>
        <w:t>Food Bioscience</w:t>
      </w:r>
      <w:r w:rsidRPr="00CB3EB5">
        <w:rPr>
          <w:rFonts w:ascii="Arial" w:hAnsi="Arial" w:cs="Arial"/>
          <w:noProof/>
          <w:sz w:val="20"/>
        </w:rPr>
        <w:t xml:space="preserve">, </w:t>
      </w:r>
      <w:r w:rsidRPr="00CB3EB5">
        <w:rPr>
          <w:rFonts w:ascii="Arial" w:hAnsi="Arial" w:cs="Arial"/>
          <w:i/>
          <w:iCs/>
          <w:noProof/>
          <w:sz w:val="20"/>
        </w:rPr>
        <w:t>41</w:t>
      </w:r>
      <w:r w:rsidRPr="00CB3EB5">
        <w:rPr>
          <w:rFonts w:ascii="Arial" w:hAnsi="Arial" w:cs="Arial"/>
          <w:noProof/>
          <w:sz w:val="20"/>
        </w:rPr>
        <w:t>(2021), 100974. https://doi.org/10.1016/j.fbio.2021.100974</w:t>
      </w:r>
    </w:p>
    <w:p w14:paraId="4412890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Sha’a, K. K., Clarkson, G. P., &amp; Artimas, S. P. (2019). Phytochemical analysis, proximate composition and antinutritional factors of Corchorus olitorius plant. </w:t>
      </w:r>
      <w:r w:rsidRPr="00CB3EB5">
        <w:rPr>
          <w:rFonts w:ascii="Arial" w:hAnsi="Arial" w:cs="Arial"/>
          <w:i/>
          <w:iCs/>
          <w:noProof/>
          <w:sz w:val="20"/>
        </w:rPr>
        <w:t>International Journal of Biological and Chemical Sciences</w:t>
      </w:r>
      <w:r w:rsidRPr="00CB3EB5">
        <w:rPr>
          <w:rFonts w:ascii="Arial" w:hAnsi="Arial" w:cs="Arial"/>
          <w:noProof/>
          <w:sz w:val="20"/>
        </w:rPr>
        <w:t xml:space="preserve">, </w:t>
      </w:r>
      <w:r w:rsidRPr="00CB3EB5">
        <w:rPr>
          <w:rFonts w:ascii="Arial" w:hAnsi="Arial" w:cs="Arial"/>
          <w:i/>
          <w:iCs/>
          <w:noProof/>
          <w:sz w:val="20"/>
        </w:rPr>
        <w:t>13</w:t>
      </w:r>
      <w:r w:rsidRPr="00CB3EB5">
        <w:rPr>
          <w:rFonts w:ascii="Arial" w:hAnsi="Arial" w:cs="Arial"/>
          <w:noProof/>
          <w:sz w:val="20"/>
        </w:rPr>
        <w:t>(4), 2147–2157. https://doi.org/https://dx.doi.org/10.4314/ijbcs.v13i4.21</w:t>
      </w:r>
    </w:p>
    <w:p w14:paraId="1620D034"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Stadlmayr, B., Charrondière, U. R., Eisenwagen, S., Jamnadass, R., &amp; Kehlenbeck, K. (2013). Nutrient composition of selected indigenous fruits from sub-Saharan Africa. </w:t>
      </w:r>
      <w:r w:rsidRPr="00CB3EB5">
        <w:rPr>
          <w:rFonts w:ascii="Arial" w:hAnsi="Arial" w:cs="Arial"/>
          <w:i/>
          <w:iCs/>
          <w:noProof/>
          <w:sz w:val="20"/>
        </w:rPr>
        <w:t>Journal of the Science of Food and Agriculture</w:t>
      </w:r>
      <w:r w:rsidRPr="00CB3EB5">
        <w:rPr>
          <w:rFonts w:ascii="Arial" w:hAnsi="Arial" w:cs="Arial"/>
          <w:noProof/>
          <w:sz w:val="20"/>
        </w:rPr>
        <w:t xml:space="preserve">, </w:t>
      </w:r>
      <w:r w:rsidRPr="00CB3EB5">
        <w:rPr>
          <w:rFonts w:ascii="Arial" w:hAnsi="Arial" w:cs="Arial"/>
          <w:i/>
          <w:iCs/>
          <w:noProof/>
          <w:sz w:val="20"/>
        </w:rPr>
        <w:t>93</w:t>
      </w:r>
      <w:r w:rsidRPr="00CB3EB5">
        <w:rPr>
          <w:rFonts w:ascii="Arial" w:hAnsi="Arial" w:cs="Arial"/>
          <w:noProof/>
          <w:sz w:val="20"/>
        </w:rPr>
        <w:t>(11), 2627–2636. https://doi.org/10.1002/jsfa.6196</w:t>
      </w:r>
    </w:p>
    <w:p w14:paraId="03E026D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Stone, M. S., Martyn, L., &amp; Weaver, C. M. (2016). Potassium intake, bioavailability, hypertension, and glucose control. </w:t>
      </w:r>
      <w:r w:rsidRPr="00CB3EB5">
        <w:rPr>
          <w:rFonts w:ascii="Arial" w:hAnsi="Arial" w:cs="Arial"/>
          <w:i/>
          <w:iCs/>
          <w:noProof/>
          <w:sz w:val="20"/>
        </w:rPr>
        <w:t>Nutrients</w:t>
      </w:r>
      <w:r w:rsidRPr="00CB3EB5">
        <w:rPr>
          <w:rFonts w:ascii="Arial" w:hAnsi="Arial" w:cs="Arial"/>
          <w:noProof/>
          <w:sz w:val="20"/>
        </w:rPr>
        <w:t xml:space="preserve">, </w:t>
      </w:r>
      <w:r w:rsidRPr="00CB3EB5">
        <w:rPr>
          <w:rFonts w:ascii="Arial" w:hAnsi="Arial" w:cs="Arial"/>
          <w:i/>
          <w:iCs/>
          <w:noProof/>
          <w:sz w:val="20"/>
        </w:rPr>
        <w:t>8</w:t>
      </w:r>
      <w:r w:rsidRPr="00CB3EB5">
        <w:rPr>
          <w:rFonts w:ascii="Arial" w:hAnsi="Arial" w:cs="Arial"/>
          <w:noProof/>
          <w:sz w:val="20"/>
        </w:rPr>
        <w:t>(7), 1–13. https://doi.org/10.3390/nu8070444</w:t>
      </w:r>
    </w:p>
    <w:p w14:paraId="493FF38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Tchiégang, C., &amp; Aissatou, K. (2004). Données ethnonutritionnelles et caractéristiques physico-chimiques des légumes-feuilles consommés dans la savane de l’Adamaoua (Cameroun). In </w:t>
      </w:r>
      <w:r w:rsidRPr="00CB3EB5">
        <w:rPr>
          <w:rFonts w:ascii="Arial" w:hAnsi="Arial" w:cs="Arial"/>
          <w:i/>
          <w:iCs/>
          <w:noProof/>
          <w:sz w:val="20"/>
        </w:rPr>
        <w:t>Ecole Nationale Supérieure des Sciences Agro-Industrielles</w:t>
      </w:r>
      <w:r w:rsidRPr="00CB3EB5">
        <w:rPr>
          <w:rFonts w:ascii="Arial" w:hAnsi="Arial" w:cs="Arial"/>
          <w:noProof/>
          <w:sz w:val="20"/>
        </w:rPr>
        <w:t xml:space="preserve"> (Vol. 22). ENSAI.</w:t>
      </w:r>
    </w:p>
    <w:p w14:paraId="356E7CED"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Vincente, A. R., Manganaris, G. A., Ortiz, C. M., Sozzi, G. O., &amp; Crisosto, C. H. (2014). Nutritional Quality of Fruits and Vegetables. In </w:t>
      </w:r>
      <w:r w:rsidRPr="00CB3EB5">
        <w:rPr>
          <w:rFonts w:ascii="Arial" w:hAnsi="Arial" w:cs="Arial"/>
          <w:i/>
          <w:iCs/>
          <w:noProof/>
          <w:sz w:val="20"/>
        </w:rPr>
        <w:t>Postharvest Handling: A Systems Approach</w:t>
      </w:r>
      <w:r w:rsidRPr="00CB3EB5">
        <w:rPr>
          <w:rFonts w:ascii="Arial" w:hAnsi="Arial" w:cs="Arial"/>
          <w:noProof/>
          <w:sz w:val="20"/>
        </w:rPr>
        <w:t xml:space="preserve"> (pp. 69–122). https://doi.org/10.1016/B978-0-12-408137-6.00005-3</w:t>
      </w:r>
    </w:p>
    <w:p w14:paraId="6ABB65BD"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Wang, P. Y., Fang, J. C., Gao, Z. H., Zhang, C., &amp; Xie, S. Y. (2016). Higher intake of fruits, vegetables or their fiber reduces the risk of type 2 diabetes: A meta-analysis. </w:t>
      </w:r>
      <w:r w:rsidRPr="00CB3EB5">
        <w:rPr>
          <w:rFonts w:ascii="Arial" w:hAnsi="Arial" w:cs="Arial"/>
          <w:i/>
          <w:iCs/>
          <w:noProof/>
          <w:sz w:val="20"/>
        </w:rPr>
        <w:t>Journal of Diabetes Investigation</w:t>
      </w:r>
      <w:r w:rsidRPr="00CB3EB5">
        <w:rPr>
          <w:rFonts w:ascii="Arial" w:hAnsi="Arial" w:cs="Arial"/>
          <w:noProof/>
          <w:sz w:val="20"/>
        </w:rPr>
        <w:t xml:space="preserve">, </w:t>
      </w:r>
      <w:r w:rsidRPr="00CB3EB5">
        <w:rPr>
          <w:rFonts w:ascii="Arial" w:hAnsi="Arial" w:cs="Arial"/>
          <w:i/>
          <w:iCs/>
          <w:noProof/>
          <w:sz w:val="20"/>
        </w:rPr>
        <w:t>7</w:t>
      </w:r>
      <w:r w:rsidRPr="00CB3EB5">
        <w:rPr>
          <w:rFonts w:ascii="Arial" w:hAnsi="Arial" w:cs="Arial"/>
          <w:noProof/>
          <w:sz w:val="20"/>
        </w:rPr>
        <w:t>(1), 56–69. https://doi.org/10.1111/jdi.12376</w:t>
      </w:r>
    </w:p>
    <w:p w14:paraId="323AF51A"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Wolff, J. (1968). </w:t>
      </w:r>
      <w:r w:rsidRPr="00CB3EB5">
        <w:rPr>
          <w:rFonts w:ascii="Arial" w:hAnsi="Arial" w:cs="Arial"/>
          <w:i/>
          <w:iCs/>
          <w:noProof/>
          <w:sz w:val="20"/>
        </w:rPr>
        <w:t>Manuel d’analyse des corps gras</w:t>
      </w:r>
      <w:r w:rsidRPr="00CB3EB5">
        <w:rPr>
          <w:rFonts w:ascii="Arial" w:hAnsi="Arial" w:cs="Arial"/>
          <w:noProof/>
          <w:sz w:val="20"/>
        </w:rPr>
        <w:t>. Azoulay.</w:t>
      </w:r>
    </w:p>
    <w:p w14:paraId="1AD9C070"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lastRenderedPageBreak/>
        <w:t xml:space="preserve">Xanthakos, S. A. (2009). Nutritional Deficiencies in Obesity and After Bariatric Surgery. </w:t>
      </w:r>
      <w:r w:rsidRPr="00CB3EB5">
        <w:rPr>
          <w:rFonts w:ascii="Arial" w:hAnsi="Arial" w:cs="Arial"/>
          <w:i/>
          <w:iCs/>
          <w:noProof/>
          <w:sz w:val="20"/>
        </w:rPr>
        <w:t>Pediatric Clinics of North America</w:t>
      </w:r>
      <w:r w:rsidRPr="00CB3EB5">
        <w:rPr>
          <w:rFonts w:ascii="Arial" w:hAnsi="Arial" w:cs="Arial"/>
          <w:noProof/>
          <w:sz w:val="20"/>
        </w:rPr>
        <w:t xml:space="preserve">, </w:t>
      </w:r>
      <w:r w:rsidRPr="00CB3EB5">
        <w:rPr>
          <w:rFonts w:ascii="Arial" w:hAnsi="Arial" w:cs="Arial"/>
          <w:i/>
          <w:iCs/>
          <w:noProof/>
          <w:sz w:val="20"/>
        </w:rPr>
        <w:t>56</w:t>
      </w:r>
      <w:r w:rsidRPr="00CB3EB5">
        <w:rPr>
          <w:rFonts w:ascii="Arial" w:hAnsi="Arial" w:cs="Arial"/>
          <w:noProof/>
          <w:sz w:val="20"/>
        </w:rPr>
        <w:t>(5), 1105–1121. https://doi.org/10.1016/j.pcl.2009.07.002</w:t>
      </w:r>
    </w:p>
    <w:p w14:paraId="2EB841E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Yan, Y. Y., Wang, Y. W., Chen, S. L., Zhuang, S. R., &amp; Wang, C. K. (2013). Anti-inflammatory effects of phenolic crude extracts from five fractions of Corchorus Olitorius L. </w:t>
      </w:r>
      <w:r w:rsidRPr="00CB3EB5">
        <w:rPr>
          <w:rFonts w:ascii="Arial" w:hAnsi="Arial" w:cs="Arial"/>
          <w:i/>
          <w:iCs/>
          <w:noProof/>
          <w:sz w:val="20"/>
        </w:rPr>
        <w:t>Food Chemistry</w:t>
      </w:r>
      <w:r w:rsidRPr="00CB3EB5">
        <w:rPr>
          <w:rFonts w:ascii="Arial" w:hAnsi="Arial" w:cs="Arial"/>
          <w:noProof/>
          <w:sz w:val="20"/>
        </w:rPr>
        <w:t xml:space="preserve">, </w:t>
      </w:r>
      <w:r w:rsidRPr="00CB3EB5">
        <w:rPr>
          <w:rFonts w:ascii="Arial" w:hAnsi="Arial" w:cs="Arial"/>
          <w:i/>
          <w:iCs/>
          <w:noProof/>
          <w:sz w:val="20"/>
        </w:rPr>
        <w:t>138</w:t>
      </w:r>
      <w:r w:rsidRPr="00CB3EB5">
        <w:rPr>
          <w:rFonts w:ascii="Arial" w:hAnsi="Arial" w:cs="Arial"/>
          <w:noProof/>
          <w:sz w:val="20"/>
        </w:rPr>
        <w:t>(2–3), 1008–1014. https://doi.org/10.1016/j.foodchem.2012.10.052</w:t>
      </w:r>
    </w:p>
    <w:p w14:paraId="633135A4" w14:textId="77777777" w:rsidR="00C23E48" w:rsidRPr="005250A4" w:rsidRDefault="00C23E48" w:rsidP="00203B28">
      <w:pPr>
        <w:tabs>
          <w:tab w:val="left" w:pos="2685"/>
        </w:tabs>
        <w:spacing w:before="240"/>
        <w:rPr>
          <w:rFonts w:ascii="Arial" w:hAnsi="Arial" w:cs="Arial"/>
          <w:color w:val="000000" w:themeColor="text1"/>
          <w:sz w:val="20"/>
          <w:szCs w:val="20"/>
          <w:lang w:val="en-US"/>
        </w:rPr>
      </w:pPr>
      <w:r w:rsidRPr="005250A4">
        <w:rPr>
          <w:rFonts w:ascii="Arial" w:hAnsi="Arial" w:cs="Arial"/>
          <w:color w:val="000000" w:themeColor="text1"/>
          <w:sz w:val="20"/>
          <w:szCs w:val="20"/>
          <w:lang w:val="en-US"/>
        </w:rPr>
        <w:fldChar w:fldCharType="end"/>
      </w:r>
    </w:p>
    <w:p w14:paraId="71E3BF33" w14:textId="77777777" w:rsidR="00036666" w:rsidRPr="005250A4" w:rsidRDefault="00036666" w:rsidP="000A227C">
      <w:pPr>
        <w:tabs>
          <w:tab w:val="left" w:pos="2685"/>
        </w:tabs>
        <w:jc w:val="both"/>
        <w:rPr>
          <w:rFonts w:ascii="Arial" w:hAnsi="Arial" w:cs="Arial"/>
          <w:color w:val="000000" w:themeColor="text1"/>
          <w:sz w:val="20"/>
          <w:szCs w:val="20"/>
          <w:lang w:val="en-US"/>
        </w:rPr>
      </w:pPr>
    </w:p>
    <w:sectPr w:rsidR="00036666" w:rsidRPr="005250A4" w:rsidSect="00E95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9F12" w14:textId="77777777" w:rsidR="009C4833" w:rsidRDefault="009C4833" w:rsidP="000C297E">
      <w:pPr>
        <w:spacing w:after="0" w:line="240" w:lineRule="auto"/>
      </w:pPr>
      <w:r>
        <w:separator/>
      </w:r>
    </w:p>
  </w:endnote>
  <w:endnote w:type="continuationSeparator" w:id="0">
    <w:p w14:paraId="317E4B1F" w14:textId="77777777" w:rsidR="009C4833" w:rsidRDefault="009C4833" w:rsidP="000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4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E076" w14:textId="77777777" w:rsidR="00FB1039" w:rsidRDefault="00FB1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934252"/>
      <w:docPartObj>
        <w:docPartGallery w:val="Page Numbers (Bottom of Page)"/>
        <w:docPartUnique/>
      </w:docPartObj>
    </w:sdtPr>
    <w:sdtEndPr>
      <w:rPr>
        <w:rFonts w:ascii="Arial" w:hAnsi="Arial" w:cs="Arial"/>
      </w:rPr>
    </w:sdtEndPr>
    <w:sdtContent>
      <w:p w14:paraId="57B9B5C2" w14:textId="77777777" w:rsidR="00264A81" w:rsidRPr="00E91D2D" w:rsidRDefault="00264A81">
        <w:pPr>
          <w:pStyle w:val="Footer"/>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Pr="00E91D2D">
          <w:rPr>
            <w:rFonts w:ascii="Arial" w:hAnsi="Arial" w:cs="Arial"/>
            <w:noProof/>
          </w:rPr>
          <w:t>30</w:t>
        </w:r>
        <w:r w:rsidRPr="00E91D2D">
          <w:rPr>
            <w:rFonts w:ascii="Arial" w:hAnsi="Arial" w:cs="Arial"/>
          </w:rPr>
          <w:fldChar w:fldCharType="end"/>
        </w:r>
      </w:p>
    </w:sdtContent>
  </w:sdt>
  <w:p w14:paraId="0A7EA71A" w14:textId="77777777" w:rsidR="00264A81" w:rsidRDefault="00264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8E37" w14:textId="77777777" w:rsidR="00FB1039" w:rsidRDefault="00FB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622E" w14:textId="77777777" w:rsidR="009C4833" w:rsidRDefault="009C4833" w:rsidP="000C297E">
      <w:pPr>
        <w:spacing w:after="0" w:line="240" w:lineRule="auto"/>
      </w:pPr>
      <w:r>
        <w:separator/>
      </w:r>
    </w:p>
  </w:footnote>
  <w:footnote w:type="continuationSeparator" w:id="0">
    <w:p w14:paraId="47A0FD76" w14:textId="77777777" w:rsidR="009C4833" w:rsidRDefault="009C4833" w:rsidP="000C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488E" w14:textId="7D299FBD" w:rsidR="00FB1039" w:rsidRDefault="00FB1039">
    <w:pPr>
      <w:pStyle w:val="Header"/>
    </w:pPr>
    <w:r>
      <w:rPr>
        <w:noProof/>
      </w:rPr>
      <w:pict w14:anchorId="2D85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E220" w14:textId="15E8F689" w:rsidR="00FB1039" w:rsidRDefault="00FB1039">
    <w:pPr>
      <w:pStyle w:val="Header"/>
    </w:pPr>
    <w:r>
      <w:rPr>
        <w:noProof/>
      </w:rPr>
      <w:pict w14:anchorId="5C4D2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CFBA" w14:textId="7096EE79" w:rsidR="00FB1039" w:rsidRDefault="00FB1039">
    <w:pPr>
      <w:pStyle w:val="Header"/>
    </w:pPr>
    <w:r>
      <w:rPr>
        <w:noProof/>
      </w:rPr>
      <w:pict w14:anchorId="54FFB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B6E"/>
    <w:multiLevelType w:val="multilevel"/>
    <w:tmpl w:val="CDFE0F9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06D61"/>
    <w:multiLevelType w:val="multilevel"/>
    <w:tmpl w:val="2866170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3501A32"/>
    <w:multiLevelType w:val="multilevel"/>
    <w:tmpl w:val="29642F2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492E1D"/>
    <w:multiLevelType w:val="multilevel"/>
    <w:tmpl w:val="1868C3F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63B3023"/>
    <w:multiLevelType w:val="multilevel"/>
    <w:tmpl w:val="A71E990C"/>
    <w:lvl w:ilvl="0">
      <w:start w:val="3"/>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A56501"/>
    <w:multiLevelType w:val="hybridMultilevel"/>
    <w:tmpl w:val="DF32376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0650FD"/>
    <w:multiLevelType w:val="hybridMultilevel"/>
    <w:tmpl w:val="553E8E12"/>
    <w:lvl w:ilvl="0" w:tplc="765038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061423">
    <w:abstractNumId w:val="2"/>
  </w:num>
  <w:num w:numId="2" w16cid:durableId="1079056894">
    <w:abstractNumId w:val="7"/>
  </w:num>
  <w:num w:numId="3" w16cid:durableId="376199557">
    <w:abstractNumId w:val="5"/>
  </w:num>
  <w:num w:numId="4" w16cid:durableId="628128376">
    <w:abstractNumId w:val="9"/>
  </w:num>
  <w:num w:numId="5" w16cid:durableId="1620213585">
    <w:abstractNumId w:val="6"/>
  </w:num>
  <w:num w:numId="6" w16cid:durableId="1227255170">
    <w:abstractNumId w:val="0"/>
  </w:num>
  <w:num w:numId="7" w16cid:durableId="59527732">
    <w:abstractNumId w:val="4"/>
  </w:num>
  <w:num w:numId="8" w16cid:durableId="951403479">
    <w:abstractNumId w:val="1"/>
  </w:num>
  <w:num w:numId="9" w16cid:durableId="1035621099">
    <w:abstractNumId w:val="3"/>
  </w:num>
  <w:num w:numId="10" w16cid:durableId="1693190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1E"/>
    <w:rsid w:val="000014DF"/>
    <w:rsid w:val="0000491D"/>
    <w:rsid w:val="00004FEB"/>
    <w:rsid w:val="000055B6"/>
    <w:rsid w:val="00006337"/>
    <w:rsid w:val="00006B62"/>
    <w:rsid w:val="00006CC6"/>
    <w:rsid w:val="000103B6"/>
    <w:rsid w:val="000122BA"/>
    <w:rsid w:val="0001392B"/>
    <w:rsid w:val="00014DE2"/>
    <w:rsid w:val="00015265"/>
    <w:rsid w:val="000157FB"/>
    <w:rsid w:val="00017FA8"/>
    <w:rsid w:val="0002044C"/>
    <w:rsid w:val="00020B01"/>
    <w:rsid w:val="000220BA"/>
    <w:rsid w:val="0002269B"/>
    <w:rsid w:val="00022A0F"/>
    <w:rsid w:val="00024212"/>
    <w:rsid w:val="00024690"/>
    <w:rsid w:val="00025643"/>
    <w:rsid w:val="00026AC9"/>
    <w:rsid w:val="00033A5D"/>
    <w:rsid w:val="0003423F"/>
    <w:rsid w:val="00036666"/>
    <w:rsid w:val="00036D28"/>
    <w:rsid w:val="000373A4"/>
    <w:rsid w:val="000404C7"/>
    <w:rsid w:val="00042BA9"/>
    <w:rsid w:val="000441FC"/>
    <w:rsid w:val="0004545E"/>
    <w:rsid w:val="00046C40"/>
    <w:rsid w:val="00050980"/>
    <w:rsid w:val="000512E1"/>
    <w:rsid w:val="00051764"/>
    <w:rsid w:val="00052512"/>
    <w:rsid w:val="00053C53"/>
    <w:rsid w:val="0005430C"/>
    <w:rsid w:val="00054C60"/>
    <w:rsid w:val="00064D4B"/>
    <w:rsid w:val="00065DDC"/>
    <w:rsid w:val="000674F8"/>
    <w:rsid w:val="0006773B"/>
    <w:rsid w:val="00070C8C"/>
    <w:rsid w:val="000718D6"/>
    <w:rsid w:val="00073AD3"/>
    <w:rsid w:val="00074B6E"/>
    <w:rsid w:val="000763A6"/>
    <w:rsid w:val="0007711A"/>
    <w:rsid w:val="00080AD9"/>
    <w:rsid w:val="0008230C"/>
    <w:rsid w:val="0008421F"/>
    <w:rsid w:val="000854BE"/>
    <w:rsid w:val="00086DE4"/>
    <w:rsid w:val="000877C2"/>
    <w:rsid w:val="00096CB7"/>
    <w:rsid w:val="00097F75"/>
    <w:rsid w:val="000A025A"/>
    <w:rsid w:val="000A227C"/>
    <w:rsid w:val="000A2BF6"/>
    <w:rsid w:val="000A3BA2"/>
    <w:rsid w:val="000A4569"/>
    <w:rsid w:val="000A5E7C"/>
    <w:rsid w:val="000A778F"/>
    <w:rsid w:val="000A78C9"/>
    <w:rsid w:val="000B22EC"/>
    <w:rsid w:val="000B28A3"/>
    <w:rsid w:val="000B307A"/>
    <w:rsid w:val="000B4EC3"/>
    <w:rsid w:val="000B73CF"/>
    <w:rsid w:val="000C297E"/>
    <w:rsid w:val="000C34DE"/>
    <w:rsid w:val="000C3B73"/>
    <w:rsid w:val="000C4278"/>
    <w:rsid w:val="000C499B"/>
    <w:rsid w:val="000C51BE"/>
    <w:rsid w:val="000C62DE"/>
    <w:rsid w:val="000C7602"/>
    <w:rsid w:val="000D1A3B"/>
    <w:rsid w:val="000D221F"/>
    <w:rsid w:val="000D25B2"/>
    <w:rsid w:val="000D280C"/>
    <w:rsid w:val="000D39FE"/>
    <w:rsid w:val="000D4CAE"/>
    <w:rsid w:val="000D4D9B"/>
    <w:rsid w:val="000D5D0D"/>
    <w:rsid w:val="000D7B44"/>
    <w:rsid w:val="000D7BE6"/>
    <w:rsid w:val="000E2BF1"/>
    <w:rsid w:val="000E390B"/>
    <w:rsid w:val="000E3E83"/>
    <w:rsid w:val="000E4EFC"/>
    <w:rsid w:val="000E51AC"/>
    <w:rsid w:val="000E680F"/>
    <w:rsid w:val="000E6CE5"/>
    <w:rsid w:val="000E7CA4"/>
    <w:rsid w:val="000F0635"/>
    <w:rsid w:val="000F063C"/>
    <w:rsid w:val="000F0893"/>
    <w:rsid w:val="000F1D3F"/>
    <w:rsid w:val="000F1FCF"/>
    <w:rsid w:val="000F3849"/>
    <w:rsid w:val="000F3EC2"/>
    <w:rsid w:val="000F4A57"/>
    <w:rsid w:val="000F5664"/>
    <w:rsid w:val="000F7205"/>
    <w:rsid w:val="000F7372"/>
    <w:rsid w:val="001002EA"/>
    <w:rsid w:val="00102299"/>
    <w:rsid w:val="0010314F"/>
    <w:rsid w:val="00104950"/>
    <w:rsid w:val="00104D9F"/>
    <w:rsid w:val="00105C58"/>
    <w:rsid w:val="00105EE9"/>
    <w:rsid w:val="001069D9"/>
    <w:rsid w:val="001073B3"/>
    <w:rsid w:val="00107580"/>
    <w:rsid w:val="00107592"/>
    <w:rsid w:val="00107B93"/>
    <w:rsid w:val="00107FF1"/>
    <w:rsid w:val="00110924"/>
    <w:rsid w:val="00110D03"/>
    <w:rsid w:val="00110F15"/>
    <w:rsid w:val="00111186"/>
    <w:rsid w:val="001154A1"/>
    <w:rsid w:val="00115F1B"/>
    <w:rsid w:val="001164AA"/>
    <w:rsid w:val="00122C7F"/>
    <w:rsid w:val="00122CEB"/>
    <w:rsid w:val="001231F7"/>
    <w:rsid w:val="0012384A"/>
    <w:rsid w:val="00127C31"/>
    <w:rsid w:val="00130670"/>
    <w:rsid w:val="0013091D"/>
    <w:rsid w:val="001313B4"/>
    <w:rsid w:val="001317C0"/>
    <w:rsid w:val="001334E2"/>
    <w:rsid w:val="00134ACF"/>
    <w:rsid w:val="00136A57"/>
    <w:rsid w:val="001372D8"/>
    <w:rsid w:val="00137A47"/>
    <w:rsid w:val="00137BAE"/>
    <w:rsid w:val="00141D3B"/>
    <w:rsid w:val="00143449"/>
    <w:rsid w:val="00143580"/>
    <w:rsid w:val="00144DAA"/>
    <w:rsid w:val="00146DF0"/>
    <w:rsid w:val="001527CD"/>
    <w:rsid w:val="001550B4"/>
    <w:rsid w:val="00155D9F"/>
    <w:rsid w:val="001565E6"/>
    <w:rsid w:val="001579C9"/>
    <w:rsid w:val="00160469"/>
    <w:rsid w:val="00160A9C"/>
    <w:rsid w:val="001620E3"/>
    <w:rsid w:val="00164991"/>
    <w:rsid w:val="00164AAC"/>
    <w:rsid w:val="00165C95"/>
    <w:rsid w:val="00165F7E"/>
    <w:rsid w:val="00166CA0"/>
    <w:rsid w:val="00167318"/>
    <w:rsid w:val="0016781E"/>
    <w:rsid w:val="00171216"/>
    <w:rsid w:val="001723ED"/>
    <w:rsid w:val="00175578"/>
    <w:rsid w:val="00177826"/>
    <w:rsid w:val="00177B46"/>
    <w:rsid w:val="00181327"/>
    <w:rsid w:val="0018655C"/>
    <w:rsid w:val="0018782C"/>
    <w:rsid w:val="0019011C"/>
    <w:rsid w:val="00190A19"/>
    <w:rsid w:val="0019756A"/>
    <w:rsid w:val="001A1329"/>
    <w:rsid w:val="001A6169"/>
    <w:rsid w:val="001A6DFD"/>
    <w:rsid w:val="001B1B88"/>
    <w:rsid w:val="001B21D5"/>
    <w:rsid w:val="001B2543"/>
    <w:rsid w:val="001B3560"/>
    <w:rsid w:val="001B63C6"/>
    <w:rsid w:val="001B753B"/>
    <w:rsid w:val="001B7D07"/>
    <w:rsid w:val="001C3974"/>
    <w:rsid w:val="001C3E74"/>
    <w:rsid w:val="001C4FF0"/>
    <w:rsid w:val="001C7E75"/>
    <w:rsid w:val="001D33AA"/>
    <w:rsid w:val="001D6AFE"/>
    <w:rsid w:val="001E06B5"/>
    <w:rsid w:val="001E11E7"/>
    <w:rsid w:val="001E1296"/>
    <w:rsid w:val="001E355A"/>
    <w:rsid w:val="001E5F79"/>
    <w:rsid w:val="001E66E0"/>
    <w:rsid w:val="001E6C80"/>
    <w:rsid w:val="001E7239"/>
    <w:rsid w:val="001E7524"/>
    <w:rsid w:val="001F18D7"/>
    <w:rsid w:val="001F491B"/>
    <w:rsid w:val="001F5258"/>
    <w:rsid w:val="001F53E4"/>
    <w:rsid w:val="00200433"/>
    <w:rsid w:val="00201408"/>
    <w:rsid w:val="00201FD5"/>
    <w:rsid w:val="002029EC"/>
    <w:rsid w:val="00202D84"/>
    <w:rsid w:val="00202FD1"/>
    <w:rsid w:val="00203B28"/>
    <w:rsid w:val="00204CF1"/>
    <w:rsid w:val="00204DCA"/>
    <w:rsid w:val="00204DE2"/>
    <w:rsid w:val="00206134"/>
    <w:rsid w:val="0020641D"/>
    <w:rsid w:val="002106E2"/>
    <w:rsid w:val="0021089C"/>
    <w:rsid w:val="00211939"/>
    <w:rsid w:val="00212B42"/>
    <w:rsid w:val="002133E7"/>
    <w:rsid w:val="00213451"/>
    <w:rsid w:val="0021456C"/>
    <w:rsid w:val="002155B7"/>
    <w:rsid w:val="00216070"/>
    <w:rsid w:val="00217190"/>
    <w:rsid w:val="00217C8A"/>
    <w:rsid w:val="002213F6"/>
    <w:rsid w:val="002224E6"/>
    <w:rsid w:val="002225A2"/>
    <w:rsid w:val="0022296C"/>
    <w:rsid w:val="002240F8"/>
    <w:rsid w:val="002279E9"/>
    <w:rsid w:val="0023064A"/>
    <w:rsid w:val="002348BB"/>
    <w:rsid w:val="00235640"/>
    <w:rsid w:val="00235CDA"/>
    <w:rsid w:val="00236B0E"/>
    <w:rsid w:val="002405FB"/>
    <w:rsid w:val="00240F2B"/>
    <w:rsid w:val="00241C57"/>
    <w:rsid w:val="002422A5"/>
    <w:rsid w:val="00242C3B"/>
    <w:rsid w:val="002444A5"/>
    <w:rsid w:val="002457D2"/>
    <w:rsid w:val="00246DF3"/>
    <w:rsid w:val="0024798D"/>
    <w:rsid w:val="00250255"/>
    <w:rsid w:val="002512DF"/>
    <w:rsid w:val="00253737"/>
    <w:rsid w:val="00253CAF"/>
    <w:rsid w:val="00255DA3"/>
    <w:rsid w:val="00256D1F"/>
    <w:rsid w:val="00257383"/>
    <w:rsid w:val="00257A73"/>
    <w:rsid w:val="00260B7B"/>
    <w:rsid w:val="00260D35"/>
    <w:rsid w:val="002646EA"/>
    <w:rsid w:val="00264A81"/>
    <w:rsid w:val="002653D4"/>
    <w:rsid w:val="002707C6"/>
    <w:rsid w:val="002715B0"/>
    <w:rsid w:val="002718F1"/>
    <w:rsid w:val="002742A5"/>
    <w:rsid w:val="002759A7"/>
    <w:rsid w:val="00275D74"/>
    <w:rsid w:val="002768B0"/>
    <w:rsid w:val="002771E4"/>
    <w:rsid w:val="00277288"/>
    <w:rsid w:val="00277997"/>
    <w:rsid w:val="002809A8"/>
    <w:rsid w:val="002839FC"/>
    <w:rsid w:val="0028623A"/>
    <w:rsid w:val="002900CD"/>
    <w:rsid w:val="00292DA0"/>
    <w:rsid w:val="002931FA"/>
    <w:rsid w:val="0029461C"/>
    <w:rsid w:val="002952A6"/>
    <w:rsid w:val="0029703F"/>
    <w:rsid w:val="00297659"/>
    <w:rsid w:val="002A0816"/>
    <w:rsid w:val="002A1BBD"/>
    <w:rsid w:val="002A4732"/>
    <w:rsid w:val="002A59BF"/>
    <w:rsid w:val="002A6633"/>
    <w:rsid w:val="002B2B1D"/>
    <w:rsid w:val="002B3F42"/>
    <w:rsid w:val="002B46C2"/>
    <w:rsid w:val="002B4879"/>
    <w:rsid w:val="002B4986"/>
    <w:rsid w:val="002B4BF4"/>
    <w:rsid w:val="002B4CD1"/>
    <w:rsid w:val="002B5E7E"/>
    <w:rsid w:val="002B6A0D"/>
    <w:rsid w:val="002B6C68"/>
    <w:rsid w:val="002B6E92"/>
    <w:rsid w:val="002B7F8A"/>
    <w:rsid w:val="002C0905"/>
    <w:rsid w:val="002C0BEF"/>
    <w:rsid w:val="002C21B4"/>
    <w:rsid w:val="002C323C"/>
    <w:rsid w:val="002C4514"/>
    <w:rsid w:val="002C5A39"/>
    <w:rsid w:val="002C6601"/>
    <w:rsid w:val="002D11BC"/>
    <w:rsid w:val="002D2256"/>
    <w:rsid w:val="002D2B95"/>
    <w:rsid w:val="002D2FE7"/>
    <w:rsid w:val="002D40BE"/>
    <w:rsid w:val="002D4622"/>
    <w:rsid w:val="002D7EF6"/>
    <w:rsid w:val="002E32DF"/>
    <w:rsid w:val="002E4757"/>
    <w:rsid w:val="002E4B0D"/>
    <w:rsid w:val="002E4E59"/>
    <w:rsid w:val="002E5822"/>
    <w:rsid w:val="002E66F2"/>
    <w:rsid w:val="002F00B9"/>
    <w:rsid w:val="002F0B9C"/>
    <w:rsid w:val="002F1DEB"/>
    <w:rsid w:val="002F2527"/>
    <w:rsid w:val="002F508A"/>
    <w:rsid w:val="002F6F65"/>
    <w:rsid w:val="003012E5"/>
    <w:rsid w:val="0030132E"/>
    <w:rsid w:val="00301947"/>
    <w:rsid w:val="00302617"/>
    <w:rsid w:val="0030358D"/>
    <w:rsid w:val="003043AB"/>
    <w:rsid w:val="003053D8"/>
    <w:rsid w:val="0030541B"/>
    <w:rsid w:val="003108E8"/>
    <w:rsid w:val="003127D8"/>
    <w:rsid w:val="0031287D"/>
    <w:rsid w:val="003138BF"/>
    <w:rsid w:val="00314300"/>
    <w:rsid w:val="003148AB"/>
    <w:rsid w:val="00315D59"/>
    <w:rsid w:val="00317AB3"/>
    <w:rsid w:val="0032069F"/>
    <w:rsid w:val="00321C70"/>
    <w:rsid w:val="00323791"/>
    <w:rsid w:val="00326BD5"/>
    <w:rsid w:val="00326E74"/>
    <w:rsid w:val="0032710B"/>
    <w:rsid w:val="00331859"/>
    <w:rsid w:val="0033186E"/>
    <w:rsid w:val="00332CA2"/>
    <w:rsid w:val="003353D0"/>
    <w:rsid w:val="0033565F"/>
    <w:rsid w:val="00341E66"/>
    <w:rsid w:val="003421C3"/>
    <w:rsid w:val="0034258B"/>
    <w:rsid w:val="00342639"/>
    <w:rsid w:val="00343018"/>
    <w:rsid w:val="0034369E"/>
    <w:rsid w:val="00346F58"/>
    <w:rsid w:val="003474E0"/>
    <w:rsid w:val="00352E76"/>
    <w:rsid w:val="00352F63"/>
    <w:rsid w:val="003533FA"/>
    <w:rsid w:val="00354549"/>
    <w:rsid w:val="00355789"/>
    <w:rsid w:val="0035688B"/>
    <w:rsid w:val="00361161"/>
    <w:rsid w:val="00362236"/>
    <w:rsid w:val="003625E3"/>
    <w:rsid w:val="0036290C"/>
    <w:rsid w:val="0036425F"/>
    <w:rsid w:val="00364857"/>
    <w:rsid w:val="00365094"/>
    <w:rsid w:val="00366E43"/>
    <w:rsid w:val="00367296"/>
    <w:rsid w:val="003675B1"/>
    <w:rsid w:val="003704F9"/>
    <w:rsid w:val="0037292D"/>
    <w:rsid w:val="0037293D"/>
    <w:rsid w:val="00373355"/>
    <w:rsid w:val="00373644"/>
    <w:rsid w:val="003750C8"/>
    <w:rsid w:val="003759D3"/>
    <w:rsid w:val="0037706A"/>
    <w:rsid w:val="0037737A"/>
    <w:rsid w:val="00377B4F"/>
    <w:rsid w:val="003809BF"/>
    <w:rsid w:val="003817D3"/>
    <w:rsid w:val="00381A03"/>
    <w:rsid w:val="0038203F"/>
    <w:rsid w:val="00382A36"/>
    <w:rsid w:val="00382F64"/>
    <w:rsid w:val="00383591"/>
    <w:rsid w:val="00384080"/>
    <w:rsid w:val="00384A67"/>
    <w:rsid w:val="003850BA"/>
    <w:rsid w:val="00391045"/>
    <w:rsid w:val="003922BD"/>
    <w:rsid w:val="0039351D"/>
    <w:rsid w:val="003940E2"/>
    <w:rsid w:val="003962E6"/>
    <w:rsid w:val="003968D9"/>
    <w:rsid w:val="003A007C"/>
    <w:rsid w:val="003A232A"/>
    <w:rsid w:val="003A5733"/>
    <w:rsid w:val="003B060A"/>
    <w:rsid w:val="003B0AF2"/>
    <w:rsid w:val="003B146A"/>
    <w:rsid w:val="003B2BF3"/>
    <w:rsid w:val="003B3F13"/>
    <w:rsid w:val="003B46C2"/>
    <w:rsid w:val="003B66CA"/>
    <w:rsid w:val="003B7601"/>
    <w:rsid w:val="003C031A"/>
    <w:rsid w:val="003C10E4"/>
    <w:rsid w:val="003C7E8A"/>
    <w:rsid w:val="003D1A6E"/>
    <w:rsid w:val="003D1FBE"/>
    <w:rsid w:val="003D395D"/>
    <w:rsid w:val="003D632B"/>
    <w:rsid w:val="003D6C6D"/>
    <w:rsid w:val="003D6E11"/>
    <w:rsid w:val="003D723B"/>
    <w:rsid w:val="003E1AE3"/>
    <w:rsid w:val="003E2CF2"/>
    <w:rsid w:val="003E3000"/>
    <w:rsid w:val="003E3B29"/>
    <w:rsid w:val="003E451A"/>
    <w:rsid w:val="003E552E"/>
    <w:rsid w:val="003E6504"/>
    <w:rsid w:val="003F041B"/>
    <w:rsid w:val="003F0812"/>
    <w:rsid w:val="003F21BA"/>
    <w:rsid w:val="003F2E0A"/>
    <w:rsid w:val="003F4820"/>
    <w:rsid w:val="003F55B8"/>
    <w:rsid w:val="003F6229"/>
    <w:rsid w:val="003F6578"/>
    <w:rsid w:val="003F6FD5"/>
    <w:rsid w:val="0040070A"/>
    <w:rsid w:val="00401077"/>
    <w:rsid w:val="00404A69"/>
    <w:rsid w:val="004054BA"/>
    <w:rsid w:val="00405B9B"/>
    <w:rsid w:val="00405D51"/>
    <w:rsid w:val="004061ED"/>
    <w:rsid w:val="00406695"/>
    <w:rsid w:val="004069B1"/>
    <w:rsid w:val="004075E8"/>
    <w:rsid w:val="00407E74"/>
    <w:rsid w:val="00411C11"/>
    <w:rsid w:val="0041257A"/>
    <w:rsid w:val="00413999"/>
    <w:rsid w:val="00413C1E"/>
    <w:rsid w:val="00413F78"/>
    <w:rsid w:val="00415873"/>
    <w:rsid w:val="004173D8"/>
    <w:rsid w:val="004177AD"/>
    <w:rsid w:val="0042015E"/>
    <w:rsid w:val="0042054A"/>
    <w:rsid w:val="00420684"/>
    <w:rsid w:val="00420CB2"/>
    <w:rsid w:val="00425F62"/>
    <w:rsid w:val="004307C7"/>
    <w:rsid w:val="004320F0"/>
    <w:rsid w:val="00435CAA"/>
    <w:rsid w:val="004372A9"/>
    <w:rsid w:val="00440A1F"/>
    <w:rsid w:val="004411FE"/>
    <w:rsid w:val="00441652"/>
    <w:rsid w:val="00443291"/>
    <w:rsid w:val="0044587E"/>
    <w:rsid w:val="004459E5"/>
    <w:rsid w:val="00446612"/>
    <w:rsid w:val="004473A9"/>
    <w:rsid w:val="004504DF"/>
    <w:rsid w:val="00451A06"/>
    <w:rsid w:val="00451D5E"/>
    <w:rsid w:val="00453D4E"/>
    <w:rsid w:val="00454370"/>
    <w:rsid w:val="00455E8A"/>
    <w:rsid w:val="0045780B"/>
    <w:rsid w:val="00460383"/>
    <w:rsid w:val="004638FD"/>
    <w:rsid w:val="00463FD8"/>
    <w:rsid w:val="00464838"/>
    <w:rsid w:val="00464DA6"/>
    <w:rsid w:val="00464F2B"/>
    <w:rsid w:val="0046668E"/>
    <w:rsid w:val="00470F72"/>
    <w:rsid w:val="004728BD"/>
    <w:rsid w:val="004734D4"/>
    <w:rsid w:val="00473686"/>
    <w:rsid w:val="00473734"/>
    <w:rsid w:val="004749E1"/>
    <w:rsid w:val="00474B85"/>
    <w:rsid w:val="00475057"/>
    <w:rsid w:val="004771AA"/>
    <w:rsid w:val="00481583"/>
    <w:rsid w:val="00481DC7"/>
    <w:rsid w:val="004852C1"/>
    <w:rsid w:val="00486A8C"/>
    <w:rsid w:val="004872D2"/>
    <w:rsid w:val="0048777B"/>
    <w:rsid w:val="00493000"/>
    <w:rsid w:val="00494694"/>
    <w:rsid w:val="004948D8"/>
    <w:rsid w:val="004968E9"/>
    <w:rsid w:val="00497538"/>
    <w:rsid w:val="004A01F4"/>
    <w:rsid w:val="004A104B"/>
    <w:rsid w:val="004A1D1F"/>
    <w:rsid w:val="004A2491"/>
    <w:rsid w:val="004A35E5"/>
    <w:rsid w:val="004A65A0"/>
    <w:rsid w:val="004A6FCA"/>
    <w:rsid w:val="004B01E9"/>
    <w:rsid w:val="004B164E"/>
    <w:rsid w:val="004B28CD"/>
    <w:rsid w:val="004B501D"/>
    <w:rsid w:val="004B685F"/>
    <w:rsid w:val="004B7ED0"/>
    <w:rsid w:val="004C084E"/>
    <w:rsid w:val="004C3F86"/>
    <w:rsid w:val="004C50F7"/>
    <w:rsid w:val="004C5DB3"/>
    <w:rsid w:val="004C614E"/>
    <w:rsid w:val="004C649C"/>
    <w:rsid w:val="004C6671"/>
    <w:rsid w:val="004C7157"/>
    <w:rsid w:val="004D4AFC"/>
    <w:rsid w:val="004D5DC9"/>
    <w:rsid w:val="004D5E14"/>
    <w:rsid w:val="004D62AC"/>
    <w:rsid w:val="004D6A96"/>
    <w:rsid w:val="004D6D3F"/>
    <w:rsid w:val="004E2CA7"/>
    <w:rsid w:val="004E2CFA"/>
    <w:rsid w:val="004E317B"/>
    <w:rsid w:val="004E3BD8"/>
    <w:rsid w:val="004E5E98"/>
    <w:rsid w:val="004F0852"/>
    <w:rsid w:val="004F0D96"/>
    <w:rsid w:val="004F2736"/>
    <w:rsid w:val="004F3E35"/>
    <w:rsid w:val="004F5E8C"/>
    <w:rsid w:val="004F67CF"/>
    <w:rsid w:val="004F68A8"/>
    <w:rsid w:val="00500C66"/>
    <w:rsid w:val="005012A2"/>
    <w:rsid w:val="0050233E"/>
    <w:rsid w:val="0050278C"/>
    <w:rsid w:val="00502927"/>
    <w:rsid w:val="00502D15"/>
    <w:rsid w:val="00502F08"/>
    <w:rsid w:val="00503EEF"/>
    <w:rsid w:val="00504E45"/>
    <w:rsid w:val="00505795"/>
    <w:rsid w:val="00512DAC"/>
    <w:rsid w:val="00512E03"/>
    <w:rsid w:val="005166D1"/>
    <w:rsid w:val="00516DDE"/>
    <w:rsid w:val="00517436"/>
    <w:rsid w:val="00520F31"/>
    <w:rsid w:val="005211BC"/>
    <w:rsid w:val="00522F81"/>
    <w:rsid w:val="005233D4"/>
    <w:rsid w:val="005250A4"/>
    <w:rsid w:val="0052629D"/>
    <w:rsid w:val="00526E41"/>
    <w:rsid w:val="0053074E"/>
    <w:rsid w:val="00532542"/>
    <w:rsid w:val="00532E4F"/>
    <w:rsid w:val="0053392B"/>
    <w:rsid w:val="0053394F"/>
    <w:rsid w:val="00535C77"/>
    <w:rsid w:val="00536DF8"/>
    <w:rsid w:val="00540AE8"/>
    <w:rsid w:val="00541448"/>
    <w:rsid w:val="005450FB"/>
    <w:rsid w:val="00545209"/>
    <w:rsid w:val="0054600C"/>
    <w:rsid w:val="00550B2D"/>
    <w:rsid w:val="00550B9C"/>
    <w:rsid w:val="00553A4E"/>
    <w:rsid w:val="00554987"/>
    <w:rsid w:val="00554A71"/>
    <w:rsid w:val="00555EE7"/>
    <w:rsid w:val="0055777F"/>
    <w:rsid w:val="00557931"/>
    <w:rsid w:val="00560CDE"/>
    <w:rsid w:val="005615E9"/>
    <w:rsid w:val="00563493"/>
    <w:rsid w:val="0056370D"/>
    <w:rsid w:val="00570873"/>
    <w:rsid w:val="00571E37"/>
    <w:rsid w:val="00572609"/>
    <w:rsid w:val="00572CD6"/>
    <w:rsid w:val="00572D66"/>
    <w:rsid w:val="00573ACB"/>
    <w:rsid w:val="005776F4"/>
    <w:rsid w:val="00577A13"/>
    <w:rsid w:val="0058264D"/>
    <w:rsid w:val="00582E3A"/>
    <w:rsid w:val="005830BB"/>
    <w:rsid w:val="00584396"/>
    <w:rsid w:val="00585534"/>
    <w:rsid w:val="00590102"/>
    <w:rsid w:val="00592715"/>
    <w:rsid w:val="005930B7"/>
    <w:rsid w:val="00593B1B"/>
    <w:rsid w:val="00594AC1"/>
    <w:rsid w:val="00595B07"/>
    <w:rsid w:val="005A00A7"/>
    <w:rsid w:val="005A4E7F"/>
    <w:rsid w:val="005A7E94"/>
    <w:rsid w:val="005B01DD"/>
    <w:rsid w:val="005B3568"/>
    <w:rsid w:val="005B5BA1"/>
    <w:rsid w:val="005B6F75"/>
    <w:rsid w:val="005B7291"/>
    <w:rsid w:val="005B7598"/>
    <w:rsid w:val="005B787E"/>
    <w:rsid w:val="005C112D"/>
    <w:rsid w:val="005C2AFF"/>
    <w:rsid w:val="005C30A2"/>
    <w:rsid w:val="005C39F8"/>
    <w:rsid w:val="005C3F46"/>
    <w:rsid w:val="005C56A8"/>
    <w:rsid w:val="005C5CB3"/>
    <w:rsid w:val="005C65E7"/>
    <w:rsid w:val="005D256F"/>
    <w:rsid w:val="005D35EA"/>
    <w:rsid w:val="005D5CA2"/>
    <w:rsid w:val="005D78C3"/>
    <w:rsid w:val="005E0211"/>
    <w:rsid w:val="005E04C1"/>
    <w:rsid w:val="005E067B"/>
    <w:rsid w:val="005E11B8"/>
    <w:rsid w:val="005E11CE"/>
    <w:rsid w:val="005E1692"/>
    <w:rsid w:val="005E1E13"/>
    <w:rsid w:val="005E2279"/>
    <w:rsid w:val="005E2E23"/>
    <w:rsid w:val="005E3488"/>
    <w:rsid w:val="005E4E45"/>
    <w:rsid w:val="005E5B0F"/>
    <w:rsid w:val="005E7A28"/>
    <w:rsid w:val="005F0D4B"/>
    <w:rsid w:val="005F1359"/>
    <w:rsid w:val="005F154D"/>
    <w:rsid w:val="005F2208"/>
    <w:rsid w:val="005F32EF"/>
    <w:rsid w:val="005F5F70"/>
    <w:rsid w:val="005F6D0E"/>
    <w:rsid w:val="005F75D1"/>
    <w:rsid w:val="00600477"/>
    <w:rsid w:val="0060274D"/>
    <w:rsid w:val="0060287B"/>
    <w:rsid w:val="00603F6D"/>
    <w:rsid w:val="00604272"/>
    <w:rsid w:val="0060494C"/>
    <w:rsid w:val="00612C3C"/>
    <w:rsid w:val="00613012"/>
    <w:rsid w:val="006139BC"/>
    <w:rsid w:val="006275A7"/>
    <w:rsid w:val="00627E18"/>
    <w:rsid w:val="006306B2"/>
    <w:rsid w:val="00630735"/>
    <w:rsid w:val="00630C3B"/>
    <w:rsid w:val="00631472"/>
    <w:rsid w:val="006327D6"/>
    <w:rsid w:val="0063615C"/>
    <w:rsid w:val="006364A9"/>
    <w:rsid w:val="0063792A"/>
    <w:rsid w:val="00640C03"/>
    <w:rsid w:val="00642A9E"/>
    <w:rsid w:val="006434B2"/>
    <w:rsid w:val="00643606"/>
    <w:rsid w:val="00643D28"/>
    <w:rsid w:val="00647D4C"/>
    <w:rsid w:val="006517DE"/>
    <w:rsid w:val="00652698"/>
    <w:rsid w:val="00653D44"/>
    <w:rsid w:val="00653D48"/>
    <w:rsid w:val="00654639"/>
    <w:rsid w:val="00655164"/>
    <w:rsid w:val="0066154D"/>
    <w:rsid w:val="00662953"/>
    <w:rsid w:val="00665183"/>
    <w:rsid w:val="00665A7A"/>
    <w:rsid w:val="00666661"/>
    <w:rsid w:val="00667718"/>
    <w:rsid w:val="00670571"/>
    <w:rsid w:val="006705E7"/>
    <w:rsid w:val="00670E60"/>
    <w:rsid w:val="00672301"/>
    <w:rsid w:val="006725A8"/>
    <w:rsid w:val="00672935"/>
    <w:rsid w:val="00674452"/>
    <w:rsid w:val="006749A3"/>
    <w:rsid w:val="00674A11"/>
    <w:rsid w:val="00675778"/>
    <w:rsid w:val="006762E1"/>
    <w:rsid w:val="00677956"/>
    <w:rsid w:val="00680EC2"/>
    <w:rsid w:val="006813D9"/>
    <w:rsid w:val="00681DFF"/>
    <w:rsid w:val="00682B56"/>
    <w:rsid w:val="006853A0"/>
    <w:rsid w:val="006869C0"/>
    <w:rsid w:val="0068724F"/>
    <w:rsid w:val="00687F09"/>
    <w:rsid w:val="006914E7"/>
    <w:rsid w:val="00691CB7"/>
    <w:rsid w:val="006933A9"/>
    <w:rsid w:val="00693EB8"/>
    <w:rsid w:val="006957BF"/>
    <w:rsid w:val="00695A5E"/>
    <w:rsid w:val="006A46FB"/>
    <w:rsid w:val="006A5452"/>
    <w:rsid w:val="006A5A1C"/>
    <w:rsid w:val="006B17F7"/>
    <w:rsid w:val="006B2744"/>
    <w:rsid w:val="006B41C2"/>
    <w:rsid w:val="006C08BD"/>
    <w:rsid w:val="006C1B78"/>
    <w:rsid w:val="006C39DA"/>
    <w:rsid w:val="006C563A"/>
    <w:rsid w:val="006C5F5B"/>
    <w:rsid w:val="006C6C15"/>
    <w:rsid w:val="006C6D97"/>
    <w:rsid w:val="006D0330"/>
    <w:rsid w:val="006D0609"/>
    <w:rsid w:val="006D09F1"/>
    <w:rsid w:val="006D3A34"/>
    <w:rsid w:val="006D4181"/>
    <w:rsid w:val="006D5947"/>
    <w:rsid w:val="006E2709"/>
    <w:rsid w:val="006E4035"/>
    <w:rsid w:val="006E50D1"/>
    <w:rsid w:val="006E5A44"/>
    <w:rsid w:val="006E6C45"/>
    <w:rsid w:val="006E7BFD"/>
    <w:rsid w:val="006F041F"/>
    <w:rsid w:val="006F1438"/>
    <w:rsid w:val="006F2D06"/>
    <w:rsid w:val="006F2DDC"/>
    <w:rsid w:val="006F5F14"/>
    <w:rsid w:val="006F6F18"/>
    <w:rsid w:val="007009F3"/>
    <w:rsid w:val="0070351A"/>
    <w:rsid w:val="00705164"/>
    <w:rsid w:val="007118E0"/>
    <w:rsid w:val="00712007"/>
    <w:rsid w:val="0071214B"/>
    <w:rsid w:val="00712381"/>
    <w:rsid w:val="007140E4"/>
    <w:rsid w:val="007150D9"/>
    <w:rsid w:val="00716790"/>
    <w:rsid w:val="007169EE"/>
    <w:rsid w:val="007178A0"/>
    <w:rsid w:val="00722190"/>
    <w:rsid w:val="00722390"/>
    <w:rsid w:val="007234F0"/>
    <w:rsid w:val="00723FB0"/>
    <w:rsid w:val="007246B7"/>
    <w:rsid w:val="00726E9F"/>
    <w:rsid w:val="0072769B"/>
    <w:rsid w:val="00727B05"/>
    <w:rsid w:val="007313D9"/>
    <w:rsid w:val="00731C64"/>
    <w:rsid w:val="00732E79"/>
    <w:rsid w:val="007345BE"/>
    <w:rsid w:val="0073541A"/>
    <w:rsid w:val="007359AF"/>
    <w:rsid w:val="0074128C"/>
    <w:rsid w:val="00741FC5"/>
    <w:rsid w:val="007423A5"/>
    <w:rsid w:val="007443E8"/>
    <w:rsid w:val="00745A10"/>
    <w:rsid w:val="00745A40"/>
    <w:rsid w:val="00747CD7"/>
    <w:rsid w:val="007503B1"/>
    <w:rsid w:val="00750C7E"/>
    <w:rsid w:val="00751321"/>
    <w:rsid w:val="007535B5"/>
    <w:rsid w:val="00756816"/>
    <w:rsid w:val="00757B84"/>
    <w:rsid w:val="00757F44"/>
    <w:rsid w:val="00761298"/>
    <w:rsid w:val="007623CD"/>
    <w:rsid w:val="007626A5"/>
    <w:rsid w:val="007633AF"/>
    <w:rsid w:val="00763E01"/>
    <w:rsid w:val="00764085"/>
    <w:rsid w:val="007647B8"/>
    <w:rsid w:val="00765387"/>
    <w:rsid w:val="007668EB"/>
    <w:rsid w:val="007669BC"/>
    <w:rsid w:val="00766FD9"/>
    <w:rsid w:val="007672AA"/>
    <w:rsid w:val="00767B9A"/>
    <w:rsid w:val="0077106D"/>
    <w:rsid w:val="00773B1B"/>
    <w:rsid w:val="00775208"/>
    <w:rsid w:val="00776EA8"/>
    <w:rsid w:val="007774E4"/>
    <w:rsid w:val="007808BF"/>
    <w:rsid w:val="00782842"/>
    <w:rsid w:val="00782E2D"/>
    <w:rsid w:val="007866D3"/>
    <w:rsid w:val="00786F9A"/>
    <w:rsid w:val="007875F1"/>
    <w:rsid w:val="007915C5"/>
    <w:rsid w:val="00792736"/>
    <w:rsid w:val="00792C34"/>
    <w:rsid w:val="00792D53"/>
    <w:rsid w:val="007944A6"/>
    <w:rsid w:val="00795876"/>
    <w:rsid w:val="00795D7B"/>
    <w:rsid w:val="007962AD"/>
    <w:rsid w:val="00797CE1"/>
    <w:rsid w:val="007A0E45"/>
    <w:rsid w:val="007A2A36"/>
    <w:rsid w:val="007A2CD3"/>
    <w:rsid w:val="007A45E0"/>
    <w:rsid w:val="007A57AB"/>
    <w:rsid w:val="007A60FB"/>
    <w:rsid w:val="007B071B"/>
    <w:rsid w:val="007B0BB8"/>
    <w:rsid w:val="007B198C"/>
    <w:rsid w:val="007B656E"/>
    <w:rsid w:val="007C12D5"/>
    <w:rsid w:val="007C4E07"/>
    <w:rsid w:val="007C64A7"/>
    <w:rsid w:val="007C6505"/>
    <w:rsid w:val="007C6D65"/>
    <w:rsid w:val="007C7DFD"/>
    <w:rsid w:val="007D1294"/>
    <w:rsid w:val="007D198D"/>
    <w:rsid w:val="007D330C"/>
    <w:rsid w:val="007D36B8"/>
    <w:rsid w:val="007D3BAB"/>
    <w:rsid w:val="007D40F7"/>
    <w:rsid w:val="007D433B"/>
    <w:rsid w:val="007D6FFF"/>
    <w:rsid w:val="007E023D"/>
    <w:rsid w:val="007E1634"/>
    <w:rsid w:val="007E17A7"/>
    <w:rsid w:val="007E19B4"/>
    <w:rsid w:val="007E323B"/>
    <w:rsid w:val="007E3955"/>
    <w:rsid w:val="007E4060"/>
    <w:rsid w:val="007E42D9"/>
    <w:rsid w:val="007E6300"/>
    <w:rsid w:val="007E723D"/>
    <w:rsid w:val="007F11CD"/>
    <w:rsid w:val="007F38E5"/>
    <w:rsid w:val="007F3AD8"/>
    <w:rsid w:val="007F3D33"/>
    <w:rsid w:val="007F46DC"/>
    <w:rsid w:val="00800CE5"/>
    <w:rsid w:val="00803DE1"/>
    <w:rsid w:val="00805257"/>
    <w:rsid w:val="00805F5F"/>
    <w:rsid w:val="00806486"/>
    <w:rsid w:val="00806761"/>
    <w:rsid w:val="008073E5"/>
    <w:rsid w:val="00807D79"/>
    <w:rsid w:val="00810195"/>
    <w:rsid w:val="008121AD"/>
    <w:rsid w:val="0081225C"/>
    <w:rsid w:val="0081278D"/>
    <w:rsid w:val="00813887"/>
    <w:rsid w:val="00813B82"/>
    <w:rsid w:val="00814CB5"/>
    <w:rsid w:val="00815464"/>
    <w:rsid w:val="008164F1"/>
    <w:rsid w:val="008170F2"/>
    <w:rsid w:val="00821F2D"/>
    <w:rsid w:val="00822BE5"/>
    <w:rsid w:val="00823498"/>
    <w:rsid w:val="00823DBA"/>
    <w:rsid w:val="00824BE8"/>
    <w:rsid w:val="0082505A"/>
    <w:rsid w:val="0083108A"/>
    <w:rsid w:val="00831CFF"/>
    <w:rsid w:val="00833FED"/>
    <w:rsid w:val="0083560A"/>
    <w:rsid w:val="00835A17"/>
    <w:rsid w:val="00835B30"/>
    <w:rsid w:val="008360B0"/>
    <w:rsid w:val="008362B6"/>
    <w:rsid w:val="008363DC"/>
    <w:rsid w:val="0083694A"/>
    <w:rsid w:val="00840D4A"/>
    <w:rsid w:val="008416A5"/>
    <w:rsid w:val="008416E5"/>
    <w:rsid w:val="00841B32"/>
    <w:rsid w:val="00842A5A"/>
    <w:rsid w:val="008438E6"/>
    <w:rsid w:val="00844B76"/>
    <w:rsid w:val="008469FB"/>
    <w:rsid w:val="00847465"/>
    <w:rsid w:val="008505B3"/>
    <w:rsid w:val="008534F2"/>
    <w:rsid w:val="0085751E"/>
    <w:rsid w:val="00861540"/>
    <w:rsid w:val="0086165A"/>
    <w:rsid w:val="00861C55"/>
    <w:rsid w:val="00862116"/>
    <w:rsid w:val="008647EB"/>
    <w:rsid w:val="00871839"/>
    <w:rsid w:val="00874FDF"/>
    <w:rsid w:val="0087571D"/>
    <w:rsid w:val="008769F0"/>
    <w:rsid w:val="00876F05"/>
    <w:rsid w:val="0087709A"/>
    <w:rsid w:val="008803E8"/>
    <w:rsid w:val="008809ED"/>
    <w:rsid w:val="00880BBA"/>
    <w:rsid w:val="008815CC"/>
    <w:rsid w:val="00881672"/>
    <w:rsid w:val="008829AB"/>
    <w:rsid w:val="00883FC1"/>
    <w:rsid w:val="00885699"/>
    <w:rsid w:val="00885FED"/>
    <w:rsid w:val="00886C29"/>
    <w:rsid w:val="0088735F"/>
    <w:rsid w:val="00891188"/>
    <w:rsid w:val="00891215"/>
    <w:rsid w:val="008914BD"/>
    <w:rsid w:val="0089644C"/>
    <w:rsid w:val="008A0072"/>
    <w:rsid w:val="008A03FB"/>
    <w:rsid w:val="008A0CCC"/>
    <w:rsid w:val="008A1154"/>
    <w:rsid w:val="008A1EC2"/>
    <w:rsid w:val="008A4689"/>
    <w:rsid w:val="008A4DC2"/>
    <w:rsid w:val="008A56A8"/>
    <w:rsid w:val="008A5DAB"/>
    <w:rsid w:val="008A6B66"/>
    <w:rsid w:val="008A6C51"/>
    <w:rsid w:val="008B25B9"/>
    <w:rsid w:val="008B4357"/>
    <w:rsid w:val="008B5385"/>
    <w:rsid w:val="008B657E"/>
    <w:rsid w:val="008B68CD"/>
    <w:rsid w:val="008B7388"/>
    <w:rsid w:val="008B797E"/>
    <w:rsid w:val="008B7B89"/>
    <w:rsid w:val="008C1775"/>
    <w:rsid w:val="008C1BB3"/>
    <w:rsid w:val="008D007D"/>
    <w:rsid w:val="008D0393"/>
    <w:rsid w:val="008D2AB5"/>
    <w:rsid w:val="008D2BDB"/>
    <w:rsid w:val="008D50EA"/>
    <w:rsid w:val="008E334C"/>
    <w:rsid w:val="008E386A"/>
    <w:rsid w:val="008E3F2D"/>
    <w:rsid w:val="008E4E0F"/>
    <w:rsid w:val="008F171C"/>
    <w:rsid w:val="008F1750"/>
    <w:rsid w:val="008F1E5E"/>
    <w:rsid w:val="008F4C81"/>
    <w:rsid w:val="008F586C"/>
    <w:rsid w:val="008F6749"/>
    <w:rsid w:val="008F6965"/>
    <w:rsid w:val="008F7887"/>
    <w:rsid w:val="0090192B"/>
    <w:rsid w:val="00901B7E"/>
    <w:rsid w:val="00902F16"/>
    <w:rsid w:val="0090320A"/>
    <w:rsid w:val="009037EB"/>
    <w:rsid w:val="00903D5A"/>
    <w:rsid w:val="00904AE2"/>
    <w:rsid w:val="0090588F"/>
    <w:rsid w:val="0090638C"/>
    <w:rsid w:val="0090793F"/>
    <w:rsid w:val="00910FD0"/>
    <w:rsid w:val="0091151E"/>
    <w:rsid w:val="009152DD"/>
    <w:rsid w:val="00916904"/>
    <w:rsid w:val="00916D88"/>
    <w:rsid w:val="00917356"/>
    <w:rsid w:val="00920E20"/>
    <w:rsid w:val="00922BDB"/>
    <w:rsid w:val="009238E8"/>
    <w:rsid w:val="00925C44"/>
    <w:rsid w:val="00925ECF"/>
    <w:rsid w:val="0092721F"/>
    <w:rsid w:val="0092756C"/>
    <w:rsid w:val="00927964"/>
    <w:rsid w:val="00930708"/>
    <w:rsid w:val="00930AFF"/>
    <w:rsid w:val="00933753"/>
    <w:rsid w:val="00935722"/>
    <w:rsid w:val="00937323"/>
    <w:rsid w:val="0093786A"/>
    <w:rsid w:val="00940A16"/>
    <w:rsid w:val="00940EC8"/>
    <w:rsid w:val="00941A99"/>
    <w:rsid w:val="00944F00"/>
    <w:rsid w:val="00945926"/>
    <w:rsid w:val="00950B2F"/>
    <w:rsid w:val="0095143F"/>
    <w:rsid w:val="0095178D"/>
    <w:rsid w:val="009531E8"/>
    <w:rsid w:val="00953A03"/>
    <w:rsid w:val="00953B68"/>
    <w:rsid w:val="00965093"/>
    <w:rsid w:val="0096600E"/>
    <w:rsid w:val="00967BCE"/>
    <w:rsid w:val="00967CD9"/>
    <w:rsid w:val="00967FBB"/>
    <w:rsid w:val="00971053"/>
    <w:rsid w:val="009723A9"/>
    <w:rsid w:val="009736CC"/>
    <w:rsid w:val="00973961"/>
    <w:rsid w:val="00973F92"/>
    <w:rsid w:val="00977168"/>
    <w:rsid w:val="00980A56"/>
    <w:rsid w:val="00981D0B"/>
    <w:rsid w:val="00982549"/>
    <w:rsid w:val="00982827"/>
    <w:rsid w:val="00982A13"/>
    <w:rsid w:val="00982F51"/>
    <w:rsid w:val="00983239"/>
    <w:rsid w:val="00983613"/>
    <w:rsid w:val="009855C6"/>
    <w:rsid w:val="00985D26"/>
    <w:rsid w:val="009862B6"/>
    <w:rsid w:val="00987596"/>
    <w:rsid w:val="009913F5"/>
    <w:rsid w:val="00992433"/>
    <w:rsid w:val="00993183"/>
    <w:rsid w:val="00993ED3"/>
    <w:rsid w:val="00994318"/>
    <w:rsid w:val="00994449"/>
    <w:rsid w:val="00994B21"/>
    <w:rsid w:val="00995DC0"/>
    <w:rsid w:val="00997A87"/>
    <w:rsid w:val="009A4C77"/>
    <w:rsid w:val="009A5F54"/>
    <w:rsid w:val="009A70E7"/>
    <w:rsid w:val="009B0158"/>
    <w:rsid w:val="009B1C10"/>
    <w:rsid w:val="009B21A7"/>
    <w:rsid w:val="009B5C9B"/>
    <w:rsid w:val="009B6D5E"/>
    <w:rsid w:val="009C16B4"/>
    <w:rsid w:val="009C20D9"/>
    <w:rsid w:val="009C364F"/>
    <w:rsid w:val="009C39D7"/>
    <w:rsid w:val="009C39E3"/>
    <w:rsid w:val="009C4570"/>
    <w:rsid w:val="009C4833"/>
    <w:rsid w:val="009C4BF9"/>
    <w:rsid w:val="009C50CE"/>
    <w:rsid w:val="009D4DDD"/>
    <w:rsid w:val="009D4E68"/>
    <w:rsid w:val="009D5750"/>
    <w:rsid w:val="009D65D3"/>
    <w:rsid w:val="009D6E1D"/>
    <w:rsid w:val="009D79DE"/>
    <w:rsid w:val="009E60A0"/>
    <w:rsid w:val="009E6627"/>
    <w:rsid w:val="009E6F78"/>
    <w:rsid w:val="009E7670"/>
    <w:rsid w:val="009F217A"/>
    <w:rsid w:val="009F29EF"/>
    <w:rsid w:val="009F3ECB"/>
    <w:rsid w:val="009F47DF"/>
    <w:rsid w:val="009F7709"/>
    <w:rsid w:val="00A008E2"/>
    <w:rsid w:val="00A01A06"/>
    <w:rsid w:val="00A02560"/>
    <w:rsid w:val="00A0306B"/>
    <w:rsid w:val="00A04582"/>
    <w:rsid w:val="00A05269"/>
    <w:rsid w:val="00A06D06"/>
    <w:rsid w:val="00A1082D"/>
    <w:rsid w:val="00A1288A"/>
    <w:rsid w:val="00A132A7"/>
    <w:rsid w:val="00A13602"/>
    <w:rsid w:val="00A14786"/>
    <w:rsid w:val="00A14C98"/>
    <w:rsid w:val="00A16405"/>
    <w:rsid w:val="00A16630"/>
    <w:rsid w:val="00A171E6"/>
    <w:rsid w:val="00A17957"/>
    <w:rsid w:val="00A23E42"/>
    <w:rsid w:val="00A23FF2"/>
    <w:rsid w:val="00A248CB"/>
    <w:rsid w:val="00A24C73"/>
    <w:rsid w:val="00A273BC"/>
    <w:rsid w:val="00A27823"/>
    <w:rsid w:val="00A27E1B"/>
    <w:rsid w:val="00A27F3D"/>
    <w:rsid w:val="00A30254"/>
    <w:rsid w:val="00A3094C"/>
    <w:rsid w:val="00A311B9"/>
    <w:rsid w:val="00A31B7A"/>
    <w:rsid w:val="00A32248"/>
    <w:rsid w:val="00A32E9E"/>
    <w:rsid w:val="00A3416B"/>
    <w:rsid w:val="00A35EAD"/>
    <w:rsid w:val="00A36615"/>
    <w:rsid w:val="00A41F1A"/>
    <w:rsid w:val="00A42756"/>
    <w:rsid w:val="00A42AF2"/>
    <w:rsid w:val="00A43AD8"/>
    <w:rsid w:val="00A4400F"/>
    <w:rsid w:val="00A44133"/>
    <w:rsid w:val="00A451FD"/>
    <w:rsid w:val="00A45DBD"/>
    <w:rsid w:val="00A469E5"/>
    <w:rsid w:val="00A46AE6"/>
    <w:rsid w:val="00A476D8"/>
    <w:rsid w:val="00A47AB9"/>
    <w:rsid w:val="00A5098E"/>
    <w:rsid w:val="00A50E29"/>
    <w:rsid w:val="00A51099"/>
    <w:rsid w:val="00A5125A"/>
    <w:rsid w:val="00A51B21"/>
    <w:rsid w:val="00A51FA5"/>
    <w:rsid w:val="00A52115"/>
    <w:rsid w:val="00A53625"/>
    <w:rsid w:val="00A53F51"/>
    <w:rsid w:val="00A54272"/>
    <w:rsid w:val="00A54D61"/>
    <w:rsid w:val="00A55D34"/>
    <w:rsid w:val="00A60CB5"/>
    <w:rsid w:val="00A63BC0"/>
    <w:rsid w:val="00A649AC"/>
    <w:rsid w:val="00A64BE7"/>
    <w:rsid w:val="00A65703"/>
    <w:rsid w:val="00A65934"/>
    <w:rsid w:val="00A67C42"/>
    <w:rsid w:val="00A70B89"/>
    <w:rsid w:val="00A723D3"/>
    <w:rsid w:val="00A72490"/>
    <w:rsid w:val="00A74701"/>
    <w:rsid w:val="00A7719C"/>
    <w:rsid w:val="00A779DF"/>
    <w:rsid w:val="00A81737"/>
    <w:rsid w:val="00A81927"/>
    <w:rsid w:val="00A83893"/>
    <w:rsid w:val="00A861C9"/>
    <w:rsid w:val="00A903DD"/>
    <w:rsid w:val="00A91F1F"/>
    <w:rsid w:val="00A94F4F"/>
    <w:rsid w:val="00A95759"/>
    <w:rsid w:val="00A970DC"/>
    <w:rsid w:val="00A972F5"/>
    <w:rsid w:val="00AA1CB3"/>
    <w:rsid w:val="00AA286F"/>
    <w:rsid w:val="00AA29D3"/>
    <w:rsid w:val="00AA6D70"/>
    <w:rsid w:val="00AA7015"/>
    <w:rsid w:val="00AB2E56"/>
    <w:rsid w:val="00AB3225"/>
    <w:rsid w:val="00AB3A2D"/>
    <w:rsid w:val="00AB4F1A"/>
    <w:rsid w:val="00AB5234"/>
    <w:rsid w:val="00AB5AEC"/>
    <w:rsid w:val="00AB643D"/>
    <w:rsid w:val="00AC00BC"/>
    <w:rsid w:val="00AC0B60"/>
    <w:rsid w:val="00AC233F"/>
    <w:rsid w:val="00AC2CAF"/>
    <w:rsid w:val="00AC4237"/>
    <w:rsid w:val="00AC5E26"/>
    <w:rsid w:val="00AC74AB"/>
    <w:rsid w:val="00AC7797"/>
    <w:rsid w:val="00AD0853"/>
    <w:rsid w:val="00AD10C7"/>
    <w:rsid w:val="00AD3ADF"/>
    <w:rsid w:val="00AD4734"/>
    <w:rsid w:val="00AD5FD5"/>
    <w:rsid w:val="00AD6DF6"/>
    <w:rsid w:val="00AD7153"/>
    <w:rsid w:val="00AE1EAD"/>
    <w:rsid w:val="00AE2CA2"/>
    <w:rsid w:val="00AE58DD"/>
    <w:rsid w:val="00AE59CC"/>
    <w:rsid w:val="00AE5F89"/>
    <w:rsid w:val="00AE79F6"/>
    <w:rsid w:val="00AF025C"/>
    <w:rsid w:val="00AF32BE"/>
    <w:rsid w:val="00AF5E2F"/>
    <w:rsid w:val="00AF77DB"/>
    <w:rsid w:val="00AF7EAD"/>
    <w:rsid w:val="00B073F5"/>
    <w:rsid w:val="00B10666"/>
    <w:rsid w:val="00B113A2"/>
    <w:rsid w:val="00B11DF8"/>
    <w:rsid w:val="00B13C62"/>
    <w:rsid w:val="00B13F71"/>
    <w:rsid w:val="00B1475D"/>
    <w:rsid w:val="00B17ABC"/>
    <w:rsid w:val="00B2037B"/>
    <w:rsid w:val="00B20B15"/>
    <w:rsid w:val="00B22520"/>
    <w:rsid w:val="00B2290E"/>
    <w:rsid w:val="00B232CC"/>
    <w:rsid w:val="00B2338B"/>
    <w:rsid w:val="00B23510"/>
    <w:rsid w:val="00B2464B"/>
    <w:rsid w:val="00B27726"/>
    <w:rsid w:val="00B30ECE"/>
    <w:rsid w:val="00B32737"/>
    <w:rsid w:val="00B33C33"/>
    <w:rsid w:val="00B34385"/>
    <w:rsid w:val="00B36987"/>
    <w:rsid w:val="00B37493"/>
    <w:rsid w:val="00B375A0"/>
    <w:rsid w:val="00B37BFD"/>
    <w:rsid w:val="00B4131B"/>
    <w:rsid w:val="00B41FD4"/>
    <w:rsid w:val="00B45F1F"/>
    <w:rsid w:val="00B4667A"/>
    <w:rsid w:val="00B46B21"/>
    <w:rsid w:val="00B50929"/>
    <w:rsid w:val="00B52079"/>
    <w:rsid w:val="00B53E22"/>
    <w:rsid w:val="00B5402E"/>
    <w:rsid w:val="00B55357"/>
    <w:rsid w:val="00B55A76"/>
    <w:rsid w:val="00B56AE1"/>
    <w:rsid w:val="00B57437"/>
    <w:rsid w:val="00B61FBC"/>
    <w:rsid w:val="00B63CA4"/>
    <w:rsid w:val="00B63D1C"/>
    <w:rsid w:val="00B64B12"/>
    <w:rsid w:val="00B674B2"/>
    <w:rsid w:val="00B70156"/>
    <w:rsid w:val="00B738D2"/>
    <w:rsid w:val="00B73929"/>
    <w:rsid w:val="00B73A44"/>
    <w:rsid w:val="00B73CAD"/>
    <w:rsid w:val="00B805D8"/>
    <w:rsid w:val="00B80A90"/>
    <w:rsid w:val="00B82F47"/>
    <w:rsid w:val="00B835AD"/>
    <w:rsid w:val="00B839F0"/>
    <w:rsid w:val="00B83C44"/>
    <w:rsid w:val="00B84585"/>
    <w:rsid w:val="00B87A2C"/>
    <w:rsid w:val="00B92479"/>
    <w:rsid w:val="00B92F4C"/>
    <w:rsid w:val="00B93E24"/>
    <w:rsid w:val="00B95B7F"/>
    <w:rsid w:val="00B96396"/>
    <w:rsid w:val="00B96810"/>
    <w:rsid w:val="00B973E9"/>
    <w:rsid w:val="00BA16C9"/>
    <w:rsid w:val="00BA2770"/>
    <w:rsid w:val="00BA2F8D"/>
    <w:rsid w:val="00BA4A1F"/>
    <w:rsid w:val="00BA5181"/>
    <w:rsid w:val="00BA51D3"/>
    <w:rsid w:val="00BA5DE5"/>
    <w:rsid w:val="00BB1BB8"/>
    <w:rsid w:val="00BB1D33"/>
    <w:rsid w:val="00BB27C3"/>
    <w:rsid w:val="00BB32CC"/>
    <w:rsid w:val="00BB5910"/>
    <w:rsid w:val="00BB5AB9"/>
    <w:rsid w:val="00BB5ED0"/>
    <w:rsid w:val="00BB625F"/>
    <w:rsid w:val="00BB6C97"/>
    <w:rsid w:val="00BB711C"/>
    <w:rsid w:val="00BC23C2"/>
    <w:rsid w:val="00BC3924"/>
    <w:rsid w:val="00BC5107"/>
    <w:rsid w:val="00BC785F"/>
    <w:rsid w:val="00BD0CCD"/>
    <w:rsid w:val="00BD19A2"/>
    <w:rsid w:val="00BD1D95"/>
    <w:rsid w:val="00BD3DBF"/>
    <w:rsid w:val="00BD5225"/>
    <w:rsid w:val="00BD6C04"/>
    <w:rsid w:val="00BE0482"/>
    <w:rsid w:val="00BE1E80"/>
    <w:rsid w:val="00BE300D"/>
    <w:rsid w:val="00BE40A2"/>
    <w:rsid w:val="00BE42C4"/>
    <w:rsid w:val="00BE6CC2"/>
    <w:rsid w:val="00BE6F91"/>
    <w:rsid w:val="00BE7C04"/>
    <w:rsid w:val="00BF01CB"/>
    <w:rsid w:val="00BF1882"/>
    <w:rsid w:val="00BF2896"/>
    <w:rsid w:val="00BF40A1"/>
    <w:rsid w:val="00BF4407"/>
    <w:rsid w:val="00BF544C"/>
    <w:rsid w:val="00C01087"/>
    <w:rsid w:val="00C01BC2"/>
    <w:rsid w:val="00C0293E"/>
    <w:rsid w:val="00C03B2F"/>
    <w:rsid w:val="00C03D5D"/>
    <w:rsid w:val="00C03E12"/>
    <w:rsid w:val="00C0649C"/>
    <w:rsid w:val="00C078CA"/>
    <w:rsid w:val="00C12B64"/>
    <w:rsid w:val="00C1328C"/>
    <w:rsid w:val="00C178E1"/>
    <w:rsid w:val="00C228B4"/>
    <w:rsid w:val="00C2329F"/>
    <w:rsid w:val="00C23318"/>
    <w:rsid w:val="00C23A3D"/>
    <w:rsid w:val="00C23E48"/>
    <w:rsid w:val="00C240F5"/>
    <w:rsid w:val="00C2688B"/>
    <w:rsid w:val="00C26DD3"/>
    <w:rsid w:val="00C2776E"/>
    <w:rsid w:val="00C3027F"/>
    <w:rsid w:val="00C30CF4"/>
    <w:rsid w:val="00C3180E"/>
    <w:rsid w:val="00C32417"/>
    <w:rsid w:val="00C334DE"/>
    <w:rsid w:val="00C334E4"/>
    <w:rsid w:val="00C34C0E"/>
    <w:rsid w:val="00C34E41"/>
    <w:rsid w:val="00C3501D"/>
    <w:rsid w:val="00C36844"/>
    <w:rsid w:val="00C37145"/>
    <w:rsid w:val="00C43CCC"/>
    <w:rsid w:val="00C44EE9"/>
    <w:rsid w:val="00C457BE"/>
    <w:rsid w:val="00C462A6"/>
    <w:rsid w:val="00C4649E"/>
    <w:rsid w:val="00C46CF8"/>
    <w:rsid w:val="00C50244"/>
    <w:rsid w:val="00C5074D"/>
    <w:rsid w:val="00C50831"/>
    <w:rsid w:val="00C53549"/>
    <w:rsid w:val="00C54021"/>
    <w:rsid w:val="00C54267"/>
    <w:rsid w:val="00C56C9A"/>
    <w:rsid w:val="00C56FCF"/>
    <w:rsid w:val="00C5756E"/>
    <w:rsid w:val="00C57845"/>
    <w:rsid w:val="00C61F57"/>
    <w:rsid w:val="00C651BB"/>
    <w:rsid w:val="00C65735"/>
    <w:rsid w:val="00C70F97"/>
    <w:rsid w:val="00C80BBD"/>
    <w:rsid w:val="00C827A6"/>
    <w:rsid w:val="00C82A91"/>
    <w:rsid w:val="00C8357B"/>
    <w:rsid w:val="00C8705D"/>
    <w:rsid w:val="00C907D6"/>
    <w:rsid w:val="00C90CB8"/>
    <w:rsid w:val="00C91FFE"/>
    <w:rsid w:val="00C931A2"/>
    <w:rsid w:val="00C9652A"/>
    <w:rsid w:val="00CA0197"/>
    <w:rsid w:val="00CA0565"/>
    <w:rsid w:val="00CA0C4F"/>
    <w:rsid w:val="00CA0FA2"/>
    <w:rsid w:val="00CA18CE"/>
    <w:rsid w:val="00CA1DAB"/>
    <w:rsid w:val="00CA43AE"/>
    <w:rsid w:val="00CA5D25"/>
    <w:rsid w:val="00CA7959"/>
    <w:rsid w:val="00CA7C0D"/>
    <w:rsid w:val="00CB01A5"/>
    <w:rsid w:val="00CB3D3B"/>
    <w:rsid w:val="00CB3EB5"/>
    <w:rsid w:val="00CB542D"/>
    <w:rsid w:val="00CB555D"/>
    <w:rsid w:val="00CB59D5"/>
    <w:rsid w:val="00CB5C7D"/>
    <w:rsid w:val="00CC3F9C"/>
    <w:rsid w:val="00CC56B1"/>
    <w:rsid w:val="00CC6214"/>
    <w:rsid w:val="00CC6DAD"/>
    <w:rsid w:val="00CC6FE9"/>
    <w:rsid w:val="00CD02EB"/>
    <w:rsid w:val="00CD167A"/>
    <w:rsid w:val="00CD177E"/>
    <w:rsid w:val="00CD22CC"/>
    <w:rsid w:val="00CD3162"/>
    <w:rsid w:val="00CD4832"/>
    <w:rsid w:val="00CD49B4"/>
    <w:rsid w:val="00CD53CB"/>
    <w:rsid w:val="00CD6E5B"/>
    <w:rsid w:val="00CD7402"/>
    <w:rsid w:val="00CD7743"/>
    <w:rsid w:val="00CE2651"/>
    <w:rsid w:val="00CE2B1D"/>
    <w:rsid w:val="00CE60C1"/>
    <w:rsid w:val="00CF0924"/>
    <w:rsid w:val="00CF0F34"/>
    <w:rsid w:val="00CF1D05"/>
    <w:rsid w:val="00CF3EAA"/>
    <w:rsid w:val="00CF68B1"/>
    <w:rsid w:val="00CF6D76"/>
    <w:rsid w:val="00CF757F"/>
    <w:rsid w:val="00D0289A"/>
    <w:rsid w:val="00D02BAE"/>
    <w:rsid w:val="00D02EBF"/>
    <w:rsid w:val="00D03FBC"/>
    <w:rsid w:val="00D040E0"/>
    <w:rsid w:val="00D069DE"/>
    <w:rsid w:val="00D0701E"/>
    <w:rsid w:val="00D10C36"/>
    <w:rsid w:val="00D14E63"/>
    <w:rsid w:val="00D1550E"/>
    <w:rsid w:val="00D15969"/>
    <w:rsid w:val="00D21D32"/>
    <w:rsid w:val="00D2338C"/>
    <w:rsid w:val="00D23D3E"/>
    <w:rsid w:val="00D24C9A"/>
    <w:rsid w:val="00D257EF"/>
    <w:rsid w:val="00D258F0"/>
    <w:rsid w:val="00D264DF"/>
    <w:rsid w:val="00D26742"/>
    <w:rsid w:val="00D2752B"/>
    <w:rsid w:val="00D275F9"/>
    <w:rsid w:val="00D3091C"/>
    <w:rsid w:val="00D322EF"/>
    <w:rsid w:val="00D33046"/>
    <w:rsid w:val="00D3428E"/>
    <w:rsid w:val="00D34B73"/>
    <w:rsid w:val="00D357A9"/>
    <w:rsid w:val="00D360DD"/>
    <w:rsid w:val="00D3778E"/>
    <w:rsid w:val="00D425EB"/>
    <w:rsid w:val="00D42AD5"/>
    <w:rsid w:val="00D432C4"/>
    <w:rsid w:val="00D4448A"/>
    <w:rsid w:val="00D44729"/>
    <w:rsid w:val="00D451A5"/>
    <w:rsid w:val="00D45AEC"/>
    <w:rsid w:val="00D46407"/>
    <w:rsid w:val="00D520B2"/>
    <w:rsid w:val="00D5211A"/>
    <w:rsid w:val="00D525FA"/>
    <w:rsid w:val="00D52BC2"/>
    <w:rsid w:val="00D52D38"/>
    <w:rsid w:val="00D537CF"/>
    <w:rsid w:val="00D54B0C"/>
    <w:rsid w:val="00D55ACD"/>
    <w:rsid w:val="00D57B75"/>
    <w:rsid w:val="00D60CD7"/>
    <w:rsid w:val="00D6265F"/>
    <w:rsid w:val="00D62D35"/>
    <w:rsid w:val="00D64A3F"/>
    <w:rsid w:val="00D64A54"/>
    <w:rsid w:val="00D64E60"/>
    <w:rsid w:val="00D66708"/>
    <w:rsid w:val="00D67F55"/>
    <w:rsid w:val="00D7094E"/>
    <w:rsid w:val="00D72A3E"/>
    <w:rsid w:val="00D73259"/>
    <w:rsid w:val="00D73B56"/>
    <w:rsid w:val="00D7511C"/>
    <w:rsid w:val="00D7533E"/>
    <w:rsid w:val="00D75603"/>
    <w:rsid w:val="00D756F9"/>
    <w:rsid w:val="00D8006F"/>
    <w:rsid w:val="00D80E69"/>
    <w:rsid w:val="00D8299E"/>
    <w:rsid w:val="00D82FDB"/>
    <w:rsid w:val="00D83710"/>
    <w:rsid w:val="00D8527E"/>
    <w:rsid w:val="00D8596C"/>
    <w:rsid w:val="00D85EA4"/>
    <w:rsid w:val="00D86813"/>
    <w:rsid w:val="00D86C3C"/>
    <w:rsid w:val="00D87C1B"/>
    <w:rsid w:val="00D9198F"/>
    <w:rsid w:val="00D9280D"/>
    <w:rsid w:val="00D93088"/>
    <w:rsid w:val="00D934CE"/>
    <w:rsid w:val="00D934F2"/>
    <w:rsid w:val="00D9485A"/>
    <w:rsid w:val="00D96130"/>
    <w:rsid w:val="00D96E3E"/>
    <w:rsid w:val="00D96F61"/>
    <w:rsid w:val="00D97FF5"/>
    <w:rsid w:val="00DA0683"/>
    <w:rsid w:val="00DA118F"/>
    <w:rsid w:val="00DA2A54"/>
    <w:rsid w:val="00DA421F"/>
    <w:rsid w:val="00DA55B4"/>
    <w:rsid w:val="00DA5BFA"/>
    <w:rsid w:val="00DA62C4"/>
    <w:rsid w:val="00DA6B60"/>
    <w:rsid w:val="00DB0334"/>
    <w:rsid w:val="00DB0448"/>
    <w:rsid w:val="00DB13BE"/>
    <w:rsid w:val="00DB175E"/>
    <w:rsid w:val="00DB2CAF"/>
    <w:rsid w:val="00DB2FA9"/>
    <w:rsid w:val="00DB5C31"/>
    <w:rsid w:val="00DC4BB9"/>
    <w:rsid w:val="00DC651D"/>
    <w:rsid w:val="00DC657E"/>
    <w:rsid w:val="00DD075F"/>
    <w:rsid w:val="00DD356A"/>
    <w:rsid w:val="00DD3CE8"/>
    <w:rsid w:val="00DD4EF1"/>
    <w:rsid w:val="00DD52E2"/>
    <w:rsid w:val="00DD5ABA"/>
    <w:rsid w:val="00DD6338"/>
    <w:rsid w:val="00DD7126"/>
    <w:rsid w:val="00DE04E6"/>
    <w:rsid w:val="00DE1D8B"/>
    <w:rsid w:val="00DE2775"/>
    <w:rsid w:val="00DE33C8"/>
    <w:rsid w:val="00DE3E16"/>
    <w:rsid w:val="00DE4EBD"/>
    <w:rsid w:val="00DE4ED8"/>
    <w:rsid w:val="00DE628D"/>
    <w:rsid w:val="00DE6388"/>
    <w:rsid w:val="00DE673D"/>
    <w:rsid w:val="00DE7951"/>
    <w:rsid w:val="00DF15A0"/>
    <w:rsid w:val="00DF1DCD"/>
    <w:rsid w:val="00DF3229"/>
    <w:rsid w:val="00DF3CD1"/>
    <w:rsid w:val="00DF45F3"/>
    <w:rsid w:val="00DF57A9"/>
    <w:rsid w:val="00DF6F64"/>
    <w:rsid w:val="00DF7A89"/>
    <w:rsid w:val="00E003AE"/>
    <w:rsid w:val="00E021D4"/>
    <w:rsid w:val="00E022E9"/>
    <w:rsid w:val="00E02B55"/>
    <w:rsid w:val="00E03B65"/>
    <w:rsid w:val="00E03D66"/>
    <w:rsid w:val="00E06C05"/>
    <w:rsid w:val="00E074A1"/>
    <w:rsid w:val="00E07CC5"/>
    <w:rsid w:val="00E109D8"/>
    <w:rsid w:val="00E1138B"/>
    <w:rsid w:val="00E11BFE"/>
    <w:rsid w:val="00E156D9"/>
    <w:rsid w:val="00E16877"/>
    <w:rsid w:val="00E1742A"/>
    <w:rsid w:val="00E17831"/>
    <w:rsid w:val="00E20032"/>
    <w:rsid w:val="00E202AA"/>
    <w:rsid w:val="00E202E7"/>
    <w:rsid w:val="00E2136D"/>
    <w:rsid w:val="00E21E0D"/>
    <w:rsid w:val="00E2376D"/>
    <w:rsid w:val="00E23F65"/>
    <w:rsid w:val="00E26918"/>
    <w:rsid w:val="00E300BE"/>
    <w:rsid w:val="00E31827"/>
    <w:rsid w:val="00E33D97"/>
    <w:rsid w:val="00E34882"/>
    <w:rsid w:val="00E35584"/>
    <w:rsid w:val="00E359A3"/>
    <w:rsid w:val="00E3604F"/>
    <w:rsid w:val="00E369FC"/>
    <w:rsid w:val="00E40DCF"/>
    <w:rsid w:val="00E41D68"/>
    <w:rsid w:val="00E4305F"/>
    <w:rsid w:val="00E45334"/>
    <w:rsid w:val="00E46855"/>
    <w:rsid w:val="00E504DF"/>
    <w:rsid w:val="00E5182C"/>
    <w:rsid w:val="00E51AC7"/>
    <w:rsid w:val="00E52CCF"/>
    <w:rsid w:val="00E52E32"/>
    <w:rsid w:val="00E52F77"/>
    <w:rsid w:val="00E53514"/>
    <w:rsid w:val="00E539AB"/>
    <w:rsid w:val="00E54B5C"/>
    <w:rsid w:val="00E551A2"/>
    <w:rsid w:val="00E55C1F"/>
    <w:rsid w:val="00E56582"/>
    <w:rsid w:val="00E57159"/>
    <w:rsid w:val="00E5785A"/>
    <w:rsid w:val="00E6010D"/>
    <w:rsid w:val="00E603C3"/>
    <w:rsid w:val="00E618F3"/>
    <w:rsid w:val="00E66AC2"/>
    <w:rsid w:val="00E670F7"/>
    <w:rsid w:val="00E703B3"/>
    <w:rsid w:val="00E72C01"/>
    <w:rsid w:val="00E73DE1"/>
    <w:rsid w:val="00E74B83"/>
    <w:rsid w:val="00E74DA3"/>
    <w:rsid w:val="00E762A1"/>
    <w:rsid w:val="00E77B9E"/>
    <w:rsid w:val="00E80C95"/>
    <w:rsid w:val="00E80FBA"/>
    <w:rsid w:val="00E82831"/>
    <w:rsid w:val="00E838E2"/>
    <w:rsid w:val="00E84B5F"/>
    <w:rsid w:val="00E85751"/>
    <w:rsid w:val="00E86360"/>
    <w:rsid w:val="00E8716D"/>
    <w:rsid w:val="00E90915"/>
    <w:rsid w:val="00E91182"/>
    <w:rsid w:val="00E91CEE"/>
    <w:rsid w:val="00E91D2D"/>
    <w:rsid w:val="00E92735"/>
    <w:rsid w:val="00E946C0"/>
    <w:rsid w:val="00E94FFA"/>
    <w:rsid w:val="00E95FD3"/>
    <w:rsid w:val="00E97509"/>
    <w:rsid w:val="00E9774B"/>
    <w:rsid w:val="00EA0251"/>
    <w:rsid w:val="00EA2EC8"/>
    <w:rsid w:val="00EA3A62"/>
    <w:rsid w:val="00EA58F0"/>
    <w:rsid w:val="00EA6835"/>
    <w:rsid w:val="00EA6CE1"/>
    <w:rsid w:val="00EB065A"/>
    <w:rsid w:val="00EB15AF"/>
    <w:rsid w:val="00EB2176"/>
    <w:rsid w:val="00EB233D"/>
    <w:rsid w:val="00EB26F8"/>
    <w:rsid w:val="00EB3A1A"/>
    <w:rsid w:val="00EB3CAB"/>
    <w:rsid w:val="00EB5B36"/>
    <w:rsid w:val="00EB6095"/>
    <w:rsid w:val="00EB6B8E"/>
    <w:rsid w:val="00EB74D2"/>
    <w:rsid w:val="00EB792A"/>
    <w:rsid w:val="00EC2BDB"/>
    <w:rsid w:val="00EC2DF2"/>
    <w:rsid w:val="00EC6458"/>
    <w:rsid w:val="00EC6C73"/>
    <w:rsid w:val="00EC75FB"/>
    <w:rsid w:val="00ED02BC"/>
    <w:rsid w:val="00ED0CEC"/>
    <w:rsid w:val="00ED5287"/>
    <w:rsid w:val="00ED6358"/>
    <w:rsid w:val="00ED65C7"/>
    <w:rsid w:val="00EE0ABF"/>
    <w:rsid w:val="00EE1F4B"/>
    <w:rsid w:val="00EE53C4"/>
    <w:rsid w:val="00EE58D2"/>
    <w:rsid w:val="00EE6CDC"/>
    <w:rsid w:val="00EE763F"/>
    <w:rsid w:val="00EE7F2B"/>
    <w:rsid w:val="00EE7F38"/>
    <w:rsid w:val="00EF294E"/>
    <w:rsid w:val="00EF3332"/>
    <w:rsid w:val="00EF3939"/>
    <w:rsid w:val="00EF3EFD"/>
    <w:rsid w:val="00EF4F06"/>
    <w:rsid w:val="00EF5701"/>
    <w:rsid w:val="00EF5ADA"/>
    <w:rsid w:val="00EF694A"/>
    <w:rsid w:val="00EF7E0C"/>
    <w:rsid w:val="00F012D1"/>
    <w:rsid w:val="00F02350"/>
    <w:rsid w:val="00F0261E"/>
    <w:rsid w:val="00F02DDD"/>
    <w:rsid w:val="00F02F64"/>
    <w:rsid w:val="00F04AAC"/>
    <w:rsid w:val="00F05D8A"/>
    <w:rsid w:val="00F065AE"/>
    <w:rsid w:val="00F111A9"/>
    <w:rsid w:val="00F11A96"/>
    <w:rsid w:val="00F133F1"/>
    <w:rsid w:val="00F1416B"/>
    <w:rsid w:val="00F14B04"/>
    <w:rsid w:val="00F16F4C"/>
    <w:rsid w:val="00F20085"/>
    <w:rsid w:val="00F203AC"/>
    <w:rsid w:val="00F211ED"/>
    <w:rsid w:val="00F24180"/>
    <w:rsid w:val="00F25162"/>
    <w:rsid w:val="00F27865"/>
    <w:rsid w:val="00F3175A"/>
    <w:rsid w:val="00F31E3A"/>
    <w:rsid w:val="00F34913"/>
    <w:rsid w:val="00F3798D"/>
    <w:rsid w:val="00F41149"/>
    <w:rsid w:val="00F41E71"/>
    <w:rsid w:val="00F4217F"/>
    <w:rsid w:val="00F42EA8"/>
    <w:rsid w:val="00F43035"/>
    <w:rsid w:val="00F45C9B"/>
    <w:rsid w:val="00F47295"/>
    <w:rsid w:val="00F47456"/>
    <w:rsid w:val="00F4758D"/>
    <w:rsid w:val="00F510B7"/>
    <w:rsid w:val="00F517F3"/>
    <w:rsid w:val="00F52922"/>
    <w:rsid w:val="00F548DC"/>
    <w:rsid w:val="00F554E3"/>
    <w:rsid w:val="00F56907"/>
    <w:rsid w:val="00F571E0"/>
    <w:rsid w:val="00F57249"/>
    <w:rsid w:val="00F57924"/>
    <w:rsid w:val="00F57FF1"/>
    <w:rsid w:val="00F61546"/>
    <w:rsid w:val="00F616C3"/>
    <w:rsid w:val="00F61CB5"/>
    <w:rsid w:val="00F62947"/>
    <w:rsid w:val="00F62E9C"/>
    <w:rsid w:val="00F64531"/>
    <w:rsid w:val="00F6528E"/>
    <w:rsid w:val="00F655A2"/>
    <w:rsid w:val="00F66B5C"/>
    <w:rsid w:val="00F72144"/>
    <w:rsid w:val="00F728E3"/>
    <w:rsid w:val="00F735A1"/>
    <w:rsid w:val="00F7550F"/>
    <w:rsid w:val="00F7655A"/>
    <w:rsid w:val="00F767DB"/>
    <w:rsid w:val="00F76DC2"/>
    <w:rsid w:val="00F776CB"/>
    <w:rsid w:val="00F77716"/>
    <w:rsid w:val="00F80260"/>
    <w:rsid w:val="00F83D5D"/>
    <w:rsid w:val="00F86D6E"/>
    <w:rsid w:val="00F873E2"/>
    <w:rsid w:val="00F901F0"/>
    <w:rsid w:val="00F92F0D"/>
    <w:rsid w:val="00F93EF8"/>
    <w:rsid w:val="00F9465E"/>
    <w:rsid w:val="00F94B29"/>
    <w:rsid w:val="00F95724"/>
    <w:rsid w:val="00F966F6"/>
    <w:rsid w:val="00FA1A77"/>
    <w:rsid w:val="00FA23EB"/>
    <w:rsid w:val="00FA36B9"/>
    <w:rsid w:val="00FA3A64"/>
    <w:rsid w:val="00FA4BB9"/>
    <w:rsid w:val="00FA4CF5"/>
    <w:rsid w:val="00FA557E"/>
    <w:rsid w:val="00FB1039"/>
    <w:rsid w:val="00FB1FF9"/>
    <w:rsid w:val="00FB6FDF"/>
    <w:rsid w:val="00FC02D5"/>
    <w:rsid w:val="00FC3CF1"/>
    <w:rsid w:val="00FC5435"/>
    <w:rsid w:val="00FC5837"/>
    <w:rsid w:val="00FC5D03"/>
    <w:rsid w:val="00FC6055"/>
    <w:rsid w:val="00FD1A0F"/>
    <w:rsid w:val="00FD2383"/>
    <w:rsid w:val="00FD36CD"/>
    <w:rsid w:val="00FD529F"/>
    <w:rsid w:val="00FD59B0"/>
    <w:rsid w:val="00FD5A9A"/>
    <w:rsid w:val="00FD7464"/>
    <w:rsid w:val="00FD7A5D"/>
    <w:rsid w:val="00FE317B"/>
    <w:rsid w:val="00FE436E"/>
    <w:rsid w:val="00FF0E21"/>
    <w:rsid w:val="00FF0E92"/>
    <w:rsid w:val="00FF264E"/>
    <w:rsid w:val="00FF2E3D"/>
    <w:rsid w:val="00FF5AFD"/>
    <w:rsid w:val="00FF5E9E"/>
    <w:rsid w:val="00FF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9977"/>
  <w15:chartTrackingRefBased/>
  <w15:docId w15:val="{6D672D15-A6AB-4710-B6B4-323C81F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32DF"/>
    <w:pPr>
      <w:spacing w:after="200" w:line="240" w:lineRule="auto"/>
    </w:pPr>
    <w:rPr>
      <w:i/>
      <w:iCs/>
      <w:color w:val="44546A" w:themeColor="text2"/>
      <w:sz w:val="18"/>
      <w:szCs w:val="18"/>
    </w:rPr>
  </w:style>
  <w:style w:type="table" w:styleId="GridTable6Colorful-Accent5">
    <w:name w:val="Grid Table 6 Colorful Accent 5"/>
    <w:basedOn w:val="TableNormal"/>
    <w:uiPriority w:val="51"/>
    <w:rsid w:val="002E32D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List">
    <w:name w:val="Light List"/>
    <w:basedOn w:val="TableNormal"/>
    <w:uiPriority w:val="61"/>
    <w:rsid w:val="00D34B7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B073F5"/>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fontstyle01">
    <w:name w:val="fontstyle01"/>
    <w:basedOn w:val="DefaultParagraphFont"/>
    <w:qFormat/>
    <w:rsid w:val="00B073F5"/>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B073F5"/>
  </w:style>
  <w:style w:type="character" w:customStyle="1" w:styleId="fontstyle21">
    <w:name w:val="fontstyle21"/>
    <w:basedOn w:val="DefaultParagraphFont"/>
    <w:rsid w:val="00B073F5"/>
    <w:rPr>
      <w:rFonts w:ascii="T44" w:hAnsi="T44" w:hint="default"/>
      <w:b w:val="0"/>
      <w:bCs w:val="0"/>
      <w:i w:val="0"/>
      <w:iCs w:val="0"/>
      <w:color w:val="000000"/>
      <w:sz w:val="14"/>
      <w:szCs w:val="14"/>
    </w:rPr>
  </w:style>
  <w:style w:type="table" w:styleId="TableGridLight">
    <w:name w:val="Grid Table Light"/>
    <w:basedOn w:val="TableNormal"/>
    <w:uiPriority w:val="40"/>
    <w:rsid w:val="00B07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C3180E"/>
    <w:pPr>
      <w:ind w:left="720"/>
      <w:contextualSpacing/>
    </w:pPr>
  </w:style>
  <w:style w:type="paragraph" w:styleId="Header">
    <w:name w:val="header"/>
    <w:basedOn w:val="Normal"/>
    <w:link w:val="HeaderChar"/>
    <w:uiPriority w:val="99"/>
    <w:unhideWhenUsed/>
    <w:rsid w:val="000C2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297E"/>
  </w:style>
  <w:style w:type="paragraph" w:styleId="Footer">
    <w:name w:val="footer"/>
    <w:basedOn w:val="Normal"/>
    <w:link w:val="FooterChar"/>
    <w:uiPriority w:val="99"/>
    <w:unhideWhenUsed/>
    <w:rsid w:val="000C2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297E"/>
  </w:style>
  <w:style w:type="character" w:styleId="PlaceholderText">
    <w:name w:val="Placeholder Text"/>
    <w:basedOn w:val="DefaultParagraphFont"/>
    <w:uiPriority w:val="99"/>
    <w:semiHidden/>
    <w:rsid w:val="0035688B"/>
    <w:rPr>
      <w:color w:val="808080"/>
    </w:rPr>
  </w:style>
  <w:style w:type="character" w:styleId="Strong">
    <w:name w:val="Strong"/>
    <w:basedOn w:val="DefaultParagraphFont"/>
    <w:uiPriority w:val="22"/>
    <w:qFormat/>
    <w:rsid w:val="00FA557E"/>
    <w:rPr>
      <w:b/>
      <w:bCs/>
    </w:rPr>
  </w:style>
  <w:style w:type="character" w:styleId="Emphasis">
    <w:name w:val="Emphasis"/>
    <w:basedOn w:val="DefaultParagraphFont"/>
    <w:uiPriority w:val="20"/>
    <w:qFormat/>
    <w:rsid w:val="00FA557E"/>
    <w:rPr>
      <w:i/>
      <w:iCs/>
    </w:rPr>
  </w:style>
  <w:style w:type="character" w:styleId="Hyperlink">
    <w:name w:val="Hyperlink"/>
    <w:basedOn w:val="DefaultParagraphFont"/>
    <w:uiPriority w:val="99"/>
    <w:unhideWhenUsed/>
    <w:rsid w:val="00E91182"/>
    <w:rPr>
      <w:color w:val="0000FF"/>
      <w:u w:val="single"/>
    </w:rPr>
  </w:style>
  <w:style w:type="character" w:styleId="LineNumber">
    <w:name w:val="line number"/>
    <w:basedOn w:val="DefaultParagraphFont"/>
    <w:uiPriority w:val="99"/>
    <w:semiHidden/>
    <w:unhideWhenUsed/>
    <w:rsid w:val="00B30ECE"/>
  </w:style>
  <w:style w:type="character" w:customStyle="1" w:styleId="ListParagraphChar">
    <w:name w:val="List Paragraph Char"/>
    <w:link w:val="ListParagraph"/>
    <w:uiPriority w:val="1"/>
    <w:rsid w:val="00C03B2F"/>
  </w:style>
  <w:style w:type="paragraph" w:styleId="BalloonText">
    <w:name w:val="Balloon Text"/>
    <w:basedOn w:val="Normal"/>
    <w:link w:val="BalloonTextChar"/>
    <w:uiPriority w:val="99"/>
    <w:semiHidden/>
    <w:unhideWhenUsed/>
    <w:rsid w:val="00A91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1F"/>
    <w:rPr>
      <w:rFonts w:ascii="Segoe UI" w:hAnsi="Segoe UI" w:cs="Segoe UI"/>
      <w:sz w:val="18"/>
      <w:szCs w:val="18"/>
    </w:rPr>
  </w:style>
  <w:style w:type="character" w:styleId="UnresolvedMention">
    <w:name w:val="Unresolved Mention"/>
    <w:basedOn w:val="DefaultParagraphFont"/>
    <w:uiPriority w:val="99"/>
    <w:semiHidden/>
    <w:unhideWhenUsed/>
    <w:rsid w:val="002E4B0D"/>
    <w:rPr>
      <w:color w:val="605E5C"/>
      <w:shd w:val="clear" w:color="auto" w:fill="E1DFDD"/>
    </w:rPr>
  </w:style>
  <w:style w:type="paragraph" w:styleId="FootnoteText">
    <w:name w:val="footnote text"/>
    <w:basedOn w:val="Normal"/>
    <w:link w:val="FootnoteTextChar"/>
    <w:uiPriority w:val="99"/>
    <w:semiHidden/>
    <w:unhideWhenUsed/>
    <w:rsid w:val="004B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8CD"/>
    <w:rPr>
      <w:sz w:val="20"/>
      <w:szCs w:val="20"/>
    </w:rPr>
  </w:style>
  <w:style w:type="character" w:styleId="FootnoteReference">
    <w:name w:val="footnote reference"/>
    <w:basedOn w:val="DefaultParagraphFont"/>
    <w:uiPriority w:val="99"/>
    <w:semiHidden/>
    <w:unhideWhenUsed/>
    <w:rsid w:val="004B2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403">
      <w:bodyDiv w:val="1"/>
      <w:marLeft w:val="0"/>
      <w:marRight w:val="0"/>
      <w:marTop w:val="0"/>
      <w:marBottom w:val="0"/>
      <w:divBdr>
        <w:top w:val="none" w:sz="0" w:space="0" w:color="auto"/>
        <w:left w:val="none" w:sz="0" w:space="0" w:color="auto"/>
        <w:bottom w:val="none" w:sz="0" w:space="0" w:color="auto"/>
        <w:right w:val="none" w:sz="0" w:space="0" w:color="auto"/>
      </w:divBdr>
      <w:divsChild>
        <w:div w:id="614596975">
          <w:marLeft w:val="0"/>
          <w:marRight w:val="0"/>
          <w:marTop w:val="0"/>
          <w:marBottom w:val="0"/>
          <w:divBdr>
            <w:top w:val="none" w:sz="0" w:space="0" w:color="auto"/>
            <w:left w:val="none" w:sz="0" w:space="0" w:color="auto"/>
            <w:bottom w:val="none" w:sz="0" w:space="0" w:color="auto"/>
            <w:right w:val="none" w:sz="0" w:space="0" w:color="auto"/>
          </w:divBdr>
          <w:divsChild>
            <w:div w:id="1243175393">
              <w:marLeft w:val="0"/>
              <w:marRight w:val="0"/>
              <w:marTop w:val="0"/>
              <w:marBottom w:val="0"/>
              <w:divBdr>
                <w:top w:val="none" w:sz="0" w:space="0" w:color="auto"/>
                <w:left w:val="none" w:sz="0" w:space="0" w:color="auto"/>
                <w:bottom w:val="none" w:sz="0" w:space="0" w:color="auto"/>
                <w:right w:val="none" w:sz="0" w:space="0" w:color="auto"/>
              </w:divBdr>
              <w:divsChild>
                <w:div w:id="8198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9">
      <w:bodyDiv w:val="1"/>
      <w:marLeft w:val="0"/>
      <w:marRight w:val="0"/>
      <w:marTop w:val="0"/>
      <w:marBottom w:val="0"/>
      <w:divBdr>
        <w:top w:val="none" w:sz="0" w:space="0" w:color="auto"/>
        <w:left w:val="none" w:sz="0" w:space="0" w:color="auto"/>
        <w:bottom w:val="none" w:sz="0" w:space="0" w:color="auto"/>
        <w:right w:val="none" w:sz="0" w:space="0" w:color="auto"/>
      </w:divBdr>
      <w:divsChild>
        <w:div w:id="78060339">
          <w:marLeft w:val="0"/>
          <w:marRight w:val="0"/>
          <w:marTop w:val="0"/>
          <w:marBottom w:val="0"/>
          <w:divBdr>
            <w:top w:val="none" w:sz="0" w:space="0" w:color="auto"/>
            <w:left w:val="none" w:sz="0" w:space="0" w:color="auto"/>
            <w:bottom w:val="none" w:sz="0" w:space="0" w:color="auto"/>
            <w:right w:val="none" w:sz="0" w:space="0" w:color="auto"/>
          </w:divBdr>
          <w:divsChild>
            <w:div w:id="2001494827">
              <w:marLeft w:val="0"/>
              <w:marRight w:val="0"/>
              <w:marTop w:val="0"/>
              <w:marBottom w:val="0"/>
              <w:divBdr>
                <w:top w:val="none" w:sz="0" w:space="0" w:color="auto"/>
                <w:left w:val="none" w:sz="0" w:space="0" w:color="auto"/>
                <w:bottom w:val="none" w:sz="0" w:space="0" w:color="auto"/>
                <w:right w:val="none" w:sz="0" w:space="0" w:color="auto"/>
              </w:divBdr>
              <w:divsChild>
                <w:div w:id="192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34">
      <w:bodyDiv w:val="1"/>
      <w:marLeft w:val="0"/>
      <w:marRight w:val="0"/>
      <w:marTop w:val="0"/>
      <w:marBottom w:val="0"/>
      <w:divBdr>
        <w:top w:val="none" w:sz="0" w:space="0" w:color="auto"/>
        <w:left w:val="none" w:sz="0" w:space="0" w:color="auto"/>
        <w:bottom w:val="none" w:sz="0" w:space="0" w:color="auto"/>
        <w:right w:val="none" w:sz="0" w:space="0" w:color="auto"/>
      </w:divBdr>
      <w:divsChild>
        <w:div w:id="2069763737">
          <w:marLeft w:val="0"/>
          <w:marRight w:val="0"/>
          <w:marTop w:val="0"/>
          <w:marBottom w:val="0"/>
          <w:divBdr>
            <w:top w:val="none" w:sz="0" w:space="0" w:color="auto"/>
            <w:left w:val="none" w:sz="0" w:space="0" w:color="auto"/>
            <w:bottom w:val="none" w:sz="0" w:space="0" w:color="auto"/>
            <w:right w:val="none" w:sz="0" w:space="0" w:color="auto"/>
          </w:divBdr>
          <w:divsChild>
            <w:div w:id="653988728">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983">
      <w:bodyDiv w:val="1"/>
      <w:marLeft w:val="0"/>
      <w:marRight w:val="0"/>
      <w:marTop w:val="0"/>
      <w:marBottom w:val="0"/>
      <w:divBdr>
        <w:top w:val="none" w:sz="0" w:space="0" w:color="auto"/>
        <w:left w:val="none" w:sz="0" w:space="0" w:color="auto"/>
        <w:bottom w:val="none" w:sz="0" w:space="0" w:color="auto"/>
        <w:right w:val="none" w:sz="0" w:space="0" w:color="auto"/>
      </w:divBdr>
      <w:divsChild>
        <w:div w:id="803426096">
          <w:marLeft w:val="0"/>
          <w:marRight w:val="0"/>
          <w:marTop w:val="0"/>
          <w:marBottom w:val="0"/>
          <w:divBdr>
            <w:top w:val="none" w:sz="0" w:space="0" w:color="auto"/>
            <w:left w:val="none" w:sz="0" w:space="0" w:color="auto"/>
            <w:bottom w:val="none" w:sz="0" w:space="0" w:color="auto"/>
            <w:right w:val="none" w:sz="0" w:space="0" w:color="auto"/>
          </w:divBdr>
          <w:divsChild>
            <w:div w:id="552931534">
              <w:marLeft w:val="0"/>
              <w:marRight w:val="0"/>
              <w:marTop w:val="0"/>
              <w:marBottom w:val="0"/>
              <w:divBdr>
                <w:top w:val="none" w:sz="0" w:space="0" w:color="auto"/>
                <w:left w:val="none" w:sz="0" w:space="0" w:color="auto"/>
                <w:bottom w:val="none" w:sz="0" w:space="0" w:color="auto"/>
                <w:right w:val="none" w:sz="0" w:space="0" w:color="auto"/>
              </w:divBdr>
              <w:divsChild>
                <w:div w:id="1680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6625">
      <w:bodyDiv w:val="1"/>
      <w:marLeft w:val="0"/>
      <w:marRight w:val="0"/>
      <w:marTop w:val="0"/>
      <w:marBottom w:val="0"/>
      <w:divBdr>
        <w:top w:val="none" w:sz="0" w:space="0" w:color="auto"/>
        <w:left w:val="none" w:sz="0" w:space="0" w:color="auto"/>
        <w:bottom w:val="none" w:sz="0" w:space="0" w:color="auto"/>
        <w:right w:val="none" w:sz="0" w:space="0" w:color="auto"/>
      </w:divBdr>
      <w:divsChild>
        <w:div w:id="1533686577">
          <w:marLeft w:val="0"/>
          <w:marRight w:val="0"/>
          <w:marTop w:val="0"/>
          <w:marBottom w:val="0"/>
          <w:divBdr>
            <w:top w:val="none" w:sz="0" w:space="0" w:color="auto"/>
            <w:left w:val="none" w:sz="0" w:space="0" w:color="auto"/>
            <w:bottom w:val="none" w:sz="0" w:space="0" w:color="auto"/>
            <w:right w:val="none" w:sz="0" w:space="0" w:color="auto"/>
          </w:divBdr>
          <w:divsChild>
            <w:div w:id="416824096">
              <w:marLeft w:val="0"/>
              <w:marRight w:val="0"/>
              <w:marTop w:val="0"/>
              <w:marBottom w:val="0"/>
              <w:divBdr>
                <w:top w:val="none" w:sz="0" w:space="0" w:color="auto"/>
                <w:left w:val="none" w:sz="0" w:space="0" w:color="auto"/>
                <w:bottom w:val="none" w:sz="0" w:space="0" w:color="auto"/>
                <w:right w:val="none" w:sz="0" w:space="0" w:color="auto"/>
              </w:divBdr>
              <w:divsChild>
                <w:div w:id="1186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054">
      <w:bodyDiv w:val="1"/>
      <w:marLeft w:val="0"/>
      <w:marRight w:val="0"/>
      <w:marTop w:val="0"/>
      <w:marBottom w:val="0"/>
      <w:divBdr>
        <w:top w:val="none" w:sz="0" w:space="0" w:color="auto"/>
        <w:left w:val="none" w:sz="0" w:space="0" w:color="auto"/>
        <w:bottom w:val="none" w:sz="0" w:space="0" w:color="auto"/>
        <w:right w:val="none" w:sz="0" w:space="0" w:color="auto"/>
      </w:divBdr>
      <w:divsChild>
        <w:div w:id="550700666">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7439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1450">
      <w:bodyDiv w:val="1"/>
      <w:marLeft w:val="0"/>
      <w:marRight w:val="0"/>
      <w:marTop w:val="0"/>
      <w:marBottom w:val="0"/>
      <w:divBdr>
        <w:top w:val="none" w:sz="0" w:space="0" w:color="auto"/>
        <w:left w:val="none" w:sz="0" w:space="0" w:color="auto"/>
        <w:bottom w:val="none" w:sz="0" w:space="0" w:color="auto"/>
        <w:right w:val="none" w:sz="0" w:space="0" w:color="auto"/>
      </w:divBdr>
      <w:divsChild>
        <w:div w:id="1329359746">
          <w:marLeft w:val="0"/>
          <w:marRight w:val="0"/>
          <w:marTop w:val="0"/>
          <w:marBottom w:val="0"/>
          <w:divBdr>
            <w:top w:val="none" w:sz="0" w:space="0" w:color="auto"/>
            <w:left w:val="none" w:sz="0" w:space="0" w:color="auto"/>
            <w:bottom w:val="none" w:sz="0" w:space="0" w:color="auto"/>
            <w:right w:val="none" w:sz="0" w:space="0" w:color="auto"/>
          </w:divBdr>
          <w:divsChild>
            <w:div w:id="1393699611">
              <w:marLeft w:val="0"/>
              <w:marRight w:val="0"/>
              <w:marTop w:val="0"/>
              <w:marBottom w:val="0"/>
              <w:divBdr>
                <w:top w:val="none" w:sz="0" w:space="0" w:color="auto"/>
                <w:left w:val="none" w:sz="0" w:space="0" w:color="auto"/>
                <w:bottom w:val="none" w:sz="0" w:space="0" w:color="auto"/>
                <w:right w:val="none" w:sz="0" w:space="0" w:color="auto"/>
              </w:divBdr>
              <w:divsChild>
                <w:div w:id="1280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447">
      <w:bodyDiv w:val="1"/>
      <w:marLeft w:val="0"/>
      <w:marRight w:val="0"/>
      <w:marTop w:val="0"/>
      <w:marBottom w:val="0"/>
      <w:divBdr>
        <w:top w:val="none" w:sz="0" w:space="0" w:color="auto"/>
        <w:left w:val="none" w:sz="0" w:space="0" w:color="auto"/>
        <w:bottom w:val="none" w:sz="0" w:space="0" w:color="auto"/>
        <w:right w:val="none" w:sz="0" w:space="0" w:color="auto"/>
      </w:divBdr>
      <w:divsChild>
        <w:div w:id="2125147283">
          <w:marLeft w:val="0"/>
          <w:marRight w:val="0"/>
          <w:marTop w:val="0"/>
          <w:marBottom w:val="0"/>
          <w:divBdr>
            <w:top w:val="none" w:sz="0" w:space="0" w:color="auto"/>
            <w:left w:val="none" w:sz="0" w:space="0" w:color="auto"/>
            <w:bottom w:val="none" w:sz="0" w:space="0" w:color="auto"/>
            <w:right w:val="none" w:sz="0" w:space="0" w:color="auto"/>
          </w:divBdr>
          <w:divsChild>
            <w:div w:id="1839612078">
              <w:marLeft w:val="0"/>
              <w:marRight w:val="0"/>
              <w:marTop w:val="0"/>
              <w:marBottom w:val="0"/>
              <w:divBdr>
                <w:top w:val="none" w:sz="0" w:space="0" w:color="auto"/>
                <w:left w:val="none" w:sz="0" w:space="0" w:color="auto"/>
                <w:bottom w:val="none" w:sz="0" w:space="0" w:color="auto"/>
                <w:right w:val="none" w:sz="0" w:space="0" w:color="auto"/>
              </w:divBdr>
              <w:divsChild>
                <w:div w:id="7810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302">
      <w:bodyDiv w:val="1"/>
      <w:marLeft w:val="0"/>
      <w:marRight w:val="0"/>
      <w:marTop w:val="0"/>
      <w:marBottom w:val="0"/>
      <w:divBdr>
        <w:top w:val="none" w:sz="0" w:space="0" w:color="auto"/>
        <w:left w:val="none" w:sz="0" w:space="0" w:color="auto"/>
        <w:bottom w:val="none" w:sz="0" w:space="0" w:color="auto"/>
        <w:right w:val="none" w:sz="0" w:space="0" w:color="auto"/>
      </w:divBdr>
      <w:divsChild>
        <w:div w:id="1139036986">
          <w:marLeft w:val="0"/>
          <w:marRight w:val="0"/>
          <w:marTop w:val="0"/>
          <w:marBottom w:val="0"/>
          <w:divBdr>
            <w:top w:val="none" w:sz="0" w:space="0" w:color="auto"/>
            <w:left w:val="none" w:sz="0" w:space="0" w:color="auto"/>
            <w:bottom w:val="none" w:sz="0" w:space="0" w:color="auto"/>
            <w:right w:val="none" w:sz="0" w:space="0" w:color="auto"/>
          </w:divBdr>
          <w:divsChild>
            <w:div w:id="1615671104">
              <w:marLeft w:val="0"/>
              <w:marRight w:val="0"/>
              <w:marTop w:val="0"/>
              <w:marBottom w:val="0"/>
              <w:divBdr>
                <w:top w:val="none" w:sz="0" w:space="0" w:color="auto"/>
                <w:left w:val="none" w:sz="0" w:space="0" w:color="auto"/>
                <w:bottom w:val="none" w:sz="0" w:space="0" w:color="auto"/>
                <w:right w:val="none" w:sz="0" w:space="0" w:color="auto"/>
              </w:divBdr>
              <w:divsChild>
                <w:div w:id="7338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447">
      <w:bodyDiv w:val="1"/>
      <w:marLeft w:val="0"/>
      <w:marRight w:val="0"/>
      <w:marTop w:val="0"/>
      <w:marBottom w:val="0"/>
      <w:divBdr>
        <w:top w:val="none" w:sz="0" w:space="0" w:color="auto"/>
        <w:left w:val="none" w:sz="0" w:space="0" w:color="auto"/>
        <w:bottom w:val="none" w:sz="0" w:space="0" w:color="auto"/>
        <w:right w:val="none" w:sz="0" w:space="0" w:color="auto"/>
      </w:divBdr>
      <w:divsChild>
        <w:div w:id="1897083120">
          <w:marLeft w:val="0"/>
          <w:marRight w:val="0"/>
          <w:marTop w:val="0"/>
          <w:marBottom w:val="0"/>
          <w:divBdr>
            <w:top w:val="none" w:sz="0" w:space="0" w:color="auto"/>
            <w:left w:val="none" w:sz="0" w:space="0" w:color="auto"/>
            <w:bottom w:val="none" w:sz="0" w:space="0" w:color="auto"/>
            <w:right w:val="none" w:sz="0" w:space="0" w:color="auto"/>
          </w:divBdr>
          <w:divsChild>
            <w:div w:id="359674189">
              <w:marLeft w:val="0"/>
              <w:marRight w:val="0"/>
              <w:marTop w:val="0"/>
              <w:marBottom w:val="0"/>
              <w:divBdr>
                <w:top w:val="none" w:sz="0" w:space="0" w:color="auto"/>
                <w:left w:val="none" w:sz="0" w:space="0" w:color="auto"/>
                <w:bottom w:val="none" w:sz="0" w:space="0" w:color="auto"/>
                <w:right w:val="none" w:sz="0" w:space="0" w:color="auto"/>
              </w:divBdr>
              <w:divsChild>
                <w:div w:id="988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963">
      <w:bodyDiv w:val="1"/>
      <w:marLeft w:val="0"/>
      <w:marRight w:val="0"/>
      <w:marTop w:val="0"/>
      <w:marBottom w:val="0"/>
      <w:divBdr>
        <w:top w:val="none" w:sz="0" w:space="0" w:color="auto"/>
        <w:left w:val="none" w:sz="0" w:space="0" w:color="auto"/>
        <w:bottom w:val="none" w:sz="0" w:space="0" w:color="auto"/>
        <w:right w:val="none" w:sz="0" w:space="0" w:color="auto"/>
      </w:divBdr>
    </w:div>
    <w:div w:id="287665421">
      <w:bodyDiv w:val="1"/>
      <w:marLeft w:val="0"/>
      <w:marRight w:val="0"/>
      <w:marTop w:val="0"/>
      <w:marBottom w:val="0"/>
      <w:divBdr>
        <w:top w:val="none" w:sz="0" w:space="0" w:color="auto"/>
        <w:left w:val="none" w:sz="0" w:space="0" w:color="auto"/>
        <w:bottom w:val="none" w:sz="0" w:space="0" w:color="auto"/>
        <w:right w:val="none" w:sz="0" w:space="0" w:color="auto"/>
      </w:divBdr>
      <w:divsChild>
        <w:div w:id="1805654415">
          <w:marLeft w:val="0"/>
          <w:marRight w:val="0"/>
          <w:marTop w:val="0"/>
          <w:marBottom w:val="0"/>
          <w:divBdr>
            <w:top w:val="none" w:sz="0" w:space="0" w:color="auto"/>
            <w:left w:val="none" w:sz="0" w:space="0" w:color="auto"/>
            <w:bottom w:val="none" w:sz="0" w:space="0" w:color="auto"/>
            <w:right w:val="none" w:sz="0" w:space="0" w:color="auto"/>
          </w:divBdr>
          <w:divsChild>
            <w:div w:id="101075239">
              <w:marLeft w:val="0"/>
              <w:marRight w:val="0"/>
              <w:marTop w:val="0"/>
              <w:marBottom w:val="0"/>
              <w:divBdr>
                <w:top w:val="none" w:sz="0" w:space="0" w:color="auto"/>
                <w:left w:val="none" w:sz="0" w:space="0" w:color="auto"/>
                <w:bottom w:val="none" w:sz="0" w:space="0" w:color="auto"/>
                <w:right w:val="none" w:sz="0" w:space="0" w:color="auto"/>
              </w:divBdr>
              <w:divsChild>
                <w:div w:id="816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8234">
      <w:bodyDiv w:val="1"/>
      <w:marLeft w:val="0"/>
      <w:marRight w:val="0"/>
      <w:marTop w:val="0"/>
      <w:marBottom w:val="0"/>
      <w:divBdr>
        <w:top w:val="none" w:sz="0" w:space="0" w:color="auto"/>
        <w:left w:val="none" w:sz="0" w:space="0" w:color="auto"/>
        <w:bottom w:val="none" w:sz="0" w:space="0" w:color="auto"/>
        <w:right w:val="none" w:sz="0" w:space="0" w:color="auto"/>
      </w:divBdr>
      <w:divsChild>
        <w:div w:id="1999334648">
          <w:marLeft w:val="0"/>
          <w:marRight w:val="0"/>
          <w:marTop w:val="0"/>
          <w:marBottom w:val="0"/>
          <w:divBdr>
            <w:top w:val="none" w:sz="0" w:space="0" w:color="auto"/>
            <w:left w:val="none" w:sz="0" w:space="0" w:color="auto"/>
            <w:bottom w:val="none" w:sz="0" w:space="0" w:color="auto"/>
            <w:right w:val="none" w:sz="0" w:space="0" w:color="auto"/>
          </w:divBdr>
          <w:divsChild>
            <w:div w:id="1735617763">
              <w:marLeft w:val="0"/>
              <w:marRight w:val="0"/>
              <w:marTop w:val="0"/>
              <w:marBottom w:val="0"/>
              <w:divBdr>
                <w:top w:val="none" w:sz="0" w:space="0" w:color="auto"/>
                <w:left w:val="none" w:sz="0" w:space="0" w:color="auto"/>
                <w:bottom w:val="none" w:sz="0" w:space="0" w:color="auto"/>
                <w:right w:val="none" w:sz="0" w:space="0" w:color="auto"/>
              </w:divBdr>
              <w:divsChild>
                <w:div w:id="15286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3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6591">
          <w:marLeft w:val="0"/>
          <w:marRight w:val="0"/>
          <w:marTop w:val="0"/>
          <w:marBottom w:val="0"/>
          <w:divBdr>
            <w:top w:val="none" w:sz="0" w:space="0" w:color="auto"/>
            <w:left w:val="none" w:sz="0" w:space="0" w:color="auto"/>
            <w:bottom w:val="none" w:sz="0" w:space="0" w:color="auto"/>
            <w:right w:val="none" w:sz="0" w:space="0" w:color="auto"/>
          </w:divBdr>
          <w:divsChild>
            <w:div w:id="1566723099">
              <w:marLeft w:val="0"/>
              <w:marRight w:val="0"/>
              <w:marTop w:val="0"/>
              <w:marBottom w:val="0"/>
              <w:divBdr>
                <w:top w:val="none" w:sz="0" w:space="0" w:color="auto"/>
                <w:left w:val="none" w:sz="0" w:space="0" w:color="auto"/>
                <w:bottom w:val="none" w:sz="0" w:space="0" w:color="auto"/>
                <w:right w:val="none" w:sz="0" w:space="0" w:color="auto"/>
              </w:divBdr>
              <w:divsChild>
                <w:div w:id="2126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812">
      <w:bodyDiv w:val="1"/>
      <w:marLeft w:val="0"/>
      <w:marRight w:val="0"/>
      <w:marTop w:val="0"/>
      <w:marBottom w:val="0"/>
      <w:divBdr>
        <w:top w:val="none" w:sz="0" w:space="0" w:color="auto"/>
        <w:left w:val="none" w:sz="0" w:space="0" w:color="auto"/>
        <w:bottom w:val="none" w:sz="0" w:space="0" w:color="auto"/>
        <w:right w:val="none" w:sz="0" w:space="0" w:color="auto"/>
      </w:divBdr>
    </w:div>
    <w:div w:id="665208151">
      <w:bodyDiv w:val="1"/>
      <w:marLeft w:val="0"/>
      <w:marRight w:val="0"/>
      <w:marTop w:val="0"/>
      <w:marBottom w:val="0"/>
      <w:divBdr>
        <w:top w:val="none" w:sz="0" w:space="0" w:color="auto"/>
        <w:left w:val="none" w:sz="0" w:space="0" w:color="auto"/>
        <w:bottom w:val="none" w:sz="0" w:space="0" w:color="auto"/>
        <w:right w:val="none" w:sz="0" w:space="0" w:color="auto"/>
      </w:divBdr>
    </w:div>
    <w:div w:id="682246744">
      <w:bodyDiv w:val="1"/>
      <w:marLeft w:val="0"/>
      <w:marRight w:val="0"/>
      <w:marTop w:val="0"/>
      <w:marBottom w:val="0"/>
      <w:divBdr>
        <w:top w:val="none" w:sz="0" w:space="0" w:color="auto"/>
        <w:left w:val="none" w:sz="0" w:space="0" w:color="auto"/>
        <w:bottom w:val="none" w:sz="0" w:space="0" w:color="auto"/>
        <w:right w:val="none" w:sz="0" w:space="0" w:color="auto"/>
      </w:divBdr>
    </w:div>
    <w:div w:id="1080130976">
      <w:bodyDiv w:val="1"/>
      <w:marLeft w:val="0"/>
      <w:marRight w:val="0"/>
      <w:marTop w:val="0"/>
      <w:marBottom w:val="0"/>
      <w:divBdr>
        <w:top w:val="none" w:sz="0" w:space="0" w:color="auto"/>
        <w:left w:val="none" w:sz="0" w:space="0" w:color="auto"/>
        <w:bottom w:val="none" w:sz="0" w:space="0" w:color="auto"/>
        <w:right w:val="none" w:sz="0" w:space="0" w:color="auto"/>
      </w:divBdr>
    </w:div>
    <w:div w:id="1174223772">
      <w:bodyDiv w:val="1"/>
      <w:marLeft w:val="0"/>
      <w:marRight w:val="0"/>
      <w:marTop w:val="0"/>
      <w:marBottom w:val="0"/>
      <w:divBdr>
        <w:top w:val="none" w:sz="0" w:space="0" w:color="auto"/>
        <w:left w:val="none" w:sz="0" w:space="0" w:color="auto"/>
        <w:bottom w:val="none" w:sz="0" w:space="0" w:color="auto"/>
        <w:right w:val="none" w:sz="0" w:space="0" w:color="auto"/>
      </w:divBdr>
      <w:divsChild>
        <w:div w:id="1410035358">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sChild>
                <w:div w:id="5291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782">
      <w:bodyDiv w:val="1"/>
      <w:marLeft w:val="0"/>
      <w:marRight w:val="0"/>
      <w:marTop w:val="0"/>
      <w:marBottom w:val="0"/>
      <w:divBdr>
        <w:top w:val="none" w:sz="0" w:space="0" w:color="auto"/>
        <w:left w:val="none" w:sz="0" w:space="0" w:color="auto"/>
        <w:bottom w:val="none" w:sz="0" w:space="0" w:color="auto"/>
        <w:right w:val="none" w:sz="0" w:space="0" w:color="auto"/>
      </w:divBdr>
      <w:divsChild>
        <w:div w:id="481121574">
          <w:marLeft w:val="0"/>
          <w:marRight w:val="0"/>
          <w:marTop w:val="0"/>
          <w:marBottom w:val="0"/>
          <w:divBdr>
            <w:top w:val="none" w:sz="0" w:space="0" w:color="auto"/>
            <w:left w:val="none" w:sz="0" w:space="0" w:color="auto"/>
            <w:bottom w:val="none" w:sz="0" w:space="0" w:color="auto"/>
            <w:right w:val="none" w:sz="0" w:space="0" w:color="auto"/>
          </w:divBdr>
          <w:divsChild>
            <w:div w:id="1828011927">
              <w:marLeft w:val="0"/>
              <w:marRight w:val="0"/>
              <w:marTop w:val="0"/>
              <w:marBottom w:val="0"/>
              <w:divBdr>
                <w:top w:val="none" w:sz="0" w:space="0" w:color="auto"/>
                <w:left w:val="none" w:sz="0" w:space="0" w:color="auto"/>
                <w:bottom w:val="none" w:sz="0" w:space="0" w:color="auto"/>
                <w:right w:val="none" w:sz="0" w:space="0" w:color="auto"/>
              </w:divBdr>
              <w:divsChild>
                <w:div w:id="2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2949">
      <w:bodyDiv w:val="1"/>
      <w:marLeft w:val="0"/>
      <w:marRight w:val="0"/>
      <w:marTop w:val="0"/>
      <w:marBottom w:val="0"/>
      <w:divBdr>
        <w:top w:val="none" w:sz="0" w:space="0" w:color="auto"/>
        <w:left w:val="none" w:sz="0" w:space="0" w:color="auto"/>
        <w:bottom w:val="none" w:sz="0" w:space="0" w:color="auto"/>
        <w:right w:val="none" w:sz="0" w:space="0" w:color="auto"/>
      </w:divBdr>
      <w:divsChild>
        <w:div w:id="1256986137">
          <w:marLeft w:val="0"/>
          <w:marRight w:val="0"/>
          <w:marTop w:val="0"/>
          <w:marBottom w:val="0"/>
          <w:divBdr>
            <w:top w:val="none" w:sz="0" w:space="0" w:color="auto"/>
            <w:left w:val="none" w:sz="0" w:space="0" w:color="auto"/>
            <w:bottom w:val="none" w:sz="0" w:space="0" w:color="auto"/>
            <w:right w:val="none" w:sz="0" w:space="0" w:color="auto"/>
          </w:divBdr>
          <w:divsChild>
            <w:div w:id="311447880">
              <w:marLeft w:val="0"/>
              <w:marRight w:val="0"/>
              <w:marTop w:val="0"/>
              <w:marBottom w:val="0"/>
              <w:divBdr>
                <w:top w:val="none" w:sz="0" w:space="0" w:color="auto"/>
                <w:left w:val="none" w:sz="0" w:space="0" w:color="auto"/>
                <w:bottom w:val="none" w:sz="0" w:space="0" w:color="auto"/>
                <w:right w:val="none" w:sz="0" w:space="0" w:color="auto"/>
              </w:divBdr>
              <w:divsChild>
                <w:div w:id="1314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9786">
      <w:bodyDiv w:val="1"/>
      <w:marLeft w:val="0"/>
      <w:marRight w:val="0"/>
      <w:marTop w:val="0"/>
      <w:marBottom w:val="0"/>
      <w:divBdr>
        <w:top w:val="none" w:sz="0" w:space="0" w:color="auto"/>
        <w:left w:val="none" w:sz="0" w:space="0" w:color="auto"/>
        <w:bottom w:val="none" w:sz="0" w:space="0" w:color="auto"/>
        <w:right w:val="none" w:sz="0" w:space="0" w:color="auto"/>
      </w:divBdr>
      <w:divsChild>
        <w:div w:id="1638104589">
          <w:marLeft w:val="0"/>
          <w:marRight w:val="0"/>
          <w:marTop w:val="0"/>
          <w:marBottom w:val="0"/>
          <w:divBdr>
            <w:top w:val="none" w:sz="0" w:space="0" w:color="auto"/>
            <w:left w:val="none" w:sz="0" w:space="0" w:color="auto"/>
            <w:bottom w:val="none" w:sz="0" w:space="0" w:color="auto"/>
            <w:right w:val="none" w:sz="0" w:space="0" w:color="auto"/>
          </w:divBdr>
          <w:divsChild>
            <w:div w:id="1324891052">
              <w:marLeft w:val="0"/>
              <w:marRight w:val="0"/>
              <w:marTop w:val="0"/>
              <w:marBottom w:val="0"/>
              <w:divBdr>
                <w:top w:val="none" w:sz="0" w:space="0" w:color="auto"/>
                <w:left w:val="none" w:sz="0" w:space="0" w:color="auto"/>
                <w:bottom w:val="none" w:sz="0" w:space="0" w:color="auto"/>
                <w:right w:val="none" w:sz="0" w:space="0" w:color="auto"/>
              </w:divBdr>
              <w:divsChild>
                <w:div w:id="14507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355">
      <w:bodyDiv w:val="1"/>
      <w:marLeft w:val="0"/>
      <w:marRight w:val="0"/>
      <w:marTop w:val="0"/>
      <w:marBottom w:val="0"/>
      <w:divBdr>
        <w:top w:val="none" w:sz="0" w:space="0" w:color="auto"/>
        <w:left w:val="none" w:sz="0" w:space="0" w:color="auto"/>
        <w:bottom w:val="none" w:sz="0" w:space="0" w:color="auto"/>
        <w:right w:val="none" w:sz="0" w:space="0" w:color="auto"/>
      </w:divBdr>
    </w:div>
    <w:div w:id="1711801472">
      <w:bodyDiv w:val="1"/>
      <w:marLeft w:val="0"/>
      <w:marRight w:val="0"/>
      <w:marTop w:val="0"/>
      <w:marBottom w:val="0"/>
      <w:divBdr>
        <w:top w:val="none" w:sz="0" w:space="0" w:color="auto"/>
        <w:left w:val="none" w:sz="0" w:space="0" w:color="auto"/>
        <w:bottom w:val="none" w:sz="0" w:space="0" w:color="auto"/>
        <w:right w:val="none" w:sz="0" w:space="0" w:color="auto"/>
      </w:divBdr>
      <w:divsChild>
        <w:div w:id="1603565202">
          <w:marLeft w:val="0"/>
          <w:marRight w:val="0"/>
          <w:marTop w:val="0"/>
          <w:marBottom w:val="0"/>
          <w:divBdr>
            <w:top w:val="none" w:sz="0" w:space="0" w:color="auto"/>
            <w:left w:val="none" w:sz="0" w:space="0" w:color="auto"/>
            <w:bottom w:val="none" w:sz="0" w:space="0" w:color="auto"/>
            <w:right w:val="none" w:sz="0" w:space="0" w:color="auto"/>
          </w:divBdr>
          <w:divsChild>
            <w:div w:id="1953393487">
              <w:marLeft w:val="0"/>
              <w:marRight w:val="0"/>
              <w:marTop w:val="0"/>
              <w:marBottom w:val="0"/>
              <w:divBdr>
                <w:top w:val="none" w:sz="0" w:space="0" w:color="auto"/>
                <w:left w:val="none" w:sz="0" w:space="0" w:color="auto"/>
                <w:bottom w:val="none" w:sz="0" w:space="0" w:color="auto"/>
                <w:right w:val="none" w:sz="0" w:space="0" w:color="auto"/>
              </w:divBdr>
              <w:divsChild>
                <w:div w:id="1050419999">
                  <w:marLeft w:val="0"/>
                  <w:marRight w:val="0"/>
                  <w:marTop w:val="0"/>
                  <w:marBottom w:val="0"/>
                  <w:divBdr>
                    <w:top w:val="none" w:sz="0" w:space="0" w:color="auto"/>
                    <w:left w:val="none" w:sz="0" w:space="0" w:color="auto"/>
                    <w:bottom w:val="none" w:sz="0" w:space="0" w:color="auto"/>
                    <w:right w:val="none" w:sz="0" w:space="0" w:color="auto"/>
                  </w:divBdr>
                </w:div>
                <w:div w:id="1919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212">
      <w:bodyDiv w:val="1"/>
      <w:marLeft w:val="0"/>
      <w:marRight w:val="0"/>
      <w:marTop w:val="0"/>
      <w:marBottom w:val="0"/>
      <w:divBdr>
        <w:top w:val="none" w:sz="0" w:space="0" w:color="auto"/>
        <w:left w:val="none" w:sz="0" w:space="0" w:color="auto"/>
        <w:bottom w:val="none" w:sz="0" w:space="0" w:color="auto"/>
        <w:right w:val="none" w:sz="0" w:space="0" w:color="auto"/>
      </w:divBdr>
      <w:divsChild>
        <w:div w:id="946887422">
          <w:marLeft w:val="0"/>
          <w:marRight w:val="0"/>
          <w:marTop w:val="0"/>
          <w:marBottom w:val="0"/>
          <w:divBdr>
            <w:top w:val="none" w:sz="0" w:space="0" w:color="auto"/>
            <w:left w:val="none" w:sz="0" w:space="0" w:color="auto"/>
            <w:bottom w:val="none" w:sz="0" w:space="0" w:color="auto"/>
            <w:right w:val="none" w:sz="0" w:space="0" w:color="auto"/>
          </w:divBdr>
          <w:divsChild>
            <w:div w:id="1359817749">
              <w:marLeft w:val="0"/>
              <w:marRight w:val="0"/>
              <w:marTop w:val="0"/>
              <w:marBottom w:val="0"/>
              <w:divBdr>
                <w:top w:val="none" w:sz="0" w:space="0" w:color="auto"/>
                <w:left w:val="none" w:sz="0" w:space="0" w:color="auto"/>
                <w:bottom w:val="none" w:sz="0" w:space="0" w:color="auto"/>
                <w:right w:val="none" w:sz="0" w:space="0" w:color="auto"/>
              </w:divBdr>
              <w:divsChild>
                <w:div w:id="696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720">
      <w:bodyDiv w:val="1"/>
      <w:marLeft w:val="0"/>
      <w:marRight w:val="0"/>
      <w:marTop w:val="0"/>
      <w:marBottom w:val="0"/>
      <w:divBdr>
        <w:top w:val="none" w:sz="0" w:space="0" w:color="auto"/>
        <w:left w:val="none" w:sz="0" w:space="0" w:color="auto"/>
        <w:bottom w:val="none" w:sz="0" w:space="0" w:color="auto"/>
        <w:right w:val="none" w:sz="0" w:space="0" w:color="auto"/>
      </w:divBdr>
      <w:divsChild>
        <w:div w:id="192422390">
          <w:marLeft w:val="0"/>
          <w:marRight w:val="0"/>
          <w:marTop w:val="0"/>
          <w:marBottom w:val="0"/>
          <w:divBdr>
            <w:top w:val="none" w:sz="0" w:space="0" w:color="auto"/>
            <w:left w:val="none" w:sz="0" w:space="0" w:color="auto"/>
            <w:bottom w:val="none" w:sz="0" w:space="0" w:color="auto"/>
            <w:right w:val="none" w:sz="0" w:space="0" w:color="auto"/>
          </w:divBdr>
          <w:divsChild>
            <w:div w:id="2097701061">
              <w:marLeft w:val="0"/>
              <w:marRight w:val="0"/>
              <w:marTop w:val="0"/>
              <w:marBottom w:val="0"/>
              <w:divBdr>
                <w:top w:val="none" w:sz="0" w:space="0" w:color="auto"/>
                <w:left w:val="none" w:sz="0" w:space="0" w:color="auto"/>
                <w:bottom w:val="none" w:sz="0" w:space="0" w:color="auto"/>
                <w:right w:val="none" w:sz="0" w:space="0" w:color="auto"/>
              </w:divBdr>
              <w:divsChild>
                <w:div w:id="150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2319">
      <w:bodyDiv w:val="1"/>
      <w:marLeft w:val="0"/>
      <w:marRight w:val="0"/>
      <w:marTop w:val="0"/>
      <w:marBottom w:val="0"/>
      <w:divBdr>
        <w:top w:val="none" w:sz="0" w:space="0" w:color="auto"/>
        <w:left w:val="none" w:sz="0" w:space="0" w:color="auto"/>
        <w:bottom w:val="none" w:sz="0" w:space="0" w:color="auto"/>
        <w:right w:val="none" w:sz="0" w:space="0" w:color="auto"/>
      </w:divBdr>
      <w:divsChild>
        <w:div w:id="1578518296">
          <w:marLeft w:val="0"/>
          <w:marRight w:val="0"/>
          <w:marTop w:val="0"/>
          <w:marBottom w:val="0"/>
          <w:divBdr>
            <w:top w:val="none" w:sz="0" w:space="0" w:color="auto"/>
            <w:left w:val="none" w:sz="0" w:space="0" w:color="auto"/>
            <w:bottom w:val="none" w:sz="0" w:space="0" w:color="auto"/>
            <w:right w:val="none" w:sz="0" w:space="0" w:color="auto"/>
          </w:divBdr>
          <w:divsChild>
            <w:div w:id="939530444">
              <w:marLeft w:val="0"/>
              <w:marRight w:val="0"/>
              <w:marTop w:val="0"/>
              <w:marBottom w:val="0"/>
              <w:divBdr>
                <w:top w:val="none" w:sz="0" w:space="0" w:color="auto"/>
                <w:left w:val="none" w:sz="0" w:space="0" w:color="auto"/>
                <w:bottom w:val="none" w:sz="0" w:space="0" w:color="auto"/>
                <w:right w:val="none" w:sz="0" w:space="0" w:color="auto"/>
              </w:divBdr>
              <w:divsChild>
                <w:div w:id="15283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mel\Desktop\COURS%20ENSET%20ET%20PLUS\ENSET\MES%20RECHERCHES\MES%20PROPRES%20ARTICLES\4-QUATRIEME%20ARTICLE\CALCULS%20DES%20ANTIOXIDANTS%20EN%20HISTOGRAM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9175941445298"/>
          <c:y val="4.0021652832912306E-2"/>
          <c:w val="0.87207644706512144"/>
          <c:h val="0.69920500901242766"/>
        </c:manualLayout>
      </c:layout>
      <c:barChart>
        <c:barDir val="col"/>
        <c:grouping val="clustered"/>
        <c:varyColors val="0"/>
        <c:ser>
          <c:idx val="0"/>
          <c:order val="0"/>
          <c:tx>
            <c:strRef>
              <c:f>Feuil1!$O$16</c:f>
              <c:strCache>
                <c:ptCount val="1"/>
                <c:pt idx="0">
                  <c:v>DPPH </c:v>
                </c:pt>
              </c:strCache>
            </c:strRef>
          </c:tx>
          <c:spPr>
            <a:pattFill prst="ltUpDiag">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9E5-44C4-AC2A-41696A177850}"/>
                </c:ext>
              </c:extLst>
            </c:dLbl>
            <c:dLbl>
              <c:idx val="1"/>
              <c:layout>
                <c:manualLayout>
                  <c:x val="-3.7433632562631523E-17"/>
                  <c:y val="-1.082641645615299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9E5-44C4-AC2A-41696A177850}"/>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9E5-44C4-AC2A-41696A177850}"/>
                </c:ext>
              </c:extLst>
            </c:dLbl>
            <c:dLbl>
              <c:idx val="3"/>
              <c:layout>
                <c:manualLayout>
                  <c:x val="-7.4867265125263047E-17"/>
                  <c:y val="-3.6088054853844038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9E5-44C4-AC2A-41696A177850}"/>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Feuil1!$T$17:$T$21</c:f>
                <c:numCache>
                  <c:formatCode>General</c:formatCode>
                  <c:ptCount val="5"/>
                  <c:pt idx="0">
                    <c:v>1.04</c:v>
                  </c:pt>
                  <c:pt idx="1">
                    <c:v>2.2599999999999998</c:v>
                  </c:pt>
                  <c:pt idx="2">
                    <c:v>0.52</c:v>
                  </c:pt>
                  <c:pt idx="3">
                    <c:v>1.64</c:v>
                  </c:pt>
                  <c:pt idx="4">
                    <c:v>0.66</c:v>
                  </c:pt>
                </c:numCache>
              </c:numRef>
            </c:plus>
            <c:minus>
              <c:numRef>
                <c:f>Feuil1!$T$17:$T$21</c:f>
                <c:numCache>
                  <c:formatCode>General</c:formatCode>
                  <c:ptCount val="5"/>
                  <c:pt idx="0">
                    <c:v>1.04</c:v>
                  </c:pt>
                  <c:pt idx="1">
                    <c:v>2.2599999999999998</c:v>
                  </c:pt>
                  <c:pt idx="2">
                    <c:v>0.52</c:v>
                  </c:pt>
                  <c:pt idx="3">
                    <c:v>1.64</c:v>
                  </c:pt>
                  <c:pt idx="4">
                    <c:v>0.66</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Feuil1!$O$17:$O$21</c:f>
              <c:numCache>
                <c:formatCode>General</c:formatCode>
                <c:ptCount val="5"/>
                <c:pt idx="0">
                  <c:v>18.059999999999999</c:v>
                </c:pt>
                <c:pt idx="1">
                  <c:v>44.44</c:v>
                </c:pt>
                <c:pt idx="2">
                  <c:v>19.38</c:v>
                </c:pt>
                <c:pt idx="3">
                  <c:v>11.07</c:v>
                </c:pt>
                <c:pt idx="4">
                  <c:v>8.92</c:v>
                </c:pt>
              </c:numCache>
            </c:numRef>
          </c:val>
          <c:extLst>
            <c:ext xmlns:c16="http://schemas.microsoft.com/office/drawing/2014/chart" uri="{C3380CC4-5D6E-409C-BE32-E72D297353CC}">
              <c16:uniqueId val="{00000000-F9E5-44C4-AC2A-41696A177850}"/>
            </c:ext>
          </c:extLst>
        </c:ser>
        <c:ser>
          <c:idx val="1"/>
          <c:order val="1"/>
          <c:tx>
            <c:strRef>
              <c:f>Feuil1!$P$16</c:f>
              <c:strCache>
                <c:ptCount val="1"/>
                <c:pt idx="0">
                  <c:v>ABTS </c:v>
                </c:pt>
              </c:strCache>
            </c:strRef>
          </c:tx>
          <c:spPr>
            <a:pattFill prst="pct50">
              <a:fgClr>
                <a:sysClr val="windowText" lastClr="000000"/>
              </a:fgClr>
              <a:bgClr>
                <a:schemeClr val="bg1"/>
              </a:bgClr>
            </a:pattFill>
            <a:ln>
              <a:solidFill>
                <a:schemeClr val="tx1"/>
              </a:solid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E5-44C4-AC2A-41696A177850}"/>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9E5-44C4-AC2A-41696A177850}"/>
                </c:ext>
              </c:extLst>
            </c:dLbl>
            <c:dLbl>
              <c:idx val="2"/>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9E5-44C4-AC2A-41696A177850}"/>
                </c:ext>
              </c:extLst>
            </c:dLbl>
            <c:dLbl>
              <c:idx val="3"/>
              <c:layout>
                <c:manualLayout>
                  <c:x val="0"/>
                  <c:y val="-1.082641645615301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9E5-44C4-AC2A-41696A177850}"/>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Feuil1!$U$17:$U$21</c:f>
                <c:numCache>
                  <c:formatCode>General</c:formatCode>
                  <c:ptCount val="5"/>
                  <c:pt idx="0">
                    <c:v>1.35</c:v>
                  </c:pt>
                  <c:pt idx="1">
                    <c:v>1.24</c:v>
                  </c:pt>
                  <c:pt idx="2">
                    <c:v>1.19</c:v>
                  </c:pt>
                  <c:pt idx="3">
                    <c:v>1.94</c:v>
                  </c:pt>
                  <c:pt idx="4">
                    <c:v>0.8</c:v>
                  </c:pt>
                </c:numCache>
              </c:numRef>
            </c:plus>
            <c:minus>
              <c:numRef>
                <c:f>Feuil1!$U$17:$U$21</c:f>
                <c:numCache>
                  <c:formatCode>General</c:formatCode>
                  <c:ptCount val="5"/>
                  <c:pt idx="0">
                    <c:v>1.35</c:v>
                  </c:pt>
                  <c:pt idx="1">
                    <c:v>1.24</c:v>
                  </c:pt>
                  <c:pt idx="2">
                    <c:v>1.19</c:v>
                  </c:pt>
                  <c:pt idx="3">
                    <c:v>1.94</c:v>
                  </c:pt>
                  <c:pt idx="4">
                    <c:v>0.8</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Feuil1!$P$17:$P$21</c:f>
              <c:numCache>
                <c:formatCode>General</c:formatCode>
                <c:ptCount val="5"/>
                <c:pt idx="0">
                  <c:v>16.170000000000002</c:v>
                </c:pt>
                <c:pt idx="1">
                  <c:v>32.71</c:v>
                </c:pt>
                <c:pt idx="2">
                  <c:v>47.04</c:v>
                </c:pt>
                <c:pt idx="3">
                  <c:v>18.04</c:v>
                </c:pt>
                <c:pt idx="4">
                  <c:v>2.72</c:v>
                </c:pt>
              </c:numCache>
            </c:numRef>
          </c:val>
          <c:extLst>
            <c:ext xmlns:c16="http://schemas.microsoft.com/office/drawing/2014/chart" uri="{C3380CC4-5D6E-409C-BE32-E72D297353CC}">
              <c16:uniqueId val="{00000001-F9E5-44C4-AC2A-41696A177850}"/>
            </c:ext>
          </c:extLst>
        </c:ser>
        <c:ser>
          <c:idx val="2"/>
          <c:order val="2"/>
          <c:tx>
            <c:strRef>
              <c:f>Feuil1!$Q$16</c:f>
              <c:strCache>
                <c:ptCount val="1"/>
                <c:pt idx="0">
                  <c:v>FRAP </c:v>
                </c:pt>
              </c:strCache>
            </c:strRef>
          </c:tx>
          <c:spPr>
            <a:pattFill prst="dotDmnd">
              <a:fgClr>
                <a:sysClr val="windowText" lastClr="000000"/>
              </a:fgClr>
              <a:bgClr>
                <a:schemeClr val="bg1"/>
              </a:bgClr>
            </a:pattFill>
            <a:ln>
              <a:solidFill>
                <a:schemeClr val="tx1"/>
              </a:solid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9E5-44C4-AC2A-41696A177850}"/>
                </c:ext>
              </c:extLst>
            </c:dLbl>
            <c:dLbl>
              <c:idx val="1"/>
              <c:layout>
                <c:manualLayout>
                  <c:x val="-7.4867265125263047E-17"/>
                  <c:y val="-1.443522194153738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9E5-44C4-AC2A-41696A177850}"/>
                </c:ext>
              </c:extLst>
            </c:dLbl>
            <c:dLbl>
              <c:idx val="2"/>
              <c:layout>
                <c:manualLayout>
                  <c:x val="0"/>
                  <c:y val="-1.4435221941537384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9E5-44C4-AC2A-41696A177850}"/>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9E5-44C4-AC2A-41696A177850}"/>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Feuil1!$V$17:$V$21</c:f>
                <c:numCache>
                  <c:formatCode>General</c:formatCode>
                  <c:ptCount val="5"/>
                  <c:pt idx="0">
                    <c:v>0.15</c:v>
                  </c:pt>
                  <c:pt idx="1">
                    <c:v>2.42</c:v>
                  </c:pt>
                  <c:pt idx="2">
                    <c:v>2.0699999999999998</c:v>
                  </c:pt>
                  <c:pt idx="3">
                    <c:v>1.35</c:v>
                  </c:pt>
                  <c:pt idx="4">
                    <c:v>0.7</c:v>
                  </c:pt>
                </c:numCache>
              </c:numRef>
            </c:plus>
            <c:minus>
              <c:numRef>
                <c:f>Feuil1!$V$17:$V$21</c:f>
                <c:numCache>
                  <c:formatCode>General</c:formatCode>
                  <c:ptCount val="5"/>
                  <c:pt idx="0">
                    <c:v>0.15</c:v>
                  </c:pt>
                  <c:pt idx="1">
                    <c:v>2.42</c:v>
                  </c:pt>
                  <c:pt idx="2">
                    <c:v>2.0699999999999998</c:v>
                  </c:pt>
                  <c:pt idx="3">
                    <c:v>1.35</c:v>
                  </c:pt>
                  <c:pt idx="4">
                    <c:v>0.7</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Feuil1!$Q$17:$Q$21</c:f>
              <c:numCache>
                <c:formatCode>General</c:formatCode>
                <c:ptCount val="5"/>
                <c:pt idx="0">
                  <c:v>22.52</c:v>
                </c:pt>
                <c:pt idx="1">
                  <c:v>33.299999999999997</c:v>
                </c:pt>
                <c:pt idx="2">
                  <c:v>30.28</c:v>
                </c:pt>
                <c:pt idx="3">
                  <c:v>23.17</c:v>
                </c:pt>
                <c:pt idx="4">
                  <c:v>13.94</c:v>
                </c:pt>
              </c:numCache>
            </c:numRef>
          </c:val>
          <c:extLst>
            <c:ext xmlns:c16="http://schemas.microsoft.com/office/drawing/2014/chart" uri="{C3380CC4-5D6E-409C-BE32-E72D297353CC}">
              <c16:uniqueId val="{00000002-F9E5-44C4-AC2A-41696A177850}"/>
            </c:ext>
          </c:extLst>
        </c:ser>
        <c:dLbls>
          <c:dLblPos val="outEnd"/>
          <c:showLegendKey val="0"/>
          <c:showVal val="1"/>
          <c:showCatName val="0"/>
          <c:showSerName val="0"/>
          <c:showPercent val="0"/>
          <c:showBubbleSize val="0"/>
        </c:dLbls>
        <c:gapWidth val="219"/>
        <c:overlap val="-27"/>
        <c:axId val="553960656"/>
        <c:axId val="553965576"/>
      </c:barChart>
      <c:catAx>
        <c:axId val="553960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Plant matrix organ and standard </a:t>
                </a:r>
              </a:p>
            </c:rich>
          </c:tx>
          <c:layout>
            <c:manualLayout>
              <c:xMode val="edge"/>
              <c:yMode val="edge"/>
              <c:x val="0.35908931474889838"/>
              <c:y val="0.928533662207886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553965576"/>
        <c:crosses val="autoZero"/>
        <c:auto val="1"/>
        <c:lblAlgn val="ctr"/>
        <c:lblOffset val="100"/>
        <c:noMultiLvlLbl val="0"/>
      </c:catAx>
      <c:valAx>
        <c:axId val="553965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Scavenging activities (IC50) (µg/ml) </a:t>
                </a:r>
              </a:p>
            </c:rich>
          </c:tx>
          <c:layout>
            <c:manualLayout>
              <c:xMode val="edge"/>
              <c:yMode val="edge"/>
              <c:x val="6.356739654118578E-3"/>
              <c:y val="3.241596306485785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553960656"/>
        <c:crosses val="autoZero"/>
        <c:crossBetween val="between"/>
      </c:valAx>
      <c:spPr>
        <a:noFill/>
        <a:ln>
          <a:noFill/>
        </a:ln>
        <a:effectLst/>
      </c:spPr>
    </c:plotArea>
    <c:legend>
      <c:legendPos val="b"/>
      <c:layout>
        <c:manualLayout>
          <c:xMode val="edge"/>
          <c:yMode val="edge"/>
          <c:x val="0.73995581602527993"/>
          <c:y val="1.1218100749454511E-2"/>
          <c:w val="0.13713472645934574"/>
          <c:h val="0.2387440788595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E3C1-1FBB-49E4-924B-F2C90EED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64462</TotalTime>
  <Pages>21</Pages>
  <Words>43247</Words>
  <Characters>246513</Characters>
  <Application>Microsoft Office Word</Application>
  <DocSecurity>0</DocSecurity>
  <Lines>2054</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Editor-22</cp:lastModifiedBy>
  <cp:revision>283</cp:revision>
  <dcterms:created xsi:type="dcterms:W3CDTF">2023-10-03T07:46:00Z</dcterms:created>
  <dcterms:modified xsi:type="dcterms:W3CDTF">2025-04-17T09:31:00Z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http://www.zotero.org/styles/elsevier-vancouver-author-date</vt:lpwstr>
  </property>
  <property fmtid="{D5CDD505-2E9C-101B-9397-08002B2CF9AE}" pid="13" name="Mendeley Recent Style Name 5_1">
    <vt:lpwstr>Elsevier - Vancouver (author-date)</vt:lpwstr>
  </property>
  <property fmtid="{D5CDD505-2E9C-101B-9397-08002B2CF9AE}" pid="14" name="Mendeley Recent Style Id 6_1">
    <vt:lpwstr>http://www.zotero.org/styles/food-bioscience</vt:lpwstr>
  </property>
  <property fmtid="{D5CDD505-2E9C-101B-9397-08002B2CF9AE}" pid="15" name="Mendeley Recent Style Name 6_1">
    <vt:lpwstr>Food Bioscience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http://www.zotero.org/styles/south-african-journal-of-botany</vt:lpwstr>
  </property>
  <property fmtid="{D5CDD505-2E9C-101B-9397-08002B2CF9AE}" pid="19" name="Mendeley Recent Style Name 8_1">
    <vt:lpwstr>South African Journal of Botany</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f4a8946f-5915-3795-8045-c086df93df8b</vt:lpwstr>
  </property>
  <property fmtid="{D5CDD505-2E9C-101B-9397-08002B2CF9AE}" pid="24" name="Mendeley Citation Style_1">
    <vt:lpwstr>http://www.zotero.org/styles/apa</vt:lpwstr>
  </property>
</Properties>
</file>