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F070" w14:textId="7D939007" w:rsidR="007C0FEA" w:rsidRDefault="007C0FEA">
      <w:pPr>
        <w:jc w:val="right"/>
        <w:rPr>
          <w:rFonts w:ascii="Times New Roman" w:hAnsi="Times New Roman"/>
          <w:b/>
          <w:color w:val="000000"/>
        </w:rPr>
      </w:pPr>
      <w:r w:rsidRPr="007C0FEA">
        <w:rPr>
          <w:rFonts w:ascii="Times New Roman" w:hAnsi="Times New Roman" w:hint="eastAsia"/>
          <w:b/>
          <w:color w:val="000000"/>
        </w:rPr>
        <w:t>Original Research Article</w:t>
      </w:r>
    </w:p>
    <w:p w14:paraId="51E6BC29" w14:textId="77777777" w:rsidR="007C0FEA" w:rsidRDefault="007C0FEA">
      <w:pPr>
        <w:jc w:val="right"/>
        <w:rPr>
          <w:rFonts w:ascii="Times New Roman" w:hAnsi="Times New Roman"/>
          <w:b/>
          <w:color w:val="000000"/>
        </w:rPr>
      </w:pPr>
    </w:p>
    <w:p w14:paraId="7B0031C6" w14:textId="7359AA4A" w:rsidR="009A692A" w:rsidRDefault="002A3522">
      <w:pPr>
        <w:jc w:val="right"/>
        <w:rPr>
          <w:rFonts w:hint="eastAsia"/>
        </w:rPr>
      </w:pPr>
      <w:r>
        <w:rPr>
          <w:rFonts w:ascii="Times New Roman" w:hAnsi="Times New Roman"/>
          <w:b/>
          <w:color w:val="000000"/>
        </w:rPr>
        <w:t>Production and characterisation of potato (</w:t>
      </w:r>
      <w:r>
        <w:rPr>
          <w:rFonts w:ascii="Times New Roman" w:hAnsi="Times New Roman"/>
          <w:b/>
          <w:bCs/>
          <w:i/>
          <w:iCs/>
          <w:color w:val="000000"/>
        </w:rPr>
        <w:t>Solanum tuberosum)</w:t>
      </w:r>
      <w:r>
        <w:rPr>
          <w:rFonts w:ascii="Times New Roman" w:hAnsi="Times New Roman"/>
          <w:b/>
          <w:color w:val="000000"/>
        </w:rPr>
        <w:t xml:space="preserve"> chips produced with Moringa leaves powder and soybean flour </w:t>
      </w:r>
    </w:p>
    <w:p w14:paraId="518280D9" w14:textId="77777777" w:rsidR="009A692A" w:rsidRDefault="009A692A">
      <w:pPr>
        <w:ind w:left="426"/>
        <w:jc w:val="right"/>
        <w:rPr>
          <w:rFonts w:ascii="Times New Roman" w:hAnsi="Times New Roman"/>
          <w:color w:val="000000"/>
        </w:rPr>
      </w:pPr>
    </w:p>
    <w:p w14:paraId="6BB2A85D" w14:textId="2F51732B" w:rsidR="009A692A" w:rsidRDefault="009A692A">
      <w:pPr>
        <w:keepNext/>
        <w:keepLines/>
        <w:outlineLvl w:val="0"/>
        <w:rPr>
          <w:rFonts w:ascii="Times New Roman" w:eastAsiaTheme="majorEastAsia" w:hAnsi="Times New Roman"/>
          <w:b/>
          <w:bCs/>
          <w:color w:val="000000"/>
        </w:rPr>
      </w:pPr>
      <w:bookmarkStart w:id="0" w:name="_Toc496776796"/>
      <w:bookmarkStart w:id="1" w:name="_Toc497301330"/>
      <w:bookmarkStart w:id="2" w:name="_Toc128078850"/>
    </w:p>
    <w:p w14:paraId="62BBFF5A" w14:textId="66D65403" w:rsidR="00425F09" w:rsidRDefault="00425F09">
      <w:pPr>
        <w:keepNext/>
        <w:keepLines/>
        <w:outlineLvl w:val="0"/>
        <w:rPr>
          <w:rFonts w:ascii="Times New Roman" w:eastAsiaTheme="majorEastAsia" w:hAnsi="Times New Roman"/>
          <w:b/>
          <w:bCs/>
          <w:color w:val="000000"/>
        </w:rPr>
      </w:pPr>
    </w:p>
    <w:p w14:paraId="4761EEFA" w14:textId="77777777" w:rsidR="00425F09" w:rsidRDefault="00425F09">
      <w:pPr>
        <w:keepNext/>
        <w:keepLines/>
        <w:outlineLvl w:val="0"/>
        <w:rPr>
          <w:rFonts w:ascii="Times New Roman" w:eastAsiaTheme="majorEastAsia" w:hAnsi="Times New Roman"/>
          <w:b/>
          <w:bCs/>
          <w:color w:val="000000"/>
        </w:rPr>
      </w:pPr>
    </w:p>
    <w:p w14:paraId="3FF1E4F5" w14:textId="77777777" w:rsidR="009A692A" w:rsidRDefault="002A3522">
      <w:pPr>
        <w:keepNext/>
        <w:keepLines/>
        <w:outlineLvl w:val="0"/>
        <w:rPr>
          <w:rFonts w:ascii="Arial" w:hAnsi="Arial"/>
          <w:sz w:val="22"/>
          <w:szCs w:val="22"/>
        </w:rPr>
      </w:pPr>
      <w:r>
        <w:rPr>
          <w:rFonts w:ascii="Arial" w:eastAsiaTheme="majorEastAsia" w:hAnsi="Arial"/>
          <w:b/>
          <w:bCs/>
          <w:color w:val="000000"/>
          <w:sz w:val="22"/>
          <w:szCs w:val="22"/>
        </w:rPr>
        <w:t>ABSTRACT</w:t>
      </w:r>
      <w:bookmarkEnd w:id="0"/>
      <w:bookmarkEnd w:id="1"/>
      <w:bookmarkEnd w:id="2"/>
    </w:p>
    <w:p w14:paraId="3DE95782" w14:textId="77777777" w:rsidR="009A692A" w:rsidRDefault="002A3522">
      <w:pPr>
        <w:jc w:val="both"/>
        <w:rPr>
          <w:rFonts w:ascii="Arial" w:hAnsi="Arial"/>
          <w:sz w:val="22"/>
          <w:szCs w:val="22"/>
        </w:rPr>
      </w:pPr>
      <w:r>
        <w:rPr>
          <w:rFonts w:ascii="Arial" w:hAnsi="Arial"/>
          <w:b/>
          <w:bCs/>
          <w:color w:val="000000"/>
          <w:sz w:val="22"/>
          <w:szCs w:val="22"/>
        </w:rPr>
        <w:t>Aims :</w:t>
      </w:r>
      <w:r>
        <w:rPr>
          <w:rFonts w:ascii="Arial" w:hAnsi="Arial"/>
          <w:color w:val="000000"/>
          <w:sz w:val="22"/>
          <w:szCs w:val="22"/>
        </w:rPr>
        <w:t xml:space="preserve"> Food insecurity and malnutrition are part of the major problems in developing countries and there is a need to develop enriched foods to tackle these problems. This work aimed at producing and characterising enriched potato chips using moringa powder and </w:t>
      </w:r>
      <w:r>
        <w:rPr>
          <w:rFonts w:ascii="Arial" w:hAnsi="Arial"/>
          <w:color w:val="000000"/>
          <w:sz w:val="22"/>
          <w:szCs w:val="22"/>
        </w:rPr>
        <w:t xml:space="preserve">soybean flour. </w:t>
      </w:r>
    </w:p>
    <w:p w14:paraId="3BCEDB29" w14:textId="77777777" w:rsidR="009A692A" w:rsidRDefault="002A3522">
      <w:pPr>
        <w:jc w:val="both"/>
        <w:rPr>
          <w:rFonts w:ascii="Arial" w:hAnsi="Arial"/>
          <w:sz w:val="22"/>
          <w:szCs w:val="22"/>
        </w:rPr>
      </w:pPr>
      <w:r>
        <w:rPr>
          <w:rFonts w:ascii="Arial" w:hAnsi="Arial"/>
          <w:b/>
          <w:bCs/>
          <w:color w:val="000000"/>
          <w:sz w:val="22"/>
          <w:szCs w:val="22"/>
        </w:rPr>
        <w:t>Methodology :</w:t>
      </w:r>
      <w:r>
        <w:rPr>
          <w:rFonts w:ascii="Arial" w:hAnsi="Arial"/>
          <w:color w:val="000000"/>
          <w:sz w:val="22"/>
          <w:szCs w:val="22"/>
        </w:rPr>
        <w:t xml:space="preserve"> Samples of potato chips with various concentrations of moringa powder and/or soybean flour were prepared and their nutritional parameters, energy, antioxidant components and sensory properties  investigated. There was a genera</w:t>
      </w:r>
      <w:r>
        <w:rPr>
          <w:rFonts w:ascii="Arial" w:hAnsi="Arial"/>
          <w:color w:val="000000"/>
          <w:sz w:val="22"/>
          <w:szCs w:val="22"/>
        </w:rPr>
        <w:t>l decrease in the carbohydrate content with the incorporation of either soybean or moringa or both</w:t>
      </w:r>
      <w:r>
        <w:rPr>
          <w:rFonts w:ascii="Arial" w:eastAsia="GaramondPremrPro" w:hAnsi="Arial"/>
          <w:color w:val="000000"/>
          <w:sz w:val="22"/>
          <w:szCs w:val="22"/>
        </w:rPr>
        <w:t xml:space="preserve">. </w:t>
      </w:r>
    </w:p>
    <w:p w14:paraId="09BA91EF" w14:textId="77777777" w:rsidR="009A692A" w:rsidRDefault="002A3522">
      <w:pPr>
        <w:jc w:val="both"/>
        <w:rPr>
          <w:rFonts w:ascii="Arial" w:hAnsi="Arial"/>
          <w:sz w:val="22"/>
          <w:szCs w:val="22"/>
        </w:rPr>
      </w:pPr>
      <w:r>
        <w:rPr>
          <w:rFonts w:ascii="Arial" w:eastAsia="GaramondPremrPro" w:hAnsi="Arial"/>
          <w:b/>
          <w:bCs/>
          <w:color w:val="000000"/>
          <w:sz w:val="22"/>
          <w:szCs w:val="22"/>
        </w:rPr>
        <w:t>Results </w:t>
      </w:r>
      <w:r>
        <w:rPr>
          <w:rFonts w:ascii="Arial" w:eastAsia="GaramondPremrPro" w:hAnsi="Arial"/>
          <w:color w:val="000000"/>
          <w:sz w:val="22"/>
          <w:szCs w:val="22"/>
        </w:rPr>
        <w:t xml:space="preserve">: Fibers and ash contents increased markedly with addition of moringa and  combination of soybean and moringa as compared to the control sample. </w:t>
      </w:r>
      <w:r>
        <w:rPr>
          <w:rFonts w:ascii="Arial" w:hAnsi="Arial"/>
          <w:color w:val="000000"/>
          <w:sz w:val="22"/>
          <w:szCs w:val="22"/>
        </w:rPr>
        <w:t>Th</w:t>
      </w:r>
      <w:r>
        <w:rPr>
          <w:rFonts w:ascii="Arial" w:hAnsi="Arial"/>
          <w:color w:val="000000"/>
          <w:sz w:val="22"/>
          <w:szCs w:val="22"/>
        </w:rPr>
        <w:t>e addition of either soybean and/or moringa increased the protein and fat contents with the highest effect observed with 15% soybean and 15/15 % moringa and soybean. As compared to other samples, soybean-enriched potato chips samples displayed higher amoun</w:t>
      </w:r>
      <w:r>
        <w:rPr>
          <w:rFonts w:ascii="Arial" w:hAnsi="Arial"/>
          <w:color w:val="000000"/>
          <w:sz w:val="22"/>
          <w:szCs w:val="22"/>
        </w:rPr>
        <w:t xml:space="preserve">ts of total calories. </w:t>
      </w:r>
      <w:r>
        <w:rPr>
          <w:rFonts w:ascii="Arial" w:eastAsia="GaramondPremrPro" w:hAnsi="Arial"/>
          <w:color w:val="000000"/>
          <w:sz w:val="22"/>
          <w:szCs w:val="22"/>
        </w:rPr>
        <w:t>Globally,</w:t>
      </w:r>
      <w:r>
        <w:rPr>
          <w:rFonts w:ascii="Arial" w:hAnsi="Arial"/>
          <w:color w:val="000000"/>
          <w:sz w:val="22"/>
          <w:szCs w:val="22"/>
        </w:rPr>
        <w:t xml:space="preserve"> supplementation with soybean and/or moringa decreased the moisture content of the potato chips (from 5.67±0.</w:t>
      </w:r>
      <w:r>
        <w:rPr>
          <w:rFonts w:ascii="Arial" w:hAnsi="Arial"/>
          <w:bCs/>
          <w:color w:val="000000"/>
          <w:sz w:val="22"/>
          <w:szCs w:val="22"/>
        </w:rPr>
        <w:t xml:space="preserve"> 22 % in 100 % potato chips to 2.16±0.01 % in potato chips containing </w:t>
      </w:r>
      <w:r>
        <w:rPr>
          <w:rFonts w:ascii="Arial" w:hAnsi="Arial" w:cs="Times New Roman"/>
          <w:bCs/>
          <w:color w:val="000000"/>
          <w:sz w:val="22"/>
          <w:szCs w:val="22"/>
        </w:rPr>
        <w:t>15% moringa and 10% soybean)</w:t>
      </w:r>
      <w:r>
        <w:rPr>
          <w:rFonts w:ascii="Arial" w:hAnsi="Arial"/>
          <w:bCs/>
          <w:color w:val="000000"/>
          <w:sz w:val="22"/>
          <w:szCs w:val="22"/>
        </w:rPr>
        <w:t xml:space="preserve"> </w:t>
      </w:r>
      <w:r>
        <w:rPr>
          <w:rFonts w:ascii="Arial" w:hAnsi="Arial"/>
          <w:color w:val="000000"/>
          <w:sz w:val="22"/>
          <w:szCs w:val="22"/>
        </w:rPr>
        <w:t xml:space="preserve">. The addition of moringa powder especially from 15% and moringa in combination with soybean significantly increased the β-carotene content of the potato chips (from 0.01±0.01mg/100g in 100 % potato chips to 0.58 ±0.03mg/100g in sample containg </w:t>
      </w:r>
      <w:r>
        <w:rPr>
          <w:rFonts w:ascii="Arial" w:hAnsi="Arial" w:cs="Times New Roman"/>
          <w:color w:val="000000"/>
          <w:sz w:val="22"/>
          <w:szCs w:val="22"/>
        </w:rPr>
        <w:t>15% moringa</w:t>
      </w:r>
      <w:r>
        <w:rPr>
          <w:rFonts w:ascii="Arial" w:hAnsi="Arial" w:cs="Times New Roman"/>
          <w:color w:val="000000"/>
          <w:sz w:val="22"/>
          <w:szCs w:val="22"/>
        </w:rPr>
        <w:t xml:space="preserve"> and 15% soybean).</w:t>
      </w:r>
      <w:r>
        <w:rPr>
          <w:rFonts w:ascii="Arial" w:hAnsi="Arial"/>
          <w:color w:val="000000"/>
          <w:sz w:val="22"/>
          <w:szCs w:val="22"/>
        </w:rPr>
        <w:t xml:space="preserve"> Enriched potatoes were highly accepted except for those containing moringa. </w:t>
      </w:r>
      <w:r>
        <w:rPr>
          <w:rFonts w:ascii="Arial" w:eastAsia="Calibri" w:hAnsi="Arial"/>
          <w:color w:val="000000"/>
          <w:sz w:val="22"/>
          <w:szCs w:val="22"/>
        </w:rPr>
        <w:t xml:space="preserve">In conclusion, moringa and/or soybean-enriched potato chips display distinct nutritional, antioxidant, and sensory properties. </w:t>
      </w:r>
    </w:p>
    <w:p w14:paraId="557D2FBA" w14:textId="77777777" w:rsidR="009A692A" w:rsidRDefault="002A3522">
      <w:pPr>
        <w:jc w:val="both"/>
        <w:rPr>
          <w:rFonts w:ascii="Arial" w:hAnsi="Arial"/>
          <w:sz w:val="22"/>
          <w:szCs w:val="22"/>
        </w:rPr>
      </w:pPr>
      <w:r>
        <w:rPr>
          <w:rFonts w:ascii="Arial" w:eastAsia="Calibri" w:hAnsi="Arial"/>
          <w:b/>
          <w:bCs/>
          <w:color w:val="000000"/>
          <w:sz w:val="22"/>
          <w:szCs w:val="22"/>
        </w:rPr>
        <w:t>Conclusion </w:t>
      </w:r>
      <w:r>
        <w:rPr>
          <w:rFonts w:ascii="Arial" w:eastAsia="Calibri" w:hAnsi="Arial"/>
          <w:color w:val="000000"/>
          <w:sz w:val="22"/>
          <w:szCs w:val="22"/>
        </w:rPr>
        <w:t>: Combined</w:t>
      </w:r>
      <w:r>
        <w:rPr>
          <w:rFonts w:ascii="Arial" w:eastAsia="Calibri" w:hAnsi="Arial"/>
          <w:color w:val="000000"/>
          <w:sz w:val="22"/>
          <w:szCs w:val="22"/>
        </w:rPr>
        <w:t xml:space="preserve"> moringa and soybean-based potato chips demonstrated high nutrient and antioxidant contents that support their potential consideration in the prevention or management of related health affections within our communities.</w:t>
      </w:r>
    </w:p>
    <w:p w14:paraId="3E9CCB5C" w14:textId="77777777" w:rsidR="009A692A" w:rsidRDefault="002A3522">
      <w:pPr>
        <w:tabs>
          <w:tab w:val="left" w:pos="720"/>
        </w:tabs>
        <w:jc w:val="both"/>
        <w:rPr>
          <w:rFonts w:ascii="Arial" w:hAnsi="Arial"/>
          <w:sz w:val="22"/>
          <w:szCs w:val="22"/>
        </w:rPr>
      </w:pPr>
      <w:r>
        <w:rPr>
          <w:rFonts w:ascii="Arial" w:hAnsi="Arial"/>
          <w:b/>
          <w:color w:val="000000"/>
          <w:sz w:val="22"/>
          <w:szCs w:val="22"/>
        </w:rPr>
        <w:t xml:space="preserve">Keywords: </w:t>
      </w:r>
      <w:r>
        <w:rPr>
          <w:rFonts w:ascii="Arial" w:hAnsi="Arial"/>
          <w:color w:val="000000"/>
          <w:sz w:val="22"/>
          <w:szCs w:val="22"/>
        </w:rPr>
        <w:t>Food enrichment, Potato ch</w:t>
      </w:r>
      <w:r>
        <w:rPr>
          <w:rFonts w:ascii="Arial" w:hAnsi="Arial"/>
          <w:color w:val="000000"/>
          <w:sz w:val="22"/>
          <w:szCs w:val="22"/>
        </w:rPr>
        <w:t>ip</w:t>
      </w:r>
      <w:r>
        <w:rPr>
          <w:rFonts w:ascii="Arial" w:eastAsia="GaramondPremrPro" w:hAnsi="Arial"/>
          <w:color w:val="000000"/>
          <w:sz w:val="22"/>
          <w:szCs w:val="22"/>
        </w:rPr>
        <w:t>s</w:t>
      </w:r>
      <w:r>
        <w:rPr>
          <w:rFonts w:ascii="Arial" w:hAnsi="Arial"/>
          <w:color w:val="000000"/>
          <w:sz w:val="22"/>
          <w:szCs w:val="22"/>
        </w:rPr>
        <w:t>, Moringa, Physico-chemical properties, Soybean.</w:t>
      </w:r>
    </w:p>
    <w:p w14:paraId="20326BA1" w14:textId="77777777" w:rsidR="009A692A" w:rsidRDefault="009A692A">
      <w:pPr>
        <w:tabs>
          <w:tab w:val="left" w:pos="720"/>
        </w:tabs>
        <w:jc w:val="both"/>
        <w:rPr>
          <w:rFonts w:ascii="Times New Roman" w:hAnsi="Times New Roman"/>
          <w:color w:val="000000"/>
        </w:rPr>
      </w:pPr>
    </w:p>
    <w:p w14:paraId="4957C5D9" w14:textId="77777777" w:rsidR="009A692A" w:rsidRDefault="002A3522">
      <w:pPr>
        <w:jc w:val="both"/>
        <w:rPr>
          <w:rFonts w:ascii="Arial" w:hAnsi="Arial"/>
          <w:sz w:val="22"/>
          <w:szCs w:val="22"/>
        </w:rPr>
      </w:pPr>
      <w:r>
        <w:rPr>
          <w:rFonts w:ascii="Arial" w:hAnsi="Arial"/>
          <w:b/>
          <w:color w:val="000000"/>
          <w:sz w:val="22"/>
          <w:szCs w:val="22"/>
        </w:rPr>
        <w:t>1. INTRODUCTION</w:t>
      </w:r>
    </w:p>
    <w:p w14:paraId="474DDED0" w14:textId="77777777" w:rsidR="009A692A" w:rsidRDefault="002A3522">
      <w:pPr>
        <w:jc w:val="both"/>
        <w:rPr>
          <w:rFonts w:ascii="Arial" w:hAnsi="Arial"/>
          <w:sz w:val="20"/>
          <w:szCs w:val="20"/>
        </w:rPr>
      </w:pPr>
      <w:r>
        <w:rPr>
          <w:rFonts w:ascii="Arial" w:hAnsi="Arial"/>
          <w:color w:val="000000"/>
          <w:sz w:val="20"/>
          <w:szCs w:val="20"/>
        </w:rPr>
        <w:t xml:space="preserve">Food security remains a major concern in most African countries with high population growth rates, high levels of post-harvest losses, and limited transformation of agricultural products </w:t>
      </w:r>
      <w:r>
        <w:rPr>
          <w:rFonts w:ascii="Arial" w:hAnsi="Arial"/>
          <w:color w:val="000000"/>
          <w:sz w:val="20"/>
          <w:szCs w:val="20"/>
        </w:rPr>
        <w:t>to feed an ever-growing population. Given that most crops are seasonal, there is a need for the transformation of crops into improved value-added products with increased stability and shelf life, to meet an all-year-round demand of non-producing areas (Muk</w:t>
      </w:r>
      <w:r>
        <w:rPr>
          <w:rFonts w:ascii="Arial" w:hAnsi="Arial"/>
          <w:color w:val="000000"/>
          <w:sz w:val="20"/>
          <w:szCs w:val="20"/>
        </w:rPr>
        <w:t>asa et al. 2017; Stathers et al. 2020; Wudil et al. 2022).</w:t>
      </w:r>
    </w:p>
    <w:p w14:paraId="1169A842" w14:textId="77777777" w:rsidR="009A692A" w:rsidRDefault="002A3522">
      <w:pPr>
        <w:jc w:val="both"/>
        <w:rPr>
          <w:rFonts w:ascii="Arial" w:hAnsi="Arial"/>
          <w:sz w:val="20"/>
          <w:szCs w:val="20"/>
        </w:rPr>
      </w:pPr>
      <w:r>
        <w:rPr>
          <w:rFonts w:ascii="Arial" w:hAnsi="Arial"/>
          <w:color w:val="000000"/>
          <w:sz w:val="20"/>
          <w:szCs w:val="20"/>
        </w:rPr>
        <w:t xml:space="preserve">Potato scientifically known as </w:t>
      </w:r>
      <w:r>
        <w:rPr>
          <w:rFonts w:ascii="Arial" w:hAnsi="Arial"/>
          <w:i/>
          <w:color w:val="000000"/>
          <w:sz w:val="20"/>
          <w:szCs w:val="20"/>
        </w:rPr>
        <w:t xml:space="preserve">Solanum tuberosum </w:t>
      </w:r>
      <w:r>
        <w:rPr>
          <w:rFonts w:ascii="Arial" w:hAnsi="Arial"/>
          <w:color w:val="000000"/>
          <w:sz w:val="20"/>
          <w:szCs w:val="20"/>
        </w:rPr>
        <w:t xml:space="preserve">is an important worldwide crop that ranks fourth as the world's largest food crop after maize (corn), wheat, and rice. </w:t>
      </w:r>
      <w:r>
        <w:rPr>
          <w:rFonts w:ascii="Arial" w:hAnsi="Arial"/>
          <w:i/>
          <w:color w:val="000000"/>
          <w:sz w:val="20"/>
          <w:szCs w:val="20"/>
        </w:rPr>
        <w:t xml:space="preserve">S. tuberosum </w:t>
      </w:r>
      <w:r>
        <w:rPr>
          <w:rFonts w:ascii="Arial" w:hAnsi="Arial"/>
          <w:color w:val="000000"/>
          <w:sz w:val="20"/>
          <w:szCs w:val="20"/>
        </w:rPr>
        <w:t>can be processed</w:t>
      </w:r>
      <w:r>
        <w:rPr>
          <w:rFonts w:ascii="Arial" w:hAnsi="Arial"/>
          <w:color w:val="000000"/>
          <w:sz w:val="20"/>
          <w:szCs w:val="20"/>
        </w:rPr>
        <w:t xml:space="preserve"> into many products with different nutritional attributes and implications ranging from undernutrition, and disease occurrence to issues of overnutrition which include obesity, diabetes, heart disease </w:t>
      </w:r>
      <w:r>
        <w:rPr>
          <w:rFonts w:ascii="Arial" w:hAnsi="Arial"/>
          <w:bCs/>
          <w:color w:val="000000"/>
          <w:sz w:val="20"/>
          <w:szCs w:val="20"/>
        </w:rPr>
        <w:t xml:space="preserve">as well as </w:t>
      </w:r>
      <w:r>
        <w:rPr>
          <w:rFonts w:ascii="Arial" w:hAnsi="Arial"/>
          <w:color w:val="000000"/>
          <w:sz w:val="20"/>
          <w:szCs w:val="20"/>
        </w:rPr>
        <w:t xml:space="preserve">food insecurity. It is one of the leading </w:t>
      </w:r>
      <w:r>
        <w:rPr>
          <w:rFonts w:ascii="Arial" w:hAnsi="Arial"/>
          <w:color w:val="000000"/>
          <w:sz w:val="20"/>
          <w:szCs w:val="20"/>
        </w:rPr>
        <w:t xml:space="preserve">food crops thanks to its unusually wide adaptability to very different conditions of soil and climate which fosters its cultivation throughout the continents (Furrer et al. 2018). In Cameroon, the production of </w:t>
      </w:r>
      <w:r>
        <w:rPr>
          <w:rFonts w:ascii="Arial" w:hAnsi="Arial"/>
          <w:i/>
          <w:color w:val="000000"/>
          <w:sz w:val="20"/>
          <w:szCs w:val="20"/>
        </w:rPr>
        <w:t>S. tuberosum</w:t>
      </w:r>
      <w:r>
        <w:rPr>
          <w:rFonts w:ascii="Arial" w:hAnsi="Arial"/>
          <w:color w:val="000000"/>
          <w:sz w:val="20"/>
          <w:szCs w:val="20"/>
        </w:rPr>
        <w:t xml:space="preserve"> has been very steady since 1997 </w:t>
      </w:r>
      <w:r>
        <w:rPr>
          <w:rFonts w:ascii="Arial" w:hAnsi="Arial"/>
          <w:color w:val="000000"/>
          <w:sz w:val="20"/>
          <w:szCs w:val="20"/>
        </w:rPr>
        <w:t>with a global annual production reaching 350,000 tons in 2015 (Tambi and Bobuin 2023). Potato contains compounds and nutrients including phenolic acids, anthocyanin, flavonoids, vitamin B6, vitamin B3, pantothenic acid, potassium, manganese, phosphorous; c</w:t>
      </w:r>
      <w:r>
        <w:rPr>
          <w:rFonts w:ascii="Arial" w:hAnsi="Arial"/>
          <w:color w:val="000000"/>
          <w:sz w:val="20"/>
          <w:szCs w:val="20"/>
        </w:rPr>
        <w:t>opper, and fibres (Anjum et al</w:t>
      </w:r>
      <w:r>
        <w:rPr>
          <w:rFonts w:ascii="Arial" w:hAnsi="Arial"/>
          <w:i/>
          <w:color w:val="000000"/>
          <w:sz w:val="20"/>
          <w:szCs w:val="20"/>
        </w:rPr>
        <w:t>.</w:t>
      </w:r>
      <w:r>
        <w:rPr>
          <w:rFonts w:ascii="Arial" w:hAnsi="Arial"/>
          <w:color w:val="000000"/>
          <w:sz w:val="20"/>
          <w:szCs w:val="20"/>
        </w:rPr>
        <w:t xml:space="preserve"> 2018). It is easily processed into potato products such as crisps, flakes, canned and mashed potatoes, ready meals, and fried chips (Naziri et al. 2024).</w:t>
      </w:r>
    </w:p>
    <w:p w14:paraId="1D68A586" w14:textId="77777777" w:rsidR="009A692A" w:rsidRDefault="002A3522">
      <w:pPr>
        <w:jc w:val="both"/>
        <w:rPr>
          <w:rFonts w:hint="eastAsia"/>
        </w:rPr>
      </w:pPr>
      <w:r>
        <w:rPr>
          <w:rStyle w:val="Accentuation"/>
          <w:rFonts w:ascii="Arial" w:hAnsi="Arial"/>
          <w:color w:val="000000"/>
          <w:sz w:val="20"/>
          <w:szCs w:val="20"/>
        </w:rPr>
        <w:t xml:space="preserve">Moringa oleifera </w:t>
      </w:r>
      <w:r>
        <w:rPr>
          <w:rFonts w:ascii="Arial" w:hAnsi="Arial"/>
          <w:color w:val="000000"/>
          <w:sz w:val="20"/>
          <w:szCs w:val="20"/>
        </w:rPr>
        <w:t>commonly known as Moringa is an edible tree found wor</w:t>
      </w:r>
      <w:r>
        <w:rPr>
          <w:rFonts w:ascii="Arial" w:hAnsi="Arial"/>
          <w:color w:val="000000"/>
          <w:sz w:val="20"/>
          <w:szCs w:val="20"/>
        </w:rPr>
        <w:t xml:space="preserve">ldwide that originated from the Himalayas but is also found in the dry tropics, and is increasingly being used for nutritional supplementation. </w:t>
      </w:r>
      <w:r>
        <w:rPr>
          <w:rStyle w:val="Accentuation"/>
          <w:rFonts w:ascii="Arial" w:hAnsi="Arial"/>
          <w:color w:val="000000"/>
          <w:sz w:val="20"/>
          <w:szCs w:val="20"/>
        </w:rPr>
        <w:t>M. oleifera</w:t>
      </w:r>
      <w:r>
        <w:rPr>
          <w:rFonts w:ascii="Arial" w:hAnsi="Arial"/>
          <w:color w:val="000000"/>
          <w:sz w:val="20"/>
          <w:szCs w:val="20"/>
        </w:rPr>
        <w:t xml:space="preserve"> leaves are rich in nutrients such as provitamin A, vitamin C, calcium, potassium, iron, and protein </w:t>
      </w:r>
      <w:r>
        <w:rPr>
          <w:rFonts w:ascii="Arial" w:hAnsi="Arial"/>
          <w:color w:val="000000"/>
          <w:sz w:val="20"/>
          <w:szCs w:val="20"/>
        </w:rPr>
        <w:t xml:space="preserve">(Abbas et al. 2018). It is used for the management of diseases including respiratory illnesses, ear and dental infections, hypertension, diabetes, and cancer treatment. In fact, it has demonstrated potential health </w:t>
      </w:r>
      <w:r>
        <w:rPr>
          <w:rFonts w:ascii="Arial" w:hAnsi="Arial"/>
          <w:color w:val="000000"/>
          <w:sz w:val="20"/>
          <w:szCs w:val="20"/>
        </w:rPr>
        <w:lastRenderedPageBreak/>
        <w:t>benefits which include anti-oxidant, anti</w:t>
      </w:r>
      <w:r>
        <w:rPr>
          <w:rFonts w:ascii="Arial" w:hAnsi="Arial"/>
          <w:color w:val="000000"/>
          <w:sz w:val="20"/>
          <w:szCs w:val="20"/>
        </w:rPr>
        <w:t>-diabetic, anti-microbial, anti-inflammatory, and anti-cholesterol properties (Anwar et al</w:t>
      </w:r>
      <w:r>
        <w:rPr>
          <w:rFonts w:ascii="Arial" w:hAnsi="Arial"/>
          <w:i/>
          <w:iCs/>
          <w:color w:val="000000"/>
          <w:sz w:val="20"/>
          <w:szCs w:val="20"/>
        </w:rPr>
        <w:t>.</w:t>
      </w:r>
      <w:r>
        <w:rPr>
          <w:rFonts w:ascii="Arial" w:hAnsi="Arial"/>
          <w:color w:val="000000"/>
          <w:sz w:val="20"/>
          <w:szCs w:val="20"/>
        </w:rPr>
        <w:t xml:space="preserve"> 2007; Paikra et al. 2017). On the other hand, </w:t>
      </w:r>
      <w:r>
        <w:rPr>
          <w:rFonts w:ascii="Arial" w:hAnsi="Arial"/>
          <w:i/>
          <w:color w:val="000000"/>
          <w:sz w:val="20"/>
          <w:szCs w:val="20"/>
        </w:rPr>
        <w:t xml:space="preserve">Gylcine max </w:t>
      </w:r>
      <w:r>
        <w:rPr>
          <w:rFonts w:ascii="Arial" w:hAnsi="Arial"/>
          <w:color w:val="000000"/>
          <w:sz w:val="20"/>
          <w:szCs w:val="20"/>
        </w:rPr>
        <w:t>commonly called soybean is a food with high nutritional value and it is probably the world’s most valuable</w:t>
      </w:r>
      <w:r>
        <w:rPr>
          <w:rFonts w:ascii="Arial" w:hAnsi="Arial"/>
          <w:color w:val="000000"/>
          <w:sz w:val="20"/>
          <w:szCs w:val="20"/>
        </w:rPr>
        <w:t xml:space="preserve"> crop and most used item in livestock feed globally. Soybean is a source of dietary protein for millions of people and it is used in the manufacture of many items. Owing to this high nutritional value, it is used as a nutritional supplement for pregnant wo</w:t>
      </w:r>
      <w:r>
        <w:rPr>
          <w:rFonts w:ascii="Arial" w:hAnsi="Arial"/>
          <w:color w:val="000000"/>
          <w:sz w:val="20"/>
          <w:szCs w:val="20"/>
        </w:rPr>
        <w:t>men, lactating mothers, and children (Fabiyi 2009). Moringa and soybean thanks to their nutritional and health benefits are therefore suitable as enhancers for the formulation of fortified or enriched foods essential in the fight against nutrient-related d</w:t>
      </w:r>
      <w:r>
        <w:rPr>
          <w:rFonts w:ascii="Arial" w:hAnsi="Arial"/>
          <w:color w:val="000000"/>
          <w:sz w:val="20"/>
          <w:szCs w:val="20"/>
        </w:rPr>
        <w:t>iseases.</w:t>
      </w:r>
    </w:p>
    <w:p w14:paraId="52A2CC56" w14:textId="77777777" w:rsidR="009A692A" w:rsidRDefault="002A3522">
      <w:pPr>
        <w:jc w:val="both"/>
        <w:rPr>
          <w:rFonts w:ascii="Arial" w:hAnsi="Arial"/>
          <w:sz w:val="20"/>
          <w:szCs w:val="20"/>
        </w:rPr>
      </w:pPr>
      <w:r>
        <w:rPr>
          <w:rFonts w:ascii="Arial" w:hAnsi="Arial"/>
          <w:bCs/>
          <w:color w:val="000000"/>
          <w:sz w:val="20"/>
          <w:szCs w:val="20"/>
        </w:rPr>
        <w:t xml:space="preserve">Potato contributes to national food security (Woin </w:t>
      </w:r>
      <w:r>
        <w:rPr>
          <w:rFonts w:ascii="Arial" w:hAnsi="Arial"/>
          <w:color w:val="000000"/>
          <w:sz w:val="20"/>
          <w:szCs w:val="20"/>
        </w:rPr>
        <w:t>et al</w:t>
      </w:r>
      <w:r>
        <w:rPr>
          <w:rFonts w:ascii="Arial" w:hAnsi="Arial"/>
          <w:bCs/>
          <w:color w:val="000000"/>
          <w:sz w:val="20"/>
          <w:szCs w:val="20"/>
        </w:rPr>
        <w:t>. 2019).</w:t>
      </w:r>
      <w:r>
        <w:rPr>
          <w:rFonts w:ascii="Arial" w:eastAsia="Times New Roman" w:hAnsi="Arial"/>
          <w:color w:val="000000"/>
          <w:sz w:val="20"/>
          <w:szCs w:val="20"/>
        </w:rPr>
        <w:t xml:space="preserve"> Local processing of potatoes can greatly contribute to combating urban malnutrition and food insecurity in Cameroon (Nossi </w:t>
      </w:r>
      <w:r>
        <w:rPr>
          <w:rFonts w:ascii="Arial" w:hAnsi="Arial"/>
          <w:color w:val="000000"/>
          <w:sz w:val="20"/>
          <w:szCs w:val="20"/>
        </w:rPr>
        <w:t>et al</w:t>
      </w:r>
      <w:r>
        <w:rPr>
          <w:rFonts w:ascii="Arial" w:eastAsia="Times New Roman" w:hAnsi="Arial"/>
          <w:color w:val="000000"/>
          <w:sz w:val="20"/>
          <w:szCs w:val="20"/>
        </w:rPr>
        <w:t>.</w:t>
      </w:r>
      <w:r>
        <w:rPr>
          <w:rFonts w:ascii="Arial" w:eastAsia="Times New Roman" w:hAnsi="Arial"/>
          <w:i/>
          <w:color w:val="000000"/>
          <w:sz w:val="20"/>
          <w:szCs w:val="20"/>
        </w:rPr>
        <w:t xml:space="preserve"> </w:t>
      </w:r>
      <w:r>
        <w:rPr>
          <w:rFonts w:ascii="Arial" w:eastAsia="Times New Roman" w:hAnsi="Arial"/>
          <w:color w:val="000000"/>
          <w:sz w:val="20"/>
          <w:szCs w:val="20"/>
        </w:rPr>
        <w:t>2020). Despite the ability of potatoes to contribute</w:t>
      </w:r>
      <w:r>
        <w:rPr>
          <w:rFonts w:ascii="Arial" w:eastAsia="Times New Roman" w:hAnsi="Arial"/>
          <w:color w:val="000000"/>
          <w:sz w:val="20"/>
          <w:szCs w:val="20"/>
        </w:rPr>
        <w:t xml:space="preserve"> to national food security, it however does not meet the Recommended Daily Intake of micronutrients notably iron levels in humans.</w:t>
      </w:r>
      <w:r>
        <w:rPr>
          <w:rFonts w:ascii="Arial" w:hAnsi="Arial"/>
          <w:color w:val="000000"/>
          <w:sz w:val="20"/>
          <w:szCs w:val="20"/>
        </w:rPr>
        <w:t xml:space="preserve"> On the other hand, moringa being an underutilized crop in some areas (Melo et al</w:t>
      </w:r>
      <w:r>
        <w:rPr>
          <w:rFonts w:ascii="Arial" w:hAnsi="Arial"/>
          <w:i/>
          <w:color w:val="000000"/>
          <w:sz w:val="20"/>
          <w:szCs w:val="20"/>
        </w:rPr>
        <w:t xml:space="preserve">. </w:t>
      </w:r>
      <w:r>
        <w:rPr>
          <w:rFonts w:ascii="Arial" w:hAnsi="Arial"/>
          <w:color w:val="000000"/>
          <w:sz w:val="20"/>
          <w:szCs w:val="20"/>
        </w:rPr>
        <w:t>2013) yet containing an exceptional concent</w:t>
      </w:r>
      <w:r>
        <w:rPr>
          <w:rFonts w:ascii="Arial" w:hAnsi="Arial"/>
          <w:color w:val="000000"/>
          <w:sz w:val="20"/>
          <w:szCs w:val="20"/>
        </w:rPr>
        <w:t>ration of nutrients (Abbas et al. 2018) can be incorporated into food to address nutrient deficiencies (Chan et al. 2021; Trigo et al. 2023). Also, soybeans being a rich source of high-quality protein and fat, and a good source of energy can therefore be u</w:t>
      </w:r>
      <w:r>
        <w:rPr>
          <w:rFonts w:ascii="Arial" w:hAnsi="Arial"/>
          <w:color w:val="000000"/>
          <w:sz w:val="20"/>
          <w:szCs w:val="20"/>
        </w:rPr>
        <w:t>sed to address protein-calorie malnutrition (Fabiyi 2009). This study was therefore designed to produce and characterise potato chips enriched with moringa and/or soybean as a contribution to the fight against nutrient-related diseases.</w:t>
      </w:r>
    </w:p>
    <w:p w14:paraId="4A85E418" w14:textId="77777777" w:rsidR="009A692A" w:rsidRDefault="009A692A">
      <w:pPr>
        <w:pStyle w:val="Heading3"/>
        <w:spacing w:before="0" w:after="0" w:line="240" w:lineRule="auto"/>
        <w:ind w:left="0" w:firstLine="0"/>
        <w:rPr>
          <w:rFonts w:ascii="Arial" w:hAnsi="Arial" w:cs="Times New Roman"/>
          <w:color w:val="000000"/>
          <w:sz w:val="20"/>
          <w:szCs w:val="20"/>
        </w:rPr>
      </w:pPr>
    </w:p>
    <w:p w14:paraId="0D8C594B" w14:textId="77777777" w:rsidR="009A692A" w:rsidRDefault="002A3522">
      <w:pPr>
        <w:pStyle w:val="Heading3"/>
        <w:spacing w:before="0" w:after="0" w:line="360" w:lineRule="auto"/>
        <w:ind w:left="0" w:firstLine="0"/>
        <w:rPr>
          <w:rFonts w:ascii="Arial" w:hAnsi="Arial"/>
          <w:sz w:val="22"/>
        </w:rPr>
      </w:pPr>
      <w:r>
        <w:rPr>
          <w:rFonts w:ascii="Arial" w:hAnsi="Arial" w:cs="Times New Roman"/>
          <w:color w:val="000000"/>
          <w:sz w:val="22"/>
        </w:rPr>
        <w:t>2. MATERIALS AND M</w:t>
      </w:r>
      <w:r>
        <w:rPr>
          <w:rFonts w:ascii="Arial" w:hAnsi="Arial" w:cs="Times New Roman"/>
          <w:color w:val="000000"/>
          <w:sz w:val="22"/>
        </w:rPr>
        <w:t>ETHODS</w:t>
      </w:r>
    </w:p>
    <w:p w14:paraId="5C4A4D4A" w14:textId="77777777" w:rsidR="009A692A" w:rsidRDefault="002A3522">
      <w:pPr>
        <w:spacing w:line="360" w:lineRule="auto"/>
        <w:rPr>
          <w:rFonts w:ascii="Arial" w:hAnsi="Arial"/>
          <w:sz w:val="20"/>
          <w:szCs w:val="20"/>
        </w:rPr>
      </w:pPr>
      <w:r>
        <w:rPr>
          <w:rFonts w:ascii="Arial" w:hAnsi="Arial"/>
          <w:b/>
          <w:bCs/>
          <w:color w:val="000000"/>
          <w:sz w:val="20"/>
          <w:szCs w:val="20"/>
        </w:rPr>
        <w:t>2.1.</w:t>
      </w:r>
      <w:r>
        <w:rPr>
          <w:rFonts w:ascii="Arial" w:hAnsi="Arial"/>
          <w:color w:val="000000"/>
          <w:sz w:val="20"/>
          <w:szCs w:val="20"/>
        </w:rPr>
        <w:t xml:space="preserve"> </w:t>
      </w:r>
      <w:r>
        <w:rPr>
          <w:rFonts w:ascii="Arial" w:hAnsi="Arial"/>
          <w:b/>
          <w:bCs/>
          <w:color w:val="000000"/>
          <w:sz w:val="22"/>
          <w:szCs w:val="22"/>
        </w:rPr>
        <w:t>Vegetal material and other ingredients</w:t>
      </w:r>
    </w:p>
    <w:p w14:paraId="2983EED2" w14:textId="77777777" w:rsidR="009A692A" w:rsidRDefault="002A3522">
      <w:pPr>
        <w:jc w:val="both"/>
        <w:rPr>
          <w:rFonts w:hint="eastAsia"/>
        </w:rPr>
      </w:pPr>
      <w:r>
        <w:rPr>
          <w:rFonts w:ascii="Arial" w:hAnsi="Arial"/>
          <w:bCs/>
          <w:color w:val="000000"/>
          <w:sz w:val="20"/>
          <w:szCs w:val="20"/>
        </w:rPr>
        <w:t xml:space="preserve">Potato </w:t>
      </w:r>
      <w:r>
        <w:rPr>
          <w:rFonts w:ascii="Arial" w:hAnsi="Arial"/>
          <w:color w:val="000000"/>
          <w:sz w:val="20"/>
          <w:szCs w:val="20"/>
        </w:rPr>
        <w:t>(</w:t>
      </w:r>
      <w:r>
        <w:rPr>
          <w:rFonts w:ascii="Arial" w:hAnsi="Arial"/>
          <w:i/>
          <w:iCs/>
          <w:color w:val="000000"/>
          <w:sz w:val="20"/>
          <w:szCs w:val="20"/>
        </w:rPr>
        <w:t xml:space="preserve">Solanum tuberosum) </w:t>
      </w:r>
      <w:r>
        <w:rPr>
          <w:rFonts w:ascii="Arial" w:hAnsi="Arial"/>
          <w:color w:val="000000"/>
          <w:sz w:val="20"/>
          <w:szCs w:val="20"/>
        </w:rPr>
        <w:t>and</w:t>
      </w:r>
      <w:r>
        <w:rPr>
          <w:rFonts w:ascii="Arial" w:hAnsi="Arial"/>
          <w:bCs/>
          <w:color w:val="000000"/>
          <w:sz w:val="20"/>
          <w:szCs w:val="20"/>
        </w:rPr>
        <w:t xml:space="preserve"> soybeans (</w:t>
      </w:r>
      <w:r>
        <w:rPr>
          <w:rFonts w:ascii="Arial" w:hAnsi="Arial"/>
          <w:bCs/>
          <w:i/>
          <w:color w:val="000000"/>
          <w:sz w:val="20"/>
          <w:szCs w:val="20"/>
        </w:rPr>
        <w:t>Gylcine max)</w:t>
      </w:r>
      <w:r>
        <w:rPr>
          <w:rFonts w:ascii="Arial" w:hAnsi="Arial"/>
          <w:bCs/>
          <w:color w:val="000000"/>
          <w:sz w:val="20"/>
          <w:szCs w:val="20"/>
        </w:rPr>
        <w:t xml:space="preserve"> were purchased from market sellers at the Bamenda Food Market (North West Region of Cameroon)</w:t>
      </w:r>
      <w:r>
        <w:rPr>
          <w:rFonts w:ascii="Arial" w:hAnsi="Arial"/>
          <w:color w:val="000000"/>
          <w:sz w:val="20"/>
          <w:szCs w:val="20"/>
        </w:rPr>
        <w:t xml:space="preserve"> in March 2024. Moringa (</w:t>
      </w:r>
      <w:r>
        <w:rPr>
          <w:rStyle w:val="Accentuation"/>
          <w:rFonts w:ascii="Arial" w:hAnsi="Arial"/>
          <w:color w:val="000000"/>
          <w:sz w:val="20"/>
          <w:szCs w:val="20"/>
        </w:rPr>
        <w:t>Moringa oleifera)</w:t>
      </w:r>
      <w:r>
        <w:rPr>
          <w:rFonts w:ascii="Arial" w:hAnsi="Arial"/>
          <w:color w:val="000000"/>
          <w:sz w:val="20"/>
          <w:szCs w:val="20"/>
        </w:rPr>
        <w:t xml:space="preserve"> leaves were </w:t>
      </w:r>
      <w:r>
        <w:rPr>
          <w:rFonts w:ascii="Arial" w:hAnsi="Arial"/>
          <w:color w:val="000000"/>
          <w:sz w:val="20"/>
          <w:szCs w:val="20"/>
        </w:rPr>
        <w:t>harvested in Bamenda in March 2024, dried at room temperature, an</w:t>
      </w:r>
      <w:r>
        <w:rPr>
          <w:rFonts w:ascii="Arial" w:hAnsi="Arial"/>
          <w:bCs/>
          <w:color w:val="000000"/>
          <w:sz w:val="20"/>
          <w:szCs w:val="20"/>
        </w:rPr>
        <w:t>d grinded into fine powder using a household blender and packaged in plastic bags. Soybeans were grilled for 5 minutes then milled using a household blender and stored in plastic bags. The pl</w:t>
      </w:r>
      <w:r>
        <w:rPr>
          <w:rFonts w:ascii="Arial" w:hAnsi="Arial"/>
          <w:bCs/>
          <w:color w:val="000000"/>
          <w:sz w:val="20"/>
          <w:szCs w:val="20"/>
        </w:rPr>
        <w:t>ant materials were identified by Prof. Njouonkou Andre Ledoux, a botanist from the Faculty of Science of the University of Bamenda.</w:t>
      </w:r>
    </w:p>
    <w:p w14:paraId="456DA716" w14:textId="77777777" w:rsidR="009A692A" w:rsidRDefault="009A692A">
      <w:pPr>
        <w:jc w:val="both"/>
        <w:rPr>
          <w:rFonts w:ascii="Arial" w:hAnsi="Arial"/>
          <w:bCs/>
          <w:color w:val="000000"/>
          <w:sz w:val="20"/>
          <w:szCs w:val="20"/>
        </w:rPr>
      </w:pPr>
    </w:p>
    <w:p w14:paraId="1AAFC4B2" w14:textId="77777777" w:rsidR="009A692A" w:rsidRDefault="002A3522">
      <w:pPr>
        <w:pStyle w:val="Heading3"/>
        <w:spacing w:before="0" w:after="0" w:line="360" w:lineRule="auto"/>
        <w:ind w:left="0" w:firstLine="0"/>
        <w:rPr>
          <w:rFonts w:ascii="Arial" w:hAnsi="Arial"/>
          <w:sz w:val="22"/>
        </w:rPr>
      </w:pPr>
      <w:r>
        <w:rPr>
          <w:rFonts w:ascii="Arial" w:hAnsi="Arial" w:cs="Times New Roman"/>
          <w:color w:val="000000"/>
          <w:sz w:val="22"/>
        </w:rPr>
        <w:t>2.2. Enriched potato chips</w:t>
      </w:r>
      <w:bookmarkStart w:id="3" w:name="_Toc128078905"/>
      <w:r>
        <w:rPr>
          <w:rFonts w:ascii="Arial" w:hAnsi="Arial" w:cs="Times New Roman"/>
          <w:color w:val="000000"/>
          <w:sz w:val="22"/>
        </w:rPr>
        <w:t xml:space="preserve"> pr</w:t>
      </w:r>
      <w:bookmarkEnd w:id="3"/>
      <w:r>
        <w:rPr>
          <w:rFonts w:ascii="Arial" w:hAnsi="Arial" w:cs="Times New Roman"/>
          <w:color w:val="000000"/>
          <w:sz w:val="22"/>
        </w:rPr>
        <w:t>oduction</w:t>
      </w:r>
    </w:p>
    <w:p w14:paraId="6419A200" w14:textId="77777777" w:rsidR="009A692A" w:rsidRDefault="002A3522">
      <w:pPr>
        <w:tabs>
          <w:tab w:val="left" w:pos="3795"/>
        </w:tabs>
        <w:jc w:val="both"/>
        <w:rPr>
          <w:rFonts w:ascii="Arial" w:hAnsi="Arial"/>
          <w:sz w:val="20"/>
          <w:szCs w:val="20"/>
        </w:rPr>
      </w:pPr>
      <w:bookmarkStart w:id="4" w:name="_Toc128078906"/>
      <w:bookmarkStart w:id="5" w:name="_Toc496776842"/>
      <w:bookmarkStart w:id="6" w:name="_Toc128078907"/>
      <w:bookmarkEnd w:id="4"/>
      <w:bookmarkEnd w:id="5"/>
      <w:bookmarkEnd w:id="6"/>
      <w:r>
        <w:rPr>
          <w:rFonts w:ascii="Arial" w:hAnsi="Arial"/>
          <w:bCs/>
          <w:color w:val="000000"/>
          <w:sz w:val="20"/>
          <w:szCs w:val="20"/>
        </w:rPr>
        <w:t xml:space="preserve">For the production of enriched potato chips, </w:t>
      </w:r>
      <w:r>
        <w:rPr>
          <w:rFonts w:ascii="Arial" w:hAnsi="Arial"/>
          <w:color w:val="000000"/>
          <w:sz w:val="20"/>
          <w:szCs w:val="20"/>
        </w:rPr>
        <w:t>potatoes were trimmed, washed with potab</w:t>
      </w:r>
      <w:r>
        <w:rPr>
          <w:rFonts w:ascii="Arial" w:hAnsi="Arial"/>
          <w:color w:val="000000"/>
          <w:sz w:val="20"/>
          <w:szCs w:val="20"/>
        </w:rPr>
        <w:t>le water, peeled, and sliced into pieces of 6 to 8 mm thickness. The sliced potatoes were boiled (100</w:t>
      </w:r>
      <w:r>
        <w:rPr>
          <w:rFonts w:ascii="Arial" w:hAnsi="Arial"/>
          <w:color w:val="000000"/>
          <w:sz w:val="20"/>
          <w:szCs w:val="20"/>
          <w:vertAlign w:val="superscript"/>
        </w:rPr>
        <w:t>o</w:t>
      </w:r>
      <w:r>
        <w:rPr>
          <w:rFonts w:ascii="Arial" w:hAnsi="Arial"/>
          <w:color w:val="000000"/>
          <w:sz w:val="20"/>
          <w:szCs w:val="20"/>
        </w:rPr>
        <w:t xml:space="preserve">C) for 35 minutes and the excess water was removed. The potatoes were pounded to a uniform consistency product. </w:t>
      </w:r>
    </w:p>
    <w:p w14:paraId="4668C2D3" w14:textId="77777777" w:rsidR="009A692A" w:rsidRDefault="002A3522">
      <w:pPr>
        <w:tabs>
          <w:tab w:val="left" w:pos="3795"/>
        </w:tabs>
        <w:jc w:val="both"/>
        <w:rPr>
          <w:rFonts w:ascii="Arial" w:hAnsi="Arial"/>
          <w:sz w:val="20"/>
          <w:szCs w:val="20"/>
        </w:rPr>
      </w:pPr>
      <w:r>
        <w:rPr>
          <w:rFonts w:ascii="Arial" w:hAnsi="Arial"/>
          <w:color w:val="000000"/>
          <w:sz w:val="20"/>
          <w:szCs w:val="20"/>
        </w:rPr>
        <w:t>Then seven samples were produced as follo</w:t>
      </w:r>
      <w:r>
        <w:rPr>
          <w:rFonts w:ascii="Arial" w:hAnsi="Arial"/>
          <w:color w:val="000000"/>
          <w:sz w:val="20"/>
          <w:szCs w:val="20"/>
        </w:rPr>
        <w:t>ws: sample A made up of 100% potato, sample B made up of potato with 10% soybean, sample C: potato with 15% soybean, sample D: potato with 10% moringa, sample E: potato with 15% moringa and 10% soybean, sample F: potato with 10% moringa and 10% soybean and</w:t>
      </w:r>
      <w:r>
        <w:rPr>
          <w:rFonts w:ascii="Arial" w:hAnsi="Arial"/>
          <w:color w:val="000000"/>
          <w:sz w:val="20"/>
          <w:szCs w:val="20"/>
        </w:rPr>
        <w:t xml:space="preserve"> sample G: potato with 15% moringa and 15% soybean.</w:t>
      </w:r>
    </w:p>
    <w:p w14:paraId="3C06F6EA" w14:textId="77777777" w:rsidR="009A692A" w:rsidRDefault="002A3522">
      <w:pPr>
        <w:tabs>
          <w:tab w:val="left" w:pos="3795"/>
        </w:tabs>
        <w:jc w:val="both"/>
        <w:rPr>
          <w:rFonts w:ascii="Arial" w:hAnsi="Arial"/>
          <w:sz w:val="20"/>
          <w:szCs w:val="20"/>
        </w:rPr>
      </w:pPr>
      <w:r>
        <w:rPr>
          <w:rFonts w:ascii="Arial" w:hAnsi="Arial"/>
          <w:color w:val="000000"/>
          <w:sz w:val="20"/>
          <w:szCs w:val="20"/>
        </w:rPr>
        <w:t xml:space="preserve">Thereafter, the following ingredients: salt (1 g), sugar (2 g), milk powder (3 g), vegetable oil (3 mL), and cinnamon powder (0.2 g) were added and after thorough homogenization, </w:t>
      </w:r>
      <w:r>
        <w:rPr>
          <w:rFonts w:ascii="Arial" w:hAnsi="Arial"/>
          <w:bCs/>
          <w:iCs/>
          <w:color w:val="000000"/>
          <w:sz w:val="20"/>
          <w:szCs w:val="20"/>
        </w:rPr>
        <w:t>2 g</w:t>
      </w:r>
      <w:r>
        <w:rPr>
          <w:rFonts w:ascii="Arial" w:hAnsi="Arial"/>
          <w:color w:val="000000"/>
          <w:sz w:val="20"/>
          <w:szCs w:val="20"/>
        </w:rPr>
        <w:t xml:space="preserve"> of the mixture were </w:t>
      </w:r>
      <w:r>
        <w:rPr>
          <w:rFonts w:ascii="Arial" w:hAnsi="Arial"/>
          <w:bCs/>
          <w:iCs/>
          <w:color w:val="000000"/>
          <w:sz w:val="20"/>
          <w:szCs w:val="20"/>
        </w:rPr>
        <w:t>toasted at 140°C for 3 minutes using a toasting machine (Russell Hobbs) to produce chips</w:t>
      </w:r>
      <w:r>
        <w:rPr>
          <w:rFonts w:ascii="Arial" w:hAnsi="Arial"/>
          <w:color w:val="000000"/>
          <w:sz w:val="20"/>
          <w:szCs w:val="20"/>
        </w:rPr>
        <w:t xml:space="preserve">. The products were allowed to cool before packaging and storage at room temperature. </w:t>
      </w:r>
    </w:p>
    <w:p w14:paraId="723B35D0" w14:textId="77777777" w:rsidR="009A692A" w:rsidRDefault="009A692A">
      <w:pPr>
        <w:pStyle w:val="Heading2"/>
        <w:spacing w:before="0" w:line="360" w:lineRule="auto"/>
        <w:rPr>
          <w:rFonts w:ascii="Arial" w:hAnsi="Arial"/>
          <w:color w:val="000000"/>
          <w:sz w:val="20"/>
          <w:szCs w:val="20"/>
        </w:rPr>
      </w:pPr>
    </w:p>
    <w:p w14:paraId="648C5F5A" w14:textId="77777777" w:rsidR="009A692A" w:rsidRDefault="002A3522">
      <w:pPr>
        <w:pStyle w:val="Heading2"/>
        <w:spacing w:before="0" w:line="360" w:lineRule="auto"/>
        <w:rPr>
          <w:rFonts w:ascii="Arial" w:hAnsi="Arial"/>
          <w:sz w:val="22"/>
          <w:szCs w:val="22"/>
        </w:rPr>
      </w:pPr>
      <w:bookmarkStart w:id="7" w:name="_Toc128078909"/>
      <w:r>
        <w:rPr>
          <w:rFonts w:ascii="Arial" w:eastAsia="Times New Roman" w:hAnsi="Arial" w:cs="Times New Roman"/>
          <w:color w:val="000000"/>
          <w:sz w:val="22"/>
          <w:szCs w:val="22"/>
          <w:lang w:val="en-GB"/>
        </w:rPr>
        <w:t>2.3. Nutritional characterization of the enriched potato chips</w:t>
      </w:r>
      <w:bookmarkEnd w:id="7"/>
    </w:p>
    <w:p w14:paraId="7832E405" w14:textId="77777777" w:rsidR="009A692A" w:rsidRDefault="002A3522">
      <w:pPr>
        <w:jc w:val="both"/>
        <w:rPr>
          <w:rFonts w:hint="eastAsia"/>
        </w:rPr>
      </w:pPr>
      <w:bookmarkStart w:id="8" w:name="_Toc128078910"/>
      <w:bookmarkEnd w:id="8"/>
      <w:r>
        <w:rPr>
          <w:rFonts w:ascii="Arial" w:hAnsi="Arial"/>
          <w:color w:val="000000"/>
          <w:sz w:val="20"/>
          <w:szCs w:val="20"/>
        </w:rPr>
        <w:t>The protein, fibe</w:t>
      </w:r>
      <w:r>
        <w:rPr>
          <w:rFonts w:ascii="Arial" w:hAnsi="Arial"/>
          <w:color w:val="000000"/>
          <w:sz w:val="20"/>
          <w:szCs w:val="20"/>
        </w:rPr>
        <w:t>r and moisture contents of the enriched potato chips were determined using the Kjeldahl, gravimetric and drying methods, respectively as described by Saha et al. (2022). Lipid levels were quantified using the Soxlhet method while the ash content was assess</w:t>
      </w:r>
      <w:r>
        <w:rPr>
          <w:rFonts w:ascii="Arial" w:hAnsi="Arial"/>
          <w:color w:val="000000"/>
          <w:sz w:val="20"/>
          <w:szCs w:val="20"/>
        </w:rPr>
        <w:t>ed by burning of sample for hours at 550</w:t>
      </w:r>
      <w:r>
        <w:rPr>
          <w:rFonts w:ascii="Arial" w:hAnsi="Arial"/>
          <w:color w:val="000000"/>
          <w:sz w:val="20"/>
          <w:szCs w:val="20"/>
          <w:vertAlign w:val="superscript"/>
        </w:rPr>
        <w:t>o</w:t>
      </w:r>
      <w:r>
        <w:rPr>
          <w:rFonts w:ascii="Arial" w:hAnsi="Arial"/>
          <w:color w:val="000000"/>
          <w:sz w:val="20"/>
          <w:szCs w:val="20"/>
        </w:rPr>
        <w:t xml:space="preserve">C in a muffle furnace (Carpenter 2010). </w:t>
      </w:r>
      <w:r>
        <w:rPr>
          <w:rStyle w:val="accordion-tabbedtab-mobile"/>
          <w:rFonts w:ascii="Arial" w:hAnsi="Arial"/>
          <w:color w:val="000000"/>
          <w:sz w:val="20"/>
          <w:szCs w:val="20"/>
        </w:rPr>
        <w:t xml:space="preserve">Carbohydrates content </w:t>
      </w:r>
      <w:r>
        <w:rPr>
          <w:rFonts w:ascii="Arial" w:hAnsi="Arial"/>
          <w:color w:val="000000"/>
          <w:sz w:val="20"/>
          <w:szCs w:val="20"/>
        </w:rPr>
        <w:t>w</w:t>
      </w:r>
      <w:r>
        <w:rPr>
          <w:rStyle w:val="accordion-tabbedtab-mobile"/>
          <w:rFonts w:ascii="Arial" w:hAnsi="Arial"/>
          <w:color w:val="000000"/>
          <w:sz w:val="20"/>
          <w:szCs w:val="20"/>
        </w:rPr>
        <w:t>a</w:t>
      </w:r>
      <w:r>
        <w:rPr>
          <w:rFonts w:ascii="Arial" w:hAnsi="Arial"/>
          <w:color w:val="000000"/>
          <w:sz w:val="20"/>
          <w:szCs w:val="20"/>
        </w:rPr>
        <w:t>s o</w:t>
      </w:r>
      <w:r>
        <w:rPr>
          <w:rStyle w:val="accordion-tabbedtab-mobile"/>
          <w:rFonts w:ascii="Arial" w:hAnsi="Arial"/>
          <w:color w:val="000000"/>
          <w:sz w:val="20"/>
          <w:szCs w:val="20"/>
        </w:rPr>
        <w:t>btained by difference calculation considering the other nutrients (ash, fats, proteins) a</w:t>
      </w:r>
      <w:r>
        <w:rPr>
          <w:rFonts w:ascii="Arial" w:hAnsi="Arial"/>
          <w:color w:val="000000"/>
          <w:sz w:val="20"/>
          <w:szCs w:val="20"/>
        </w:rPr>
        <w:t>s</w:t>
      </w:r>
      <w:r>
        <w:rPr>
          <w:rStyle w:val="accordion-tabbedtab-mobile"/>
          <w:rFonts w:ascii="Arial" w:hAnsi="Arial"/>
          <w:color w:val="000000"/>
          <w:sz w:val="20"/>
          <w:szCs w:val="20"/>
        </w:rPr>
        <w:t xml:space="preserve"> reported by </w:t>
      </w:r>
      <w:r>
        <w:rPr>
          <w:rFonts w:ascii="Arial" w:hAnsi="Arial"/>
          <w:color w:val="000000"/>
          <w:sz w:val="20"/>
          <w:szCs w:val="20"/>
        </w:rPr>
        <w:t xml:space="preserve">Mezgebo </w:t>
      </w:r>
      <w:r>
        <w:rPr>
          <w:rStyle w:val="accordion-tabbedtab-mobile"/>
          <w:rFonts w:ascii="Arial" w:hAnsi="Arial"/>
          <w:color w:val="000000"/>
          <w:sz w:val="20"/>
          <w:szCs w:val="20"/>
        </w:rPr>
        <w:t>et al. (</w:t>
      </w:r>
      <w:r>
        <w:rPr>
          <w:rFonts w:ascii="Arial" w:hAnsi="Arial"/>
          <w:bCs/>
          <w:color w:val="000000"/>
          <w:sz w:val="20"/>
          <w:szCs w:val="20"/>
        </w:rPr>
        <w:t>2018).</w:t>
      </w:r>
    </w:p>
    <w:p w14:paraId="53629C56" w14:textId="77777777" w:rsidR="009A692A" w:rsidRDefault="009A692A">
      <w:pPr>
        <w:pStyle w:val="Heading3"/>
        <w:spacing w:before="0" w:after="0" w:line="360" w:lineRule="auto"/>
        <w:ind w:left="0" w:firstLine="0"/>
        <w:jc w:val="both"/>
        <w:rPr>
          <w:rFonts w:ascii="Arial" w:hAnsi="Arial"/>
          <w:color w:val="000000"/>
          <w:sz w:val="20"/>
          <w:szCs w:val="20"/>
        </w:rPr>
      </w:pPr>
    </w:p>
    <w:p w14:paraId="09146749" w14:textId="77777777" w:rsidR="009A692A" w:rsidRDefault="002A3522">
      <w:pPr>
        <w:pStyle w:val="Heading3"/>
        <w:spacing w:before="0" w:after="0" w:line="360" w:lineRule="auto"/>
        <w:ind w:left="0" w:firstLine="0"/>
        <w:jc w:val="both"/>
        <w:rPr>
          <w:rFonts w:ascii="Arial" w:hAnsi="Arial"/>
          <w:sz w:val="22"/>
        </w:rPr>
      </w:pPr>
      <w:bookmarkStart w:id="9" w:name="_Toc128078918"/>
      <w:bookmarkEnd w:id="9"/>
      <w:r>
        <w:rPr>
          <w:rFonts w:ascii="Arial" w:hAnsi="Arial" w:cs="Times New Roman"/>
          <w:color w:val="000000"/>
          <w:sz w:val="22"/>
        </w:rPr>
        <w:t xml:space="preserve">2.4. </w:t>
      </w:r>
      <w:r>
        <w:rPr>
          <w:rFonts w:ascii="Arial" w:eastAsia="Times New Roman" w:hAnsi="Arial" w:cs="Times New Roman"/>
          <w:color w:val="000000"/>
          <w:sz w:val="22"/>
        </w:rPr>
        <w:t>Determination</w:t>
      </w:r>
      <w:r>
        <w:rPr>
          <w:rFonts w:ascii="Arial" w:eastAsia="Times New Roman" w:hAnsi="Arial" w:cs="Times New Roman"/>
          <w:color w:val="000000"/>
          <w:sz w:val="22"/>
        </w:rPr>
        <w:t xml:space="preserve"> of mineral and antioxidant contents</w:t>
      </w:r>
    </w:p>
    <w:p w14:paraId="6ECB1F67" w14:textId="77777777" w:rsidR="009A692A" w:rsidRDefault="002A3522">
      <w:pPr>
        <w:tabs>
          <w:tab w:val="left" w:pos="2027"/>
        </w:tabs>
        <w:jc w:val="both"/>
        <w:rPr>
          <w:rFonts w:ascii="Arial" w:hAnsi="Arial"/>
          <w:sz w:val="20"/>
          <w:szCs w:val="20"/>
        </w:rPr>
      </w:pPr>
      <w:bookmarkStart w:id="10" w:name="_Toc948678121"/>
      <w:r>
        <w:rPr>
          <w:rFonts w:ascii="Arial" w:eastAsiaTheme="minorEastAsia" w:hAnsi="Arial"/>
          <w:color w:val="000000"/>
          <w:sz w:val="20"/>
          <w:szCs w:val="20"/>
        </w:rPr>
        <w:t>Mineral analysis of potato chips consisted of determination of iron, z</w:t>
      </w:r>
      <w:r>
        <w:rPr>
          <w:rFonts w:ascii="Arial" w:eastAsiaTheme="minorEastAsia" w:hAnsi="Arial"/>
          <w:bCs/>
          <w:color w:val="000000"/>
          <w:sz w:val="20"/>
          <w:szCs w:val="20"/>
        </w:rPr>
        <w:t xml:space="preserve">inc, potassium and </w:t>
      </w:r>
      <w:r>
        <w:rPr>
          <w:rFonts w:ascii="Arial" w:eastAsiaTheme="minorEastAsia" w:hAnsi="Arial"/>
          <w:color w:val="000000"/>
          <w:sz w:val="20"/>
          <w:szCs w:val="20"/>
        </w:rPr>
        <w:t>calcium content. It was determined</w:t>
      </w:r>
      <w:bookmarkEnd w:id="10"/>
      <w:r>
        <w:rPr>
          <w:rFonts w:ascii="Arial" w:eastAsiaTheme="minorEastAsia" w:hAnsi="Arial"/>
          <w:color w:val="000000"/>
          <w:sz w:val="20"/>
          <w:szCs w:val="20"/>
        </w:rPr>
        <w:t xml:space="preserve"> according to the methods</w:t>
      </w:r>
      <w:r>
        <w:rPr>
          <w:rFonts w:ascii="Arial" w:eastAsiaTheme="minorEastAsia" w:hAnsi="Arial"/>
          <w:bCs/>
          <w:color w:val="000000"/>
          <w:sz w:val="20"/>
          <w:szCs w:val="20"/>
        </w:rPr>
        <w:t xml:space="preserve"> described by </w:t>
      </w:r>
      <w:r>
        <w:rPr>
          <w:rFonts w:ascii="Arial" w:hAnsi="Arial"/>
          <w:bCs/>
          <w:color w:val="000000"/>
          <w:sz w:val="20"/>
          <w:szCs w:val="20"/>
        </w:rPr>
        <w:t>Ogbemudia et al. (2017)</w:t>
      </w:r>
      <w:r>
        <w:rPr>
          <w:rFonts w:ascii="Arial" w:eastAsiaTheme="minorEastAsia" w:hAnsi="Arial"/>
          <w:bCs/>
          <w:color w:val="000000"/>
          <w:sz w:val="20"/>
          <w:szCs w:val="20"/>
        </w:rPr>
        <w:t xml:space="preserve">. The antioxidant components </w:t>
      </w:r>
      <w:r>
        <w:rPr>
          <w:rFonts w:ascii="Arial" w:eastAsiaTheme="minorEastAsia" w:hAnsi="Arial"/>
          <w:bCs/>
          <w:color w:val="000000"/>
          <w:sz w:val="20"/>
          <w:szCs w:val="20"/>
        </w:rPr>
        <w:t>evaluated were t</w:t>
      </w:r>
      <w:r>
        <w:rPr>
          <w:rFonts w:ascii="Arial" w:eastAsiaTheme="minorEastAsia" w:hAnsi="Arial"/>
          <w:color w:val="000000"/>
          <w:sz w:val="20"/>
          <w:szCs w:val="20"/>
        </w:rPr>
        <w:t xml:space="preserve">otal carotenoids and total phenolic compounds. </w:t>
      </w:r>
      <w:r>
        <w:rPr>
          <w:rFonts w:ascii="Arial" w:eastAsiaTheme="minorEastAsia" w:hAnsi="Arial"/>
          <w:bCs/>
          <w:color w:val="000000"/>
          <w:sz w:val="20"/>
          <w:szCs w:val="20"/>
        </w:rPr>
        <w:t xml:space="preserve"> The t</w:t>
      </w:r>
      <w:r>
        <w:rPr>
          <w:rFonts w:ascii="Arial" w:eastAsiaTheme="minorEastAsia" w:hAnsi="Arial"/>
          <w:color w:val="000000"/>
          <w:sz w:val="20"/>
          <w:szCs w:val="20"/>
        </w:rPr>
        <w:t xml:space="preserve">otal carotenoids were obtained using the AOAC spectrophotometric method as described by  Islam and Schweigert </w:t>
      </w:r>
      <w:r>
        <w:rPr>
          <w:rFonts w:ascii="Arial" w:hAnsi="Arial"/>
          <w:color w:val="000000"/>
          <w:sz w:val="20"/>
          <w:szCs w:val="20"/>
        </w:rPr>
        <w:t>(2015)</w:t>
      </w:r>
      <w:r>
        <w:rPr>
          <w:rFonts w:ascii="Arial" w:eastAsiaTheme="minorEastAsia" w:hAnsi="Arial"/>
          <w:color w:val="000000"/>
          <w:sz w:val="20"/>
          <w:szCs w:val="20"/>
        </w:rPr>
        <w:t xml:space="preserve"> method while the total phenolic compounds were determined using the Fo</w:t>
      </w:r>
      <w:r>
        <w:rPr>
          <w:rFonts w:ascii="Arial" w:eastAsiaTheme="minorEastAsia" w:hAnsi="Arial"/>
          <w:color w:val="000000"/>
          <w:sz w:val="20"/>
          <w:szCs w:val="20"/>
        </w:rPr>
        <w:t xml:space="preserve">lin–Ciocalteu method as reported by </w:t>
      </w:r>
      <w:r>
        <w:rPr>
          <w:rFonts w:ascii="Arial" w:hAnsi="Arial"/>
          <w:color w:val="000000"/>
          <w:sz w:val="20"/>
          <w:szCs w:val="20"/>
        </w:rPr>
        <w:t>Soh et al. (2022)</w:t>
      </w:r>
      <w:r>
        <w:rPr>
          <w:rFonts w:ascii="Arial" w:eastAsiaTheme="minorEastAsia" w:hAnsi="Arial"/>
          <w:color w:val="000000"/>
          <w:sz w:val="20"/>
          <w:szCs w:val="20"/>
        </w:rPr>
        <w:t>.</w:t>
      </w:r>
    </w:p>
    <w:p w14:paraId="0180A1FE" w14:textId="77777777" w:rsidR="009A692A" w:rsidRDefault="002A3522">
      <w:pPr>
        <w:pStyle w:val="Heading2"/>
        <w:spacing w:before="0" w:line="360" w:lineRule="auto"/>
        <w:jc w:val="both"/>
        <w:rPr>
          <w:rFonts w:ascii="Arial" w:hAnsi="Arial"/>
          <w:sz w:val="22"/>
          <w:szCs w:val="22"/>
        </w:rPr>
      </w:pPr>
      <w:bookmarkStart w:id="11" w:name="_Toc128078926"/>
      <w:bookmarkStart w:id="12" w:name="_Toc497301387"/>
      <w:r>
        <w:rPr>
          <w:rFonts w:ascii="Arial" w:eastAsia="GaramondPremrPro" w:hAnsi="Arial" w:cs="Times New Roman"/>
          <w:color w:val="000000"/>
          <w:sz w:val="22"/>
          <w:szCs w:val="22"/>
        </w:rPr>
        <w:lastRenderedPageBreak/>
        <w:t>2.5. Sensory evaluation</w:t>
      </w:r>
      <w:bookmarkEnd w:id="11"/>
      <w:bookmarkEnd w:id="12"/>
    </w:p>
    <w:p w14:paraId="3ED32C38" w14:textId="77777777" w:rsidR="009A692A" w:rsidRDefault="002A3522">
      <w:pPr>
        <w:jc w:val="both"/>
        <w:rPr>
          <w:rFonts w:ascii="Arial" w:hAnsi="Arial"/>
          <w:sz w:val="20"/>
          <w:szCs w:val="20"/>
        </w:rPr>
      </w:pPr>
      <w:r>
        <w:rPr>
          <w:rFonts w:ascii="Arial" w:hAnsi="Arial"/>
          <w:color w:val="000000"/>
          <w:sz w:val="20"/>
          <w:szCs w:val="20"/>
        </w:rPr>
        <w:t>The sensory panel was made up of 40 untrained paneli</w:t>
      </w:r>
      <w:r>
        <w:rPr>
          <w:rFonts w:ascii="Arial" w:eastAsia="GaramondPremrPro" w:hAnsi="Arial"/>
          <w:color w:val="000000"/>
          <w:sz w:val="20"/>
          <w:szCs w:val="20"/>
        </w:rPr>
        <w:t xml:space="preserve">sts both male and female </w:t>
      </w:r>
      <w:r>
        <w:rPr>
          <w:rFonts w:ascii="Arial" w:hAnsi="Arial"/>
          <w:color w:val="000000"/>
          <w:sz w:val="20"/>
          <w:szCs w:val="20"/>
        </w:rPr>
        <w:t>within the age range of 18-50 years. Each judge was given a sensory evaluation sheet having a 9-poin</w:t>
      </w:r>
      <w:r>
        <w:rPr>
          <w:rFonts w:ascii="Arial" w:hAnsi="Arial"/>
          <w:color w:val="000000"/>
          <w:sz w:val="20"/>
          <w:szCs w:val="20"/>
        </w:rPr>
        <w:t xml:space="preserve">t hedonic scale with 1 and 9 corresponding to the appreciation of dislike and like extremely  respectively (Nain et al. 2019). Sensory attributes </w:t>
      </w:r>
      <w:r>
        <w:rPr>
          <w:rFonts w:ascii="Arial" w:eastAsia="Times New Roman" w:hAnsi="Arial"/>
          <w:color w:val="000000"/>
          <w:sz w:val="20"/>
          <w:szCs w:val="20"/>
        </w:rPr>
        <w:t xml:space="preserve">evaluated were: </w:t>
      </w:r>
      <w:r>
        <w:rPr>
          <w:rFonts w:ascii="Arial" w:hAnsi="Arial"/>
          <w:color w:val="000000"/>
          <w:sz w:val="20"/>
          <w:szCs w:val="20"/>
        </w:rPr>
        <w:t>colour</w:t>
      </w:r>
      <w:r>
        <w:rPr>
          <w:rFonts w:ascii="Arial" w:eastAsia="Times New Roman" w:hAnsi="Arial"/>
          <w:color w:val="000000"/>
          <w:sz w:val="20"/>
          <w:szCs w:val="20"/>
        </w:rPr>
        <w:t>, taste, aroma, texture or mouthfeel</w:t>
      </w:r>
      <w:r>
        <w:rPr>
          <w:rFonts w:ascii="Arial" w:hAnsi="Arial"/>
          <w:color w:val="000000"/>
          <w:sz w:val="20"/>
          <w:szCs w:val="20"/>
        </w:rPr>
        <w:t xml:space="preserve">, </w:t>
      </w:r>
      <w:r>
        <w:rPr>
          <w:rFonts w:ascii="Arial" w:eastAsia="Times New Roman" w:hAnsi="Arial"/>
          <w:color w:val="000000"/>
          <w:sz w:val="20"/>
          <w:szCs w:val="20"/>
        </w:rPr>
        <w:t>crispiness, and overall acceptability.</w:t>
      </w:r>
    </w:p>
    <w:p w14:paraId="46543ADC" w14:textId="77777777" w:rsidR="009A692A" w:rsidRDefault="009A692A">
      <w:pPr>
        <w:jc w:val="both"/>
        <w:rPr>
          <w:rFonts w:ascii="Arial" w:hAnsi="Arial"/>
          <w:color w:val="000000"/>
          <w:sz w:val="20"/>
          <w:szCs w:val="20"/>
        </w:rPr>
      </w:pPr>
    </w:p>
    <w:p w14:paraId="2862D90C" w14:textId="77777777" w:rsidR="009A692A" w:rsidRDefault="002A3522">
      <w:pPr>
        <w:pStyle w:val="Heading2"/>
        <w:spacing w:before="0" w:line="360" w:lineRule="auto"/>
        <w:jc w:val="both"/>
        <w:rPr>
          <w:rFonts w:ascii="Arial" w:hAnsi="Arial"/>
          <w:sz w:val="22"/>
          <w:szCs w:val="22"/>
        </w:rPr>
      </w:pPr>
      <w:bookmarkStart w:id="13" w:name="_Toc497301388"/>
      <w:bookmarkStart w:id="14" w:name="_Toc496776847"/>
      <w:bookmarkStart w:id="15" w:name="_Toc128078927"/>
      <w:r>
        <w:rPr>
          <w:rFonts w:ascii="Arial" w:eastAsia="GaramondPremrPro" w:hAnsi="Arial" w:cs="Times New Roman"/>
          <w:color w:val="000000"/>
          <w:sz w:val="22"/>
          <w:szCs w:val="22"/>
        </w:rPr>
        <w:t>2.6. Stati</w:t>
      </w:r>
      <w:r>
        <w:rPr>
          <w:rFonts w:ascii="Arial" w:eastAsia="GaramondPremrPro" w:hAnsi="Arial" w:cs="Times New Roman"/>
          <w:color w:val="000000"/>
          <w:sz w:val="22"/>
          <w:szCs w:val="22"/>
        </w:rPr>
        <w:t>stical analysis</w:t>
      </w:r>
      <w:bookmarkEnd w:id="13"/>
      <w:bookmarkEnd w:id="14"/>
      <w:bookmarkEnd w:id="15"/>
    </w:p>
    <w:p w14:paraId="732D7401" w14:textId="77777777" w:rsidR="009A692A" w:rsidRDefault="002A3522">
      <w:pPr>
        <w:jc w:val="both"/>
        <w:rPr>
          <w:rFonts w:ascii="Arial" w:hAnsi="Arial"/>
          <w:sz w:val="20"/>
          <w:szCs w:val="20"/>
        </w:rPr>
      </w:pPr>
      <w:r>
        <w:rPr>
          <w:rFonts w:ascii="Arial" w:hAnsi="Arial"/>
          <w:color w:val="000000"/>
          <w:sz w:val="20"/>
          <w:szCs w:val="20"/>
        </w:rPr>
        <w:t>The data obtained were expressed as mean ± standard deviation and were subjected to the Analysis of Variance (ANOVA) followed by the Fischer Test</w:t>
      </w:r>
      <w:r>
        <w:rPr>
          <w:rFonts w:ascii="Arial" w:eastAsia="GaramondPremrPro" w:hAnsi="Arial"/>
          <w:color w:val="000000"/>
          <w:sz w:val="20"/>
          <w:szCs w:val="20"/>
        </w:rPr>
        <w:t xml:space="preserve"> for assessment of any difference among samples. All analyses were done using Statgraphics </w:t>
      </w:r>
      <w:r>
        <w:rPr>
          <w:rFonts w:ascii="Arial" w:hAnsi="Arial"/>
          <w:color w:val="000000"/>
          <w:sz w:val="20"/>
          <w:szCs w:val="20"/>
        </w:rPr>
        <w:t>Plus</w:t>
      </w:r>
      <w:r>
        <w:rPr>
          <w:rFonts w:ascii="Arial" w:hAnsi="Arial"/>
          <w:color w:val="000000"/>
          <w:sz w:val="20"/>
          <w:szCs w:val="20"/>
        </w:rPr>
        <w:t xml:space="preserve"> </w:t>
      </w:r>
      <w:r>
        <w:rPr>
          <w:rFonts w:ascii="Arial" w:eastAsia="GaramondPremrPro" w:hAnsi="Arial"/>
          <w:color w:val="000000"/>
          <w:sz w:val="20"/>
          <w:szCs w:val="20"/>
        </w:rPr>
        <w:t>Version 5.0</w:t>
      </w:r>
      <w:r>
        <w:rPr>
          <w:rFonts w:ascii="Arial" w:hAnsi="Arial"/>
          <w:color w:val="000000"/>
          <w:sz w:val="20"/>
          <w:szCs w:val="20"/>
        </w:rPr>
        <w:t xml:space="preserve"> statistical package</w:t>
      </w:r>
      <w:r>
        <w:rPr>
          <w:rFonts w:ascii="Arial" w:eastAsia="GaramondPremrPro" w:hAnsi="Arial"/>
          <w:color w:val="000000"/>
          <w:sz w:val="20"/>
          <w:szCs w:val="20"/>
        </w:rPr>
        <w:t>.</w:t>
      </w:r>
      <w:bookmarkStart w:id="16" w:name="_Toc128078929"/>
      <w:r>
        <w:rPr>
          <w:rFonts w:ascii="Arial" w:eastAsia="GaramondPremrPro" w:hAnsi="Arial"/>
          <w:color w:val="000000"/>
          <w:sz w:val="20"/>
          <w:szCs w:val="20"/>
        </w:rPr>
        <w:t xml:space="preserve"> Differences at the </w:t>
      </w:r>
      <w:r>
        <w:rPr>
          <w:rFonts w:ascii="Arial" w:eastAsia="GaramondPremrPro" w:hAnsi="Arial"/>
          <w:i/>
          <w:iCs/>
          <w:color w:val="000000"/>
          <w:sz w:val="20"/>
          <w:szCs w:val="20"/>
        </w:rPr>
        <w:t>P</w:t>
      </w:r>
      <w:r>
        <w:rPr>
          <w:rFonts w:ascii="Arial" w:eastAsia="GaramondPremrPro" w:hAnsi="Arial"/>
          <w:color w:val="000000"/>
          <w:sz w:val="20"/>
          <w:szCs w:val="20"/>
        </w:rPr>
        <w:t>&lt;0.05 were considered significant.</w:t>
      </w:r>
    </w:p>
    <w:p w14:paraId="31C8319E" w14:textId="77777777" w:rsidR="009A692A" w:rsidRDefault="009A692A">
      <w:pPr>
        <w:spacing w:line="360" w:lineRule="auto"/>
        <w:jc w:val="both"/>
        <w:rPr>
          <w:rFonts w:ascii="Arial" w:hAnsi="Arial"/>
          <w:color w:val="000000"/>
          <w:sz w:val="20"/>
          <w:szCs w:val="20"/>
        </w:rPr>
      </w:pPr>
    </w:p>
    <w:p w14:paraId="68243990" w14:textId="77777777" w:rsidR="009A692A" w:rsidRDefault="002A3522">
      <w:pPr>
        <w:spacing w:line="360" w:lineRule="auto"/>
        <w:jc w:val="both"/>
        <w:rPr>
          <w:rFonts w:ascii="Arial" w:hAnsi="Arial"/>
          <w:sz w:val="22"/>
          <w:szCs w:val="22"/>
        </w:rPr>
      </w:pPr>
      <w:r>
        <w:rPr>
          <w:rFonts w:ascii="Arial" w:hAnsi="Arial"/>
          <w:b/>
          <w:color w:val="000000"/>
          <w:sz w:val="22"/>
          <w:szCs w:val="22"/>
        </w:rPr>
        <w:t xml:space="preserve">3. </w:t>
      </w:r>
      <w:bookmarkEnd w:id="16"/>
      <w:r>
        <w:rPr>
          <w:rFonts w:ascii="Arial" w:hAnsi="Arial"/>
          <w:b/>
          <w:color w:val="000000"/>
          <w:sz w:val="22"/>
          <w:szCs w:val="22"/>
        </w:rPr>
        <w:t>RESULTS</w:t>
      </w:r>
    </w:p>
    <w:p w14:paraId="50C127DF" w14:textId="77777777" w:rsidR="009A692A" w:rsidRDefault="002A3522">
      <w:pPr>
        <w:pStyle w:val="Heading2"/>
        <w:spacing w:before="0" w:line="360" w:lineRule="auto"/>
        <w:rPr>
          <w:rFonts w:ascii="Arial" w:hAnsi="Arial"/>
          <w:sz w:val="22"/>
          <w:szCs w:val="22"/>
        </w:rPr>
      </w:pPr>
      <w:bookmarkStart w:id="17" w:name="_Toc128078930"/>
      <w:r>
        <w:rPr>
          <w:rFonts w:ascii="Arial" w:hAnsi="Arial" w:cs="Times New Roman"/>
          <w:color w:val="000000"/>
          <w:sz w:val="22"/>
          <w:szCs w:val="22"/>
        </w:rPr>
        <w:t>3.1. Enriched potato chips</w:t>
      </w:r>
      <w:bookmarkEnd w:id="17"/>
      <w:r>
        <w:rPr>
          <w:rFonts w:ascii="Arial" w:hAnsi="Arial" w:cs="Times New Roman"/>
          <w:color w:val="000000"/>
          <w:sz w:val="22"/>
          <w:szCs w:val="22"/>
        </w:rPr>
        <w:t xml:space="preserve"> and sensory attributes</w:t>
      </w:r>
    </w:p>
    <w:p w14:paraId="1D2378B2" w14:textId="77777777" w:rsidR="009A692A" w:rsidRDefault="002A3522">
      <w:pPr>
        <w:jc w:val="both"/>
        <w:rPr>
          <w:rFonts w:ascii="Arial" w:hAnsi="Arial"/>
          <w:sz w:val="20"/>
          <w:szCs w:val="20"/>
        </w:rPr>
      </w:pPr>
      <w:r>
        <w:rPr>
          <w:rFonts w:ascii="Arial" w:hAnsi="Arial"/>
          <w:color w:val="000000"/>
          <w:sz w:val="20"/>
          <w:szCs w:val="20"/>
        </w:rPr>
        <w:t>The appearance of the potato chips produced using the incorporation of moringa leaf powder and/or soybean</w:t>
      </w:r>
      <w:r>
        <w:rPr>
          <w:rFonts w:ascii="Arial" w:hAnsi="Arial"/>
          <w:color w:val="000000"/>
          <w:sz w:val="20"/>
          <w:szCs w:val="20"/>
        </w:rPr>
        <w:t xml:space="preserve">. </w:t>
      </w:r>
    </w:p>
    <w:p w14:paraId="74DA009B" w14:textId="20A09EF5" w:rsidR="009A692A" w:rsidRDefault="002A3522">
      <w:pPr>
        <w:spacing w:line="360" w:lineRule="auto"/>
        <w:jc w:val="both"/>
        <w:rPr>
          <w:rFonts w:ascii="Arial" w:hAnsi="Arial"/>
          <w:sz w:val="20"/>
          <w:szCs w:val="20"/>
        </w:rPr>
      </w:pPr>
      <w:r>
        <w:rPr>
          <w:noProof/>
        </w:rPr>
        <w:drawing>
          <wp:inline distT="0" distB="0" distL="0" distR="0" wp14:anchorId="6CFAD336" wp14:editId="6D85B993">
            <wp:extent cx="739775" cy="628015"/>
            <wp:effectExtent l="0" t="0" r="0" b="0"/>
            <wp:docPr id="1" name="Picture 4" descr="C:\Users\irine\AppData\Local\Microsoft\Windows\Temporary Internet Files\Content.Word\IMG_20220729_171201_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Users\irine\AppData\Local\Microsoft\Windows\Temporary Internet Files\Content.Word\IMG_20220729_171201_360.jpg"/>
                    <pic:cNvPicPr>
                      <a:picLocks noChangeAspect="1" noChangeArrowheads="1"/>
                    </pic:cNvPicPr>
                  </pic:nvPicPr>
                  <pic:blipFill>
                    <a:blip r:embed="rId6"/>
                    <a:srcRect l="6508" t="15906" r="7989" b="17095"/>
                    <a:stretch>
                      <a:fillRect/>
                    </a:stretch>
                  </pic:blipFill>
                  <pic:spPr bwMode="auto">
                    <a:xfrm>
                      <a:off x="0" y="0"/>
                      <a:ext cx="739775" cy="628015"/>
                    </a:xfrm>
                    <a:prstGeom prst="rect">
                      <a:avLst/>
                    </a:prstGeom>
                  </pic:spPr>
                </pic:pic>
              </a:graphicData>
            </a:graphic>
          </wp:inline>
        </w:drawing>
      </w:r>
      <w:r>
        <w:rPr>
          <w:noProof/>
        </w:rPr>
        <w:drawing>
          <wp:inline distT="0" distB="0" distL="0" distR="0" wp14:anchorId="3E2D3004" wp14:editId="6697EDC8">
            <wp:extent cx="803275" cy="628015"/>
            <wp:effectExtent l="0" t="0" r="0" b="0"/>
            <wp:docPr id="2" name="Picture 31" descr="C:\Users\irine\AppData\Local\Microsoft\Windows\Temporary Internet Files\Content.Word\IMG_20220729_171203_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C:\Users\irine\AppData\Local\Microsoft\Windows\Temporary Internet Files\Content.Word\IMG_20220729_171203_958.jpg"/>
                    <pic:cNvPicPr>
                      <a:picLocks noChangeAspect="1" noChangeArrowheads="1"/>
                    </pic:cNvPicPr>
                  </pic:nvPicPr>
                  <pic:blipFill>
                    <a:blip r:embed="rId7"/>
                    <a:srcRect t="17325" r="7780" b="9750"/>
                    <a:stretch>
                      <a:fillRect/>
                    </a:stretch>
                  </pic:blipFill>
                  <pic:spPr bwMode="auto">
                    <a:xfrm>
                      <a:off x="0" y="0"/>
                      <a:ext cx="803275" cy="628015"/>
                    </a:xfrm>
                    <a:prstGeom prst="rect">
                      <a:avLst/>
                    </a:prstGeom>
                  </pic:spPr>
                </pic:pic>
              </a:graphicData>
            </a:graphic>
          </wp:inline>
        </w:drawing>
      </w:r>
      <w:r>
        <w:rPr>
          <w:noProof/>
        </w:rPr>
        <w:drawing>
          <wp:inline distT="0" distB="0" distL="0" distR="0" wp14:anchorId="6D89F3CF" wp14:editId="605B4A74">
            <wp:extent cx="819150" cy="628015"/>
            <wp:effectExtent l="0" t="0" r="0" b="0"/>
            <wp:docPr id="3" name="Picture 30" descr="C:\Users\irine\AppData\Local\Microsoft\Windows\Temporary Internet Files\Content.Word\IMG_20220729_171206_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0" descr="C:\Users\irine\AppData\Local\Microsoft\Windows\Temporary Internet Files\Content.Word\IMG_20220729_171206_924.jpg"/>
                    <pic:cNvPicPr>
                      <a:picLocks noChangeAspect="1" noChangeArrowheads="1"/>
                    </pic:cNvPicPr>
                  </pic:nvPicPr>
                  <pic:blipFill>
                    <a:blip r:embed="rId8"/>
                    <a:srcRect l="11376" t="17969" r="19235" b="12651"/>
                    <a:stretch>
                      <a:fillRect/>
                    </a:stretch>
                  </pic:blipFill>
                  <pic:spPr bwMode="auto">
                    <a:xfrm>
                      <a:off x="0" y="0"/>
                      <a:ext cx="819150" cy="628015"/>
                    </a:xfrm>
                    <a:prstGeom prst="rect">
                      <a:avLst/>
                    </a:prstGeom>
                  </pic:spPr>
                </pic:pic>
              </a:graphicData>
            </a:graphic>
          </wp:inline>
        </w:drawing>
      </w:r>
      <w:r>
        <w:rPr>
          <w:noProof/>
        </w:rPr>
        <w:drawing>
          <wp:inline distT="0" distB="0" distL="0" distR="0" wp14:anchorId="29442087" wp14:editId="35A0B376">
            <wp:extent cx="675640" cy="628015"/>
            <wp:effectExtent l="0" t="0" r="0" b="0"/>
            <wp:docPr id="4" name="Picture 29" descr="C:\Users\irine\AppData\Local\Microsoft\Windows\Temporary Internet Files\Content.Word\IMG_20220729_171210_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9" descr="C:\Users\irine\AppData\Local\Microsoft\Windows\Temporary Internet Files\Content.Word\IMG_20220729_171210_358.jpg"/>
                    <pic:cNvPicPr>
                      <a:picLocks noChangeAspect="1" noChangeArrowheads="1"/>
                    </pic:cNvPicPr>
                  </pic:nvPicPr>
                  <pic:blipFill>
                    <a:blip r:embed="rId9"/>
                    <a:srcRect l="3523" t="8204" r="5186" b="12306"/>
                    <a:stretch>
                      <a:fillRect/>
                    </a:stretch>
                  </pic:blipFill>
                  <pic:spPr bwMode="auto">
                    <a:xfrm>
                      <a:off x="0" y="0"/>
                      <a:ext cx="675640" cy="628015"/>
                    </a:xfrm>
                    <a:prstGeom prst="rect">
                      <a:avLst/>
                    </a:prstGeom>
                  </pic:spPr>
                </pic:pic>
              </a:graphicData>
            </a:graphic>
          </wp:inline>
        </w:drawing>
      </w:r>
      <w:r>
        <w:rPr>
          <w:noProof/>
        </w:rPr>
        <w:drawing>
          <wp:inline distT="0" distB="0" distL="0" distR="0" wp14:anchorId="7111763A" wp14:editId="45F19066">
            <wp:extent cx="731520" cy="628015"/>
            <wp:effectExtent l="0" t="0" r="0" b="0"/>
            <wp:docPr id="5" name="Picture 28" descr="C:\Users\irine\AppData\Local\Microsoft\Windows\Temporary Internet Files\Content.Word\IMG_20220729_171217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8" descr="C:\Users\irine\AppData\Local\Microsoft\Windows\Temporary Internet Files\Content.Word\IMG_20220729_171217_015.jpg"/>
                    <pic:cNvPicPr>
                      <a:picLocks noChangeAspect="1" noChangeArrowheads="1"/>
                    </pic:cNvPicPr>
                  </pic:nvPicPr>
                  <pic:blipFill>
                    <a:blip r:embed="rId10"/>
                    <a:srcRect t="8415" r="-197" b="6004"/>
                    <a:stretch>
                      <a:fillRect/>
                    </a:stretch>
                  </pic:blipFill>
                  <pic:spPr bwMode="auto">
                    <a:xfrm>
                      <a:off x="0" y="0"/>
                      <a:ext cx="731520" cy="628015"/>
                    </a:xfrm>
                    <a:prstGeom prst="rect">
                      <a:avLst/>
                    </a:prstGeom>
                  </pic:spPr>
                </pic:pic>
              </a:graphicData>
            </a:graphic>
          </wp:inline>
        </w:drawing>
      </w:r>
      <w:r>
        <w:rPr>
          <w:noProof/>
        </w:rPr>
        <w:drawing>
          <wp:inline distT="0" distB="0" distL="0" distR="0" wp14:anchorId="5F3D604F" wp14:editId="50A4ACEF">
            <wp:extent cx="695325" cy="626110"/>
            <wp:effectExtent l="0" t="0" r="0" b="0"/>
            <wp:docPr id="6" name="Picture 1048" descr="C:\Users\irine\AppData\Local\Microsoft\Windows\Temporary Internet Files\Content.Word\IMG_20220729_171037_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48" descr="C:\Users\irine\AppData\Local\Microsoft\Windows\Temporary Internet Files\Content.Word\IMG_20220729_171037_436.jpg"/>
                    <pic:cNvPicPr>
                      <a:picLocks noChangeAspect="1" noChangeArrowheads="1"/>
                    </pic:cNvPicPr>
                  </pic:nvPicPr>
                  <pic:blipFill>
                    <a:blip r:embed="rId11"/>
                    <a:srcRect l="33264" t="50723" r="39833" b="14787"/>
                    <a:stretch>
                      <a:fillRect/>
                    </a:stretch>
                  </pic:blipFill>
                  <pic:spPr bwMode="auto">
                    <a:xfrm>
                      <a:off x="0" y="0"/>
                      <a:ext cx="695325" cy="626110"/>
                    </a:xfrm>
                    <a:prstGeom prst="rect">
                      <a:avLst/>
                    </a:prstGeom>
                  </pic:spPr>
                </pic:pic>
              </a:graphicData>
            </a:graphic>
          </wp:inline>
        </w:drawing>
      </w:r>
      <w:r>
        <w:rPr>
          <w:noProof/>
        </w:rPr>
        <w:drawing>
          <wp:inline distT="0" distB="0" distL="0" distR="0" wp14:anchorId="588B3ECA" wp14:editId="70F4AFC9">
            <wp:extent cx="668020" cy="628015"/>
            <wp:effectExtent l="0" t="0" r="0" b="0"/>
            <wp:docPr id="7" name="Picture 7" descr="C:\Users\irine\AppData\Local\Microsoft\Windows\Temporary Internet Files\Content.Word\IMG_20220729_171222_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rine\AppData\Local\Microsoft\Windows\Temporary Internet Files\Content.Word\IMG_20220729_171222_791.jpg"/>
                    <pic:cNvPicPr>
                      <a:picLocks noChangeAspect="1" noChangeArrowheads="1"/>
                    </pic:cNvPicPr>
                  </pic:nvPicPr>
                  <pic:blipFill>
                    <a:blip r:embed="rId12"/>
                    <a:srcRect t="10103" r="-108"/>
                    <a:stretch>
                      <a:fillRect/>
                    </a:stretch>
                  </pic:blipFill>
                  <pic:spPr bwMode="auto">
                    <a:xfrm>
                      <a:off x="0" y="0"/>
                      <a:ext cx="668020" cy="628015"/>
                    </a:xfrm>
                    <a:prstGeom prst="rect">
                      <a:avLst/>
                    </a:prstGeom>
                  </pic:spPr>
                </pic:pic>
              </a:graphicData>
            </a:graphic>
          </wp:inline>
        </w:drawing>
      </w:r>
      <w:r>
        <w:rPr>
          <w:noProof/>
        </w:rPr>
        <w:pict w14:anchorId="66DE8385">
          <v:rect id="Cadre1" o:spid="_x0000_s1032" style="position:absolute;left:0;text-align:left;margin-left:-5.1pt;margin-top:36pt;width:16.5pt;height:17.85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" o:allowincell="f" filled="f" stroked="f" strokeweight="0">
            <v:textbox>
              <w:txbxContent>
                <w:p w14:paraId="78619319" w14:textId="77777777" w:rsidR="009A692A" w:rsidRDefault="002A3522">
                  <w:pPr>
                    <w:pStyle w:val="Contenudecadre"/>
                    <w:rPr>
                      <w:rFonts w:hint="eastAsia"/>
                      <w:b/>
                      <w:sz w:val="20"/>
                    </w:rPr>
                  </w:pPr>
                  <w:r>
                    <w:rPr>
                      <w:b/>
                      <w:color w:val="000000"/>
                      <w:sz w:val="20"/>
                    </w:rPr>
                    <w:t>A</w:t>
                  </w:r>
                </w:p>
              </w:txbxContent>
            </v:textbox>
          </v:rect>
        </w:pict>
      </w:r>
      <w:r>
        <w:rPr>
          <w:noProof/>
        </w:rPr>
        <w:pict w14:anchorId="2BD878C5">
          <v:rect id="Cadre2" o:spid="_x0000_s1031" style="position:absolute;left:0;text-align:left;margin-left:53.4pt;margin-top:35.9pt;width:16.5pt;height:17.5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" o:allowincell="f" filled="f" stroked="f" strokeweight="0">
            <v:textbox>
              <w:txbxContent>
                <w:p w14:paraId="275A13E4" w14:textId="77777777" w:rsidR="009A692A" w:rsidRDefault="002A3522">
                  <w:pPr>
                    <w:pStyle w:val="Contenudecadre"/>
                    <w:rPr>
                      <w:rFonts w:hint="eastAsia"/>
                      <w:b/>
                      <w:sz w:val="20"/>
                    </w:rPr>
                  </w:pPr>
                  <w:r>
                    <w:rPr>
                      <w:b/>
                      <w:color w:val="000000"/>
                      <w:sz w:val="20"/>
                    </w:rPr>
                    <w:t>B</w:t>
                  </w:r>
                </w:p>
              </w:txbxContent>
            </v:textbox>
          </v:rect>
        </w:pict>
      </w:r>
      <w:r>
        <w:rPr>
          <w:noProof/>
        </w:rPr>
        <w:pict w14:anchorId="39A5750C">
          <v:rect id="Cadre3" o:spid="_x0000_s1030" style="position:absolute;left:0;text-align:left;margin-left:119pt;margin-top:36.45pt;width:16.5pt;height:17.5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" o:allowincell="f" filled="f" stroked="f" strokeweight="0">
            <v:textbox>
              <w:txbxContent>
                <w:p w14:paraId="03D8A73E" w14:textId="77777777" w:rsidR="009A692A" w:rsidRDefault="002A3522">
                  <w:pPr>
                    <w:pStyle w:val="Contenudecadre"/>
                    <w:rPr>
                      <w:rFonts w:hint="eastAsia"/>
                      <w:b/>
                      <w:sz w:val="20"/>
                    </w:rPr>
                  </w:pPr>
                  <w:r>
                    <w:rPr>
                      <w:b/>
                      <w:color w:val="000000"/>
                      <w:sz w:val="20"/>
                    </w:rPr>
                    <w:t>C</w:t>
                  </w:r>
                </w:p>
              </w:txbxContent>
            </v:textbox>
          </v:rect>
        </w:pict>
      </w:r>
      <w:r>
        <w:rPr>
          <w:noProof/>
        </w:rPr>
        <w:pict w14:anchorId="77363929">
          <v:rect id="Cadre4" o:spid="_x0000_s1029" style="position:absolute;left:0;text-align:left;margin-left:184.35pt;margin-top:36.35pt;width:16.5pt;height:17.5pt;z-index: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" o:allowincell="f" filled="f" stroked="f" strokeweight="0">
            <v:textbox>
              <w:txbxContent>
                <w:p w14:paraId="485D8893" w14:textId="77777777" w:rsidR="009A692A" w:rsidRDefault="002A3522">
                  <w:pPr>
                    <w:pStyle w:val="Contenudecadre"/>
                    <w:rPr>
                      <w:rFonts w:hint="eastAsia"/>
                      <w:b/>
                      <w:sz w:val="20"/>
                    </w:rPr>
                  </w:pPr>
                  <w:r>
                    <w:rPr>
                      <w:b/>
                      <w:color w:val="000000"/>
                      <w:sz w:val="20"/>
                    </w:rPr>
                    <w:t>D</w:t>
                  </w:r>
                </w:p>
              </w:txbxContent>
            </v:textbox>
          </v:rect>
        </w:pict>
      </w:r>
      <w:r>
        <w:rPr>
          <w:noProof/>
        </w:rPr>
        <w:pict w14:anchorId="2E1BDF81">
          <v:rect id="Cadre5" o:spid="_x0000_s1028" style="position:absolute;left:0;text-align:left;margin-left:238.85pt;margin-top:35.45pt;width:16.5pt;height:17.5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" o:allowincell="f" filled="f" stroked="f" strokeweight="0">
            <v:textbox>
              <w:txbxContent>
                <w:p w14:paraId="7C9AAEB3" w14:textId="77777777" w:rsidR="009A692A" w:rsidRDefault="002A3522">
                  <w:pPr>
                    <w:pStyle w:val="Contenudecadre"/>
                    <w:rPr>
                      <w:rFonts w:hint="eastAsia"/>
                      <w:b/>
                      <w:sz w:val="20"/>
                    </w:rPr>
                  </w:pPr>
                  <w:r>
                    <w:rPr>
                      <w:b/>
                      <w:color w:val="000000"/>
                      <w:sz w:val="20"/>
                    </w:rPr>
                    <w:t>E</w:t>
                  </w:r>
                </w:p>
              </w:txbxContent>
            </v:textbox>
          </v:rect>
        </w:pict>
      </w:r>
      <w:r>
        <w:rPr>
          <w:noProof/>
        </w:rPr>
        <w:pict w14:anchorId="393916BF">
          <v:rect id="Cadre6" o:spid="_x0000_s1027" style="position:absolute;left:0;text-align:left;margin-left:299.15pt;margin-top:36.45pt;width:16.5pt;height:17.5pt;z-index: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" o:allowincell="f" filled="f" stroked="f" strokeweight="0">
            <v:textbox>
              <w:txbxContent>
                <w:p w14:paraId="39A2E6CF" w14:textId="77777777" w:rsidR="009A692A" w:rsidRDefault="002A3522">
                  <w:pPr>
                    <w:pStyle w:val="Contenudecadre"/>
                    <w:rPr>
                      <w:rFonts w:hint="eastAsia"/>
                      <w:b/>
                      <w:sz w:val="20"/>
                    </w:rPr>
                  </w:pPr>
                  <w:r>
                    <w:rPr>
                      <w:b/>
                      <w:color w:val="000000"/>
                      <w:sz w:val="20"/>
                    </w:rPr>
                    <w:t>F</w:t>
                  </w:r>
                </w:p>
              </w:txbxContent>
            </v:textbox>
          </v:rect>
        </w:pict>
      </w:r>
      <w:r>
        <w:rPr>
          <w:noProof/>
        </w:rPr>
        <w:pict w14:anchorId="7243043C">
          <v:rect id="Cadre7" o:spid="_x0000_s1026" style="position:absolute;left:0;text-align:left;margin-left:351.85pt;margin-top:36.35pt;width:16.5pt;height:17.5pt;z-index:2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" o:allowincell="f" filled="f" stroked="f" strokeweight="0">
            <v:textbox>
              <w:txbxContent>
                <w:p w14:paraId="18F5AB07" w14:textId="77777777" w:rsidR="009A692A" w:rsidRDefault="002A3522">
                  <w:pPr>
                    <w:pStyle w:val="Contenudecadre"/>
                    <w:rPr>
                      <w:rFonts w:hint="eastAsia"/>
                      <w:b/>
                      <w:sz w:val="20"/>
                    </w:rPr>
                  </w:pPr>
                  <w:r>
                    <w:rPr>
                      <w:b/>
                      <w:color w:val="000000"/>
                      <w:sz w:val="20"/>
                    </w:rPr>
                    <w:t>G</w:t>
                  </w:r>
                </w:p>
              </w:txbxContent>
            </v:textbox>
          </v:rect>
        </w:pict>
      </w:r>
      <w:r>
        <w:rPr>
          <w:noProof/>
        </w:rPr>
        <w:drawing>
          <wp:inline distT="0" distB="0" distL="0" distR="0" wp14:anchorId="4341F472" wp14:editId="544B9C9E">
            <wp:extent cx="668020" cy="628015"/>
            <wp:effectExtent l="0" t="0" r="0" b="0"/>
            <wp:docPr id="22" name="Image1" descr="C:\Users\irine\AppData\Local\Microsoft\Windows\Temporary Internet Files\Content.Word\IMG_20220729_171222_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 descr="C:\Users\irine\AppData\Local\Microsoft\Windows\Temporary Internet Files\Content.Word\IMG_20220729_171222_791.jpg"/>
                    <pic:cNvPicPr>
                      <a:picLocks noChangeAspect="1" noChangeArrowheads="1"/>
                    </pic:cNvPicPr>
                  </pic:nvPicPr>
                  <pic:blipFill>
                    <a:blip r:embed="rId12"/>
                    <a:srcRect t="10103" r="-108"/>
                    <a:stretch>
                      <a:fillRect/>
                    </a:stretch>
                  </pic:blipFill>
                  <pic:spPr bwMode="auto">
                    <a:xfrm>
                      <a:off x="0" y="0"/>
                      <a:ext cx="668020" cy="628015"/>
                    </a:xfrm>
                    <a:prstGeom prst="rect">
                      <a:avLst/>
                    </a:prstGeom>
                  </pic:spPr>
                </pic:pic>
              </a:graphicData>
            </a:graphic>
          </wp:inline>
        </w:drawing>
      </w:r>
    </w:p>
    <w:p w14:paraId="6A562022" w14:textId="77777777" w:rsidR="009A692A" w:rsidRDefault="002A3522">
      <w:pPr>
        <w:spacing w:line="276" w:lineRule="auto"/>
        <w:jc w:val="both"/>
        <w:rPr>
          <w:rFonts w:ascii="Arial" w:hAnsi="Arial"/>
          <w:sz w:val="20"/>
          <w:szCs w:val="20"/>
        </w:rPr>
      </w:pPr>
      <w:r>
        <w:rPr>
          <w:rFonts w:ascii="Arial" w:hAnsi="Arial"/>
          <w:b/>
          <w:color w:val="000000"/>
          <w:sz w:val="20"/>
          <w:szCs w:val="20"/>
        </w:rPr>
        <w:t xml:space="preserve">Fig. 1. </w:t>
      </w:r>
      <w:r>
        <w:rPr>
          <w:rFonts w:ascii="Arial" w:hAnsi="Arial"/>
          <w:b/>
          <w:bCs/>
          <w:color w:val="000000"/>
          <w:sz w:val="20"/>
          <w:szCs w:val="20"/>
        </w:rPr>
        <w:t>Different potato chips obtained after processing</w:t>
      </w:r>
    </w:p>
    <w:p w14:paraId="051BB2DD" w14:textId="77777777" w:rsidR="009A692A" w:rsidRDefault="002A3522">
      <w:pPr>
        <w:pStyle w:val="ListParagraph"/>
        <w:tabs>
          <w:tab w:val="left" w:pos="3495"/>
        </w:tabs>
        <w:spacing w:after="0" w:line="240" w:lineRule="auto"/>
        <w:ind w:left="0"/>
        <w:contextualSpacing w:val="0"/>
        <w:jc w:val="both"/>
        <w:rPr>
          <w:rFonts w:ascii="Arial" w:hAnsi="Arial"/>
          <w:sz w:val="20"/>
          <w:szCs w:val="20"/>
        </w:rPr>
      </w:pPr>
      <w:r>
        <w:rPr>
          <w:rFonts w:ascii="Arial" w:hAnsi="Arial" w:cs="Times New Roman"/>
          <w:color w:val="000000"/>
          <w:sz w:val="20"/>
          <w:szCs w:val="20"/>
        </w:rPr>
        <w:t xml:space="preserve">A: 100% potato, B: potato with 10% soybean, C: potato with 15% soybean, D: potato with 10% moringa, E: potato with 15% moringa and 10% soybean, F: </w:t>
      </w:r>
      <w:r>
        <w:rPr>
          <w:rFonts w:ascii="Arial" w:hAnsi="Arial" w:cs="Times New Roman"/>
          <w:color w:val="000000"/>
          <w:sz w:val="20"/>
          <w:szCs w:val="20"/>
        </w:rPr>
        <w:t xml:space="preserve">potato with 10% moringa and 10% soybean, G: potato with 15% moringa and 15% soybean. </w:t>
      </w:r>
    </w:p>
    <w:p w14:paraId="12A97B17" w14:textId="77777777" w:rsidR="009A692A" w:rsidRDefault="009A692A">
      <w:pPr>
        <w:pStyle w:val="ListParagraph"/>
        <w:tabs>
          <w:tab w:val="left" w:pos="3495"/>
        </w:tabs>
        <w:spacing w:after="0" w:line="240" w:lineRule="auto"/>
        <w:ind w:left="0"/>
        <w:contextualSpacing w:val="0"/>
        <w:jc w:val="both"/>
        <w:rPr>
          <w:rFonts w:ascii="Arial" w:hAnsi="Arial" w:cs="Times New Roman"/>
          <w:color w:val="000000"/>
          <w:sz w:val="20"/>
          <w:szCs w:val="20"/>
        </w:rPr>
      </w:pPr>
    </w:p>
    <w:p w14:paraId="0AE3DAAE" w14:textId="77777777" w:rsidR="009A692A" w:rsidRDefault="002A3522">
      <w:pPr>
        <w:jc w:val="both"/>
        <w:rPr>
          <w:rFonts w:ascii="Arial" w:hAnsi="Arial"/>
          <w:sz w:val="20"/>
          <w:szCs w:val="20"/>
        </w:rPr>
      </w:pPr>
      <w:r>
        <w:rPr>
          <w:rFonts w:ascii="Arial" w:eastAsia="GaramondPremrPro" w:hAnsi="Arial"/>
          <w:color w:val="000000"/>
          <w:sz w:val="20"/>
          <w:szCs w:val="20"/>
        </w:rPr>
        <w:t>Globally potato chips enriched with 10 and 15% soybean flour as well as without enrichment showed the most appreciated colour, aroma, texture, crispiness, taste, and ove</w:t>
      </w:r>
      <w:r>
        <w:rPr>
          <w:rFonts w:ascii="Arial" w:eastAsia="GaramondPremrPro" w:hAnsi="Arial"/>
          <w:color w:val="000000"/>
          <w:sz w:val="20"/>
          <w:szCs w:val="20"/>
        </w:rPr>
        <w:t>rall acceptability (Table 1). This signifies that moringa flour due to its content in better and dark ingredients could have influenced the appreciation of potato chips by the panelists.</w:t>
      </w:r>
    </w:p>
    <w:p w14:paraId="6248F6F6" w14:textId="77777777" w:rsidR="009A692A" w:rsidRDefault="009A692A">
      <w:pPr>
        <w:spacing w:line="360" w:lineRule="auto"/>
        <w:jc w:val="both"/>
        <w:rPr>
          <w:rFonts w:ascii="Arial" w:hAnsi="Arial"/>
          <w:color w:val="000000"/>
          <w:sz w:val="20"/>
          <w:szCs w:val="20"/>
        </w:rPr>
      </w:pPr>
    </w:p>
    <w:p w14:paraId="24372C96" w14:textId="77777777" w:rsidR="009A692A" w:rsidRDefault="002A3522">
      <w:pPr>
        <w:spacing w:line="480" w:lineRule="auto"/>
        <w:jc w:val="both"/>
        <w:rPr>
          <w:rFonts w:hint="eastAsia"/>
          <w:b/>
          <w:bCs/>
        </w:rPr>
      </w:pPr>
      <w:r>
        <w:rPr>
          <w:rFonts w:ascii="Arial" w:hAnsi="Arial"/>
          <w:b/>
          <w:bCs/>
          <w:color w:val="000000"/>
          <w:sz w:val="20"/>
          <w:szCs w:val="20"/>
        </w:rPr>
        <w:t>Table 1: Sensory properties of the processed potato products</w:t>
      </w:r>
    </w:p>
    <w:tbl>
      <w:tblPr>
        <w:tblW w:w="9773" w:type="dxa"/>
        <w:tblInd w:w="126" w:type="dxa"/>
        <w:tblLayout w:type="fixed"/>
        <w:tblLook w:val="04A0" w:firstRow="1" w:lastRow="0" w:firstColumn="1" w:lastColumn="0" w:noHBand="0" w:noVBand="1"/>
      </w:tblPr>
      <w:tblGrid>
        <w:gridCol w:w="948"/>
        <w:gridCol w:w="1550"/>
        <w:gridCol w:w="1420"/>
        <w:gridCol w:w="1412"/>
        <w:gridCol w:w="1417"/>
        <w:gridCol w:w="1418"/>
        <w:gridCol w:w="1608"/>
      </w:tblGrid>
      <w:tr w:rsidR="009A692A" w14:paraId="729F2695" w14:textId="77777777">
        <w:trPr>
          <w:trHeight w:val="575"/>
        </w:trPr>
        <w:tc>
          <w:tcPr>
            <w:tcW w:w="947" w:type="dxa"/>
            <w:tcBorders>
              <w:top w:val="single" w:sz="4" w:space="0" w:color="000000"/>
              <w:bottom w:val="single" w:sz="8" w:space="0" w:color="000000"/>
            </w:tcBorders>
          </w:tcPr>
          <w:p w14:paraId="73B63B93" w14:textId="77777777" w:rsidR="009A692A" w:rsidRDefault="002A3522">
            <w:pPr>
              <w:widowControl w:val="0"/>
              <w:spacing w:line="480" w:lineRule="auto"/>
              <w:jc w:val="both"/>
              <w:rPr>
                <w:rFonts w:hint="eastAsia"/>
              </w:rPr>
            </w:pPr>
            <w:r>
              <w:rPr>
                <w:rFonts w:ascii="Arial" w:hAnsi="Arial"/>
                <w:b/>
                <w:color w:val="000000"/>
                <w:sz w:val="20"/>
                <w:szCs w:val="20"/>
              </w:rPr>
              <w:t>Sample</w:t>
            </w:r>
          </w:p>
        </w:tc>
        <w:tc>
          <w:tcPr>
            <w:tcW w:w="1550" w:type="dxa"/>
            <w:tcBorders>
              <w:top w:val="single" w:sz="4" w:space="0" w:color="000000"/>
              <w:bottom w:val="single" w:sz="8" w:space="0" w:color="000000"/>
            </w:tcBorders>
          </w:tcPr>
          <w:p w14:paraId="31186260" w14:textId="77777777" w:rsidR="009A692A" w:rsidRDefault="002A3522">
            <w:pPr>
              <w:widowControl w:val="0"/>
              <w:spacing w:line="480" w:lineRule="auto"/>
              <w:jc w:val="both"/>
              <w:rPr>
                <w:rFonts w:hint="eastAsia"/>
              </w:rPr>
            </w:pPr>
            <w:r>
              <w:rPr>
                <w:rFonts w:ascii="Arial" w:hAnsi="Arial"/>
                <w:b/>
                <w:color w:val="000000"/>
                <w:sz w:val="20"/>
                <w:szCs w:val="20"/>
              </w:rPr>
              <w:t>Colour</w:t>
            </w:r>
          </w:p>
        </w:tc>
        <w:tc>
          <w:tcPr>
            <w:tcW w:w="1420" w:type="dxa"/>
            <w:tcBorders>
              <w:top w:val="single" w:sz="4" w:space="0" w:color="000000"/>
              <w:bottom w:val="single" w:sz="8" w:space="0" w:color="000000"/>
            </w:tcBorders>
          </w:tcPr>
          <w:p w14:paraId="0F82CCFA" w14:textId="77777777" w:rsidR="009A692A" w:rsidRDefault="002A3522">
            <w:pPr>
              <w:widowControl w:val="0"/>
              <w:spacing w:line="480" w:lineRule="auto"/>
              <w:jc w:val="both"/>
              <w:rPr>
                <w:rFonts w:hint="eastAsia"/>
              </w:rPr>
            </w:pPr>
            <w:r>
              <w:rPr>
                <w:rFonts w:ascii="Arial" w:hAnsi="Arial"/>
                <w:b/>
                <w:color w:val="000000"/>
                <w:sz w:val="20"/>
                <w:szCs w:val="20"/>
              </w:rPr>
              <w:t>Aroma</w:t>
            </w:r>
          </w:p>
        </w:tc>
        <w:tc>
          <w:tcPr>
            <w:tcW w:w="1412" w:type="dxa"/>
            <w:tcBorders>
              <w:top w:val="single" w:sz="4" w:space="0" w:color="000000"/>
              <w:bottom w:val="single" w:sz="8" w:space="0" w:color="000000"/>
            </w:tcBorders>
          </w:tcPr>
          <w:p w14:paraId="27FE4CF7" w14:textId="77777777" w:rsidR="009A692A" w:rsidRDefault="002A3522">
            <w:pPr>
              <w:widowControl w:val="0"/>
              <w:spacing w:line="480" w:lineRule="auto"/>
              <w:jc w:val="both"/>
              <w:rPr>
                <w:rFonts w:hint="eastAsia"/>
              </w:rPr>
            </w:pPr>
            <w:r>
              <w:rPr>
                <w:rFonts w:ascii="Arial" w:hAnsi="Arial"/>
                <w:b/>
                <w:color w:val="000000"/>
                <w:sz w:val="20"/>
                <w:szCs w:val="20"/>
              </w:rPr>
              <w:t>Te</w:t>
            </w:r>
            <w:r>
              <w:rPr>
                <w:rFonts w:ascii="Arial" w:eastAsia="GaramondPremrPro" w:hAnsi="Arial"/>
                <w:b/>
                <w:color w:val="000000"/>
                <w:sz w:val="20"/>
                <w:szCs w:val="20"/>
              </w:rPr>
              <w:t>x</w:t>
            </w:r>
            <w:r>
              <w:rPr>
                <w:rFonts w:ascii="Arial" w:hAnsi="Arial"/>
                <w:b/>
                <w:color w:val="000000"/>
                <w:sz w:val="20"/>
                <w:szCs w:val="20"/>
              </w:rPr>
              <w:t>ture</w:t>
            </w:r>
          </w:p>
        </w:tc>
        <w:tc>
          <w:tcPr>
            <w:tcW w:w="1417" w:type="dxa"/>
            <w:tcBorders>
              <w:top w:val="single" w:sz="4" w:space="0" w:color="000000"/>
              <w:bottom w:val="single" w:sz="8" w:space="0" w:color="000000"/>
            </w:tcBorders>
          </w:tcPr>
          <w:p w14:paraId="61DB77C5" w14:textId="77777777" w:rsidR="009A692A" w:rsidRDefault="002A3522">
            <w:pPr>
              <w:widowControl w:val="0"/>
              <w:spacing w:line="480" w:lineRule="auto"/>
              <w:jc w:val="both"/>
              <w:rPr>
                <w:rFonts w:hint="eastAsia"/>
              </w:rPr>
            </w:pPr>
            <w:r>
              <w:rPr>
                <w:rFonts w:ascii="Arial" w:hAnsi="Arial"/>
                <w:b/>
                <w:color w:val="000000"/>
                <w:sz w:val="20"/>
                <w:szCs w:val="20"/>
              </w:rPr>
              <w:t>Crispiness</w:t>
            </w:r>
          </w:p>
        </w:tc>
        <w:tc>
          <w:tcPr>
            <w:tcW w:w="1418" w:type="dxa"/>
            <w:tcBorders>
              <w:top w:val="single" w:sz="4" w:space="0" w:color="000000"/>
              <w:bottom w:val="single" w:sz="8" w:space="0" w:color="000000"/>
            </w:tcBorders>
          </w:tcPr>
          <w:p w14:paraId="3B8EAAD1" w14:textId="77777777" w:rsidR="009A692A" w:rsidRDefault="002A3522">
            <w:pPr>
              <w:widowControl w:val="0"/>
              <w:spacing w:line="480" w:lineRule="auto"/>
              <w:jc w:val="both"/>
              <w:rPr>
                <w:rFonts w:hint="eastAsia"/>
              </w:rPr>
            </w:pPr>
            <w:r>
              <w:rPr>
                <w:rFonts w:ascii="Arial" w:hAnsi="Arial"/>
                <w:b/>
                <w:color w:val="000000"/>
                <w:sz w:val="20"/>
                <w:szCs w:val="20"/>
              </w:rPr>
              <w:t>Taste</w:t>
            </w:r>
          </w:p>
        </w:tc>
        <w:tc>
          <w:tcPr>
            <w:tcW w:w="1608" w:type="dxa"/>
            <w:tcBorders>
              <w:top w:val="single" w:sz="4" w:space="0" w:color="000000"/>
              <w:bottom w:val="single" w:sz="8" w:space="0" w:color="000000"/>
            </w:tcBorders>
          </w:tcPr>
          <w:p w14:paraId="6B3BDD21" w14:textId="77777777" w:rsidR="009A692A" w:rsidRDefault="002A3522">
            <w:pPr>
              <w:widowControl w:val="0"/>
              <w:spacing w:line="480" w:lineRule="auto"/>
              <w:jc w:val="both"/>
              <w:rPr>
                <w:rFonts w:hint="eastAsia"/>
              </w:rPr>
            </w:pPr>
            <w:r>
              <w:rPr>
                <w:rFonts w:ascii="Arial" w:hAnsi="Arial"/>
                <w:b/>
                <w:color w:val="000000"/>
                <w:sz w:val="20"/>
                <w:szCs w:val="20"/>
              </w:rPr>
              <w:t>Overall acceptability</w:t>
            </w:r>
          </w:p>
        </w:tc>
      </w:tr>
      <w:tr w:rsidR="009A692A" w14:paraId="30733BFE" w14:textId="77777777">
        <w:trPr>
          <w:trHeight w:val="528"/>
        </w:trPr>
        <w:tc>
          <w:tcPr>
            <w:tcW w:w="947" w:type="dxa"/>
          </w:tcPr>
          <w:p w14:paraId="5E981C09"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A</w:t>
            </w:r>
          </w:p>
        </w:tc>
        <w:tc>
          <w:tcPr>
            <w:tcW w:w="1550" w:type="dxa"/>
          </w:tcPr>
          <w:p w14:paraId="0C78737E" w14:textId="77777777" w:rsidR="009A692A" w:rsidRDefault="002A3522">
            <w:pPr>
              <w:widowControl w:val="0"/>
              <w:spacing w:line="480" w:lineRule="auto"/>
              <w:jc w:val="both"/>
              <w:rPr>
                <w:rFonts w:hint="eastAsia"/>
              </w:rPr>
            </w:pPr>
            <w:r>
              <w:rPr>
                <w:rFonts w:ascii="Arial" w:hAnsi="Arial"/>
                <w:color w:val="000000"/>
                <w:sz w:val="20"/>
                <w:szCs w:val="20"/>
              </w:rPr>
              <w:t>7.7±0.73</w:t>
            </w:r>
            <w:r>
              <w:rPr>
                <w:rFonts w:ascii="Arial" w:hAnsi="Arial"/>
                <w:color w:val="000000"/>
                <w:sz w:val="20"/>
                <w:szCs w:val="20"/>
                <w:vertAlign w:val="superscript"/>
              </w:rPr>
              <w:t>a</w:t>
            </w:r>
          </w:p>
        </w:tc>
        <w:tc>
          <w:tcPr>
            <w:tcW w:w="1420" w:type="dxa"/>
          </w:tcPr>
          <w:p w14:paraId="03F363AC" w14:textId="77777777" w:rsidR="009A692A" w:rsidRDefault="002A3522">
            <w:pPr>
              <w:widowControl w:val="0"/>
              <w:spacing w:line="480" w:lineRule="auto"/>
              <w:jc w:val="both"/>
              <w:rPr>
                <w:rFonts w:hint="eastAsia"/>
              </w:rPr>
            </w:pPr>
            <w:r>
              <w:rPr>
                <w:rFonts w:ascii="Arial" w:hAnsi="Arial"/>
                <w:color w:val="000000"/>
                <w:sz w:val="20"/>
                <w:szCs w:val="20"/>
              </w:rPr>
              <w:t>6.95±1.43</w:t>
            </w:r>
            <w:r>
              <w:rPr>
                <w:rFonts w:ascii="Arial" w:hAnsi="Arial"/>
                <w:color w:val="000000"/>
                <w:sz w:val="20"/>
                <w:szCs w:val="20"/>
                <w:vertAlign w:val="superscript"/>
              </w:rPr>
              <w:t>a</w:t>
            </w:r>
          </w:p>
        </w:tc>
        <w:tc>
          <w:tcPr>
            <w:tcW w:w="1412" w:type="dxa"/>
          </w:tcPr>
          <w:p w14:paraId="2B43681F" w14:textId="77777777" w:rsidR="009A692A" w:rsidRDefault="002A3522">
            <w:pPr>
              <w:widowControl w:val="0"/>
              <w:spacing w:line="480" w:lineRule="auto"/>
              <w:jc w:val="both"/>
              <w:rPr>
                <w:rFonts w:hint="eastAsia"/>
              </w:rPr>
            </w:pPr>
            <w:r>
              <w:rPr>
                <w:rFonts w:ascii="Arial" w:hAnsi="Arial"/>
                <w:color w:val="000000"/>
                <w:sz w:val="20"/>
                <w:szCs w:val="20"/>
              </w:rPr>
              <w:t>7.55±1.57</w:t>
            </w:r>
            <w:r>
              <w:rPr>
                <w:rFonts w:ascii="Arial" w:hAnsi="Arial"/>
                <w:color w:val="000000"/>
                <w:sz w:val="20"/>
                <w:szCs w:val="20"/>
                <w:vertAlign w:val="superscript"/>
              </w:rPr>
              <w:t>a</w:t>
            </w:r>
          </w:p>
        </w:tc>
        <w:tc>
          <w:tcPr>
            <w:tcW w:w="1417" w:type="dxa"/>
          </w:tcPr>
          <w:p w14:paraId="53FE2E4C" w14:textId="77777777" w:rsidR="009A692A" w:rsidRDefault="002A3522">
            <w:pPr>
              <w:widowControl w:val="0"/>
              <w:spacing w:line="480" w:lineRule="auto"/>
              <w:jc w:val="both"/>
              <w:rPr>
                <w:rFonts w:hint="eastAsia"/>
              </w:rPr>
            </w:pPr>
            <w:r>
              <w:rPr>
                <w:rFonts w:ascii="Arial" w:hAnsi="Arial"/>
                <w:color w:val="000000"/>
                <w:sz w:val="20"/>
                <w:szCs w:val="20"/>
              </w:rPr>
              <w:t>7.45±1.</w:t>
            </w:r>
            <w:r>
              <w:rPr>
                <w:rFonts w:ascii="Arial" w:hAnsi="Arial"/>
                <w:bCs/>
                <w:color w:val="000000"/>
                <w:sz w:val="20"/>
                <w:szCs w:val="20"/>
              </w:rPr>
              <w:t>23</w:t>
            </w:r>
            <w:r>
              <w:rPr>
                <w:rFonts w:ascii="Arial" w:hAnsi="Arial"/>
                <w:bCs/>
                <w:color w:val="000000"/>
                <w:sz w:val="20"/>
                <w:szCs w:val="20"/>
                <w:vertAlign w:val="superscript"/>
              </w:rPr>
              <w:t>a</w:t>
            </w:r>
          </w:p>
        </w:tc>
        <w:tc>
          <w:tcPr>
            <w:tcW w:w="1418" w:type="dxa"/>
          </w:tcPr>
          <w:p w14:paraId="59430CEC" w14:textId="77777777" w:rsidR="009A692A" w:rsidRDefault="002A3522">
            <w:pPr>
              <w:widowControl w:val="0"/>
              <w:spacing w:line="480" w:lineRule="auto"/>
              <w:jc w:val="both"/>
              <w:rPr>
                <w:rFonts w:hint="eastAsia"/>
              </w:rPr>
            </w:pPr>
            <w:r>
              <w:rPr>
                <w:rFonts w:ascii="Arial" w:hAnsi="Arial"/>
                <w:color w:val="000000"/>
                <w:sz w:val="20"/>
                <w:szCs w:val="20"/>
              </w:rPr>
              <w:t>7.7±0.</w:t>
            </w:r>
            <w:r>
              <w:rPr>
                <w:rFonts w:ascii="Arial" w:hAnsi="Arial"/>
                <w:bCs/>
                <w:color w:val="000000"/>
                <w:sz w:val="20"/>
                <w:szCs w:val="20"/>
              </w:rPr>
              <w:t>92</w:t>
            </w:r>
            <w:r>
              <w:rPr>
                <w:rFonts w:ascii="Arial" w:hAnsi="Arial"/>
                <w:bCs/>
                <w:color w:val="000000"/>
                <w:sz w:val="20"/>
                <w:szCs w:val="20"/>
                <w:vertAlign w:val="superscript"/>
              </w:rPr>
              <w:t>a</w:t>
            </w:r>
          </w:p>
        </w:tc>
        <w:tc>
          <w:tcPr>
            <w:tcW w:w="1608" w:type="dxa"/>
          </w:tcPr>
          <w:p w14:paraId="7C53A87A" w14:textId="77777777" w:rsidR="009A692A" w:rsidRDefault="002A3522">
            <w:pPr>
              <w:widowControl w:val="0"/>
              <w:spacing w:line="480" w:lineRule="auto"/>
              <w:jc w:val="both"/>
              <w:rPr>
                <w:rFonts w:hint="eastAsia"/>
              </w:rPr>
            </w:pPr>
            <w:r>
              <w:rPr>
                <w:rFonts w:ascii="Arial" w:hAnsi="Arial"/>
                <w:color w:val="000000"/>
                <w:sz w:val="20"/>
                <w:szCs w:val="20"/>
              </w:rPr>
              <w:t>7.5±1.</w:t>
            </w:r>
            <w:r>
              <w:rPr>
                <w:rFonts w:ascii="Arial" w:hAnsi="Arial"/>
                <w:bCs/>
                <w:color w:val="000000"/>
                <w:sz w:val="20"/>
                <w:szCs w:val="20"/>
              </w:rPr>
              <w:t>24</w:t>
            </w:r>
            <w:r>
              <w:rPr>
                <w:rFonts w:ascii="Arial" w:hAnsi="Arial"/>
                <w:bCs/>
                <w:color w:val="000000"/>
                <w:sz w:val="20"/>
                <w:szCs w:val="20"/>
                <w:vertAlign w:val="superscript"/>
              </w:rPr>
              <w:t>a</w:t>
            </w:r>
          </w:p>
        </w:tc>
      </w:tr>
      <w:tr w:rsidR="009A692A" w14:paraId="2951D16C" w14:textId="77777777">
        <w:trPr>
          <w:trHeight w:val="528"/>
        </w:trPr>
        <w:tc>
          <w:tcPr>
            <w:tcW w:w="947" w:type="dxa"/>
          </w:tcPr>
          <w:p w14:paraId="4FD159DC"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B</w:t>
            </w:r>
          </w:p>
        </w:tc>
        <w:tc>
          <w:tcPr>
            <w:tcW w:w="1550" w:type="dxa"/>
          </w:tcPr>
          <w:p w14:paraId="2D713DEA" w14:textId="77777777" w:rsidR="009A692A" w:rsidRDefault="002A3522">
            <w:pPr>
              <w:widowControl w:val="0"/>
              <w:spacing w:line="480" w:lineRule="auto"/>
              <w:jc w:val="both"/>
              <w:rPr>
                <w:rFonts w:hint="eastAsia"/>
              </w:rPr>
            </w:pPr>
            <w:r>
              <w:rPr>
                <w:rFonts w:ascii="Arial" w:hAnsi="Arial"/>
                <w:color w:val="000000"/>
                <w:sz w:val="20"/>
                <w:szCs w:val="20"/>
              </w:rPr>
              <w:t>8.0±0.9</w:t>
            </w:r>
            <w:r>
              <w:rPr>
                <w:rFonts w:ascii="Arial" w:hAnsi="Arial"/>
                <w:bCs/>
                <w:color w:val="000000"/>
                <w:sz w:val="20"/>
                <w:szCs w:val="20"/>
              </w:rPr>
              <w:t>2</w:t>
            </w:r>
            <w:r>
              <w:rPr>
                <w:rFonts w:ascii="Arial" w:hAnsi="Arial"/>
                <w:bCs/>
                <w:color w:val="000000"/>
                <w:sz w:val="20"/>
                <w:szCs w:val="20"/>
                <w:vertAlign w:val="superscript"/>
              </w:rPr>
              <w:t>a</w:t>
            </w:r>
          </w:p>
        </w:tc>
        <w:tc>
          <w:tcPr>
            <w:tcW w:w="1420" w:type="dxa"/>
          </w:tcPr>
          <w:p w14:paraId="6C61108C" w14:textId="77777777" w:rsidR="009A692A" w:rsidRDefault="002A3522">
            <w:pPr>
              <w:widowControl w:val="0"/>
              <w:spacing w:line="480" w:lineRule="auto"/>
              <w:jc w:val="both"/>
              <w:rPr>
                <w:rFonts w:hint="eastAsia"/>
              </w:rPr>
            </w:pPr>
            <w:r>
              <w:rPr>
                <w:rFonts w:ascii="Arial" w:hAnsi="Arial"/>
                <w:color w:val="000000"/>
                <w:sz w:val="20"/>
                <w:szCs w:val="20"/>
              </w:rPr>
              <w:t>7.15±1.46</w:t>
            </w:r>
            <w:r>
              <w:rPr>
                <w:rFonts w:ascii="Arial" w:hAnsi="Arial"/>
                <w:color w:val="000000"/>
                <w:sz w:val="20"/>
                <w:szCs w:val="20"/>
                <w:vertAlign w:val="superscript"/>
              </w:rPr>
              <w:t>a</w:t>
            </w:r>
          </w:p>
        </w:tc>
        <w:tc>
          <w:tcPr>
            <w:tcW w:w="1412" w:type="dxa"/>
          </w:tcPr>
          <w:p w14:paraId="62C4C331" w14:textId="77777777" w:rsidR="009A692A" w:rsidRDefault="002A3522">
            <w:pPr>
              <w:widowControl w:val="0"/>
              <w:spacing w:line="480" w:lineRule="auto"/>
              <w:jc w:val="both"/>
              <w:rPr>
                <w:rFonts w:hint="eastAsia"/>
              </w:rPr>
            </w:pPr>
            <w:r>
              <w:rPr>
                <w:rFonts w:ascii="Arial" w:hAnsi="Arial"/>
                <w:color w:val="000000"/>
                <w:sz w:val="20"/>
                <w:szCs w:val="20"/>
              </w:rPr>
              <w:t>7.8±0.01</w:t>
            </w:r>
            <w:r>
              <w:rPr>
                <w:rFonts w:ascii="Arial" w:hAnsi="Arial"/>
                <w:color w:val="000000"/>
                <w:sz w:val="20"/>
                <w:szCs w:val="20"/>
                <w:vertAlign w:val="superscript"/>
              </w:rPr>
              <w:t>a</w:t>
            </w:r>
          </w:p>
        </w:tc>
        <w:tc>
          <w:tcPr>
            <w:tcW w:w="1417" w:type="dxa"/>
          </w:tcPr>
          <w:p w14:paraId="31812437" w14:textId="77777777" w:rsidR="009A692A" w:rsidRDefault="002A3522">
            <w:pPr>
              <w:widowControl w:val="0"/>
              <w:spacing w:line="480" w:lineRule="auto"/>
              <w:jc w:val="both"/>
              <w:rPr>
                <w:rFonts w:hint="eastAsia"/>
              </w:rPr>
            </w:pPr>
            <w:r>
              <w:rPr>
                <w:rFonts w:ascii="Arial" w:hAnsi="Arial"/>
                <w:color w:val="000000"/>
                <w:sz w:val="20"/>
                <w:szCs w:val="20"/>
              </w:rPr>
              <w:t>7.55±1.</w:t>
            </w:r>
            <w:r>
              <w:rPr>
                <w:rFonts w:ascii="Arial" w:hAnsi="Arial"/>
                <w:bCs/>
                <w:color w:val="000000"/>
                <w:sz w:val="20"/>
                <w:szCs w:val="20"/>
              </w:rPr>
              <w:t xml:space="preserve"> 23</w:t>
            </w:r>
            <w:r>
              <w:rPr>
                <w:rFonts w:ascii="Arial" w:hAnsi="Arial"/>
                <w:bCs/>
                <w:color w:val="000000"/>
                <w:sz w:val="20"/>
                <w:szCs w:val="20"/>
                <w:vertAlign w:val="superscript"/>
              </w:rPr>
              <w:t>a</w:t>
            </w:r>
          </w:p>
        </w:tc>
        <w:tc>
          <w:tcPr>
            <w:tcW w:w="1418" w:type="dxa"/>
          </w:tcPr>
          <w:p w14:paraId="42571DA9" w14:textId="77777777" w:rsidR="009A692A" w:rsidRDefault="002A3522">
            <w:pPr>
              <w:widowControl w:val="0"/>
              <w:spacing w:line="480" w:lineRule="auto"/>
              <w:jc w:val="both"/>
              <w:rPr>
                <w:rFonts w:hint="eastAsia"/>
              </w:rPr>
            </w:pPr>
            <w:r>
              <w:rPr>
                <w:rFonts w:ascii="Arial" w:hAnsi="Arial"/>
                <w:color w:val="000000"/>
                <w:sz w:val="20"/>
                <w:szCs w:val="20"/>
              </w:rPr>
              <w:t>7.95±0.94</w:t>
            </w:r>
            <w:r>
              <w:rPr>
                <w:rFonts w:ascii="Arial" w:hAnsi="Arial"/>
                <w:color w:val="000000"/>
                <w:sz w:val="20"/>
                <w:szCs w:val="20"/>
                <w:vertAlign w:val="superscript"/>
              </w:rPr>
              <w:t>a</w:t>
            </w:r>
          </w:p>
        </w:tc>
        <w:tc>
          <w:tcPr>
            <w:tcW w:w="1608" w:type="dxa"/>
          </w:tcPr>
          <w:p w14:paraId="2319A168" w14:textId="77777777" w:rsidR="009A692A" w:rsidRDefault="002A3522">
            <w:pPr>
              <w:widowControl w:val="0"/>
              <w:spacing w:line="480" w:lineRule="auto"/>
              <w:jc w:val="both"/>
              <w:rPr>
                <w:rFonts w:hint="eastAsia"/>
              </w:rPr>
            </w:pPr>
            <w:r>
              <w:rPr>
                <w:rFonts w:ascii="Arial" w:hAnsi="Arial"/>
                <w:color w:val="000000"/>
                <w:sz w:val="20"/>
                <w:szCs w:val="20"/>
              </w:rPr>
              <w:t>8.</w:t>
            </w:r>
            <w:r>
              <w:rPr>
                <w:rFonts w:ascii="Arial" w:hAnsi="Arial"/>
                <w:bCs/>
                <w:color w:val="000000"/>
                <w:sz w:val="20"/>
                <w:szCs w:val="20"/>
              </w:rPr>
              <w:t xml:space="preserve"> 25</w:t>
            </w:r>
            <w:r>
              <w:rPr>
                <w:rFonts w:ascii="Arial" w:hAnsi="Arial"/>
                <w:color w:val="000000"/>
                <w:sz w:val="20"/>
                <w:szCs w:val="20"/>
              </w:rPr>
              <w:t>±0.7</w:t>
            </w:r>
            <w:r>
              <w:rPr>
                <w:rFonts w:ascii="Arial" w:hAnsi="Arial"/>
                <w:bCs/>
                <w:color w:val="000000"/>
                <w:sz w:val="20"/>
                <w:szCs w:val="20"/>
              </w:rPr>
              <w:t>2</w:t>
            </w:r>
            <w:r>
              <w:rPr>
                <w:rFonts w:ascii="Arial" w:hAnsi="Arial"/>
                <w:color w:val="000000"/>
                <w:sz w:val="20"/>
                <w:szCs w:val="20"/>
                <w:vertAlign w:val="superscript"/>
              </w:rPr>
              <w:t>a</w:t>
            </w:r>
          </w:p>
        </w:tc>
      </w:tr>
      <w:tr w:rsidR="009A692A" w14:paraId="02C3E3D0" w14:textId="77777777">
        <w:trPr>
          <w:trHeight w:val="528"/>
        </w:trPr>
        <w:tc>
          <w:tcPr>
            <w:tcW w:w="947" w:type="dxa"/>
          </w:tcPr>
          <w:p w14:paraId="42DBF061"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C</w:t>
            </w:r>
          </w:p>
        </w:tc>
        <w:tc>
          <w:tcPr>
            <w:tcW w:w="1550" w:type="dxa"/>
          </w:tcPr>
          <w:p w14:paraId="0AA19268" w14:textId="77777777" w:rsidR="009A692A" w:rsidRDefault="002A3522">
            <w:pPr>
              <w:widowControl w:val="0"/>
              <w:spacing w:line="480" w:lineRule="auto"/>
              <w:jc w:val="both"/>
              <w:rPr>
                <w:rFonts w:hint="eastAsia"/>
              </w:rPr>
            </w:pPr>
            <w:r>
              <w:rPr>
                <w:rFonts w:ascii="Arial" w:hAnsi="Arial"/>
                <w:color w:val="000000"/>
                <w:sz w:val="20"/>
                <w:szCs w:val="20"/>
              </w:rPr>
              <w:t>8.35±1.18</w:t>
            </w:r>
            <w:r>
              <w:rPr>
                <w:rFonts w:ascii="Arial" w:hAnsi="Arial"/>
                <w:color w:val="000000"/>
                <w:sz w:val="20"/>
                <w:szCs w:val="20"/>
                <w:vertAlign w:val="superscript"/>
              </w:rPr>
              <w:t>a</w:t>
            </w:r>
          </w:p>
        </w:tc>
        <w:tc>
          <w:tcPr>
            <w:tcW w:w="1420" w:type="dxa"/>
          </w:tcPr>
          <w:p w14:paraId="737A5919" w14:textId="77777777" w:rsidR="009A692A" w:rsidRDefault="002A3522">
            <w:pPr>
              <w:widowControl w:val="0"/>
              <w:spacing w:line="480" w:lineRule="auto"/>
              <w:jc w:val="both"/>
              <w:rPr>
                <w:rFonts w:hint="eastAsia"/>
              </w:rPr>
            </w:pPr>
            <w:r>
              <w:rPr>
                <w:rFonts w:ascii="Arial" w:hAnsi="Arial"/>
                <w:color w:val="000000"/>
                <w:sz w:val="20"/>
                <w:szCs w:val="20"/>
              </w:rPr>
              <w:t>7.85±1.03</w:t>
            </w:r>
            <w:r>
              <w:rPr>
                <w:rFonts w:ascii="Arial" w:hAnsi="Arial"/>
                <w:color w:val="000000"/>
                <w:sz w:val="20"/>
                <w:szCs w:val="20"/>
                <w:vertAlign w:val="superscript"/>
              </w:rPr>
              <w:t>a</w:t>
            </w:r>
          </w:p>
        </w:tc>
        <w:tc>
          <w:tcPr>
            <w:tcW w:w="1412" w:type="dxa"/>
          </w:tcPr>
          <w:p w14:paraId="37B91290" w14:textId="77777777" w:rsidR="009A692A" w:rsidRDefault="002A3522">
            <w:pPr>
              <w:widowControl w:val="0"/>
              <w:spacing w:line="480" w:lineRule="auto"/>
              <w:jc w:val="both"/>
              <w:rPr>
                <w:rFonts w:hint="eastAsia"/>
              </w:rPr>
            </w:pPr>
            <w:r>
              <w:rPr>
                <w:rFonts w:ascii="Arial" w:hAnsi="Arial"/>
                <w:color w:val="000000"/>
                <w:sz w:val="20"/>
                <w:szCs w:val="20"/>
              </w:rPr>
              <w:t>7.35±1.</w:t>
            </w:r>
            <w:r>
              <w:rPr>
                <w:rFonts w:ascii="Arial" w:hAnsi="Arial"/>
                <w:bCs/>
                <w:color w:val="000000"/>
                <w:sz w:val="20"/>
                <w:szCs w:val="20"/>
              </w:rPr>
              <w:t xml:space="preserve"> 26</w:t>
            </w:r>
            <w:r>
              <w:rPr>
                <w:rFonts w:ascii="Arial" w:hAnsi="Arial"/>
                <w:bCs/>
                <w:color w:val="000000"/>
                <w:sz w:val="20"/>
                <w:szCs w:val="20"/>
                <w:vertAlign w:val="superscript"/>
              </w:rPr>
              <w:t>a</w:t>
            </w:r>
          </w:p>
        </w:tc>
        <w:tc>
          <w:tcPr>
            <w:tcW w:w="1417" w:type="dxa"/>
          </w:tcPr>
          <w:p w14:paraId="5209E92A" w14:textId="77777777" w:rsidR="009A692A" w:rsidRDefault="002A3522">
            <w:pPr>
              <w:widowControl w:val="0"/>
              <w:spacing w:line="480" w:lineRule="auto"/>
              <w:jc w:val="both"/>
              <w:rPr>
                <w:rFonts w:hint="eastAsia"/>
              </w:rPr>
            </w:pPr>
            <w:r>
              <w:rPr>
                <w:rFonts w:ascii="Arial" w:hAnsi="Arial"/>
                <w:color w:val="000000"/>
                <w:sz w:val="20"/>
                <w:szCs w:val="20"/>
              </w:rPr>
              <w:t>7.45±1.34</w:t>
            </w:r>
            <w:r>
              <w:rPr>
                <w:rFonts w:ascii="Arial" w:hAnsi="Arial"/>
                <w:color w:val="000000"/>
                <w:sz w:val="20"/>
                <w:szCs w:val="20"/>
                <w:vertAlign w:val="superscript"/>
              </w:rPr>
              <w:t>a</w:t>
            </w:r>
          </w:p>
        </w:tc>
        <w:tc>
          <w:tcPr>
            <w:tcW w:w="1418" w:type="dxa"/>
          </w:tcPr>
          <w:p w14:paraId="6142DBB4" w14:textId="77777777" w:rsidR="009A692A" w:rsidRDefault="002A3522">
            <w:pPr>
              <w:widowControl w:val="0"/>
              <w:spacing w:line="480" w:lineRule="auto"/>
              <w:jc w:val="both"/>
              <w:rPr>
                <w:rFonts w:hint="eastAsia"/>
              </w:rPr>
            </w:pPr>
            <w:r>
              <w:rPr>
                <w:rFonts w:ascii="Arial" w:hAnsi="Arial"/>
                <w:color w:val="000000"/>
                <w:sz w:val="20"/>
                <w:szCs w:val="20"/>
              </w:rPr>
              <w:t>7.5±1.3</w:t>
            </w:r>
            <w:r>
              <w:rPr>
                <w:rFonts w:ascii="Arial" w:hAnsi="Arial"/>
                <w:bCs/>
                <w:color w:val="000000"/>
                <w:sz w:val="20"/>
                <w:szCs w:val="20"/>
              </w:rPr>
              <w:t>2</w:t>
            </w:r>
            <w:r>
              <w:rPr>
                <w:rFonts w:ascii="Arial" w:hAnsi="Arial"/>
                <w:bCs/>
                <w:color w:val="000000"/>
                <w:sz w:val="20"/>
                <w:szCs w:val="20"/>
                <w:vertAlign w:val="superscript"/>
              </w:rPr>
              <w:t>a</w:t>
            </w:r>
          </w:p>
        </w:tc>
        <w:tc>
          <w:tcPr>
            <w:tcW w:w="1608" w:type="dxa"/>
          </w:tcPr>
          <w:p w14:paraId="5CF3745C" w14:textId="77777777" w:rsidR="009A692A" w:rsidRDefault="002A3522">
            <w:pPr>
              <w:widowControl w:val="0"/>
              <w:spacing w:line="480" w:lineRule="auto"/>
              <w:jc w:val="both"/>
              <w:rPr>
                <w:rFonts w:hint="eastAsia"/>
              </w:rPr>
            </w:pPr>
            <w:r>
              <w:rPr>
                <w:rFonts w:ascii="Arial" w:hAnsi="Arial"/>
                <w:color w:val="000000"/>
                <w:sz w:val="20"/>
                <w:szCs w:val="20"/>
              </w:rPr>
              <w:t>7.7±1.17</w:t>
            </w:r>
            <w:r>
              <w:rPr>
                <w:rFonts w:ascii="Arial" w:hAnsi="Arial"/>
                <w:color w:val="000000"/>
                <w:sz w:val="20"/>
                <w:szCs w:val="20"/>
                <w:vertAlign w:val="superscript"/>
              </w:rPr>
              <w:t>a</w:t>
            </w:r>
          </w:p>
        </w:tc>
      </w:tr>
      <w:tr w:rsidR="009A692A" w14:paraId="537ADACF" w14:textId="77777777">
        <w:trPr>
          <w:trHeight w:val="474"/>
        </w:trPr>
        <w:tc>
          <w:tcPr>
            <w:tcW w:w="947" w:type="dxa"/>
          </w:tcPr>
          <w:p w14:paraId="300755BD"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D</w:t>
            </w:r>
          </w:p>
        </w:tc>
        <w:tc>
          <w:tcPr>
            <w:tcW w:w="1550" w:type="dxa"/>
          </w:tcPr>
          <w:p w14:paraId="24710FD4" w14:textId="77777777" w:rsidR="009A692A" w:rsidRDefault="002A3522">
            <w:pPr>
              <w:widowControl w:val="0"/>
              <w:spacing w:line="480" w:lineRule="auto"/>
              <w:jc w:val="both"/>
              <w:rPr>
                <w:rFonts w:hint="eastAsia"/>
              </w:rPr>
            </w:pPr>
            <w:r>
              <w:rPr>
                <w:rFonts w:ascii="Arial" w:hAnsi="Arial"/>
                <w:color w:val="000000"/>
                <w:sz w:val="20"/>
                <w:szCs w:val="20"/>
              </w:rPr>
              <w:t>5.</w:t>
            </w:r>
            <w:r>
              <w:rPr>
                <w:rFonts w:ascii="Arial" w:hAnsi="Arial"/>
                <w:bCs/>
                <w:color w:val="000000"/>
                <w:sz w:val="20"/>
                <w:szCs w:val="20"/>
              </w:rPr>
              <w:t>2</w:t>
            </w:r>
            <w:r>
              <w:rPr>
                <w:rFonts w:ascii="Arial" w:hAnsi="Arial"/>
                <w:color w:val="000000"/>
                <w:sz w:val="20"/>
                <w:szCs w:val="20"/>
              </w:rPr>
              <w:t>±1.91</w:t>
            </w:r>
            <w:r>
              <w:rPr>
                <w:rFonts w:ascii="Arial" w:hAnsi="Arial"/>
                <w:color w:val="000000"/>
                <w:sz w:val="20"/>
                <w:szCs w:val="20"/>
                <w:vertAlign w:val="superscript"/>
              </w:rPr>
              <w:t>bc</w:t>
            </w:r>
          </w:p>
        </w:tc>
        <w:tc>
          <w:tcPr>
            <w:tcW w:w="1420" w:type="dxa"/>
          </w:tcPr>
          <w:p w14:paraId="2078EC2B" w14:textId="77777777" w:rsidR="009A692A" w:rsidRDefault="002A3522">
            <w:pPr>
              <w:widowControl w:val="0"/>
              <w:spacing w:line="480" w:lineRule="auto"/>
              <w:jc w:val="both"/>
              <w:rPr>
                <w:rFonts w:hint="eastAsia"/>
              </w:rPr>
            </w:pPr>
            <w:r>
              <w:rPr>
                <w:rFonts w:ascii="Arial" w:hAnsi="Arial"/>
                <w:color w:val="000000"/>
                <w:sz w:val="20"/>
                <w:szCs w:val="20"/>
              </w:rPr>
              <w:t>5.</w:t>
            </w:r>
            <w:r>
              <w:rPr>
                <w:rFonts w:ascii="Arial" w:hAnsi="Arial"/>
                <w:bCs/>
                <w:color w:val="000000"/>
                <w:sz w:val="20"/>
                <w:szCs w:val="20"/>
              </w:rPr>
              <w:t xml:space="preserve"> 2</w:t>
            </w:r>
            <w:r>
              <w:rPr>
                <w:rFonts w:ascii="Arial" w:hAnsi="Arial"/>
                <w:color w:val="000000"/>
                <w:sz w:val="20"/>
                <w:szCs w:val="20"/>
              </w:rPr>
              <w:t>±1.8</w:t>
            </w:r>
            <w:r>
              <w:rPr>
                <w:rFonts w:ascii="Arial" w:hAnsi="Arial"/>
                <w:bCs/>
                <w:color w:val="000000"/>
                <w:sz w:val="20"/>
                <w:szCs w:val="20"/>
              </w:rPr>
              <w:t>2</w:t>
            </w:r>
            <w:r>
              <w:rPr>
                <w:rFonts w:ascii="Arial" w:hAnsi="Arial"/>
                <w:bCs/>
                <w:color w:val="000000"/>
                <w:sz w:val="20"/>
                <w:szCs w:val="20"/>
                <w:vertAlign w:val="superscript"/>
              </w:rPr>
              <w:t>b</w:t>
            </w:r>
          </w:p>
        </w:tc>
        <w:tc>
          <w:tcPr>
            <w:tcW w:w="1412" w:type="dxa"/>
          </w:tcPr>
          <w:p w14:paraId="5A08F148" w14:textId="77777777" w:rsidR="009A692A" w:rsidRDefault="002A3522">
            <w:pPr>
              <w:widowControl w:val="0"/>
              <w:spacing w:line="480" w:lineRule="auto"/>
              <w:jc w:val="both"/>
              <w:rPr>
                <w:rFonts w:hint="eastAsia"/>
              </w:rPr>
            </w:pPr>
            <w:r>
              <w:rPr>
                <w:rFonts w:ascii="Arial" w:hAnsi="Arial"/>
                <w:color w:val="000000"/>
                <w:sz w:val="20"/>
                <w:szCs w:val="20"/>
              </w:rPr>
              <w:t>5.75±1.41</w:t>
            </w:r>
            <w:r>
              <w:rPr>
                <w:rFonts w:ascii="Arial" w:hAnsi="Arial"/>
                <w:color w:val="000000"/>
                <w:sz w:val="20"/>
                <w:szCs w:val="20"/>
                <w:vertAlign w:val="superscript"/>
              </w:rPr>
              <w:t>b</w:t>
            </w:r>
          </w:p>
        </w:tc>
        <w:tc>
          <w:tcPr>
            <w:tcW w:w="1417" w:type="dxa"/>
          </w:tcPr>
          <w:p w14:paraId="241D31D2" w14:textId="77777777" w:rsidR="009A692A" w:rsidRDefault="002A3522">
            <w:pPr>
              <w:widowControl w:val="0"/>
              <w:spacing w:line="480" w:lineRule="auto"/>
              <w:jc w:val="both"/>
              <w:rPr>
                <w:rFonts w:hint="eastAsia"/>
              </w:rPr>
            </w:pPr>
            <w:r>
              <w:rPr>
                <w:rFonts w:ascii="Arial" w:hAnsi="Arial"/>
                <w:color w:val="000000"/>
                <w:sz w:val="20"/>
                <w:szCs w:val="20"/>
              </w:rPr>
              <w:t>6.85±1.41</w:t>
            </w:r>
            <w:r>
              <w:rPr>
                <w:rFonts w:ascii="Arial" w:hAnsi="Arial"/>
                <w:color w:val="000000"/>
                <w:sz w:val="20"/>
                <w:szCs w:val="20"/>
                <w:vertAlign w:val="superscript"/>
              </w:rPr>
              <w:t>a</w:t>
            </w:r>
          </w:p>
        </w:tc>
        <w:tc>
          <w:tcPr>
            <w:tcW w:w="1418" w:type="dxa"/>
          </w:tcPr>
          <w:p w14:paraId="0F0D16E4" w14:textId="77777777" w:rsidR="009A692A" w:rsidRDefault="002A3522">
            <w:pPr>
              <w:widowControl w:val="0"/>
              <w:spacing w:line="480" w:lineRule="auto"/>
              <w:jc w:val="both"/>
              <w:rPr>
                <w:rFonts w:hint="eastAsia"/>
              </w:rPr>
            </w:pPr>
            <w:r>
              <w:rPr>
                <w:rFonts w:ascii="Arial" w:hAnsi="Arial"/>
                <w:color w:val="000000"/>
                <w:sz w:val="20"/>
                <w:szCs w:val="20"/>
              </w:rPr>
              <w:t>7.1±</w:t>
            </w:r>
            <w:r>
              <w:rPr>
                <w:rFonts w:ascii="Arial" w:hAnsi="Arial"/>
                <w:bCs/>
                <w:color w:val="000000"/>
                <w:sz w:val="20"/>
                <w:szCs w:val="20"/>
              </w:rPr>
              <w:t>2</w:t>
            </w:r>
            <w:r>
              <w:rPr>
                <w:rFonts w:ascii="Arial" w:hAnsi="Arial"/>
                <w:color w:val="000000"/>
                <w:sz w:val="20"/>
                <w:szCs w:val="20"/>
              </w:rPr>
              <w:t>.49</w:t>
            </w:r>
            <w:r>
              <w:rPr>
                <w:rFonts w:ascii="Arial" w:hAnsi="Arial"/>
                <w:color w:val="000000"/>
                <w:sz w:val="20"/>
                <w:szCs w:val="20"/>
                <w:vertAlign w:val="superscript"/>
              </w:rPr>
              <w:t>b</w:t>
            </w:r>
          </w:p>
        </w:tc>
        <w:tc>
          <w:tcPr>
            <w:tcW w:w="1608" w:type="dxa"/>
          </w:tcPr>
          <w:p w14:paraId="0433D4E4" w14:textId="77777777" w:rsidR="009A692A" w:rsidRDefault="002A3522">
            <w:pPr>
              <w:widowControl w:val="0"/>
              <w:spacing w:line="480" w:lineRule="auto"/>
              <w:jc w:val="both"/>
              <w:rPr>
                <w:rFonts w:hint="eastAsia"/>
              </w:rPr>
            </w:pPr>
            <w:r>
              <w:rPr>
                <w:rFonts w:ascii="Arial" w:hAnsi="Arial"/>
                <w:color w:val="000000"/>
                <w:sz w:val="20"/>
                <w:szCs w:val="20"/>
              </w:rPr>
              <w:t>7.0±1.59</w:t>
            </w:r>
            <w:r>
              <w:rPr>
                <w:rFonts w:ascii="Arial" w:hAnsi="Arial"/>
                <w:color w:val="000000"/>
                <w:sz w:val="20"/>
                <w:szCs w:val="20"/>
                <w:vertAlign w:val="superscript"/>
              </w:rPr>
              <w:t>ab</w:t>
            </w:r>
          </w:p>
        </w:tc>
      </w:tr>
      <w:tr w:rsidR="009A692A" w14:paraId="381923B2" w14:textId="77777777">
        <w:trPr>
          <w:trHeight w:val="522"/>
        </w:trPr>
        <w:tc>
          <w:tcPr>
            <w:tcW w:w="947" w:type="dxa"/>
          </w:tcPr>
          <w:p w14:paraId="2B2928F1"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E</w:t>
            </w:r>
          </w:p>
        </w:tc>
        <w:tc>
          <w:tcPr>
            <w:tcW w:w="1550" w:type="dxa"/>
          </w:tcPr>
          <w:p w14:paraId="6514750C" w14:textId="77777777" w:rsidR="009A692A" w:rsidRDefault="002A3522">
            <w:pPr>
              <w:widowControl w:val="0"/>
              <w:spacing w:line="480" w:lineRule="auto"/>
              <w:jc w:val="both"/>
              <w:rPr>
                <w:rFonts w:hint="eastAsia"/>
              </w:rPr>
            </w:pPr>
            <w:r>
              <w:rPr>
                <w:rFonts w:ascii="Arial" w:hAnsi="Arial"/>
                <w:color w:val="000000"/>
                <w:sz w:val="20"/>
                <w:szCs w:val="20"/>
              </w:rPr>
              <w:t>5.4±1.79</w:t>
            </w:r>
            <w:r>
              <w:rPr>
                <w:rFonts w:ascii="Arial" w:hAnsi="Arial"/>
                <w:color w:val="000000"/>
                <w:sz w:val="20"/>
                <w:szCs w:val="20"/>
                <w:vertAlign w:val="superscript"/>
              </w:rPr>
              <w:t>bc</w:t>
            </w:r>
          </w:p>
        </w:tc>
        <w:tc>
          <w:tcPr>
            <w:tcW w:w="1420" w:type="dxa"/>
          </w:tcPr>
          <w:p w14:paraId="5CDB42D8" w14:textId="77777777" w:rsidR="009A692A" w:rsidRDefault="002A3522">
            <w:pPr>
              <w:widowControl w:val="0"/>
              <w:spacing w:line="480" w:lineRule="auto"/>
              <w:jc w:val="both"/>
              <w:rPr>
                <w:rFonts w:hint="eastAsia"/>
              </w:rPr>
            </w:pPr>
            <w:r>
              <w:rPr>
                <w:rFonts w:ascii="Arial" w:hAnsi="Arial"/>
                <w:color w:val="000000"/>
                <w:sz w:val="20"/>
                <w:szCs w:val="20"/>
              </w:rPr>
              <w:t>5.</w:t>
            </w:r>
            <w:r>
              <w:rPr>
                <w:rFonts w:ascii="Arial" w:hAnsi="Arial"/>
                <w:bCs/>
                <w:color w:val="000000"/>
                <w:sz w:val="20"/>
                <w:szCs w:val="20"/>
              </w:rPr>
              <w:t xml:space="preserve"> 2</w:t>
            </w:r>
            <w:r>
              <w:rPr>
                <w:rFonts w:ascii="Arial" w:hAnsi="Arial"/>
                <w:color w:val="000000"/>
                <w:sz w:val="20"/>
                <w:szCs w:val="20"/>
              </w:rPr>
              <w:t>±1.61</w:t>
            </w:r>
            <w:r>
              <w:rPr>
                <w:rFonts w:ascii="Arial" w:hAnsi="Arial"/>
                <w:color w:val="000000"/>
                <w:sz w:val="20"/>
                <w:szCs w:val="20"/>
                <w:vertAlign w:val="superscript"/>
              </w:rPr>
              <w:t>b</w:t>
            </w:r>
          </w:p>
        </w:tc>
        <w:tc>
          <w:tcPr>
            <w:tcW w:w="1412" w:type="dxa"/>
          </w:tcPr>
          <w:p w14:paraId="62A0517A" w14:textId="77777777" w:rsidR="009A692A" w:rsidRDefault="002A3522">
            <w:pPr>
              <w:widowControl w:val="0"/>
              <w:spacing w:line="480" w:lineRule="auto"/>
              <w:jc w:val="both"/>
              <w:rPr>
                <w:rFonts w:hint="eastAsia"/>
              </w:rPr>
            </w:pPr>
            <w:r>
              <w:rPr>
                <w:rFonts w:ascii="Arial" w:hAnsi="Arial"/>
                <w:color w:val="000000"/>
                <w:sz w:val="20"/>
                <w:szCs w:val="20"/>
              </w:rPr>
              <w:t>5.4±1.78</w:t>
            </w:r>
            <w:r>
              <w:rPr>
                <w:rFonts w:ascii="Arial" w:hAnsi="Arial"/>
                <w:color w:val="000000"/>
                <w:sz w:val="20"/>
                <w:szCs w:val="20"/>
                <w:vertAlign w:val="superscript"/>
              </w:rPr>
              <w:t>b</w:t>
            </w:r>
          </w:p>
        </w:tc>
        <w:tc>
          <w:tcPr>
            <w:tcW w:w="1417" w:type="dxa"/>
          </w:tcPr>
          <w:p w14:paraId="3B629C92" w14:textId="77777777" w:rsidR="009A692A" w:rsidRDefault="002A3522">
            <w:pPr>
              <w:widowControl w:val="0"/>
              <w:spacing w:line="480" w:lineRule="auto"/>
              <w:jc w:val="both"/>
              <w:rPr>
                <w:rFonts w:hint="eastAsia"/>
              </w:rPr>
            </w:pPr>
            <w:r>
              <w:rPr>
                <w:rFonts w:ascii="Arial" w:hAnsi="Arial"/>
                <w:color w:val="000000"/>
                <w:sz w:val="20"/>
                <w:szCs w:val="20"/>
              </w:rPr>
              <w:t>5.45±1.50</w:t>
            </w:r>
            <w:r>
              <w:rPr>
                <w:rFonts w:ascii="Arial" w:hAnsi="Arial"/>
                <w:color w:val="000000"/>
                <w:sz w:val="20"/>
                <w:szCs w:val="20"/>
                <w:vertAlign w:val="superscript"/>
              </w:rPr>
              <w:t>b</w:t>
            </w:r>
          </w:p>
        </w:tc>
        <w:tc>
          <w:tcPr>
            <w:tcW w:w="1418" w:type="dxa"/>
          </w:tcPr>
          <w:p w14:paraId="511D726B" w14:textId="77777777" w:rsidR="009A692A" w:rsidRDefault="002A3522">
            <w:pPr>
              <w:widowControl w:val="0"/>
              <w:spacing w:line="480" w:lineRule="auto"/>
              <w:jc w:val="both"/>
              <w:rPr>
                <w:rFonts w:hint="eastAsia"/>
              </w:rPr>
            </w:pPr>
            <w:r>
              <w:rPr>
                <w:rFonts w:ascii="Arial" w:hAnsi="Arial"/>
                <w:bCs/>
                <w:color w:val="000000"/>
                <w:sz w:val="20"/>
                <w:szCs w:val="20"/>
              </w:rPr>
              <w:t>4.85</w:t>
            </w:r>
            <w:r>
              <w:rPr>
                <w:rFonts w:ascii="Arial" w:hAnsi="Arial"/>
                <w:color w:val="000000"/>
                <w:sz w:val="20"/>
                <w:szCs w:val="20"/>
              </w:rPr>
              <w:t>±</w:t>
            </w:r>
            <w:r>
              <w:rPr>
                <w:rFonts w:ascii="Arial" w:hAnsi="Arial"/>
                <w:bCs/>
                <w:color w:val="000000"/>
                <w:sz w:val="20"/>
                <w:szCs w:val="20"/>
              </w:rPr>
              <w:t>2</w:t>
            </w:r>
            <w:r>
              <w:rPr>
                <w:rFonts w:ascii="Arial" w:hAnsi="Arial"/>
                <w:color w:val="000000"/>
                <w:sz w:val="20"/>
                <w:szCs w:val="20"/>
              </w:rPr>
              <w:t>.08</w:t>
            </w:r>
            <w:r>
              <w:rPr>
                <w:rFonts w:ascii="Arial" w:hAnsi="Arial"/>
                <w:color w:val="000000"/>
                <w:sz w:val="20"/>
                <w:szCs w:val="20"/>
                <w:vertAlign w:val="superscript"/>
              </w:rPr>
              <w:t>b</w:t>
            </w:r>
          </w:p>
        </w:tc>
        <w:tc>
          <w:tcPr>
            <w:tcW w:w="1608" w:type="dxa"/>
          </w:tcPr>
          <w:p w14:paraId="71BB437E" w14:textId="77777777" w:rsidR="009A692A" w:rsidRDefault="002A3522">
            <w:pPr>
              <w:widowControl w:val="0"/>
              <w:spacing w:line="480" w:lineRule="auto"/>
              <w:jc w:val="both"/>
              <w:rPr>
                <w:rFonts w:hint="eastAsia"/>
              </w:rPr>
            </w:pPr>
            <w:r>
              <w:rPr>
                <w:rFonts w:ascii="Arial" w:hAnsi="Arial"/>
                <w:color w:val="000000"/>
                <w:sz w:val="20"/>
                <w:szCs w:val="20"/>
              </w:rPr>
              <w:t>4.9±1.48</w:t>
            </w:r>
            <w:r>
              <w:rPr>
                <w:rFonts w:ascii="Arial" w:hAnsi="Arial"/>
                <w:color w:val="000000"/>
                <w:sz w:val="20"/>
                <w:szCs w:val="20"/>
                <w:vertAlign w:val="superscript"/>
              </w:rPr>
              <w:t>c</w:t>
            </w:r>
          </w:p>
        </w:tc>
      </w:tr>
      <w:tr w:rsidR="009A692A" w14:paraId="56E547FD" w14:textId="77777777">
        <w:trPr>
          <w:trHeight w:val="528"/>
        </w:trPr>
        <w:tc>
          <w:tcPr>
            <w:tcW w:w="947" w:type="dxa"/>
          </w:tcPr>
          <w:p w14:paraId="377B454C"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F</w:t>
            </w:r>
          </w:p>
        </w:tc>
        <w:tc>
          <w:tcPr>
            <w:tcW w:w="1550" w:type="dxa"/>
          </w:tcPr>
          <w:p w14:paraId="0F1E4217" w14:textId="77777777" w:rsidR="009A692A" w:rsidRDefault="002A3522">
            <w:pPr>
              <w:widowControl w:val="0"/>
              <w:spacing w:line="480" w:lineRule="auto"/>
              <w:jc w:val="both"/>
              <w:rPr>
                <w:rFonts w:hint="eastAsia"/>
              </w:rPr>
            </w:pPr>
            <w:r>
              <w:rPr>
                <w:rFonts w:ascii="Arial" w:hAnsi="Arial"/>
                <w:color w:val="000000"/>
                <w:sz w:val="20"/>
                <w:szCs w:val="20"/>
              </w:rPr>
              <w:t>5.85±1.7</w:t>
            </w:r>
            <w:r>
              <w:rPr>
                <w:rFonts w:ascii="Arial" w:hAnsi="Arial"/>
                <w:bCs/>
                <w:color w:val="000000"/>
                <w:sz w:val="20"/>
                <w:szCs w:val="20"/>
              </w:rPr>
              <w:t>2</w:t>
            </w:r>
            <w:r>
              <w:rPr>
                <w:rFonts w:ascii="Arial" w:hAnsi="Arial"/>
                <w:bCs/>
                <w:color w:val="000000"/>
                <w:sz w:val="20"/>
                <w:szCs w:val="20"/>
                <w:vertAlign w:val="superscript"/>
              </w:rPr>
              <w:t>b</w:t>
            </w:r>
          </w:p>
        </w:tc>
        <w:tc>
          <w:tcPr>
            <w:tcW w:w="1420" w:type="dxa"/>
          </w:tcPr>
          <w:p w14:paraId="16DA18CA" w14:textId="77777777" w:rsidR="009A692A" w:rsidRDefault="002A3522">
            <w:pPr>
              <w:widowControl w:val="0"/>
              <w:spacing w:line="480" w:lineRule="auto"/>
              <w:jc w:val="both"/>
              <w:rPr>
                <w:rFonts w:hint="eastAsia"/>
              </w:rPr>
            </w:pPr>
            <w:r>
              <w:rPr>
                <w:rFonts w:ascii="Arial" w:hAnsi="Arial"/>
                <w:color w:val="000000"/>
                <w:sz w:val="20"/>
                <w:szCs w:val="20"/>
              </w:rPr>
              <w:t>5.1±1.74</w:t>
            </w:r>
            <w:r>
              <w:rPr>
                <w:rFonts w:ascii="Arial" w:hAnsi="Arial"/>
                <w:color w:val="000000"/>
                <w:sz w:val="20"/>
                <w:szCs w:val="20"/>
                <w:vertAlign w:val="superscript"/>
              </w:rPr>
              <w:t>b</w:t>
            </w:r>
          </w:p>
        </w:tc>
        <w:tc>
          <w:tcPr>
            <w:tcW w:w="1412" w:type="dxa"/>
          </w:tcPr>
          <w:p w14:paraId="47F5CC35" w14:textId="77777777" w:rsidR="009A692A" w:rsidRDefault="002A3522">
            <w:pPr>
              <w:widowControl w:val="0"/>
              <w:spacing w:line="480" w:lineRule="auto"/>
              <w:jc w:val="both"/>
              <w:rPr>
                <w:rFonts w:hint="eastAsia"/>
              </w:rPr>
            </w:pPr>
            <w:r>
              <w:rPr>
                <w:rFonts w:ascii="Arial" w:hAnsi="Arial"/>
                <w:color w:val="000000"/>
                <w:sz w:val="20"/>
                <w:szCs w:val="20"/>
              </w:rPr>
              <w:t>5.5±1.73</w:t>
            </w:r>
            <w:r>
              <w:rPr>
                <w:rFonts w:ascii="Arial" w:hAnsi="Arial"/>
                <w:color w:val="000000"/>
                <w:sz w:val="20"/>
                <w:szCs w:val="20"/>
                <w:vertAlign w:val="superscript"/>
              </w:rPr>
              <w:t>b</w:t>
            </w:r>
          </w:p>
        </w:tc>
        <w:tc>
          <w:tcPr>
            <w:tcW w:w="1417" w:type="dxa"/>
          </w:tcPr>
          <w:p w14:paraId="3BA7EA64" w14:textId="77777777" w:rsidR="009A692A" w:rsidRDefault="002A3522">
            <w:pPr>
              <w:widowControl w:val="0"/>
              <w:spacing w:line="480" w:lineRule="auto"/>
              <w:jc w:val="both"/>
              <w:rPr>
                <w:rFonts w:hint="eastAsia"/>
              </w:rPr>
            </w:pPr>
            <w:r>
              <w:rPr>
                <w:rFonts w:ascii="Arial" w:hAnsi="Arial"/>
                <w:color w:val="000000"/>
                <w:sz w:val="20"/>
                <w:szCs w:val="20"/>
              </w:rPr>
              <w:t>4.35±1.73</w:t>
            </w:r>
            <w:r>
              <w:rPr>
                <w:rFonts w:ascii="Arial" w:hAnsi="Arial"/>
                <w:color w:val="000000"/>
                <w:sz w:val="20"/>
                <w:szCs w:val="20"/>
                <w:vertAlign w:val="superscript"/>
              </w:rPr>
              <w:t>c</w:t>
            </w:r>
          </w:p>
        </w:tc>
        <w:tc>
          <w:tcPr>
            <w:tcW w:w="1418" w:type="dxa"/>
          </w:tcPr>
          <w:p w14:paraId="33D7CFB4" w14:textId="77777777" w:rsidR="009A692A" w:rsidRDefault="002A3522">
            <w:pPr>
              <w:widowControl w:val="0"/>
              <w:spacing w:line="480" w:lineRule="auto"/>
              <w:jc w:val="both"/>
              <w:rPr>
                <w:rFonts w:hint="eastAsia"/>
              </w:rPr>
            </w:pPr>
            <w:r>
              <w:rPr>
                <w:rFonts w:ascii="Arial" w:hAnsi="Arial"/>
                <w:color w:val="000000"/>
                <w:sz w:val="20"/>
                <w:szCs w:val="20"/>
              </w:rPr>
              <w:t>4.65±</w:t>
            </w:r>
            <w:r>
              <w:rPr>
                <w:rFonts w:ascii="Arial" w:hAnsi="Arial"/>
                <w:bCs/>
                <w:color w:val="000000"/>
                <w:sz w:val="20"/>
                <w:szCs w:val="20"/>
              </w:rPr>
              <w:t>2. 21</w:t>
            </w:r>
            <w:r>
              <w:rPr>
                <w:rFonts w:ascii="Arial" w:hAnsi="Arial"/>
                <w:bCs/>
                <w:color w:val="000000"/>
                <w:sz w:val="20"/>
                <w:szCs w:val="20"/>
                <w:vertAlign w:val="superscript"/>
              </w:rPr>
              <w:t>b</w:t>
            </w:r>
          </w:p>
        </w:tc>
        <w:tc>
          <w:tcPr>
            <w:tcW w:w="1608" w:type="dxa"/>
          </w:tcPr>
          <w:p w14:paraId="7947E9E7" w14:textId="77777777" w:rsidR="009A692A" w:rsidRDefault="002A3522">
            <w:pPr>
              <w:widowControl w:val="0"/>
              <w:spacing w:line="480" w:lineRule="auto"/>
              <w:jc w:val="both"/>
              <w:rPr>
                <w:rFonts w:hint="eastAsia"/>
              </w:rPr>
            </w:pPr>
            <w:r>
              <w:rPr>
                <w:rFonts w:ascii="Arial" w:hAnsi="Arial"/>
                <w:color w:val="000000"/>
                <w:sz w:val="20"/>
                <w:szCs w:val="20"/>
              </w:rPr>
              <w:t>4.95±1.96</w:t>
            </w:r>
            <w:r>
              <w:rPr>
                <w:rFonts w:ascii="Arial" w:hAnsi="Arial"/>
                <w:color w:val="000000"/>
                <w:sz w:val="20"/>
                <w:szCs w:val="20"/>
                <w:vertAlign w:val="superscript"/>
              </w:rPr>
              <w:t>c</w:t>
            </w:r>
          </w:p>
        </w:tc>
      </w:tr>
      <w:tr w:rsidR="009A692A" w14:paraId="43D56ACD" w14:textId="77777777">
        <w:trPr>
          <w:trHeight w:val="220"/>
        </w:trPr>
        <w:tc>
          <w:tcPr>
            <w:tcW w:w="947" w:type="dxa"/>
            <w:tcBorders>
              <w:bottom w:val="single" w:sz="8" w:space="0" w:color="000000"/>
            </w:tcBorders>
          </w:tcPr>
          <w:p w14:paraId="3507A587"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G</w:t>
            </w:r>
          </w:p>
        </w:tc>
        <w:tc>
          <w:tcPr>
            <w:tcW w:w="1550" w:type="dxa"/>
            <w:tcBorders>
              <w:bottom w:val="single" w:sz="8" w:space="0" w:color="000000"/>
            </w:tcBorders>
          </w:tcPr>
          <w:p w14:paraId="0166061C" w14:textId="77777777" w:rsidR="009A692A" w:rsidRDefault="002A3522">
            <w:pPr>
              <w:widowControl w:val="0"/>
              <w:spacing w:line="480" w:lineRule="auto"/>
              <w:jc w:val="both"/>
              <w:rPr>
                <w:rFonts w:hint="eastAsia"/>
              </w:rPr>
            </w:pPr>
            <w:r>
              <w:rPr>
                <w:rFonts w:ascii="Arial" w:hAnsi="Arial"/>
                <w:color w:val="000000"/>
                <w:sz w:val="20"/>
                <w:szCs w:val="20"/>
              </w:rPr>
              <w:t>4.7±</w:t>
            </w:r>
            <w:r>
              <w:rPr>
                <w:rFonts w:ascii="Arial" w:hAnsi="Arial"/>
                <w:bCs/>
                <w:color w:val="000000"/>
                <w:sz w:val="20"/>
                <w:szCs w:val="20"/>
              </w:rPr>
              <w:t>2.18</w:t>
            </w:r>
            <w:r>
              <w:rPr>
                <w:rFonts w:ascii="Arial" w:hAnsi="Arial"/>
                <w:bCs/>
                <w:color w:val="000000"/>
                <w:sz w:val="20"/>
                <w:szCs w:val="20"/>
                <w:vertAlign w:val="superscript"/>
              </w:rPr>
              <w:t>c</w:t>
            </w:r>
          </w:p>
        </w:tc>
        <w:tc>
          <w:tcPr>
            <w:tcW w:w="1420" w:type="dxa"/>
            <w:tcBorders>
              <w:bottom w:val="single" w:sz="8" w:space="0" w:color="000000"/>
            </w:tcBorders>
          </w:tcPr>
          <w:p w14:paraId="42052063" w14:textId="77777777" w:rsidR="009A692A" w:rsidRDefault="002A3522">
            <w:pPr>
              <w:widowControl w:val="0"/>
              <w:spacing w:line="480" w:lineRule="auto"/>
              <w:jc w:val="both"/>
              <w:rPr>
                <w:rFonts w:hint="eastAsia"/>
              </w:rPr>
            </w:pPr>
            <w:r>
              <w:rPr>
                <w:rFonts w:ascii="Arial" w:hAnsi="Arial"/>
                <w:color w:val="000000"/>
                <w:sz w:val="20"/>
                <w:szCs w:val="20"/>
              </w:rPr>
              <w:t>5.1±1.68</w:t>
            </w:r>
            <w:r>
              <w:rPr>
                <w:rFonts w:ascii="Arial" w:hAnsi="Arial"/>
                <w:color w:val="000000"/>
                <w:sz w:val="20"/>
                <w:szCs w:val="20"/>
                <w:vertAlign w:val="superscript"/>
              </w:rPr>
              <w:t>b</w:t>
            </w:r>
          </w:p>
        </w:tc>
        <w:tc>
          <w:tcPr>
            <w:tcW w:w="1412" w:type="dxa"/>
            <w:tcBorders>
              <w:bottom w:val="single" w:sz="8" w:space="0" w:color="000000"/>
            </w:tcBorders>
          </w:tcPr>
          <w:p w14:paraId="59B842FE" w14:textId="77777777" w:rsidR="009A692A" w:rsidRDefault="002A3522">
            <w:pPr>
              <w:widowControl w:val="0"/>
              <w:spacing w:line="480" w:lineRule="auto"/>
              <w:jc w:val="both"/>
              <w:rPr>
                <w:rFonts w:hint="eastAsia"/>
              </w:rPr>
            </w:pPr>
            <w:r>
              <w:rPr>
                <w:rFonts w:ascii="Arial" w:hAnsi="Arial"/>
                <w:color w:val="000000"/>
                <w:sz w:val="20"/>
                <w:szCs w:val="20"/>
              </w:rPr>
              <w:t>4.8±1.85</w:t>
            </w:r>
            <w:r>
              <w:rPr>
                <w:rFonts w:ascii="Arial" w:hAnsi="Arial"/>
                <w:color w:val="000000"/>
                <w:sz w:val="20"/>
                <w:szCs w:val="20"/>
                <w:vertAlign w:val="superscript"/>
              </w:rPr>
              <w:t>b</w:t>
            </w:r>
          </w:p>
        </w:tc>
        <w:tc>
          <w:tcPr>
            <w:tcW w:w="1417" w:type="dxa"/>
            <w:tcBorders>
              <w:bottom w:val="single" w:sz="8" w:space="0" w:color="000000"/>
            </w:tcBorders>
          </w:tcPr>
          <w:p w14:paraId="0CEEE517" w14:textId="77777777" w:rsidR="009A692A" w:rsidRDefault="002A3522">
            <w:pPr>
              <w:widowControl w:val="0"/>
              <w:spacing w:line="480" w:lineRule="auto"/>
              <w:jc w:val="both"/>
              <w:rPr>
                <w:rFonts w:hint="eastAsia"/>
              </w:rPr>
            </w:pPr>
            <w:r>
              <w:rPr>
                <w:rFonts w:ascii="Arial" w:hAnsi="Arial"/>
                <w:color w:val="000000"/>
                <w:sz w:val="20"/>
                <w:szCs w:val="20"/>
              </w:rPr>
              <w:t>4.</w:t>
            </w:r>
            <w:r>
              <w:rPr>
                <w:rFonts w:ascii="Arial" w:hAnsi="Arial"/>
                <w:bCs/>
                <w:color w:val="000000"/>
                <w:sz w:val="20"/>
                <w:szCs w:val="20"/>
              </w:rPr>
              <w:t>2</w:t>
            </w:r>
            <w:r>
              <w:rPr>
                <w:rFonts w:ascii="Arial" w:hAnsi="Arial"/>
                <w:color w:val="000000"/>
                <w:sz w:val="20"/>
                <w:szCs w:val="20"/>
              </w:rPr>
              <w:t>±1.99</w:t>
            </w:r>
            <w:r>
              <w:rPr>
                <w:rFonts w:ascii="Arial" w:hAnsi="Arial"/>
                <w:color w:val="000000"/>
                <w:sz w:val="20"/>
                <w:szCs w:val="20"/>
                <w:vertAlign w:val="superscript"/>
              </w:rPr>
              <w:t>c</w:t>
            </w:r>
          </w:p>
        </w:tc>
        <w:tc>
          <w:tcPr>
            <w:tcW w:w="1418" w:type="dxa"/>
            <w:tcBorders>
              <w:bottom w:val="single" w:sz="8" w:space="0" w:color="000000"/>
            </w:tcBorders>
          </w:tcPr>
          <w:p w14:paraId="43D75C87" w14:textId="77777777" w:rsidR="009A692A" w:rsidRDefault="002A3522">
            <w:pPr>
              <w:widowControl w:val="0"/>
              <w:spacing w:line="480" w:lineRule="auto"/>
              <w:jc w:val="both"/>
              <w:rPr>
                <w:rFonts w:hint="eastAsia"/>
              </w:rPr>
            </w:pPr>
            <w:r>
              <w:rPr>
                <w:rFonts w:ascii="Arial" w:hAnsi="Arial"/>
                <w:color w:val="000000"/>
                <w:sz w:val="20"/>
                <w:szCs w:val="20"/>
              </w:rPr>
              <w:t>3.75±</w:t>
            </w:r>
            <w:r>
              <w:rPr>
                <w:rFonts w:ascii="Arial" w:hAnsi="Arial"/>
                <w:bCs/>
                <w:color w:val="000000"/>
                <w:sz w:val="20"/>
                <w:szCs w:val="20"/>
              </w:rPr>
              <w:t>2.27</w:t>
            </w:r>
            <w:r>
              <w:rPr>
                <w:rFonts w:ascii="Arial" w:hAnsi="Arial"/>
                <w:bCs/>
                <w:color w:val="000000"/>
                <w:sz w:val="20"/>
                <w:szCs w:val="20"/>
                <w:vertAlign w:val="superscript"/>
              </w:rPr>
              <w:t>b</w:t>
            </w:r>
          </w:p>
        </w:tc>
        <w:tc>
          <w:tcPr>
            <w:tcW w:w="1608" w:type="dxa"/>
            <w:tcBorders>
              <w:bottom w:val="single" w:sz="8" w:space="0" w:color="000000"/>
            </w:tcBorders>
          </w:tcPr>
          <w:p w14:paraId="38057139" w14:textId="77777777" w:rsidR="009A692A" w:rsidRDefault="002A3522">
            <w:pPr>
              <w:widowControl w:val="0"/>
              <w:spacing w:line="480" w:lineRule="auto"/>
              <w:jc w:val="both"/>
              <w:rPr>
                <w:rFonts w:hint="eastAsia"/>
              </w:rPr>
            </w:pPr>
            <w:r>
              <w:rPr>
                <w:rFonts w:ascii="Arial" w:hAnsi="Arial"/>
                <w:color w:val="000000"/>
                <w:sz w:val="20"/>
                <w:szCs w:val="20"/>
              </w:rPr>
              <w:t>4.05±</w:t>
            </w:r>
            <w:r>
              <w:rPr>
                <w:rFonts w:ascii="Arial" w:hAnsi="Arial"/>
                <w:bCs/>
                <w:color w:val="000000"/>
                <w:sz w:val="20"/>
                <w:szCs w:val="20"/>
              </w:rPr>
              <w:t>2.04</w:t>
            </w:r>
            <w:r>
              <w:rPr>
                <w:rFonts w:ascii="Arial" w:hAnsi="Arial"/>
                <w:bCs/>
                <w:color w:val="000000"/>
                <w:sz w:val="20"/>
                <w:szCs w:val="20"/>
                <w:vertAlign w:val="superscript"/>
              </w:rPr>
              <w:t>c</w:t>
            </w:r>
          </w:p>
        </w:tc>
      </w:tr>
    </w:tbl>
    <w:p w14:paraId="6D6F252B" w14:textId="77777777" w:rsidR="009A692A" w:rsidRDefault="002A3522">
      <w:pPr>
        <w:pStyle w:val="ListParagraph"/>
        <w:tabs>
          <w:tab w:val="left" w:pos="3495"/>
        </w:tabs>
        <w:spacing w:after="0" w:line="480" w:lineRule="auto"/>
        <w:ind w:left="0"/>
        <w:contextualSpacing w:val="0"/>
        <w:jc w:val="both"/>
        <w:rPr>
          <w:rFonts w:ascii="Arial" w:hAnsi="Arial"/>
          <w:sz w:val="20"/>
          <w:szCs w:val="20"/>
        </w:rPr>
      </w:pPr>
      <w:r>
        <w:rPr>
          <w:rFonts w:ascii="Arial" w:hAnsi="Arial" w:cs="Times New Roman"/>
          <w:color w:val="000000"/>
          <w:sz w:val="20"/>
          <w:szCs w:val="20"/>
        </w:rPr>
        <w:lastRenderedPageBreak/>
        <w:t xml:space="preserve">A: 100% potato, B: potato with 10% soybean, C: potato with 15% soybean, D: potato with 10% moringa, E: potato with 15% moringa and 10% soybean, F: potato with 10% moringa and 10% soybean, G: potato with 15% moringa and 15% soybean. </w:t>
      </w:r>
      <w:r>
        <w:rPr>
          <w:rFonts w:ascii="Arial" w:hAnsi="Arial" w:cs="Times New Roman"/>
          <w:color w:val="000000"/>
          <w:sz w:val="20"/>
          <w:szCs w:val="20"/>
        </w:rPr>
        <w:t>Different subscripts within the same column differ significantly (</w:t>
      </w:r>
      <w:r>
        <w:rPr>
          <w:rFonts w:ascii="Arial" w:hAnsi="Arial" w:cs="Times New Roman"/>
          <w:i/>
          <w:iCs/>
          <w:color w:val="000000"/>
          <w:sz w:val="20"/>
          <w:szCs w:val="20"/>
        </w:rPr>
        <w:t>P</w:t>
      </w:r>
      <w:r>
        <w:rPr>
          <w:rFonts w:ascii="Arial" w:hAnsi="Arial" w:cs="Times New Roman"/>
          <w:color w:val="000000"/>
          <w:sz w:val="20"/>
          <w:szCs w:val="20"/>
        </w:rPr>
        <w:t>&lt;.05).</w:t>
      </w:r>
    </w:p>
    <w:p w14:paraId="5BF1D5A2" w14:textId="77777777" w:rsidR="009A692A" w:rsidRDefault="009A692A">
      <w:pPr>
        <w:pStyle w:val="ListParagraph"/>
        <w:tabs>
          <w:tab w:val="left" w:pos="3495"/>
        </w:tabs>
        <w:spacing w:after="0" w:line="240" w:lineRule="auto"/>
        <w:ind w:left="0"/>
        <w:contextualSpacing w:val="0"/>
        <w:jc w:val="both"/>
        <w:rPr>
          <w:rFonts w:ascii="Arial" w:hAnsi="Arial" w:cs="Times New Roman"/>
          <w:color w:val="000000"/>
          <w:sz w:val="20"/>
          <w:szCs w:val="20"/>
        </w:rPr>
      </w:pPr>
    </w:p>
    <w:p w14:paraId="679DA129" w14:textId="77777777" w:rsidR="009A692A" w:rsidRDefault="009A692A">
      <w:pPr>
        <w:rPr>
          <w:rFonts w:ascii="Arial" w:hAnsi="Arial"/>
          <w:color w:val="000000"/>
          <w:sz w:val="20"/>
          <w:szCs w:val="20"/>
        </w:rPr>
      </w:pPr>
    </w:p>
    <w:p w14:paraId="253C7EA8" w14:textId="77777777" w:rsidR="009A692A" w:rsidRDefault="002A3522">
      <w:pPr>
        <w:pStyle w:val="Heading2"/>
        <w:spacing w:before="0" w:line="360" w:lineRule="auto"/>
        <w:jc w:val="both"/>
        <w:rPr>
          <w:rFonts w:ascii="Arial" w:hAnsi="Arial"/>
          <w:sz w:val="22"/>
          <w:szCs w:val="22"/>
        </w:rPr>
      </w:pPr>
      <w:r>
        <w:rPr>
          <w:rFonts w:ascii="Arial" w:hAnsi="Arial"/>
          <w:color w:val="000000"/>
          <w:sz w:val="22"/>
          <w:szCs w:val="22"/>
        </w:rPr>
        <w:t>3.2</w:t>
      </w:r>
      <w:r>
        <w:rPr>
          <w:rFonts w:ascii="Arial" w:hAnsi="Arial" w:cs="Times New Roman"/>
          <w:color w:val="000000"/>
          <w:sz w:val="22"/>
          <w:szCs w:val="22"/>
        </w:rPr>
        <w:t>. Nutritional composition of potato chips</w:t>
      </w:r>
    </w:p>
    <w:p w14:paraId="1CD3C7ED" w14:textId="77777777" w:rsidR="009A692A" w:rsidRDefault="002A3522">
      <w:pPr>
        <w:jc w:val="both"/>
        <w:rPr>
          <w:rFonts w:ascii="Arial" w:hAnsi="Arial"/>
          <w:sz w:val="20"/>
          <w:szCs w:val="20"/>
        </w:rPr>
      </w:pPr>
      <w:r>
        <w:rPr>
          <w:rFonts w:ascii="Arial" w:hAnsi="Arial"/>
          <w:color w:val="000000"/>
          <w:sz w:val="20"/>
          <w:szCs w:val="20"/>
        </w:rPr>
        <w:t>The proximate composition of potato chip samples is presented in Table 2</w:t>
      </w:r>
      <w:r>
        <w:rPr>
          <w:rFonts w:ascii="Arial" w:eastAsia="GaramondPremrPro" w:hAnsi="Arial"/>
          <w:color w:val="000000"/>
          <w:sz w:val="20"/>
          <w:szCs w:val="20"/>
        </w:rPr>
        <w:t xml:space="preserve">. </w:t>
      </w:r>
      <w:r>
        <w:rPr>
          <w:rFonts w:ascii="Arial" w:hAnsi="Arial"/>
          <w:color w:val="000000"/>
          <w:sz w:val="20"/>
          <w:szCs w:val="20"/>
        </w:rPr>
        <w:t>There was a general decrease in the carbohydrate content with</w:t>
      </w:r>
      <w:r>
        <w:rPr>
          <w:rFonts w:ascii="Arial" w:hAnsi="Arial"/>
          <w:color w:val="000000"/>
          <w:sz w:val="20"/>
          <w:szCs w:val="20"/>
        </w:rPr>
        <w:t xml:space="preserve"> the incorporation of either soybean or moringa or both</w:t>
      </w:r>
      <w:r>
        <w:rPr>
          <w:rFonts w:ascii="Arial" w:eastAsia="GaramondPremrPro" w:hAnsi="Arial"/>
          <w:color w:val="000000"/>
          <w:sz w:val="20"/>
          <w:szCs w:val="20"/>
        </w:rPr>
        <w:t xml:space="preserve">. Fibers and Ash contents showed a gradual increase with soybean inclusion and markedly with moringa and the combination of soybean and moringa. Except for </w:t>
      </w:r>
      <w:r>
        <w:rPr>
          <w:rFonts w:ascii="Arial" w:hAnsi="Arial"/>
          <w:color w:val="000000"/>
          <w:sz w:val="20"/>
          <w:szCs w:val="20"/>
        </w:rPr>
        <w:t>potato chips with 15% moringa and 15% soybean</w:t>
      </w:r>
      <w:r>
        <w:rPr>
          <w:rFonts w:ascii="Arial" w:hAnsi="Arial"/>
          <w:color w:val="000000"/>
          <w:sz w:val="20"/>
          <w:szCs w:val="20"/>
        </w:rPr>
        <w:t xml:space="preserve"> (sample G), supplementation with soybean and/or moringa decreased the moisture content of the potato chips. Globally, the addition of either soybean and/or moringa during potato chips production increased the protein and fat contents with the highest cont</w:t>
      </w:r>
      <w:r>
        <w:rPr>
          <w:rFonts w:ascii="Arial" w:hAnsi="Arial"/>
          <w:color w:val="000000"/>
          <w:sz w:val="20"/>
          <w:szCs w:val="20"/>
        </w:rPr>
        <w:t>ent observed with 15% soybean (sample C) and 15% moringa and 15 % soybean (sample G). As compared to other samples, soybean-enriched potato chip samples displayed higher amounts of total calories.</w:t>
      </w:r>
    </w:p>
    <w:p w14:paraId="03A9A139" w14:textId="77777777" w:rsidR="009A692A" w:rsidRDefault="009A692A">
      <w:pPr>
        <w:rPr>
          <w:rFonts w:ascii="Arial" w:hAnsi="Arial"/>
          <w:color w:val="000000"/>
          <w:sz w:val="20"/>
          <w:szCs w:val="20"/>
        </w:rPr>
      </w:pPr>
    </w:p>
    <w:p w14:paraId="1D9ABE2F" w14:textId="77777777" w:rsidR="009A692A" w:rsidRDefault="002A3522">
      <w:pPr>
        <w:rPr>
          <w:rFonts w:hint="eastAsia"/>
          <w:b/>
          <w:bCs/>
        </w:rPr>
      </w:pPr>
      <w:r>
        <w:rPr>
          <w:rFonts w:ascii="Arial" w:hAnsi="Arial"/>
          <w:b/>
          <w:bCs/>
          <w:color w:val="000000"/>
          <w:sz w:val="20"/>
          <w:szCs w:val="20"/>
        </w:rPr>
        <w:t>Table 2. Nutrient content of the processed potato products</w:t>
      </w:r>
    </w:p>
    <w:p w14:paraId="547EC692" w14:textId="77777777" w:rsidR="009A692A" w:rsidRDefault="009A692A">
      <w:pPr>
        <w:rPr>
          <w:rFonts w:ascii="Arial" w:hAnsi="Arial"/>
          <w:color w:val="000000"/>
          <w:sz w:val="20"/>
          <w:szCs w:val="20"/>
        </w:rPr>
      </w:pPr>
    </w:p>
    <w:p w14:paraId="1E94C368" w14:textId="77777777" w:rsidR="009A692A" w:rsidRDefault="009A692A">
      <w:pPr>
        <w:rPr>
          <w:rFonts w:hint="eastAsia"/>
        </w:rPr>
        <w:sectPr w:rsidR="009A692A">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946" w:left="1134" w:header="0" w:footer="1134" w:gutter="0"/>
          <w:cols w:space="720"/>
          <w:formProt w:val="0"/>
          <w:docGrid w:linePitch="100"/>
        </w:sectPr>
      </w:pPr>
    </w:p>
    <w:tbl>
      <w:tblPr>
        <w:tblW w:w="11074" w:type="dxa"/>
        <w:tblInd w:w="-453" w:type="dxa"/>
        <w:tblLayout w:type="fixed"/>
        <w:tblLook w:val="04A0" w:firstRow="1" w:lastRow="0" w:firstColumn="1" w:lastColumn="0" w:noHBand="0" w:noVBand="1"/>
      </w:tblPr>
      <w:tblGrid>
        <w:gridCol w:w="800"/>
        <w:gridCol w:w="1749"/>
        <w:gridCol w:w="1492"/>
        <w:gridCol w:w="1413"/>
        <w:gridCol w:w="1428"/>
        <w:gridCol w:w="1227"/>
        <w:gridCol w:w="1360"/>
        <w:gridCol w:w="1605"/>
      </w:tblGrid>
      <w:tr w:rsidR="009A692A" w14:paraId="0B22A8A7" w14:textId="77777777">
        <w:trPr>
          <w:trHeight w:val="444"/>
        </w:trPr>
        <w:tc>
          <w:tcPr>
            <w:tcW w:w="799" w:type="dxa"/>
            <w:tcBorders>
              <w:top w:val="single" w:sz="4" w:space="0" w:color="000000"/>
              <w:bottom w:val="single" w:sz="8" w:space="0" w:color="000000"/>
            </w:tcBorders>
          </w:tcPr>
          <w:p w14:paraId="4C1923A1" w14:textId="77777777" w:rsidR="009A692A" w:rsidRDefault="002A3522">
            <w:pPr>
              <w:widowControl w:val="0"/>
              <w:spacing w:line="480" w:lineRule="auto"/>
              <w:ind w:right="-249"/>
              <w:jc w:val="both"/>
              <w:rPr>
                <w:rFonts w:hint="eastAsia"/>
              </w:rPr>
            </w:pPr>
            <w:r>
              <w:rPr>
                <w:rFonts w:ascii="Arial" w:hAnsi="Arial"/>
                <w:b/>
                <w:color w:val="000000"/>
                <w:sz w:val="20"/>
                <w:szCs w:val="20"/>
              </w:rPr>
              <w:t>Sample</w:t>
            </w:r>
          </w:p>
        </w:tc>
        <w:tc>
          <w:tcPr>
            <w:tcW w:w="1748" w:type="dxa"/>
            <w:tcBorders>
              <w:top w:val="single" w:sz="4" w:space="0" w:color="000000"/>
              <w:bottom w:val="single" w:sz="8" w:space="0" w:color="000000"/>
            </w:tcBorders>
          </w:tcPr>
          <w:p w14:paraId="7B78AFD3" w14:textId="77777777" w:rsidR="009A692A" w:rsidRDefault="002A3522">
            <w:pPr>
              <w:widowControl w:val="0"/>
              <w:spacing w:line="480" w:lineRule="auto"/>
              <w:ind w:right="-177"/>
              <w:jc w:val="both"/>
              <w:rPr>
                <w:rFonts w:hint="eastAsia"/>
              </w:rPr>
            </w:pPr>
            <w:r>
              <w:rPr>
                <w:rFonts w:ascii="Arial" w:hAnsi="Arial"/>
                <w:b/>
                <w:color w:val="000000"/>
                <w:sz w:val="20"/>
                <w:szCs w:val="20"/>
              </w:rPr>
              <w:t>Carbohydrates (%)</w:t>
            </w:r>
          </w:p>
        </w:tc>
        <w:tc>
          <w:tcPr>
            <w:tcW w:w="1492" w:type="dxa"/>
            <w:tcBorders>
              <w:top w:val="single" w:sz="4" w:space="0" w:color="000000"/>
              <w:bottom w:val="single" w:sz="8" w:space="0" w:color="000000"/>
            </w:tcBorders>
          </w:tcPr>
          <w:p w14:paraId="5FFE37C6" w14:textId="77777777" w:rsidR="009A692A" w:rsidRDefault="002A3522">
            <w:pPr>
              <w:widowControl w:val="0"/>
              <w:spacing w:line="480" w:lineRule="auto"/>
              <w:jc w:val="both"/>
              <w:rPr>
                <w:rFonts w:hint="eastAsia"/>
              </w:rPr>
            </w:pPr>
            <w:r>
              <w:rPr>
                <w:rFonts w:ascii="Arial" w:hAnsi="Arial"/>
                <w:b/>
                <w:color w:val="000000"/>
                <w:sz w:val="20"/>
                <w:szCs w:val="20"/>
              </w:rPr>
              <w:t>Proteins (%)</w:t>
            </w:r>
          </w:p>
        </w:tc>
        <w:tc>
          <w:tcPr>
            <w:tcW w:w="1413" w:type="dxa"/>
            <w:tcBorders>
              <w:top w:val="single" w:sz="4" w:space="0" w:color="000000"/>
              <w:bottom w:val="single" w:sz="8" w:space="0" w:color="000000"/>
            </w:tcBorders>
          </w:tcPr>
          <w:p w14:paraId="36AE862A" w14:textId="77777777" w:rsidR="009A692A" w:rsidRDefault="002A3522">
            <w:pPr>
              <w:widowControl w:val="0"/>
              <w:spacing w:line="480" w:lineRule="auto"/>
              <w:jc w:val="both"/>
              <w:rPr>
                <w:rFonts w:hint="eastAsia"/>
              </w:rPr>
            </w:pPr>
            <w:r>
              <w:rPr>
                <w:rFonts w:ascii="Arial" w:hAnsi="Arial"/>
                <w:b/>
                <w:color w:val="000000"/>
                <w:sz w:val="20"/>
                <w:szCs w:val="20"/>
              </w:rPr>
              <w:t>Fats (%)</w:t>
            </w:r>
          </w:p>
        </w:tc>
        <w:tc>
          <w:tcPr>
            <w:tcW w:w="1428" w:type="dxa"/>
            <w:tcBorders>
              <w:top w:val="single" w:sz="4" w:space="0" w:color="000000"/>
              <w:bottom w:val="single" w:sz="8" w:space="0" w:color="000000"/>
            </w:tcBorders>
          </w:tcPr>
          <w:p w14:paraId="605DCDED" w14:textId="77777777" w:rsidR="009A692A" w:rsidRDefault="002A3522">
            <w:pPr>
              <w:widowControl w:val="0"/>
              <w:spacing w:line="480" w:lineRule="auto"/>
              <w:jc w:val="both"/>
              <w:rPr>
                <w:rFonts w:hint="eastAsia"/>
              </w:rPr>
            </w:pPr>
            <w:r>
              <w:rPr>
                <w:rFonts w:ascii="Arial" w:hAnsi="Arial"/>
                <w:b/>
                <w:color w:val="000000"/>
                <w:sz w:val="20"/>
                <w:szCs w:val="20"/>
              </w:rPr>
              <w:t>Fibers (%)</w:t>
            </w:r>
          </w:p>
        </w:tc>
        <w:tc>
          <w:tcPr>
            <w:tcW w:w="1227" w:type="dxa"/>
            <w:tcBorders>
              <w:top w:val="single" w:sz="4" w:space="0" w:color="000000"/>
              <w:bottom w:val="single" w:sz="8" w:space="0" w:color="000000"/>
            </w:tcBorders>
          </w:tcPr>
          <w:p w14:paraId="09B1E0AE" w14:textId="77777777" w:rsidR="009A692A" w:rsidRDefault="002A3522">
            <w:pPr>
              <w:widowControl w:val="0"/>
              <w:spacing w:line="480" w:lineRule="auto"/>
              <w:jc w:val="both"/>
              <w:rPr>
                <w:rFonts w:hint="eastAsia"/>
              </w:rPr>
            </w:pPr>
            <w:r>
              <w:rPr>
                <w:rFonts w:ascii="Arial" w:hAnsi="Arial"/>
                <w:b/>
                <w:color w:val="000000"/>
                <w:sz w:val="20"/>
                <w:szCs w:val="20"/>
              </w:rPr>
              <w:t>Moisture (%)</w:t>
            </w:r>
          </w:p>
        </w:tc>
        <w:tc>
          <w:tcPr>
            <w:tcW w:w="1360" w:type="dxa"/>
            <w:tcBorders>
              <w:top w:val="single" w:sz="4" w:space="0" w:color="000000"/>
              <w:bottom w:val="single" w:sz="8" w:space="0" w:color="000000"/>
            </w:tcBorders>
          </w:tcPr>
          <w:p w14:paraId="0805360D" w14:textId="77777777" w:rsidR="009A692A" w:rsidRDefault="002A3522">
            <w:pPr>
              <w:widowControl w:val="0"/>
              <w:spacing w:line="480" w:lineRule="auto"/>
              <w:jc w:val="both"/>
              <w:rPr>
                <w:rFonts w:hint="eastAsia"/>
              </w:rPr>
            </w:pPr>
            <w:r>
              <w:rPr>
                <w:rFonts w:ascii="Arial" w:hAnsi="Arial"/>
                <w:b/>
                <w:color w:val="000000"/>
                <w:sz w:val="20"/>
                <w:szCs w:val="20"/>
              </w:rPr>
              <w:t>Ash (%)</w:t>
            </w:r>
          </w:p>
        </w:tc>
        <w:tc>
          <w:tcPr>
            <w:tcW w:w="1605" w:type="dxa"/>
            <w:tcBorders>
              <w:top w:val="single" w:sz="4" w:space="0" w:color="000000"/>
              <w:bottom w:val="single" w:sz="8" w:space="0" w:color="000000"/>
            </w:tcBorders>
          </w:tcPr>
          <w:p w14:paraId="4AF74519" w14:textId="77777777" w:rsidR="009A692A" w:rsidRDefault="002A3522">
            <w:pPr>
              <w:widowControl w:val="0"/>
              <w:spacing w:line="480" w:lineRule="auto"/>
              <w:ind w:right="227"/>
              <w:jc w:val="both"/>
              <w:rPr>
                <w:rFonts w:hint="eastAsia"/>
              </w:rPr>
            </w:pPr>
            <w:r>
              <w:rPr>
                <w:rFonts w:ascii="Arial" w:hAnsi="Arial"/>
                <w:b/>
                <w:color w:val="000000"/>
                <w:sz w:val="20"/>
                <w:szCs w:val="20"/>
              </w:rPr>
              <w:t>Total Calories</w:t>
            </w:r>
          </w:p>
        </w:tc>
      </w:tr>
      <w:tr w:rsidR="009A692A" w14:paraId="1B7AD8D5" w14:textId="77777777">
        <w:trPr>
          <w:trHeight w:val="489"/>
        </w:trPr>
        <w:tc>
          <w:tcPr>
            <w:tcW w:w="799" w:type="dxa"/>
          </w:tcPr>
          <w:p w14:paraId="4BACB69B" w14:textId="77777777" w:rsidR="009A692A" w:rsidRDefault="002A3522">
            <w:pPr>
              <w:widowControl w:val="0"/>
              <w:spacing w:line="480" w:lineRule="auto"/>
              <w:rPr>
                <w:rFonts w:hint="eastAsia"/>
              </w:rPr>
            </w:pPr>
            <w:r>
              <w:rPr>
                <w:rFonts w:ascii="Arial" w:hAnsi="Arial"/>
                <w:color w:val="000000"/>
                <w:sz w:val="20"/>
                <w:szCs w:val="20"/>
              </w:rPr>
              <w:t>A</w:t>
            </w:r>
          </w:p>
        </w:tc>
        <w:tc>
          <w:tcPr>
            <w:tcW w:w="1748" w:type="dxa"/>
          </w:tcPr>
          <w:p w14:paraId="3BE62B08" w14:textId="77777777" w:rsidR="009A692A" w:rsidRDefault="002A3522">
            <w:pPr>
              <w:widowControl w:val="0"/>
              <w:spacing w:line="480" w:lineRule="auto"/>
              <w:ind w:firstLine="29"/>
              <w:jc w:val="both"/>
              <w:rPr>
                <w:rFonts w:hint="eastAsia"/>
              </w:rPr>
            </w:pPr>
            <w:r>
              <w:rPr>
                <w:rFonts w:ascii="Arial" w:hAnsi="Arial"/>
                <w:color w:val="000000"/>
                <w:sz w:val="20"/>
                <w:szCs w:val="20"/>
              </w:rPr>
              <w:t>79.7±0.11</w:t>
            </w:r>
            <w:r>
              <w:rPr>
                <w:rFonts w:ascii="Arial" w:hAnsi="Arial"/>
                <w:color w:val="000000"/>
                <w:sz w:val="20"/>
                <w:szCs w:val="20"/>
                <w:vertAlign w:val="superscript"/>
              </w:rPr>
              <w:t>f</w:t>
            </w:r>
          </w:p>
        </w:tc>
        <w:tc>
          <w:tcPr>
            <w:tcW w:w="1492" w:type="dxa"/>
          </w:tcPr>
          <w:p w14:paraId="080D99C4" w14:textId="77777777" w:rsidR="009A692A" w:rsidRDefault="002A3522">
            <w:pPr>
              <w:widowControl w:val="0"/>
              <w:spacing w:line="480" w:lineRule="auto"/>
              <w:jc w:val="both"/>
              <w:rPr>
                <w:rFonts w:hint="eastAsia"/>
              </w:rPr>
            </w:pPr>
            <w:r>
              <w:rPr>
                <w:rFonts w:ascii="Arial" w:hAnsi="Arial"/>
                <w:color w:val="000000"/>
                <w:sz w:val="20"/>
                <w:szCs w:val="20"/>
              </w:rPr>
              <w:t>6.6</w:t>
            </w:r>
            <w:r>
              <w:rPr>
                <w:rFonts w:ascii="Arial" w:hAnsi="Arial"/>
                <w:bCs/>
                <w:color w:val="000000"/>
                <w:sz w:val="20"/>
                <w:szCs w:val="20"/>
              </w:rPr>
              <w:t xml:space="preserve">2 </w:t>
            </w:r>
            <w:r>
              <w:rPr>
                <w:rFonts w:ascii="Arial" w:hAnsi="Arial"/>
                <w:color w:val="000000"/>
                <w:sz w:val="20"/>
                <w:szCs w:val="20"/>
              </w:rPr>
              <w:t>±0.</w:t>
            </w:r>
            <w:r>
              <w:rPr>
                <w:rFonts w:ascii="Arial" w:hAnsi="Arial"/>
                <w:bCs/>
                <w:color w:val="000000"/>
                <w:sz w:val="20"/>
                <w:szCs w:val="20"/>
              </w:rPr>
              <w:t xml:space="preserve"> 27</w:t>
            </w:r>
            <w:r>
              <w:rPr>
                <w:rFonts w:ascii="Arial" w:hAnsi="Arial"/>
                <w:bCs/>
                <w:color w:val="000000"/>
                <w:sz w:val="20"/>
                <w:szCs w:val="20"/>
                <w:vertAlign w:val="superscript"/>
              </w:rPr>
              <w:t>a</w:t>
            </w:r>
          </w:p>
        </w:tc>
        <w:tc>
          <w:tcPr>
            <w:tcW w:w="1413" w:type="dxa"/>
          </w:tcPr>
          <w:p w14:paraId="0CD0AF1A" w14:textId="77777777" w:rsidR="009A692A" w:rsidRDefault="002A3522">
            <w:pPr>
              <w:widowControl w:val="0"/>
              <w:spacing w:line="480" w:lineRule="auto"/>
              <w:jc w:val="both"/>
              <w:rPr>
                <w:rFonts w:hint="eastAsia"/>
              </w:rPr>
            </w:pPr>
            <w:r>
              <w:rPr>
                <w:rFonts w:ascii="Arial" w:hAnsi="Arial"/>
                <w:color w:val="000000"/>
                <w:sz w:val="20"/>
                <w:szCs w:val="20"/>
              </w:rPr>
              <w:t>7.56±0.56</w:t>
            </w:r>
            <w:r>
              <w:rPr>
                <w:rFonts w:ascii="Arial" w:hAnsi="Arial"/>
                <w:color w:val="000000"/>
                <w:sz w:val="20"/>
                <w:szCs w:val="20"/>
                <w:vertAlign w:val="superscript"/>
              </w:rPr>
              <w:t>a</w:t>
            </w:r>
          </w:p>
        </w:tc>
        <w:tc>
          <w:tcPr>
            <w:tcW w:w="1428" w:type="dxa"/>
          </w:tcPr>
          <w:p w14:paraId="3CDA2314" w14:textId="77777777" w:rsidR="009A692A" w:rsidRDefault="002A3522">
            <w:pPr>
              <w:widowControl w:val="0"/>
              <w:spacing w:line="480" w:lineRule="auto"/>
              <w:jc w:val="both"/>
              <w:rPr>
                <w:rFonts w:hint="eastAsia"/>
              </w:rPr>
            </w:pPr>
            <w:r>
              <w:rPr>
                <w:rFonts w:ascii="Arial" w:hAnsi="Arial"/>
                <w:color w:val="000000"/>
                <w:sz w:val="20"/>
                <w:szCs w:val="20"/>
              </w:rPr>
              <w:t>0.01±0.01</w:t>
            </w:r>
            <w:r>
              <w:rPr>
                <w:rFonts w:ascii="Arial" w:hAnsi="Arial"/>
                <w:color w:val="000000"/>
                <w:sz w:val="20"/>
                <w:szCs w:val="20"/>
                <w:vertAlign w:val="superscript"/>
              </w:rPr>
              <w:t>a</w:t>
            </w:r>
          </w:p>
        </w:tc>
        <w:tc>
          <w:tcPr>
            <w:tcW w:w="1227" w:type="dxa"/>
          </w:tcPr>
          <w:p w14:paraId="17809DAB" w14:textId="77777777" w:rsidR="009A692A" w:rsidRDefault="002A3522">
            <w:pPr>
              <w:widowControl w:val="0"/>
              <w:spacing w:line="480" w:lineRule="auto"/>
              <w:jc w:val="both"/>
              <w:rPr>
                <w:rFonts w:hint="eastAsia"/>
              </w:rPr>
            </w:pPr>
            <w:r>
              <w:rPr>
                <w:rFonts w:ascii="Arial" w:hAnsi="Arial"/>
                <w:color w:val="000000"/>
                <w:sz w:val="20"/>
                <w:szCs w:val="20"/>
              </w:rPr>
              <w:t>5.67±0.</w:t>
            </w:r>
            <w:r>
              <w:rPr>
                <w:rFonts w:ascii="Arial" w:hAnsi="Arial"/>
                <w:bCs/>
                <w:color w:val="000000"/>
                <w:sz w:val="20"/>
                <w:szCs w:val="20"/>
              </w:rPr>
              <w:t xml:space="preserve"> 22</w:t>
            </w:r>
            <w:r>
              <w:rPr>
                <w:rFonts w:ascii="Arial" w:hAnsi="Arial"/>
                <w:bCs/>
                <w:color w:val="000000"/>
                <w:sz w:val="20"/>
                <w:szCs w:val="20"/>
                <w:vertAlign w:val="superscript"/>
              </w:rPr>
              <w:t>d</w:t>
            </w:r>
          </w:p>
        </w:tc>
        <w:tc>
          <w:tcPr>
            <w:tcW w:w="1360" w:type="dxa"/>
          </w:tcPr>
          <w:p w14:paraId="3C2D7613" w14:textId="77777777" w:rsidR="009A692A" w:rsidRDefault="002A3522">
            <w:pPr>
              <w:widowControl w:val="0"/>
              <w:spacing w:line="480" w:lineRule="auto"/>
              <w:jc w:val="both"/>
              <w:rPr>
                <w:rFonts w:hint="eastAsia"/>
              </w:rPr>
            </w:pPr>
            <w:r>
              <w:rPr>
                <w:rFonts w:ascii="Arial" w:hAnsi="Arial"/>
                <w:color w:val="000000"/>
                <w:sz w:val="20"/>
                <w:szCs w:val="20"/>
              </w:rPr>
              <w:t>0.44±0.0</w:t>
            </w:r>
            <w:r>
              <w:rPr>
                <w:rFonts w:ascii="Arial" w:hAnsi="Arial"/>
                <w:bCs/>
                <w:color w:val="000000"/>
                <w:sz w:val="20"/>
                <w:szCs w:val="20"/>
              </w:rPr>
              <w:t>2</w:t>
            </w:r>
            <w:r>
              <w:rPr>
                <w:rFonts w:ascii="Arial" w:hAnsi="Arial"/>
                <w:bCs/>
                <w:color w:val="000000"/>
                <w:sz w:val="20"/>
                <w:szCs w:val="20"/>
                <w:vertAlign w:val="superscript"/>
              </w:rPr>
              <w:t>a</w:t>
            </w:r>
          </w:p>
        </w:tc>
        <w:tc>
          <w:tcPr>
            <w:tcW w:w="1605" w:type="dxa"/>
          </w:tcPr>
          <w:p w14:paraId="37177F49" w14:textId="77777777" w:rsidR="009A692A" w:rsidRDefault="002A3522">
            <w:pPr>
              <w:widowControl w:val="0"/>
              <w:spacing w:line="480" w:lineRule="auto"/>
              <w:jc w:val="both"/>
              <w:rPr>
                <w:rFonts w:hint="eastAsia"/>
              </w:rPr>
            </w:pPr>
            <w:r>
              <w:rPr>
                <w:rFonts w:ascii="Arial" w:hAnsi="Arial"/>
                <w:color w:val="000000"/>
                <w:sz w:val="20"/>
                <w:szCs w:val="20"/>
              </w:rPr>
              <w:t>413. 33±1.96</w:t>
            </w:r>
            <w:r>
              <w:rPr>
                <w:rFonts w:ascii="Arial" w:hAnsi="Arial"/>
                <w:bCs/>
                <w:color w:val="000000"/>
                <w:sz w:val="20"/>
                <w:szCs w:val="20"/>
                <w:vertAlign w:val="superscript"/>
              </w:rPr>
              <w:t>c</w:t>
            </w:r>
          </w:p>
        </w:tc>
      </w:tr>
      <w:tr w:rsidR="009A692A" w14:paraId="68C60055" w14:textId="77777777">
        <w:trPr>
          <w:trHeight w:val="494"/>
        </w:trPr>
        <w:tc>
          <w:tcPr>
            <w:tcW w:w="799" w:type="dxa"/>
          </w:tcPr>
          <w:p w14:paraId="52DD1787" w14:textId="77777777" w:rsidR="009A692A" w:rsidRDefault="002A3522">
            <w:pPr>
              <w:widowControl w:val="0"/>
              <w:spacing w:line="480" w:lineRule="auto"/>
              <w:rPr>
                <w:rFonts w:hint="eastAsia"/>
              </w:rPr>
            </w:pPr>
            <w:r>
              <w:rPr>
                <w:rFonts w:ascii="Arial" w:hAnsi="Arial"/>
                <w:color w:val="000000"/>
                <w:sz w:val="20"/>
                <w:szCs w:val="20"/>
              </w:rPr>
              <w:t>B</w:t>
            </w:r>
          </w:p>
        </w:tc>
        <w:tc>
          <w:tcPr>
            <w:tcW w:w="1748" w:type="dxa"/>
          </w:tcPr>
          <w:p w14:paraId="06DC8012" w14:textId="77777777" w:rsidR="009A692A" w:rsidRDefault="002A3522">
            <w:pPr>
              <w:widowControl w:val="0"/>
              <w:spacing w:line="480" w:lineRule="auto"/>
              <w:jc w:val="both"/>
              <w:rPr>
                <w:rFonts w:hint="eastAsia"/>
              </w:rPr>
            </w:pPr>
            <w:r>
              <w:rPr>
                <w:rFonts w:ascii="Arial" w:hAnsi="Arial"/>
                <w:color w:val="000000"/>
                <w:sz w:val="20"/>
                <w:szCs w:val="20"/>
              </w:rPr>
              <w:t>7</w:t>
            </w:r>
            <w:r>
              <w:rPr>
                <w:rFonts w:ascii="Arial" w:hAnsi="Arial"/>
                <w:bCs/>
                <w:color w:val="000000"/>
                <w:sz w:val="20"/>
                <w:szCs w:val="20"/>
              </w:rPr>
              <w:t>2</w:t>
            </w:r>
            <w:r>
              <w:rPr>
                <w:rFonts w:ascii="Arial" w:hAnsi="Arial"/>
                <w:color w:val="000000"/>
                <w:sz w:val="20"/>
                <w:szCs w:val="20"/>
              </w:rPr>
              <w:t>.69±0.1</w:t>
            </w:r>
            <w:r>
              <w:rPr>
                <w:rFonts w:ascii="Arial" w:hAnsi="Arial"/>
                <w:bCs/>
                <w:color w:val="000000"/>
                <w:sz w:val="20"/>
                <w:szCs w:val="20"/>
              </w:rPr>
              <w:t>2</w:t>
            </w:r>
            <w:r>
              <w:rPr>
                <w:rFonts w:ascii="Arial" w:hAnsi="Arial"/>
                <w:color w:val="000000"/>
                <w:sz w:val="20"/>
                <w:szCs w:val="20"/>
                <w:vertAlign w:val="superscript"/>
              </w:rPr>
              <w:t>d</w:t>
            </w:r>
          </w:p>
        </w:tc>
        <w:tc>
          <w:tcPr>
            <w:tcW w:w="1492" w:type="dxa"/>
          </w:tcPr>
          <w:p w14:paraId="5429E6D7" w14:textId="77777777" w:rsidR="009A692A" w:rsidRDefault="002A3522">
            <w:pPr>
              <w:widowControl w:val="0"/>
              <w:spacing w:line="480" w:lineRule="auto"/>
              <w:jc w:val="both"/>
              <w:rPr>
                <w:rFonts w:hint="eastAsia"/>
              </w:rPr>
            </w:pPr>
            <w:r>
              <w:rPr>
                <w:rFonts w:ascii="Arial" w:hAnsi="Arial"/>
                <w:color w:val="000000"/>
                <w:sz w:val="20"/>
                <w:szCs w:val="20"/>
              </w:rPr>
              <w:t>10.88±0.10</w:t>
            </w:r>
            <w:r>
              <w:rPr>
                <w:rFonts w:ascii="Arial" w:hAnsi="Arial"/>
                <w:color w:val="000000"/>
                <w:sz w:val="20"/>
                <w:szCs w:val="20"/>
                <w:vertAlign w:val="superscript"/>
              </w:rPr>
              <w:t>d</w:t>
            </w:r>
          </w:p>
        </w:tc>
        <w:tc>
          <w:tcPr>
            <w:tcW w:w="1413" w:type="dxa"/>
          </w:tcPr>
          <w:p w14:paraId="668997B3" w14:textId="77777777" w:rsidR="009A692A" w:rsidRDefault="002A3522">
            <w:pPr>
              <w:widowControl w:val="0"/>
              <w:spacing w:line="480" w:lineRule="auto"/>
              <w:jc w:val="both"/>
              <w:rPr>
                <w:rFonts w:hint="eastAsia"/>
              </w:rPr>
            </w:pPr>
            <w:r>
              <w:rPr>
                <w:rFonts w:ascii="Arial" w:hAnsi="Arial"/>
                <w:color w:val="000000"/>
                <w:sz w:val="20"/>
                <w:szCs w:val="20"/>
              </w:rPr>
              <w:t>9.07±0.1</w:t>
            </w:r>
            <w:r>
              <w:rPr>
                <w:rFonts w:ascii="Arial" w:hAnsi="Arial"/>
                <w:bCs/>
                <w:color w:val="000000"/>
                <w:sz w:val="20"/>
                <w:szCs w:val="20"/>
              </w:rPr>
              <w:t>2</w:t>
            </w:r>
            <w:r>
              <w:rPr>
                <w:rFonts w:ascii="Arial" w:hAnsi="Arial"/>
                <w:bCs/>
                <w:color w:val="000000"/>
                <w:sz w:val="20"/>
                <w:szCs w:val="20"/>
                <w:vertAlign w:val="superscript"/>
              </w:rPr>
              <w:t>b</w:t>
            </w:r>
          </w:p>
        </w:tc>
        <w:tc>
          <w:tcPr>
            <w:tcW w:w="1428" w:type="dxa"/>
          </w:tcPr>
          <w:p w14:paraId="478DA6D0" w14:textId="77777777" w:rsidR="009A692A" w:rsidRDefault="002A3522">
            <w:pPr>
              <w:widowControl w:val="0"/>
              <w:spacing w:line="480" w:lineRule="auto"/>
              <w:jc w:val="both"/>
              <w:rPr>
                <w:rFonts w:hint="eastAsia"/>
              </w:rPr>
            </w:pPr>
            <w:r>
              <w:rPr>
                <w:rFonts w:ascii="Arial" w:hAnsi="Arial"/>
                <w:color w:val="000000"/>
                <w:sz w:val="20"/>
                <w:szCs w:val="20"/>
              </w:rPr>
              <w:t>0.96±0.01</w:t>
            </w:r>
            <w:r>
              <w:rPr>
                <w:rFonts w:ascii="Arial" w:hAnsi="Arial"/>
                <w:color w:val="000000"/>
                <w:sz w:val="20"/>
                <w:szCs w:val="20"/>
                <w:vertAlign w:val="superscript"/>
              </w:rPr>
              <w:t>b</w:t>
            </w:r>
          </w:p>
        </w:tc>
        <w:tc>
          <w:tcPr>
            <w:tcW w:w="1227" w:type="dxa"/>
          </w:tcPr>
          <w:p w14:paraId="20454BE9" w14:textId="77777777" w:rsidR="009A692A" w:rsidRDefault="002A3522">
            <w:pPr>
              <w:widowControl w:val="0"/>
              <w:spacing w:line="480" w:lineRule="auto"/>
              <w:jc w:val="both"/>
              <w:rPr>
                <w:rFonts w:hint="eastAsia"/>
              </w:rPr>
            </w:pPr>
            <w:r>
              <w:rPr>
                <w:rFonts w:ascii="Arial" w:hAnsi="Arial"/>
                <w:color w:val="000000"/>
                <w:sz w:val="20"/>
                <w:szCs w:val="20"/>
              </w:rPr>
              <w:t>5.06±0.04</w:t>
            </w:r>
            <w:r>
              <w:rPr>
                <w:rFonts w:ascii="Arial" w:hAnsi="Arial"/>
                <w:color w:val="000000"/>
                <w:sz w:val="20"/>
                <w:szCs w:val="20"/>
                <w:vertAlign w:val="superscript"/>
              </w:rPr>
              <w:t>d</w:t>
            </w:r>
          </w:p>
        </w:tc>
        <w:tc>
          <w:tcPr>
            <w:tcW w:w="1360" w:type="dxa"/>
          </w:tcPr>
          <w:p w14:paraId="1D7DF506" w14:textId="77777777" w:rsidR="009A692A" w:rsidRDefault="002A3522">
            <w:pPr>
              <w:widowControl w:val="0"/>
              <w:spacing w:line="480" w:lineRule="auto"/>
              <w:jc w:val="both"/>
              <w:rPr>
                <w:rFonts w:hint="eastAsia"/>
              </w:rPr>
            </w:pPr>
            <w:r>
              <w:rPr>
                <w:rFonts w:ascii="Arial" w:hAnsi="Arial"/>
                <w:color w:val="000000"/>
                <w:sz w:val="20"/>
                <w:szCs w:val="20"/>
              </w:rPr>
              <w:t>1.35±0.04</w:t>
            </w:r>
            <w:r>
              <w:rPr>
                <w:rFonts w:ascii="Arial" w:hAnsi="Arial"/>
                <w:color w:val="000000"/>
                <w:sz w:val="20"/>
                <w:szCs w:val="20"/>
                <w:vertAlign w:val="superscript"/>
              </w:rPr>
              <w:t>b</w:t>
            </w:r>
          </w:p>
        </w:tc>
        <w:tc>
          <w:tcPr>
            <w:tcW w:w="1605" w:type="dxa"/>
          </w:tcPr>
          <w:p w14:paraId="042DB6AF" w14:textId="77777777" w:rsidR="009A692A" w:rsidRDefault="002A3522">
            <w:pPr>
              <w:widowControl w:val="0"/>
              <w:spacing w:line="480" w:lineRule="auto"/>
              <w:jc w:val="both"/>
              <w:rPr>
                <w:rFonts w:hint="eastAsia"/>
              </w:rPr>
            </w:pPr>
            <w:r>
              <w:rPr>
                <w:rFonts w:ascii="Arial" w:hAnsi="Arial"/>
                <w:color w:val="000000"/>
                <w:sz w:val="20"/>
                <w:szCs w:val="20"/>
              </w:rPr>
              <w:t>415.91±0.9</w:t>
            </w:r>
            <w:r>
              <w:rPr>
                <w:rFonts w:ascii="Arial" w:hAnsi="Arial"/>
                <w:bCs/>
                <w:color w:val="000000"/>
                <w:sz w:val="20"/>
                <w:szCs w:val="20"/>
              </w:rPr>
              <w:t>2</w:t>
            </w:r>
            <w:r>
              <w:rPr>
                <w:rFonts w:ascii="Arial" w:hAnsi="Arial"/>
                <w:color w:val="000000"/>
                <w:sz w:val="20"/>
                <w:szCs w:val="20"/>
                <w:vertAlign w:val="superscript"/>
              </w:rPr>
              <w:t>c</w:t>
            </w:r>
          </w:p>
        </w:tc>
      </w:tr>
      <w:tr w:rsidR="009A692A" w14:paraId="0DE93A0B" w14:textId="77777777">
        <w:trPr>
          <w:trHeight w:val="555"/>
        </w:trPr>
        <w:tc>
          <w:tcPr>
            <w:tcW w:w="799" w:type="dxa"/>
          </w:tcPr>
          <w:p w14:paraId="0F07B5E4" w14:textId="77777777" w:rsidR="009A692A" w:rsidRDefault="002A3522">
            <w:pPr>
              <w:widowControl w:val="0"/>
              <w:spacing w:line="480" w:lineRule="auto"/>
              <w:rPr>
                <w:rFonts w:hint="eastAsia"/>
              </w:rPr>
            </w:pPr>
            <w:r>
              <w:rPr>
                <w:rFonts w:ascii="Arial" w:hAnsi="Arial"/>
                <w:color w:val="000000"/>
                <w:sz w:val="20"/>
                <w:szCs w:val="20"/>
              </w:rPr>
              <w:t>C</w:t>
            </w:r>
          </w:p>
        </w:tc>
        <w:tc>
          <w:tcPr>
            <w:tcW w:w="1748" w:type="dxa"/>
          </w:tcPr>
          <w:p w14:paraId="35D9ACB8" w14:textId="77777777" w:rsidR="009A692A" w:rsidRDefault="002A3522">
            <w:pPr>
              <w:widowControl w:val="0"/>
              <w:spacing w:line="480" w:lineRule="auto"/>
              <w:jc w:val="both"/>
              <w:rPr>
                <w:rFonts w:hint="eastAsia"/>
              </w:rPr>
            </w:pPr>
            <w:r>
              <w:rPr>
                <w:rFonts w:ascii="Arial" w:hAnsi="Arial"/>
                <w:color w:val="000000"/>
                <w:sz w:val="20"/>
                <w:szCs w:val="20"/>
              </w:rPr>
              <w:t>64.</w:t>
            </w:r>
            <w:r>
              <w:rPr>
                <w:rFonts w:ascii="Arial" w:hAnsi="Arial"/>
                <w:bCs/>
                <w:color w:val="000000"/>
                <w:sz w:val="20"/>
                <w:szCs w:val="20"/>
              </w:rPr>
              <w:t xml:space="preserve"> 28</w:t>
            </w:r>
            <w:r>
              <w:rPr>
                <w:rFonts w:ascii="Arial" w:hAnsi="Arial"/>
                <w:color w:val="000000"/>
                <w:sz w:val="20"/>
                <w:szCs w:val="20"/>
              </w:rPr>
              <w:t>±0.</w:t>
            </w:r>
            <w:r>
              <w:rPr>
                <w:rFonts w:ascii="Arial" w:hAnsi="Arial"/>
                <w:bCs/>
                <w:color w:val="000000"/>
                <w:sz w:val="20"/>
                <w:szCs w:val="20"/>
              </w:rPr>
              <w:t>26</w:t>
            </w:r>
            <w:r>
              <w:rPr>
                <w:rFonts w:ascii="Arial" w:hAnsi="Arial"/>
                <w:bCs/>
                <w:color w:val="000000"/>
                <w:sz w:val="20"/>
                <w:szCs w:val="20"/>
                <w:vertAlign w:val="superscript"/>
              </w:rPr>
              <w:t>b</w:t>
            </w:r>
          </w:p>
        </w:tc>
        <w:tc>
          <w:tcPr>
            <w:tcW w:w="1492" w:type="dxa"/>
          </w:tcPr>
          <w:p w14:paraId="7AC3CDDB" w14:textId="77777777" w:rsidR="009A692A" w:rsidRDefault="002A3522">
            <w:pPr>
              <w:widowControl w:val="0"/>
              <w:spacing w:line="480" w:lineRule="auto"/>
              <w:jc w:val="both"/>
              <w:rPr>
                <w:rFonts w:hint="eastAsia"/>
              </w:rPr>
            </w:pPr>
            <w:r>
              <w:rPr>
                <w:rFonts w:ascii="Arial" w:hAnsi="Arial"/>
                <w:color w:val="000000"/>
                <w:sz w:val="20"/>
                <w:szCs w:val="20"/>
              </w:rPr>
              <w:t>1</w:t>
            </w:r>
            <w:r>
              <w:rPr>
                <w:rFonts w:ascii="Arial" w:hAnsi="Arial"/>
                <w:bCs/>
                <w:color w:val="000000"/>
                <w:sz w:val="20"/>
                <w:szCs w:val="20"/>
              </w:rPr>
              <w:t>2.56</w:t>
            </w:r>
            <w:r>
              <w:rPr>
                <w:rFonts w:ascii="Arial" w:hAnsi="Arial"/>
                <w:color w:val="000000"/>
                <w:sz w:val="20"/>
                <w:szCs w:val="20"/>
              </w:rPr>
              <w:t>±0.07</w:t>
            </w:r>
            <w:r>
              <w:rPr>
                <w:rFonts w:ascii="Arial" w:hAnsi="Arial"/>
                <w:color w:val="000000"/>
                <w:sz w:val="20"/>
                <w:szCs w:val="20"/>
                <w:vertAlign w:val="superscript"/>
              </w:rPr>
              <w:t>f</w:t>
            </w:r>
          </w:p>
        </w:tc>
        <w:tc>
          <w:tcPr>
            <w:tcW w:w="1413" w:type="dxa"/>
          </w:tcPr>
          <w:p w14:paraId="44BD418B" w14:textId="77777777" w:rsidR="009A692A" w:rsidRDefault="002A3522">
            <w:pPr>
              <w:widowControl w:val="0"/>
              <w:spacing w:line="480" w:lineRule="auto"/>
              <w:jc w:val="both"/>
              <w:rPr>
                <w:rFonts w:hint="eastAsia"/>
              </w:rPr>
            </w:pPr>
            <w:r>
              <w:rPr>
                <w:rFonts w:ascii="Arial" w:hAnsi="Arial"/>
                <w:color w:val="000000"/>
                <w:sz w:val="20"/>
                <w:szCs w:val="20"/>
              </w:rPr>
              <w:t>13.94±0.07</w:t>
            </w:r>
            <w:r>
              <w:rPr>
                <w:rFonts w:ascii="Arial" w:hAnsi="Arial"/>
                <w:color w:val="000000"/>
                <w:sz w:val="20"/>
                <w:szCs w:val="20"/>
                <w:vertAlign w:val="superscript"/>
              </w:rPr>
              <w:t>d</w:t>
            </w:r>
          </w:p>
        </w:tc>
        <w:tc>
          <w:tcPr>
            <w:tcW w:w="1428" w:type="dxa"/>
          </w:tcPr>
          <w:p w14:paraId="2B885C6C" w14:textId="77777777" w:rsidR="009A692A" w:rsidRDefault="002A3522">
            <w:pPr>
              <w:widowControl w:val="0"/>
              <w:spacing w:line="480" w:lineRule="auto"/>
              <w:jc w:val="both"/>
              <w:rPr>
                <w:rFonts w:hint="eastAsia"/>
              </w:rPr>
            </w:pPr>
            <w:r>
              <w:rPr>
                <w:rFonts w:ascii="Arial" w:hAnsi="Arial"/>
                <w:color w:val="000000"/>
                <w:sz w:val="20"/>
                <w:szCs w:val="20"/>
              </w:rPr>
              <w:t>0.97±0.01</w:t>
            </w:r>
            <w:r>
              <w:rPr>
                <w:rFonts w:ascii="Arial" w:hAnsi="Arial"/>
                <w:color w:val="000000"/>
                <w:sz w:val="20"/>
                <w:szCs w:val="20"/>
                <w:vertAlign w:val="superscript"/>
              </w:rPr>
              <w:t>b</w:t>
            </w:r>
          </w:p>
        </w:tc>
        <w:tc>
          <w:tcPr>
            <w:tcW w:w="1227" w:type="dxa"/>
          </w:tcPr>
          <w:p w14:paraId="294E566E" w14:textId="77777777" w:rsidR="009A692A" w:rsidRDefault="002A3522">
            <w:pPr>
              <w:widowControl w:val="0"/>
              <w:spacing w:line="480" w:lineRule="auto"/>
              <w:jc w:val="both"/>
              <w:rPr>
                <w:rFonts w:hint="eastAsia"/>
              </w:rPr>
            </w:pPr>
            <w:r>
              <w:rPr>
                <w:rFonts w:ascii="Arial" w:hAnsi="Arial"/>
                <w:color w:val="000000"/>
                <w:sz w:val="20"/>
                <w:szCs w:val="20"/>
              </w:rPr>
              <w:t>4.78±0.0</w:t>
            </w:r>
            <w:r>
              <w:rPr>
                <w:rFonts w:ascii="Arial" w:hAnsi="Arial"/>
                <w:bCs/>
                <w:color w:val="000000"/>
                <w:sz w:val="20"/>
                <w:szCs w:val="20"/>
              </w:rPr>
              <w:t>2</w:t>
            </w:r>
            <w:r>
              <w:rPr>
                <w:rFonts w:ascii="Arial" w:hAnsi="Arial"/>
                <w:bCs/>
                <w:color w:val="000000"/>
                <w:sz w:val="20"/>
                <w:szCs w:val="20"/>
                <w:vertAlign w:val="superscript"/>
              </w:rPr>
              <w:t>c</w:t>
            </w:r>
          </w:p>
        </w:tc>
        <w:tc>
          <w:tcPr>
            <w:tcW w:w="1360" w:type="dxa"/>
          </w:tcPr>
          <w:p w14:paraId="3D568078" w14:textId="77777777" w:rsidR="009A692A" w:rsidRDefault="002A3522">
            <w:pPr>
              <w:widowControl w:val="0"/>
              <w:spacing w:line="480" w:lineRule="auto"/>
              <w:jc w:val="both"/>
              <w:rPr>
                <w:rFonts w:hint="eastAsia"/>
              </w:rPr>
            </w:pPr>
            <w:r>
              <w:rPr>
                <w:rFonts w:ascii="Arial" w:hAnsi="Arial"/>
                <w:color w:val="000000"/>
                <w:sz w:val="20"/>
                <w:szCs w:val="20"/>
              </w:rPr>
              <w:t>3.47±0.41</w:t>
            </w:r>
            <w:r>
              <w:rPr>
                <w:rFonts w:ascii="Arial" w:hAnsi="Arial"/>
                <w:color w:val="000000"/>
                <w:sz w:val="20"/>
                <w:szCs w:val="20"/>
                <w:vertAlign w:val="superscript"/>
              </w:rPr>
              <w:t>c</w:t>
            </w:r>
          </w:p>
        </w:tc>
        <w:tc>
          <w:tcPr>
            <w:tcW w:w="1605" w:type="dxa"/>
          </w:tcPr>
          <w:p w14:paraId="3A8B5283" w14:textId="77777777" w:rsidR="009A692A" w:rsidRDefault="002A3522">
            <w:pPr>
              <w:widowControl w:val="0"/>
              <w:spacing w:line="480" w:lineRule="auto"/>
              <w:jc w:val="both"/>
              <w:rPr>
                <w:rFonts w:hint="eastAsia"/>
              </w:rPr>
            </w:pPr>
            <w:r>
              <w:rPr>
                <w:rFonts w:ascii="Arial" w:hAnsi="Arial"/>
                <w:color w:val="000000"/>
                <w:sz w:val="20"/>
                <w:szCs w:val="20"/>
              </w:rPr>
              <w:t>43</w:t>
            </w:r>
            <w:r>
              <w:rPr>
                <w:rFonts w:ascii="Arial" w:hAnsi="Arial"/>
                <w:bCs/>
                <w:color w:val="000000"/>
                <w:sz w:val="20"/>
                <w:szCs w:val="20"/>
              </w:rPr>
              <w:t>2</w:t>
            </w:r>
            <w:r>
              <w:rPr>
                <w:rFonts w:ascii="Arial" w:hAnsi="Arial"/>
                <w:color w:val="000000"/>
                <w:sz w:val="20"/>
                <w:szCs w:val="20"/>
              </w:rPr>
              <w:t>± 1.95</w:t>
            </w:r>
            <w:r>
              <w:rPr>
                <w:rFonts w:ascii="Arial" w:hAnsi="Arial"/>
                <w:color w:val="000000"/>
                <w:sz w:val="20"/>
                <w:szCs w:val="20"/>
                <w:vertAlign w:val="superscript"/>
              </w:rPr>
              <w:t>d</w:t>
            </w:r>
          </w:p>
        </w:tc>
      </w:tr>
      <w:tr w:rsidR="009A692A" w14:paraId="3BF72320" w14:textId="77777777">
        <w:trPr>
          <w:trHeight w:val="555"/>
        </w:trPr>
        <w:tc>
          <w:tcPr>
            <w:tcW w:w="799" w:type="dxa"/>
          </w:tcPr>
          <w:p w14:paraId="4764724A" w14:textId="77777777" w:rsidR="009A692A" w:rsidRDefault="002A3522">
            <w:pPr>
              <w:widowControl w:val="0"/>
              <w:spacing w:line="480" w:lineRule="auto"/>
              <w:rPr>
                <w:rFonts w:hint="eastAsia"/>
              </w:rPr>
            </w:pPr>
            <w:r>
              <w:rPr>
                <w:rFonts w:ascii="Arial" w:hAnsi="Arial"/>
                <w:color w:val="000000"/>
                <w:sz w:val="20"/>
                <w:szCs w:val="20"/>
              </w:rPr>
              <w:t>D</w:t>
            </w:r>
          </w:p>
        </w:tc>
        <w:tc>
          <w:tcPr>
            <w:tcW w:w="1748" w:type="dxa"/>
          </w:tcPr>
          <w:p w14:paraId="738166DB" w14:textId="77777777" w:rsidR="009A692A" w:rsidRDefault="002A3522">
            <w:pPr>
              <w:widowControl w:val="0"/>
              <w:spacing w:line="480" w:lineRule="auto"/>
              <w:jc w:val="both"/>
              <w:rPr>
                <w:rFonts w:hint="eastAsia"/>
              </w:rPr>
            </w:pPr>
            <w:r>
              <w:rPr>
                <w:rFonts w:ascii="Arial" w:hAnsi="Arial"/>
                <w:bCs/>
                <w:color w:val="000000"/>
                <w:sz w:val="20"/>
                <w:szCs w:val="20"/>
              </w:rPr>
              <w:t>70.14</w:t>
            </w:r>
            <w:r>
              <w:rPr>
                <w:rFonts w:ascii="Arial" w:hAnsi="Arial"/>
                <w:color w:val="000000"/>
                <w:sz w:val="20"/>
                <w:szCs w:val="20"/>
              </w:rPr>
              <w:t>±0.11</w:t>
            </w:r>
            <w:r>
              <w:rPr>
                <w:rFonts w:ascii="Arial" w:hAnsi="Arial"/>
                <w:color w:val="000000"/>
                <w:sz w:val="20"/>
                <w:szCs w:val="20"/>
                <w:vertAlign w:val="superscript"/>
              </w:rPr>
              <w:t>c</w:t>
            </w:r>
          </w:p>
        </w:tc>
        <w:tc>
          <w:tcPr>
            <w:tcW w:w="1492" w:type="dxa"/>
          </w:tcPr>
          <w:p w14:paraId="4653E7EE" w14:textId="77777777" w:rsidR="009A692A" w:rsidRDefault="002A3522">
            <w:pPr>
              <w:widowControl w:val="0"/>
              <w:spacing w:line="480" w:lineRule="auto"/>
              <w:jc w:val="both"/>
              <w:rPr>
                <w:rFonts w:hint="eastAsia"/>
              </w:rPr>
            </w:pPr>
            <w:r>
              <w:rPr>
                <w:rFonts w:ascii="Arial" w:hAnsi="Arial"/>
                <w:color w:val="000000"/>
                <w:sz w:val="20"/>
                <w:szCs w:val="20"/>
              </w:rPr>
              <w:t>7.9</w:t>
            </w:r>
            <w:r>
              <w:rPr>
                <w:rFonts w:ascii="Arial" w:hAnsi="Arial"/>
                <w:bCs/>
                <w:color w:val="000000"/>
                <w:sz w:val="20"/>
                <w:szCs w:val="20"/>
              </w:rPr>
              <w:t>2</w:t>
            </w:r>
            <w:r>
              <w:rPr>
                <w:rFonts w:ascii="Arial" w:hAnsi="Arial"/>
                <w:color w:val="000000"/>
                <w:sz w:val="20"/>
                <w:szCs w:val="20"/>
              </w:rPr>
              <w:t>±0.07</w:t>
            </w:r>
            <w:r>
              <w:rPr>
                <w:rFonts w:ascii="Arial" w:hAnsi="Arial"/>
                <w:color w:val="000000"/>
                <w:sz w:val="20"/>
                <w:szCs w:val="20"/>
                <w:vertAlign w:val="superscript"/>
              </w:rPr>
              <w:t>b</w:t>
            </w:r>
          </w:p>
        </w:tc>
        <w:tc>
          <w:tcPr>
            <w:tcW w:w="1413" w:type="dxa"/>
          </w:tcPr>
          <w:p w14:paraId="1BF55F6B" w14:textId="77777777" w:rsidR="009A692A" w:rsidRDefault="002A3522">
            <w:pPr>
              <w:widowControl w:val="0"/>
              <w:spacing w:line="480" w:lineRule="auto"/>
              <w:jc w:val="both"/>
              <w:rPr>
                <w:rFonts w:hint="eastAsia"/>
              </w:rPr>
            </w:pPr>
            <w:r>
              <w:rPr>
                <w:rFonts w:ascii="Arial" w:hAnsi="Arial"/>
                <w:color w:val="000000"/>
                <w:sz w:val="20"/>
                <w:szCs w:val="20"/>
              </w:rPr>
              <w:t>10.01±0.05</w:t>
            </w:r>
            <w:r>
              <w:rPr>
                <w:rFonts w:ascii="Arial" w:hAnsi="Arial"/>
                <w:color w:val="000000"/>
                <w:sz w:val="20"/>
                <w:szCs w:val="20"/>
                <w:vertAlign w:val="superscript"/>
              </w:rPr>
              <w:t>c</w:t>
            </w:r>
          </w:p>
        </w:tc>
        <w:tc>
          <w:tcPr>
            <w:tcW w:w="1428" w:type="dxa"/>
          </w:tcPr>
          <w:p w14:paraId="2F5A4A10" w14:textId="77777777" w:rsidR="009A692A" w:rsidRDefault="002A3522">
            <w:pPr>
              <w:widowControl w:val="0"/>
              <w:spacing w:line="480" w:lineRule="auto"/>
              <w:jc w:val="both"/>
              <w:rPr>
                <w:rFonts w:hint="eastAsia"/>
              </w:rPr>
            </w:pPr>
            <w:r>
              <w:rPr>
                <w:rFonts w:ascii="Arial" w:hAnsi="Arial"/>
                <w:color w:val="000000"/>
                <w:sz w:val="20"/>
                <w:szCs w:val="20"/>
              </w:rPr>
              <w:t>1.01±0.01</w:t>
            </w:r>
            <w:r>
              <w:rPr>
                <w:rFonts w:ascii="Arial" w:hAnsi="Arial"/>
                <w:color w:val="000000"/>
                <w:sz w:val="20"/>
                <w:szCs w:val="20"/>
                <w:vertAlign w:val="superscript"/>
              </w:rPr>
              <w:t>b</w:t>
            </w:r>
          </w:p>
        </w:tc>
        <w:tc>
          <w:tcPr>
            <w:tcW w:w="1227" w:type="dxa"/>
          </w:tcPr>
          <w:p w14:paraId="35D81883" w14:textId="77777777" w:rsidR="009A692A" w:rsidRDefault="002A3522">
            <w:pPr>
              <w:widowControl w:val="0"/>
              <w:spacing w:line="480" w:lineRule="auto"/>
              <w:jc w:val="both"/>
              <w:rPr>
                <w:rFonts w:hint="eastAsia"/>
              </w:rPr>
            </w:pPr>
            <w:r>
              <w:rPr>
                <w:rFonts w:ascii="Arial" w:hAnsi="Arial"/>
                <w:color w:val="000000"/>
                <w:sz w:val="20"/>
                <w:szCs w:val="20"/>
              </w:rPr>
              <w:t>5.74±0.03</w:t>
            </w:r>
            <w:r>
              <w:rPr>
                <w:rFonts w:ascii="Arial" w:hAnsi="Arial"/>
                <w:color w:val="000000"/>
                <w:sz w:val="20"/>
                <w:szCs w:val="20"/>
                <w:vertAlign w:val="superscript"/>
              </w:rPr>
              <w:t>d</w:t>
            </w:r>
          </w:p>
        </w:tc>
        <w:tc>
          <w:tcPr>
            <w:tcW w:w="1360" w:type="dxa"/>
          </w:tcPr>
          <w:p w14:paraId="3E31251E" w14:textId="77777777" w:rsidR="009A692A" w:rsidRDefault="002A3522">
            <w:pPr>
              <w:widowControl w:val="0"/>
              <w:spacing w:line="480" w:lineRule="auto"/>
              <w:jc w:val="both"/>
              <w:rPr>
                <w:rFonts w:hint="eastAsia"/>
              </w:rPr>
            </w:pPr>
            <w:r>
              <w:rPr>
                <w:rFonts w:ascii="Arial" w:hAnsi="Arial"/>
                <w:color w:val="000000"/>
                <w:sz w:val="20"/>
                <w:szCs w:val="20"/>
              </w:rPr>
              <w:t>5.18±0.04</w:t>
            </w:r>
            <w:r>
              <w:rPr>
                <w:rFonts w:ascii="Arial" w:hAnsi="Arial"/>
                <w:color w:val="000000"/>
                <w:sz w:val="20"/>
                <w:szCs w:val="20"/>
                <w:vertAlign w:val="superscript"/>
              </w:rPr>
              <w:t>d</w:t>
            </w:r>
          </w:p>
        </w:tc>
        <w:tc>
          <w:tcPr>
            <w:tcW w:w="1605" w:type="dxa"/>
          </w:tcPr>
          <w:p w14:paraId="7E69CD55" w14:textId="77777777" w:rsidR="009A692A" w:rsidRDefault="002A3522">
            <w:pPr>
              <w:widowControl w:val="0"/>
              <w:spacing w:line="480" w:lineRule="auto"/>
              <w:jc w:val="both"/>
              <w:rPr>
                <w:rFonts w:hint="eastAsia"/>
              </w:rPr>
            </w:pPr>
            <w:r>
              <w:rPr>
                <w:rFonts w:ascii="Arial" w:hAnsi="Arial"/>
                <w:color w:val="000000"/>
                <w:sz w:val="20"/>
                <w:szCs w:val="20"/>
              </w:rPr>
              <w:t>40</w:t>
            </w:r>
            <w:r>
              <w:rPr>
                <w:rFonts w:ascii="Arial" w:hAnsi="Arial"/>
                <w:bCs/>
                <w:color w:val="000000"/>
                <w:sz w:val="20"/>
                <w:szCs w:val="20"/>
              </w:rPr>
              <w:t>2</w:t>
            </w:r>
            <w:r>
              <w:rPr>
                <w:rFonts w:ascii="Arial" w:hAnsi="Arial"/>
                <w:color w:val="000000"/>
                <w:sz w:val="20"/>
                <w:szCs w:val="20"/>
              </w:rPr>
              <w:t>±0.44</w:t>
            </w:r>
            <w:r>
              <w:rPr>
                <w:rFonts w:ascii="Arial" w:hAnsi="Arial"/>
                <w:color w:val="000000"/>
                <w:sz w:val="20"/>
                <w:szCs w:val="20"/>
                <w:vertAlign w:val="superscript"/>
              </w:rPr>
              <w:t>b</w:t>
            </w:r>
          </w:p>
        </w:tc>
      </w:tr>
      <w:tr w:rsidR="009A692A" w14:paraId="0E17EC40" w14:textId="77777777">
        <w:trPr>
          <w:trHeight w:val="499"/>
        </w:trPr>
        <w:tc>
          <w:tcPr>
            <w:tcW w:w="799" w:type="dxa"/>
          </w:tcPr>
          <w:p w14:paraId="130B562C" w14:textId="77777777" w:rsidR="009A692A" w:rsidRDefault="002A3522">
            <w:pPr>
              <w:widowControl w:val="0"/>
              <w:spacing w:line="480" w:lineRule="auto"/>
              <w:rPr>
                <w:rFonts w:hint="eastAsia"/>
              </w:rPr>
            </w:pPr>
            <w:r>
              <w:rPr>
                <w:rFonts w:ascii="Arial" w:hAnsi="Arial"/>
                <w:color w:val="000000"/>
                <w:sz w:val="20"/>
                <w:szCs w:val="20"/>
              </w:rPr>
              <w:t>E</w:t>
            </w:r>
          </w:p>
        </w:tc>
        <w:tc>
          <w:tcPr>
            <w:tcW w:w="1748" w:type="dxa"/>
          </w:tcPr>
          <w:p w14:paraId="34F59DC4" w14:textId="77777777" w:rsidR="009A692A" w:rsidRDefault="002A3522">
            <w:pPr>
              <w:widowControl w:val="0"/>
              <w:spacing w:line="480" w:lineRule="auto"/>
              <w:jc w:val="both"/>
              <w:rPr>
                <w:rFonts w:hint="eastAsia"/>
              </w:rPr>
            </w:pPr>
            <w:r>
              <w:rPr>
                <w:rFonts w:ascii="Arial" w:hAnsi="Arial"/>
                <w:bCs/>
                <w:color w:val="000000"/>
                <w:sz w:val="20"/>
                <w:szCs w:val="20"/>
              </w:rPr>
              <w:t>74.67</w:t>
            </w:r>
            <w:r>
              <w:rPr>
                <w:rFonts w:ascii="Arial" w:hAnsi="Arial"/>
                <w:color w:val="000000"/>
                <w:sz w:val="20"/>
                <w:szCs w:val="20"/>
              </w:rPr>
              <w:t>±0.</w:t>
            </w:r>
            <w:r>
              <w:rPr>
                <w:rFonts w:ascii="Arial" w:hAnsi="Arial"/>
                <w:bCs/>
                <w:color w:val="000000"/>
                <w:sz w:val="20"/>
                <w:szCs w:val="20"/>
              </w:rPr>
              <w:t xml:space="preserve"> 42</w:t>
            </w:r>
            <w:r>
              <w:rPr>
                <w:rFonts w:ascii="Arial" w:hAnsi="Arial"/>
                <w:bCs/>
                <w:color w:val="000000"/>
                <w:sz w:val="20"/>
                <w:szCs w:val="20"/>
                <w:vertAlign w:val="superscript"/>
              </w:rPr>
              <w:t>e</w:t>
            </w:r>
          </w:p>
        </w:tc>
        <w:tc>
          <w:tcPr>
            <w:tcW w:w="1492" w:type="dxa"/>
          </w:tcPr>
          <w:p w14:paraId="4DB2427E" w14:textId="77777777" w:rsidR="009A692A" w:rsidRDefault="002A3522">
            <w:pPr>
              <w:widowControl w:val="0"/>
              <w:spacing w:line="480" w:lineRule="auto"/>
              <w:jc w:val="both"/>
              <w:rPr>
                <w:rFonts w:hint="eastAsia"/>
              </w:rPr>
            </w:pPr>
            <w:r>
              <w:rPr>
                <w:rFonts w:ascii="Arial" w:hAnsi="Arial"/>
                <w:color w:val="000000"/>
                <w:sz w:val="20"/>
                <w:szCs w:val="20"/>
              </w:rPr>
              <w:t>8.00±0.01</w:t>
            </w:r>
            <w:r>
              <w:rPr>
                <w:rFonts w:ascii="Arial" w:hAnsi="Arial"/>
                <w:color w:val="000000"/>
                <w:sz w:val="20"/>
                <w:szCs w:val="20"/>
                <w:vertAlign w:val="superscript"/>
              </w:rPr>
              <w:t>b</w:t>
            </w:r>
          </w:p>
        </w:tc>
        <w:tc>
          <w:tcPr>
            <w:tcW w:w="1413" w:type="dxa"/>
          </w:tcPr>
          <w:p w14:paraId="4AADB0E4" w14:textId="77777777" w:rsidR="009A692A" w:rsidRDefault="002A3522">
            <w:pPr>
              <w:widowControl w:val="0"/>
              <w:spacing w:line="480" w:lineRule="auto"/>
              <w:jc w:val="both"/>
              <w:rPr>
                <w:rFonts w:hint="eastAsia"/>
              </w:rPr>
            </w:pPr>
            <w:r>
              <w:rPr>
                <w:rFonts w:ascii="Arial" w:hAnsi="Arial"/>
                <w:color w:val="000000"/>
                <w:sz w:val="20"/>
                <w:szCs w:val="20"/>
              </w:rPr>
              <w:t>8.</w:t>
            </w:r>
            <w:r>
              <w:rPr>
                <w:rFonts w:ascii="Arial" w:hAnsi="Arial"/>
                <w:bCs/>
                <w:color w:val="000000"/>
                <w:sz w:val="20"/>
                <w:szCs w:val="20"/>
              </w:rPr>
              <w:t xml:space="preserve"> 20</w:t>
            </w:r>
            <w:r>
              <w:rPr>
                <w:rFonts w:ascii="Arial" w:hAnsi="Arial"/>
                <w:color w:val="000000"/>
                <w:sz w:val="20"/>
                <w:szCs w:val="20"/>
              </w:rPr>
              <w:t>±0.16</w:t>
            </w:r>
            <w:r>
              <w:rPr>
                <w:rFonts w:ascii="Arial" w:hAnsi="Arial"/>
                <w:color w:val="000000"/>
                <w:sz w:val="20"/>
                <w:szCs w:val="20"/>
                <w:vertAlign w:val="superscript"/>
              </w:rPr>
              <w:t>a</w:t>
            </w:r>
          </w:p>
        </w:tc>
        <w:tc>
          <w:tcPr>
            <w:tcW w:w="1428" w:type="dxa"/>
          </w:tcPr>
          <w:p w14:paraId="046801DC" w14:textId="77777777" w:rsidR="009A692A" w:rsidRDefault="002A3522">
            <w:pPr>
              <w:widowControl w:val="0"/>
              <w:spacing w:line="480" w:lineRule="auto"/>
              <w:jc w:val="both"/>
              <w:rPr>
                <w:rFonts w:hint="eastAsia"/>
              </w:rPr>
            </w:pPr>
            <w:r>
              <w:rPr>
                <w:rFonts w:ascii="Arial" w:hAnsi="Arial"/>
                <w:color w:val="000000"/>
                <w:sz w:val="20"/>
                <w:szCs w:val="20"/>
              </w:rPr>
              <w:t>1.34±0.01</w:t>
            </w:r>
            <w:r>
              <w:rPr>
                <w:rFonts w:ascii="Arial" w:hAnsi="Arial"/>
                <w:color w:val="000000"/>
                <w:sz w:val="20"/>
                <w:szCs w:val="20"/>
                <w:vertAlign w:val="superscript"/>
              </w:rPr>
              <w:t>c</w:t>
            </w:r>
          </w:p>
        </w:tc>
        <w:tc>
          <w:tcPr>
            <w:tcW w:w="1227" w:type="dxa"/>
          </w:tcPr>
          <w:p w14:paraId="251BFF09" w14:textId="77777777" w:rsidR="009A692A" w:rsidRDefault="002A3522">
            <w:pPr>
              <w:widowControl w:val="0"/>
              <w:spacing w:line="480" w:lineRule="auto"/>
              <w:jc w:val="both"/>
              <w:rPr>
                <w:rFonts w:hint="eastAsia"/>
              </w:rPr>
            </w:pPr>
            <w:r>
              <w:rPr>
                <w:rFonts w:ascii="Arial" w:hAnsi="Arial"/>
                <w:bCs/>
                <w:color w:val="000000"/>
                <w:sz w:val="20"/>
                <w:szCs w:val="20"/>
              </w:rPr>
              <w:t>2.16</w:t>
            </w:r>
            <w:r>
              <w:rPr>
                <w:rFonts w:ascii="Arial" w:hAnsi="Arial"/>
                <w:color w:val="000000"/>
                <w:sz w:val="20"/>
                <w:szCs w:val="20"/>
              </w:rPr>
              <w:t>±0.01</w:t>
            </w:r>
            <w:r>
              <w:rPr>
                <w:rFonts w:ascii="Arial" w:hAnsi="Arial"/>
                <w:color w:val="000000"/>
                <w:sz w:val="20"/>
                <w:szCs w:val="20"/>
                <w:vertAlign w:val="superscript"/>
              </w:rPr>
              <w:t>a</w:t>
            </w:r>
          </w:p>
        </w:tc>
        <w:tc>
          <w:tcPr>
            <w:tcW w:w="1360" w:type="dxa"/>
          </w:tcPr>
          <w:p w14:paraId="3E13B2E5" w14:textId="77777777" w:rsidR="009A692A" w:rsidRDefault="002A3522">
            <w:pPr>
              <w:widowControl w:val="0"/>
              <w:spacing w:line="480" w:lineRule="auto"/>
              <w:jc w:val="both"/>
              <w:rPr>
                <w:rFonts w:hint="eastAsia"/>
              </w:rPr>
            </w:pPr>
            <w:r>
              <w:rPr>
                <w:rFonts w:ascii="Arial" w:hAnsi="Arial"/>
                <w:color w:val="000000"/>
                <w:sz w:val="20"/>
                <w:szCs w:val="20"/>
              </w:rPr>
              <w:t>5.6</w:t>
            </w:r>
            <w:r>
              <w:rPr>
                <w:rFonts w:ascii="Arial" w:hAnsi="Arial"/>
                <w:bCs/>
                <w:color w:val="000000"/>
                <w:sz w:val="20"/>
                <w:szCs w:val="20"/>
              </w:rPr>
              <w:t>2</w:t>
            </w:r>
            <w:r>
              <w:rPr>
                <w:rFonts w:ascii="Arial" w:hAnsi="Arial"/>
                <w:color w:val="000000"/>
                <w:sz w:val="20"/>
                <w:szCs w:val="20"/>
              </w:rPr>
              <w:t>±0.33</w:t>
            </w:r>
            <w:r>
              <w:rPr>
                <w:rFonts w:ascii="Arial" w:hAnsi="Arial"/>
                <w:color w:val="000000"/>
                <w:sz w:val="20"/>
                <w:szCs w:val="20"/>
                <w:vertAlign w:val="superscript"/>
              </w:rPr>
              <w:t>d</w:t>
            </w:r>
          </w:p>
        </w:tc>
        <w:tc>
          <w:tcPr>
            <w:tcW w:w="1605" w:type="dxa"/>
          </w:tcPr>
          <w:p w14:paraId="14C2BEA1" w14:textId="77777777" w:rsidR="009A692A" w:rsidRDefault="002A3522">
            <w:pPr>
              <w:widowControl w:val="0"/>
              <w:spacing w:line="480" w:lineRule="auto"/>
              <w:jc w:val="both"/>
              <w:rPr>
                <w:rFonts w:hint="eastAsia"/>
              </w:rPr>
            </w:pPr>
            <w:r>
              <w:rPr>
                <w:rFonts w:ascii="Arial" w:hAnsi="Arial"/>
                <w:color w:val="000000"/>
                <w:sz w:val="20"/>
                <w:szCs w:val="20"/>
              </w:rPr>
              <w:t>404.53±1.</w:t>
            </w:r>
            <w:r>
              <w:rPr>
                <w:rFonts w:ascii="Arial" w:hAnsi="Arial"/>
                <w:bCs/>
                <w:color w:val="000000"/>
                <w:sz w:val="20"/>
                <w:szCs w:val="20"/>
              </w:rPr>
              <w:t xml:space="preserve"> 25</w:t>
            </w:r>
            <w:r>
              <w:rPr>
                <w:rFonts w:ascii="Arial" w:hAnsi="Arial"/>
                <w:color w:val="000000"/>
                <w:sz w:val="20"/>
                <w:szCs w:val="20"/>
                <w:vertAlign w:val="superscript"/>
              </w:rPr>
              <w:t>b</w:t>
            </w:r>
          </w:p>
        </w:tc>
      </w:tr>
      <w:tr w:rsidR="009A692A" w14:paraId="4322EEC3" w14:textId="77777777">
        <w:trPr>
          <w:trHeight w:val="499"/>
        </w:trPr>
        <w:tc>
          <w:tcPr>
            <w:tcW w:w="799" w:type="dxa"/>
          </w:tcPr>
          <w:p w14:paraId="46CF0AD9" w14:textId="77777777" w:rsidR="009A692A" w:rsidRDefault="002A3522">
            <w:pPr>
              <w:widowControl w:val="0"/>
              <w:spacing w:line="480" w:lineRule="auto"/>
              <w:rPr>
                <w:rFonts w:hint="eastAsia"/>
              </w:rPr>
            </w:pPr>
            <w:r>
              <w:rPr>
                <w:rFonts w:ascii="Arial" w:hAnsi="Arial"/>
                <w:color w:val="000000"/>
                <w:sz w:val="20"/>
                <w:szCs w:val="20"/>
              </w:rPr>
              <w:t>F</w:t>
            </w:r>
          </w:p>
        </w:tc>
        <w:tc>
          <w:tcPr>
            <w:tcW w:w="1748" w:type="dxa"/>
          </w:tcPr>
          <w:p w14:paraId="0FDFF822" w14:textId="77777777" w:rsidR="009A692A" w:rsidRDefault="002A3522">
            <w:pPr>
              <w:widowControl w:val="0"/>
              <w:spacing w:line="480" w:lineRule="auto"/>
              <w:jc w:val="both"/>
              <w:rPr>
                <w:rFonts w:hint="eastAsia"/>
              </w:rPr>
            </w:pPr>
            <w:r>
              <w:rPr>
                <w:rFonts w:ascii="Arial" w:hAnsi="Arial"/>
                <w:bCs/>
                <w:color w:val="000000"/>
                <w:sz w:val="20"/>
                <w:szCs w:val="20"/>
              </w:rPr>
              <w:t>66.57</w:t>
            </w:r>
            <w:r>
              <w:rPr>
                <w:rFonts w:ascii="Arial" w:hAnsi="Arial"/>
                <w:color w:val="000000"/>
                <w:sz w:val="20"/>
                <w:szCs w:val="20"/>
              </w:rPr>
              <w:t>±0.77</w:t>
            </w:r>
            <w:r>
              <w:rPr>
                <w:rFonts w:ascii="Arial" w:hAnsi="Arial"/>
                <w:color w:val="000000"/>
                <w:sz w:val="20"/>
                <w:szCs w:val="20"/>
                <w:vertAlign w:val="superscript"/>
              </w:rPr>
              <w:t>b</w:t>
            </w:r>
          </w:p>
        </w:tc>
        <w:tc>
          <w:tcPr>
            <w:tcW w:w="1492" w:type="dxa"/>
          </w:tcPr>
          <w:p w14:paraId="1E3EE6E7" w14:textId="77777777" w:rsidR="009A692A" w:rsidRDefault="002A3522">
            <w:pPr>
              <w:widowControl w:val="0"/>
              <w:spacing w:line="480" w:lineRule="auto"/>
              <w:jc w:val="both"/>
              <w:rPr>
                <w:rFonts w:hint="eastAsia"/>
              </w:rPr>
            </w:pPr>
            <w:r>
              <w:rPr>
                <w:rFonts w:ascii="Arial" w:hAnsi="Arial"/>
                <w:color w:val="000000"/>
                <w:sz w:val="20"/>
                <w:szCs w:val="20"/>
              </w:rPr>
              <w:t>9.6</w:t>
            </w:r>
            <w:r>
              <w:rPr>
                <w:rFonts w:ascii="Arial" w:hAnsi="Arial"/>
                <w:bCs/>
                <w:color w:val="000000"/>
                <w:sz w:val="20"/>
                <w:szCs w:val="20"/>
              </w:rPr>
              <w:t>2</w:t>
            </w:r>
            <w:r>
              <w:rPr>
                <w:rFonts w:ascii="Arial" w:hAnsi="Arial"/>
                <w:color w:val="000000"/>
                <w:sz w:val="20"/>
                <w:szCs w:val="20"/>
              </w:rPr>
              <w:t>±0.3</w:t>
            </w:r>
            <w:r>
              <w:rPr>
                <w:rFonts w:ascii="Arial" w:hAnsi="Arial"/>
                <w:bCs/>
                <w:color w:val="000000"/>
                <w:sz w:val="20"/>
                <w:szCs w:val="20"/>
              </w:rPr>
              <w:t>2</w:t>
            </w:r>
            <w:r>
              <w:rPr>
                <w:rFonts w:ascii="Arial" w:hAnsi="Arial"/>
                <w:bCs/>
                <w:color w:val="000000"/>
                <w:sz w:val="20"/>
                <w:szCs w:val="20"/>
                <w:vertAlign w:val="superscript"/>
              </w:rPr>
              <w:t>c</w:t>
            </w:r>
          </w:p>
        </w:tc>
        <w:tc>
          <w:tcPr>
            <w:tcW w:w="1413" w:type="dxa"/>
          </w:tcPr>
          <w:p w14:paraId="6E2CE862" w14:textId="77777777" w:rsidR="009A692A" w:rsidRDefault="002A3522">
            <w:pPr>
              <w:widowControl w:val="0"/>
              <w:spacing w:line="480" w:lineRule="auto"/>
              <w:jc w:val="both"/>
              <w:rPr>
                <w:rFonts w:hint="eastAsia"/>
              </w:rPr>
            </w:pPr>
            <w:r>
              <w:rPr>
                <w:rFonts w:ascii="Arial" w:hAnsi="Arial"/>
                <w:color w:val="000000"/>
                <w:sz w:val="20"/>
                <w:szCs w:val="20"/>
              </w:rPr>
              <w:t>1</w:t>
            </w:r>
            <w:r>
              <w:rPr>
                <w:rFonts w:ascii="Arial" w:hAnsi="Arial"/>
                <w:bCs/>
                <w:color w:val="000000"/>
                <w:sz w:val="20"/>
                <w:szCs w:val="20"/>
              </w:rPr>
              <w:t>2.02</w:t>
            </w:r>
            <w:r>
              <w:rPr>
                <w:rFonts w:ascii="Arial" w:hAnsi="Arial"/>
                <w:color w:val="000000"/>
                <w:sz w:val="20"/>
                <w:szCs w:val="20"/>
              </w:rPr>
              <w:t>±0.04</w:t>
            </w:r>
            <w:r>
              <w:rPr>
                <w:rFonts w:ascii="Arial" w:hAnsi="Arial"/>
                <w:color w:val="000000"/>
                <w:sz w:val="20"/>
                <w:szCs w:val="20"/>
                <w:vertAlign w:val="superscript"/>
              </w:rPr>
              <w:t>d</w:t>
            </w:r>
          </w:p>
        </w:tc>
        <w:tc>
          <w:tcPr>
            <w:tcW w:w="1428" w:type="dxa"/>
          </w:tcPr>
          <w:p w14:paraId="4BDBE7D8" w14:textId="77777777" w:rsidR="009A692A" w:rsidRDefault="002A3522">
            <w:pPr>
              <w:widowControl w:val="0"/>
              <w:spacing w:line="480" w:lineRule="auto"/>
              <w:jc w:val="both"/>
              <w:rPr>
                <w:rFonts w:hint="eastAsia"/>
              </w:rPr>
            </w:pPr>
            <w:r>
              <w:rPr>
                <w:rFonts w:ascii="Arial" w:hAnsi="Arial"/>
                <w:color w:val="000000"/>
                <w:sz w:val="20"/>
                <w:szCs w:val="20"/>
              </w:rPr>
              <w:t>1.77±0.06</w:t>
            </w:r>
            <w:r>
              <w:rPr>
                <w:rFonts w:ascii="Arial" w:hAnsi="Arial"/>
                <w:color w:val="000000"/>
                <w:sz w:val="20"/>
                <w:szCs w:val="20"/>
                <w:vertAlign w:val="superscript"/>
              </w:rPr>
              <w:t>d</w:t>
            </w:r>
          </w:p>
        </w:tc>
        <w:tc>
          <w:tcPr>
            <w:tcW w:w="1227" w:type="dxa"/>
          </w:tcPr>
          <w:p w14:paraId="4E5A2734" w14:textId="77777777" w:rsidR="009A692A" w:rsidRDefault="002A3522">
            <w:pPr>
              <w:widowControl w:val="0"/>
              <w:spacing w:line="480" w:lineRule="auto"/>
              <w:jc w:val="both"/>
              <w:rPr>
                <w:rFonts w:hint="eastAsia"/>
              </w:rPr>
            </w:pPr>
            <w:r>
              <w:rPr>
                <w:rFonts w:ascii="Arial" w:hAnsi="Arial"/>
                <w:color w:val="000000"/>
                <w:sz w:val="20"/>
                <w:szCs w:val="20"/>
              </w:rPr>
              <w:t>3.80±0.09</w:t>
            </w:r>
            <w:r>
              <w:rPr>
                <w:rFonts w:ascii="Arial" w:hAnsi="Arial"/>
                <w:color w:val="000000"/>
                <w:sz w:val="20"/>
                <w:szCs w:val="20"/>
                <w:vertAlign w:val="superscript"/>
              </w:rPr>
              <w:t>b</w:t>
            </w:r>
          </w:p>
        </w:tc>
        <w:tc>
          <w:tcPr>
            <w:tcW w:w="1360" w:type="dxa"/>
          </w:tcPr>
          <w:p w14:paraId="739ED8A5" w14:textId="77777777" w:rsidR="009A692A" w:rsidRDefault="002A3522">
            <w:pPr>
              <w:widowControl w:val="0"/>
              <w:spacing w:line="480" w:lineRule="auto"/>
              <w:jc w:val="both"/>
              <w:rPr>
                <w:rFonts w:hint="eastAsia"/>
              </w:rPr>
            </w:pPr>
            <w:r>
              <w:rPr>
                <w:rFonts w:ascii="Arial" w:hAnsi="Arial"/>
                <w:color w:val="000000"/>
                <w:sz w:val="20"/>
                <w:szCs w:val="20"/>
              </w:rPr>
              <w:t>6.</w:t>
            </w:r>
            <w:r>
              <w:rPr>
                <w:rFonts w:ascii="Arial" w:hAnsi="Arial"/>
                <w:bCs/>
                <w:color w:val="000000"/>
                <w:sz w:val="20"/>
                <w:szCs w:val="20"/>
              </w:rPr>
              <w:t xml:space="preserve"> 22</w:t>
            </w:r>
            <w:r>
              <w:rPr>
                <w:rFonts w:ascii="Arial" w:hAnsi="Arial"/>
                <w:color w:val="000000"/>
                <w:sz w:val="20"/>
                <w:szCs w:val="20"/>
              </w:rPr>
              <w:t>±0.43</w:t>
            </w:r>
            <w:r>
              <w:rPr>
                <w:rFonts w:ascii="Arial" w:hAnsi="Arial"/>
                <w:color w:val="000000"/>
                <w:sz w:val="20"/>
                <w:szCs w:val="20"/>
                <w:vertAlign w:val="superscript"/>
              </w:rPr>
              <w:t>d</w:t>
            </w:r>
          </w:p>
        </w:tc>
        <w:tc>
          <w:tcPr>
            <w:tcW w:w="1605" w:type="dxa"/>
          </w:tcPr>
          <w:p w14:paraId="2FEA1B38" w14:textId="77777777" w:rsidR="009A692A" w:rsidRDefault="002A3522">
            <w:pPr>
              <w:widowControl w:val="0"/>
              <w:spacing w:line="480" w:lineRule="auto"/>
              <w:jc w:val="both"/>
              <w:rPr>
                <w:rFonts w:hint="eastAsia"/>
              </w:rPr>
            </w:pPr>
            <w:r>
              <w:rPr>
                <w:rFonts w:ascii="Arial" w:hAnsi="Arial"/>
                <w:color w:val="000000"/>
                <w:sz w:val="20"/>
                <w:szCs w:val="20"/>
              </w:rPr>
              <w:t>41</w:t>
            </w:r>
            <w:r>
              <w:rPr>
                <w:rFonts w:ascii="Arial" w:hAnsi="Arial"/>
                <w:bCs/>
                <w:color w:val="000000"/>
                <w:sz w:val="20"/>
                <w:szCs w:val="20"/>
              </w:rPr>
              <w:t>2.93</w:t>
            </w:r>
            <w:r>
              <w:rPr>
                <w:rFonts w:ascii="Arial" w:hAnsi="Arial"/>
                <w:color w:val="000000"/>
                <w:sz w:val="20"/>
                <w:szCs w:val="20"/>
              </w:rPr>
              <w:t>±</w:t>
            </w:r>
            <w:r>
              <w:rPr>
                <w:rFonts w:ascii="Arial" w:hAnsi="Arial"/>
                <w:bCs/>
                <w:color w:val="000000"/>
                <w:sz w:val="20"/>
                <w:szCs w:val="20"/>
              </w:rPr>
              <w:t>2.08</w:t>
            </w:r>
            <w:r>
              <w:rPr>
                <w:rFonts w:ascii="Arial" w:hAnsi="Arial"/>
                <w:bCs/>
                <w:color w:val="000000"/>
                <w:sz w:val="20"/>
                <w:szCs w:val="20"/>
                <w:vertAlign w:val="superscript"/>
              </w:rPr>
              <w:t>c</w:t>
            </w:r>
          </w:p>
        </w:tc>
      </w:tr>
      <w:tr w:rsidR="009A692A" w14:paraId="52BE639C" w14:textId="77777777">
        <w:trPr>
          <w:trHeight w:val="53"/>
        </w:trPr>
        <w:tc>
          <w:tcPr>
            <w:tcW w:w="799" w:type="dxa"/>
            <w:tcBorders>
              <w:bottom w:val="single" w:sz="8" w:space="0" w:color="000000"/>
            </w:tcBorders>
          </w:tcPr>
          <w:p w14:paraId="2E2E8A41" w14:textId="77777777" w:rsidR="009A692A" w:rsidRDefault="002A3522">
            <w:pPr>
              <w:widowControl w:val="0"/>
              <w:spacing w:line="480" w:lineRule="auto"/>
              <w:rPr>
                <w:rFonts w:hint="eastAsia"/>
              </w:rPr>
            </w:pPr>
            <w:r>
              <w:rPr>
                <w:rFonts w:ascii="Arial" w:hAnsi="Arial"/>
                <w:color w:val="000000"/>
                <w:sz w:val="20"/>
                <w:szCs w:val="20"/>
              </w:rPr>
              <w:t>G</w:t>
            </w:r>
          </w:p>
        </w:tc>
        <w:tc>
          <w:tcPr>
            <w:tcW w:w="1748" w:type="dxa"/>
            <w:tcBorders>
              <w:bottom w:val="single" w:sz="8" w:space="0" w:color="000000"/>
            </w:tcBorders>
          </w:tcPr>
          <w:p w14:paraId="4A7AAA2B" w14:textId="77777777" w:rsidR="009A692A" w:rsidRDefault="002A3522">
            <w:pPr>
              <w:widowControl w:val="0"/>
              <w:spacing w:line="480" w:lineRule="auto"/>
              <w:jc w:val="both"/>
              <w:rPr>
                <w:rFonts w:hint="eastAsia"/>
              </w:rPr>
            </w:pPr>
            <w:r>
              <w:rPr>
                <w:rFonts w:ascii="Arial" w:hAnsi="Arial"/>
                <w:bCs/>
                <w:color w:val="000000"/>
                <w:sz w:val="20"/>
                <w:szCs w:val="20"/>
              </w:rPr>
              <w:t>61.08</w:t>
            </w:r>
            <w:r>
              <w:rPr>
                <w:rFonts w:ascii="Arial" w:hAnsi="Arial"/>
                <w:color w:val="000000"/>
                <w:sz w:val="20"/>
                <w:szCs w:val="20"/>
              </w:rPr>
              <w:t>±0.14</w:t>
            </w:r>
            <w:r>
              <w:rPr>
                <w:rFonts w:ascii="Arial" w:hAnsi="Arial"/>
                <w:bCs/>
                <w:color w:val="000000"/>
                <w:sz w:val="20"/>
                <w:szCs w:val="20"/>
                <w:vertAlign w:val="superscript"/>
              </w:rPr>
              <w:t>a</w:t>
            </w:r>
          </w:p>
        </w:tc>
        <w:tc>
          <w:tcPr>
            <w:tcW w:w="1492" w:type="dxa"/>
            <w:tcBorders>
              <w:bottom w:val="single" w:sz="8" w:space="0" w:color="000000"/>
            </w:tcBorders>
          </w:tcPr>
          <w:p w14:paraId="5EDF0332" w14:textId="77777777" w:rsidR="009A692A" w:rsidRDefault="002A3522">
            <w:pPr>
              <w:widowControl w:val="0"/>
              <w:spacing w:line="480" w:lineRule="auto"/>
              <w:jc w:val="both"/>
              <w:rPr>
                <w:rFonts w:hint="eastAsia"/>
              </w:rPr>
            </w:pPr>
            <w:r>
              <w:rPr>
                <w:rFonts w:ascii="Arial" w:hAnsi="Arial"/>
                <w:color w:val="000000"/>
                <w:sz w:val="20"/>
                <w:szCs w:val="20"/>
              </w:rPr>
              <w:t>11.</w:t>
            </w:r>
            <w:r>
              <w:rPr>
                <w:rFonts w:ascii="Arial" w:hAnsi="Arial"/>
                <w:bCs/>
                <w:color w:val="000000"/>
                <w:sz w:val="20"/>
                <w:szCs w:val="20"/>
              </w:rPr>
              <w:t>27</w:t>
            </w:r>
            <w:r>
              <w:rPr>
                <w:rFonts w:ascii="Arial" w:hAnsi="Arial"/>
                <w:color w:val="000000"/>
                <w:sz w:val="20"/>
                <w:szCs w:val="20"/>
              </w:rPr>
              <w:t>±0.08</w:t>
            </w:r>
            <w:r>
              <w:rPr>
                <w:rFonts w:ascii="Arial" w:hAnsi="Arial"/>
                <w:color w:val="000000"/>
                <w:sz w:val="20"/>
                <w:szCs w:val="20"/>
                <w:vertAlign w:val="superscript"/>
              </w:rPr>
              <w:t>e</w:t>
            </w:r>
          </w:p>
        </w:tc>
        <w:tc>
          <w:tcPr>
            <w:tcW w:w="1413" w:type="dxa"/>
            <w:tcBorders>
              <w:bottom w:val="single" w:sz="8" w:space="0" w:color="000000"/>
            </w:tcBorders>
          </w:tcPr>
          <w:p w14:paraId="2C8A6B42" w14:textId="77777777" w:rsidR="009A692A" w:rsidRDefault="002A3522">
            <w:pPr>
              <w:widowControl w:val="0"/>
              <w:spacing w:line="480" w:lineRule="auto"/>
              <w:jc w:val="both"/>
              <w:rPr>
                <w:rFonts w:hint="eastAsia"/>
              </w:rPr>
            </w:pPr>
            <w:r>
              <w:rPr>
                <w:rFonts w:ascii="Arial" w:hAnsi="Arial"/>
                <w:color w:val="000000"/>
                <w:sz w:val="20"/>
                <w:szCs w:val="20"/>
              </w:rPr>
              <w:t>13.04±0.03</w:t>
            </w:r>
            <w:r>
              <w:rPr>
                <w:rFonts w:ascii="Arial" w:hAnsi="Arial"/>
                <w:color w:val="000000"/>
                <w:sz w:val="20"/>
                <w:szCs w:val="20"/>
                <w:vertAlign w:val="superscript"/>
              </w:rPr>
              <w:t>d</w:t>
            </w:r>
          </w:p>
        </w:tc>
        <w:tc>
          <w:tcPr>
            <w:tcW w:w="1428" w:type="dxa"/>
            <w:tcBorders>
              <w:bottom w:val="single" w:sz="8" w:space="0" w:color="000000"/>
            </w:tcBorders>
          </w:tcPr>
          <w:p w14:paraId="55419180" w14:textId="77777777" w:rsidR="009A692A" w:rsidRDefault="002A3522">
            <w:pPr>
              <w:widowControl w:val="0"/>
              <w:spacing w:line="480" w:lineRule="auto"/>
              <w:jc w:val="both"/>
              <w:rPr>
                <w:rFonts w:hint="eastAsia"/>
              </w:rPr>
            </w:pPr>
            <w:r>
              <w:rPr>
                <w:rFonts w:ascii="Arial" w:hAnsi="Arial"/>
                <w:bCs/>
                <w:color w:val="000000"/>
                <w:sz w:val="20"/>
                <w:szCs w:val="20"/>
              </w:rPr>
              <w:t>2.99</w:t>
            </w:r>
            <w:r>
              <w:rPr>
                <w:rFonts w:ascii="Arial" w:hAnsi="Arial"/>
                <w:color w:val="000000"/>
                <w:sz w:val="20"/>
                <w:szCs w:val="20"/>
              </w:rPr>
              <w:t>±0.0</w:t>
            </w:r>
            <w:r>
              <w:rPr>
                <w:rFonts w:ascii="Arial" w:hAnsi="Arial"/>
                <w:bCs/>
                <w:color w:val="000000"/>
                <w:sz w:val="20"/>
                <w:szCs w:val="20"/>
              </w:rPr>
              <w:t>2</w:t>
            </w:r>
            <w:r>
              <w:rPr>
                <w:rFonts w:ascii="Arial" w:hAnsi="Arial"/>
                <w:bCs/>
                <w:color w:val="000000"/>
                <w:sz w:val="20"/>
                <w:szCs w:val="20"/>
                <w:vertAlign w:val="superscript"/>
              </w:rPr>
              <w:t>e</w:t>
            </w:r>
          </w:p>
        </w:tc>
        <w:tc>
          <w:tcPr>
            <w:tcW w:w="1227" w:type="dxa"/>
            <w:tcBorders>
              <w:bottom w:val="single" w:sz="8" w:space="0" w:color="000000"/>
            </w:tcBorders>
          </w:tcPr>
          <w:p w14:paraId="4F77C320" w14:textId="77777777" w:rsidR="009A692A" w:rsidRDefault="002A3522">
            <w:pPr>
              <w:widowControl w:val="0"/>
              <w:spacing w:line="480" w:lineRule="auto"/>
              <w:jc w:val="both"/>
              <w:rPr>
                <w:rFonts w:hint="eastAsia"/>
              </w:rPr>
            </w:pPr>
            <w:r>
              <w:rPr>
                <w:rFonts w:ascii="Arial" w:hAnsi="Arial"/>
                <w:color w:val="000000"/>
                <w:sz w:val="20"/>
                <w:szCs w:val="20"/>
              </w:rPr>
              <w:t>5.35±0.33</w:t>
            </w:r>
            <w:r>
              <w:rPr>
                <w:rFonts w:ascii="Arial" w:hAnsi="Arial"/>
                <w:color w:val="000000"/>
                <w:sz w:val="20"/>
                <w:szCs w:val="20"/>
                <w:vertAlign w:val="superscript"/>
              </w:rPr>
              <w:t>e</w:t>
            </w:r>
          </w:p>
        </w:tc>
        <w:tc>
          <w:tcPr>
            <w:tcW w:w="1360" w:type="dxa"/>
            <w:tcBorders>
              <w:bottom w:val="single" w:sz="8" w:space="0" w:color="000000"/>
            </w:tcBorders>
          </w:tcPr>
          <w:p w14:paraId="4085847B" w14:textId="77777777" w:rsidR="009A692A" w:rsidRDefault="002A3522">
            <w:pPr>
              <w:widowControl w:val="0"/>
              <w:spacing w:line="480" w:lineRule="auto"/>
              <w:jc w:val="both"/>
              <w:rPr>
                <w:rFonts w:hint="eastAsia"/>
              </w:rPr>
            </w:pPr>
            <w:r>
              <w:rPr>
                <w:rFonts w:ascii="Arial" w:hAnsi="Arial"/>
                <w:color w:val="000000"/>
                <w:sz w:val="20"/>
                <w:szCs w:val="20"/>
              </w:rPr>
              <w:t>6.</w:t>
            </w:r>
            <w:r>
              <w:rPr>
                <w:rFonts w:ascii="Arial" w:hAnsi="Arial"/>
                <w:bCs/>
                <w:color w:val="000000"/>
                <w:sz w:val="20"/>
                <w:szCs w:val="20"/>
              </w:rPr>
              <w:t xml:space="preserve"> 26</w:t>
            </w:r>
            <w:r>
              <w:rPr>
                <w:rFonts w:ascii="Arial" w:hAnsi="Arial"/>
                <w:color w:val="000000"/>
                <w:sz w:val="20"/>
                <w:szCs w:val="20"/>
              </w:rPr>
              <w:t>±0.</w:t>
            </w:r>
            <w:r>
              <w:rPr>
                <w:rFonts w:ascii="Arial" w:hAnsi="Arial"/>
                <w:bCs/>
                <w:color w:val="000000"/>
                <w:sz w:val="20"/>
                <w:szCs w:val="20"/>
              </w:rPr>
              <w:t xml:space="preserve"> 27</w:t>
            </w:r>
            <w:r>
              <w:rPr>
                <w:rFonts w:ascii="Arial" w:hAnsi="Arial"/>
                <w:bCs/>
                <w:color w:val="000000"/>
                <w:sz w:val="20"/>
                <w:szCs w:val="20"/>
                <w:vertAlign w:val="superscript"/>
              </w:rPr>
              <w:t>d</w:t>
            </w:r>
          </w:p>
        </w:tc>
        <w:tc>
          <w:tcPr>
            <w:tcW w:w="1605" w:type="dxa"/>
            <w:tcBorders>
              <w:bottom w:val="single" w:sz="8" w:space="0" w:color="000000"/>
            </w:tcBorders>
          </w:tcPr>
          <w:p w14:paraId="5D384510" w14:textId="77777777" w:rsidR="009A692A" w:rsidRDefault="002A3522">
            <w:pPr>
              <w:widowControl w:val="0"/>
              <w:spacing w:line="480" w:lineRule="auto"/>
              <w:jc w:val="both"/>
              <w:rPr>
                <w:rFonts w:hint="eastAsia"/>
              </w:rPr>
            </w:pPr>
            <w:r>
              <w:rPr>
                <w:rFonts w:ascii="Arial" w:hAnsi="Arial"/>
                <w:color w:val="000000"/>
                <w:sz w:val="20"/>
                <w:szCs w:val="20"/>
              </w:rPr>
              <w:t>390.80±0.55</w:t>
            </w:r>
            <w:r>
              <w:rPr>
                <w:rFonts w:ascii="Arial" w:hAnsi="Arial"/>
                <w:color w:val="000000"/>
                <w:sz w:val="20"/>
                <w:szCs w:val="20"/>
                <w:vertAlign w:val="superscript"/>
              </w:rPr>
              <w:t>a</w:t>
            </w:r>
          </w:p>
        </w:tc>
      </w:tr>
    </w:tbl>
    <w:p w14:paraId="6D00279E" w14:textId="77777777" w:rsidR="009A692A" w:rsidRDefault="002A3522">
      <w:pPr>
        <w:pStyle w:val="ListParagraph"/>
        <w:tabs>
          <w:tab w:val="left" w:pos="3495"/>
        </w:tabs>
        <w:spacing w:after="0" w:line="480" w:lineRule="auto"/>
        <w:ind w:left="0"/>
        <w:contextualSpacing w:val="0"/>
        <w:jc w:val="both"/>
        <w:rPr>
          <w:rFonts w:ascii="Arial" w:hAnsi="Arial"/>
          <w:sz w:val="20"/>
          <w:szCs w:val="20"/>
        </w:rPr>
      </w:pPr>
      <w:r>
        <w:rPr>
          <w:rFonts w:ascii="Arial" w:hAnsi="Arial" w:cs="Times New Roman"/>
          <w:color w:val="000000"/>
          <w:sz w:val="20"/>
          <w:szCs w:val="20"/>
        </w:rPr>
        <w:t xml:space="preserve">A: 100% potato, B: potato with 10% soybean, C: </w:t>
      </w:r>
      <w:r>
        <w:rPr>
          <w:rFonts w:ascii="Arial" w:hAnsi="Arial" w:cs="Times New Roman"/>
          <w:color w:val="000000"/>
          <w:sz w:val="20"/>
          <w:szCs w:val="20"/>
        </w:rPr>
        <w:t>potato with 15% soybean, D: potato with 10% moringa, E: potato with 15% moringa and 10% soybean, F: potato with 10% moringa and 10% soybean, G: potato with 15% moringa and 15% soybean. Different subscripts within the same column differ significantly (</w:t>
      </w:r>
      <w:r>
        <w:rPr>
          <w:rFonts w:ascii="Arial" w:hAnsi="Arial" w:cs="Times New Roman"/>
          <w:i/>
          <w:iCs/>
          <w:color w:val="000000"/>
          <w:sz w:val="20"/>
          <w:szCs w:val="20"/>
        </w:rPr>
        <w:t>P</w:t>
      </w:r>
      <w:r>
        <w:rPr>
          <w:rFonts w:ascii="Arial" w:hAnsi="Arial" w:cs="Times New Roman"/>
          <w:color w:val="000000"/>
          <w:sz w:val="20"/>
          <w:szCs w:val="20"/>
        </w:rPr>
        <w:t>&lt;.05</w:t>
      </w:r>
      <w:r>
        <w:rPr>
          <w:rFonts w:ascii="Arial" w:hAnsi="Arial" w:cs="Times New Roman"/>
          <w:color w:val="000000"/>
          <w:sz w:val="20"/>
          <w:szCs w:val="20"/>
        </w:rPr>
        <w:t>).</w:t>
      </w:r>
    </w:p>
    <w:p w14:paraId="39FCD155" w14:textId="77777777" w:rsidR="009A692A" w:rsidRDefault="009A692A">
      <w:pPr>
        <w:pStyle w:val="ListParagraph"/>
        <w:tabs>
          <w:tab w:val="left" w:pos="3495"/>
        </w:tabs>
        <w:spacing w:after="0" w:line="240" w:lineRule="auto"/>
        <w:ind w:left="0"/>
        <w:contextualSpacing w:val="0"/>
        <w:jc w:val="both"/>
        <w:rPr>
          <w:rFonts w:ascii="Arial" w:hAnsi="Arial" w:cs="Times New Roman"/>
          <w:color w:val="000000"/>
          <w:sz w:val="20"/>
          <w:szCs w:val="20"/>
        </w:rPr>
      </w:pPr>
    </w:p>
    <w:p w14:paraId="32F78A50" w14:textId="77777777" w:rsidR="009A692A" w:rsidRDefault="002A3522">
      <w:pPr>
        <w:widowControl w:val="0"/>
        <w:spacing w:line="360" w:lineRule="auto"/>
        <w:jc w:val="both"/>
        <w:rPr>
          <w:rFonts w:ascii="Arial" w:hAnsi="Arial"/>
          <w:sz w:val="22"/>
          <w:szCs w:val="22"/>
        </w:rPr>
      </w:pPr>
      <w:r>
        <w:rPr>
          <w:rFonts w:ascii="Arial" w:eastAsia="Calibri" w:hAnsi="Arial"/>
          <w:b/>
          <w:color w:val="000000"/>
          <w:sz w:val="22"/>
          <w:szCs w:val="22"/>
        </w:rPr>
        <w:t>3.3 Mineral content of the processed potato products</w:t>
      </w:r>
    </w:p>
    <w:p w14:paraId="5D81F022" w14:textId="77777777" w:rsidR="009A692A" w:rsidRDefault="002A3522">
      <w:pPr>
        <w:pStyle w:val="ListParagraph"/>
        <w:tabs>
          <w:tab w:val="left" w:pos="3495"/>
        </w:tabs>
        <w:spacing w:after="0" w:line="240" w:lineRule="auto"/>
        <w:ind w:left="0"/>
        <w:contextualSpacing w:val="0"/>
        <w:jc w:val="both"/>
        <w:rPr>
          <w:rFonts w:ascii="Arial" w:hAnsi="Arial"/>
          <w:sz w:val="20"/>
          <w:szCs w:val="20"/>
        </w:rPr>
      </w:pPr>
      <w:r>
        <w:rPr>
          <w:rFonts w:ascii="Arial" w:eastAsia="Times New Roman" w:hAnsi="Arial" w:cs="Times New Roman"/>
          <w:color w:val="000000"/>
          <w:sz w:val="20"/>
          <w:szCs w:val="20"/>
        </w:rPr>
        <w:t xml:space="preserve">The analyses revealed a general increase in mineral content such as iron, calcium and potassium, especially with the inclusion of </w:t>
      </w:r>
      <w:r>
        <w:rPr>
          <w:rFonts w:ascii="Arial" w:eastAsia="Times New Roman" w:hAnsi="Arial" w:cs="Times New Roman"/>
          <w:bCs/>
          <w:color w:val="000000"/>
          <w:sz w:val="20"/>
          <w:szCs w:val="20"/>
        </w:rPr>
        <w:t>moringa alone or the combination moringa and soybean (Table 3).</w:t>
      </w:r>
      <w:r>
        <w:rPr>
          <w:rFonts w:ascii="Arial" w:eastAsia="Times New Roman" w:hAnsi="Arial" w:cs="Times New Roman"/>
          <w:color w:val="000000"/>
          <w:sz w:val="20"/>
          <w:szCs w:val="20"/>
        </w:rPr>
        <w:t xml:space="preserve"> </w:t>
      </w:r>
      <w:r>
        <w:rPr>
          <w:rFonts w:ascii="Arial" w:eastAsia="Times New Roman" w:hAnsi="Arial" w:cs="Times New Roman"/>
          <w:color w:val="000000"/>
          <w:sz w:val="20"/>
          <w:szCs w:val="20"/>
        </w:rPr>
        <w:t>Globally there was a concentration increase of all minerals from sample D to sample G underscoring the mineral enrichment of potato chips with the addition of moringa alone or the mixture of both food additives. In contrast, the sample, lacking moringa and</w:t>
      </w:r>
      <w:r>
        <w:rPr>
          <w:rFonts w:ascii="Arial" w:eastAsia="Times New Roman" w:hAnsi="Arial" w:cs="Times New Roman"/>
          <w:color w:val="000000"/>
          <w:sz w:val="20"/>
          <w:szCs w:val="20"/>
        </w:rPr>
        <w:t xml:space="preserve"> soybean, consistently had the lowest mineral content.</w:t>
      </w:r>
    </w:p>
    <w:p w14:paraId="5CE636B8" w14:textId="77777777" w:rsidR="009A692A" w:rsidRDefault="009A692A">
      <w:pPr>
        <w:pStyle w:val="ListParagraph"/>
        <w:tabs>
          <w:tab w:val="left" w:pos="3495"/>
        </w:tabs>
        <w:spacing w:after="0" w:line="240" w:lineRule="auto"/>
        <w:ind w:left="0"/>
        <w:contextualSpacing w:val="0"/>
        <w:jc w:val="both"/>
        <w:rPr>
          <w:rFonts w:ascii="Arial" w:hAnsi="Arial"/>
          <w:sz w:val="20"/>
          <w:szCs w:val="20"/>
        </w:rPr>
      </w:pPr>
    </w:p>
    <w:p w14:paraId="06CE200B" w14:textId="77777777" w:rsidR="009A692A" w:rsidRDefault="002A3522">
      <w:pPr>
        <w:pStyle w:val="ListParagraph"/>
        <w:tabs>
          <w:tab w:val="left" w:pos="3495"/>
        </w:tabs>
        <w:spacing w:after="0" w:line="480" w:lineRule="auto"/>
        <w:ind w:left="0"/>
        <w:contextualSpacing w:val="0"/>
        <w:jc w:val="both"/>
        <w:rPr>
          <w:b/>
          <w:bCs/>
        </w:rPr>
      </w:pPr>
      <w:r>
        <w:rPr>
          <w:rFonts w:ascii="Arial" w:eastAsia="Times New Roman" w:hAnsi="Arial" w:cs="Times New Roman"/>
          <w:b/>
          <w:bCs/>
          <w:color w:val="000000"/>
          <w:sz w:val="20"/>
          <w:szCs w:val="20"/>
        </w:rPr>
        <w:t>T</w:t>
      </w:r>
      <w:r>
        <w:rPr>
          <w:rFonts w:ascii="Arial" w:hAnsi="Arial" w:cs="Times New Roman"/>
          <w:b/>
          <w:bCs/>
          <w:color w:val="000000"/>
          <w:sz w:val="20"/>
          <w:szCs w:val="20"/>
        </w:rPr>
        <w:t>able 3. Mineral content of the processed potato products</w:t>
      </w:r>
    </w:p>
    <w:tbl>
      <w:tblPr>
        <w:tblW w:w="4500" w:type="pct"/>
        <w:tblInd w:w="55" w:type="dxa"/>
        <w:tblLayout w:type="fixed"/>
        <w:tblCellMar>
          <w:top w:w="55" w:type="dxa"/>
          <w:left w:w="55" w:type="dxa"/>
          <w:bottom w:w="55" w:type="dxa"/>
          <w:right w:w="55" w:type="dxa"/>
        </w:tblCellMar>
        <w:tblLook w:val="04A0" w:firstRow="1" w:lastRow="0" w:firstColumn="1" w:lastColumn="0" w:noHBand="0" w:noVBand="1"/>
      </w:tblPr>
      <w:tblGrid>
        <w:gridCol w:w="978"/>
        <w:gridCol w:w="1945"/>
        <w:gridCol w:w="1952"/>
        <w:gridCol w:w="1945"/>
        <w:gridCol w:w="1953"/>
      </w:tblGrid>
      <w:tr w:rsidR="009A692A" w14:paraId="33EB993F" w14:textId="77777777">
        <w:tc>
          <w:tcPr>
            <w:tcW w:w="967" w:type="dxa"/>
            <w:tcBorders>
              <w:top w:val="single" w:sz="4" w:space="0" w:color="000000"/>
              <w:left w:val="single" w:sz="4" w:space="0" w:color="000000"/>
              <w:bottom w:val="single" w:sz="4" w:space="0" w:color="000000"/>
            </w:tcBorders>
          </w:tcPr>
          <w:p w14:paraId="2CAFE864" w14:textId="77777777" w:rsidR="009A692A" w:rsidRDefault="002A3522">
            <w:pPr>
              <w:widowControl w:val="0"/>
              <w:spacing w:line="480" w:lineRule="auto"/>
              <w:jc w:val="center"/>
              <w:rPr>
                <w:rFonts w:hint="eastAsia"/>
              </w:rPr>
            </w:pPr>
            <w:r>
              <w:rPr>
                <w:rFonts w:ascii="Arial" w:eastAsia="Calibri" w:hAnsi="Arial"/>
                <w:color w:val="000000"/>
                <w:sz w:val="20"/>
                <w:szCs w:val="20"/>
              </w:rPr>
              <w:lastRenderedPageBreak/>
              <w:t>Sample</w:t>
            </w:r>
          </w:p>
        </w:tc>
        <w:tc>
          <w:tcPr>
            <w:tcW w:w="1923" w:type="dxa"/>
            <w:tcBorders>
              <w:top w:val="single" w:sz="4" w:space="0" w:color="000000"/>
              <w:left w:val="single" w:sz="4" w:space="0" w:color="000000"/>
              <w:bottom w:val="single" w:sz="4" w:space="0" w:color="000000"/>
            </w:tcBorders>
          </w:tcPr>
          <w:p w14:paraId="7373061D" w14:textId="77777777" w:rsidR="009A692A" w:rsidRDefault="002A3522">
            <w:pPr>
              <w:widowControl w:val="0"/>
              <w:spacing w:line="480" w:lineRule="auto"/>
              <w:jc w:val="center"/>
              <w:rPr>
                <w:rFonts w:hint="eastAsia"/>
              </w:rPr>
            </w:pPr>
            <w:r>
              <w:rPr>
                <w:rFonts w:ascii="Arial" w:eastAsia="Calibri" w:hAnsi="Arial"/>
                <w:color w:val="000000"/>
                <w:sz w:val="20"/>
                <w:szCs w:val="20"/>
              </w:rPr>
              <w:t>Fe (mg/100g)</w:t>
            </w:r>
          </w:p>
        </w:tc>
        <w:tc>
          <w:tcPr>
            <w:tcW w:w="1930" w:type="dxa"/>
            <w:tcBorders>
              <w:top w:val="single" w:sz="4" w:space="0" w:color="000000"/>
              <w:left w:val="single" w:sz="4" w:space="0" w:color="000000"/>
              <w:bottom w:val="single" w:sz="4" w:space="0" w:color="000000"/>
            </w:tcBorders>
          </w:tcPr>
          <w:p w14:paraId="1EBE72CF" w14:textId="77777777" w:rsidR="009A692A" w:rsidRDefault="002A3522">
            <w:pPr>
              <w:widowControl w:val="0"/>
              <w:spacing w:line="480" w:lineRule="auto"/>
              <w:jc w:val="center"/>
              <w:rPr>
                <w:rFonts w:hint="eastAsia"/>
              </w:rPr>
            </w:pPr>
            <w:r>
              <w:rPr>
                <w:rFonts w:ascii="Arial" w:eastAsia="Calibri" w:hAnsi="Arial"/>
                <w:color w:val="000000"/>
                <w:sz w:val="20"/>
                <w:szCs w:val="20"/>
              </w:rPr>
              <w:t>Zn (mg/100g)</w:t>
            </w:r>
          </w:p>
        </w:tc>
        <w:tc>
          <w:tcPr>
            <w:tcW w:w="1923" w:type="dxa"/>
            <w:tcBorders>
              <w:top w:val="single" w:sz="4" w:space="0" w:color="000000"/>
              <w:left w:val="single" w:sz="4" w:space="0" w:color="000000"/>
              <w:bottom w:val="single" w:sz="4" w:space="0" w:color="000000"/>
            </w:tcBorders>
          </w:tcPr>
          <w:p w14:paraId="0B4734D0" w14:textId="77777777" w:rsidR="009A692A" w:rsidRDefault="002A3522">
            <w:pPr>
              <w:widowControl w:val="0"/>
              <w:spacing w:line="480" w:lineRule="auto"/>
              <w:jc w:val="center"/>
              <w:rPr>
                <w:rFonts w:hint="eastAsia"/>
              </w:rPr>
            </w:pPr>
            <w:r>
              <w:rPr>
                <w:rFonts w:ascii="Arial" w:eastAsia="Calibri" w:hAnsi="Arial"/>
                <w:color w:val="000000"/>
                <w:sz w:val="20"/>
                <w:szCs w:val="20"/>
              </w:rPr>
              <w:t>Ca  (mg/100g)</w:t>
            </w:r>
          </w:p>
        </w:tc>
        <w:tc>
          <w:tcPr>
            <w:tcW w:w="1931" w:type="dxa"/>
            <w:tcBorders>
              <w:top w:val="single" w:sz="4" w:space="0" w:color="000000"/>
              <w:left w:val="single" w:sz="4" w:space="0" w:color="000000"/>
              <w:bottom w:val="single" w:sz="4" w:space="0" w:color="000000"/>
              <w:right w:val="single" w:sz="4" w:space="0" w:color="000000"/>
            </w:tcBorders>
          </w:tcPr>
          <w:p w14:paraId="45C1B939" w14:textId="77777777" w:rsidR="009A692A" w:rsidRDefault="002A3522">
            <w:pPr>
              <w:widowControl w:val="0"/>
              <w:spacing w:line="480" w:lineRule="auto"/>
              <w:jc w:val="center"/>
              <w:rPr>
                <w:rFonts w:hint="eastAsia"/>
              </w:rPr>
            </w:pPr>
            <w:r>
              <w:rPr>
                <w:rFonts w:ascii="Arial" w:eastAsia="Calibri" w:hAnsi="Arial"/>
                <w:color w:val="000000"/>
                <w:sz w:val="20"/>
                <w:szCs w:val="20"/>
              </w:rPr>
              <w:t>K  (mg/100g)</w:t>
            </w:r>
          </w:p>
        </w:tc>
      </w:tr>
      <w:tr w:rsidR="009A692A" w14:paraId="174C1681" w14:textId="77777777">
        <w:tc>
          <w:tcPr>
            <w:tcW w:w="967" w:type="dxa"/>
            <w:tcBorders>
              <w:left w:val="single" w:sz="4" w:space="0" w:color="000000"/>
              <w:bottom w:val="single" w:sz="4" w:space="0" w:color="000000"/>
            </w:tcBorders>
          </w:tcPr>
          <w:p w14:paraId="7062E20C" w14:textId="77777777" w:rsidR="009A692A" w:rsidRDefault="002A3522">
            <w:pPr>
              <w:widowControl w:val="0"/>
              <w:tabs>
                <w:tab w:val="left" w:pos="0"/>
              </w:tabs>
              <w:spacing w:line="480" w:lineRule="auto"/>
              <w:jc w:val="both"/>
              <w:rPr>
                <w:rFonts w:hint="eastAsia"/>
              </w:rPr>
            </w:pPr>
            <w:r>
              <w:rPr>
                <w:rFonts w:ascii="Arial" w:eastAsia="Calibri" w:hAnsi="Arial"/>
                <w:bCs/>
                <w:color w:val="000000"/>
                <w:sz w:val="20"/>
                <w:szCs w:val="20"/>
              </w:rPr>
              <w:t>A</w:t>
            </w:r>
          </w:p>
        </w:tc>
        <w:tc>
          <w:tcPr>
            <w:tcW w:w="1923" w:type="dxa"/>
            <w:tcBorders>
              <w:left w:val="single" w:sz="4" w:space="0" w:color="000000"/>
              <w:bottom w:val="single" w:sz="4" w:space="0" w:color="000000"/>
            </w:tcBorders>
          </w:tcPr>
          <w:p w14:paraId="1C86D03C" w14:textId="77777777" w:rsidR="009A692A" w:rsidRDefault="002A3522">
            <w:pPr>
              <w:widowControl w:val="0"/>
              <w:spacing w:line="480" w:lineRule="auto"/>
              <w:jc w:val="both"/>
              <w:rPr>
                <w:rFonts w:hint="eastAsia"/>
              </w:rPr>
            </w:pPr>
            <w:r>
              <w:rPr>
                <w:rFonts w:ascii="Arial" w:eastAsia="Calibri" w:hAnsi="Arial"/>
                <w:color w:val="000000"/>
                <w:sz w:val="20"/>
                <w:szCs w:val="20"/>
              </w:rPr>
              <w:t>4.95±0.04</w:t>
            </w:r>
            <w:r>
              <w:rPr>
                <w:rFonts w:ascii="Arial" w:eastAsia="Calibri" w:hAnsi="Arial"/>
                <w:color w:val="000000"/>
                <w:sz w:val="20"/>
                <w:szCs w:val="20"/>
                <w:vertAlign w:val="superscript"/>
              </w:rPr>
              <w:t>b</w:t>
            </w:r>
          </w:p>
        </w:tc>
        <w:tc>
          <w:tcPr>
            <w:tcW w:w="1930" w:type="dxa"/>
            <w:tcBorders>
              <w:left w:val="single" w:sz="4" w:space="0" w:color="000000"/>
              <w:bottom w:val="single" w:sz="4" w:space="0" w:color="000000"/>
            </w:tcBorders>
          </w:tcPr>
          <w:p w14:paraId="7AEF5A98" w14:textId="77777777" w:rsidR="009A692A" w:rsidRDefault="002A3522">
            <w:pPr>
              <w:widowControl w:val="0"/>
              <w:spacing w:line="480" w:lineRule="auto"/>
              <w:rPr>
                <w:rFonts w:hint="eastAsia"/>
              </w:rPr>
            </w:pPr>
            <w:r>
              <w:rPr>
                <w:rFonts w:ascii="Arial" w:eastAsia="Calibri" w:hAnsi="Arial"/>
                <w:color w:val="000000"/>
                <w:sz w:val="20"/>
                <w:szCs w:val="20"/>
              </w:rPr>
              <w:t>1.66±0.10</w:t>
            </w:r>
            <w:r>
              <w:rPr>
                <w:rFonts w:ascii="Arial" w:eastAsia="Calibri" w:hAnsi="Arial"/>
                <w:color w:val="000000"/>
                <w:sz w:val="20"/>
                <w:szCs w:val="20"/>
                <w:vertAlign w:val="superscript"/>
              </w:rPr>
              <w:t>d</w:t>
            </w:r>
          </w:p>
        </w:tc>
        <w:tc>
          <w:tcPr>
            <w:tcW w:w="1923" w:type="dxa"/>
            <w:tcBorders>
              <w:left w:val="single" w:sz="4" w:space="0" w:color="000000"/>
              <w:bottom w:val="single" w:sz="4" w:space="0" w:color="000000"/>
            </w:tcBorders>
          </w:tcPr>
          <w:p w14:paraId="4B738064" w14:textId="77777777" w:rsidR="009A692A" w:rsidRDefault="002A3522">
            <w:pPr>
              <w:widowControl w:val="0"/>
              <w:spacing w:line="480" w:lineRule="auto"/>
              <w:jc w:val="both"/>
              <w:rPr>
                <w:rFonts w:hint="eastAsia"/>
              </w:rPr>
            </w:pPr>
            <w:r>
              <w:rPr>
                <w:rFonts w:ascii="Arial" w:eastAsia="Calibri" w:hAnsi="Arial"/>
                <w:color w:val="000000"/>
                <w:sz w:val="20"/>
                <w:szCs w:val="20"/>
              </w:rPr>
              <w:t>19.13±0.36</w:t>
            </w:r>
            <w:r>
              <w:rPr>
                <w:rFonts w:ascii="Arial" w:eastAsia="Calibri" w:hAnsi="Arial"/>
                <w:color w:val="000000"/>
                <w:sz w:val="20"/>
                <w:szCs w:val="20"/>
                <w:vertAlign w:val="superscript"/>
              </w:rPr>
              <w:t>c</w:t>
            </w:r>
          </w:p>
        </w:tc>
        <w:tc>
          <w:tcPr>
            <w:tcW w:w="1931" w:type="dxa"/>
            <w:tcBorders>
              <w:left w:val="single" w:sz="4" w:space="0" w:color="000000"/>
              <w:bottom w:val="single" w:sz="4" w:space="0" w:color="000000"/>
              <w:right w:val="single" w:sz="4" w:space="0" w:color="000000"/>
            </w:tcBorders>
          </w:tcPr>
          <w:p w14:paraId="291149E1" w14:textId="77777777" w:rsidR="009A692A" w:rsidRDefault="002A3522">
            <w:pPr>
              <w:widowControl w:val="0"/>
              <w:spacing w:line="480" w:lineRule="auto"/>
              <w:jc w:val="both"/>
              <w:rPr>
                <w:rFonts w:hint="eastAsia"/>
              </w:rPr>
            </w:pPr>
            <w:r>
              <w:rPr>
                <w:rFonts w:ascii="Arial" w:eastAsia="Calibri" w:hAnsi="Arial"/>
                <w:color w:val="000000"/>
                <w:sz w:val="20"/>
                <w:szCs w:val="20"/>
              </w:rPr>
              <w:t>165.89±0.58</w:t>
            </w:r>
            <w:r>
              <w:rPr>
                <w:rFonts w:ascii="Arial" w:eastAsia="Calibri" w:hAnsi="Arial"/>
                <w:color w:val="000000"/>
                <w:sz w:val="20"/>
                <w:szCs w:val="20"/>
                <w:vertAlign w:val="superscript"/>
              </w:rPr>
              <w:t>a</w:t>
            </w:r>
          </w:p>
        </w:tc>
      </w:tr>
      <w:tr w:rsidR="009A692A" w14:paraId="7468BC8B" w14:textId="77777777">
        <w:tc>
          <w:tcPr>
            <w:tcW w:w="967" w:type="dxa"/>
            <w:tcBorders>
              <w:left w:val="single" w:sz="4" w:space="0" w:color="000000"/>
              <w:bottom w:val="single" w:sz="4" w:space="0" w:color="000000"/>
            </w:tcBorders>
          </w:tcPr>
          <w:p w14:paraId="5D081D91" w14:textId="77777777" w:rsidR="009A692A" w:rsidRDefault="002A3522">
            <w:pPr>
              <w:widowControl w:val="0"/>
              <w:tabs>
                <w:tab w:val="left" w:pos="0"/>
              </w:tabs>
              <w:spacing w:line="480" w:lineRule="auto"/>
              <w:jc w:val="both"/>
              <w:rPr>
                <w:rFonts w:hint="eastAsia"/>
              </w:rPr>
            </w:pPr>
            <w:r>
              <w:rPr>
                <w:rFonts w:ascii="Arial" w:eastAsia="Calibri" w:hAnsi="Arial"/>
                <w:bCs/>
                <w:color w:val="000000"/>
                <w:sz w:val="20"/>
                <w:szCs w:val="20"/>
              </w:rPr>
              <w:t>B</w:t>
            </w:r>
          </w:p>
        </w:tc>
        <w:tc>
          <w:tcPr>
            <w:tcW w:w="1923" w:type="dxa"/>
            <w:tcBorders>
              <w:left w:val="single" w:sz="4" w:space="0" w:color="000000"/>
              <w:bottom w:val="single" w:sz="4" w:space="0" w:color="000000"/>
            </w:tcBorders>
          </w:tcPr>
          <w:p w14:paraId="1B632130" w14:textId="77777777" w:rsidR="009A692A" w:rsidRDefault="002A3522">
            <w:pPr>
              <w:widowControl w:val="0"/>
              <w:spacing w:line="480" w:lineRule="auto"/>
              <w:jc w:val="both"/>
              <w:rPr>
                <w:rFonts w:hint="eastAsia"/>
              </w:rPr>
            </w:pPr>
            <w:r>
              <w:rPr>
                <w:rFonts w:ascii="Arial" w:eastAsia="Calibri" w:hAnsi="Arial"/>
                <w:color w:val="000000"/>
                <w:sz w:val="20"/>
                <w:szCs w:val="20"/>
              </w:rPr>
              <w:t>4.4</w:t>
            </w:r>
            <w:r>
              <w:rPr>
                <w:rFonts w:ascii="Arial" w:eastAsia="Calibri" w:hAnsi="Arial"/>
                <w:bCs/>
                <w:color w:val="000000"/>
                <w:sz w:val="20"/>
                <w:szCs w:val="20"/>
              </w:rPr>
              <w:t>2</w:t>
            </w:r>
            <w:r>
              <w:rPr>
                <w:rFonts w:ascii="Arial" w:eastAsia="Calibri" w:hAnsi="Arial"/>
                <w:color w:val="000000"/>
                <w:sz w:val="20"/>
                <w:szCs w:val="20"/>
              </w:rPr>
              <w:t>±0.19</w:t>
            </w:r>
            <w:r>
              <w:rPr>
                <w:rFonts w:ascii="Arial" w:eastAsia="Calibri" w:hAnsi="Arial"/>
                <w:color w:val="000000"/>
                <w:sz w:val="20"/>
                <w:szCs w:val="20"/>
                <w:vertAlign w:val="superscript"/>
              </w:rPr>
              <w:t>b</w:t>
            </w:r>
          </w:p>
        </w:tc>
        <w:tc>
          <w:tcPr>
            <w:tcW w:w="1930" w:type="dxa"/>
            <w:tcBorders>
              <w:left w:val="single" w:sz="4" w:space="0" w:color="000000"/>
              <w:bottom w:val="single" w:sz="4" w:space="0" w:color="000000"/>
            </w:tcBorders>
          </w:tcPr>
          <w:p w14:paraId="44FCFC4A" w14:textId="77777777" w:rsidR="009A692A" w:rsidRDefault="002A3522">
            <w:pPr>
              <w:widowControl w:val="0"/>
              <w:spacing w:line="480" w:lineRule="auto"/>
              <w:rPr>
                <w:rFonts w:hint="eastAsia"/>
              </w:rPr>
            </w:pPr>
            <w:r>
              <w:rPr>
                <w:rFonts w:ascii="Arial" w:eastAsia="Calibri" w:hAnsi="Arial"/>
                <w:color w:val="000000"/>
                <w:sz w:val="20"/>
                <w:szCs w:val="20"/>
              </w:rPr>
              <w:t>1.23±0.03</w:t>
            </w:r>
            <w:r>
              <w:rPr>
                <w:rFonts w:ascii="Arial" w:eastAsia="Calibri" w:hAnsi="Arial"/>
                <w:color w:val="000000"/>
                <w:sz w:val="20"/>
                <w:szCs w:val="20"/>
                <w:vertAlign w:val="superscript"/>
              </w:rPr>
              <w:t>b</w:t>
            </w:r>
          </w:p>
        </w:tc>
        <w:tc>
          <w:tcPr>
            <w:tcW w:w="1923" w:type="dxa"/>
            <w:tcBorders>
              <w:left w:val="single" w:sz="4" w:space="0" w:color="000000"/>
              <w:bottom w:val="single" w:sz="4" w:space="0" w:color="000000"/>
            </w:tcBorders>
          </w:tcPr>
          <w:p w14:paraId="38677228" w14:textId="77777777" w:rsidR="009A692A" w:rsidRDefault="002A3522">
            <w:pPr>
              <w:widowControl w:val="0"/>
              <w:spacing w:line="480" w:lineRule="auto"/>
              <w:jc w:val="both"/>
              <w:rPr>
                <w:rFonts w:hint="eastAsia"/>
              </w:rPr>
            </w:pPr>
            <w:r>
              <w:rPr>
                <w:rFonts w:ascii="Arial" w:eastAsia="Calibri" w:hAnsi="Arial"/>
                <w:color w:val="000000"/>
                <w:sz w:val="20"/>
                <w:szCs w:val="20"/>
              </w:rPr>
              <w:t>18.48±0.19</w:t>
            </w:r>
            <w:r>
              <w:rPr>
                <w:rFonts w:ascii="Arial" w:eastAsia="Calibri" w:hAnsi="Arial"/>
                <w:color w:val="000000"/>
                <w:sz w:val="20"/>
                <w:szCs w:val="20"/>
                <w:vertAlign w:val="superscript"/>
              </w:rPr>
              <w:t>b</w:t>
            </w:r>
          </w:p>
        </w:tc>
        <w:tc>
          <w:tcPr>
            <w:tcW w:w="1931" w:type="dxa"/>
            <w:tcBorders>
              <w:left w:val="single" w:sz="4" w:space="0" w:color="000000"/>
              <w:bottom w:val="single" w:sz="4" w:space="0" w:color="000000"/>
              <w:right w:val="single" w:sz="4" w:space="0" w:color="000000"/>
            </w:tcBorders>
          </w:tcPr>
          <w:p w14:paraId="7393491C" w14:textId="77777777" w:rsidR="009A692A" w:rsidRDefault="002A3522">
            <w:pPr>
              <w:widowControl w:val="0"/>
              <w:spacing w:line="480" w:lineRule="auto"/>
              <w:jc w:val="both"/>
              <w:rPr>
                <w:rFonts w:hint="eastAsia"/>
              </w:rPr>
            </w:pPr>
            <w:r>
              <w:rPr>
                <w:rFonts w:ascii="Arial" w:eastAsia="Calibri" w:hAnsi="Arial"/>
                <w:color w:val="000000"/>
                <w:sz w:val="20"/>
                <w:szCs w:val="20"/>
              </w:rPr>
              <w:t>168.59±0.07</w:t>
            </w:r>
            <w:r>
              <w:rPr>
                <w:rFonts w:ascii="Arial" w:eastAsia="Calibri" w:hAnsi="Arial"/>
                <w:color w:val="000000"/>
                <w:sz w:val="20"/>
                <w:szCs w:val="20"/>
                <w:vertAlign w:val="superscript"/>
              </w:rPr>
              <w:t>b</w:t>
            </w:r>
          </w:p>
        </w:tc>
      </w:tr>
      <w:tr w:rsidR="009A692A" w14:paraId="08B92C9D" w14:textId="77777777">
        <w:tc>
          <w:tcPr>
            <w:tcW w:w="967" w:type="dxa"/>
            <w:tcBorders>
              <w:left w:val="single" w:sz="4" w:space="0" w:color="000000"/>
              <w:bottom w:val="single" w:sz="4" w:space="0" w:color="000000"/>
            </w:tcBorders>
          </w:tcPr>
          <w:p w14:paraId="7116069F" w14:textId="77777777" w:rsidR="009A692A" w:rsidRDefault="002A3522">
            <w:pPr>
              <w:widowControl w:val="0"/>
              <w:tabs>
                <w:tab w:val="left" w:pos="0"/>
              </w:tabs>
              <w:spacing w:line="480" w:lineRule="auto"/>
              <w:jc w:val="both"/>
              <w:rPr>
                <w:rFonts w:hint="eastAsia"/>
              </w:rPr>
            </w:pPr>
            <w:r>
              <w:rPr>
                <w:rFonts w:ascii="Arial" w:eastAsia="Calibri" w:hAnsi="Arial"/>
                <w:bCs/>
                <w:color w:val="000000"/>
                <w:sz w:val="20"/>
                <w:szCs w:val="20"/>
              </w:rPr>
              <w:t>C</w:t>
            </w:r>
          </w:p>
        </w:tc>
        <w:tc>
          <w:tcPr>
            <w:tcW w:w="1923" w:type="dxa"/>
            <w:tcBorders>
              <w:left w:val="single" w:sz="4" w:space="0" w:color="000000"/>
              <w:bottom w:val="single" w:sz="4" w:space="0" w:color="000000"/>
            </w:tcBorders>
          </w:tcPr>
          <w:p w14:paraId="7508F1C7" w14:textId="77777777" w:rsidR="009A692A" w:rsidRDefault="002A3522">
            <w:pPr>
              <w:widowControl w:val="0"/>
              <w:spacing w:line="480" w:lineRule="auto"/>
              <w:jc w:val="both"/>
              <w:rPr>
                <w:rFonts w:hint="eastAsia"/>
              </w:rPr>
            </w:pPr>
            <w:r>
              <w:rPr>
                <w:rFonts w:ascii="Arial" w:eastAsia="Calibri" w:hAnsi="Arial"/>
                <w:color w:val="000000"/>
                <w:sz w:val="20"/>
                <w:szCs w:val="20"/>
              </w:rPr>
              <w:t>4.08±0.06</w:t>
            </w:r>
            <w:r>
              <w:rPr>
                <w:rFonts w:ascii="Arial" w:eastAsia="Calibri" w:hAnsi="Arial"/>
                <w:color w:val="000000"/>
                <w:sz w:val="20"/>
                <w:szCs w:val="20"/>
                <w:vertAlign w:val="superscript"/>
              </w:rPr>
              <w:t>a</w:t>
            </w:r>
          </w:p>
        </w:tc>
        <w:tc>
          <w:tcPr>
            <w:tcW w:w="1930" w:type="dxa"/>
            <w:tcBorders>
              <w:left w:val="single" w:sz="4" w:space="0" w:color="000000"/>
              <w:bottom w:val="single" w:sz="4" w:space="0" w:color="000000"/>
            </w:tcBorders>
          </w:tcPr>
          <w:p w14:paraId="73304E69" w14:textId="77777777" w:rsidR="009A692A" w:rsidRDefault="002A3522">
            <w:pPr>
              <w:widowControl w:val="0"/>
              <w:spacing w:line="480" w:lineRule="auto"/>
              <w:rPr>
                <w:rFonts w:hint="eastAsia"/>
              </w:rPr>
            </w:pPr>
            <w:r>
              <w:rPr>
                <w:rFonts w:ascii="Arial" w:eastAsia="Calibri" w:hAnsi="Arial"/>
                <w:color w:val="000000"/>
                <w:sz w:val="20"/>
                <w:szCs w:val="20"/>
              </w:rPr>
              <w:t>1.15±0.02</w:t>
            </w:r>
            <w:r>
              <w:rPr>
                <w:rFonts w:ascii="Arial" w:eastAsia="Calibri" w:hAnsi="Arial"/>
                <w:color w:val="000000"/>
                <w:sz w:val="20"/>
                <w:szCs w:val="20"/>
                <w:vertAlign w:val="superscript"/>
              </w:rPr>
              <w:t>a</w:t>
            </w:r>
          </w:p>
        </w:tc>
        <w:tc>
          <w:tcPr>
            <w:tcW w:w="1923" w:type="dxa"/>
            <w:tcBorders>
              <w:left w:val="single" w:sz="4" w:space="0" w:color="000000"/>
              <w:bottom w:val="single" w:sz="4" w:space="0" w:color="000000"/>
            </w:tcBorders>
          </w:tcPr>
          <w:p w14:paraId="1F3CFA5F" w14:textId="77777777" w:rsidR="009A692A" w:rsidRDefault="002A3522">
            <w:pPr>
              <w:widowControl w:val="0"/>
              <w:spacing w:line="480" w:lineRule="auto"/>
              <w:jc w:val="both"/>
              <w:rPr>
                <w:rFonts w:hint="eastAsia"/>
              </w:rPr>
            </w:pPr>
            <w:r>
              <w:rPr>
                <w:rFonts w:ascii="Arial" w:eastAsia="Calibri" w:hAnsi="Arial"/>
                <w:color w:val="000000"/>
                <w:sz w:val="20"/>
                <w:szCs w:val="20"/>
              </w:rPr>
              <w:t>18.03±0.0</w:t>
            </w:r>
            <w:r>
              <w:rPr>
                <w:rFonts w:ascii="Arial" w:eastAsia="Calibri" w:hAnsi="Arial"/>
                <w:bCs/>
                <w:color w:val="000000"/>
                <w:sz w:val="20"/>
                <w:szCs w:val="20"/>
              </w:rPr>
              <w:t>2</w:t>
            </w:r>
            <w:r>
              <w:rPr>
                <w:rFonts w:ascii="Arial" w:eastAsia="Calibri" w:hAnsi="Arial"/>
                <w:bCs/>
                <w:color w:val="000000"/>
                <w:sz w:val="20"/>
                <w:szCs w:val="20"/>
                <w:vertAlign w:val="superscript"/>
              </w:rPr>
              <w:t>a</w:t>
            </w:r>
          </w:p>
        </w:tc>
        <w:tc>
          <w:tcPr>
            <w:tcW w:w="1931" w:type="dxa"/>
            <w:tcBorders>
              <w:left w:val="single" w:sz="4" w:space="0" w:color="000000"/>
              <w:bottom w:val="single" w:sz="4" w:space="0" w:color="000000"/>
              <w:right w:val="single" w:sz="4" w:space="0" w:color="000000"/>
            </w:tcBorders>
          </w:tcPr>
          <w:p w14:paraId="015DDB78" w14:textId="77777777" w:rsidR="009A692A" w:rsidRDefault="002A3522">
            <w:pPr>
              <w:widowControl w:val="0"/>
              <w:spacing w:line="480" w:lineRule="auto"/>
              <w:jc w:val="both"/>
              <w:rPr>
                <w:rFonts w:hint="eastAsia"/>
              </w:rPr>
            </w:pPr>
            <w:r>
              <w:rPr>
                <w:rFonts w:ascii="Arial" w:eastAsia="Calibri" w:hAnsi="Arial"/>
                <w:color w:val="000000"/>
                <w:sz w:val="20"/>
                <w:szCs w:val="20"/>
              </w:rPr>
              <w:t>167.54±0.46</w:t>
            </w:r>
            <w:r>
              <w:rPr>
                <w:rFonts w:ascii="Arial" w:eastAsia="Calibri" w:hAnsi="Arial"/>
                <w:color w:val="000000"/>
                <w:sz w:val="20"/>
                <w:szCs w:val="20"/>
                <w:vertAlign w:val="superscript"/>
              </w:rPr>
              <w:t>b</w:t>
            </w:r>
          </w:p>
        </w:tc>
      </w:tr>
      <w:tr w:rsidR="009A692A" w14:paraId="519ACF0E" w14:textId="77777777">
        <w:tc>
          <w:tcPr>
            <w:tcW w:w="967" w:type="dxa"/>
            <w:tcBorders>
              <w:left w:val="single" w:sz="4" w:space="0" w:color="000000"/>
              <w:bottom w:val="single" w:sz="4" w:space="0" w:color="000000"/>
            </w:tcBorders>
          </w:tcPr>
          <w:p w14:paraId="42F14858" w14:textId="77777777" w:rsidR="009A692A" w:rsidRDefault="002A3522">
            <w:pPr>
              <w:widowControl w:val="0"/>
              <w:tabs>
                <w:tab w:val="left" w:pos="0"/>
              </w:tabs>
              <w:spacing w:line="480" w:lineRule="auto"/>
              <w:jc w:val="both"/>
              <w:rPr>
                <w:rFonts w:hint="eastAsia"/>
              </w:rPr>
            </w:pPr>
            <w:r>
              <w:rPr>
                <w:rFonts w:ascii="Arial" w:eastAsia="Calibri" w:hAnsi="Arial"/>
                <w:bCs/>
                <w:color w:val="000000"/>
                <w:sz w:val="20"/>
                <w:szCs w:val="20"/>
              </w:rPr>
              <w:t>D</w:t>
            </w:r>
          </w:p>
        </w:tc>
        <w:tc>
          <w:tcPr>
            <w:tcW w:w="1923" w:type="dxa"/>
            <w:tcBorders>
              <w:left w:val="single" w:sz="4" w:space="0" w:color="000000"/>
              <w:bottom w:val="single" w:sz="4" w:space="0" w:color="000000"/>
            </w:tcBorders>
          </w:tcPr>
          <w:p w14:paraId="3D713DFC" w14:textId="77777777" w:rsidR="009A692A" w:rsidRDefault="002A3522">
            <w:pPr>
              <w:widowControl w:val="0"/>
              <w:spacing w:line="480" w:lineRule="auto"/>
              <w:jc w:val="both"/>
              <w:rPr>
                <w:rFonts w:hint="eastAsia"/>
              </w:rPr>
            </w:pPr>
            <w:r>
              <w:rPr>
                <w:rFonts w:ascii="Arial" w:eastAsia="Calibri" w:hAnsi="Arial"/>
                <w:color w:val="000000"/>
                <w:sz w:val="20"/>
                <w:szCs w:val="20"/>
              </w:rPr>
              <w:t>5.</w:t>
            </w:r>
            <w:r>
              <w:rPr>
                <w:rFonts w:ascii="Arial" w:eastAsia="Calibri" w:hAnsi="Arial"/>
                <w:bCs/>
                <w:color w:val="000000"/>
                <w:sz w:val="20"/>
                <w:szCs w:val="20"/>
              </w:rPr>
              <w:t xml:space="preserve"> 25</w:t>
            </w:r>
            <w:r>
              <w:rPr>
                <w:rFonts w:ascii="Arial" w:eastAsia="Calibri" w:hAnsi="Arial"/>
                <w:color w:val="000000"/>
                <w:sz w:val="20"/>
                <w:szCs w:val="20"/>
              </w:rPr>
              <w:t>±0.06</w:t>
            </w:r>
            <w:r>
              <w:rPr>
                <w:rFonts w:ascii="Arial" w:eastAsia="Calibri" w:hAnsi="Arial"/>
                <w:color w:val="000000"/>
                <w:sz w:val="20"/>
                <w:szCs w:val="20"/>
                <w:vertAlign w:val="superscript"/>
              </w:rPr>
              <w:t>c</w:t>
            </w:r>
          </w:p>
        </w:tc>
        <w:tc>
          <w:tcPr>
            <w:tcW w:w="1930" w:type="dxa"/>
            <w:tcBorders>
              <w:left w:val="single" w:sz="4" w:space="0" w:color="000000"/>
              <w:bottom w:val="single" w:sz="4" w:space="0" w:color="000000"/>
            </w:tcBorders>
          </w:tcPr>
          <w:p w14:paraId="3C63BED2" w14:textId="77777777" w:rsidR="009A692A" w:rsidRDefault="002A3522">
            <w:pPr>
              <w:widowControl w:val="0"/>
              <w:spacing w:line="480" w:lineRule="auto"/>
              <w:rPr>
                <w:rFonts w:hint="eastAsia"/>
              </w:rPr>
            </w:pPr>
            <w:r>
              <w:rPr>
                <w:rFonts w:ascii="Arial" w:eastAsia="Calibri" w:hAnsi="Arial"/>
                <w:color w:val="000000"/>
                <w:sz w:val="20"/>
                <w:szCs w:val="20"/>
              </w:rPr>
              <w:t>1.62±0.02</w:t>
            </w:r>
            <w:r>
              <w:rPr>
                <w:rFonts w:ascii="Arial" w:eastAsia="Calibri" w:hAnsi="Arial"/>
                <w:color w:val="000000"/>
                <w:sz w:val="20"/>
                <w:szCs w:val="20"/>
                <w:vertAlign w:val="superscript"/>
              </w:rPr>
              <w:t>d</w:t>
            </w:r>
          </w:p>
        </w:tc>
        <w:tc>
          <w:tcPr>
            <w:tcW w:w="1923" w:type="dxa"/>
            <w:tcBorders>
              <w:left w:val="single" w:sz="4" w:space="0" w:color="000000"/>
              <w:bottom w:val="single" w:sz="4" w:space="0" w:color="000000"/>
            </w:tcBorders>
          </w:tcPr>
          <w:p w14:paraId="599C42B3" w14:textId="77777777" w:rsidR="009A692A" w:rsidRDefault="002A3522">
            <w:pPr>
              <w:widowControl w:val="0"/>
              <w:spacing w:line="480" w:lineRule="auto"/>
              <w:jc w:val="both"/>
              <w:rPr>
                <w:rFonts w:hint="eastAsia"/>
              </w:rPr>
            </w:pPr>
            <w:r>
              <w:rPr>
                <w:rFonts w:ascii="Arial" w:eastAsia="Calibri" w:hAnsi="Arial"/>
                <w:bCs/>
                <w:color w:val="000000"/>
                <w:sz w:val="20"/>
                <w:szCs w:val="20"/>
              </w:rPr>
              <w:t>20.5</w:t>
            </w:r>
            <w:r>
              <w:rPr>
                <w:rFonts w:ascii="Arial" w:eastAsia="Calibri" w:hAnsi="Arial"/>
                <w:color w:val="000000"/>
                <w:sz w:val="20"/>
                <w:szCs w:val="20"/>
              </w:rPr>
              <w:t>±0.07</w:t>
            </w:r>
            <w:r>
              <w:rPr>
                <w:rFonts w:ascii="Arial" w:eastAsia="Calibri" w:hAnsi="Arial"/>
                <w:color w:val="000000"/>
                <w:sz w:val="20"/>
                <w:szCs w:val="20"/>
                <w:vertAlign w:val="superscript"/>
              </w:rPr>
              <w:t>d</w:t>
            </w:r>
          </w:p>
        </w:tc>
        <w:tc>
          <w:tcPr>
            <w:tcW w:w="1931" w:type="dxa"/>
            <w:tcBorders>
              <w:left w:val="single" w:sz="4" w:space="0" w:color="000000"/>
              <w:bottom w:val="single" w:sz="4" w:space="0" w:color="000000"/>
              <w:right w:val="single" w:sz="4" w:space="0" w:color="000000"/>
            </w:tcBorders>
          </w:tcPr>
          <w:p w14:paraId="5AB7A0A5" w14:textId="77777777" w:rsidR="009A692A" w:rsidRDefault="002A3522">
            <w:pPr>
              <w:widowControl w:val="0"/>
              <w:spacing w:line="480" w:lineRule="auto"/>
              <w:jc w:val="both"/>
              <w:rPr>
                <w:rFonts w:hint="eastAsia"/>
              </w:rPr>
            </w:pPr>
            <w:r>
              <w:rPr>
                <w:rFonts w:ascii="Arial" w:eastAsia="Calibri" w:hAnsi="Arial"/>
                <w:color w:val="000000"/>
                <w:sz w:val="20"/>
                <w:szCs w:val="20"/>
              </w:rPr>
              <w:t>169.98±0.61</w:t>
            </w:r>
            <w:r>
              <w:rPr>
                <w:rFonts w:ascii="Arial" w:eastAsia="Calibri" w:hAnsi="Arial"/>
                <w:color w:val="000000"/>
                <w:sz w:val="20"/>
                <w:szCs w:val="20"/>
                <w:vertAlign w:val="superscript"/>
              </w:rPr>
              <w:t>c</w:t>
            </w:r>
          </w:p>
        </w:tc>
      </w:tr>
      <w:tr w:rsidR="009A692A" w14:paraId="1E6A4F00" w14:textId="77777777">
        <w:tc>
          <w:tcPr>
            <w:tcW w:w="967" w:type="dxa"/>
            <w:tcBorders>
              <w:left w:val="single" w:sz="4" w:space="0" w:color="000000"/>
              <w:bottom w:val="single" w:sz="4" w:space="0" w:color="000000"/>
            </w:tcBorders>
          </w:tcPr>
          <w:p w14:paraId="3B062241" w14:textId="77777777" w:rsidR="009A692A" w:rsidRDefault="002A3522">
            <w:pPr>
              <w:widowControl w:val="0"/>
              <w:tabs>
                <w:tab w:val="left" w:pos="0"/>
              </w:tabs>
              <w:spacing w:line="480" w:lineRule="auto"/>
              <w:jc w:val="both"/>
              <w:rPr>
                <w:rFonts w:hint="eastAsia"/>
              </w:rPr>
            </w:pPr>
            <w:r>
              <w:rPr>
                <w:rFonts w:ascii="Arial" w:eastAsia="Calibri" w:hAnsi="Arial"/>
                <w:bCs/>
                <w:color w:val="000000"/>
                <w:sz w:val="20"/>
                <w:szCs w:val="20"/>
              </w:rPr>
              <w:t>E</w:t>
            </w:r>
          </w:p>
        </w:tc>
        <w:tc>
          <w:tcPr>
            <w:tcW w:w="1923" w:type="dxa"/>
            <w:tcBorders>
              <w:left w:val="single" w:sz="4" w:space="0" w:color="000000"/>
              <w:bottom w:val="single" w:sz="4" w:space="0" w:color="000000"/>
            </w:tcBorders>
          </w:tcPr>
          <w:p w14:paraId="755CED1B" w14:textId="77777777" w:rsidR="009A692A" w:rsidRDefault="002A3522">
            <w:pPr>
              <w:widowControl w:val="0"/>
              <w:spacing w:line="480" w:lineRule="auto"/>
              <w:jc w:val="both"/>
              <w:rPr>
                <w:rFonts w:hint="eastAsia"/>
              </w:rPr>
            </w:pPr>
            <w:r>
              <w:rPr>
                <w:rFonts w:ascii="Arial" w:eastAsia="Calibri" w:hAnsi="Arial"/>
                <w:color w:val="000000"/>
                <w:sz w:val="20"/>
                <w:szCs w:val="20"/>
              </w:rPr>
              <w:t>5.84±0.11</w:t>
            </w:r>
            <w:r>
              <w:rPr>
                <w:rFonts w:ascii="Arial" w:eastAsia="Calibri" w:hAnsi="Arial"/>
                <w:color w:val="000000"/>
                <w:sz w:val="20"/>
                <w:szCs w:val="20"/>
                <w:vertAlign w:val="superscript"/>
              </w:rPr>
              <w:t>e</w:t>
            </w:r>
          </w:p>
        </w:tc>
        <w:tc>
          <w:tcPr>
            <w:tcW w:w="1930" w:type="dxa"/>
            <w:tcBorders>
              <w:left w:val="single" w:sz="4" w:space="0" w:color="000000"/>
              <w:bottom w:val="single" w:sz="4" w:space="0" w:color="000000"/>
            </w:tcBorders>
          </w:tcPr>
          <w:p w14:paraId="09010851" w14:textId="77777777" w:rsidR="009A692A" w:rsidRDefault="002A3522">
            <w:pPr>
              <w:widowControl w:val="0"/>
              <w:spacing w:line="480" w:lineRule="auto"/>
              <w:rPr>
                <w:rFonts w:hint="eastAsia"/>
              </w:rPr>
            </w:pPr>
            <w:r>
              <w:rPr>
                <w:rFonts w:ascii="Arial" w:eastAsia="Calibri" w:hAnsi="Arial"/>
                <w:color w:val="000000"/>
                <w:sz w:val="20"/>
                <w:szCs w:val="20"/>
              </w:rPr>
              <w:t>1.36±0.01</w:t>
            </w:r>
            <w:r>
              <w:rPr>
                <w:rFonts w:ascii="Arial" w:eastAsia="Calibri" w:hAnsi="Arial"/>
                <w:color w:val="000000"/>
                <w:sz w:val="20"/>
                <w:szCs w:val="20"/>
                <w:vertAlign w:val="superscript"/>
              </w:rPr>
              <w:t>c</w:t>
            </w:r>
          </w:p>
        </w:tc>
        <w:tc>
          <w:tcPr>
            <w:tcW w:w="1923" w:type="dxa"/>
            <w:tcBorders>
              <w:left w:val="single" w:sz="4" w:space="0" w:color="000000"/>
              <w:bottom w:val="single" w:sz="4" w:space="0" w:color="000000"/>
            </w:tcBorders>
          </w:tcPr>
          <w:p w14:paraId="07A8C74C" w14:textId="77777777" w:rsidR="009A692A" w:rsidRDefault="002A3522">
            <w:pPr>
              <w:widowControl w:val="0"/>
              <w:spacing w:line="480" w:lineRule="auto"/>
              <w:jc w:val="both"/>
              <w:rPr>
                <w:rFonts w:hint="eastAsia"/>
              </w:rPr>
            </w:pPr>
            <w:r>
              <w:rPr>
                <w:rFonts w:ascii="Arial" w:eastAsia="Calibri" w:hAnsi="Arial"/>
                <w:bCs/>
                <w:color w:val="000000"/>
                <w:sz w:val="20"/>
                <w:szCs w:val="20"/>
              </w:rPr>
              <w:t>21.10</w:t>
            </w:r>
            <w:r>
              <w:rPr>
                <w:rFonts w:ascii="Arial" w:eastAsia="Calibri" w:hAnsi="Arial"/>
                <w:color w:val="000000"/>
                <w:sz w:val="20"/>
                <w:szCs w:val="20"/>
              </w:rPr>
              <w:t>±0.</w:t>
            </w:r>
            <w:r>
              <w:rPr>
                <w:rFonts w:ascii="Arial" w:eastAsia="Calibri" w:hAnsi="Arial"/>
                <w:bCs/>
                <w:color w:val="000000"/>
                <w:sz w:val="20"/>
                <w:szCs w:val="20"/>
              </w:rPr>
              <w:t xml:space="preserve"> 12</w:t>
            </w:r>
            <w:r>
              <w:rPr>
                <w:rFonts w:ascii="Arial" w:eastAsia="Calibri" w:hAnsi="Arial"/>
                <w:bCs/>
                <w:color w:val="000000"/>
                <w:sz w:val="20"/>
                <w:szCs w:val="20"/>
                <w:vertAlign w:val="superscript"/>
              </w:rPr>
              <w:t>e</w:t>
            </w:r>
          </w:p>
        </w:tc>
        <w:tc>
          <w:tcPr>
            <w:tcW w:w="1931" w:type="dxa"/>
            <w:tcBorders>
              <w:left w:val="single" w:sz="4" w:space="0" w:color="000000"/>
              <w:bottom w:val="single" w:sz="4" w:space="0" w:color="000000"/>
              <w:right w:val="single" w:sz="4" w:space="0" w:color="000000"/>
            </w:tcBorders>
          </w:tcPr>
          <w:p w14:paraId="70F2671A" w14:textId="77777777" w:rsidR="009A692A" w:rsidRDefault="002A3522">
            <w:pPr>
              <w:widowControl w:val="0"/>
              <w:spacing w:line="480" w:lineRule="auto"/>
              <w:jc w:val="both"/>
              <w:rPr>
                <w:rFonts w:hint="eastAsia"/>
              </w:rPr>
            </w:pPr>
            <w:r>
              <w:rPr>
                <w:rFonts w:ascii="Arial" w:eastAsia="Calibri" w:hAnsi="Arial"/>
                <w:color w:val="000000"/>
                <w:sz w:val="20"/>
                <w:szCs w:val="20"/>
              </w:rPr>
              <w:t>169.9±0.94</w:t>
            </w:r>
            <w:r>
              <w:rPr>
                <w:rFonts w:ascii="Arial" w:eastAsia="Calibri" w:hAnsi="Arial"/>
                <w:color w:val="000000"/>
                <w:sz w:val="20"/>
                <w:szCs w:val="20"/>
                <w:vertAlign w:val="superscript"/>
              </w:rPr>
              <w:t>c</w:t>
            </w:r>
          </w:p>
        </w:tc>
      </w:tr>
      <w:tr w:rsidR="009A692A" w14:paraId="689787F6" w14:textId="77777777">
        <w:tc>
          <w:tcPr>
            <w:tcW w:w="967" w:type="dxa"/>
            <w:tcBorders>
              <w:left w:val="single" w:sz="4" w:space="0" w:color="000000"/>
              <w:bottom w:val="single" w:sz="4" w:space="0" w:color="000000"/>
            </w:tcBorders>
          </w:tcPr>
          <w:p w14:paraId="6F6584E5" w14:textId="77777777" w:rsidR="009A692A" w:rsidRDefault="002A3522">
            <w:pPr>
              <w:widowControl w:val="0"/>
              <w:tabs>
                <w:tab w:val="left" w:pos="0"/>
              </w:tabs>
              <w:spacing w:line="480" w:lineRule="auto"/>
              <w:jc w:val="both"/>
              <w:rPr>
                <w:rFonts w:hint="eastAsia"/>
              </w:rPr>
            </w:pPr>
            <w:r>
              <w:rPr>
                <w:rFonts w:ascii="Arial" w:eastAsia="Calibri" w:hAnsi="Arial"/>
                <w:bCs/>
                <w:color w:val="000000"/>
                <w:sz w:val="20"/>
                <w:szCs w:val="20"/>
              </w:rPr>
              <w:t>F</w:t>
            </w:r>
          </w:p>
        </w:tc>
        <w:tc>
          <w:tcPr>
            <w:tcW w:w="1923" w:type="dxa"/>
            <w:tcBorders>
              <w:left w:val="single" w:sz="4" w:space="0" w:color="000000"/>
              <w:bottom w:val="single" w:sz="4" w:space="0" w:color="000000"/>
            </w:tcBorders>
          </w:tcPr>
          <w:p w14:paraId="24A8337D" w14:textId="77777777" w:rsidR="009A692A" w:rsidRDefault="002A3522">
            <w:pPr>
              <w:widowControl w:val="0"/>
              <w:spacing w:line="480" w:lineRule="auto"/>
              <w:jc w:val="both"/>
              <w:rPr>
                <w:rFonts w:hint="eastAsia"/>
              </w:rPr>
            </w:pPr>
            <w:r>
              <w:rPr>
                <w:rFonts w:ascii="Arial" w:eastAsia="Calibri" w:hAnsi="Arial"/>
                <w:color w:val="000000"/>
                <w:sz w:val="20"/>
                <w:szCs w:val="20"/>
              </w:rPr>
              <w:t>5.55±0.03</w:t>
            </w:r>
            <w:r>
              <w:rPr>
                <w:rFonts w:ascii="Arial" w:eastAsia="Calibri" w:hAnsi="Arial"/>
                <w:color w:val="000000"/>
                <w:sz w:val="20"/>
                <w:szCs w:val="20"/>
                <w:vertAlign w:val="superscript"/>
              </w:rPr>
              <w:t>d</w:t>
            </w:r>
          </w:p>
        </w:tc>
        <w:tc>
          <w:tcPr>
            <w:tcW w:w="1930" w:type="dxa"/>
            <w:tcBorders>
              <w:left w:val="single" w:sz="4" w:space="0" w:color="000000"/>
              <w:bottom w:val="single" w:sz="4" w:space="0" w:color="000000"/>
            </w:tcBorders>
          </w:tcPr>
          <w:p w14:paraId="63CC0445" w14:textId="77777777" w:rsidR="009A692A" w:rsidRDefault="002A3522">
            <w:pPr>
              <w:widowControl w:val="0"/>
              <w:spacing w:line="480" w:lineRule="auto"/>
              <w:rPr>
                <w:rFonts w:hint="eastAsia"/>
              </w:rPr>
            </w:pPr>
            <w:r>
              <w:rPr>
                <w:rFonts w:ascii="Arial" w:eastAsia="Calibri" w:hAnsi="Arial"/>
                <w:color w:val="000000"/>
                <w:sz w:val="20"/>
                <w:szCs w:val="20"/>
              </w:rPr>
              <w:t>1.54±0.04</w:t>
            </w:r>
            <w:r>
              <w:rPr>
                <w:rFonts w:ascii="Arial" w:eastAsia="Calibri" w:hAnsi="Arial"/>
                <w:color w:val="000000"/>
                <w:sz w:val="20"/>
                <w:szCs w:val="20"/>
                <w:vertAlign w:val="superscript"/>
              </w:rPr>
              <w:t>d</w:t>
            </w:r>
          </w:p>
        </w:tc>
        <w:tc>
          <w:tcPr>
            <w:tcW w:w="1923" w:type="dxa"/>
            <w:tcBorders>
              <w:left w:val="single" w:sz="4" w:space="0" w:color="000000"/>
              <w:bottom w:val="single" w:sz="4" w:space="0" w:color="000000"/>
            </w:tcBorders>
          </w:tcPr>
          <w:p w14:paraId="24CCBE4F" w14:textId="77777777" w:rsidR="009A692A" w:rsidRDefault="002A3522">
            <w:pPr>
              <w:widowControl w:val="0"/>
              <w:spacing w:line="480" w:lineRule="auto"/>
              <w:jc w:val="both"/>
              <w:rPr>
                <w:rFonts w:hint="eastAsia"/>
              </w:rPr>
            </w:pPr>
            <w:r>
              <w:rPr>
                <w:rFonts w:ascii="Arial" w:eastAsia="Calibri" w:hAnsi="Arial"/>
                <w:bCs/>
                <w:color w:val="000000"/>
                <w:sz w:val="20"/>
                <w:szCs w:val="20"/>
              </w:rPr>
              <w:t>21.67</w:t>
            </w:r>
            <w:r>
              <w:rPr>
                <w:rFonts w:ascii="Arial" w:eastAsia="Calibri" w:hAnsi="Arial"/>
                <w:color w:val="000000"/>
                <w:sz w:val="20"/>
                <w:szCs w:val="20"/>
              </w:rPr>
              <w:t>±0.10</w:t>
            </w:r>
            <w:r>
              <w:rPr>
                <w:rFonts w:ascii="Arial" w:eastAsia="Calibri" w:hAnsi="Arial"/>
                <w:color w:val="000000"/>
                <w:sz w:val="20"/>
                <w:szCs w:val="20"/>
                <w:vertAlign w:val="superscript"/>
              </w:rPr>
              <w:t>f</w:t>
            </w:r>
          </w:p>
        </w:tc>
        <w:tc>
          <w:tcPr>
            <w:tcW w:w="1931" w:type="dxa"/>
            <w:tcBorders>
              <w:left w:val="single" w:sz="4" w:space="0" w:color="000000"/>
              <w:bottom w:val="single" w:sz="4" w:space="0" w:color="000000"/>
              <w:right w:val="single" w:sz="4" w:space="0" w:color="000000"/>
            </w:tcBorders>
          </w:tcPr>
          <w:p w14:paraId="5DAD9E1C" w14:textId="77777777" w:rsidR="009A692A" w:rsidRDefault="002A3522">
            <w:pPr>
              <w:widowControl w:val="0"/>
              <w:spacing w:line="480" w:lineRule="auto"/>
              <w:jc w:val="both"/>
              <w:rPr>
                <w:rFonts w:hint="eastAsia"/>
              </w:rPr>
            </w:pPr>
            <w:r>
              <w:rPr>
                <w:rFonts w:ascii="Arial" w:eastAsia="Calibri" w:hAnsi="Arial"/>
                <w:color w:val="000000"/>
                <w:sz w:val="20"/>
                <w:szCs w:val="20"/>
              </w:rPr>
              <w:t>171.69±1.15</w:t>
            </w:r>
            <w:r>
              <w:rPr>
                <w:rFonts w:ascii="Arial" w:eastAsia="Calibri" w:hAnsi="Arial"/>
                <w:color w:val="000000"/>
                <w:sz w:val="20"/>
                <w:szCs w:val="20"/>
                <w:vertAlign w:val="superscript"/>
              </w:rPr>
              <w:t>c</w:t>
            </w:r>
          </w:p>
        </w:tc>
      </w:tr>
      <w:tr w:rsidR="009A692A" w14:paraId="6D8E87CB" w14:textId="77777777">
        <w:tc>
          <w:tcPr>
            <w:tcW w:w="967" w:type="dxa"/>
            <w:tcBorders>
              <w:left w:val="single" w:sz="4" w:space="0" w:color="000000"/>
              <w:bottom w:val="single" w:sz="4" w:space="0" w:color="000000"/>
            </w:tcBorders>
          </w:tcPr>
          <w:p w14:paraId="1847E8DF" w14:textId="77777777" w:rsidR="009A692A" w:rsidRDefault="002A3522">
            <w:pPr>
              <w:widowControl w:val="0"/>
              <w:tabs>
                <w:tab w:val="left" w:pos="0"/>
              </w:tabs>
              <w:spacing w:line="480" w:lineRule="auto"/>
              <w:jc w:val="both"/>
              <w:rPr>
                <w:rFonts w:hint="eastAsia"/>
              </w:rPr>
            </w:pPr>
            <w:r>
              <w:rPr>
                <w:rFonts w:ascii="Arial" w:eastAsia="Calibri" w:hAnsi="Arial"/>
                <w:bCs/>
                <w:color w:val="000000"/>
                <w:sz w:val="20"/>
                <w:szCs w:val="20"/>
              </w:rPr>
              <w:t>G</w:t>
            </w:r>
          </w:p>
        </w:tc>
        <w:tc>
          <w:tcPr>
            <w:tcW w:w="1923" w:type="dxa"/>
            <w:tcBorders>
              <w:left w:val="single" w:sz="4" w:space="0" w:color="000000"/>
              <w:bottom w:val="single" w:sz="4" w:space="0" w:color="000000"/>
            </w:tcBorders>
          </w:tcPr>
          <w:p w14:paraId="19BD7A32" w14:textId="77777777" w:rsidR="009A692A" w:rsidRDefault="002A3522">
            <w:pPr>
              <w:widowControl w:val="0"/>
              <w:spacing w:line="480" w:lineRule="auto"/>
              <w:jc w:val="both"/>
              <w:rPr>
                <w:rFonts w:hint="eastAsia"/>
              </w:rPr>
            </w:pPr>
            <w:r>
              <w:rPr>
                <w:rFonts w:ascii="Arial" w:eastAsia="Calibri" w:hAnsi="Arial"/>
                <w:color w:val="000000"/>
                <w:sz w:val="20"/>
                <w:szCs w:val="20"/>
              </w:rPr>
              <w:t>6.0±0.0</w:t>
            </w:r>
            <w:r>
              <w:rPr>
                <w:rFonts w:ascii="Arial" w:eastAsia="Calibri" w:hAnsi="Arial"/>
                <w:bCs/>
                <w:color w:val="000000"/>
                <w:sz w:val="20"/>
                <w:szCs w:val="20"/>
              </w:rPr>
              <w:t>2</w:t>
            </w:r>
            <w:r>
              <w:rPr>
                <w:rFonts w:ascii="Arial" w:eastAsia="Calibri" w:hAnsi="Arial"/>
                <w:bCs/>
                <w:color w:val="000000"/>
                <w:sz w:val="20"/>
                <w:szCs w:val="20"/>
                <w:vertAlign w:val="superscript"/>
              </w:rPr>
              <w:t>e</w:t>
            </w:r>
          </w:p>
        </w:tc>
        <w:tc>
          <w:tcPr>
            <w:tcW w:w="1930" w:type="dxa"/>
            <w:tcBorders>
              <w:left w:val="single" w:sz="4" w:space="0" w:color="000000"/>
              <w:bottom w:val="single" w:sz="4" w:space="0" w:color="000000"/>
            </w:tcBorders>
          </w:tcPr>
          <w:p w14:paraId="15059912" w14:textId="77777777" w:rsidR="009A692A" w:rsidRDefault="002A3522">
            <w:pPr>
              <w:widowControl w:val="0"/>
              <w:spacing w:line="480" w:lineRule="auto"/>
              <w:rPr>
                <w:rFonts w:hint="eastAsia"/>
              </w:rPr>
            </w:pPr>
            <w:r>
              <w:rPr>
                <w:rFonts w:ascii="Arial" w:eastAsia="Calibri" w:hAnsi="Arial"/>
                <w:color w:val="000000"/>
                <w:sz w:val="20"/>
                <w:szCs w:val="20"/>
              </w:rPr>
              <w:t>1.61±0.01</w:t>
            </w:r>
            <w:r>
              <w:rPr>
                <w:rFonts w:ascii="Arial" w:eastAsia="Calibri" w:hAnsi="Arial"/>
                <w:color w:val="000000"/>
                <w:sz w:val="20"/>
                <w:szCs w:val="20"/>
                <w:vertAlign w:val="superscript"/>
              </w:rPr>
              <w:t>d</w:t>
            </w:r>
          </w:p>
        </w:tc>
        <w:tc>
          <w:tcPr>
            <w:tcW w:w="1923" w:type="dxa"/>
            <w:tcBorders>
              <w:left w:val="single" w:sz="4" w:space="0" w:color="000000"/>
              <w:bottom w:val="single" w:sz="4" w:space="0" w:color="000000"/>
            </w:tcBorders>
          </w:tcPr>
          <w:p w14:paraId="12CE1744" w14:textId="77777777" w:rsidR="009A692A" w:rsidRDefault="002A3522">
            <w:pPr>
              <w:widowControl w:val="0"/>
              <w:spacing w:line="480" w:lineRule="auto"/>
              <w:jc w:val="both"/>
              <w:rPr>
                <w:rFonts w:hint="eastAsia"/>
              </w:rPr>
            </w:pPr>
            <w:r>
              <w:rPr>
                <w:rFonts w:ascii="Arial" w:eastAsia="Calibri" w:hAnsi="Arial"/>
                <w:bCs/>
                <w:color w:val="000000"/>
                <w:sz w:val="20"/>
                <w:szCs w:val="20"/>
              </w:rPr>
              <w:t>21.97</w:t>
            </w:r>
            <w:r>
              <w:rPr>
                <w:rFonts w:ascii="Arial" w:eastAsia="Calibri" w:hAnsi="Arial"/>
                <w:color w:val="000000"/>
                <w:sz w:val="20"/>
                <w:szCs w:val="20"/>
              </w:rPr>
              <w:t>±0.0</w:t>
            </w:r>
            <w:r>
              <w:rPr>
                <w:rFonts w:ascii="Arial" w:eastAsia="Calibri" w:hAnsi="Arial"/>
                <w:bCs/>
                <w:color w:val="000000"/>
                <w:sz w:val="20"/>
                <w:szCs w:val="20"/>
              </w:rPr>
              <w:t>2</w:t>
            </w:r>
            <w:r>
              <w:rPr>
                <w:rFonts w:ascii="Arial" w:eastAsia="Calibri" w:hAnsi="Arial"/>
                <w:bCs/>
                <w:color w:val="000000"/>
                <w:sz w:val="20"/>
                <w:szCs w:val="20"/>
                <w:vertAlign w:val="superscript"/>
              </w:rPr>
              <w:t>g</w:t>
            </w:r>
          </w:p>
        </w:tc>
        <w:tc>
          <w:tcPr>
            <w:tcW w:w="1931" w:type="dxa"/>
            <w:tcBorders>
              <w:left w:val="single" w:sz="4" w:space="0" w:color="000000"/>
              <w:bottom w:val="single" w:sz="4" w:space="0" w:color="000000"/>
              <w:right w:val="single" w:sz="4" w:space="0" w:color="000000"/>
            </w:tcBorders>
          </w:tcPr>
          <w:p w14:paraId="075F495F" w14:textId="77777777" w:rsidR="009A692A" w:rsidRDefault="002A3522">
            <w:pPr>
              <w:widowControl w:val="0"/>
              <w:spacing w:line="480" w:lineRule="auto"/>
              <w:jc w:val="both"/>
              <w:rPr>
                <w:rFonts w:hint="eastAsia"/>
              </w:rPr>
            </w:pPr>
            <w:r>
              <w:rPr>
                <w:rFonts w:ascii="Arial" w:eastAsia="Calibri" w:hAnsi="Arial"/>
                <w:color w:val="000000"/>
                <w:sz w:val="20"/>
                <w:szCs w:val="20"/>
              </w:rPr>
              <w:t>171.14±1.7</w:t>
            </w:r>
            <w:r>
              <w:rPr>
                <w:rFonts w:ascii="Arial" w:eastAsia="Calibri" w:hAnsi="Arial"/>
                <w:bCs/>
                <w:color w:val="000000"/>
                <w:sz w:val="20"/>
                <w:szCs w:val="20"/>
              </w:rPr>
              <w:t>2</w:t>
            </w:r>
            <w:r>
              <w:rPr>
                <w:rFonts w:ascii="Arial" w:eastAsia="Calibri" w:hAnsi="Arial"/>
                <w:bCs/>
                <w:color w:val="000000"/>
                <w:sz w:val="20"/>
                <w:szCs w:val="20"/>
                <w:vertAlign w:val="superscript"/>
              </w:rPr>
              <w:t>c</w:t>
            </w:r>
          </w:p>
        </w:tc>
      </w:tr>
    </w:tbl>
    <w:p w14:paraId="0FFC5F20" w14:textId="77777777" w:rsidR="009A692A" w:rsidRDefault="002A3522">
      <w:pPr>
        <w:pStyle w:val="ListParagraph"/>
        <w:tabs>
          <w:tab w:val="left" w:pos="3495"/>
        </w:tabs>
        <w:spacing w:after="0" w:line="480" w:lineRule="auto"/>
        <w:ind w:left="0"/>
        <w:contextualSpacing w:val="0"/>
        <w:jc w:val="both"/>
        <w:rPr>
          <w:rFonts w:ascii="Arial" w:hAnsi="Arial"/>
          <w:sz w:val="20"/>
          <w:szCs w:val="20"/>
        </w:rPr>
      </w:pPr>
      <w:r>
        <w:rPr>
          <w:rFonts w:ascii="Arial" w:hAnsi="Arial" w:cs="Times New Roman"/>
          <w:color w:val="000000"/>
          <w:sz w:val="20"/>
          <w:szCs w:val="20"/>
        </w:rPr>
        <w:t>A: 100% potato, B: potato with 10% soy bean, C: potato with 15% soy bean, D: potato with 10% moringa, E: potato with 15% moringa and 10% soy bean, F: potato with 10% moringa and 10 % soy bean, G: potato with 15% moringa and 15% soy bea</w:t>
      </w:r>
      <w:r>
        <w:rPr>
          <w:rFonts w:ascii="Arial" w:hAnsi="Arial" w:cs="Times New Roman"/>
          <w:color w:val="000000"/>
          <w:sz w:val="20"/>
          <w:szCs w:val="20"/>
        </w:rPr>
        <w:t>n. Different subscripts within the same column differ significantly (</w:t>
      </w:r>
      <w:r>
        <w:rPr>
          <w:rFonts w:ascii="Arial" w:hAnsi="Arial" w:cs="Times New Roman"/>
          <w:i/>
          <w:iCs/>
          <w:color w:val="000000"/>
          <w:sz w:val="20"/>
          <w:szCs w:val="20"/>
        </w:rPr>
        <w:t>P</w:t>
      </w:r>
      <w:r>
        <w:rPr>
          <w:rFonts w:ascii="Arial" w:hAnsi="Arial" w:cs="Times New Roman"/>
          <w:color w:val="000000"/>
          <w:sz w:val="20"/>
          <w:szCs w:val="20"/>
        </w:rPr>
        <w:t>&lt;.05).</w:t>
      </w:r>
    </w:p>
    <w:p w14:paraId="5FDA0326" w14:textId="77777777" w:rsidR="009A692A" w:rsidRDefault="009A692A">
      <w:pPr>
        <w:rPr>
          <w:rFonts w:ascii="Arial" w:hAnsi="Arial"/>
          <w:color w:val="000000"/>
          <w:sz w:val="20"/>
          <w:szCs w:val="20"/>
        </w:rPr>
      </w:pPr>
    </w:p>
    <w:p w14:paraId="49B7AF4E" w14:textId="77777777" w:rsidR="009A692A" w:rsidRDefault="009A692A">
      <w:pPr>
        <w:rPr>
          <w:rFonts w:ascii="Arial" w:hAnsi="Arial"/>
          <w:color w:val="000000"/>
          <w:sz w:val="20"/>
          <w:szCs w:val="20"/>
        </w:rPr>
      </w:pPr>
    </w:p>
    <w:p w14:paraId="26CD2FC2" w14:textId="77777777" w:rsidR="009A692A" w:rsidRDefault="009A692A">
      <w:pPr>
        <w:rPr>
          <w:rFonts w:ascii="Arial" w:hAnsi="Arial"/>
          <w:color w:val="000000"/>
          <w:sz w:val="20"/>
          <w:szCs w:val="20"/>
        </w:rPr>
      </w:pPr>
    </w:p>
    <w:p w14:paraId="28ADF8F3" w14:textId="77777777" w:rsidR="009A692A" w:rsidRDefault="009A692A">
      <w:pPr>
        <w:rPr>
          <w:rFonts w:ascii="Arial" w:hAnsi="Arial"/>
          <w:color w:val="000000"/>
          <w:sz w:val="20"/>
          <w:szCs w:val="20"/>
        </w:rPr>
      </w:pPr>
    </w:p>
    <w:p w14:paraId="35344317" w14:textId="77777777" w:rsidR="009A692A" w:rsidRDefault="009A692A">
      <w:pPr>
        <w:rPr>
          <w:rFonts w:ascii="Arial" w:hAnsi="Arial"/>
          <w:color w:val="000000"/>
          <w:sz w:val="20"/>
          <w:szCs w:val="20"/>
        </w:rPr>
      </w:pPr>
    </w:p>
    <w:p w14:paraId="30FEA7C4" w14:textId="77777777" w:rsidR="009A692A" w:rsidRDefault="009A692A">
      <w:pPr>
        <w:rPr>
          <w:rFonts w:ascii="Arial" w:hAnsi="Arial"/>
          <w:color w:val="000000"/>
          <w:sz w:val="20"/>
          <w:szCs w:val="20"/>
        </w:rPr>
      </w:pPr>
    </w:p>
    <w:p w14:paraId="3476DEF3" w14:textId="77777777" w:rsidR="009A692A" w:rsidRDefault="009A692A">
      <w:pPr>
        <w:rPr>
          <w:rFonts w:ascii="Arial" w:hAnsi="Arial"/>
          <w:color w:val="000000"/>
          <w:sz w:val="20"/>
          <w:szCs w:val="20"/>
        </w:rPr>
      </w:pPr>
    </w:p>
    <w:p w14:paraId="4F53D476" w14:textId="77777777" w:rsidR="009A692A" w:rsidRDefault="009A692A">
      <w:pPr>
        <w:rPr>
          <w:rFonts w:ascii="Arial" w:hAnsi="Arial"/>
          <w:color w:val="000000"/>
          <w:sz w:val="20"/>
          <w:szCs w:val="20"/>
        </w:rPr>
      </w:pPr>
    </w:p>
    <w:p w14:paraId="5E0A97F2" w14:textId="77777777" w:rsidR="009A692A" w:rsidRDefault="009A692A">
      <w:pPr>
        <w:rPr>
          <w:rFonts w:ascii="Arial" w:hAnsi="Arial"/>
          <w:color w:val="000000"/>
          <w:sz w:val="20"/>
          <w:szCs w:val="20"/>
        </w:rPr>
      </w:pPr>
    </w:p>
    <w:p w14:paraId="5773FA07" w14:textId="77777777" w:rsidR="009A692A" w:rsidRDefault="009A692A">
      <w:pPr>
        <w:rPr>
          <w:rFonts w:ascii="Arial" w:hAnsi="Arial"/>
          <w:color w:val="000000"/>
          <w:sz w:val="20"/>
          <w:szCs w:val="20"/>
        </w:rPr>
      </w:pPr>
    </w:p>
    <w:p w14:paraId="174BB397" w14:textId="77777777" w:rsidR="009A692A" w:rsidRDefault="009A692A">
      <w:pPr>
        <w:rPr>
          <w:rFonts w:ascii="Arial" w:hAnsi="Arial"/>
          <w:color w:val="000000"/>
          <w:sz w:val="20"/>
          <w:szCs w:val="20"/>
        </w:rPr>
      </w:pPr>
    </w:p>
    <w:p w14:paraId="4E35618D" w14:textId="77777777" w:rsidR="009A692A" w:rsidRDefault="009A692A">
      <w:pPr>
        <w:rPr>
          <w:rFonts w:ascii="Arial" w:hAnsi="Arial"/>
          <w:color w:val="000000"/>
          <w:sz w:val="20"/>
          <w:szCs w:val="20"/>
        </w:rPr>
      </w:pPr>
    </w:p>
    <w:p w14:paraId="70EC32D0" w14:textId="77777777" w:rsidR="009A692A" w:rsidRDefault="009A692A">
      <w:pPr>
        <w:rPr>
          <w:rFonts w:ascii="Arial" w:hAnsi="Arial"/>
          <w:color w:val="000000"/>
          <w:sz w:val="20"/>
          <w:szCs w:val="20"/>
        </w:rPr>
      </w:pPr>
    </w:p>
    <w:p w14:paraId="3066588A" w14:textId="77777777" w:rsidR="009A692A" w:rsidRDefault="009A692A">
      <w:pPr>
        <w:rPr>
          <w:rFonts w:ascii="Arial" w:hAnsi="Arial"/>
          <w:color w:val="000000"/>
          <w:sz w:val="20"/>
          <w:szCs w:val="20"/>
        </w:rPr>
      </w:pPr>
    </w:p>
    <w:p w14:paraId="615F6D17" w14:textId="77777777" w:rsidR="009A692A" w:rsidRDefault="009A692A">
      <w:pPr>
        <w:rPr>
          <w:rFonts w:ascii="Arial" w:hAnsi="Arial"/>
          <w:sz w:val="20"/>
          <w:szCs w:val="20"/>
        </w:rPr>
      </w:pPr>
    </w:p>
    <w:p w14:paraId="24E8E5B9" w14:textId="77777777" w:rsidR="009A692A" w:rsidRDefault="009A692A">
      <w:pPr>
        <w:rPr>
          <w:rFonts w:ascii="Arial" w:hAnsi="Arial"/>
          <w:sz w:val="20"/>
          <w:szCs w:val="20"/>
        </w:rPr>
      </w:pPr>
    </w:p>
    <w:p w14:paraId="15C19FEF" w14:textId="77777777" w:rsidR="009A692A" w:rsidRDefault="009A692A">
      <w:pPr>
        <w:rPr>
          <w:rFonts w:ascii="Arial" w:hAnsi="Arial"/>
          <w:sz w:val="20"/>
          <w:szCs w:val="20"/>
        </w:rPr>
      </w:pPr>
    </w:p>
    <w:p w14:paraId="4021505E" w14:textId="77777777" w:rsidR="009A692A" w:rsidRDefault="009A692A">
      <w:pPr>
        <w:rPr>
          <w:rFonts w:ascii="Arial" w:hAnsi="Arial"/>
          <w:sz w:val="20"/>
          <w:szCs w:val="20"/>
        </w:rPr>
      </w:pPr>
    </w:p>
    <w:p w14:paraId="5914F6FF" w14:textId="77777777" w:rsidR="009A692A" w:rsidRDefault="009A692A">
      <w:pPr>
        <w:rPr>
          <w:rFonts w:hint="eastAsia"/>
        </w:rPr>
      </w:pPr>
    </w:p>
    <w:p w14:paraId="14546E1B" w14:textId="77777777" w:rsidR="009A692A" w:rsidRDefault="009A692A">
      <w:pPr>
        <w:rPr>
          <w:rFonts w:hint="eastAsia"/>
        </w:rPr>
      </w:pPr>
    </w:p>
    <w:p w14:paraId="0610B0A5" w14:textId="77777777" w:rsidR="009A692A" w:rsidRDefault="009A692A">
      <w:pPr>
        <w:rPr>
          <w:rFonts w:hint="eastAsia"/>
        </w:rPr>
        <w:sectPr w:rsidR="009A692A">
          <w:type w:val="continuous"/>
          <w:pgSz w:w="11906" w:h="16838"/>
          <w:pgMar w:top="1134" w:right="1134" w:bottom="1946" w:left="1134" w:header="0" w:footer="1134" w:gutter="0"/>
          <w:cols w:space="720"/>
          <w:formProt w:val="0"/>
          <w:docGrid w:linePitch="100"/>
        </w:sectPr>
      </w:pPr>
    </w:p>
    <w:p w14:paraId="49554B36" w14:textId="77777777" w:rsidR="009A692A" w:rsidRDefault="009A692A">
      <w:pPr>
        <w:jc w:val="both"/>
        <w:rPr>
          <w:rFonts w:ascii="Arial" w:hAnsi="Arial"/>
          <w:bCs/>
          <w:color w:val="000000"/>
          <w:sz w:val="20"/>
          <w:szCs w:val="20"/>
        </w:rPr>
      </w:pPr>
    </w:p>
    <w:p w14:paraId="683322F8" w14:textId="77777777" w:rsidR="009A692A" w:rsidRDefault="009A692A">
      <w:pPr>
        <w:rPr>
          <w:rFonts w:ascii="Arial" w:hAnsi="Arial"/>
          <w:color w:val="000000"/>
          <w:sz w:val="20"/>
          <w:szCs w:val="20"/>
        </w:rPr>
      </w:pPr>
    </w:p>
    <w:p w14:paraId="0CD16175" w14:textId="77777777" w:rsidR="009A692A" w:rsidRDefault="009A692A">
      <w:pPr>
        <w:rPr>
          <w:rFonts w:ascii="Arial" w:hAnsi="Arial"/>
          <w:color w:val="000000"/>
          <w:sz w:val="20"/>
          <w:szCs w:val="20"/>
        </w:rPr>
      </w:pPr>
    </w:p>
    <w:p w14:paraId="5794856B" w14:textId="77777777" w:rsidR="009A692A" w:rsidRDefault="009A692A">
      <w:pPr>
        <w:rPr>
          <w:rFonts w:ascii="Arial" w:hAnsi="Arial"/>
          <w:color w:val="000000"/>
          <w:sz w:val="20"/>
          <w:szCs w:val="20"/>
        </w:rPr>
      </w:pPr>
    </w:p>
    <w:p w14:paraId="77CF3162" w14:textId="77777777" w:rsidR="009A692A" w:rsidRDefault="009A692A">
      <w:pPr>
        <w:rPr>
          <w:rFonts w:hint="eastAsia"/>
        </w:rPr>
        <w:sectPr w:rsidR="009A692A">
          <w:type w:val="continuous"/>
          <w:pgSz w:w="11906" w:h="16838"/>
          <w:pgMar w:top="1134" w:right="1134" w:bottom="1946" w:left="1134" w:header="0" w:footer="1134" w:gutter="0"/>
          <w:cols w:num="2" w:space="720"/>
          <w:formProt w:val="0"/>
          <w:docGrid w:linePitch="100"/>
        </w:sectPr>
      </w:pPr>
    </w:p>
    <w:p w14:paraId="62A682CC" w14:textId="77777777" w:rsidR="009A692A" w:rsidRDefault="009A692A">
      <w:pPr>
        <w:pStyle w:val="ListParagraph"/>
        <w:tabs>
          <w:tab w:val="left" w:pos="3495"/>
        </w:tabs>
        <w:spacing w:after="0" w:line="240" w:lineRule="auto"/>
        <w:ind w:left="0"/>
        <w:contextualSpacing w:val="0"/>
        <w:jc w:val="both"/>
        <w:rPr>
          <w:rFonts w:ascii="Arial" w:hAnsi="Arial" w:cs="Times New Roman"/>
          <w:color w:val="000000"/>
          <w:sz w:val="20"/>
          <w:szCs w:val="20"/>
        </w:rPr>
      </w:pPr>
    </w:p>
    <w:p w14:paraId="28F4B23D" w14:textId="77777777" w:rsidR="009A692A" w:rsidRDefault="002A3522">
      <w:pPr>
        <w:pStyle w:val="Heading2"/>
        <w:spacing w:before="0" w:line="360" w:lineRule="auto"/>
        <w:jc w:val="both"/>
        <w:rPr>
          <w:rFonts w:ascii="Arial" w:hAnsi="Arial"/>
          <w:sz w:val="20"/>
          <w:szCs w:val="20"/>
        </w:rPr>
      </w:pPr>
      <w:r>
        <w:rPr>
          <w:rFonts w:ascii="Arial" w:hAnsi="Arial"/>
          <w:color w:val="000000"/>
          <w:sz w:val="20"/>
          <w:szCs w:val="20"/>
        </w:rPr>
        <w:t>3.4.</w:t>
      </w:r>
      <w:r>
        <w:rPr>
          <w:rFonts w:ascii="Arial" w:hAnsi="Arial" w:cs="Times New Roman"/>
          <w:color w:val="000000"/>
          <w:sz w:val="20"/>
          <w:szCs w:val="20"/>
        </w:rPr>
        <w:t xml:space="preserve"> Antioxidant content of potato chips</w:t>
      </w:r>
    </w:p>
    <w:p w14:paraId="4E6697BD" w14:textId="77777777" w:rsidR="009A692A" w:rsidRDefault="002A3522">
      <w:pPr>
        <w:spacing w:line="360" w:lineRule="auto"/>
        <w:jc w:val="both"/>
        <w:rPr>
          <w:rFonts w:ascii="Arial" w:hAnsi="Arial"/>
          <w:sz w:val="20"/>
          <w:szCs w:val="20"/>
        </w:rPr>
      </w:pPr>
      <w:r>
        <w:rPr>
          <w:rFonts w:ascii="Arial" w:hAnsi="Arial"/>
          <w:color w:val="000000"/>
          <w:sz w:val="20"/>
          <w:szCs w:val="20"/>
        </w:rPr>
        <w:t>The evaluated antioxidant content of the processed chips included</w:t>
      </w:r>
      <w:r>
        <w:rPr>
          <w:rFonts w:ascii="Arial" w:hAnsi="Arial"/>
          <w:color w:val="000000"/>
          <w:sz w:val="20"/>
          <w:szCs w:val="20"/>
        </w:rPr>
        <w:t xml:space="preserve"> β-carotene and total phenolics content (Table 4). As far as β-carotenes are concerned, the addition of moringa powder and in combination with soybean significantly </w:t>
      </w:r>
      <w:r>
        <w:rPr>
          <w:rFonts w:ascii="Arial" w:eastAsia="Times New Roman" w:hAnsi="Arial"/>
          <w:color w:val="000000"/>
          <w:sz w:val="20"/>
          <w:szCs w:val="20"/>
        </w:rPr>
        <w:t>(</w:t>
      </w:r>
      <w:r>
        <w:rPr>
          <w:rFonts w:ascii="Arial" w:eastAsia="Times New Roman" w:hAnsi="Arial"/>
          <w:i/>
          <w:iCs/>
          <w:color w:val="000000"/>
          <w:sz w:val="20"/>
          <w:szCs w:val="20"/>
        </w:rPr>
        <w:t>P</w:t>
      </w:r>
      <w:r>
        <w:rPr>
          <w:rFonts w:ascii="Arial" w:eastAsia="Times New Roman" w:hAnsi="Arial"/>
          <w:color w:val="000000"/>
          <w:sz w:val="20"/>
          <w:szCs w:val="20"/>
        </w:rPr>
        <w:t xml:space="preserve">&lt;.05) </w:t>
      </w:r>
      <w:r>
        <w:rPr>
          <w:rFonts w:ascii="Arial" w:hAnsi="Arial"/>
          <w:color w:val="000000"/>
          <w:sz w:val="20"/>
          <w:szCs w:val="20"/>
        </w:rPr>
        <w:t>concentration-dependently increased the β-carotene content of the potato chips. Sam</w:t>
      </w:r>
      <w:r>
        <w:rPr>
          <w:rFonts w:ascii="Arial" w:hAnsi="Arial"/>
          <w:color w:val="000000"/>
          <w:sz w:val="20"/>
          <w:szCs w:val="20"/>
        </w:rPr>
        <w:t>ple G showed the highest value of Beta- carotene (</w:t>
      </w:r>
      <w:r>
        <w:rPr>
          <w:rFonts w:ascii="Arial" w:hAnsi="Arial"/>
          <w:i/>
          <w:iCs/>
          <w:color w:val="000000"/>
          <w:sz w:val="20"/>
          <w:szCs w:val="20"/>
        </w:rPr>
        <w:t>P</w:t>
      </w:r>
      <w:r>
        <w:rPr>
          <w:rFonts w:ascii="Arial" w:hAnsi="Arial"/>
          <w:color w:val="000000"/>
          <w:sz w:val="20"/>
          <w:szCs w:val="20"/>
        </w:rPr>
        <w:t>&lt;.05), follow respectively by samples F and E. The other samples had similar values (</w:t>
      </w:r>
      <w:r>
        <w:rPr>
          <w:rFonts w:ascii="Arial" w:hAnsi="Arial"/>
          <w:i/>
          <w:iCs/>
          <w:color w:val="000000"/>
          <w:sz w:val="20"/>
          <w:szCs w:val="20"/>
        </w:rPr>
        <w:t>P</w:t>
      </w:r>
      <w:r>
        <w:rPr>
          <w:rFonts w:ascii="Arial" w:hAnsi="Arial"/>
          <w:color w:val="000000"/>
          <w:sz w:val="20"/>
          <w:szCs w:val="20"/>
        </w:rPr>
        <w:t>&gt;.05). In general, enrichment with soybean alone did not have any effect on Beta–Carotene of potato chips while the pre</w:t>
      </w:r>
      <w:r>
        <w:rPr>
          <w:rFonts w:ascii="Arial" w:hAnsi="Arial"/>
          <w:color w:val="000000"/>
          <w:sz w:val="20"/>
          <w:szCs w:val="20"/>
        </w:rPr>
        <w:t>sence of moringa led to an increase.</w:t>
      </w:r>
    </w:p>
    <w:p w14:paraId="50D815BC" w14:textId="77777777" w:rsidR="009A692A" w:rsidRDefault="002A3522">
      <w:pPr>
        <w:spacing w:line="360" w:lineRule="auto"/>
        <w:rPr>
          <w:rFonts w:ascii="Arial" w:hAnsi="Arial"/>
          <w:sz w:val="20"/>
          <w:szCs w:val="20"/>
        </w:rPr>
      </w:pPr>
      <w:r>
        <w:rPr>
          <w:rFonts w:ascii="Arial" w:hAnsi="Arial"/>
          <w:color w:val="000000"/>
          <w:sz w:val="20"/>
          <w:szCs w:val="20"/>
        </w:rPr>
        <w:lastRenderedPageBreak/>
        <w:t>As far as phenolic compounds are concerned, Sample C indicated the lowest (</w:t>
      </w:r>
      <w:r>
        <w:rPr>
          <w:rFonts w:ascii="Arial" w:hAnsi="Arial"/>
          <w:i/>
          <w:iCs/>
          <w:color w:val="000000"/>
          <w:sz w:val="20"/>
          <w:szCs w:val="20"/>
        </w:rPr>
        <w:t>P</w:t>
      </w:r>
      <w:r>
        <w:rPr>
          <w:rFonts w:ascii="Arial" w:hAnsi="Arial"/>
          <w:color w:val="000000"/>
          <w:sz w:val="20"/>
          <w:szCs w:val="20"/>
        </w:rPr>
        <w:t>&lt;.05)  total phenolic content  and sample G the highest (</w:t>
      </w:r>
      <w:r>
        <w:rPr>
          <w:rFonts w:ascii="Arial" w:hAnsi="Arial"/>
          <w:i/>
          <w:iCs/>
          <w:color w:val="000000"/>
          <w:sz w:val="20"/>
          <w:szCs w:val="20"/>
        </w:rPr>
        <w:t>P</w:t>
      </w:r>
      <w:r>
        <w:rPr>
          <w:rFonts w:ascii="Arial" w:hAnsi="Arial"/>
          <w:color w:val="000000"/>
          <w:sz w:val="20"/>
          <w:szCs w:val="20"/>
        </w:rPr>
        <w:t>&lt;.05).  Globally, soybean  alone lowered (</w:t>
      </w:r>
      <w:r>
        <w:rPr>
          <w:rFonts w:ascii="Arial" w:hAnsi="Arial"/>
          <w:i/>
          <w:iCs/>
          <w:color w:val="000000"/>
          <w:sz w:val="20"/>
          <w:szCs w:val="20"/>
        </w:rPr>
        <w:t>P</w:t>
      </w:r>
      <w:r>
        <w:rPr>
          <w:rFonts w:ascii="Arial" w:hAnsi="Arial"/>
          <w:color w:val="000000"/>
          <w:sz w:val="20"/>
          <w:szCs w:val="20"/>
        </w:rPr>
        <w:t xml:space="preserve">&lt;.05) the total phenolic content while it </w:t>
      </w:r>
      <w:r>
        <w:rPr>
          <w:rFonts w:ascii="Arial" w:hAnsi="Arial"/>
          <w:color w:val="000000"/>
          <w:sz w:val="20"/>
          <w:szCs w:val="20"/>
        </w:rPr>
        <w:t>was increasing significantly (</w:t>
      </w:r>
      <w:r>
        <w:rPr>
          <w:rFonts w:ascii="Arial" w:hAnsi="Arial"/>
          <w:i/>
          <w:iCs/>
          <w:color w:val="000000"/>
          <w:sz w:val="20"/>
          <w:szCs w:val="20"/>
        </w:rPr>
        <w:t>P</w:t>
      </w:r>
      <w:r>
        <w:rPr>
          <w:rFonts w:ascii="Arial" w:hAnsi="Arial"/>
          <w:color w:val="000000"/>
          <w:sz w:val="20"/>
          <w:szCs w:val="20"/>
        </w:rPr>
        <w:t>&lt;.05) in presence of moringa</w:t>
      </w:r>
    </w:p>
    <w:p w14:paraId="0CC6B29A" w14:textId="77777777" w:rsidR="009A692A" w:rsidRDefault="009A692A">
      <w:pPr>
        <w:spacing w:line="360" w:lineRule="auto"/>
        <w:jc w:val="both"/>
        <w:rPr>
          <w:rFonts w:ascii="Arial" w:hAnsi="Arial"/>
          <w:color w:val="000000"/>
          <w:sz w:val="20"/>
          <w:szCs w:val="20"/>
        </w:rPr>
      </w:pPr>
    </w:p>
    <w:p w14:paraId="3DBE879A" w14:textId="77777777" w:rsidR="009A692A" w:rsidRDefault="002A3522">
      <w:pPr>
        <w:spacing w:line="480" w:lineRule="auto"/>
        <w:jc w:val="both"/>
        <w:rPr>
          <w:rFonts w:hint="eastAsia"/>
          <w:b/>
          <w:bCs/>
        </w:rPr>
      </w:pPr>
      <w:r>
        <w:rPr>
          <w:rFonts w:ascii="Arial" w:hAnsi="Arial"/>
          <w:b/>
          <w:bCs/>
          <w:color w:val="000000"/>
          <w:sz w:val="20"/>
          <w:szCs w:val="20"/>
        </w:rPr>
        <w:t>Table 4. β-carotene  and total phenolic content of processed potato snacks.</w:t>
      </w:r>
    </w:p>
    <w:p w14:paraId="5164E7A0" w14:textId="77777777" w:rsidR="009A692A" w:rsidRDefault="009A692A">
      <w:pPr>
        <w:rPr>
          <w:rFonts w:hint="eastAsia"/>
        </w:rPr>
        <w:sectPr w:rsidR="009A692A">
          <w:type w:val="continuous"/>
          <w:pgSz w:w="11906" w:h="16838"/>
          <w:pgMar w:top="1134" w:right="1134" w:bottom="1946" w:left="1134" w:header="0" w:footer="1134" w:gutter="0"/>
          <w:cols w:space="720"/>
          <w:formProt w:val="0"/>
          <w:docGrid w:linePitch="100"/>
        </w:sectPr>
      </w:pPr>
    </w:p>
    <w:tbl>
      <w:tblPr>
        <w:tblW w:w="9067" w:type="dxa"/>
        <w:tblInd w:w="109" w:type="dxa"/>
        <w:tblLayout w:type="fixed"/>
        <w:tblLook w:val="04A0" w:firstRow="1" w:lastRow="0" w:firstColumn="1" w:lastColumn="0" w:noHBand="0" w:noVBand="1"/>
      </w:tblPr>
      <w:tblGrid>
        <w:gridCol w:w="2148"/>
        <w:gridCol w:w="2992"/>
        <w:gridCol w:w="3927"/>
      </w:tblGrid>
      <w:tr w:rsidR="009A692A" w14:paraId="1B9BA24C" w14:textId="77777777">
        <w:trPr>
          <w:trHeight w:val="351"/>
        </w:trPr>
        <w:tc>
          <w:tcPr>
            <w:tcW w:w="2148" w:type="dxa"/>
            <w:tcBorders>
              <w:top w:val="single" w:sz="4" w:space="0" w:color="000000"/>
              <w:bottom w:val="single" w:sz="8" w:space="0" w:color="000000"/>
            </w:tcBorders>
          </w:tcPr>
          <w:p w14:paraId="2716C64F" w14:textId="77777777" w:rsidR="009A692A" w:rsidRDefault="002A3522">
            <w:pPr>
              <w:widowControl w:val="0"/>
              <w:spacing w:line="480" w:lineRule="auto"/>
              <w:jc w:val="both"/>
              <w:rPr>
                <w:rFonts w:hint="eastAsia"/>
              </w:rPr>
            </w:pPr>
            <w:r>
              <w:rPr>
                <w:rFonts w:ascii="Arial" w:hAnsi="Arial"/>
                <w:b/>
                <w:color w:val="000000"/>
                <w:sz w:val="20"/>
                <w:szCs w:val="20"/>
              </w:rPr>
              <w:t>Sample</w:t>
            </w:r>
          </w:p>
        </w:tc>
        <w:tc>
          <w:tcPr>
            <w:tcW w:w="2992" w:type="dxa"/>
            <w:tcBorders>
              <w:top w:val="single" w:sz="4" w:space="0" w:color="000000"/>
              <w:bottom w:val="single" w:sz="8" w:space="0" w:color="000000"/>
            </w:tcBorders>
          </w:tcPr>
          <w:p w14:paraId="2FC28EBB" w14:textId="77777777" w:rsidR="009A692A" w:rsidRDefault="002A3522">
            <w:pPr>
              <w:widowControl w:val="0"/>
              <w:spacing w:line="480" w:lineRule="auto"/>
              <w:jc w:val="both"/>
              <w:rPr>
                <w:rFonts w:hint="eastAsia"/>
              </w:rPr>
            </w:pPr>
            <w:r>
              <w:rPr>
                <w:rFonts w:ascii="Arial" w:hAnsi="Arial"/>
                <w:b/>
                <w:color w:val="000000"/>
                <w:sz w:val="20"/>
                <w:szCs w:val="20"/>
              </w:rPr>
              <w:t>β-carotene (mg/ 100g)</w:t>
            </w:r>
          </w:p>
        </w:tc>
        <w:tc>
          <w:tcPr>
            <w:tcW w:w="3927" w:type="dxa"/>
            <w:tcBorders>
              <w:top w:val="single" w:sz="4" w:space="0" w:color="000000"/>
              <w:bottom w:val="single" w:sz="8" w:space="0" w:color="000000"/>
            </w:tcBorders>
          </w:tcPr>
          <w:p w14:paraId="55EA6117" w14:textId="77777777" w:rsidR="009A692A" w:rsidRDefault="002A3522">
            <w:pPr>
              <w:widowControl w:val="0"/>
              <w:spacing w:line="480" w:lineRule="auto"/>
              <w:jc w:val="both"/>
              <w:rPr>
                <w:rFonts w:hint="eastAsia"/>
              </w:rPr>
            </w:pPr>
            <w:r>
              <w:rPr>
                <w:rFonts w:ascii="Arial" w:hAnsi="Arial"/>
                <w:b/>
                <w:color w:val="000000"/>
                <w:sz w:val="20"/>
                <w:szCs w:val="20"/>
              </w:rPr>
              <w:t>Total phenolic content (mg GAE/g)</w:t>
            </w:r>
          </w:p>
        </w:tc>
      </w:tr>
      <w:tr w:rsidR="009A692A" w14:paraId="5A3C4335" w14:textId="77777777">
        <w:trPr>
          <w:trHeight w:val="299"/>
        </w:trPr>
        <w:tc>
          <w:tcPr>
            <w:tcW w:w="2148" w:type="dxa"/>
          </w:tcPr>
          <w:p w14:paraId="3CAE0983"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A</w:t>
            </w:r>
          </w:p>
        </w:tc>
        <w:tc>
          <w:tcPr>
            <w:tcW w:w="2992" w:type="dxa"/>
          </w:tcPr>
          <w:p w14:paraId="7BAFC080" w14:textId="77777777" w:rsidR="009A692A" w:rsidRDefault="002A3522">
            <w:pPr>
              <w:widowControl w:val="0"/>
              <w:spacing w:line="480" w:lineRule="auto"/>
              <w:jc w:val="both"/>
              <w:rPr>
                <w:rFonts w:hint="eastAsia"/>
              </w:rPr>
            </w:pPr>
            <w:r>
              <w:rPr>
                <w:rFonts w:ascii="Arial" w:hAnsi="Arial"/>
                <w:color w:val="000000"/>
                <w:sz w:val="20"/>
                <w:szCs w:val="20"/>
              </w:rPr>
              <w:t>0.01±0.01</w:t>
            </w:r>
            <w:r>
              <w:rPr>
                <w:rFonts w:ascii="Arial" w:hAnsi="Arial"/>
                <w:color w:val="000000"/>
                <w:sz w:val="20"/>
                <w:szCs w:val="20"/>
                <w:vertAlign w:val="superscript"/>
              </w:rPr>
              <w:t>a</w:t>
            </w:r>
          </w:p>
        </w:tc>
        <w:tc>
          <w:tcPr>
            <w:tcW w:w="3927" w:type="dxa"/>
          </w:tcPr>
          <w:p w14:paraId="2078ED81" w14:textId="77777777" w:rsidR="009A692A" w:rsidRDefault="002A3522">
            <w:pPr>
              <w:widowControl w:val="0"/>
              <w:spacing w:line="480" w:lineRule="auto"/>
              <w:jc w:val="both"/>
              <w:rPr>
                <w:rFonts w:hint="eastAsia"/>
              </w:rPr>
            </w:pPr>
            <w:r>
              <w:rPr>
                <w:rFonts w:ascii="Arial" w:hAnsi="Arial"/>
                <w:color w:val="000000"/>
                <w:sz w:val="20"/>
                <w:szCs w:val="20"/>
              </w:rPr>
              <w:t>14.47±0.31</w:t>
            </w:r>
            <w:r>
              <w:rPr>
                <w:rFonts w:ascii="Arial" w:hAnsi="Arial"/>
                <w:color w:val="000000"/>
                <w:sz w:val="20"/>
                <w:szCs w:val="20"/>
                <w:vertAlign w:val="superscript"/>
              </w:rPr>
              <w:t>c</w:t>
            </w:r>
          </w:p>
        </w:tc>
      </w:tr>
      <w:tr w:rsidR="009A692A" w14:paraId="2F31CA83" w14:textId="77777777">
        <w:trPr>
          <w:trHeight w:val="299"/>
        </w:trPr>
        <w:tc>
          <w:tcPr>
            <w:tcW w:w="2148" w:type="dxa"/>
          </w:tcPr>
          <w:p w14:paraId="54EB1DD2"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B</w:t>
            </w:r>
          </w:p>
        </w:tc>
        <w:tc>
          <w:tcPr>
            <w:tcW w:w="2992" w:type="dxa"/>
          </w:tcPr>
          <w:p w14:paraId="5AE3EBC3" w14:textId="77777777" w:rsidR="009A692A" w:rsidRDefault="002A3522">
            <w:pPr>
              <w:widowControl w:val="0"/>
              <w:spacing w:line="480" w:lineRule="auto"/>
              <w:jc w:val="both"/>
              <w:rPr>
                <w:rFonts w:hint="eastAsia"/>
              </w:rPr>
            </w:pPr>
            <w:r>
              <w:rPr>
                <w:rFonts w:ascii="Arial" w:hAnsi="Arial"/>
                <w:color w:val="000000"/>
                <w:sz w:val="20"/>
                <w:szCs w:val="20"/>
              </w:rPr>
              <w:t>0.01</w:t>
            </w:r>
            <w:r>
              <w:rPr>
                <w:rFonts w:ascii="Arial" w:hAnsi="Arial"/>
                <w:color w:val="000000"/>
                <w:sz w:val="20"/>
                <w:szCs w:val="20"/>
              </w:rPr>
              <w:t xml:space="preserve"> ±0.0</w:t>
            </w:r>
            <w:r>
              <w:rPr>
                <w:rFonts w:ascii="Arial" w:hAnsi="Arial"/>
                <w:bCs/>
                <w:color w:val="000000"/>
                <w:sz w:val="20"/>
                <w:szCs w:val="20"/>
                <w:vertAlign w:val="superscript"/>
              </w:rPr>
              <w:t>a</w:t>
            </w:r>
          </w:p>
        </w:tc>
        <w:tc>
          <w:tcPr>
            <w:tcW w:w="3927" w:type="dxa"/>
          </w:tcPr>
          <w:p w14:paraId="74D875F2" w14:textId="77777777" w:rsidR="009A692A" w:rsidRDefault="002A3522">
            <w:pPr>
              <w:widowControl w:val="0"/>
              <w:spacing w:line="480" w:lineRule="auto"/>
              <w:jc w:val="both"/>
              <w:rPr>
                <w:rFonts w:hint="eastAsia"/>
              </w:rPr>
            </w:pPr>
            <w:r>
              <w:rPr>
                <w:rFonts w:ascii="Arial" w:hAnsi="Arial"/>
                <w:color w:val="000000"/>
                <w:sz w:val="20"/>
                <w:szCs w:val="20"/>
              </w:rPr>
              <w:t>7.43 ±0.0</w:t>
            </w:r>
            <w:r>
              <w:rPr>
                <w:rFonts w:ascii="Arial" w:hAnsi="Arial"/>
                <w:bCs/>
                <w:color w:val="000000"/>
                <w:sz w:val="20"/>
                <w:szCs w:val="20"/>
              </w:rPr>
              <w:t>4</w:t>
            </w:r>
            <w:r>
              <w:rPr>
                <w:rFonts w:ascii="Arial" w:hAnsi="Arial"/>
                <w:bCs/>
                <w:color w:val="000000"/>
                <w:sz w:val="20"/>
                <w:szCs w:val="20"/>
                <w:vertAlign w:val="superscript"/>
              </w:rPr>
              <w:t>b</w:t>
            </w:r>
          </w:p>
        </w:tc>
      </w:tr>
      <w:tr w:rsidR="009A692A" w14:paraId="118E30F7" w14:textId="77777777">
        <w:trPr>
          <w:trHeight w:val="299"/>
        </w:trPr>
        <w:tc>
          <w:tcPr>
            <w:tcW w:w="2148" w:type="dxa"/>
          </w:tcPr>
          <w:p w14:paraId="2432D856"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C</w:t>
            </w:r>
          </w:p>
        </w:tc>
        <w:tc>
          <w:tcPr>
            <w:tcW w:w="2992" w:type="dxa"/>
          </w:tcPr>
          <w:p w14:paraId="4DA21F6D" w14:textId="77777777" w:rsidR="009A692A" w:rsidRDefault="002A3522">
            <w:pPr>
              <w:widowControl w:val="0"/>
              <w:spacing w:line="480" w:lineRule="auto"/>
              <w:jc w:val="both"/>
              <w:rPr>
                <w:rFonts w:hint="eastAsia"/>
              </w:rPr>
            </w:pPr>
            <w:r>
              <w:rPr>
                <w:rFonts w:ascii="Arial" w:hAnsi="Arial"/>
                <w:color w:val="000000"/>
                <w:sz w:val="20"/>
                <w:szCs w:val="20"/>
              </w:rPr>
              <w:t>0.0</w:t>
            </w:r>
            <w:r>
              <w:rPr>
                <w:rFonts w:ascii="Arial" w:hAnsi="Arial"/>
                <w:bCs/>
                <w:color w:val="000000"/>
                <w:sz w:val="20"/>
                <w:szCs w:val="20"/>
              </w:rPr>
              <w:t>2</w:t>
            </w:r>
            <w:r>
              <w:rPr>
                <w:rFonts w:ascii="Arial" w:hAnsi="Arial"/>
                <w:color w:val="000000"/>
                <w:sz w:val="20"/>
                <w:szCs w:val="20"/>
              </w:rPr>
              <w:t xml:space="preserve"> ±0.01</w:t>
            </w:r>
            <w:r>
              <w:rPr>
                <w:rFonts w:ascii="Arial" w:hAnsi="Arial"/>
                <w:bCs/>
                <w:color w:val="000000"/>
                <w:sz w:val="20"/>
                <w:szCs w:val="20"/>
                <w:vertAlign w:val="superscript"/>
              </w:rPr>
              <w:t>a</w:t>
            </w:r>
          </w:p>
        </w:tc>
        <w:tc>
          <w:tcPr>
            <w:tcW w:w="3927" w:type="dxa"/>
          </w:tcPr>
          <w:p w14:paraId="5F9C7DAD" w14:textId="77777777" w:rsidR="009A692A" w:rsidRDefault="002A3522">
            <w:pPr>
              <w:widowControl w:val="0"/>
              <w:spacing w:line="480" w:lineRule="auto"/>
              <w:jc w:val="both"/>
              <w:rPr>
                <w:rFonts w:hint="eastAsia"/>
              </w:rPr>
            </w:pPr>
            <w:r>
              <w:rPr>
                <w:rFonts w:ascii="Arial" w:hAnsi="Arial"/>
                <w:color w:val="000000"/>
                <w:sz w:val="20"/>
                <w:szCs w:val="20"/>
              </w:rPr>
              <w:t>5.59±0.03</w:t>
            </w:r>
            <w:r>
              <w:rPr>
                <w:rFonts w:ascii="Arial" w:hAnsi="Arial"/>
                <w:color w:val="000000"/>
                <w:sz w:val="20"/>
                <w:szCs w:val="20"/>
                <w:vertAlign w:val="superscript"/>
              </w:rPr>
              <w:t>a</w:t>
            </w:r>
          </w:p>
        </w:tc>
      </w:tr>
      <w:tr w:rsidR="009A692A" w14:paraId="69475ABB" w14:textId="77777777">
        <w:trPr>
          <w:trHeight w:val="299"/>
        </w:trPr>
        <w:tc>
          <w:tcPr>
            <w:tcW w:w="2148" w:type="dxa"/>
          </w:tcPr>
          <w:p w14:paraId="16F9226A"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D</w:t>
            </w:r>
          </w:p>
        </w:tc>
        <w:tc>
          <w:tcPr>
            <w:tcW w:w="2992" w:type="dxa"/>
          </w:tcPr>
          <w:p w14:paraId="6EA9F633" w14:textId="77777777" w:rsidR="009A692A" w:rsidRDefault="002A3522">
            <w:pPr>
              <w:widowControl w:val="0"/>
              <w:spacing w:line="480" w:lineRule="auto"/>
              <w:jc w:val="both"/>
              <w:rPr>
                <w:rFonts w:hint="eastAsia"/>
              </w:rPr>
            </w:pPr>
            <w:r>
              <w:rPr>
                <w:rFonts w:ascii="Arial" w:hAnsi="Arial"/>
                <w:color w:val="000000"/>
                <w:sz w:val="20"/>
                <w:szCs w:val="20"/>
              </w:rPr>
              <w:t>0.03 ±0.01</w:t>
            </w:r>
            <w:r>
              <w:rPr>
                <w:rFonts w:ascii="Arial" w:hAnsi="Arial"/>
                <w:bCs/>
                <w:color w:val="000000"/>
                <w:sz w:val="20"/>
                <w:szCs w:val="20"/>
                <w:vertAlign w:val="superscript"/>
              </w:rPr>
              <w:t>a</w:t>
            </w:r>
          </w:p>
        </w:tc>
        <w:tc>
          <w:tcPr>
            <w:tcW w:w="3927" w:type="dxa"/>
          </w:tcPr>
          <w:p w14:paraId="0956FD7D" w14:textId="77777777" w:rsidR="009A692A" w:rsidRDefault="002A3522">
            <w:pPr>
              <w:widowControl w:val="0"/>
              <w:spacing w:line="480" w:lineRule="auto"/>
              <w:jc w:val="both"/>
              <w:rPr>
                <w:rFonts w:hint="eastAsia"/>
              </w:rPr>
            </w:pPr>
            <w:r>
              <w:rPr>
                <w:rFonts w:ascii="Arial" w:hAnsi="Arial"/>
                <w:color w:val="000000"/>
                <w:sz w:val="20"/>
                <w:szCs w:val="20"/>
              </w:rPr>
              <w:t>16.05±0.11</w:t>
            </w:r>
            <w:r>
              <w:rPr>
                <w:rFonts w:ascii="Arial" w:hAnsi="Arial"/>
                <w:bCs/>
                <w:color w:val="000000"/>
                <w:sz w:val="20"/>
                <w:szCs w:val="20"/>
                <w:vertAlign w:val="superscript"/>
              </w:rPr>
              <w:t>d</w:t>
            </w:r>
          </w:p>
        </w:tc>
      </w:tr>
      <w:tr w:rsidR="009A692A" w14:paraId="79B23BE9" w14:textId="77777777">
        <w:trPr>
          <w:trHeight w:val="299"/>
        </w:trPr>
        <w:tc>
          <w:tcPr>
            <w:tcW w:w="2148" w:type="dxa"/>
          </w:tcPr>
          <w:p w14:paraId="7170AC38"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E</w:t>
            </w:r>
          </w:p>
        </w:tc>
        <w:tc>
          <w:tcPr>
            <w:tcW w:w="2992" w:type="dxa"/>
          </w:tcPr>
          <w:p w14:paraId="0A8BDCF4" w14:textId="77777777" w:rsidR="009A692A" w:rsidRDefault="002A3522">
            <w:pPr>
              <w:widowControl w:val="0"/>
              <w:spacing w:line="480" w:lineRule="auto"/>
              <w:jc w:val="both"/>
              <w:rPr>
                <w:rFonts w:hint="eastAsia"/>
              </w:rPr>
            </w:pPr>
            <w:r>
              <w:rPr>
                <w:rFonts w:ascii="Arial" w:hAnsi="Arial"/>
                <w:color w:val="000000"/>
                <w:sz w:val="20"/>
                <w:szCs w:val="20"/>
              </w:rPr>
              <w:t>0.11 ±0.0</w:t>
            </w:r>
            <w:r>
              <w:rPr>
                <w:rFonts w:ascii="Arial" w:hAnsi="Arial"/>
                <w:bCs/>
                <w:color w:val="000000"/>
                <w:sz w:val="20"/>
                <w:szCs w:val="20"/>
              </w:rPr>
              <w:t>2</w:t>
            </w:r>
            <w:r>
              <w:rPr>
                <w:rFonts w:ascii="Arial" w:hAnsi="Arial"/>
                <w:bCs/>
                <w:color w:val="000000"/>
                <w:sz w:val="20"/>
                <w:szCs w:val="20"/>
                <w:vertAlign w:val="superscript"/>
              </w:rPr>
              <w:t>b</w:t>
            </w:r>
          </w:p>
        </w:tc>
        <w:tc>
          <w:tcPr>
            <w:tcW w:w="3927" w:type="dxa"/>
          </w:tcPr>
          <w:p w14:paraId="32A832D1" w14:textId="77777777" w:rsidR="009A692A" w:rsidRDefault="002A3522">
            <w:pPr>
              <w:widowControl w:val="0"/>
              <w:spacing w:line="480" w:lineRule="auto"/>
              <w:jc w:val="both"/>
              <w:rPr>
                <w:rFonts w:hint="eastAsia"/>
              </w:rPr>
            </w:pPr>
            <w:r>
              <w:rPr>
                <w:rFonts w:ascii="Arial" w:hAnsi="Arial"/>
                <w:color w:val="000000"/>
                <w:sz w:val="20"/>
                <w:szCs w:val="20"/>
              </w:rPr>
              <w:t>19.</w:t>
            </w:r>
            <w:r>
              <w:rPr>
                <w:rFonts w:ascii="Arial" w:hAnsi="Arial"/>
                <w:bCs/>
                <w:color w:val="000000"/>
                <w:sz w:val="20"/>
                <w:szCs w:val="20"/>
              </w:rPr>
              <w:t xml:space="preserve"> 27</w:t>
            </w:r>
            <w:r>
              <w:rPr>
                <w:rFonts w:ascii="Arial" w:hAnsi="Arial"/>
                <w:color w:val="000000"/>
                <w:sz w:val="20"/>
                <w:szCs w:val="20"/>
              </w:rPr>
              <w:t>±0.04</w:t>
            </w:r>
            <w:r>
              <w:rPr>
                <w:rFonts w:ascii="Arial" w:hAnsi="Arial"/>
                <w:color w:val="000000"/>
                <w:sz w:val="20"/>
                <w:szCs w:val="20"/>
                <w:vertAlign w:val="superscript"/>
              </w:rPr>
              <w:t>e</w:t>
            </w:r>
          </w:p>
        </w:tc>
      </w:tr>
      <w:tr w:rsidR="009A692A" w14:paraId="35725B4D" w14:textId="77777777">
        <w:trPr>
          <w:trHeight w:val="299"/>
        </w:trPr>
        <w:tc>
          <w:tcPr>
            <w:tcW w:w="2148" w:type="dxa"/>
          </w:tcPr>
          <w:p w14:paraId="45B15E7E"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F</w:t>
            </w:r>
          </w:p>
        </w:tc>
        <w:tc>
          <w:tcPr>
            <w:tcW w:w="2992" w:type="dxa"/>
          </w:tcPr>
          <w:p w14:paraId="4082E390" w14:textId="77777777" w:rsidR="009A692A" w:rsidRDefault="002A3522">
            <w:pPr>
              <w:widowControl w:val="0"/>
              <w:spacing w:line="480" w:lineRule="auto"/>
              <w:jc w:val="both"/>
              <w:rPr>
                <w:rFonts w:hint="eastAsia"/>
              </w:rPr>
            </w:pPr>
            <w:r>
              <w:rPr>
                <w:rFonts w:ascii="Arial" w:hAnsi="Arial"/>
                <w:color w:val="000000"/>
                <w:sz w:val="20"/>
                <w:szCs w:val="20"/>
              </w:rPr>
              <w:t>0.3</w:t>
            </w:r>
            <w:r>
              <w:rPr>
                <w:rFonts w:ascii="Arial" w:hAnsi="Arial"/>
                <w:bCs/>
                <w:color w:val="000000"/>
                <w:sz w:val="20"/>
                <w:szCs w:val="20"/>
              </w:rPr>
              <w:t>2</w:t>
            </w:r>
            <w:r>
              <w:rPr>
                <w:rFonts w:ascii="Arial" w:hAnsi="Arial"/>
                <w:color w:val="000000"/>
                <w:sz w:val="20"/>
                <w:szCs w:val="20"/>
              </w:rPr>
              <w:t xml:space="preserve"> ±0.05</w:t>
            </w:r>
            <w:r>
              <w:rPr>
                <w:rFonts w:ascii="Arial" w:hAnsi="Arial"/>
                <w:bCs/>
                <w:color w:val="000000"/>
                <w:sz w:val="20"/>
                <w:szCs w:val="20"/>
                <w:vertAlign w:val="superscript"/>
              </w:rPr>
              <w:t>c</w:t>
            </w:r>
          </w:p>
        </w:tc>
        <w:tc>
          <w:tcPr>
            <w:tcW w:w="3927" w:type="dxa"/>
          </w:tcPr>
          <w:p w14:paraId="7860D257" w14:textId="77777777" w:rsidR="009A692A" w:rsidRDefault="002A3522">
            <w:pPr>
              <w:widowControl w:val="0"/>
              <w:spacing w:line="480" w:lineRule="auto"/>
              <w:jc w:val="both"/>
              <w:rPr>
                <w:rFonts w:hint="eastAsia"/>
              </w:rPr>
            </w:pPr>
            <w:r>
              <w:rPr>
                <w:rFonts w:ascii="Arial" w:hAnsi="Arial"/>
                <w:color w:val="000000"/>
                <w:sz w:val="20"/>
                <w:szCs w:val="20"/>
              </w:rPr>
              <w:t>16.69±0.0.13</w:t>
            </w:r>
            <w:r>
              <w:rPr>
                <w:rFonts w:ascii="Arial" w:hAnsi="Arial"/>
                <w:bCs/>
                <w:color w:val="000000"/>
                <w:sz w:val="20"/>
                <w:szCs w:val="20"/>
                <w:vertAlign w:val="superscript"/>
              </w:rPr>
              <w:t>d</w:t>
            </w:r>
          </w:p>
        </w:tc>
      </w:tr>
      <w:tr w:rsidR="009A692A" w14:paraId="25E9348A" w14:textId="77777777">
        <w:trPr>
          <w:trHeight w:val="312"/>
        </w:trPr>
        <w:tc>
          <w:tcPr>
            <w:tcW w:w="2148" w:type="dxa"/>
            <w:tcBorders>
              <w:bottom w:val="single" w:sz="8" w:space="0" w:color="000000"/>
            </w:tcBorders>
          </w:tcPr>
          <w:p w14:paraId="7F257103" w14:textId="77777777" w:rsidR="009A692A" w:rsidRDefault="002A3522">
            <w:pPr>
              <w:widowControl w:val="0"/>
              <w:tabs>
                <w:tab w:val="left" w:pos="0"/>
              </w:tabs>
              <w:spacing w:line="480" w:lineRule="auto"/>
              <w:jc w:val="both"/>
              <w:rPr>
                <w:rFonts w:hint="eastAsia"/>
              </w:rPr>
            </w:pPr>
            <w:r>
              <w:rPr>
                <w:rFonts w:ascii="Arial" w:hAnsi="Arial"/>
                <w:bCs/>
                <w:color w:val="000000"/>
                <w:sz w:val="20"/>
                <w:szCs w:val="20"/>
              </w:rPr>
              <w:t>G</w:t>
            </w:r>
          </w:p>
        </w:tc>
        <w:tc>
          <w:tcPr>
            <w:tcW w:w="2992" w:type="dxa"/>
            <w:tcBorders>
              <w:bottom w:val="single" w:sz="8" w:space="0" w:color="000000"/>
            </w:tcBorders>
          </w:tcPr>
          <w:p w14:paraId="5A6D6A56" w14:textId="77777777" w:rsidR="009A692A" w:rsidRDefault="002A3522">
            <w:pPr>
              <w:widowControl w:val="0"/>
              <w:spacing w:line="480" w:lineRule="auto"/>
              <w:jc w:val="both"/>
              <w:rPr>
                <w:rFonts w:hint="eastAsia"/>
              </w:rPr>
            </w:pPr>
            <w:r>
              <w:rPr>
                <w:rFonts w:ascii="Arial" w:hAnsi="Arial"/>
                <w:color w:val="000000"/>
                <w:sz w:val="20"/>
                <w:szCs w:val="20"/>
              </w:rPr>
              <w:t>0.58 ±0.03</w:t>
            </w:r>
            <w:r>
              <w:rPr>
                <w:rFonts w:ascii="Arial" w:hAnsi="Arial"/>
                <w:bCs/>
                <w:color w:val="000000"/>
                <w:sz w:val="20"/>
                <w:szCs w:val="20"/>
                <w:vertAlign w:val="superscript"/>
              </w:rPr>
              <w:t>d</w:t>
            </w:r>
          </w:p>
        </w:tc>
        <w:tc>
          <w:tcPr>
            <w:tcW w:w="3927" w:type="dxa"/>
            <w:tcBorders>
              <w:bottom w:val="single" w:sz="8" w:space="0" w:color="000000"/>
            </w:tcBorders>
          </w:tcPr>
          <w:p w14:paraId="329554F6" w14:textId="77777777" w:rsidR="009A692A" w:rsidRDefault="002A3522">
            <w:pPr>
              <w:widowControl w:val="0"/>
              <w:spacing w:line="480" w:lineRule="auto"/>
              <w:jc w:val="both"/>
              <w:rPr>
                <w:rFonts w:hint="eastAsia"/>
              </w:rPr>
            </w:pPr>
            <w:r>
              <w:rPr>
                <w:rFonts w:ascii="Arial" w:hAnsi="Arial"/>
                <w:bCs/>
                <w:color w:val="000000"/>
                <w:sz w:val="20"/>
                <w:szCs w:val="20"/>
              </w:rPr>
              <w:t>2</w:t>
            </w:r>
            <w:r>
              <w:rPr>
                <w:rFonts w:ascii="Arial" w:hAnsi="Arial"/>
                <w:color w:val="000000"/>
                <w:sz w:val="20"/>
                <w:szCs w:val="20"/>
              </w:rPr>
              <w:t>0.75±0.17</w:t>
            </w:r>
            <w:r>
              <w:rPr>
                <w:rFonts w:ascii="Arial" w:hAnsi="Arial"/>
                <w:color w:val="000000"/>
                <w:sz w:val="20"/>
                <w:szCs w:val="20"/>
                <w:vertAlign w:val="superscript"/>
              </w:rPr>
              <w:t>f</w:t>
            </w:r>
          </w:p>
        </w:tc>
      </w:tr>
    </w:tbl>
    <w:p w14:paraId="7E915D6F" w14:textId="77777777" w:rsidR="009A692A" w:rsidRDefault="002A3522">
      <w:pPr>
        <w:pStyle w:val="ListParagraph"/>
        <w:tabs>
          <w:tab w:val="left" w:pos="3495"/>
        </w:tabs>
        <w:spacing w:after="0" w:line="480" w:lineRule="auto"/>
        <w:ind w:left="0"/>
        <w:contextualSpacing w:val="0"/>
        <w:jc w:val="both"/>
        <w:rPr>
          <w:rFonts w:ascii="Arial" w:hAnsi="Arial"/>
          <w:sz w:val="20"/>
          <w:szCs w:val="20"/>
        </w:rPr>
      </w:pPr>
      <w:r>
        <w:rPr>
          <w:rFonts w:ascii="Arial" w:hAnsi="Arial" w:cs="Times New Roman"/>
          <w:color w:val="000000"/>
          <w:sz w:val="20"/>
          <w:szCs w:val="20"/>
        </w:rPr>
        <w:t>A: 100% potato, B: potato with 10% soy bean, C: potato with 15% soy bean, D: potato with</w:t>
      </w:r>
      <w:r>
        <w:rPr>
          <w:rFonts w:ascii="Arial" w:hAnsi="Arial" w:cs="Times New Roman"/>
          <w:color w:val="000000"/>
          <w:sz w:val="20"/>
          <w:szCs w:val="20"/>
        </w:rPr>
        <w:t xml:space="preserve"> 10% moringa, E: potato with 15% moringa and 10% soy bean, F: potato with 10% moringa and 10 % soy bean, G: potato with 15% moringa and 15% soy bean. Different subscripts within the same colunmn differ significantly (</w:t>
      </w:r>
      <w:r>
        <w:rPr>
          <w:rFonts w:ascii="Arial" w:hAnsi="Arial" w:cs="Times New Roman"/>
          <w:i/>
          <w:iCs/>
          <w:color w:val="000000"/>
          <w:sz w:val="20"/>
          <w:szCs w:val="20"/>
        </w:rPr>
        <w:t>P</w:t>
      </w:r>
      <w:r>
        <w:rPr>
          <w:rFonts w:ascii="Arial" w:hAnsi="Arial" w:cs="Times New Roman"/>
          <w:color w:val="000000"/>
          <w:sz w:val="20"/>
          <w:szCs w:val="20"/>
        </w:rPr>
        <w:t>&lt;.05)</w:t>
      </w:r>
    </w:p>
    <w:p w14:paraId="29BA5A38" w14:textId="77777777" w:rsidR="009A692A" w:rsidRDefault="009A692A">
      <w:pPr>
        <w:jc w:val="both"/>
        <w:rPr>
          <w:rFonts w:ascii="Arial" w:hAnsi="Arial"/>
          <w:bCs/>
          <w:color w:val="000000"/>
          <w:sz w:val="20"/>
          <w:szCs w:val="20"/>
        </w:rPr>
      </w:pPr>
    </w:p>
    <w:p w14:paraId="6D23E996" w14:textId="77777777" w:rsidR="009A692A" w:rsidRDefault="009A692A">
      <w:pPr>
        <w:rPr>
          <w:rFonts w:ascii="Arial" w:hAnsi="Arial"/>
          <w:color w:val="000000"/>
          <w:sz w:val="20"/>
          <w:szCs w:val="20"/>
        </w:rPr>
      </w:pPr>
    </w:p>
    <w:p w14:paraId="15C51821" w14:textId="77777777" w:rsidR="009A692A" w:rsidRDefault="002A3522">
      <w:pPr>
        <w:spacing w:line="360" w:lineRule="auto"/>
        <w:jc w:val="both"/>
        <w:rPr>
          <w:rFonts w:hint="eastAsia"/>
          <w:sz w:val="22"/>
          <w:szCs w:val="22"/>
        </w:rPr>
      </w:pPr>
      <w:r>
        <w:rPr>
          <w:rFonts w:ascii="Arial" w:hAnsi="Arial"/>
          <w:b/>
          <w:color w:val="000000"/>
          <w:sz w:val="22"/>
          <w:szCs w:val="22"/>
        </w:rPr>
        <w:t>4. DISCUSSION</w:t>
      </w:r>
    </w:p>
    <w:p w14:paraId="453B6E8C" w14:textId="77777777" w:rsidR="009A692A" w:rsidRDefault="009A692A">
      <w:pPr>
        <w:rPr>
          <w:rFonts w:ascii="Arial" w:hAnsi="Arial"/>
          <w:color w:val="000000"/>
          <w:sz w:val="20"/>
          <w:szCs w:val="20"/>
        </w:rPr>
      </w:pPr>
    </w:p>
    <w:p w14:paraId="140CD26B" w14:textId="77777777" w:rsidR="009A692A" w:rsidRDefault="009A692A">
      <w:pPr>
        <w:rPr>
          <w:rFonts w:ascii="Arial" w:hAnsi="Arial"/>
          <w:sz w:val="20"/>
          <w:szCs w:val="20"/>
        </w:rPr>
      </w:pPr>
    </w:p>
    <w:p w14:paraId="4AF11961" w14:textId="77777777" w:rsidR="009A692A" w:rsidRDefault="009A692A">
      <w:pPr>
        <w:rPr>
          <w:rFonts w:hint="eastAsia"/>
        </w:rPr>
      </w:pPr>
    </w:p>
    <w:p w14:paraId="1E677528" w14:textId="77777777" w:rsidR="009A692A" w:rsidRDefault="009A692A">
      <w:pPr>
        <w:rPr>
          <w:rFonts w:hint="eastAsia"/>
        </w:rPr>
        <w:sectPr w:rsidR="009A692A">
          <w:type w:val="continuous"/>
          <w:pgSz w:w="11906" w:h="16838"/>
          <w:pgMar w:top="1134" w:right="1134" w:bottom="1946" w:left="1134" w:header="0" w:footer="1134" w:gutter="0"/>
          <w:cols w:space="720"/>
          <w:formProt w:val="0"/>
          <w:docGrid w:linePitch="100"/>
        </w:sectPr>
      </w:pPr>
    </w:p>
    <w:p w14:paraId="02064DFC" w14:textId="77777777" w:rsidR="009A692A" w:rsidRDefault="002A3522">
      <w:pPr>
        <w:tabs>
          <w:tab w:val="left" w:pos="7938"/>
        </w:tabs>
        <w:jc w:val="both"/>
        <w:rPr>
          <w:rFonts w:ascii="Arial" w:hAnsi="Arial"/>
          <w:sz w:val="20"/>
          <w:szCs w:val="20"/>
        </w:rPr>
      </w:pPr>
      <w:r>
        <w:rPr>
          <w:rFonts w:ascii="Arial" w:eastAsia="GaramondPremrPro" w:hAnsi="Arial"/>
          <w:color w:val="000000"/>
          <w:sz w:val="20"/>
          <w:szCs w:val="20"/>
        </w:rPr>
        <w:t>Diseases due to inadequate or limited effective nutrients are responsible for or associated to with numerous health affections including both communicable and non-communicable diseases. The burden of such diseases is particularly im</w:t>
      </w:r>
      <w:r>
        <w:rPr>
          <w:rFonts w:ascii="Arial" w:eastAsia="GaramondPremrPro" w:hAnsi="Arial"/>
          <w:color w:val="000000"/>
          <w:sz w:val="20"/>
          <w:szCs w:val="20"/>
        </w:rPr>
        <w:t xml:space="preserve">portant among vulnerable groups (children, and pregnant women) in developing countries such as Cameroon (Echouffo-Tcheugui and Kengne 2011; Kyu </w:t>
      </w:r>
      <w:r>
        <w:rPr>
          <w:rFonts w:ascii="Arial" w:hAnsi="Arial"/>
          <w:color w:val="000000"/>
          <w:sz w:val="20"/>
          <w:szCs w:val="20"/>
        </w:rPr>
        <w:t>et al</w:t>
      </w:r>
      <w:r>
        <w:rPr>
          <w:rFonts w:ascii="Arial" w:eastAsia="GaramondPremrPro" w:hAnsi="Arial"/>
          <w:color w:val="000000"/>
          <w:sz w:val="20"/>
          <w:szCs w:val="20"/>
        </w:rPr>
        <w:t>. 2018; WHO 2023). Food enrichment is a delicate process which that can results in a positive or negative i</w:t>
      </w:r>
      <w:r>
        <w:rPr>
          <w:rFonts w:ascii="Arial" w:eastAsia="GaramondPremrPro" w:hAnsi="Arial"/>
          <w:color w:val="000000"/>
          <w:sz w:val="20"/>
          <w:szCs w:val="20"/>
        </w:rPr>
        <w:t>mpact of on different physicochemical properties of the final product (</w:t>
      </w:r>
      <w:r>
        <w:rPr>
          <w:rFonts w:ascii="Arial" w:hAnsi="Arial"/>
          <w:color w:val="000000"/>
          <w:sz w:val="20"/>
          <w:szCs w:val="20"/>
        </w:rPr>
        <w:t>Igual and Martínez-Monzó 2022)</w:t>
      </w:r>
      <w:r>
        <w:rPr>
          <w:rFonts w:ascii="Arial" w:eastAsia="GaramondPremrPro" w:hAnsi="Arial"/>
          <w:color w:val="000000"/>
          <w:sz w:val="20"/>
          <w:szCs w:val="20"/>
        </w:rPr>
        <w:t xml:space="preserve">. The study was then designed </w:t>
      </w:r>
      <w:r>
        <w:rPr>
          <w:rFonts w:ascii="Arial" w:hAnsi="Arial"/>
          <w:color w:val="000000"/>
          <w:sz w:val="20"/>
          <w:szCs w:val="20"/>
        </w:rPr>
        <w:t>to produce an enriched snack from potatoes using moringa leaf powder and soybean flour as a nutrient source with a goal of co</w:t>
      </w:r>
      <w:r>
        <w:rPr>
          <w:rFonts w:ascii="Arial" w:hAnsi="Arial"/>
          <w:color w:val="000000"/>
          <w:sz w:val="20"/>
          <w:szCs w:val="20"/>
        </w:rPr>
        <w:t>ntributing to contribute to the fight against health and nutritional nutritional-related diseases using an enriched commonly consumed foods in this case which potato chips</w:t>
      </w:r>
      <w:r>
        <w:rPr>
          <w:rFonts w:ascii="Arial" w:eastAsia="GaramondPremrPro" w:hAnsi="Arial"/>
          <w:color w:val="000000"/>
          <w:sz w:val="20"/>
          <w:szCs w:val="20"/>
        </w:rPr>
        <w:t xml:space="preserve">. </w:t>
      </w:r>
    </w:p>
    <w:p w14:paraId="46EA76D7" w14:textId="77777777" w:rsidR="009A692A" w:rsidRDefault="002A3522">
      <w:pPr>
        <w:pStyle w:val="Default"/>
        <w:tabs>
          <w:tab w:val="left" w:pos="7938"/>
        </w:tabs>
        <w:jc w:val="both"/>
        <w:rPr>
          <w:rFonts w:ascii="Arial" w:hAnsi="Arial"/>
          <w:sz w:val="20"/>
          <w:szCs w:val="20"/>
        </w:rPr>
      </w:pPr>
      <w:r>
        <w:rPr>
          <w:rFonts w:ascii="Arial" w:hAnsi="Arial"/>
          <w:sz w:val="20"/>
          <w:szCs w:val="20"/>
        </w:rPr>
        <w:t>The incorporation of either soy bean or moringa or both decreased the carbohydrate</w:t>
      </w:r>
      <w:r>
        <w:rPr>
          <w:rFonts w:ascii="Arial" w:hAnsi="Arial"/>
          <w:sz w:val="20"/>
          <w:szCs w:val="20"/>
        </w:rPr>
        <w:t xml:space="preserve"> and moisture contents while increasing, protein, fat, f</w:t>
      </w:r>
      <w:r>
        <w:rPr>
          <w:rFonts w:ascii="Arial" w:eastAsia="GaramondPremrPro" w:hAnsi="Arial"/>
          <w:sz w:val="20"/>
          <w:szCs w:val="20"/>
        </w:rPr>
        <w:t xml:space="preserve">ibers, and ash levels </w:t>
      </w:r>
      <w:r>
        <w:rPr>
          <w:rFonts w:ascii="Arial" w:hAnsi="Arial"/>
          <w:sz w:val="20"/>
          <w:szCs w:val="20"/>
        </w:rPr>
        <w:t>in potato chips</w:t>
      </w:r>
      <w:r>
        <w:rPr>
          <w:rFonts w:ascii="Arial" w:eastAsia="GaramondPremrPro" w:hAnsi="Arial"/>
          <w:sz w:val="20"/>
          <w:szCs w:val="20"/>
        </w:rPr>
        <w:t>. Carbohydrates are large and abundant biomolecules used as first first-line for their nutritive and cell structural properties (</w:t>
      </w:r>
      <w:r>
        <w:rPr>
          <w:rFonts w:ascii="Arial" w:hAnsi="Arial"/>
          <w:sz w:val="20"/>
          <w:szCs w:val="20"/>
        </w:rPr>
        <w:t>Chinaza and Ikechukwu 2021)</w:t>
      </w:r>
      <w:r>
        <w:rPr>
          <w:rFonts w:ascii="Arial" w:eastAsia="GaramondPremrPro" w:hAnsi="Arial"/>
          <w:sz w:val="20"/>
          <w:szCs w:val="20"/>
        </w:rPr>
        <w:t>. It is</w:t>
      </w:r>
      <w:r>
        <w:rPr>
          <w:rFonts w:ascii="Arial" w:eastAsia="GaramondPremrPro" w:hAnsi="Arial"/>
          <w:sz w:val="20"/>
          <w:szCs w:val="20"/>
        </w:rPr>
        <w:t xml:space="preserve"> the main the constituents of starchy foods especially Irish potatoes and one of the main staple foods consumed worldwide including Cameroon. The substantial decrease of in carbohydrates particularly upon incorporation of moringa could favor the utilizatio</w:t>
      </w:r>
      <w:r>
        <w:rPr>
          <w:rFonts w:ascii="Arial" w:eastAsia="GaramondPremrPro" w:hAnsi="Arial"/>
          <w:sz w:val="20"/>
          <w:szCs w:val="20"/>
        </w:rPr>
        <w:t>n of a formula by people that necessitate the consumption of less starchy foods such as diabetic patients. Proteins and fats represent key compounds used in the biosynthesis of vital biomolecules such as structural proteins, cell membranes, enzymes, vitami</w:t>
      </w:r>
      <w:r>
        <w:rPr>
          <w:rFonts w:ascii="Arial" w:eastAsia="GaramondPremrPro" w:hAnsi="Arial"/>
          <w:sz w:val="20"/>
          <w:szCs w:val="20"/>
        </w:rPr>
        <w:t>ns, antibodies, and hormones (</w:t>
      </w:r>
      <w:r>
        <w:rPr>
          <w:rFonts w:ascii="Arial" w:hAnsi="Arial"/>
          <w:sz w:val="20"/>
          <w:szCs w:val="20"/>
        </w:rPr>
        <w:t>Singh et al. 2017; Morris et al. 2022). Fibers are non-digestible (by humans) carbohydrate polymers that play important biological functions including improving the digestive tract health, and prevention, control, and reductio</w:t>
      </w:r>
      <w:r>
        <w:rPr>
          <w:rFonts w:ascii="Arial" w:hAnsi="Arial"/>
          <w:sz w:val="20"/>
          <w:szCs w:val="20"/>
        </w:rPr>
        <w:t>n of cases of metabolic and chronic diseases (Barber et al. 2020). Ash constitutes the inorganic portion of a given food obtained from the burning of the organic constituents. It is directly proportionate to the food's total mineral content (Monti et al. 2</w:t>
      </w:r>
      <w:r>
        <w:rPr>
          <w:rFonts w:ascii="Arial" w:hAnsi="Arial"/>
          <w:sz w:val="20"/>
          <w:szCs w:val="20"/>
        </w:rPr>
        <w:t xml:space="preserve">008). The increase of </w:t>
      </w:r>
      <w:r>
        <w:rPr>
          <w:rFonts w:ascii="Arial" w:hAnsi="Arial"/>
          <w:sz w:val="20"/>
          <w:szCs w:val="20"/>
        </w:rPr>
        <w:lastRenderedPageBreak/>
        <w:t>the protein, fat, f</w:t>
      </w:r>
      <w:r>
        <w:rPr>
          <w:rFonts w:ascii="Arial" w:eastAsia="GaramondPremrPro" w:hAnsi="Arial"/>
          <w:sz w:val="20"/>
          <w:szCs w:val="20"/>
        </w:rPr>
        <w:t xml:space="preserve">ibers, ash and mineral contents </w:t>
      </w:r>
      <w:r>
        <w:rPr>
          <w:rFonts w:ascii="Arial" w:hAnsi="Arial"/>
          <w:sz w:val="20"/>
          <w:szCs w:val="20"/>
        </w:rPr>
        <w:t>in obtained potato chips could be due to the richness of moringa and the combination moringa - soy bean in these nutrients. Consistently authors have revealed a high content of soy be</w:t>
      </w:r>
      <w:r>
        <w:rPr>
          <w:rFonts w:ascii="Arial" w:hAnsi="Arial"/>
          <w:sz w:val="20"/>
          <w:szCs w:val="20"/>
        </w:rPr>
        <w:t xml:space="preserve">an and moringa in fibers, proteins, and minerals (Abbas et al. 2018; Bayero et al. 2019). Comparatively, moringa is rich in minerals namely K, S, Ca, and Fe with Ca and Fe being highly bioaccessible (Peñalver et al. 2022). </w:t>
      </w:r>
      <w:r>
        <w:rPr>
          <w:rFonts w:ascii="Arial" w:eastAsia="Times New Roman" w:hAnsi="Arial"/>
          <w:sz w:val="20"/>
          <w:szCs w:val="20"/>
        </w:rPr>
        <w:t>The increase in mineral content o</w:t>
      </w:r>
      <w:r>
        <w:rPr>
          <w:rFonts w:ascii="Arial" w:eastAsia="Times New Roman" w:hAnsi="Arial"/>
          <w:sz w:val="20"/>
          <w:szCs w:val="20"/>
        </w:rPr>
        <w:t>f enriched potatoes chips underscores the effectiveness of moringa and in mixture with soybean flour in enhancing food nutritional value and thus a viable strategy for boosting essential minerals like iron, potassium, and calcium.</w:t>
      </w:r>
    </w:p>
    <w:p w14:paraId="2BDDFC16" w14:textId="77777777" w:rsidR="009A692A" w:rsidRDefault="002A3522">
      <w:pPr>
        <w:pStyle w:val="Default"/>
        <w:tabs>
          <w:tab w:val="left" w:pos="7938"/>
        </w:tabs>
        <w:jc w:val="both"/>
        <w:rPr>
          <w:rFonts w:ascii="Arial" w:hAnsi="Arial"/>
          <w:sz w:val="20"/>
          <w:szCs w:val="20"/>
        </w:rPr>
      </w:pPr>
      <w:r>
        <w:rPr>
          <w:rFonts w:ascii="Arial" w:hAnsi="Arial"/>
          <w:sz w:val="20"/>
          <w:szCs w:val="20"/>
        </w:rPr>
        <w:t>The supplemented ingredie</w:t>
      </w:r>
      <w:r>
        <w:rPr>
          <w:rFonts w:ascii="Arial" w:hAnsi="Arial"/>
          <w:sz w:val="20"/>
          <w:szCs w:val="20"/>
        </w:rPr>
        <w:t>nts, particularly moringa as from 15% incorporation or in combination with soy bean resulted in significantly increased contents of the evaluated antioxidants (β-carotene, total phenolics). The essential source of antioxidants in enriched potato chips seem</w:t>
      </w:r>
      <w:r>
        <w:rPr>
          <w:rFonts w:ascii="Arial" w:hAnsi="Arial"/>
          <w:sz w:val="20"/>
          <w:szCs w:val="20"/>
        </w:rPr>
        <w:t>s to originate from moringa powder rather than soy bean flour as the latter alone displayed no or decreased antioxidant contents in the present processed food. In fact moringa leaves have been shown to possess noticeable amounts of antioxidants including p</w:t>
      </w:r>
      <w:r>
        <w:rPr>
          <w:rFonts w:ascii="Arial" w:hAnsi="Arial"/>
          <w:sz w:val="20"/>
          <w:szCs w:val="20"/>
        </w:rPr>
        <w:t xml:space="preserve">henolic compounds and the pro-vitamin A, β-carotene (Ali et al. 2022; Peñalver et al. 2022). Phenolic compounds are a large group of secondary metabolites containing hydroxyl group on the aromatic ring and displaying different biological functions such as </w:t>
      </w:r>
      <w:r>
        <w:rPr>
          <w:rFonts w:ascii="Arial" w:hAnsi="Arial"/>
          <w:sz w:val="20"/>
          <w:szCs w:val="20"/>
        </w:rPr>
        <w:t>anti-inflammatory, antioxidant, antimicrobial, anticancer, antidiabetic, neuroprotective,  and cardioprotective properties (Sauceda et al. 2017). Consequently, the present enriched potato chips especially those supplemented with 15% moringa and the moringa</w:t>
      </w:r>
      <w:r>
        <w:rPr>
          <w:rFonts w:ascii="Arial" w:hAnsi="Arial"/>
          <w:sz w:val="20"/>
          <w:szCs w:val="20"/>
        </w:rPr>
        <w:t xml:space="preserve">/soy bean could be promising options for individuals suffering or at risk of vitamin A deficiency or oxidative stress stress-related diseases. </w:t>
      </w:r>
    </w:p>
    <w:p w14:paraId="7E1CAAA2" w14:textId="77777777" w:rsidR="009A692A" w:rsidRDefault="002A3522">
      <w:pPr>
        <w:suppressAutoHyphens w:val="0"/>
        <w:jc w:val="both"/>
        <w:rPr>
          <w:rFonts w:ascii="Arial" w:hAnsi="Arial"/>
          <w:sz w:val="20"/>
          <w:szCs w:val="20"/>
        </w:rPr>
      </w:pPr>
      <w:r>
        <w:rPr>
          <w:rFonts w:ascii="Arial" w:eastAsia="Calibri" w:hAnsi="Arial"/>
          <w:color w:val="000000"/>
          <w:sz w:val="20"/>
          <w:szCs w:val="20"/>
        </w:rPr>
        <w:t>The sensory attributes constitute a qualitative appreciation of a given food item by selected panelists, this fo</w:t>
      </w:r>
      <w:r>
        <w:rPr>
          <w:rFonts w:ascii="Arial" w:eastAsia="Calibri" w:hAnsi="Arial"/>
          <w:color w:val="000000"/>
          <w:sz w:val="20"/>
          <w:szCs w:val="20"/>
        </w:rPr>
        <w:t xml:space="preserve">r with the overall goal to of providing some orientations to a the possible acceptability of a product (Ruiz-Capillas </w:t>
      </w:r>
      <w:r>
        <w:rPr>
          <w:rFonts w:ascii="Arial" w:hAnsi="Arial"/>
          <w:color w:val="000000"/>
          <w:sz w:val="20"/>
          <w:szCs w:val="20"/>
        </w:rPr>
        <w:t>et al</w:t>
      </w:r>
      <w:r>
        <w:rPr>
          <w:rFonts w:ascii="Arial" w:eastAsia="Calibri" w:hAnsi="Arial"/>
          <w:color w:val="000000"/>
          <w:sz w:val="20"/>
          <w:szCs w:val="20"/>
        </w:rPr>
        <w:t xml:space="preserve">. 2021). Out of the potato chip samples, </w:t>
      </w:r>
      <w:r>
        <w:rPr>
          <w:rFonts w:ascii="Arial" w:eastAsia="GaramondPremrPro" w:hAnsi="Arial"/>
          <w:color w:val="000000"/>
          <w:sz w:val="20"/>
          <w:szCs w:val="20"/>
        </w:rPr>
        <w:t>those enriched with soy bean flour maintained the sensory attributes while</w:t>
      </w:r>
      <w:r>
        <w:rPr>
          <w:rFonts w:ascii="Arial" w:eastAsia="GaramondPremrPro" w:hAnsi="Arial"/>
          <w:color w:val="000000"/>
          <w:sz w:val="20"/>
          <w:szCs w:val="20"/>
        </w:rPr>
        <w:t xml:space="preserve"> the inclusion of moringa flour tended to lower these properties. The decreased appreciation of moringa-based potato chips is consistent with the bitterness taste due to the glucosinolates and saponins present in the leaves of this plant (</w:t>
      </w:r>
      <w:r>
        <w:rPr>
          <w:rFonts w:ascii="Arial" w:eastAsia="Calibri" w:hAnsi="Arial"/>
          <w:color w:val="000000"/>
          <w:sz w:val="20"/>
          <w:szCs w:val="20"/>
        </w:rPr>
        <w:t xml:space="preserve">Divya </w:t>
      </w:r>
      <w:r>
        <w:rPr>
          <w:rFonts w:ascii="Arial" w:hAnsi="Arial"/>
          <w:color w:val="000000"/>
          <w:sz w:val="20"/>
          <w:szCs w:val="20"/>
        </w:rPr>
        <w:t>et al</w:t>
      </w:r>
      <w:r>
        <w:rPr>
          <w:rFonts w:ascii="Arial" w:eastAsia="Calibri" w:hAnsi="Arial"/>
          <w:color w:val="000000"/>
          <w:sz w:val="20"/>
          <w:szCs w:val="20"/>
        </w:rPr>
        <w:t>. 2024</w:t>
      </w:r>
      <w:r>
        <w:rPr>
          <w:rFonts w:ascii="Arial" w:eastAsia="Calibri" w:hAnsi="Arial"/>
          <w:color w:val="000000"/>
          <w:sz w:val="20"/>
          <w:szCs w:val="20"/>
        </w:rPr>
        <w:t>)</w:t>
      </w:r>
      <w:r>
        <w:rPr>
          <w:rFonts w:ascii="Arial" w:eastAsia="GaramondPremrPro" w:hAnsi="Arial"/>
          <w:color w:val="000000"/>
          <w:sz w:val="20"/>
          <w:szCs w:val="20"/>
        </w:rPr>
        <w:t>. All together considering the sensory attributes, and nutritional and biological (antioxidant) properties, potato chips enriched with the combination of moringa and soy bean seems to display some synergistic traits notably concerning the nutrient and ant</w:t>
      </w:r>
      <w:r>
        <w:rPr>
          <w:rFonts w:ascii="Arial" w:eastAsia="GaramondPremrPro" w:hAnsi="Arial"/>
          <w:color w:val="000000"/>
          <w:sz w:val="20"/>
          <w:szCs w:val="20"/>
        </w:rPr>
        <w:t>ioxidant contents though they were less appreciated by the panelists. However, the actual synergistic interaction between the bioactive compounds in both food ingredients still necessitates further investigations.</w:t>
      </w:r>
    </w:p>
    <w:p w14:paraId="2CCB1678" w14:textId="77777777" w:rsidR="009A692A" w:rsidRDefault="009A692A">
      <w:pPr>
        <w:suppressAutoHyphens w:val="0"/>
        <w:jc w:val="both"/>
        <w:rPr>
          <w:rFonts w:ascii="Arial" w:hAnsi="Arial"/>
          <w:sz w:val="20"/>
          <w:szCs w:val="20"/>
        </w:rPr>
      </w:pPr>
    </w:p>
    <w:p w14:paraId="0629B8C3" w14:textId="77777777" w:rsidR="009A692A" w:rsidRDefault="002A3522">
      <w:pPr>
        <w:suppressAutoHyphens w:val="0"/>
        <w:jc w:val="both"/>
        <w:rPr>
          <w:rFonts w:hint="eastAsia"/>
          <w:b/>
          <w:bCs/>
          <w:sz w:val="22"/>
          <w:szCs w:val="22"/>
        </w:rPr>
      </w:pPr>
      <w:r>
        <w:rPr>
          <w:rFonts w:ascii="Arial" w:eastAsia="GaramondPremrPro" w:hAnsi="Arial"/>
          <w:b/>
          <w:bCs/>
          <w:color w:val="000000"/>
          <w:sz w:val="22"/>
          <w:szCs w:val="22"/>
        </w:rPr>
        <w:t>5. CONCLUSION</w:t>
      </w:r>
    </w:p>
    <w:p w14:paraId="09A1C90A" w14:textId="77777777" w:rsidR="009A692A" w:rsidRDefault="002A3522">
      <w:pPr>
        <w:jc w:val="both"/>
        <w:rPr>
          <w:rFonts w:ascii="Arial" w:hAnsi="Arial"/>
          <w:sz w:val="20"/>
          <w:szCs w:val="20"/>
        </w:rPr>
      </w:pPr>
      <w:r>
        <w:rPr>
          <w:rFonts w:ascii="Arial" w:eastAsia="Calibri" w:hAnsi="Arial"/>
          <w:color w:val="000000"/>
          <w:sz w:val="20"/>
          <w:szCs w:val="20"/>
        </w:rPr>
        <w:t>In conclusion, potato chips</w:t>
      </w:r>
      <w:r>
        <w:rPr>
          <w:rFonts w:ascii="Arial" w:eastAsia="Calibri" w:hAnsi="Arial"/>
          <w:color w:val="000000"/>
          <w:sz w:val="20"/>
          <w:szCs w:val="20"/>
        </w:rPr>
        <w:t xml:space="preserve"> enriched with either moringa powder, soy bean flour, or the mixture of both display distinct nutritional, antioxidant, and sensory properties. Combined moringa and soy bean-based potato chips demonstrated striking nutrient and antioxidant contents that su</w:t>
      </w:r>
      <w:r>
        <w:rPr>
          <w:rFonts w:ascii="Arial" w:eastAsia="Calibri" w:hAnsi="Arial"/>
          <w:color w:val="000000"/>
          <w:sz w:val="20"/>
          <w:szCs w:val="20"/>
        </w:rPr>
        <w:t>pport their potential consideration in the prevention or management of related health affections within our communities.</w:t>
      </w:r>
    </w:p>
    <w:p w14:paraId="1EAA40F4" w14:textId="77777777" w:rsidR="009A692A" w:rsidRDefault="009A692A">
      <w:pPr>
        <w:jc w:val="both"/>
        <w:rPr>
          <w:rFonts w:ascii="Arial" w:hAnsi="Arial"/>
          <w:b/>
          <w:color w:val="000000"/>
          <w:sz w:val="20"/>
          <w:szCs w:val="20"/>
        </w:rPr>
      </w:pPr>
    </w:p>
    <w:p w14:paraId="326DEBC5" w14:textId="77777777" w:rsidR="009A692A" w:rsidRDefault="009A692A">
      <w:pPr>
        <w:tabs>
          <w:tab w:val="left" w:pos="3293"/>
        </w:tabs>
        <w:rPr>
          <w:rFonts w:ascii="Arial" w:hAnsi="Arial"/>
          <w:color w:val="000000"/>
          <w:sz w:val="20"/>
          <w:szCs w:val="20"/>
        </w:rPr>
      </w:pPr>
      <w:bookmarkStart w:id="18" w:name="_GoBack"/>
      <w:bookmarkEnd w:id="18"/>
    </w:p>
    <w:p w14:paraId="3DFAB2A5" w14:textId="77777777" w:rsidR="009A692A" w:rsidRDefault="009A692A">
      <w:pPr>
        <w:jc w:val="both"/>
        <w:rPr>
          <w:rFonts w:ascii="Arial" w:hAnsi="Arial"/>
          <w:color w:val="000000"/>
          <w:sz w:val="20"/>
          <w:szCs w:val="20"/>
        </w:rPr>
      </w:pPr>
    </w:p>
    <w:p w14:paraId="55A42D42" w14:textId="77777777" w:rsidR="009A692A" w:rsidRDefault="002A3522">
      <w:pPr>
        <w:pStyle w:val="Heading1"/>
        <w:spacing w:before="0"/>
        <w:jc w:val="left"/>
        <w:rPr>
          <w:rFonts w:ascii="Arial" w:hAnsi="Arial"/>
          <w:sz w:val="20"/>
          <w:szCs w:val="20"/>
        </w:rPr>
      </w:pPr>
      <w:bookmarkStart w:id="19" w:name="_Toc128078958"/>
      <w:r>
        <w:rPr>
          <w:rFonts w:ascii="Arial" w:hAnsi="Arial"/>
          <w:color w:val="000000"/>
          <w:sz w:val="20"/>
          <w:szCs w:val="20"/>
        </w:rPr>
        <w:t>References</w:t>
      </w:r>
      <w:bookmarkEnd w:id="19"/>
    </w:p>
    <w:p w14:paraId="16691FE3" w14:textId="77777777" w:rsidR="009A692A" w:rsidRDefault="002A3522">
      <w:pPr>
        <w:suppressAutoHyphens w:val="0"/>
        <w:ind w:left="567" w:hanging="567"/>
        <w:rPr>
          <w:rFonts w:ascii="Arial" w:hAnsi="Arial"/>
          <w:sz w:val="20"/>
          <w:szCs w:val="20"/>
        </w:rPr>
      </w:pPr>
      <w:r>
        <w:rPr>
          <w:rFonts w:ascii="Arial" w:eastAsia="Calibri" w:hAnsi="Arial"/>
          <w:color w:val="000000"/>
          <w:sz w:val="20"/>
          <w:szCs w:val="20"/>
        </w:rPr>
        <w:t xml:space="preserve">Abbas, K.R., Elsharbasy, S.F., Fadlelmula, A.A. (2018). </w:t>
      </w:r>
      <w:r>
        <w:rPr>
          <w:rFonts w:ascii="Arial" w:hAnsi="Arial"/>
          <w:color w:val="000000"/>
          <w:sz w:val="20"/>
          <w:szCs w:val="20"/>
        </w:rPr>
        <w:t xml:space="preserve">Nutritional Values of </w:t>
      </w:r>
      <w:r>
        <w:rPr>
          <w:rFonts w:ascii="Arial" w:hAnsi="Arial"/>
          <w:i/>
          <w:iCs/>
          <w:color w:val="000000"/>
          <w:sz w:val="20"/>
          <w:szCs w:val="20"/>
        </w:rPr>
        <w:t>Moringa oleifera</w:t>
      </w:r>
      <w:r>
        <w:rPr>
          <w:rFonts w:ascii="Arial" w:hAnsi="Arial"/>
          <w:color w:val="000000"/>
          <w:sz w:val="20"/>
          <w:szCs w:val="20"/>
        </w:rPr>
        <w:t xml:space="preserve">, Total Protein, Amino Acid, Vitamins, Minerals, Carbohydrates, Total Fat and Crude Fiber, under the Semi-Arid Conditions of Sudan. Journal of  </w:t>
      </w:r>
      <w:r>
        <w:rPr>
          <w:rFonts w:ascii="Arial" w:hAnsi="Arial"/>
          <w:color w:val="000000"/>
          <w:sz w:val="20"/>
          <w:szCs w:val="20"/>
        </w:rPr>
        <w:t>Microbial and  Biochemical Technology, 10:2.  https://doi.org/10.4172/1948-5948.1000396</w:t>
      </w:r>
    </w:p>
    <w:p w14:paraId="59F8F1F3" w14:textId="77777777" w:rsidR="009A692A" w:rsidRDefault="002A3522">
      <w:pPr>
        <w:pStyle w:val="Default"/>
        <w:ind w:left="567" w:hanging="567"/>
        <w:jc w:val="both"/>
        <w:rPr>
          <w:rFonts w:ascii="Arial" w:hAnsi="Arial"/>
          <w:sz w:val="20"/>
          <w:szCs w:val="20"/>
        </w:rPr>
      </w:pPr>
      <w:r>
        <w:rPr>
          <w:rFonts w:ascii="Arial" w:hAnsi="Arial"/>
          <w:sz w:val="20"/>
          <w:szCs w:val="20"/>
        </w:rPr>
        <w:t xml:space="preserve">Ali, Y.M., Khali, I.M., Jahan, N.F., Hossain, B.M., Samanta, K.A. (2022). </w:t>
      </w:r>
      <w:r>
        <w:rPr>
          <w:rFonts w:ascii="Arial" w:hAnsi="Arial"/>
          <w:i/>
          <w:iCs/>
          <w:sz w:val="20"/>
          <w:szCs w:val="20"/>
        </w:rPr>
        <w:t>Moringa oleifera</w:t>
      </w:r>
      <w:r>
        <w:rPr>
          <w:rFonts w:ascii="Arial" w:hAnsi="Arial"/>
          <w:sz w:val="20"/>
          <w:szCs w:val="20"/>
        </w:rPr>
        <w:t>: A review on nutritional attributes, therapeutic applications and value-added</w:t>
      </w:r>
      <w:r>
        <w:rPr>
          <w:rFonts w:ascii="Arial" w:hAnsi="Arial"/>
          <w:sz w:val="20"/>
          <w:szCs w:val="20"/>
        </w:rPr>
        <w:t xml:space="preserve"> product generation. SAARC Journal of  Agriculture, 20(2): 1-15. DOI: https://doi.org/10.3329/sja.v20i2. 63447</w:t>
      </w:r>
    </w:p>
    <w:p w14:paraId="3E66D0BE" w14:textId="77777777" w:rsidR="009A692A" w:rsidRDefault="002A3522">
      <w:pPr>
        <w:ind w:left="567" w:hanging="567"/>
        <w:jc w:val="both"/>
        <w:rPr>
          <w:rFonts w:ascii="Arial" w:hAnsi="Arial"/>
          <w:sz w:val="20"/>
          <w:szCs w:val="20"/>
        </w:rPr>
      </w:pPr>
      <w:r>
        <w:rPr>
          <w:rFonts w:ascii="Arial" w:hAnsi="Arial"/>
          <w:color w:val="000000"/>
          <w:sz w:val="20"/>
          <w:szCs w:val="20"/>
        </w:rPr>
        <w:t xml:space="preserve">Anjum, S.R., Sneha, S., Raghu, N., Gopenath, T.S., Murugesan, K., Ashok, G., Chandrashekrappa, G.K. and Kanthesh, M.B. (2018). </w:t>
      </w:r>
      <w:r>
        <w:rPr>
          <w:rFonts w:ascii="Arial" w:hAnsi="Arial"/>
          <w:i/>
          <w:iCs/>
          <w:color w:val="000000"/>
          <w:sz w:val="20"/>
          <w:szCs w:val="20"/>
        </w:rPr>
        <w:t>Solanum tuberrosum</w:t>
      </w:r>
      <w:r>
        <w:rPr>
          <w:rFonts w:ascii="Arial" w:hAnsi="Arial"/>
          <w:color w:val="000000"/>
          <w:sz w:val="20"/>
          <w:szCs w:val="20"/>
        </w:rPr>
        <w:t xml:space="preserve"> L: Botanical, Phytochemical, Pharmacological and Nutritional Significance. International Journal of Phytomedicine, 10(3):115-124   https://ijp.arjournals.org/index.php/ijp/article/view/598 </w:t>
      </w:r>
    </w:p>
    <w:p w14:paraId="0962DE38" w14:textId="77777777" w:rsidR="009A692A" w:rsidRDefault="002A3522">
      <w:pPr>
        <w:ind w:left="567" w:hanging="567"/>
        <w:jc w:val="both"/>
        <w:rPr>
          <w:rFonts w:ascii="Arial" w:hAnsi="Arial"/>
          <w:sz w:val="20"/>
          <w:szCs w:val="20"/>
        </w:rPr>
      </w:pPr>
      <w:r>
        <w:rPr>
          <w:rFonts w:ascii="Arial" w:hAnsi="Arial"/>
          <w:color w:val="000000"/>
          <w:sz w:val="20"/>
          <w:szCs w:val="20"/>
        </w:rPr>
        <w:t xml:space="preserve">Anwar, F., Latif, S., Ashraf, M., Gilani (2007). </w:t>
      </w:r>
      <w:r>
        <w:rPr>
          <w:rFonts w:ascii="Arial" w:hAnsi="Arial"/>
          <w:i/>
          <w:iCs/>
          <w:color w:val="000000"/>
          <w:sz w:val="20"/>
          <w:szCs w:val="20"/>
        </w:rPr>
        <w:t>Moringa oleifera</w:t>
      </w:r>
      <w:r>
        <w:rPr>
          <w:rFonts w:ascii="Arial" w:hAnsi="Arial"/>
          <w:color w:val="000000"/>
          <w:sz w:val="20"/>
          <w:szCs w:val="20"/>
        </w:rPr>
        <w:t xml:space="preserve">: a food plant with multiple medicinal uses. Phytotherapy Research, 21(1):17-25.  http://dx.doi.org/10.1002/ptr.2023 </w:t>
      </w:r>
    </w:p>
    <w:p w14:paraId="30F3D1FA" w14:textId="77777777" w:rsidR="009A692A" w:rsidRDefault="002A3522">
      <w:pPr>
        <w:ind w:left="567" w:hanging="567"/>
        <w:jc w:val="both"/>
        <w:rPr>
          <w:rFonts w:ascii="Arial" w:hAnsi="Arial"/>
          <w:sz w:val="20"/>
          <w:szCs w:val="20"/>
        </w:rPr>
      </w:pPr>
      <w:r>
        <w:rPr>
          <w:rFonts w:ascii="Arial" w:eastAsia="Calibri" w:hAnsi="Arial"/>
          <w:color w:val="000000"/>
          <w:sz w:val="20"/>
          <w:szCs w:val="20"/>
        </w:rPr>
        <w:t>Barber, T.M., Kabisch, S., Pfeiffer, A.F.H., Weickert, M.O. (2020). The Health Benefits of Dietary Fibre. Nutrients, 12(10):3209. https://</w:t>
      </w:r>
      <w:r>
        <w:rPr>
          <w:rFonts w:ascii="Arial" w:eastAsia="Calibri" w:hAnsi="Arial"/>
          <w:color w:val="000000"/>
          <w:sz w:val="20"/>
          <w:szCs w:val="20"/>
        </w:rPr>
        <w:t>doi.org/10.3390/nu12103209</w:t>
      </w:r>
    </w:p>
    <w:p w14:paraId="14CB302D" w14:textId="77777777" w:rsidR="009A692A" w:rsidRDefault="002A3522">
      <w:pPr>
        <w:suppressAutoHyphens w:val="0"/>
        <w:ind w:left="567" w:hanging="567"/>
        <w:rPr>
          <w:rFonts w:hint="eastAsia"/>
        </w:rPr>
      </w:pPr>
      <w:r>
        <w:rPr>
          <w:rFonts w:ascii="Arial" w:eastAsia="Calibri" w:hAnsi="Arial"/>
          <w:color w:val="000000"/>
          <w:sz w:val="20"/>
          <w:szCs w:val="20"/>
        </w:rPr>
        <w:t>Bayero, A.S., Datti, Y., Abdulhadi, M., Yahya, A.T., Salihu, I., Lado, U.A., Nura, T., Imrana, B. (2019). Proximate Composition and the Mineral Contents of Soya Beans (</w:t>
      </w:r>
      <w:r>
        <w:rPr>
          <w:rFonts w:ascii="Arial" w:eastAsia="Calibri" w:hAnsi="Arial"/>
          <w:i/>
          <w:color w:val="000000"/>
          <w:sz w:val="20"/>
          <w:szCs w:val="20"/>
        </w:rPr>
        <w:t>Glycine max</w:t>
      </w:r>
      <w:r>
        <w:rPr>
          <w:rFonts w:ascii="Arial" w:eastAsia="Calibri" w:hAnsi="Arial"/>
          <w:color w:val="000000"/>
          <w:sz w:val="20"/>
          <w:szCs w:val="20"/>
        </w:rPr>
        <w:t>) Available in Kano State, Nigeria. Chemistry Sear</w:t>
      </w:r>
      <w:r>
        <w:rPr>
          <w:rFonts w:ascii="Arial" w:eastAsia="Calibri" w:hAnsi="Arial"/>
          <w:color w:val="000000"/>
          <w:sz w:val="20"/>
          <w:szCs w:val="20"/>
        </w:rPr>
        <w:t xml:space="preserve">ch Journal, 10(2): 62 – 65. </w:t>
      </w:r>
      <w:hyperlink r:id="rId19">
        <w:r>
          <w:rPr>
            <w:rStyle w:val="LienInternet"/>
            <w:rFonts w:ascii="Arial" w:eastAsia="Calibri" w:hAnsi="Arial"/>
            <w:color w:val="000000"/>
            <w:sz w:val="20"/>
            <w:szCs w:val="20"/>
            <w:u w:val="none"/>
          </w:rPr>
          <w:t>https://www.ajol.info/index.php/csj/article/view/192131</w:t>
        </w:r>
      </w:hyperlink>
    </w:p>
    <w:p w14:paraId="5203E558" w14:textId="77777777" w:rsidR="009A692A" w:rsidRDefault="002A3522">
      <w:pPr>
        <w:suppressAutoHyphens w:val="0"/>
        <w:ind w:left="567" w:hanging="567"/>
        <w:rPr>
          <w:rFonts w:ascii="Arial" w:hAnsi="Arial"/>
          <w:sz w:val="20"/>
          <w:szCs w:val="20"/>
        </w:rPr>
      </w:pPr>
      <w:r>
        <w:rPr>
          <w:rFonts w:ascii="Arial" w:eastAsia="Calibri" w:hAnsi="Arial"/>
          <w:color w:val="000000"/>
          <w:sz w:val="20"/>
          <w:szCs w:val="20"/>
        </w:rPr>
        <w:lastRenderedPageBreak/>
        <w:t xml:space="preserve">Carpenter, C. (2010). Determination of Fat Content. In: Nielsen, S.S. (eds) Food Analysis </w:t>
      </w:r>
      <w:r>
        <w:rPr>
          <w:rFonts w:ascii="Arial" w:eastAsia="Calibri" w:hAnsi="Arial"/>
          <w:color w:val="000000"/>
          <w:sz w:val="20"/>
          <w:szCs w:val="20"/>
        </w:rPr>
        <w:t xml:space="preserve">Laboratory Manual. Food Science Texts Series. Springer, Boston, MA. https://doi.org/10.1007/978-1-4419-1463-7_4 </w:t>
      </w:r>
    </w:p>
    <w:p w14:paraId="7A82473E" w14:textId="77777777" w:rsidR="009A692A" w:rsidRDefault="002A3522">
      <w:pPr>
        <w:ind w:left="567" w:hanging="567"/>
        <w:jc w:val="both"/>
        <w:rPr>
          <w:rFonts w:ascii="Arial" w:hAnsi="Arial"/>
          <w:sz w:val="20"/>
          <w:szCs w:val="20"/>
        </w:rPr>
      </w:pPr>
      <w:r>
        <w:rPr>
          <w:rFonts w:ascii="Arial" w:hAnsi="Arial"/>
          <w:color w:val="000000"/>
          <w:sz w:val="20"/>
          <w:szCs w:val="20"/>
        </w:rPr>
        <w:t xml:space="preserve">Chan, Y.K.K., Gurumeenakshi, G., Varadhuaraju, N., Yu-ling, C., Levente, L. (2021). Debittering </w:t>
      </w:r>
      <w:r>
        <w:rPr>
          <w:rFonts w:ascii="Arial" w:hAnsi="Arial"/>
          <w:i/>
          <w:iCs/>
          <w:color w:val="000000"/>
          <w:sz w:val="20"/>
          <w:szCs w:val="20"/>
        </w:rPr>
        <w:t>Moringa</w:t>
      </w:r>
      <w:r>
        <w:rPr>
          <w:rFonts w:ascii="Arial" w:hAnsi="Arial"/>
          <w:color w:val="000000"/>
          <w:sz w:val="20"/>
          <w:szCs w:val="20"/>
        </w:rPr>
        <w:t xml:space="preserve"> </w:t>
      </w:r>
      <w:r>
        <w:rPr>
          <w:rFonts w:ascii="Arial" w:hAnsi="Arial"/>
          <w:i/>
          <w:iCs/>
          <w:color w:val="000000"/>
          <w:sz w:val="20"/>
          <w:szCs w:val="20"/>
        </w:rPr>
        <w:t>oleifera</w:t>
      </w:r>
      <w:r>
        <w:rPr>
          <w:rFonts w:ascii="Arial" w:hAnsi="Arial"/>
          <w:color w:val="000000"/>
          <w:sz w:val="20"/>
          <w:szCs w:val="20"/>
        </w:rPr>
        <w:t>(lam.) Leaves in Fortified Sout</w:t>
      </w:r>
      <w:r>
        <w:rPr>
          <w:rFonts w:ascii="Arial" w:hAnsi="Arial"/>
          <w:color w:val="000000"/>
          <w:sz w:val="20"/>
          <w:szCs w:val="20"/>
        </w:rPr>
        <w:t>h Indian Instant Soup. Chemosensory Perception, 14:11–18. https://doi.org/10.1007/s12078-020-09280-1</w:t>
      </w:r>
    </w:p>
    <w:p w14:paraId="72F41366" w14:textId="77777777" w:rsidR="009A692A" w:rsidRDefault="002A3522">
      <w:pPr>
        <w:ind w:left="567" w:hanging="567"/>
        <w:jc w:val="both"/>
        <w:rPr>
          <w:rFonts w:hint="eastAsia"/>
        </w:rPr>
      </w:pPr>
      <w:r>
        <w:rPr>
          <w:rFonts w:ascii="Arial" w:hAnsi="Arial"/>
          <w:color w:val="000000"/>
          <w:sz w:val="20"/>
          <w:szCs w:val="20"/>
        </w:rPr>
        <w:t>Chinaza, G.A., Ikechukwu, O.A. (2021). Biochemistry and Nutrition of Carbohydrates. Global Journal of Research in Agriculture and Life Sciences (</w:t>
      </w:r>
      <w:r>
        <w:rPr>
          <w:rStyle w:val="elementor-button-text"/>
          <w:rFonts w:ascii="Arial" w:hAnsi="Arial"/>
          <w:color w:val="000000"/>
          <w:sz w:val="20"/>
          <w:szCs w:val="20"/>
        </w:rPr>
        <w:t>GJRALS ),</w:t>
      </w:r>
      <w:r>
        <w:rPr>
          <w:rFonts w:ascii="Arial" w:hAnsi="Arial"/>
          <w:color w:val="000000"/>
          <w:sz w:val="20"/>
          <w:szCs w:val="20"/>
        </w:rPr>
        <w:t xml:space="preserve"> </w:t>
      </w:r>
      <w:r>
        <w:rPr>
          <w:rFonts w:ascii="Arial" w:hAnsi="Arial"/>
          <w:color w:val="000000"/>
          <w:sz w:val="20"/>
          <w:szCs w:val="20"/>
        </w:rPr>
        <w:t>1(1):4-12. https://gjrpublication.com/wp-content/uploads/2022/07/GJRALS114_06217.pdf</w:t>
      </w:r>
    </w:p>
    <w:p w14:paraId="18993641" w14:textId="77777777" w:rsidR="009A692A" w:rsidRDefault="002A3522">
      <w:pPr>
        <w:ind w:left="567" w:hanging="567"/>
        <w:jc w:val="both"/>
        <w:rPr>
          <w:rFonts w:ascii="Arial" w:hAnsi="Arial"/>
          <w:sz w:val="20"/>
          <w:szCs w:val="20"/>
        </w:rPr>
      </w:pPr>
      <w:r>
        <w:rPr>
          <w:rFonts w:ascii="Arial" w:eastAsia="Calibri" w:hAnsi="Arial"/>
          <w:color w:val="000000"/>
          <w:sz w:val="20"/>
          <w:szCs w:val="20"/>
        </w:rPr>
        <w:t>Divya, S., Pandey, V.K., Dixit, R., Rustagi, S., Suthar, T., Atuahene, D., Nagy, V., Ungai, D., Ahmed, A.E.M., Kovács, B. (2024). Exploring the Phytochemical, Pharmacologi</w:t>
      </w:r>
      <w:r>
        <w:rPr>
          <w:rFonts w:ascii="Arial" w:eastAsia="Calibri" w:hAnsi="Arial"/>
          <w:color w:val="000000"/>
          <w:sz w:val="20"/>
          <w:szCs w:val="20"/>
        </w:rPr>
        <w:t>cal and Nutritional Properties of </w:t>
      </w:r>
      <w:r>
        <w:rPr>
          <w:rFonts w:ascii="Arial" w:eastAsia="Calibri" w:hAnsi="Arial"/>
          <w:i/>
          <w:iCs/>
          <w:color w:val="000000"/>
          <w:sz w:val="20"/>
          <w:szCs w:val="20"/>
        </w:rPr>
        <w:t>Moringa</w:t>
      </w:r>
      <w:r>
        <w:rPr>
          <w:rFonts w:ascii="Arial" w:eastAsia="Calibri" w:hAnsi="Arial"/>
          <w:color w:val="000000"/>
          <w:sz w:val="20"/>
          <w:szCs w:val="20"/>
        </w:rPr>
        <w:t xml:space="preserve"> </w:t>
      </w:r>
      <w:r>
        <w:rPr>
          <w:rFonts w:ascii="Arial" w:eastAsia="Calibri" w:hAnsi="Arial"/>
          <w:i/>
          <w:iCs/>
          <w:color w:val="000000"/>
          <w:sz w:val="20"/>
          <w:szCs w:val="20"/>
        </w:rPr>
        <w:t>oleifera</w:t>
      </w:r>
      <w:r>
        <w:rPr>
          <w:rFonts w:ascii="Arial" w:eastAsia="Calibri" w:hAnsi="Arial"/>
          <w:color w:val="000000"/>
          <w:sz w:val="20"/>
          <w:szCs w:val="20"/>
        </w:rPr>
        <w:t>: A Comprehensive Review. Nutrient, 16(19):3423. https://doi.org/10.3390/nu16193423</w:t>
      </w:r>
    </w:p>
    <w:p w14:paraId="48C31B61" w14:textId="77777777" w:rsidR="009A692A" w:rsidRDefault="002A3522">
      <w:pPr>
        <w:ind w:left="567" w:hanging="567"/>
        <w:jc w:val="both"/>
        <w:rPr>
          <w:rFonts w:hint="eastAsia"/>
        </w:rPr>
      </w:pPr>
      <w:r>
        <w:rPr>
          <w:rFonts w:ascii="Arial" w:eastAsia="GaramondPremrPro" w:hAnsi="Arial"/>
          <w:color w:val="000000"/>
          <w:sz w:val="20"/>
          <w:szCs w:val="20"/>
        </w:rPr>
        <w:t>Echouffo-Tcheugui, J.B., Kengne, A.P. (2011). Chronic non-communicable diseases in Cameroon - burden, determinants and cur</w:t>
      </w:r>
      <w:r>
        <w:rPr>
          <w:rFonts w:ascii="Arial" w:eastAsia="GaramondPremrPro" w:hAnsi="Arial"/>
          <w:color w:val="000000"/>
          <w:sz w:val="20"/>
          <w:szCs w:val="20"/>
        </w:rPr>
        <w:t xml:space="preserve">rent policies. Global Health, 7, 44. </w:t>
      </w:r>
      <w:hyperlink r:id="rId20">
        <w:r>
          <w:rPr>
            <w:rFonts w:ascii="Arial" w:eastAsia="GaramondPremrPro" w:hAnsi="Arial"/>
            <w:color w:val="000000"/>
            <w:sz w:val="20"/>
            <w:szCs w:val="20"/>
          </w:rPr>
          <w:t>https://doi.org/10.1186/1744-8603-7-44</w:t>
        </w:r>
      </w:hyperlink>
    </w:p>
    <w:p w14:paraId="7FFE21D0" w14:textId="77777777" w:rsidR="009A692A" w:rsidRDefault="002A3522">
      <w:pPr>
        <w:ind w:left="567" w:hanging="567"/>
        <w:jc w:val="both"/>
        <w:rPr>
          <w:rFonts w:ascii="Arial" w:hAnsi="Arial"/>
          <w:sz w:val="20"/>
          <w:szCs w:val="20"/>
        </w:rPr>
      </w:pPr>
      <w:r>
        <w:rPr>
          <w:rFonts w:ascii="Arial" w:hAnsi="Arial"/>
          <w:color w:val="000000"/>
          <w:sz w:val="20"/>
          <w:szCs w:val="20"/>
        </w:rPr>
        <w:t>Fabiyi, E.F. (2009) Soyabean Processing, Utilization and Health Benefits. Pakistan Journal of Nutrition, 5: 453-457. https</w:t>
      </w:r>
      <w:r>
        <w:rPr>
          <w:rFonts w:ascii="Arial" w:hAnsi="Arial"/>
          <w:color w:val="000000"/>
          <w:sz w:val="20"/>
          <w:szCs w:val="20"/>
        </w:rPr>
        <w:t>://doi.org/10.3923/pjn.2006.453.457</w:t>
      </w:r>
    </w:p>
    <w:p w14:paraId="53643700" w14:textId="77777777" w:rsidR="009A692A" w:rsidRDefault="002A3522">
      <w:pPr>
        <w:ind w:left="567" w:hanging="567"/>
        <w:jc w:val="both"/>
        <w:rPr>
          <w:rFonts w:hint="eastAsia"/>
        </w:rPr>
      </w:pPr>
      <w:r>
        <w:rPr>
          <w:rFonts w:ascii="Arial" w:hAnsi="Arial"/>
          <w:color w:val="000000"/>
          <w:sz w:val="20"/>
          <w:szCs w:val="20"/>
        </w:rPr>
        <w:t xml:space="preserve">Furrer, A.N., Chegeni, M., Ferruzzi, M.G. (2018). Impact of potato processing on nutrients, phytochemicals, and human health. </w:t>
      </w:r>
      <w:hyperlink r:id="rId21">
        <w:r>
          <w:rPr>
            <w:rStyle w:val="LienInternet"/>
            <w:rFonts w:ascii="Arial" w:hAnsi="Arial"/>
            <w:color w:val="000000"/>
            <w:sz w:val="20"/>
            <w:szCs w:val="20"/>
            <w:u w:val="none"/>
          </w:rPr>
          <w:t>Critical Reviews in Food Scienc</w:t>
        </w:r>
        <w:r>
          <w:rPr>
            <w:rStyle w:val="LienInternet"/>
            <w:rFonts w:ascii="Arial" w:hAnsi="Arial"/>
            <w:color w:val="000000"/>
            <w:sz w:val="20"/>
            <w:szCs w:val="20"/>
            <w:u w:val="none"/>
          </w:rPr>
          <w:t>e and Nutritio</w:t>
        </w:r>
      </w:hyperlink>
      <w:r>
        <w:rPr>
          <w:rFonts w:ascii="Arial" w:hAnsi="Arial"/>
          <w:color w:val="000000"/>
          <w:sz w:val="20"/>
          <w:szCs w:val="20"/>
        </w:rPr>
        <w:t>n, 2;58(1):146-168. https://doi.org/10.1080/10408398.2016.1138447</w:t>
      </w:r>
    </w:p>
    <w:p w14:paraId="469EE061" w14:textId="77777777" w:rsidR="009A692A" w:rsidRDefault="002A3522">
      <w:pPr>
        <w:ind w:left="567" w:hanging="567"/>
        <w:jc w:val="both"/>
        <w:rPr>
          <w:rFonts w:ascii="Arial" w:hAnsi="Arial"/>
          <w:sz w:val="20"/>
          <w:szCs w:val="20"/>
        </w:rPr>
      </w:pPr>
      <w:r>
        <w:rPr>
          <w:rFonts w:ascii="Arial" w:hAnsi="Arial"/>
          <w:color w:val="000000"/>
          <w:sz w:val="20"/>
          <w:szCs w:val="20"/>
        </w:rPr>
        <w:t>Igual, M., Martínez-Monzó, J. (2022). Physicochemical Properties and Structure Changes of Food Products during Processing.  Foods</w:t>
      </w:r>
      <w:r>
        <w:rPr>
          <w:rFonts w:ascii="Arial" w:hAnsi="Arial"/>
          <w:i/>
          <w:iCs/>
          <w:color w:val="000000"/>
          <w:sz w:val="20"/>
          <w:szCs w:val="20"/>
        </w:rPr>
        <w:t xml:space="preserve">, </w:t>
      </w:r>
      <w:r>
        <w:rPr>
          <w:rFonts w:ascii="Arial" w:hAnsi="Arial"/>
          <w:color w:val="000000"/>
          <w:sz w:val="20"/>
          <w:szCs w:val="20"/>
        </w:rPr>
        <w:t>11(15):2365. https://doi.org/10.3390/foods111</w:t>
      </w:r>
      <w:r>
        <w:rPr>
          <w:rFonts w:ascii="Arial" w:hAnsi="Arial"/>
          <w:color w:val="000000"/>
          <w:sz w:val="20"/>
          <w:szCs w:val="20"/>
        </w:rPr>
        <w:t>52365</w:t>
      </w:r>
    </w:p>
    <w:p w14:paraId="5812B9DC" w14:textId="77777777" w:rsidR="009A692A" w:rsidRDefault="002A3522">
      <w:pPr>
        <w:ind w:left="567" w:hanging="567"/>
        <w:jc w:val="both"/>
        <w:rPr>
          <w:rFonts w:ascii="Arial" w:hAnsi="Arial"/>
          <w:sz w:val="20"/>
          <w:szCs w:val="20"/>
        </w:rPr>
      </w:pPr>
      <w:r>
        <w:rPr>
          <w:rFonts w:ascii="Arial" w:hAnsi="Arial"/>
          <w:color w:val="000000"/>
          <w:sz w:val="20"/>
          <w:szCs w:val="20"/>
        </w:rPr>
        <w:t xml:space="preserve">Islam, K.M.S., Schweigert, F.J. (2015).  </w:t>
      </w:r>
      <w:bookmarkStart w:id="20" w:name="screen-reader-main-title"/>
      <w:bookmarkEnd w:id="20"/>
      <w:r>
        <w:rPr>
          <w:rFonts w:ascii="Arial" w:hAnsi="Arial"/>
          <w:color w:val="000000"/>
          <w:sz w:val="20"/>
          <w:szCs w:val="20"/>
        </w:rPr>
        <w:t>Comparison of three spectrophotometric methods for analysis of egg yolk carotenoids. Food Chemistry 172 : 233-237. https://doi.org/10.1016/j.foodchem.2014.09.045</w:t>
      </w:r>
    </w:p>
    <w:p w14:paraId="617117D8" w14:textId="77777777" w:rsidR="009A692A" w:rsidRDefault="002A3522">
      <w:pPr>
        <w:ind w:left="567" w:hanging="567"/>
        <w:jc w:val="both"/>
        <w:rPr>
          <w:rFonts w:ascii="Arial" w:hAnsi="Arial"/>
          <w:sz w:val="20"/>
          <w:szCs w:val="20"/>
        </w:rPr>
      </w:pPr>
      <w:r>
        <w:rPr>
          <w:rFonts w:ascii="Arial" w:eastAsia="GaramondPremrPro" w:hAnsi="Arial"/>
          <w:color w:val="000000"/>
          <w:sz w:val="20"/>
          <w:szCs w:val="20"/>
        </w:rPr>
        <w:t>Kyu, H.H., Abate, D., Abate, K.H. (2018). Global, regional, and national disability-adjusted life-years (DALYs) for 359 diseases and injuries and healthy life expectancy (HALE) for 195 countries and territories, 1990–2017: a systematic analysis for the Glo</w:t>
      </w:r>
      <w:r>
        <w:rPr>
          <w:rFonts w:ascii="Arial" w:eastAsia="GaramondPremrPro" w:hAnsi="Arial"/>
          <w:color w:val="000000"/>
          <w:sz w:val="20"/>
          <w:szCs w:val="20"/>
        </w:rPr>
        <w:t>bal Burden of Disease Study 2017. Lancet, 392 (10159 ):1859–1922. https://doi.org/10.1016/S0140-6736(18)32335-3</w:t>
      </w:r>
    </w:p>
    <w:p w14:paraId="4AAC9B06" w14:textId="77777777" w:rsidR="009A692A" w:rsidRDefault="002A3522">
      <w:pPr>
        <w:ind w:left="567" w:hanging="567"/>
        <w:jc w:val="both"/>
        <w:rPr>
          <w:rFonts w:hint="eastAsia"/>
        </w:rPr>
      </w:pPr>
      <w:r>
        <w:rPr>
          <w:rStyle w:val="mixed-citation"/>
          <w:rFonts w:ascii="Arial" w:hAnsi="Arial"/>
          <w:color w:val="000000"/>
          <w:sz w:val="20"/>
          <w:szCs w:val="20"/>
        </w:rPr>
        <w:t xml:space="preserve">Melo, V., Vargas, N.,  Quirino, T., Calvo, C.M.C. (2013). </w:t>
      </w:r>
      <w:r>
        <w:rPr>
          <w:rStyle w:val="mixed-citation"/>
          <w:rFonts w:ascii="Arial" w:hAnsi="Arial"/>
          <w:i/>
          <w:color w:val="000000"/>
          <w:sz w:val="20"/>
          <w:szCs w:val="20"/>
        </w:rPr>
        <w:t>Moringa oleifera</w:t>
      </w:r>
      <w:r>
        <w:rPr>
          <w:rStyle w:val="mixed-citation"/>
          <w:rFonts w:ascii="Arial" w:hAnsi="Arial"/>
          <w:color w:val="000000"/>
          <w:sz w:val="20"/>
          <w:szCs w:val="20"/>
        </w:rPr>
        <w:t xml:space="preserve"> L. an underutilized tree with macronutrients for human health. Emirat</w:t>
      </w:r>
      <w:r>
        <w:rPr>
          <w:rStyle w:val="mixed-citation"/>
          <w:rFonts w:ascii="Arial" w:hAnsi="Arial"/>
          <w:color w:val="000000"/>
          <w:sz w:val="20"/>
          <w:szCs w:val="20"/>
        </w:rPr>
        <w:t xml:space="preserve">es Journal of Food and Agriculture, 25(10) : 785-9, </w:t>
      </w:r>
      <w:hyperlink r:id="rId22">
        <w:r>
          <w:rPr>
            <w:rStyle w:val="LienInternet"/>
            <w:rFonts w:ascii="Arial" w:hAnsi="Arial"/>
            <w:color w:val="000000"/>
            <w:sz w:val="20"/>
            <w:szCs w:val="20"/>
            <w:u w:val="none"/>
          </w:rPr>
          <w:t>https://doi.org/10.9755/ejfa.v25i10.17003</w:t>
        </w:r>
      </w:hyperlink>
      <w:r>
        <w:rPr>
          <w:rStyle w:val="mixed-citation"/>
          <w:rFonts w:ascii="Arial" w:hAnsi="Arial"/>
          <w:color w:val="000000"/>
          <w:sz w:val="20"/>
          <w:szCs w:val="20"/>
        </w:rPr>
        <w:t>.</w:t>
      </w:r>
    </w:p>
    <w:p w14:paraId="5AC4220D" w14:textId="77777777" w:rsidR="009A692A" w:rsidRDefault="002A3522">
      <w:pPr>
        <w:ind w:left="567" w:hanging="567"/>
        <w:jc w:val="both"/>
        <w:rPr>
          <w:rFonts w:hint="eastAsia"/>
        </w:rPr>
      </w:pPr>
      <w:r>
        <w:rPr>
          <w:rStyle w:val="mixed-citation"/>
          <w:rFonts w:ascii="Arial" w:hAnsi="Arial"/>
          <w:color w:val="000000"/>
          <w:sz w:val="20"/>
          <w:szCs w:val="20"/>
        </w:rPr>
        <w:t>Mezgebo, K., Belachew, T., Satheesh, N. (2018). Optimization of red teff flour, malted soybean flour</w:t>
      </w:r>
      <w:r>
        <w:rPr>
          <w:rStyle w:val="mixed-citation"/>
          <w:rFonts w:ascii="Arial" w:hAnsi="Arial"/>
          <w:color w:val="000000"/>
          <w:sz w:val="20"/>
          <w:szCs w:val="20"/>
        </w:rPr>
        <w:t>, and papaya fruit powder blending ratios for better nutritional quality and sensory acceptability of porridge. Food Science and Nutrition, 6(4):891-903. https://doi.org/10.1002/fsn3.624</w:t>
      </w:r>
    </w:p>
    <w:p w14:paraId="315B23A4" w14:textId="77777777" w:rsidR="009A692A" w:rsidRDefault="002A3522">
      <w:pPr>
        <w:pStyle w:val="Default"/>
        <w:ind w:left="567" w:hanging="567"/>
        <w:jc w:val="both"/>
        <w:rPr>
          <w:rFonts w:ascii="Arial" w:hAnsi="Arial"/>
          <w:sz w:val="20"/>
          <w:szCs w:val="20"/>
        </w:rPr>
      </w:pPr>
      <w:r>
        <w:rPr>
          <w:rFonts w:ascii="Arial" w:hAnsi="Arial"/>
          <w:sz w:val="20"/>
          <w:szCs w:val="20"/>
          <w:lang w:val="fr-CM"/>
        </w:rPr>
        <w:t xml:space="preserve">Monti, A., Di Virgilio, N., Venturi, G. (2008). </w:t>
      </w:r>
      <w:r>
        <w:rPr>
          <w:rFonts w:ascii="Arial" w:hAnsi="Arial"/>
          <w:sz w:val="20"/>
          <w:szCs w:val="20"/>
        </w:rPr>
        <w:t>Mineral</w:t>
      </w:r>
      <w:r>
        <w:rPr>
          <w:rFonts w:ascii="Arial" w:hAnsi="Arial"/>
          <w:sz w:val="20"/>
          <w:szCs w:val="20"/>
        </w:rPr>
        <w:t xml:space="preserve"> composition and ash content of six major energy crops. Biomass and Bioenergy, 32(3),216–223. https://doi.org/10.1016/j.biombioe.2007.09.012</w:t>
      </w:r>
    </w:p>
    <w:p w14:paraId="10731908" w14:textId="77777777" w:rsidR="009A692A" w:rsidRDefault="002A3522">
      <w:pPr>
        <w:ind w:left="567" w:hanging="567"/>
        <w:jc w:val="both"/>
        <w:rPr>
          <w:rFonts w:hint="eastAsia"/>
        </w:rPr>
      </w:pPr>
      <w:r>
        <w:rPr>
          <w:rFonts w:ascii="Arial" w:hAnsi="Arial"/>
          <w:color w:val="000000"/>
          <w:sz w:val="20"/>
          <w:szCs w:val="20"/>
        </w:rPr>
        <w:t>Morris, R.,  Black, A.K.,  Stollar, J.E. (2022). Uncovering protein function: from classification to complexes. Ess</w:t>
      </w:r>
      <w:r>
        <w:rPr>
          <w:rFonts w:ascii="Arial" w:hAnsi="Arial"/>
          <w:color w:val="000000"/>
          <w:sz w:val="20"/>
          <w:szCs w:val="20"/>
        </w:rPr>
        <w:t>ays in Biochemistry, 66 (3): 255–285. doi: </w:t>
      </w:r>
      <w:hyperlink r:id="rId23" w:tgtFrame="_blank">
        <w:r>
          <w:rPr>
            <w:rFonts w:ascii="Arial" w:hAnsi="Arial"/>
            <w:color w:val="000000"/>
            <w:sz w:val="20"/>
            <w:szCs w:val="20"/>
          </w:rPr>
          <w:t>https://doi.org/10.1042/EBC20200108</w:t>
        </w:r>
      </w:hyperlink>
    </w:p>
    <w:p w14:paraId="2A940234" w14:textId="77777777" w:rsidR="009A692A" w:rsidRDefault="002A3522">
      <w:pPr>
        <w:jc w:val="both"/>
        <w:rPr>
          <w:rFonts w:ascii="Arial" w:hAnsi="Arial"/>
          <w:sz w:val="20"/>
          <w:szCs w:val="20"/>
        </w:rPr>
      </w:pPr>
      <w:r>
        <w:rPr>
          <w:rFonts w:ascii="Arial" w:hAnsi="Arial"/>
          <w:color w:val="000000"/>
          <w:sz w:val="20"/>
          <w:szCs w:val="20"/>
        </w:rPr>
        <w:t>Mukasa, N.A., Woldemichael, D.A., Salami, O.A., Simpasa, M.A. (2017). Africa’s Agricultural Transformation: Id</w:t>
      </w:r>
      <w:r>
        <w:rPr>
          <w:rFonts w:ascii="Arial" w:hAnsi="Arial"/>
          <w:color w:val="000000"/>
          <w:sz w:val="20"/>
          <w:szCs w:val="20"/>
        </w:rPr>
        <w:t>entifying Priority Areas and Overcoming Challenges. Africa Economic Brief, 8 (3). https://www.afdb.org/sites/default/files/documents/publications/aeb_volume_8_issue_3.pdf</w:t>
      </w:r>
    </w:p>
    <w:p w14:paraId="0B254482" w14:textId="77777777" w:rsidR="009A692A" w:rsidRDefault="002A3522">
      <w:pPr>
        <w:ind w:left="567" w:hanging="567"/>
        <w:jc w:val="both"/>
        <w:rPr>
          <w:rFonts w:ascii="Arial" w:hAnsi="Arial"/>
          <w:sz w:val="20"/>
          <w:szCs w:val="20"/>
        </w:rPr>
      </w:pPr>
      <w:r>
        <w:rPr>
          <w:rFonts w:ascii="Arial" w:hAnsi="Arial"/>
          <w:color w:val="000000"/>
          <w:sz w:val="20"/>
          <w:szCs w:val="20"/>
        </w:rPr>
        <w:t>Nain, C.W., Njoya, M.A., Mahbou, P.Y., Nde, S.N., Imele, H., Nambangia, J.O.et al.(20</w:t>
      </w:r>
      <w:r>
        <w:rPr>
          <w:rFonts w:ascii="Arial" w:hAnsi="Arial"/>
          <w:color w:val="000000"/>
          <w:sz w:val="20"/>
          <w:szCs w:val="20"/>
        </w:rPr>
        <w:t xml:space="preserve">19). Assessing the processing attributes of some potato (Solanum tuberosum L) varieties grown in the North West Region of Cameroon. </w:t>
      </w:r>
      <w:r>
        <w:rPr>
          <w:rFonts w:ascii="Arial" w:hAnsi="Arial"/>
          <w:color w:val="000000"/>
          <w:sz w:val="20"/>
          <w:szCs w:val="20"/>
          <w:lang w:val="fr-CM"/>
        </w:rPr>
        <w:t>Journal of Food Science and Technology, 4(9):946-955. http://dx.doi.org/10.25177/JFST.4.9.RA.587</w:t>
      </w:r>
    </w:p>
    <w:p w14:paraId="2FC1EADF" w14:textId="77777777" w:rsidR="009A692A" w:rsidRDefault="002A3522">
      <w:pPr>
        <w:ind w:left="567" w:hanging="567"/>
        <w:jc w:val="both"/>
        <w:rPr>
          <w:rFonts w:hint="eastAsia"/>
        </w:rPr>
      </w:pPr>
      <w:r>
        <w:rPr>
          <w:rFonts w:ascii="Arial" w:hAnsi="Arial"/>
          <w:color w:val="000000"/>
          <w:sz w:val="20"/>
          <w:szCs w:val="20"/>
          <w:lang w:val="fr-CM"/>
        </w:rPr>
        <w:t>Naziri, D., Devaux, A., Har</w:t>
      </w:r>
      <w:r>
        <w:rPr>
          <w:rFonts w:ascii="Arial" w:hAnsi="Arial"/>
          <w:color w:val="000000"/>
          <w:sz w:val="20"/>
          <w:szCs w:val="20"/>
          <w:lang w:val="fr-CM"/>
        </w:rPr>
        <w:t>eau, G., Wauters, P. (2024). </w:t>
      </w:r>
      <w:r>
        <w:rPr>
          <w:rFonts w:ascii="Arial" w:hAnsi="Arial"/>
          <w:color w:val="000000"/>
          <w:sz w:val="20"/>
          <w:szCs w:val="20"/>
        </w:rPr>
        <w:t xml:space="preserve">Supply and Demand of Processed Potato Products in Kenya, Rwanda, and Uganda: Variety Requirements of Processing Companies and Implications for Trait Prioritization for Breeding. Potato Research,  (2024). </w:t>
      </w:r>
      <w:r>
        <w:rPr>
          <w:rStyle w:val="LienInternet"/>
          <w:rFonts w:ascii="Arial" w:hAnsi="Arial"/>
          <w:color w:val="000000"/>
          <w:sz w:val="20"/>
          <w:szCs w:val="20"/>
          <w:u w:val="none"/>
        </w:rPr>
        <w:t>https://doi.org/10.1007</w:t>
      </w:r>
      <w:r>
        <w:rPr>
          <w:rStyle w:val="LienInternet"/>
          <w:rFonts w:ascii="Arial" w:hAnsi="Arial"/>
          <w:color w:val="000000"/>
          <w:sz w:val="20"/>
          <w:szCs w:val="20"/>
          <w:u w:val="none"/>
        </w:rPr>
        <w:t>/s11540-024-09817-x</w:t>
      </w:r>
    </w:p>
    <w:p w14:paraId="3D5C36F7" w14:textId="77777777" w:rsidR="009A692A" w:rsidRDefault="002A3522">
      <w:pPr>
        <w:ind w:left="567" w:hanging="567"/>
        <w:jc w:val="both"/>
        <w:rPr>
          <w:rFonts w:ascii="Arial" w:hAnsi="Arial"/>
          <w:sz w:val="20"/>
          <w:szCs w:val="20"/>
        </w:rPr>
      </w:pPr>
      <w:r>
        <w:rPr>
          <w:rFonts w:ascii="Arial" w:hAnsi="Arial"/>
          <w:color w:val="000000"/>
          <w:sz w:val="20"/>
          <w:szCs w:val="20"/>
        </w:rPr>
        <w:t>Nossi, E.J., Nyingchia, Y., Adama, F., Dickmi, Ngome,  P.T. (2020). Supply trends and distribution systems of out of home foods from irish potato (Solanum tuberosum) in major cities in Yaounde, Cameroon, Revue Internationale des Science</w:t>
      </w:r>
      <w:r>
        <w:rPr>
          <w:rFonts w:ascii="Arial" w:hAnsi="Arial"/>
          <w:color w:val="000000"/>
          <w:sz w:val="20"/>
          <w:szCs w:val="20"/>
        </w:rPr>
        <w:t>s de Gestion,  3(3): 792 – 817. https://revue-isg.com/index.php/home/article/download/358/332/1342</w:t>
      </w:r>
    </w:p>
    <w:p w14:paraId="15B5864A" w14:textId="77777777" w:rsidR="009A692A" w:rsidRDefault="002A3522">
      <w:pPr>
        <w:pStyle w:val="Default"/>
        <w:ind w:left="567" w:hanging="567"/>
        <w:jc w:val="both"/>
      </w:pPr>
      <w:r>
        <w:rPr>
          <w:rFonts w:ascii="Arial" w:eastAsiaTheme="minorHAnsi" w:hAnsi="Arial"/>
          <w:bCs/>
          <w:sz w:val="20"/>
          <w:szCs w:val="20"/>
        </w:rPr>
        <w:t>Ogbemudia, R.E., Nnadozie, B.C., Anuge, B. ( 2017). Mineral and proximate composition of soya bean. Asian Journal of Physical and Chemical Sciences, 4(3):1-6</w:t>
      </w:r>
      <w:r>
        <w:rPr>
          <w:rFonts w:ascii="Arial" w:eastAsiaTheme="minorHAnsi" w:hAnsi="Arial"/>
          <w:bCs/>
          <w:sz w:val="20"/>
          <w:szCs w:val="20"/>
        </w:rPr>
        <w:t xml:space="preserve">. </w:t>
      </w:r>
      <w:r>
        <w:rPr>
          <w:rStyle w:val="LienInternet"/>
          <w:rFonts w:ascii="Arial" w:eastAsiaTheme="minorHAnsi" w:hAnsi="Arial"/>
          <w:bCs/>
          <w:color w:val="000000"/>
          <w:sz w:val="20"/>
          <w:szCs w:val="20"/>
          <w:u w:val="none"/>
        </w:rPr>
        <w:t>https://doi.org/10.9734/AJOPACS/2017/38530</w:t>
      </w:r>
    </w:p>
    <w:p w14:paraId="6FED6F37" w14:textId="77777777" w:rsidR="009A692A" w:rsidRDefault="002A3522">
      <w:pPr>
        <w:ind w:left="567" w:hanging="567"/>
        <w:jc w:val="both"/>
        <w:rPr>
          <w:rFonts w:ascii="Arial" w:hAnsi="Arial"/>
          <w:sz w:val="20"/>
          <w:szCs w:val="20"/>
        </w:rPr>
      </w:pPr>
      <w:r>
        <w:rPr>
          <w:rFonts w:ascii="Arial" w:eastAsiaTheme="minorHAnsi" w:hAnsi="Arial"/>
          <w:bCs/>
          <w:color w:val="000000"/>
          <w:sz w:val="20"/>
          <w:szCs w:val="20"/>
        </w:rPr>
        <w:t>Paikra, B.K., Dhongade, H.K.J., Gidwani, B. (2017). Phytochemistry and Pharmacology of </w:t>
      </w:r>
      <w:r>
        <w:rPr>
          <w:rFonts w:ascii="Arial" w:eastAsiaTheme="minorHAnsi" w:hAnsi="Arial"/>
          <w:bCs/>
          <w:i/>
          <w:iCs/>
          <w:color w:val="000000"/>
          <w:sz w:val="20"/>
          <w:szCs w:val="20"/>
        </w:rPr>
        <w:t>Moringa</w:t>
      </w:r>
      <w:r>
        <w:rPr>
          <w:rFonts w:ascii="Arial" w:eastAsiaTheme="minorHAnsi" w:hAnsi="Arial"/>
          <w:bCs/>
          <w:color w:val="000000"/>
          <w:sz w:val="20"/>
          <w:szCs w:val="20"/>
        </w:rPr>
        <w:t xml:space="preserve"> </w:t>
      </w:r>
      <w:r>
        <w:rPr>
          <w:rFonts w:ascii="Arial" w:eastAsiaTheme="minorHAnsi" w:hAnsi="Arial"/>
          <w:bCs/>
          <w:i/>
          <w:iCs/>
          <w:color w:val="000000"/>
          <w:sz w:val="20"/>
          <w:szCs w:val="20"/>
        </w:rPr>
        <w:t>oleifera</w:t>
      </w:r>
      <w:r>
        <w:rPr>
          <w:rFonts w:ascii="Arial" w:eastAsiaTheme="minorHAnsi" w:hAnsi="Arial"/>
          <w:bCs/>
          <w:color w:val="000000"/>
          <w:sz w:val="20"/>
          <w:szCs w:val="20"/>
        </w:rPr>
        <w:t xml:space="preserve"> Lam. Journal of Pharmacopuncture, 20(3):194-200. https://doi.org/10.3831/kpi.2017.20.022</w:t>
      </w:r>
    </w:p>
    <w:p w14:paraId="02D082E0" w14:textId="77777777" w:rsidR="009A692A" w:rsidRDefault="002A3522">
      <w:pPr>
        <w:ind w:left="567" w:hanging="567"/>
        <w:jc w:val="both"/>
        <w:rPr>
          <w:rFonts w:hint="eastAsia"/>
        </w:rPr>
      </w:pPr>
      <w:r>
        <w:rPr>
          <w:rFonts w:ascii="Arial" w:hAnsi="Arial"/>
          <w:color w:val="000000"/>
          <w:sz w:val="20"/>
          <w:szCs w:val="20"/>
        </w:rPr>
        <w:t xml:space="preserve">Peñalver, R., </w:t>
      </w:r>
      <w:r>
        <w:rPr>
          <w:rFonts w:ascii="Arial" w:hAnsi="Arial"/>
          <w:color w:val="000000"/>
          <w:sz w:val="20"/>
          <w:szCs w:val="20"/>
        </w:rPr>
        <w:t>Martínez-Zamora, L., Lorenzo, J.M., Ros, G., Nieto, G. (</w:t>
      </w:r>
      <w:r>
        <w:rPr>
          <w:rFonts w:ascii="Arial" w:hAnsi="Arial"/>
          <w:bCs/>
          <w:color w:val="000000"/>
          <w:sz w:val="20"/>
          <w:szCs w:val="20"/>
        </w:rPr>
        <w:t>2022</w:t>
      </w:r>
      <w:r>
        <w:rPr>
          <w:rFonts w:ascii="Arial" w:hAnsi="Arial"/>
          <w:color w:val="000000"/>
          <w:sz w:val="20"/>
          <w:szCs w:val="20"/>
        </w:rPr>
        <w:t xml:space="preserve">). Nutritional and Antioxidant Properties of Moringa oleifera Leaves in Functional Foods.  Foods, 11(8):1107. </w:t>
      </w:r>
      <w:hyperlink r:id="rId24">
        <w:r>
          <w:rPr>
            <w:rStyle w:val="LienInternet"/>
            <w:rFonts w:ascii="Arial" w:hAnsi="Arial"/>
            <w:color w:val="000000"/>
            <w:sz w:val="20"/>
            <w:szCs w:val="20"/>
            <w:u w:val="none"/>
          </w:rPr>
          <w:t>https://doi.org/10.3390/foods</w:t>
        </w:r>
        <w:r>
          <w:rPr>
            <w:rStyle w:val="LienInternet"/>
            <w:rFonts w:ascii="Arial" w:hAnsi="Arial"/>
            <w:color w:val="000000"/>
            <w:sz w:val="20"/>
            <w:szCs w:val="20"/>
            <w:u w:val="none"/>
          </w:rPr>
          <w:t>11081107</w:t>
        </w:r>
      </w:hyperlink>
    </w:p>
    <w:p w14:paraId="14398273" w14:textId="77777777" w:rsidR="009A692A" w:rsidRDefault="002A3522">
      <w:pPr>
        <w:ind w:left="567" w:hanging="567"/>
        <w:jc w:val="both"/>
        <w:rPr>
          <w:rFonts w:ascii="Arial" w:hAnsi="Arial"/>
          <w:sz w:val="20"/>
          <w:szCs w:val="20"/>
        </w:rPr>
      </w:pPr>
      <w:r>
        <w:rPr>
          <w:rFonts w:ascii="Arial" w:eastAsia="Calibri" w:hAnsi="Arial"/>
          <w:color w:val="000000"/>
          <w:sz w:val="20"/>
          <w:szCs w:val="20"/>
        </w:rPr>
        <w:lastRenderedPageBreak/>
        <w:t xml:space="preserve">Ruiz-Capillas, C., Herrero, A.M. (2021). Sensory Analysis and Consumer Research in New Product Development. Foods, 10(3):582. https://doi.org/10.3390/foods10030582 </w:t>
      </w:r>
    </w:p>
    <w:p w14:paraId="7D4E3CA9" w14:textId="77777777" w:rsidR="009A692A" w:rsidRDefault="002A3522">
      <w:pPr>
        <w:ind w:left="567" w:hanging="567"/>
        <w:jc w:val="both"/>
        <w:rPr>
          <w:rFonts w:ascii="Arial" w:hAnsi="Arial"/>
          <w:sz w:val="20"/>
          <w:szCs w:val="20"/>
        </w:rPr>
      </w:pPr>
      <w:r>
        <w:rPr>
          <w:rFonts w:ascii="Arial" w:eastAsia="Calibri" w:hAnsi="Arial"/>
          <w:color w:val="000000"/>
          <w:sz w:val="20"/>
          <w:szCs w:val="20"/>
        </w:rPr>
        <w:t xml:space="preserve">Saha, F.B.U., Choumessi, T.A., Ayamo, A.M.,  Kuagny, R.B.M., Teta, I., Ejoh, A.R. </w:t>
      </w:r>
      <w:r>
        <w:rPr>
          <w:rFonts w:ascii="Arial" w:eastAsia="Calibri" w:hAnsi="Arial"/>
          <w:color w:val="000000"/>
          <w:sz w:val="20"/>
          <w:szCs w:val="20"/>
        </w:rPr>
        <w:t>(2022). Nutritional Quality of Three Iron-Rich Porridges Blended with Moringa oleifera, Hibiscus sabdariffa, and Solanum aethiopicum to Combat Iron Deficiency Anemia among Children , Journal of Food Quality.   https://doi.org/10.1155/2022/4309892</w:t>
      </w:r>
    </w:p>
    <w:p w14:paraId="3D7A09CB" w14:textId="77777777" w:rsidR="009A692A" w:rsidRDefault="002A3522">
      <w:pPr>
        <w:ind w:left="567" w:hanging="567"/>
        <w:jc w:val="both"/>
        <w:rPr>
          <w:rFonts w:ascii="Arial" w:hAnsi="Arial"/>
          <w:sz w:val="20"/>
          <w:szCs w:val="20"/>
        </w:rPr>
      </w:pPr>
      <w:r>
        <w:rPr>
          <w:rFonts w:ascii="Arial" w:eastAsia="Calibri" w:hAnsi="Arial"/>
          <w:color w:val="000000"/>
          <w:sz w:val="20"/>
          <w:szCs w:val="20"/>
        </w:rPr>
        <w:t xml:space="preserve">Sauceda, </w:t>
      </w:r>
      <w:r>
        <w:rPr>
          <w:rFonts w:ascii="Arial" w:eastAsia="Calibri" w:hAnsi="Arial"/>
          <w:color w:val="000000"/>
          <w:sz w:val="20"/>
          <w:szCs w:val="20"/>
        </w:rPr>
        <w:t>A.E.Q., Sáyago-Ayerdi, S.G., Ayala-Zavala, J.F., Wall-Medrano, A., de la Rosa, L.A., González-Aguilar, G.A. et al. (2017). Biological Actions of Phenolic Compounds. Fruit and Vegetable Phytochemicals, 125–138. https://doi.org/10.1002/9781119158042.ch6</w:t>
      </w:r>
    </w:p>
    <w:p w14:paraId="0DD687E4" w14:textId="77777777" w:rsidR="009A692A" w:rsidRDefault="002A3522">
      <w:pPr>
        <w:ind w:left="567" w:hanging="567"/>
        <w:jc w:val="both"/>
        <w:rPr>
          <w:rFonts w:hint="eastAsia"/>
        </w:rPr>
      </w:pPr>
      <w:r>
        <w:rPr>
          <w:rFonts w:ascii="Arial" w:hAnsi="Arial"/>
          <w:color w:val="000000"/>
          <w:sz w:val="20"/>
          <w:szCs w:val="20"/>
        </w:rPr>
        <w:t>Sing</w:t>
      </w:r>
      <w:r>
        <w:rPr>
          <w:rFonts w:ascii="Arial" w:hAnsi="Arial"/>
          <w:color w:val="000000"/>
          <w:sz w:val="20"/>
          <w:szCs w:val="20"/>
        </w:rPr>
        <w:t>h, P., Kesharwani, R.K., Keservani, R.K. (2017). Protein, Carbohydrates, and Fats. Sustained Energy for Enhanced Human Functions and Activity, 103–115. </w:t>
      </w:r>
      <w:hyperlink r:id="rId25">
        <w:r>
          <w:rPr>
            <w:rStyle w:val="LienInternet"/>
            <w:rFonts w:ascii="Arial" w:hAnsi="Arial"/>
            <w:color w:val="000000"/>
            <w:sz w:val="20"/>
            <w:szCs w:val="20"/>
            <w:u w:val="none"/>
          </w:rPr>
          <w:t>https://doi.org/10.1016/B978-0-12-</w:t>
        </w:r>
        <w:r>
          <w:rPr>
            <w:rStyle w:val="LienInternet"/>
            <w:rFonts w:ascii="Arial" w:hAnsi="Arial"/>
            <w:color w:val="000000"/>
            <w:sz w:val="20"/>
            <w:szCs w:val="20"/>
            <w:u w:val="none"/>
          </w:rPr>
          <w:t>805413-0.00006-5</w:t>
        </w:r>
      </w:hyperlink>
    </w:p>
    <w:p w14:paraId="7A27F2D1" w14:textId="77777777" w:rsidR="009A692A" w:rsidRDefault="002A3522">
      <w:pPr>
        <w:suppressAutoHyphens w:val="0"/>
        <w:jc w:val="both"/>
        <w:rPr>
          <w:rFonts w:hint="eastAsia"/>
        </w:rPr>
      </w:pPr>
      <w:r>
        <w:rPr>
          <w:rFonts w:ascii="Arial" w:hAnsi="Arial"/>
          <w:color w:val="000000"/>
          <w:sz w:val="20"/>
          <w:szCs w:val="20"/>
        </w:rPr>
        <w:t xml:space="preserve">Soh, D., Choumessi, T.A., Manfo, T.P.F., Ngum, N.N.M., Mbouh, M., Nantia, A.E. (2022). Antioxidant content </w:t>
      </w:r>
      <w:r>
        <w:rPr>
          <w:rFonts w:ascii="Arial" w:hAnsi="Arial"/>
          <w:color w:val="000000"/>
          <w:sz w:val="20"/>
          <w:szCs w:val="20"/>
        </w:rPr>
        <w:tab/>
        <w:t xml:space="preserve">and activity of stem and leaf extracts of </w:t>
      </w:r>
      <w:r>
        <w:rPr>
          <w:rFonts w:ascii="Arial" w:hAnsi="Arial"/>
          <w:i/>
          <w:color w:val="000000"/>
          <w:sz w:val="20"/>
          <w:szCs w:val="20"/>
        </w:rPr>
        <w:t>Gouania longipetala</w:t>
      </w:r>
      <w:r>
        <w:rPr>
          <w:rFonts w:ascii="Arial" w:hAnsi="Arial"/>
          <w:color w:val="000000"/>
          <w:sz w:val="20"/>
          <w:szCs w:val="20"/>
        </w:rPr>
        <w:t xml:space="preserve"> Hemsl. (Rhamnaceae). AYU, 43:60-4. </w:t>
      </w:r>
      <w:hyperlink r:id="rId26">
        <w:r>
          <w:rPr>
            <w:rStyle w:val="LienInternet"/>
            <w:rFonts w:ascii="Arial" w:hAnsi="Arial"/>
            <w:color w:val="000000"/>
            <w:sz w:val="20"/>
            <w:szCs w:val="20"/>
            <w:u w:val="none"/>
          </w:rPr>
          <w:t>https://doi.org/</w:t>
        </w:r>
      </w:hyperlink>
      <w:r>
        <w:rPr>
          <w:rFonts w:ascii="Arial" w:hAnsi="Arial"/>
          <w:color w:val="000000"/>
          <w:sz w:val="20"/>
          <w:szCs w:val="20"/>
        </w:rPr>
        <w:tab/>
        <w:t>10.4103/ayu.ayu_241_18</w:t>
      </w:r>
    </w:p>
    <w:p w14:paraId="699B3695" w14:textId="77777777" w:rsidR="009A692A" w:rsidRDefault="002A3522">
      <w:pPr>
        <w:ind w:left="567" w:hanging="567"/>
        <w:jc w:val="both"/>
        <w:rPr>
          <w:rFonts w:ascii="Arial" w:hAnsi="Arial"/>
          <w:sz w:val="20"/>
          <w:szCs w:val="20"/>
        </w:rPr>
      </w:pPr>
      <w:r>
        <w:rPr>
          <w:rFonts w:ascii="Arial" w:hAnsi="Arial"/>
          <w:color w:val="000000"/>
          <w:sz w:val="20"/>
          <w:szCs w:val="20"/>
        </w:rPr>
        <w:t xml:space="preserve">Stathers, T., Holcroft, D., Kitinoja, L., Mvumi, B.M., English, A., Omotilewa, O. et al. (2020). A scoping review of interventions for crop postharvest loss reduction in sub-Saharan Africa and South Asia. Nature </w:t>
      </w:r>
      <w:r>
        <w:rPr>
          <w:rFonts w:ascii="Arial" w:hAnsi="Arial"/>
          <w:color w:val="000000"/>
          <w:sz w:val="20"/>
          <w:szCs w:val="20"/>
        </w:rPr>
        <w:t>Sustainability, 3, 821–835. https://doi.org/10.1038/s41893-020-00622-1</w:t>
      </w:r>
    </w:p>
    <w:p w14:paraId="0289D94F" w14:textId="77777777" w:rsidR="009A692A" w:rsidRDefault="002A3522">
      <w:pPr>
        <w:ind w:left="567" w:hanging="567"/>
        <w:jc w:val="both"/>
        <w:rPr>
          <w:rFonts w:hint="eastAsia"/>
        </w:rPr>
      </w:pPr>
      <w:r>
        <w:rPr>
          <w:rFonts w:ascii="Arial" w:hAnsi="Arial"/>
          <w:color w:val="000000"/>
          <w:sz w:val="20"/>
          <w:szCs w:val="20"/>
        </w:rPr>
        <w:t>Tambi, D.M., Bobuin, E.K. (2023). Production function analysis for the semi-subsistence irish potato production systems and the farmers’ economic well-being in Santa, Cameroon. Agricult</w:t>
      </w:r>
      <w:r>
        <w:rPr>
          <w:rFonts w:ascii="Arial" w:hAnsi="Arial"/>
          <w:color w:val="000000"/>
          <w:sz w:val="20"/>
          <w:szCs w:val="20"/>
        </w:rPr>
        <w:t xml:space="preserve">ural Sciences, 15 (36): 21-38. </w:t>
      </w:r>
      <w:r>
        <w:rPr>
          <w:rStyle w:val="LienInternet"/>
          <w:rFonts w:ascii="Arial" w:hAnsi="Arial"/>
          <w:color w:val="000000"/>
          <w:sz w:val="20"/>
          <w:szCs w:val="20"/>
          <w:u w:val="none"/>
        </w:rPr>
        <w:t>http://agrarninauki.au-plovdiv.bg/2023/issue-36/2-36/</w:t>
      </w:r>
    </w:p>
    <w:p w14:paraId="7D6263BE" w14:textId="77777777" w:rsidR="009A692A" w:rsidRDefault="002A3522">
      <w:pPr>
        <w:ind w:left="567" w:hanging="567"/>
        <w:jc w:val="both"/>
        <w:rPr>
          <w:rFonts w:hint="eastAsia"/>
        </w:rPr>
      </w:pPr>
      <w:r>
        <w:rPr>
          <w:rFonts w:ascii="Arial" w:eastAsia="Calibri" w:hAnsi="Arial"/>
          <w:color w:val="000000"/>
          <w:sz w:val="20"/>
          <w:szCs w:val="20"/>
        </w:rPr>
        <w:t>Trigo, C., Castelló, M.L., Ortolá, M.D. (2023). Potentiality of Moringa oleifera as a Nutritive Ingredient in Different Food Matrices. Plant Foods in Human Nutrition. 78(1</w:t>
      </w:r>
      <w:r>
        <w:rPr>
          <w:rFonts w:ascii="Arial" w:eastAsia="Calibri" w:hAnsi="Arial"/>
          <w:color w:val="000000"/>
          <w:sz w:val="20"/>
          <w:szCs w:val="20"/>
        </w:rPr>
        <w:t xml:space="preserve">):25-37. </w:t>
      </w:r>
      <w:hyperlink r:id="rId27">
        <w:r>
          <w:rPr>
            <w:rStyle w:val="LienInternet"/>
            <w:rFonts w:ascii="Arial" w:eastAsia="Calibri" w:hAnsi="Arial"/>
            <w:color w:val="000000"/>
            <w:sz w:val="20"/>
            <w:szCs w:val="20"/>
            <w:u w:val="none"/>
          </w:rPr>
          <w:t>https://doi.org/10.1007/s11130-022-01023-9</w:t>
        </w:r>
      </w:hyperlink>
    </w:p>
    <w:p w14:paraId="42996B22" w14:textId="77777777" w:rsidR="009A692A" w:rsidRDefault="002A3522">
      <w:pPr>
        <w:ind w:left="567" w:hanging="567"/>
        <w:jc w:val="both"/>
        <w:rPr>
          <w:rFonts w:ascii="Arial" w:hAnsi="Arial"/>
          <w:sz w:val="20"/>
          <w:szCs w:val="20"/>
        </w:rPr>
      </w:pPr>
      <w:r>
        <w:rPr>
          <w:rFonts w:ascii="Arial" w:eastAsia="GaramondPremrPro" w:hAnsi="Arial"/>
          <w:color w:val="000000"/>
          <w:sz w:val="20"/>
          <w:szCs w:val="20"/>
        </w:rPr>
        <w:t>WHO, 2023. Country Disease Outlook Cameroon, Worl Heath Organization, African Region, August 2023. https://www.afro.who.int/sites/default/file</w:t>
      </w:r>
      <w:r>
        <w:rPr>
          <w:rFonts w:ascii="Arial" w:eastAsia="GaramondPremrPro" w:hAnsi="Arial"/>
          <w:color w:val="000000"/>
          <w:sz w:val="20"/>
          <w:szCs w:val="20"/>
        </w:rPr>
        <w:t>s/2023-08/Cameroon.pdf</w:t>
      </w:r>
    </w:p>
    <w:p w14:paraId="12AFD28B" w14:textId="77777777" w:rsidR="009A692A" w:rsidRDefault="002A3522">
      <w:pPr>
        <w:ind w:left="567" w:hanging="567"/>
        <w:jc w:val="both"/>
        <w:rPr>
          <w:rFonts w:ascii="Arial" w:hAnsi="Arial"/>
          <w:sz w:val="20"/>
          <w:szCs w:val="20"/>
        </w:rPr>
      </w:pPr>
      <w:r>
        <w:rPr>
          <w:rFonts w:ascii="Arial" w:hAnsi="Arial"/>
          <w:color w:val="000000"/>
          <w:sz w:val="20"/>
          <w:szCs w:val="20"/>
        </w:rPr>
        <w:t>Woin, N., Ngome, P.T., Waingeh, N.C., Adjoudji, O., Nossi, E.J., Simo, B. et al. (2019). Suitability of Different Processing Techniques and Sales Options for Irish Potato (</w:t>
      </w:r>
      <w:r>
        <w:rPr>
          <w:rFonts w:ascii="Arial" w:hAnsi="Arial"/>
          <w:i/>
          <w:iCs/>
          <w:color w:val="000000"/>
          <w:sz w:val="20"/>
          <w:szCs w:val="20"/>
        </w:rPr>
        <w:t>Solanum Tuberusum</w:t>
      </w:r>
      <w:r>
        <w:rPr>
          <w:rFonts w:ascii="Arial" w:hAnsi="Arial"/>
          <w:color w:val="000000"/>
          <w:sz w:val="20"/>
          <w:szCs w:val="20"/>
        </w:rPr>
        <w:t>) Cultivars in Cameroon. FARA Research Repor</w:t>
      </w:r>
      <w:r>
        <w:rPr>
          <w:rFonts w:ascii="Arial" w:hAnsi="Arial"/>
          <w:color w:val="000000"/>
          <w:sz w:val="20"/>
          <w:szCs w:val="20"/>
        </w:rPr>
        <w:t>t,  4(4): 83. https://research4agrinnovation.org/app/uploads/2019/03/FRR-Vol-4-No-4.pdf</w:t>
      </w:r>
    </w:p>
    <w:p w14:paraId="7E2CD424" w14:textId="77777777" w:rsidR="009A692A" w:rsidRDefault="002A3522">
      <w:pPr>
        <w:ind w:left="567" w:hanging="567"/>
        <w:jc w:val="both"/>
        <w:rPr>
          <w:rFonts w:ascii="Arial" w:hAnsi="Arial"/>
          <w:sz w:val="20"/>
          <w:szCs w:val="20"/>
        </w:rPr>
      </w:pPr>
      <w:r>
        <w:rPr>
          <w:rFonts w:ascii="Arial" w:hAnsi="Arial"/>
          <w:color w:val="000000"/>
          <w:sz w:val="20"/>
          <w:szCs w:val="20"/>
        </w:rPr>
        <w:t>Wudil, A.H., Usman, M., Rosak-Szyrocka, J., Pilař, L., Boye, M. (2022). Reversing Years for Global Food Security: A Review of the Food Security Situation in Sub-Saharan</w:t>
      </w:r>
      <w:r>
        <w:rPr>
          <w:rFonts w:ascii="Arial" w:hAnsi="Arial"/>
          <w:color w:val="000000"/>
          <w:sz w:val="20"/>
          <w:szCs w:val="20"/>
        </w:rPr>
        <w:t xml:space="preserve"> Africa (SSA). International Journal of Environmental Reseach and Public Health, 19(22):14836. https://doi.org/10.3390/ijerph192214836</w:t>
      </w:r>
    </w:p>
    <w:p w14:paraId="18D36B62" w14:textId="77777777" w:rsidR="009A692A" w:rsidRDefault="009A692A">
      <w:pPr>
        <w:rPr>
          <w:rFonts w:ascii="Arial" w:hAnsi="Arial"/>
          <w:color w:val="000000"/>
          <w:sz w:val="20"/>
          <w:szCs w:val="20"/>
        </w:rPr>
      </w:pPr>
    </w:p>
    <w:p w14:paraId="01CB3D49" w14:textId="77777777" w:rsidR="009A692A" w:rsidRDefault="009A692A">
      <w:pPr>
        <w:jc w:val="both"/>
        <w:rPr>
          <w:rFonts w:ascii="Arial" w:hAnsi="Arial"/>
          <w:sz w:val="20"/>
          <w:szCs w:val="20"/>
        </w:rPr>
      </w:pPr>
    </w:p>
    <w:sectPr w:rsidR="009A692A">
      <w:type w:val="continuous"/>
      <w:pgSz w:w="11906" w:h="16838"/>
      <w:pgMar w:top="1134" w:right="1134" w:bottom="1946"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2A7CB" w14:textId="77777777" w:rsidR="002A3522" w:rsidRDefault="002A3522">
      <w:pPr>
        <w:rPr>
          <w:rFonts w:hint="eastAsia"/>
        </w:rPr>
      </w:pPr>
      <w:r>
        <w:separator/>
      </w:r>
    </w:p>
  </w:endnote>
  <w:endnote w:type="continuationSeparator" w:id="0">
    <w:p w14:paraId="79D21BC6" w14:textId="77777777" w:rsidR="002A3522" w:rsidRDefault="002A352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Premr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DBF02" w14:textId="77777777" w:rsidR="00425F09" w:rsidRDefault="00425F09">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ED4DB" w14:textId="77777777" w:rsidR="00425F09" w:rsidRDefault="00425F09">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5F15" w14:textId="77777777" w:rsidR="00425F09" w:rsidRDefault="00425F09">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6DD69" w14:textId="77777777" w:rsidR="002A3522" w:rsidRDefault="002A3522">
      <w:pPr>
        <w:rPr>
          <w:rFonts w:hint="eastAsia"/>
        </w:rPr>
      </w:pPr>
      <w:r>
        <w:separator/>
      </w:r>
    </w:p>
  </w:footnote>
  <w:footnote w:type="continuationSeparator" w:id="0">
    <w:p w14:paraId="593AAC0C" w14:textId="77777777" w:rsidR="002A3522" w:rsidRDefault="002A352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CF2F" w14:textId="596E1247" w:rsidR="00425F09" w:rsidRDefault="00425F09">
    <w:pPr>
      <w:pStyle w:val="Header"/>
      <w:rPr>
        <w:rFonts w:hint="eastAsia"/>
      </w:rPr>
    </w:pPr>
    <w:r>
      <w:rPr>
        <w:noProof/>
      </w:rPr>
      <w:pict w14:anchorId="1A917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86454" o:spid="_x0000_s2050" type="#_x0000_t136" style="position:absolute;margin-left:0;margin-top:0;width:611.4pt;height:67.9pt;rotation:315;z-index:-251655168;mso-position-horizontal:center;mso-position-horizontal-relative:margin;mso-position-vertical:center;mso-position-vertical-relative:margin" o:allowincell="f" fillcolor="silver" stroked="f">
          <v:fill opacity=".5"/>
          <v:textpath style="font-family:&quot;Liberation Serif&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3D91" w14:textId="5C4307D5" w:rsidR="00425F09" w:rsidRDefault="00425F09">
    <w:pPr>
      <w:pStyle w:val="Header"/>
      <w:rPr>
        <w:rFonts w:hint="eastAsia"/>
      </w:rPr>
    </w:pPr>
    <w:r>
      <w:rPr>
        <w:noProof/>
      </w:rPr>
      <w:pict w14:anchorId="2753FD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86455" o:spid="_x0000_s2051" type="#_x0000_t136" style="position:absolute;margin-left:0;margin-top:0;width:611.4pt;height:67.9pt;rotation:315;z-index:-251653120;mso-position-horizontal:center;mso-position-horizontal-relative:margin;mso-position-vertical:center;mso-position-vertical-relative:margin" o:allowincell="f" fillcolor="silver" stroked="f">
          <v:fill opacity=".5"/>
          <v:textpath style="font-family:&quot;Liberation Serif&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A997" w14:textId="1F7DB2C2" w:rsidR="00425F09" w:rsidRDefault="00425F09">
    <w:pPr>
      <w:pStyle w:val="Header"/>
      <w:rPr>
        <w:rFonts w:hint="eastAsia"/>
      </w:rPr>
    </w:pPr>
    <w:r>
      <w:rPr>
        <w:noProof/>
      </w:rPr>
      <w:pict w14:anchorId="21B7B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86453" o:spid="_x0000_s2049" type="#_x0000_t136" style="position:absolute;margin-left:0;margin-top:0;width:611.4pt;height:67.9pt;rotation:315;z-index:-251657216;mso-position-horizontal:center;mso-position-horizontal-relative:margin;mso-position-vertical:center;mso-position-vertical-relative:margin" o:allowincell="f" fillcolor="silver" stroked="f">
          <v:fill opacity=".5"/>
          <v:textpath style="font-family:&quot;Liberation Serif&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9"/>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A692A"/>
    <w:rsid w:val="002A3522"/>
    <w:rsid w:val="00406BE1"/>
    <w:rsid w:val="00425F09"/>
    <w:rsid w:val="006A101A"/>
    <w:rsid w:val="007C0FEA"/>
    <w:rsid w:val="008D5485"/>
    <w:rsid w:val="008F026D"/>
    <w:rsid w:val="009A692A"/>
    <w:rsid w:val="00A57307"/>
    <w:rsid w:val="00C124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491FEF"/>
  <w15:docId w15:val="{1A8EE900-59E0-4C86-AC3B-C65354FA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jc w:val="center"/>
      <w:outlineLvl w:val="0"/>
    </w:pPr>
    <w:rPr>
      <w:rFonts w:eastAsiaTheme="majorEastAsia"/>
      <w:b/>
      <w:bCs/>
      <w:sz w:val="28"/>
      <w:szCs w:val="28"/>
    </w:rPr>
  </w:style>
  <w:style w:type="paragraph" w:styleId="Heading2">
    <w:name w:val="heading 2"/>
    <w:basedOn w:val="Normal"/>
    <w:next w:val="Normal"/>
    <w:uiPriority w:val="9"/>
    <w:unhideWhenUsed/>
    <w:qFormat/>
    <w:pPr>
      <w:keepNext/>
      <w:keepLines/>
      <w:spacing w:before="200" w:line="276" w:lineRule="auto"/>
      <w:outlineLvl w:val="1"/>
    </w:pPr>
    <w:rPr>
      <w:rFonts w:eastAsiaTheme="majorEastAsia" w:cstheme="majorBidi"/>
      <w:b/>
      <w:bCs/>
      <w:sz w:val="28"/>
      <w:szCs w:val="26"/>
    </w:rPr>
  </w:style>
  <w:style w:type="paragraph" w:styleId="Heading3">
    <w:name w:val="heading 3"/>
    <w:basedOn w:val="BodyTextFirstIndent2"/>
    <w:next w:val="Normal"/>
    <w:uiPriority w:val="9"/>
    <w:unhideWhenUsed/>
    <w:qFormat/>
    <w:pPr>
      <w:keepNext/>
      <w:keepLines/>
      <w:spacing w:before="200" w:after="120" w:line="276" w:lineRule="auto"/>
      <w:outlineLvl w:val="2"/>
    </w:pPr>
    <w:rPr>
      <w:rFonts w:eastAsiaTheme="majorEastAsia"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centuation">
    <w:name w:val="Accentuation"/>
    <w:basedOn w:val="DefaultParagraphFont"/>
    <w:qFormat/>
    <w:rPr>
      <w:i/>
      <w:iCs/>
    </w:rPr>
  </w:style>
  <w:style w:type="character" w:customStyle="1" w:styleId="accordion-tabbedtab-mobile">
    <w:name w:val="accordion-tabbed__tab-mobile"/>
    <w:basedOn w:val="DefaultParagraphFont"/>
    <w:qFormat/>
  </w:style>
  <w:style w:type="character" w:customStyle="1" w:styleId="elementor-button-text">
    <w:name w:val="elementor-button-text"/>
    <w:basedOn w:val="DefaultParagraphFont"/>
    <w:qFormat/>
  </w:style>
  <w:style w:type="character" w:customStyle="1" w:styleId="LienInternet">
    <w:name w:val="Lien Internet"/>
    <w:rPr>
      <w:color w:val="000080"/>
      <w:u w:val="single"/>
    </w:rPr>
  </w:style>
  <w:style w:type="character" w:customStyle="1" w:styleId="mixed-citation">
    <w:name w:val="mixed-citation"/>
    <w:basedOn w:val="DefaultParagraphFont"/>
    <w:qFormat/>
  </w:style>
  <w:style w:type="character" w:customStyle="1" w:styleId="Puces">
    <w:name w:val="Puces"/>
    <w:qFormat/>
    <w:rPr>
      <w:rFonts w:ascii="OpenSymbol" w:eastAsia="OpenSymbol" w:hAnsi="OpenSymbol" w:cs="OpenSymbol"/>
    </w:rPr>
  </w:style>
  <w:style w:type="character" w:customStyle="1" w:styleId="LienInternetvisit">
    <w:name w:val="Lien Internet visité"/>
    <w:rPr>
      <w:color w:val="800000"/>
      <w:u w:val="single"/>
    </w:rPr>
  </w:style>
  <w:style w:type="paragraph" w:customStyle="1" w:styleId="Titre">
    <w:name w:val="Titre"/>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BodyTextIndent">
    <w:name w:val="Body Text Indent"/>
    <w:basedOn w:val="Normal"/>
    <w:pPr>
      <w:spacing w:after="120"/>
      <w:ind w:left="360"/>
    </w:pPr>
    <w:rPr>
      <w:rFonts w:eastAsia="Times New Roman"/>
    </w:rPr>
  </w:style>
  <w:style w:type="paragraph" w:styleId="BodyTextFirstIndent2">
    <w:name w:val="Body Text First Indent 2"/>
    <w:basedOn w:val="BodyTextIndent"/>
    <w:qFormat/>
    <w:pPr>
      <w:spacing w:after="0"/>
      <w:ind w:firstLine="360"/>
    </w:pPr>
  </w:style>
  <w:style w:type="paragraph" w:styleId="ListParagraph">
    <w:name w:val="List Paragraph"/>
    <w:basedOn w:val="Normal"/>
    <w:qFormat/>
    <w:pPr>
      <w:spacing w:after="200" w:line="276" w:lineRule="auto"/>
      <w:ind w:left="720"/>
      <w:contextualSpacing/>
    </w:pPr>
    <w:rPr>
      <w:rFonts w:ascii="Calibri" w:eastAsia="Calibri" w:hAnsi="Calibri" w:cs="SimSun"/>
      <w:sz w:val="22"/>
      <w:szCs w:val="22"/>
    </w:rPr>
  </w:style>
  <w:style w:type="paragraph" w:customStyle="1" w:styleId="Contenudecadre">
    <w:name w:val="Contenu de cadre"/>
    <w:basedOn w:val="Normal"/>
    <w:qFormat/>
  </w:style>
  <w:style w:type="paragraph" w:customStyle="1" w:styleId="Default">
    <w:name w:val="Default"/>
    <w:qFormat/>
    <w:rPr>
      <w:rFonts w:ascii="Times New Roman" w:eastAsia="Calibri" w:hAnsi="Times New Roman" w:cs="Times New Roman"/>
      <w:color w:val="000000"/>
    </w:rPr>
  </w:style>
  <w:style w:type="paragraph" w:customStyle="1" w:styleId="En-tteetpieddepage">
    <w:name w:val="En-tête et pied de page"/>
    <w:basedOn w:val="Normal"/>
    <w:qFormat/>
    <w:pPr>
      <w:suppressLineNumbers/>
      <w:tabs>
        <w:tab w:val="center" w:pos="4819"/>
        <w:tab w:val="right" w:pos="9638"/>
      </w:tabs>
    </w:pPr>
  </w:style>
  <w:style w:type="paragraph" w:styleId="Footer">
    <w:name w:val="footer"/>
    <w:basedOn w:val="En-tteetpieddepage"/>
  </w:style>
  <w:style w:type="paragraph" w:customStyle="1" w:styleId="MainHead">
    <w:name w:val="Main Head"/>
    <w:basedOn w:val="Normal"/>
    <w:qFormat/>
    <w:pPr>
      <w:keepNext/>
      <w:spacing w:after="240"/>
    </w:pPr>
    <w:rPr>
      <w:b/>
      <w:caps/>
    </w:rPr>
  </w:style>
  <w:style w:type="paragraph" w:customStyle="1" w:styleId="ReferHead">
    <w:name w:val="Refer Head"/>
    <w:basedOn w:val="MainHead"/>
    <w:qFormat/>
    <w:rPr>
      <w:sz w:val="22"/>
    </w:rPr>
  </w:style>
  <w:style w:type="character" w:styleId="Hyperlink">
    <w:name w:val="Hyperlink"/>
    <w:basedOn w:val="DefaultParagraphFont"/>
    <w:uiPriority w:val="99"/>
    <w:unhideWhenUsed/>
    <w:rsid w:val="006A101A"/>
    <w:rPr>
      <w:color w:val="0563C1" w:themeColor="hyperlink"/>
      <w:u w:val="single"/>
    </w:rPr>
  </w:style>
  <w:style w:type="character" w:styleId="UnresolvedMention">
    <w:name w:val="Unresolved Mention"/>
    <w:basedOn w:val="DefaultParagraphFont"/>
    <w:uiPriority w:val="99"/>
    <w:semiHidden/>
    <w:unhideWhenUsed/>
    <w:rsid w:val="006A101A"/>
    <w:rPr>
      <w:color w:val="605E5C"/>
      <w:shd w:val="clear" w:color="auto" w:fill="E1DFDD"/>
    </w:rPr>
  </w:style>
  <w:style w:type="paragraph" w:styleId="Header">
    <w:name w:val="header"/>
    <w:basedOn w:val="Normal"/>
    <w:link w:val="HeaderChar"/>
    <w:uiPriority w:val="99"/>
    <w:unhideWhenUsed/>
    <w:rsid w:val="008F026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8F026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i.org/" TargetMode="External"/><Relationship Id="rId3" Type="http://schemas.openxmlformats.org/officeDocument/2006/relationships/webSettings" Target="webSettings.xml"/><Relationship Id="rId21" Type="http://schemas.openxmlformats.org/officeDocument/2006/relationships/hyperlink" Target="https://www.tandfonline.com/journals/bfsn20"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3.xml"/><Relationship Id="rId25" Type="http://schemas.openxmlformats.org/officeDocument/2006/relationships/hyperlink" Target="https://doi.org/10.1016/B978-0-12-805413-0.00006-5" TargetMode="Externa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hyperlink" Target="https://doi.org/10.1186/1744-8603-7-4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doi.org/10.3390/foods11081107" TargetMode="Externa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doi.org/10.1042/EBC20200108"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www.ajol.info/index.php/csj/article/view/192131"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 Id="rId22" Type="http://schemas.openxmlformats.org/officeDocument/2006/relationships/hyperlink" Target="https://doi.org/10.9755/ejfa.v25i10.17003" TargetMode="External"/><Relationship Id="rId27" Type="http://schemas.openxmlformats.org/officeDocument/2006/relationships/hyperlink" Target="https://doi.org/10.1007/s11130-022-010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4232</TotalTime>
  <Pages>9</Pages>
  <Words>4828</Words>
  <Characters>27520</Characters>
  <Application>Microsoft Office Word</Application>
  <DocSecurity>0</DocSecurity>
  <Lines>229</Lines>
  <Paragraphs>64</Paragraphs>
  <ScaleCrop>false</ScaleCrop>
  <Company/>
  <LinksUpToDate>false</LinksUpToDate>
  <CharactersWithSpaces>32284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SDI 1084</cp:lastModifiedBy>
  <cp:revision>49</cp:revision>
  <dcterms:created xsi:type="dcterms:W3CDTF">2025-02-28T13:53:00Z</dcterms:created>
  <dcterms:modified xsi:type="dcterms:W3CDTF">2025-03-20T07:56:00Z</dcterms:modified>
  <dc:language>fr-FR</dc:language>
</cp:coreProperties>
</file>