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BB89D" w14:textId="77777777" w:rsidR="004A39DF" w:rsidRDefault="00D9470C">
      <w:pPr>
        <w:pStyle w:val="Author"/>
        <w:spacing w:line="240" w:lineRule="auto"/>
        <w:rPr>
          <w:rFonts w:ascii="Arial" w:hAnsi="Arial" w:cs="Arial"/>
          <w:bCs/>
          <w:iCs/>
          <w:kern w:val="28"/>
          <w:sz w:val="36"/>
        </w:rPr>
      </w:pPr>
      <w:r>
        <w:rPr>
          <w:rFonts w:ascii="Arial" w:hAnsi="Arial" w:cs="Arial"/>
          <w:bCs/>
          <w:iCs/>
          <w:kern w:val="28"/>
          <w:sz w:val="36"/>
          <w:lang w:val="en-PH"/>
        </w:rPr>
        <w:t>Teaching Anxiety, Teaching Self-Efficacy, and Teacher Support as Predictors of Classroom Performance of Pre-service Teachers</w:t>
      </w:r>
    </w:p>
    <w:p w14:paraId="0BDD2F66" w14:textId="77777777" w:rsidR="004A39DF" w:rsidRDefault="004A39DF">
      <w:pPr>
        <w:pStyle w:val="Author"/>
        <w:spacing w:line="240" w:lineRule="auto"/>
        <w:jc w:val="both"/>
        <w:rPr>
          <w:rFonts w:ascii="Arial" w:hAnsi="Arial" w:cs="Arial"/>
          <w:sz w:val="36"/>
        </w:rPr>
      </w:pPr>
    </w:p>
    <w:p w14:paraId="3A1BAEEF" w14:textId="77777777" w:rsidR="004A39DF" w:rsidRDefault="004A39DF">
      <w:pPr>
        <w:pStyle w:val="Affiliation"/>
        <w:spacing w:after="0" w:line="240" w:lineRule="auto"/>
        <w:jc w:val="both"/>
        <w:rPr>
          <w:rFonts w:ascii="Arial" w:hAnsi="Arial" w:cs="Arial"/>
        </w:rPr>
      </w:pPr>
    </w:p>
    <w:p w14:paraId="2FB21C5F" w14:textId="77777777" w:rsidR="004A39DF" w:rsidRDefault="004A39DF">
      <w:pPr>
        <w:pStyle w:val="Affiliation"/>
        <w:spacing w:after="0" w:line="240" w:lineRule="auto"/>
        <w:jc w:val="both"/>
        <w:rPr>
          <w:rFonts w:ascii="Arial" w:hAnsi="Arial" w:cs="Arial"/>
        </w:rPr>
      </w:pPr>
    </w:p>
    <w:p w14:paraId="7A7863C4" w14:textId="77777777" w:rsidR="004A39DF" w:rsidRDefault="00D9470C">
      <w:pPr>
        <w:pStyle w:val="Copyright"/>
        <w:spacing w:after="0" w:line="240" w:lineRule="auto"/>
        <w:jc w:val="both"/>
        <w:rPr>
          <w:rFonts w:ascii="Arial" w:hAnsi="Arial" w:cs="Arial"/>
        </w:rPr>
        <w:sectPr w:rsidR="004A39DF" w:rsidSect="004E565F">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rPr>
      </w:r>
      <w:r>
        <w:rPr>
          <w:rFonts w:ascii="Arial" w:hAnsi="Arial" w:cs="Arial"/>
        </w:rPr>
        <w:pict w14:anchorId="29C6A251">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Pr>
          <w:rFonts w:ascii="Arial" w:hAnsi="Arial" w:cs="Arial"/>
        </w:rPr>
        <w:t>.</w:t>
      </w:r>
    </w:p>
    <w:p w14:paraId="6894E67A" w14:textId="77777777" w:rsidR="004A39DF" w:rsidRDefault="00D9470C">
      <w:pPr>
        <w:pStyle w:val="AbstHead"/>
        <w:spacing w:after="0"/>
        <w:jc w:val="both"/>
        <w:rPr>
          <w:rFonts w:ascii="Arial" w:hAnsi="Arial" w:cs="Arial"/>
        </w:rPr>
      </w:pPr>
      <w:r>
        <w:rPr>
          <w:rFonts w:ascii="Arial" w:hAnsi="Arial" w:cs="Arial"/>
        </w:rPr>
        <w:t>ABSTRACT</w:t>
      </w:r>
    </w:p>
    <w:p w14:paraId="04CBB6DE" w14:textId="77777777" w:rsidR="004A39DF" w:rsidRDefault="004A39D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4A39DF" w14:paraId="137F1FA4" w14:textId="77777777">
        <w:tc>
          <w:tcPr>
            <w:tcW w:w="9576" w:type="dxa"/>
            <w:shd w:val="clear" w:color="auto" w:fill="F2F2F2"/>
          </w:tcPr>
          <w:p w14:paraId="4D564277" w14:textId="77777777" w:rsidR="004A39DF" w:rsidRDefault="00D9470C">
            <w:pPr>
              <w:pStyle w:val="Body"/>
              <w:spacing w:after="0"/>
              <w:rPr>
                <w:rFonts w:ascii="Arial" w:eastAsia="Calibri" w:hAnsi="Arial" w:cs="Arial"/>
                <w:szCs w:val="22"/>
              </w:rPr>
            </w:pPr>
            <w:r>
              <w:rPr>
                <w:rFonts w:ascii="Arial" w:eastAsia="Calibri" w:hAnsi="Arial" w:cs="Arial"/>
                <w:b/>
                <w:szCs w:val="22"/>
              </w:rPr>
              <w:t xml:space="preserve">Aims: </w:t>
            </w:r>
            <w:r>
              <w:rPr>
                <w:rFonts w:ascii="Arial" w:hAnsi="Arial"/>
              </w:rPr>
              <w:t>This study aims to determine whether teaching anxiety,</w:t>
            </w:r>
            <w:r>
              <w:rPr>
                <w:rFonts w:ascii="Arial" w:hAnsi="Arial"/>
                <w:lang w:val="en-PH"/>
              </w:rPr>
              <w:t xml:space="preserve"> </w:t>
            </w:r>
            <w:r>
              <w:rPr>
                <w:rFonts w:ascii="Arial" w:hAnsi="Arial"/>
              </w:rPr>
              <w:t>teaching self-efficacy</w:t>
            </w:r>
            <w:r>
              <w:rPr>
                <w:rFonts w:ascii="Arial" w:hAnsi="Arial"/>
                <w:lang w:val="en-PH"/>
              </w:rPr>
              <w:t>, and</w:t>
            </w:r>
            <w:r>
              <w:rPr>
                <w:rFonts w:ascii="Arial" w:hAnsi="Arial"/>
              </w:rPr>
              <w:t xml:space="preserve"> teacher support</w:t>
            </w:r>
            <w:r>
              <w:rPr>
                <w:rFonts w:ascii="Arial" w:hAnsi="Arial"/>
                <w:lang w:val="en-PH"/>
              </w:rPr>
              <w:t xml:space="preserve"> </w:t>
            </w:r>
            <w:r>
              <w:rPr>
                <w:rFonts w:ascii="Arial" w:hAnsi="Arial"/>
              </w:rPr>
              <w:t>predict the classroom performance of pre-service teachers.</w:t>
            </w:r>
          </w:p>
          <w:p w14:paraId="66F53124" w14:textId="77777777" w:rsidR="004A39DF" w:rsidRDefault="00D9470C">
            <w:pPr>
              <w:pStyle w:val="Body"/>
              <w:spacing w:after="0"/>
              <w:rPr>
                <w:rFonts w:ascii="Arial" w:eastAsia="Calibri" w:hAnsi="Arial" w:cs="Arial"/>
                <w:szCs w:val="22"/>
                <w:lang w:val="en-PH"/>
              </w:rPr>
            </w:pPr>
            <w:r>
              <w:rPr>
                <w:rFonts w:ascii="Arial" w:eastAsia="Calibri" w:hAnsi="Arial" w:cs="Arial"/>
                <w:b/>
                <w:szCs w:val="22"/>
              </w:rPr>
              <w:t xml:space="preserve">Study </w:t>
            </w:r>
            <w:r>
              <w:rPr>
                <w:rFonts w:ascii="Arial" w:eastAsia="Calibri" w:hAnsi="Arial" w:cs="Arial"/>
                <w:b/>
                <w:szCs w:val="22"/>
                <w:lang w:val="en-PH"/>
              </w:rPr>
              <w:t>D</w:t>
            </w:r>
            <w:proofErr w:type="spellStart"/>
            <w:r>
              <w:rPr>
                <w:rFonts w:ascii="Arial" w:eastAsia="Calibri" w:hAnsi="Arial" w:cs="Arial"/>
                <w:b/>
                <w:szCs w:val="22"/>
              </w:rPr>
              <w:t>esign</w:t>
            </w:r>
            <w:proofErr w:type="spellEnd"/>
            <w:r>
              <w:rPr>
                <w:rFonts w:ascii="Arial" w:eastAsia="Calibri" w:hAnsi="Arial" w:cs="Arial"/>
                <w:b/>
                <w:szCs w:val="22"/>
              </w:rPr>
              <w:t>:</w:t>
            </w:r>
            <w:r>
              <w:rPr>
                <w:rFonts w:ascii="Arial" w:eastAsia="Calibri" w:hAnsi="Arial" w:cs="Arial"/>
                <w:szCs w:val="22"/>
              </w:rPr>
              <w:t xml:space="preserve">  </w:t>
            </w:r>
            <w:r>
              <w:rPr>
                <w:rFonts w:ascii="Arial" w:hAnsi="Arial"/>
              </w:rPr>
              <w:t>This research utilized a non-e</w:t>
            </w:r>
            <w:r>
              <w:rPr>
                <w:rFonts w:ascii="Arial" w:hAnsi="Arial"/>
              </w:rPr>
              <w:t>xperimental quantitative design, employing a descriptive-correlational approach</w:t>
            </w:r>
            <w:r>
              <w:rPr>
                <w:rFonts w:ascii="Arial" w:hAnsi="Arial"/>
                <w:lang w:val="en-PH"/>
              </w:rPr>
              <w:t>.</w:t>
            </w:r>
          </w:p>
          <w:p w14:paraId="528B3F1D" w14:textId="77777777" w:rsidR="004A39DF" w:rsidRDefault="00D9470C">
            <w:pPr>
              <w:pStyle w:val="Body"/>
              <w:spacing w:after="0"/>
              <w:rPr>
                <w:rFonts w:ascii="Arial" w:eastAsia="Calibri" w:hAnsi="Arial" w:cs="Arial"/>
                <w:szCs w:val="22"/>
                <w:lang w:val="en-PH"/>
              </w:rPr>
            </w:pPr>
            <w:r>
              <w:rPr>
                <w:rFonts w:ascii="Arial" w:eastAsia="Calibri" w:hAnsi="Arial" w:cs="Arial"/>
                <w:b/>
                <w:szCs w:val="22"/>
              </w:rPr>
              <w:t>Place and Duration of Study:</w:t>
            </w:r>
            <w:r>
              <w:rPr>
                <w:rFonts w:ascii="Arial" w:eastAsia="Calibri" w:hAnsi="Arial" w:cs="Arial"/>
                <w:szCs w:val="22"/>
              </w:rPr>
              <w:t xml:space="preserve"> </w:t>
            </w:r>
            <w:r>
              <w:rPr>
                <w:rFonts w:ascii="Arial" w:eastAsia="Calibri" w:hAnsi="Arial" w:cs="Arial"/>
                <w:szCs w:val="22"/>
                <w:lang w:val="en-PH"/>
              </w:rPr>
              <w:t>One of the Higher Education Institutions (HEIs) in Region XI, Academic Year, 2024-2025.</w:t>
            </w:r>
          </w:p>
          <w:p w14:paraId="23AC8878" w14:textId="77777777" w:rsidR="004A39DF" w:rsidRDefault="00D9470C">
            <w:pPr>
              <w:pStyle w:val="Body"/>
              <w:spacing w:after="0"/>
              <w:rPr>
                <w:rFonts w:ascii="Arial" w:eastAsia="Calibri" w:hAnsi="Arial" w:cs="Arial"/>
                <w:szCs w:val="22"/>
                <w:lang w:val="en-PH"/>
              </w:rPr>
            </w:pPr>
            <w:r>
              <w:rPr>
                <w:rFonts w:ascii="Arial" w:eastAsia="Calibri" w:hAnsi="Arial" w:cs="Arial"/>
                <w:b/>
                <w:bCs/>
                <w:szCs w:val="22"/>
              </w:rPr>
              <w:t>Methodology:</w:t>
            </w:r>
            <w:r>
              <w:rPr>
                <w:rFonts w:ascii="Arial" w:eastAsia="Calibri" w:hAnsi="Arial" w:cs="Arial"/>
                <w:szCs w:val="22"/>
              </w:rPr>
              <w:t xml:space="preserve"> </w:t>
            </w:r>
            <w:r>
              <w:rPr>
                <w:rFonts w:ascii="Arial" w:eastAsia="Calibri" w:hAnsi="Arial" w:cs="Arial"/>
                <w:szCs w:val="22"/>
                <w:lang w:val="en-PH"/>
              </w:rPr>
              <w:t>Complete Enumeration Sample Method was used o</w:t>
            </w:r>
            <w:r>
              <w:rPr>
                <w:rFonts w:ascii="Arial" w:eastAsia="Calibri" w:hAnsi="Arial" w:cs="Arial"/>
                <w:szCs w:val="22"/>
                <w:lang w:val="en-PH"/>
              </w:rPr>
              <w:t>btained 325 pre-service teachers as respondents. Questionnaires were used to gather data, which was analyzed using mean, standard deviation, Pearson r and multiple regression analysis to determine the relationships between variables.</w:t>
            </w:r>
          </w:p>
          <w:p w14:paraId="4D510FAB" w14:textId="77777777" w:rsidR="004A39DF" w:rsidRDefault="00D9470C">
            <w:pPr>
              <w:jc w:val="both"/>
              <w:rPr>
                <w:rFonts w:ascii="Arial" w:eastAsia="Calibri" w:hAnsi="Arial" w:cs="Arial"/>
                <w:b/>
                <w:bCs/>
                <w:szCs w:val="22"/>
              </w:rPr>
            </w:pPr>
            <w:r>
              <w:rPr>
                <w:rFonts w:ascii="Arial" w:eastAsia="Calibri" w:hAnsi="Arial" w:cs="Arial"/>
                <w:b/>
                <w:bCs/>
                <w:szCs w:val="22"/>
              </w:rPr>
              <w:t>Results:</w:t>
            </w:r>
            <w:r>
              <w:rPr>
                <w:rFonts w:ascii="Arial" w:eastAsia="Calibri" w:hAnsi="Arial" w:cs="Arial"/>
                <w:szCs w:val="22"/>
              </w:rPr>
              <w:t xml:space="preserve"> </w:t>
            </w:r>
            <w:r>
              <w:rPr>
                <w:rFonts w:ascii="Arial" w:eastAsia="SimSun" w:hAnsi="Arial" w:cs="Arial"/>
              </w:rPr>
              <w:t xml:space="preserve">The findings reveal that pre-service teachers experience </w:t>
            </w:r>
            <w:r>
              <w:rPr>
                <w:rStyle w:val="Strong"/>
                <w:rFonts w:ascii="Arial" w:eastAsia="SimSun" w:hAnsi="Arial" w:cs="Arial"/>
                <w:b w:val="0"/>
                <w:bCs w:val="0"/>
              </w:rPr>
              <w:t>moderate level of teaching anxiety</w:t>
            </w:r>
            <w:r>
              <w:rPr>
                <w:rStyle w:val="Strong"/>
                <w:rFonts w:ascii="Arial" w:eastAsia="SimSun" w:hAnsi="Arial" w:cs="Arial"/>
                <w:b w:val="0"/>
                <w:bCs w:val="0"/>
                <w:lang w:val="en-PH"/>
              </w:rPr>
              <w:t xml:space="preserve">, while </w:t>
            </w:r>
            <w:r>
              <w:rPr>
                <w:rStyle w:val="Strong"/>
                <w:rFonts w:ascii="Arial" w:eastAsia="SimSun" w:hAnsi="Arial" w:cs="Arial"/>
                <w:b w:val="0"/>
                <w:bCs w:val="0"/>
              </w:rPr>
              <w:t>Teaching Self-Efficacy</w:t>
            </w:r>
            <w:r>
              <w:rPr>
                <w:rFonts w:ascii="Arial" w:eastAsia="SimSun" w:hAnsi="Arial" w:cs="Arial"/>
              </w:rPr>
              <w:t xml:space="preserve"> shows a </w:t>
            </w:r>
            <w:r>
              <w:rPr>
                <w:rStyle w:val="Strong"/>
                <w:rFonts w:ascii="Arial" w:eastAsia="SimSun" w:hAnsi="Arial" w:cs="Arial"/>
                <w:b w:val="0"/>
                <w:bCs w:val="0"/>
              </w:rPr>
              <w:t xml:space="preserve">high descriptive </w:t>
            </w:r>
            <w:proofErr w:type="gramStart"/>
            <w:r>
              <w:rPr>
                <w:rStyle w:val="Strong"/>
                <w:rFonts w:ascii="Arial" w:eastAsia="SimSun" w:hAnsi="Arial" w:cs="Arial"/>
                <w:b w:val="0"/>
                <w:bCs w:val="0"/>
              </w:rPr>
              <w:t>level</w:t>
            </w:r>
            <w:r>
              <w:rPr>
                <w:rStyle w:val="Strong"/>
                <w:rFonts w:ascii="Arial" w:eastAsia="SimSun" w:hAnsi="Arial" w:cs="Arial"/>
                <w:b w:val="0"/>
                <w:bCs w:val="0"/>
                <w:lang w:val="en-PH"/>
              </w:rPr>
              <w:t>.</w:t>
            </w:r>
            <w:r>
              <w:rPr>
                <w:rStyle w:val="Strong"/>
                <w:rFonts w:ascii="Arial" w:eastAsia="SimSun" w:hAnsi="Arial" w:cs="Arial"/>
                <w:b w:val="0"/>
                <w:bCs w:val="0"/>
              </w:rPr>
              <w:t>Teacher</w:t>
            </w:r>
            <w:proofErr w:type="gramEnd"/>
            <w:r>
              <w:rPr>
                <w:rStyle w:val="Strong"/>
                <w:rFonts w:ascii="Arial" w:eastAsia="SimSun" w:hAnsi="Arial" w:cs="Arial"/>
                <w:b w:val="0"/>
                <w:bCs w:val="0"/>
              </w:rPr>
              <w:t xml:space="preserve"> Support</w:t>
            </w:r>
            <w:r>
              <w:rPr>
                <w:rStyle w:val="Strong"/>
                <w:rFonts w:ascii="Arial" w:eastAsia="SimSun" w:hAnsi="Arial" w:cs="Arial"/>
                <w:b w:val="0"/>
                <w:bCs w:val="0"/>
                <w:lang w:val="en-PH"/>
              </w:rPr>
              <w:t xml:space="preserve"> and Teaching Demonstration Performance</w:t>
            </w:r>
            <w:r>
              <w:rPr>
                <w:rFonts w:ascii="Arial" w:eastAsia="SimSun" w:hAnsi="Arial" w:cs="Arial"/>
              </w:rPr>
              <w:t xml:space="preserve"> </w:t>
            </w:r>
            <w:r>
              <w:rPr>
                <w:rFonts w:ascii="Arial" w:eastAsia="SimSun" w:hAnsi="Arial" w:cs="Arial"/>
                <w:lang w:val="en-PH"/>
              </w:rPr>
              <w:t>were</w:t>
            </w:r>
            <w:r>
              <w:rPr>
                <w:rFonts w:ascii="Arial" w:eastAsia="SimSun" w:hAnsi="Arial" w:cs="Arial"/>
              </w:rPr>
              <w:t xml:space="preserve"> rated at a </w:t>
            </w:r>
            <w:r>
              <w:rPr>
                <w:rStyle w:val="Strong"/>
                <w:rFonts w:ascii="Arial" w:eastAsia="SimSun" w:hAnsi="Arial" w:cs="Arial"/>
                <w:b w:val="0"/>
                <w:bCs w:val="0"/>
              </w:rPr>
              <w:t xml:space="preserve">very high descriptive </w:t>
            </w:r>
            <w:proofErr w:type="spellStart"/>
            <w:r>
              <w:rPr>
                <w:rStyle w:val="Strong"/>
                <w:rFonts w:ascii="Arial" w:eastAsia="SimSun" w:hAnsi="Arial" w:cs="Arial"/>
                <w:b w:val="0"/>
                <w:bCs w:val="0"/>
              </w:rPr>
              <w:t>leve</w:t>
            </w:r>
            <w:proofErr w:type="spellEnd"/>
            <w:r>
              <w:rPr>
                <w:rStyle w:val="Strong"/>
                <w:rFonts w:ascii="Arial" w:eastAsia="SimSun" w:hAnsi="Arial" w:cs="Arial"/>
                <w:b w:val="0"/>
                <w:bCs w:val="0"/>
                <w:lang w:val="en-PH"/>
              </w:rPr>
              <w:t xml:space="preserve">l. </w:t>
            </w:r>
            <w:r>
              <w:rPr>
                <w:rFonts w:ascii="Arial" w:hAnsi="Arial"/>
                <w:lang w:val="en-PH"/>
              </w:rPr>
              <w:t>Fur</w:t>
            </w:r>
            <w:r>
              <w:rPr>
                <w:rFonts w:ascii="Arial" w:hAnsi="Arial"/>
                <w:lang w:val="en-PH"/>
              </w:rPr>
              <w:t>thermore, the Teaching Self-Efficacy and Teacher Support are significantly correlated but Teaching Anxiety is not. While, the Teaching Self-Efficacy and Teacher Support significantly influence the Teaching Demonstration Performance but Teaching Anxiety doe</w:t>
            </w:r>
            <w:r>
              <w:rPr>
                <w:rFonts w:ascii="Arial" w:hAnsi="Arial"/>
                <w:lang w:val="en-PH"/>
              </w:rPr>
              <w:t xml:space="preserve">s not. Nevertheless, the combined degree of </w:t>
            </w:r>
            <w:proofErr w:type="gramStart"/>
            <w:r>
              <w:rPr>
                <w:rFonts w:ascii="Arial" w:hAnsi="Arial"/>
                <w:lang w:val="en-PH"/>
              </w:rPr>
              <w:t>influence  of</w:t>
            </w:r>
            <w:proofErr w:type="gramEnd"/>
            <w:r>
              <w:rPr>
                <w:rFonts w:ascii="Arial" w:hAnsi="Arial"/>
                <w:lang w:val="en-PH"/>
              </w:rPr>
              <w:t xml:space="preserve"> the predictors (35%) significantly influence the criterion variables.</w:t>
            </w:r>
          </w:p>
          <w:p w14:paraId="1CD5E370" w14:textId="77777777" w:rsidR="004A39DF" w:rsidRDefault="00D9470C">
            <w:pPr>
              <w:jc w:val="both"/>
              <w:rPr>
                <w:rFonts w:ascii="Arial" w:eastAsia="Calibri" w:hAnsi="Arial" w:cs="Arial"/>
                <w:szCs w:val="22"/>
              </w:rPr>
            </w:pPr>
            <w:r>
              <w:rPr>
                <w:rFonts w:ascii="Arial" w:eastAsia="Calibri" w:hAnsi="Arial" w:cs="Arial"/>
                <w:b/>
                <w:bCs/>
                <w:szCs w:val="22"/>
              </w:rPr>
              <w:t>Conclusion:</w:t>
            </w:r>
            <w:r>
              <w:rPr>
                <w:rFonts w:ascii="Arial" w:eastAsia="Calibri" w:hAnsi="Arial" w:cs="Arial"/>
                <w:szCs w:val="22"/>
              </w:rPr>
              <w:t xml:space="preserve"> </w:t>
            </w:r>
            <w:r>
              <w:rPr>
                <w:rFonts w:ascii="Arial" w:hAnsi="Arial"/>
                <w:lang w:val="en-PH"/>
              </w:rPr>
              <w:t>Based on the results, it was concluded that Teaching Self-efficacy and Teacher Support are significant predictors of</w:t>
            </w:r>
            <w:r>
              <w:rPr>
                <w:rFonts w:ascii="Arial" w:hAnsi="Arial"/>
                <w:lang w:val="en-PH"/>
              </w:rPr>
              <w:t xml:space="preserve"> Teaching Demonstration Performance of pre-service teachers but Teaching Anxiety was not found as a significant predictor.</w:t>
            </w:r>
          </w:p>
        </w:tc>
      </w:tr>
    </w:tbl>
    <w:p w14:paraId="1322FA27" w14:textId="77777777" w:rsidR="004A39DF" w:rsidRDefault="004A39DF">
      <w:pPr>
        <w:pStyle w:val="Body"/>
        <w:spacing w:after="0"/>
        <w:rPr>
          <w:rFonts w:ascii="Arial" w:hAnsi="Arial" w:cs="Arial"/>
          <w:i/>
        </w:rPr>
      </w:pPr>
    </w:p>
    <w:p w14:paraId="08EA8220" w14:textId="77777777" w:rsidR="004A39DF" w:rsidRDefault="00D9470C">
      <w:pPr>
        <w:pStyle w:val="Body"/>
        <w:spacing w:after="0"/>
        <w:ind w:left="1000" w:hangingChars="500" w:hanging="1000"/>
        <w:rPr>
          <w:rFonts w:ascii="Arial" w:hAnsi="Arial" w:cs="Arial"/>
          <w:i/>
          <w:sz w:val="18"/>
        </w:rPr>
      </w:pPr>
      <w:r>
        <w:rPr>
          <w:rFonts w:ascii="Arial" w:hAnsi="Arial" w:cs="Arial"/>
          <w:i/>
        </w:rPr>
        <w:t xml:space="preserve">Keywords: </w:t>
      </w:r>
      <w:r>
        <w:rPr>
          <w:rFonts w:ascii="Arial" w:hAnsi="Arial" w:cs="Arial"/>
          <w:i/>
          <w:lang w:val="en-PH"/>
        </w:rPr>
        <w:t>Teaching anxiety, teaching self-efficacy, teacher support, classroom performance of pre-service teachers</w:t>
      </w:r>
    </w:p>
    <w:p w14:paraId="5CBAE24E" w14:textId="77777777" w:rsidR="004A39DF" w:rsidRDefault="004A39DF">
      <w:pPr>
        <w:pStyle w:val="Body"/>
        <w:spacing w:after="0"/>
        <w:rPr>
          <w:rFonts w:ascii="Arial" w:hAnsi="Arial" w:cs="Arial"/>
          <w:i/>
        </w:rPr>
      </w:pPr>
    </w:p>
    <w:p w14:paraId="03FF1B55" w14:textId="77777777" w:rsidR="004A39DF" w:rsidRDefault="00D9470C">
      <w:pPr>
        <w:pStyle w:val="AbstHead"/>
        <w:spacing w:after="0"/>
        <w:jc w:val="both"/>
        <w:rPr>
          <w:rFonts w:ascii="Arial" w:hAnsi="Arial" w:cs="Arial"/>
        </w:rPr>
      </w:pPr>
      <w:r>
        <w:rPr>
          <w:rFonts w:ascii="Arial" w:hAnsi="Arial" w:cs="Arial"/>
        </w:rPr>
        <w:t>1. INTRODUCTION</w:t>
      </w:r>
    </w:p>
    <w:p w14:paraId="305447F5" w14:textId="77777777" w:rsidR="004A39DF" w:rsidRDefault="004A39DF">
      <w:pPr>
        <w:pStyle w:val="AbstHead"/>
        <w:spacing w:after="0"/>
        <w:jc w:val="both"/>
        <w:rPr>
          <w:rFonts w:ascii="Arial" w:hAnsi="Arial" w:cs="Arial"/>
        </w:rPr>
      </w:pPr>
    </w:p>
    <w:p w14:paraId="08A89AB4" w14:textId="77777777" w:rsidR="004A39DF" w:rsidRDefault="00D9470C">
      <w:pPr>
        <w:ind w:firstLine="720"/>
        <w:jc w:val="both"/>
        <w:rPr>
          <w:rFonts w:ascii="Arial" w:hAnsi="Arial"/>
          <w:color w:val="000000" w:themeColor="text1"/>
          <w:lang w:val="en-PH"/>
        </w:rPr>
      </w:pPr>
      <w:r>
        <w:rPr>
          <w:rFonts w:ascii="Arial" w:hAnsi="Arial"/>
        </w:rPr>
        <w:t>Pre-service teachers frequently exhibit poor classroom performance owing to issues applying theoretical knowledge in classroom settings (Adjei et al., 2023). Sathasivam et al. (2024) discovered that pre-service teachers struggle to transfer and apply the</w:t>
      </w:r>
      <w:r>
        <w:rPr>
          <w:rFonts w:ascii="Arial" w:hAnsi="Arial"/>
        </w:rPr>
        <w:t xml:space="preserve">ir pedagogical knowledge to practical classroom teaching during their practicum. </w:t>
      </w:r>
      <w:proofErr w:type="spellStart"/>
      <w:r>
        <w:rPr>
          <w:rFonts w:ascii="Arial" w:hAnsi="Arial"/>
          <w:color w:val="000000" w:themeColor="text1"/>
        </w:rPr>
        <w:t>Çubukçu</w:t>
      </w:r>
      <w:proofErr w:type="spellEnd"/>
      <w:r>
        <w:rPr>
          <w:rFonts w:ascii="Arial" w:hAnsi="Arial"/>
          <w:color w:val="000000" w:themeColor="text1"/>
        </w:rPr>
        <w:t xml:space="preserve"> and </w:t>
      </w:r>
      <w:proofErr w:type="spellStart"/>
      <w:r>
        <w:rPr>
          <w:rFonts w:ascii="Arial" w:hAnsi="Arial"/>
          <w:color w:val="000000" w:themeColor="text1"/>
        </w:rPr>
        <w:t>Tarhan</w:t>
      </w:r>
      <w:proofErr w:type="spellEnd"/>
      <w:r>
        <w:rPr>
          <w:rFonts w:ascii="Arial" w:hAnsi="Arial"/>
          <w:color w:val="000000" w:themeColor="text1"/>
        </w:rPr>
        <w:t xml:space="preserve"> (2021) </w:t>
      </w:r>
      <w:r>
        <w:rPr>
          <w:rFonts w:ascii="Arial" w:hAnsi="Arial"/>
          <w:color w:val="000000" w:themeColor="text1"/>
          <w:lang w:val="en-PH"/>
        </w:rPr>
        <w:t>reported that pre-service teachers also demonstrated poor classroom performance during their teaching internship.</w:t>
      </w:r>
    </w:p>
    <w:p w14:paraId="1A3ABA02" w14:textId="77777777" w:rsidR="004A39DF" w:rsidRDefault="00D9470C">
      <w:pPr>
        <w:ind w:firstLine="720"/>
        <w:jc w:val="both"/>
        <w:rPr>
          <w:rFonts w:ascii="Arial" w:hAnsi="Arial"/>
          <w:color w:val="000000" w:themeColor="text1"/>
          <w:lang w:val="en-PH"/>
        </w:rPr>
      </w:pPr>
      <w:r>
        <w:rPr>
          <w:rFonts w:ascii="Arial" w:hAnsi="Arial"/>
          <w:color w:val="000000" w:themeColor="text1"/>
          <w:lang w:val="en-PH"/>
        </w:rPr>
        <w:t xml:space="preserve">Furthermore, a study conducted in Nigeria found that pre-service teachers experience poor classroom performance (Ene et al., 2021). </w:t>
      </w:r>
      <w:proofErr w:type="spellStart"/>
      <w:r>
        <w:rPr>
          <w:rFonts w:ascii="Arial" w:hAnsi="Arial"/>
          <w:color w:val="000000" w:themeColor="text1"/>
          <w:lang w:val="en-PH"/>
        </w:rPr>
        <w:t>Elraiss</w:t>
      </w:r>
      <w:proofErr w:type="spellEnd"/>
      <w:r>
        <w:rPr>
          <w:rFonts w:ascii="Arial" w:hAnsi="Arial"/>
          <w:color w:val="000000" w:themeColor="text1"/>
          <w:lang w:val="en-PH"/>
        </w:rPr>
        <w:t xml:space="preserve"> and </w:t>
      </w:r>
      <w:proofErr w:type="spellStart"/>
      <w:r>
        <w:rPr>
          <w:rFonts w:ascii="Arial" w:hAnsi="Arial"/>
          <w:color w:val="000000" w:themeColor="text1"/>
          <w:lang w:val="en-PH"/>
        </w:rPr>
        <w:t>Alsharidah</w:t>
      </w:r>
      <w:proofErr w:type="spellEnd"/>
      <w:r>
        <w:rPr>
          <w:rFonts w:ascii="Arial" w:hAnsi="Arial"/>
          <w:color w:val="000000" w:themeColor="text1"/>
          <w:lang w:val="en-PH"/>
        </w:rPr>
        <w:t xml:space="preserve"> (2019) also observed that pre-service teachers in Saudi Arabia experience poor classroom performance </w:t>
      </w:r>
      <w:r>
        <w:rPr>
          <w:rFonts w:ascii="Arial" w:hAnsi="Arial"/>
          <w:color w:val="000000" w:themeColor="text1"/>
          <w:lang w:val="en-PH"/>
        </w:rPr>
        <w:t>during their practice teaching. A study in Tanzania revealed that pre-service teachers demonstrate poor teaching performance in the classroom setting (</w:t>
      </w:r>
      <w:proofErr w:type="spellStart"/>
      <w:r>
        <w:rPr>
          <w:rFonts w:ascii="Arial" w:hAnsi="Arial"/>
          <w:color w:val="000000" w:themeColor="text1"/>
          <w:lang w:val="en-PH"/>
        </w:rPr>
        <w:t>Mpate</w:t>
      </w:r>
      <w:proofErr w:type="spellEnd"/>
      <w:r>
        <w:rPr>
          <w:rFonts w:ascii="Arial" w:hAnsi="Arial"/>
          <w:color w:val="000000" w:themeColor="text1"/>
          <w:lang w:val="en-PH"/>
        </w:rPr>
        <w:t xml:space="preserve"> et al., 2023). </w:t>
      </w:r>
    </w:p>
    <w:p w14:paraId="6648B79B" w14:textId="77777777" w:rsidR="004A39DF" w:rsidRDefault="00D9470C">
      <w:pPr>
        <w:ind w:firstLine="720"/>
        <w:jc w:val="both"/>
        <w:rPr>
          <w:rFonts w:ascii="Arial" w:hAnsi="Arial"/>
          <w:lang w:val="en-PH"/>
        </w:rPr>
      </w:pPr>
      <w:r>
        <w:rPr>
          <w:rFonts w:ascii="Arial" w:hAnsi="Arial"/>
          <w:lang w:val="en-PH"/>
        </w:rPr>
        <w:t>A study conducted in the Philippines by Gorospe (2022) found that pre-service teach</w:t>
      </w:r>
      <w:r>
        <w:rPr>
          <w:rFonts w:ascii="Arial" w:hAnsi="Arial"/>
          <w:lang w:val="en-PH"/>
        </w:rPr>
        <w:t xml:space="preserve">ers demonstrated poor classroom performance. Similarly, </w:t>
      </w:r>
      <w:proofErr w:type="spellStart"/>
      <w:r>
        <w:rPr>
          <w:rFonts w:ascii="Arial" w:hAnsi="Arial"/>
          <w:lang w:val="en-PH"/>
        </w:rPr>
        <w:t>Afalla</w:t>
      </w:r>
      <w:proofErr w:type="spellEnd"/>
      <w:r>
        <w:rPr>
          <w:rFonts w:ascii="Arial" w:hAnsi="Arial"/>
          <w:lang w:val="en-PH"/>
        </w:rPr>
        <w:t xml:space="preserve"> and </w:t>
      </w:r>
      <w:proofErr w:type="spellStart"/>
      <w:r>
        <w:rPr>
          <w:rFonts w:ascii="Arial" w:hAnsi="Arial"/>
          <w:lang w:val="en-PH"/>
        </w:rPr>
        <w:t>Fabelico</w:t>
      </w:r>
      <w:proofErr w:type="spellEnd"/>
      <w:r>
        <w:rPr>
          <w:rFonts w:ascii="Arial" w:hAnsi="Arial"/>
          <w:lang w:val="en-PH"/>
        </w:rPr>
        <w:t xml:space="preserve"> (2020) </w:t>
      </w:r>
      <w:r>
        <w:rPr>
          <w:rFonts w:ascii="Arial" w:hAnsi="Arial"/>
          <w:lang w:val="en-PH"/>
        </w:rPr>
        <w:lastRenderedPageBreak/>
        <w:t>reported that these teachers appeared to exhibit inadequate teaching performance during their classroom interactions.</w:t>
      </w:r>
    </w:p>
    <w:p w14:paraId="17A75CED" w14:textId="77777777" w:rsidR="004A39DF" w:rsidRDefault="00D9470C">
      <w:pPr>
        <w:ind w:firstLine="720"/>
        <w:jc w:val="both"/>
        <w:rPr>
          <w:rFonts w:ascii="Arial" w:hAnsi="Arial"/>
          <w:color w:val="000000" w:themeColor="text1"/>
          <w:lang w:val="en-PH"/>
        </w:rPr>
      </w:pPr>
      <w:r>
        <w:rPr>
          <w:rFonts w:ascii="Arial" w:hAnsi="Arial"/>
        </w:rPr>
        <w:t>Furthermore, while pre-service teachers' essential peda</w:t>
      </w:r>
      <w:r>
        <w:rPr>
          <w:rFonts w:ascii="Arial" w:hAnsi="Arial"/>
        </w:rPr>
        <w:t>gogical skills and content knowledge are becoming increasingly important (</w:t>
      </w:r>
      <w:proofErr w:type="spellStart"/>
      <w:r>
        <w:rPr>
          <w:rFonts w:ascii="Arial" w:hAnsi="Arial"/>
        </w:rPr>
        <w:t>Afalla</w:t>
      </w:r>
      <w:proofErr w:type="spellEnd"/>
      <w:r>
        <w:rPr>
          <w:rFonts w:ascii="Arial" w:hAnsi="Arial"/>
        </w:rPr>
        <w:t xml:space="preserve"> &amp; </w:t>
      </w:r>
      <w:proofErr w:type="spellStart"/>
      <w:r>
        <w:rPr>
          <w:rFonts w:ascii="Arial" w:hAnsi="Arial"/>
        </w:rPr>
        <w:t>Fabelico</w:t>
      </w:r>
      <w:proofErr w:type="spellEnd"/>
      <w:r>
        <w:rPr>
          <w:rFonts w:ascii="Arial" w:hAnsi="Arial"/>
        </w:rPr>
        <w:t>, 2020), there are still concerns about whether they are adequately prepared to face the challenges of twenty-first-century classrooms (Ismail &amp; Jarrah, 2019).</w:t>
      </w:r>
      <w:r>
        <w:rPr>
          <w:rFonts w:ascii="Arial" w:hAnsi="Arial"/>
          <w:lang w:val="en-PH"/>
        </w:rPr>
        <w:t xml:space="preserve"> Poor </w:t>
      </w:r>
      <w:r>
        <w:rPr>
          <w:rFonts w:ascii="Arial" w:hAnsi="Arial"/>
          <w:lang w:val="en-PH"/>
        </w:rPr>
        <w:t>classroom performance among pre-service teachers frequently results in their inability to engage students, which could successfully reduce student interest and involvement (Gorospe, 2022</w:t>
      </w:r>
      <w:r>
        <w:rPr>
          <w:rFonts w:ascii="Arial" w:hAnsi="Arial"/>
          <w:color w:val="000000" w:themeColor="text1"/>
          <w:lang w:val="en-PH"/>
        </w:rPr>
        <w:t>).  It was also found that more research must be conducted to assess p</w:t>
      </w:r>
      <w:r>
        <w:rPr>
          <w:rFonts w:ascii="Arial" w:hAnsi="Arial"/>
          <w:color w:val="000000" w:themeColor="text1"/>
          <w:lang w:val="en-PH"/>
        </w:rPr>
        <w:t>re-service teachers' classroom performance (Magno, 2019). T</w:t>
      </w:r>
      <w:r>
        <w:rPr>
          <w:rFonts w:ascii="Arial" w:hAnsi="Arial" w:cs="Arial"/>
          <w:color w:val="000000" w:themeColor="text1"/>
          <w:lang w:val="en-PH"/>
        </w:rPr>
        <w:t xml:space="preserve">he researcher noticed an empirical gap regarding the influence of teaching anxiety, teaching self-efficacy, and teacher support on pre-service teacher’s classroom performance, indicating a lack of </w:t>
      </w:r>
      <w:r>
        <w:rPr>
          <w:rFonts w:ascii="Arial" w:hAnsi="Arial" w:cs="Arial"/>
          <w:color w:val="000000" w:themeColor="text1"/>
          <w:lang w:val="en-PH"/>
        </w:rPr>
        <w:t xml:space="preserve">studies on these relationships. </w:t>
      </w:r>
      <w:r>
        <w:rPr>
          <w:rFonts w:ascii="Arial" w:hAnsi="Arial"/>
          <w:color w:val="000000" w:themeColor="text1"/>
          <w:lang w:val="en-PH"/>
        </w:rPr>
        <w:t>Therefore, the researcher is urged to conduct this study to fill in the gap.</w:t>
      </w:r>
    </w:p>
    <w:p w14:paraId="05095C99" w14:textId="77777777" w:rsidR="004A39DF" w:rsidRDefault="004A39DF">
      <w:pPr>
        <w:jc w:val="both"/>
        <w:rPr>
          <w:rFonts w:ascii="Arial" w:hAnsi="Arial"/>
          <w:color w:val="000000" w:themeColor="text1"/>
          <w:lang w:val="en-PH"/>
        </w:rPr>
      </w:pPr>
    </w:p>
    <w:p w14:paraId="35A515FC" w14:textId="77777777" w:rsidR="004A39DF" w:rsidRDefault="00D9470C">
      <w:pPr>
        <w:numPr>
          <w:ilvl w:val="1"/>
          <w:numId w:val="2"/>
        </w:numPr>
        <w:jc w:val="both"/>
        <w:rPr>
          <w:rFonts w:ascii="Arial" w:hAnsi="Arial"/>
          <w:b/>
          <w:bCs/>
          <w:color w:val="000000" w:themeColor="text1"/>
          <w:sz w:val="22"/>
          <w:szCs w:val="22"/>
          <w:lang w:val="en-PH"/>
        </w:rPr>
      </w:pPr>
      <w:r>
        <w:rPr>
          <w:rFonts w:ascii="Arial" w:hAnsi="Arial"/>
          <w:b/>
          <w:bCs/>
          <w:color w:val="000000" w:themeColor="text1"/>
          <w:sz w:val="22"/>
          <w:szCs w:val="22"/>
          <w:lang w:val="en-PH"/>
        </w:rPr>
        <w:t>State of the Problem</w:t>
      </w:r>
    </w:p>
    <w:p w14:paraId="1CBC6BCE" w14:textId="77777777" w:rsidR="004A39DF" w:rsidRDefault="00D9470C">
      <w:pPr>
        <w:pStyle w:val="NormalWeb"/>
        <w:spacing w:beforeAutospacing="0" w:afterAutospacing="0"/>
        <w:ind w:firstLine="800"/>
        <w:jc w:val="both"/>
        <w:rPr>
          <w:rFonts w:ascii="Arial" w:hAnsi="Arial" w:cs="Arial"/>
          <w:color w:val="0E101A"/>
          <w:sz w:val="20"/>
          <w:szCs w:val="20"/>
          <w:lang w:val="en-PH"/>
        </w:rPr>
      </w:pPr>
      <w:r>
        <w:rPr>
          <w:rFonts w:ascii="Arial" w:hAnsi="Arial" w:cs="Arial"/>
          <w:color w:val="0E101A"/>
          <w:sz w:val="20"/>
          <w:szCs w:val="20"/>
        </w:rPr>
        <w:t>Generally, this study aimed to determine whether teaching anxiety,</w:t>
      </w:r>
      <w:r>
        <w:rPr>
          <w:rFonts w:ascii="Arial" w:hAnsi="Arial" w:cs="Arial"/>
          <w:color w:val="0E101A"/>
          <w:sz w:val="20"/>
          <w:szCs w:val="20"/>
          <w:lang w:val="en-PH"/>
        </w:rPr>
        <w:t xml:space="preserve"> </w:t>
      </w:r>
      <w:r>
        <w:rPr>
          <w:rFonts w:ascii="Arial" w:hAnsi="Arial" w:cs="Arial"/>
          <w:color w:val="0E101A"/>
          <w:sz w:val="20"/>
          <w:szCs w:val="20"/>
        </w:rPr>
        <w:t>teaching self-efficacy</w:t>
      </w:r>
      <w:r>
        <w:rPr>
          <w:rFonts w:ascii="Arial" w:hAnsi="Arial" w:cs="Arial"/>
          <w:color w:val="0E101A"/>
          <w:sz w:val="20"/>
          <w:szCs w:val="20"/>
          <w:lang w:val="en-PH"/>
        </w:rPr>
        <w:t>,</w:t>
      </w:r>
      <w:r>
        <w:rPr>
          <w:rFonts w:ascii="Arial" w:hAnsi="Arial" w:cs="Arial"/>
          <w:color w:val="0E101A"/>
          <w:sz w:val="20"/>
          <w:szCs w:val="20"/>
        </w:rPr>
        <w:t xml:space="preserve"> </w:t>
      </w:r>
      <w:r>
        <w:rPr>
          <w:rFonts w:ascii="Arial" w:hAnsi="Arial" w:cs="Arial"/>
          <w:color w:val="0E101A"/>
          <w:sz w:val="20"/>
          <w:szCs w:val="20"/>
          <w:lang w:val="en-PH"/>
        </w:rPr>
        <w:t xml:space="preserve">and </w:t>
      </w:r>
      <w:r>
        <w:rPr>
          <w:rFonts w:ascii="Arial" w:hAnsi="Arial" w:cs="Arial"/>
          <w:color w:val="0E101A"/>
          <w:sz w:val="20"/>
          <w:szCs w:val="20"/>
        </w:rPr>
        <w:t>teacher support</w:t>
      </w:r>
      <w:r>
        <w:rPr>
          <w:rFonts w:ascii="Arial" w:hAnsi="Arial" w:cs="Arial"/>
          <w:color w:val="0E101A"/>
          <w:sz w:val="20"/>
          <w:szCs w:val="20"/>
          <w:lang w:val="en-PH"/>
        </w:rPr>
        <w:t xml:space="preserve"> </w:t>
      </w:r>
      <w:r>
        <w:rPr>
          <w:rFonts w:ascii="Arial" w:hAnsi="Arial" w:cs="Arial"/>
          <w:color w:val="0E101A"/>
          <w:sz w:val="20"/>
          <w:szCs w:val="20"/>
        </w:rPr>
        <w:t>predict the cl</w:t>
      </w:r>
      <w:r>
        <w:rPr>
          <w:rFonts w:ascii="Arial" w:hAnsi="Arial" w:cs="Arial"/>
          <w:color w:val="0E101A"/>
          <w:sz w:val="20"/>
          <w:szCs w:val="20"/>
        </w:rPr>
        <w:t xml:space="preserve">assroom performance of pre-service teachers. Specifically, the purpose </w:t>
      </w:r>
      <w:r>
        <w:rPr>
          <w:rFonts w:ascii="Arial" w:hAnsi="Arial" w:cs="Arial"/>
          <w:color w:val="0E101A"/>
          <w:sz w:val="20"/>
          <w:szCs w:val="20"/>
          <w:lang w:val="en-PH"/>
        </w:rPr>
        <w:t>was the following:</w:t>
      </w:r>
    </w:p>
    <w:p w14:paraId="1AE7BD82" w14:textId="77777777" w:rsidR="004A39DF" w:rsidRDefault="00D9470C">
      <w:pPr>
        <w:pStyle w:val="NormalWeb"/>
        <w:numPr>
          <w:ilvl w:val="0"/>
          <w:numId w:val="3"/>
        </w:numPr>
        <w:spacing w:beforeAutospacing="0" w:afterAutospacing="0"/>
        <w:ind w:firstLine="800"/>
        <w:jc w:val="both"/>
        <w:rPr>
          <w:rFonts w:ascii="Arial" w:hAnsi="Arial" w:cs="Arial"/>
          <w:color w:val="0E101A"/>
          <w:sz w:val="20"/>
          <w:szCs w:val="20"/>
        </w:rPr>
      </w:pPr>
      <w:r>
        <w:rPr>
          <w:rFonts w:ascii="Arial" w:hAnsi="Arial" w:cs="Arial"/>
          <w:color w:val="0E101A"/>
          <w:sz w:val="20"/>
          <w:szCs w:val="20"/>
          <w:lang w:val="en-PH"/>
        </w:rPr>
        <w:t xml:space="preserve">To </w:t>
      </w:r>
      <w:r>
        <w:rPr>
          <w:rFonts w:ascii="Arial" w:hAnsi="Arial" w:cs="Arial"/>
          <w:color w:val="0E101A"/>
          <w:sz w:val="20"/>
          <w:szCs w:val="20"/>
        </w:rPr>
        <w:t xml:space="preserve">determine the levels of teaching anxiety of pre-service teachers as indicated by evaluation anxiety, class control anxiety, professional preparation anxiety, </w:t>
      </w:r>
      <w:r>
        <w:rPr>
          <w:rFonts w:ascii="Arial" w:hAnsi="Arial" w:cs="Arial"/>
          <w:color w:val="0E101A"/>
          <w:sz w:val="20"/>
          <w:szCs w:val="20"/>
        </w:rPr>
        <w:t>school staff anxiety, and unsuccessful lesson anxiety; teaching self-efficacy as indicated by personal teaching efficacy, and general teaching efficacy;</w:t>
      </w:r>
      <w:r>
        <w:rPr>
          <w:rFonts w:ascii="Arial" w:hAnsi="Arial" w:cs="Arial"/>
          <w:color w:val="0E101A"/>
          <w:sz w:val="20"/>
          <w:szCs w:val="20"/>
          <w:lang w:val="en-PH"/>
        </w:rPr>
        <w:t xml:space="preserve"> and </w:t>
      </w:r>
      <w:r>
        <w:rPr>
          <w:rFonts w:ascii="Arial" w:hAnsi="Arial" w:cs="Arial"/>
          <w:color w:val="0E101A"/>
          <w:sz w:val="20"/>
          <w:szCs w:val="20"/>
        </w:rPr>
        <w:t>teacher support as indicated by personal support, career support, professional knowledge support, i</w:t>
      </w:r>
      <w:r>
        <w:rPr>
          <w:rFonts w:ascii="Arial" w:hAnsi="Arial" w:cs="Arial"/>
          <w:color w:val="0E101A"/>
          <w:sz w:val="20"/>
          <w:szCs w:val="20"/>
        </w:rPr>
        <w:t>nstructional process support, and role modeling support;  and teaching demonstration performance as indicated by lesson planning, teaching methods, classroom management, communication skills, and teacher’s personality.</w:t>
      </w:r>
    </w:p>
    <w:p w14:paraId="625ADA53" w14:textId="77777777" w:rsidR="004A39DF" w:rsidRDefault="00D9470C">
      <w:pPr>
        <w:pStyle w:val="NormalWeb"/>
        <w:numPr>
          <w:ilvl w:val="0"/>
          <w:numId w:val="3"/>
        </w:numPr>
        <w:spacing w:beforeAutospacing="0" w:afterAutospacing="0"/>
        <w:ind w:firstLine="800"/>
        <w:jc w:val="both"/>
        <w:rPr>
          <w:rFonts w:ascii="Arial" w:hAnsi="Arial" w:cs="Arial"/>
          <w:color w:val="0E101A"/>
          <w:sz w:val="20"/>
          <w:szCs w:val="20"/>
        </w:rPr>
      </w:pPr>
      <w:r>
        <w:rPr>
          <w:rFonts w:ascii="Arial" w:hAnsi="Arial" w:cs="Arial"/>
          <w:color w:val="0E101A"/>
          <w:sz w:val="20"/>
          <w:szCs w:val="20"/>
        </w:rPr>
        <w:t>To determine the significant relation</w:t>
      </w:r>
      <w:r>
        <w:rPr>
          <w:rFonts w:ascii="Arial" w:hAnsi="Arial" w:cs="Arial"/>
          <w:color w:val="0E101A"/>
          <w:sz w:val="20"/>
          <w:szCs w:val="20"/>
        </w:rPr>
        <w:t xml:space="preserve">ship between teaching anxiety, </w:t>
      </w:r>
      <w:r>
        <w:rPr>
          <w:rFonts w:ascii="Arial" w:hAnsi="Arial" w:cs="Arial"/>
          <w:color w:val="0E101A"/>
          <w:sz w:val="20"/>
          <w:szCs w:val="20"/>
          <w:lang w:val="en-PH"/>
        </w:rPr>
        <w:t xml:space="preserve">teaching self-efficacy, </w:t>
      </w:r>
      <w:r>
        <w:rPr>
          <w:rFonts w:ascii="Arial" w:hAnsi="Arial" w:cs="Arial"/>
          <w:color w:val="0E101A"/>
          <w:sz w:val="20"/>
          <w:szCs w:val="20"/>
        </w:rPr>
        <w:t xml:space="preserve">teacher support, and </w:t>
      </w:r>
      <w:r>
        <w:rPr>
          <w:rFonts w:ascii="Arial" w:hAnsi="Arial" w:cs="Arial"/>
          <w:color w:val="0E101A"/>
          <w:sz w:val="20"/>
          <w:szCs w:val="20"/>
          <w:lang w:val="en-PH"/>
        </w:rPr>
        <w:t xml:space="preserve">the </w:t>
      </w:r>
      <w:r>
        <w:rPr>
          <w:rFonts w:ascii="Arial" w:hAnsi="Arial" w:cs="Arial"/>
          <w:color w:val="0E101A"/>
          <w:sz w:val="20"/>
          <w:szCs w:val="20"/>
        </w:rPr>
        <w:t>teaching demonstration performance of pre-service teachers.</w:t>
      </w:r>
    </w:p>
    <w:p w14:paraId="0EE0FE1E" w14:textId="77777777" w:rsidR="004A39DF" w:rsidRDefault="00D9470C">
      <w:pPr>
        <w:pStyle w:val="NormalWeb"/>
        <w:numPr>
          <w:ilvl w:val="0"/>
          <w:numId w:val="3"/>
        </w:numPr>
        <w:spacing w:beforeAutospacing="0" w:afterAutospacing="0"/>
        <w:ind w:firstLine="800"/>
        <w:jc w:val="both"/>
        <w:rPr>
          <w:rFonts w:ascii="Arial" w:hAnsi="Arial" w:cs="Arial"/>
          <w:color w:val="0E101A"/>
          <w:sz w:val="20"/>
          <w:szCs w:val="20"/>
        </w:rPr>
      </w:pPr>
      <w:r>
        <w:rPr>
          <w:rFonts w:ascii="Arial" w:hAnsi="Arial" w:cs="Arial"/>
          <w:color w:val="0E101A"/>
          <w:sz w:val="20"/>
          <w:szCs w:val="20"/>
          <w:lang w:val="en-PH"/>
        </w:rPr>
        <w:t xml:space="preserve">To </w:t>
      </w:r>
      <w:r>
        <w:rPr>
          <w:rFonts w:ascii="Arial" w:hAnsi="Arial" w:cs="Arial"/>
          <w:color w:val="0E101A"/>
          <w:sz w:val="20"/>
          <w:szCs w:val="20"/>
        </w:rPr>
        <w:t>determine the significant influence of teaching anxiety, teaching self-efficacy,</w:t>
      </w:r>
      <w:r>
        <w:rPr>
          <w:rFonts w:ascii="Arial" w:hAnsi="Arial" w:cs="Arial"/>
          <w:color w:val="0E101A"/>
          <w:sz w:val="20"/>
          <w:szCs w:val="20"/>
          <w:lang w:val="en-PH"/>
        </w:rPr>
        <w:t xml:space="preserve"> and </w:t>
      </w:r>
      <w:r>
        <w:rPr>
          <w:rFonts w:ascii="Arial" w:hAnsi="Arial" w:cs="Arial"/>
          <w:color w:val="0E101A"/>
          <w:sz w:val="20"/>
          <w:szCs w:val="20"/>
        </w:rPr>
        <w:t>teacher support</w:t>
      </w:r>
      <w:r>
        <w:rPr>
          <w:rFonts w:ascii="Arial" w:hAnsi="Arial" w:cs="Arial"/>
          <w:color w:val="0E101A"/>
          <w:sz w:val="20"/>
          <w:szCs w:val="20"/>
          <w:lang w:val="en-PH"/>
        </w:rPr>
        <w:t xml:space="preserve"> </w:t>
      </w:r>
      <w:r>
        <w:rPr>
          <w:rFonts w:ascii="Arial" w:hAnsi="Arial" w:cs="Arial"/>
          <w:color w:val="0E101A"/>
          <w:sz w:val="20"/>
          <w:szCs w:val="20"/>
        </w:rPr>
        <w:t>on the teach</w:t>
      </w:r>
      <w:r>
        <w:rPr>
          <w:rFonts w:ascii="Arial" w:hAnsi="Arial" w:cs="Arial"/>
          <w:color w:val="0E101A"/>
          <w:sz w:val="20"/>
          <w:szCs w:val="20"/>
        </w:rPr>
        <w:t>ing demonstration performance of pre-service teachers.</w:t>
      </w:r>
    </w:p>
    <w:p w14:paraId="2287B982" w14:textId="77777777" w:rsidR="004A39DF" w:rsidRDefault="004A39DF">
      <w:pPr>
        <w:jc w:val="both"/>
        <w:rPr>
          <w:rFonts w:ascii="Arial" w:hAnsi="Arial"/>
          <w:color w:val="000000" w:themeColor="text1"/>
          <w:lang w:val="en-PH"/>
        </w:rPr>
      </w:pPr>
    </w:p>
    <w:p w14:paraId="305B769E" w14:textId="77777777" w:rsidR="004A39DF" w:rsidRDefault="00D9470C">
      <w:pPr>
        <w:numPr>
          <w:ilvl w:val="1"/>
          <w:numId w:val="2"/>
        </w:numPr>
        <w:jc w:val="both"/>
        <w:rPr>
          <w:rFonts w:ascii="Arial" w:hAnsi="Arial"/>
          <w:b/>
          <w:bCs/>
          <w:color w:val="000000" w:themeColor="text1"/>
          <w:sz w:val="22"/>
          <w:szCs w:val="22"/>
          <w:lang w:val="en-PH"/>
        </w:rPr>
      </w:pPr>
      <w:r>
        <w:rPr>
          <w:rFonts w:ascii="Arial" w:hAnsi="Arial"/>
          <w:b/>
          <w:bCs/>
          <w:color w:val="000000" w:themeColor="text1"/>
          <w:sz w:val="22"/>
          <w:szCs w:val="22"/>
          <w:lang w:val="en-PH"/>
        </w:rPr>
        <w:t>Theoretical Framework</w:t>
      </w:r>
    </w:p>
    <w:p w14:paraId="796352D0" w14:textId="77777777" w:rsidR="004A39DF" w:rsidRDefault="004A39DF">
      <w:pPr>
        <w:jc w:val="both"/>
        <w:rPr>
          <w:rFonts w:ascii="Arial" w:hAnsi="Arial"/>
          <w:b/>
          <w:bCs/>
          <w:color w:val="000000" w:themeColor="text1"/>
          <w:sz w:val="22"/>
          <w:szCs w:val="22"/>
          <w:lang w:val="en-PH"/>
        </w:rPr>
      </w:pPr>
    </w:p>
    <w:p w14:paraId="3D50BC86" w14:textId="77777777" w:rsidR="004A39DF" w:rsidRDefault="00D9470C">
      <w:pPr>
        <w:ind w:firstLineChars="250" w:firstLine="500"/>
        <w:jc w:val="both"/>
        <w:rPr>
          <w:rFonts w:ascii="Arial" w:hAnsi="Arial"/>
          <w:lang w:val="en-PH"/>
        </w:rPr>
      </w:pPr>
      <w:r>
        <w:rPr>
          <w:rFonts w:ascii="Arial" w:hAnsi="Arial"/>
          <w:lang w:val="en-PH"/>
        </w:rPr>
        <w:t>This research is based on Albert Bandura's Social Cognitive Theory (SCT), which posits that human behavior is influenced by the interaction of personal factors, environmental in</w:t>
      </w:r>
      <w:r>
        <w:rPr>
          <w:rFonts w:ascii="Arial" w:hAnsi="Arial"/>
          <w:lang w:val="en-PH"/>
        </w:rPr>
        <w:t>fluences, and behavioral patterns (Bandura, 1986). Bandura (1988) mentions the model of reciprocity, where personal, behavioral, and environmental factors all operate as interacting determinants that influence each other.</w:t>
      </w:r>
    </w:p>
    <w:p w14:paraId="30DB0900" w14:textId="77777777" w:rsidR="004A39DF" w:rsidRDefault="00D9470C">
      <w:pPr>
        <w:ind w:firstLineChars="250" w:firstLine="500"/>
        <w:jc w:val="both"/>
        <w:rPr>
          <w:rFonts w:ascii="Arial" w:hAnsi="Arial"/>
          <w:lang w:val="en-PH"/>
        </w:rPr>
      </w:pPr>
      <w:r>
        <w:rPr>
          <w:rFonts w:ascii="Arial" w:hAnsi="Arial"/>
          <w:lang w:val="en-PH"/>
        </w:rPr>
        <w:t>In this study, the predictive vari</w:t>
      </w:r>
      <w:r>
        <w:rPr>
          <w:rFonts w:ascii="Arial" w:hAnsi="Arial"/>
          <w:lang w:val="en-PH"/>
        </w:rPr>
        <w:t>ables include Teaching Anxiety of pre-service teachers, as indicated by evaluation anxiety, class control anxiety, professional preparation anxiety, school staff anxiety, and unsuccessful lesson anxiety (Hart, 1987 &amp; Morton et al., 1997). Teaching self-eff</w:t>
      </w:r>
      <w:r>
        <w:rPr>
          <w:rFonts w:ascii="Arial" w:hAnsi="Arial"/>
          <w:lang w:val="en-PH"/>
        </w:rPr>
        <w:t>icacy is also considered a predictive variable, as reflected in personal and general teaching efficacy (Gibson &amp; Dembo, 1984). These variables are categorized as personal factors mentioned in the theory. Teacher support, another predictive variable, is mea</w:t>
      </w:r>
      <w:r>
        <w:rPr>
          <w:rFonts w:ascii="Arial" w:hAnsi="Arial"/>
          <w:lang w:val="en-PH"/>
        </w:rPr>
        <w:t xml:space="preserve">sured through personal support, career support, professional knowledge support, instructional process support, and role modeling support (Andres, 2019). This variable represents an environmental factor within the theory. </w:t>
      </w:r>
    </w:p>
    <w:p w14:paraId="09C87082" w14:textId="77777777" w:rsidR="004A39DF" w:rsidRDefault="00D9470C">
      <w:pPr>
        <w:ind w:firstLineChars="250" w:firstLine="500"/>
        <w:jc w:val="both"/>
        <w:rPr>
          <w:rFonts w:ascii="Arial" w:hAnsi="Arial"/>
          <w:lang w:val="en-PH"/>
        </w:rPr>
      </w:pPr>
      <w:r>
        <w:rPr>
          <w:rFonts w:ascii="Arial" w:hAnsi="Arial"/>
          <w:lang w:val="en-PH"/>
        </w:rPr>
        <w:t>Meanwhile, the criterion variable,</w:t>
      </w:r>
      <w:r>
        <w:rPr>
          <w:rFonts w:ascii="Arial" w:hAnsi="Arial"/>
          <w:lang w:val="en-PH"/>
        </w:rPr>
        <w:t xml:space="preserve"> which reflects a behavioral pattern in this study, is teaching demonstration performance. This is indicated by lesson planning, teaching methods, classroom management, communication skills, and the teacher's personality. Therefore, SCT Theory explores the</w:t>
      </w:r>
      <w:r>
        <w:rPr>
          <w:rFonts w:ascii="Arial" w:hAnsi="Arial"/>
          <w:lang w:val="en-PH"/>
        </w:rPr>
        <w:t xml:space="preserve"> factors influencing pre-service teachers' classroom performance.</w:t>
      </w:r>
    </w:p>
    <w:p w14:paraId="2884A6B7" w14:textId="77777777" w:rsidR="004A39DF" w:rsidRDefault="004A39DF">
      <w:pPr>
        <w:pStyle w:val="Body"/>
        <w:spacing w:after="0"/>
        <w:rPr>
          <w:rFonts w:ascii="Arial" w:hAnsi="Arial" w:cs="Arial"/>
        </w:rPr>
      </w:pPr>
    </w:p>
    <w:p w14:paraId="4E973028" w14:textId="77777777" w:rsidR="004A39DF" w:rsidRDefault="00D9470C">
      <w:pPr>
        <w:pStyle w:val="AbstHead"/>
        <w:numPr>
          <w:ilvl w:val="0"/>
          <w:numId w:val="4"/>
        </w:numPr>
        <w:spacing w:after="0"/>
        <w:jc w:val="both"/>
        <w:rPr>
          <w:rFonts w:ascii="Arial" w:hAnsi="Arial" w:cs="Arial"/>
        </w:rPr>
      </w:pPr>
      <w:r>
        <w:rPr>
          <w:rFonts w:ascii="Arial" w:hAnsi="Arial" w:cs="Arial"/>
        </w:rPr>
        <w:t>material and methods</w:t>
      </w:r>
    </w:p>
    <w:p w14:paraId="74F4E43A" w14:textId="77777777" w:rsidR="004A39DF" w:rsidRDefault="004A39DF">
      <w:pPr>
        <w:pStyle w:val="AbstHead"/>
        <w:spacing w:after="0"/>
        <w:jc w:val="both"/>
        <w:rPr>
          <w:rFonts w:ascii="Arial" w:hAnsi="Arial" w:cs="Arial"/>
        </w:rPr>
      </w:pPr>
    </w:p>
    <w:p w14:paraId="52B167FB" w14:textId="77777777" w:rsidR="004A39DF" w:rsidRDefault="00D9470C">
      <w:pPr>
        <w:pStyle w:val="Body"/>
        <w:numPr>
          <w:ilvl w:val="1"/>
          <w:numId w:val="4"/>
        </w:numPr>
        <w:spacing w:after="0"/>
        <w:rPr>
          <w:rFonts w:ascii="Arial" w:hAnsi="Arial" w:cs="Arial"/>
          <w:b/>
          <w:sz w:val="22"/>
        </w:rPr>
      </w:pPr>
      <w:r>
        <w:rPr>
          <w:rFonts w:ascii="Arial" w:hAnsi="Arial" w:cs="Arial"/>
          <w:b/>
          <w:sz w:val="22"/>
          <w:lang w:val="en-PH"/>
        </w:rPr>
        <w:t>Research Design</w:t>
      </w:r>
      <w:r>
        <w:rPr>
          <w:rFonts w:ascii="Arial" w:hAnsi="Arial" w:cs="Arial"/>
          <w:b/>
          <w:sz w:val="22"/>
        </w:rPr>
        <w:t xml:space="preserve"> </w:t>
      </w:r>
    </w:p>
    <w:p w14:paraId="681AE469" w14:textId="77777777" w:rsidR="004A39DF" w:rsidRDefault="004A39DF">
      <w:pPr>
        <w:pStyle w:val="Body"/>
        <w:spacing w:after="0"/>
        <w:rPr>
          <w:rFonts w:ascii="Arial" w:hAnsi="Arial" w:cs="Arial"/>
          <w:b/>
          <w:sz w:val="22"/>
        </w:rPr>
      </w:pPr>
    </w:p>
    <w:p w14:paraId="56B61D8C" w14:textId="77777777" w:rsidR="004A39DF" w:rsidRDefault="00D9470C">
      <w:pPr>
        <w:pStyle w:val="Body"/>
        <w:spacing w:after="0"/>
        <w:ind w:firstLine="720"/>
        <w:rPr>
          <w:rFonts w:ascii="Arial" w:hAnsi="Arial"/>
        </w:rPr>
      </w:pPr>
      <w:r>
        <w:rPr>
          <w:rFonts w:ascii="Arial" w:hAnsi="Arial"/>
        </w:rPr>
        <w:t xml:space="preserve">The research utilized a non-experimental quantitative design, employing a descriptive-correlational approach. Allen (2017) asserted that the </w:t>
      </w:r>
      <w:r>
        <w:rPr>
          <w:rFonts w:ascii="Arial" w:hAnsi="Arial"/>
        </w:rPr>
        <w:t>quantitative method is commonly used when the study objectives are to develop information and investigate the occurrence of phenomena that impact humanity. In contrast, non-experimental designs are incapable of establishing causation. Consequently, a resea</w:t>
      </w:r>
      <w:r>
        <w:rPr>
          <w:rFonts w:ascii="Arial" w:hAnsi="Arial"/>
        </w:rPr>
        <w:t>rcher employing such a design can accumulate real-world data and conclude the relationships between significant variables (Johnson, 2001). Furthermore, Maison et al. (2021) indicated that descriptive-correlational design evaluates the degree of relationshi</w:t>
      </w:r>
      <w:r>
        <w:rPr>
          <w:rFonts w:ascii="Arial" w:hAnsi="Arial"/>
        </w:rPr>
        <w:t>p between two or more variables. It also allows researchers to determine whether there is evidence of a positive, negative, or no relationship between variables.</w:t>
      </w:r>
    </w:p>
    <w:p w14:paraId="1EA007B7" w14:textId="77777777" w:rsidR="004A39DF" w:rsidRDefault="004A39DF">
      <w:pPr>
        <w:pStyle w:val="Body"/>
        <w:spacing w:after="0"/>
        <w:rPr>
          <w:rFonts w:ascii="Arial" w:hAnsi="Arial"/>
        </w:rPr>
      </w:pPr>
    </w:p>
    <w:p w14:paraId="2AE2AC4B" w14:textId="77777777" w:rsidR="004A39DF" w:rsidRDefault="00D9470C">
      <w:pPr>
        <w:pStyle w:val="Body"/>
        <w:spacing w:after="0"/>
        <w:rPr>
          <w:rFonts w:ascii="Arial" w:hAnsi="Arial"/>
          <w:b/>
          <w:bCs/>
          <w:sz w:val="22"/>
          <w:szCs w:val="22"/>
          <w:lang w:val="en-PH"/>
        </w:rPr>
      </w:pPr>
      <w:r>
        <w:rPr>
          <w:rFonts w:ascii="Arial" w:hAnsi="Arial"/>
          <w:b/>
          <w:bCs/>
          <w:sz w:val="22"/>
          <w:szCs w:val="22"/>
          <w:lang w:val="en-PH"/>
        </w:rPr>
        <w:t>2.2. Research Respondents</w:t>
      </w:r>
    </w:p>
    <w:p w14:paraId="2507B5D5" w14:textId="77777777" w:rsidR="004A39DF" w:rsidRDefault="004A39DF">
      <w:pPr>
        <w:pStyle w:val="Body"/>
        <w:spacing w:after="0"/>
        <w:rPr>
          <w:rFonts w:ascii="Arial" w:hAnsi="Arial"/>
        </w:rPr>
      </w:pPr>
    </w:p>
    <w:p w14:paraId="69C4CB27" w14:textId="77777777" w:rsidR="004A39DF" w:rsidRDefault="00D9470C">
      <w:pPr>
        <w:ind w:firstLine="720"/>
        <w:jc w:val="both"/>
        <w:rPr>
          <w:rFonts w:ascii="Arial" w:hAnsi="Arial"/>
        </w:rPr>
      </w:pPr>
      <w:r>
        <w:rPr>
          <w:rFonts w:ascii="Arial" w:hAnsi="Arial"/>
        </w:rPr>
        <w:t>This study employed a complete enumeration sample method, where </w:t>
      </w:r>
      <w:r>
        <w:rPr>
          <w:rFonts w:ascii="Arial" w:hAnsi="Arial"/>
          <w:lang w:val="en-PH"/>
        </w:rPr>
        <w:t>32</w:t>
      </w:r>
      <w:r>
        <w:rPr>
          <w:rFonts w:ascii="Arial" w:hAnsi="Arial"/>
          <w:lang w:val="en-PH"/>
        </w:rPr>
        <w:t>5 pre-service teachers</w:t>
      </w:r>
      <w:r>
        <w:rPr>
          <w:rFonts w:ascii="Arial" w:hAnsi="Arial"/>
        </w:rPr>
        <w:t xml:space="preserve"> were chosen as respondents. Complete enumeration sampling is a purposeful sample strategy that analyzes the complete population with specific characteristics (Canonizado, 2021). This method was used to minimize sampling bias and enha</w:t>
      </w:r>
      <w:r>
        <w:rPr>
          <w:rFonts w:ascii="Arial" w:hAnsi="Arial"/>
        </w:rPr>
        <w:t>nce the reliability of findings, offering a more representative view of the relationship between teaching anxiety, teacher support, and teaching self-efficacy on the classroom performance of pre-service teachers.</w:t>
      </w:r>
    </w:p>
    <w:p w14:paraId="3DB28C0E" w14:textId="77777777" w:rsidR="004A39DF" w:rsidRDefault="00D9470C">
      <w:pPr>
        <w:ind w:firstLine="720"/>
        <w:jc w:val="both"/>
        <w:rPr>
          <w:rFonts w:ascii="Arial" w:hAnsi="Arial"/>
        </w:rPr>
      </w:pPr>
      <w:r>
        <w:rPr>
          <w:rFonts w:ascii="Arial" w:hAnsi="Arial"/>
        </w:rPr>
        <w:t xml:space="preserve">Furthermore, the respondents in this </w:t>
      </w:r>
      <w:r>
        <w:rPr>
          <w:rFonts w:ascii="Arial" w:hAnsi="Arial"/>
        </w:rPr>
        <w:t>research were the 4th year pre-service teachers</w:t>
      </w:r>
      <w:r>
        <w:rPr>
          <w:rFonts w:ascii="Arial" w:hAnsi="Arial"/>
          <w:lang w:val="en-PH"/>
        </w:rPr>
        <w:t xml:space="preserve"> in one of the Higher Education Institutions in Region XI. T</w:t>
      </w:r>
      <w:r>
        <w:rPr>
          <w:rFonts w:ascii="Arial" w:hAnsi="Arial"/>
        </w:rPr>
        <w:t xml:space="preserve">he chosen respondents are highly qualified for the research, as they were deployed to various schools </w:t>
      </w:r>
      <w:r>
        <w:rPr>
          <w:rFonts w:ascii="Arial" w:hAnsi="Arial"/>
          <w:lang w:val="en-PH"/>
        </w:rPr>
        <w:t>Region XI</w:t>
      </w:r>
      <w:r>
        <w:rPr>
          <w:rFonts w:ascii="Arial" w:hAnsi="Arial"/>
        </w:rPr>
        <w:t>, thereby gaining practical experience</w:t>
      </w:r>
      <w:r>
        <w:rPr>
          <w:rFonts w:ascii="Arial" w:hAnsi="Arial"/>
        </w:rPr>
        <w:t xml:space="preserve"> during the </w:t>
      </w:r>
      <w:r>
        <w:rPr>
          <w:rFonts w:ascii="Arial" w:hAnsi="Arial"/>
          <w:lang w:val="en-PH"/>
        </w:rPr>
        <w:t>teaching internship</w:t>
      </w:r>
      <w:r>
        <w:rPr>
          <w:rFonts w:ascii="Arial" w:hAnsi="Arial"/>
        </w:rPr>
        <w:t xml:space="preserve">. </w:t>
      </w:r>
    </w:p>
    <w:p w14:paraId="4ED2530F" w14:textId="77777777" w:rsidR="004A39DF" w:rsidRDefault="004A39DF">
      <w:pPr>
        <w:jc w:val="both"/>
        <w:rPr>
          <w:rFonts w:ascii="Arial" w:hAnsi="Arial"/>
        </w:rPr>
      </w:pPr>
    </w:p>
    <w:p w14:paraId="5CB94A2E" w14:textId="77777777" w:rsidR="004A39DF" w:rsidRDefault="00D9470C">
      <w:pPr>
        <w:pStyle w:val="Body"/>
        <w:spacing w:after="0"/>
        <w:rPr>
          <w:rFonts w:ascii="Arial" w:hAnsi="Arial"/>
          <w:b/>
          <w:bCs/>
          <w:sz w:val="22"/>
          <w:szCs w:val="22"/>
          <w:lang w:val="en-PH"/>
        </w:rPr>
      </w:pPr>
      <w:r>
        <w:rPr>
          <w:rFonts w:ascii="Arial" w:hAnsi="Arial"/>
          <w:b/>
          <w:bCs/>
          <w:sz w:val="22"/>
          <w:szCs w:val="22"/>
          <w:lang w:val="en-PH"/>
        </w:rPr>
        <w:t>2.3. Research Instrument</w:t>
      </w:r>
    </w:p>
    <w:p w14:paraId="13F40B66" w14:textId="77777777" w:rsidR="004A39DF" w:rsidRDefault="004A39DF">
      <w:pPr>
        <w:pStyle w:val="Body"/>
        <w:spacing w:after="0"/>
        <w:rPr>
          <w:rFonts w:ascii="Arial" w:hAnsi="Arial"/>
          <w:b/>
          <w:bCs/>
          <w:sz w:val="22"/>
          <w:szCs w:val="22"/>
          <w:lang w:val="en-PH"/>
        </w:rPr>
      </w:pPr>
    </w:p>
    <w:p w14:paraId="18704DE4" w14:textId="77777777" w:rsidR="004A39DF" w:rsidRDefault="00D9470C">
      <w:pPr>
        <w:ind w:firstLine="720"/>
        <w:jc w:val="both"/>
        <w:textAlignment w:val="top"/>
        <w:rPr>
          <w:rFonts w:ascii="Arial" w:hAnsi="Arial" w:cs="Arial"/>
          <w:lang w:val="en-PH" w:bidi="ar"/>
        </w:rPr>
      </w:pPr>
      <w:r>
        <w:rPr>
          <w:rFonts w:ascii="Arial" w:hAnsi="Arial" w:cs="Arial"/>
          <w:lang w:bidi="ar"/>
        </w:rPr>
        <w:t>The researcher use</w:t>
      </w:r>
      <w:r>
        <w:rPr>
          <w:rFonts w:ascii="Arial" w:hAnsi="Arial" w:cs="Arial"/>
          <w:lang w:val="en-PH" w:bidi="ar"/>
        </w:rPr>
        <w:t>d four</w:t>
      </w:r>
      <w:r>
        <w:rPr>
          <w:rFonts w:ascii="Arial" w:hAnsi="Arial" w:cs="Arial"/>
          <w:lang w:bidi="ar"/>
        </w:rPr>
        <w:t xml:space="preserve"> sets of instruments in this study. </w:t>
      </w:r>
      <w:r>
        <w:rPr>
          <w:rFonts w:ascii="Arial" w:hAnsi="Arial" w:cs="Arial"/>
          <w:lang w:val="en-PH"/>
        </w:rPr>
        <w:t>The instruments were handed to expert validators and their suggestions were incorporated into the instruments to ensure the instrument'</w:t>
      </w:r>
      <w:r>
        <w:rPr>
          <w:rFonts w:ascii="Arial" w:hAnsi="Arial" w:cs="Arial"/>
          <w:lang w:val="en-PH"/>
        </w:rPr>
        <w:t>s validity and credibility. Pilot tested was also conducted to test the reliability of the instruments.</w:t>
      </w:r>
    </w:p>
    <w:p w14:paraId="649E3572" w14:textId="77777777" w:rsidR="004A39DF" w:rsidRDefault="00D9470C">
      <w:pPr>
        <w:ind w:firstLine="720"/>
        <w:jc w:val="both"/>
        <w:rPr>
          <w:rFonts w:ascii="Arial" w:hAnsi="Arial" w:cs="Arial"/>
          <w:lang w:val="en-PH" w:bidi="ar"/>
        </w:rPr>
      </w:pPr>
      <w:r>
        <w:rPr>
          <w:rFonts w:ascii="Arial" w:hAnsi="Arial" w:cs="Arial"/>
          <w:lang w:bidi="ar"/>
        </w:rPr>
        <w:t>The first instrument for assessing pre-service teachers' teaching anxiety is the Student-Teacher Anxiety Scale (STAS), developed by Hart (1987) and subs</w:t>
      </w:r>
      <w:r>
        <w:rPr>
          <w:rFonts w:ascii="Arial" w:hAnsi="Arial" w:cs="Arial"/>
          <w:lang w:bidi="ar"/>
        </w:rPr>
        <w:t>equently modified by Morton et al. (1997), which w</w:t>
      </w:r>
      <w:r>
        <w:rPr>
          <w:rFonts w:ascii="Arial" w:hAnsi="Arial" w:cs="Arial"/>
          <w:lang w:val="en-PH" w:bidi="ar"/>
        </w:rPr>
        <w:t>as</w:t>
      </w:r>
      <w:r>
        <w:rPr>
          <w:rFonts w:ascii="Arial" w:hAnsi="Arial" w:cs="Arial"/>
          <w:lang w:bidi="ar"/>
        </w:rPr>
        <w:t xml:space="preserve"> tailored for the researcher’s study. The Student-Teachers Anxiety Scale (STAS) serves as a tool for assessing student teacher fears associated with practice teaching (Capel, 1997</w:t>
      </w:r>
      <w:r>
        <w:rPr>
          <w:rFonts w:ascii="Arial" w:hAnsi="Arial" w:cs="Arial"/>
          <w:lang w:val="en-PH" w:bidi="ar"/>
        </w:rPr>
        <w:t>)</w:t>
      </w:r>
      <w:r>
        <w:rPr>
          <w:rFonts w:ascii="Arial" w:hAnsi="Arial" w:cs="Arial"/>
          <w:lang w:bidi="ar"/>
        </w:rPr>
        <w:t>. This scale was created</w:t>
      </w:r>
      <w:r>
        <w:rPr>
          <w:rFonts w:ascii="Arial" w:hAnsi="Arial" w:cs="Arial"/>
          <w:lang w:bidi="ar"/>
        </w:rPr>
        <w:t xml:space="preserve"> by Hart (1987) on samples of student teachers in England. </w:t>
      </w:r>
      <w:r>
        <w:rPr>
          <w:rFonts w:ascii="Arial" w:hAnsi="Arial" w:cs="Arial"/>
          <w:lang w:val="en-PH" w:bidi="ar"/>
        </w:rPr>
        <w:t xml:space="preserve"> </w:t>
      </w:r>
      <w:r>
        <w:rPr>
          <w:rFonts w:ascii="Arial" w:hAnsi="Arial" w:cs="Arial"/>
          <w:lang w:val="en-PH"/>
        </w:rPr>
        <w:t xml:space="preserve">In evaluating the teaching anxiety of the pre-service teachers, the respondents used the following rating scale: </w:t>
      </w:r>
      <w:r>
        <w:rPr>
          <w:rFonts w:ascii="Arial" w:hAnsi="Arial" w:cs="Arial"/>
        </w:rPr>
        <w:t>5</w:t>
      </w:r>
      <w:r>
        <w:rPr>
          <w:rFonts w:ascii="Arial" w:hAnsi="Arial" w:cs="Arial"/>
          <w:lang w:val="en-PH"/>
        </w:rPr>
        <w:t xml:space="preserve"> as extremely anxious; 4 as very anxious; 3 as moderately anxious; 2 as a little a</w:t>
      </w:r>
      <w:r>
        <w:rPr>
          <w:rFonts w:ascii="Arial" w:hAnsi="Arial" w:cs="Arial"/>
          <w:lang w:val="en-PH"/>
        </w:rPr>
        <w:t xml:space="preserve">nxious; and 1 as not all anxious. The 5 Likert scale was used to interpret the teaching anxiety of pre-service teachers. </w:t>
      </w:r>
      <w:r>
        <w:rPr>
          <w:rFonts w:ascii="Arial" w:hAnsi="Arial" w:cs="Arial"/>
          <w:lang w:val="en-PH" w:bidi="ar"/>
        </w:rPr>
        <w:t xml:space="preserve">Additionally, the Cronbach’s Alpha was </w:t>
      </w:r>
      <w:r>
        <w:rPr>
          <w:rFonts w:ascii="Arial" w:hAnsi="Arial" w:cs="Arial"/>
          <w:lang w:bidi="ar"/>
        </w:rPr>
        <w:t>0</w:t>
      </w:r>
      <w:r>
        <w:rPr>
          <w:rFonts w:ascii="Arial" w:hAnsi="Arial" w:cs="Arial"/>
          <w:lang w:val="en-PH" w:bidi="ar"/>
        </w:rPr>
        <w:t>.971, indicating good consistency of the instrument.</w:t>
      </w:r>
    </w:p>
    <w:p w14:paraId="3E1D9FD1" w14:textId="77777777" w:rsidR="004A39DF" w:rsidRDefault="00D9470C">
      <w:pPr>
        <w:ind w:firstLine="720"/>
        <w:jc w:val="both"/>
        <w:rPr>
          <w:rFonts w:ascii="Arial" w:hAnsi="Arial" w:cs="Arial"/>
          <w:lang w:val="en-PH"/>
        </w:rPr>
      </w:pPr>
      <w:r>
        <w:rPr>
          <w:rFonts w:ascii="Arial" w:eastAsia="serif" w:hAnsi="Arial" w:cs="Arial"/>
          <w:shd w:val="clear" w:color="auto" w:fill="FFFFFF"/>
          <w:lang w:val="en-PH"/>
        </w:rPr>
        <w:t>Moreover, t</w:t>
      </w:r>
      <w:r>
        <w:rPr>
          <w:rFonts w:ascii="Arial" w:hAnsi="Arial" w:cs="Arial"/>
          <w:lang w:bidi="ar"/>
        </w:rPr>
        <w:t xml:space="preserve">he </w:t>
      </w:r>
      <w:r>
        <w:rPr>
          <w:rFonts w:ascii="Arial" w:hAnsi="Arial" w:cs="Arial"/>
          <w:lang w:val="en-PH" w:bidi="ar"/>
        </w:rPr>
        <w:t>second</w:t>
      </w:r>
      <w:r>
        <w:rPr>
          <w:rFonts w:ascii="Arial" w:hAnsi="Arial" w:cs="Arial"/>
          <w:lang w:bidi="ar"/>
        </w:rPr>
        <w:t xml:space="preserve"> instrument employ</w:t>
      </w:r>
      <w:r>
        <w:rPr>
          <w:rFonts w:ascii="Arial" w:hAnsi="Arial" w:cs="Arial"/>
          <w:lang w:val="en-PH" w:bidi="ar"/>
        </w:rPr>
        <w:t>ed</w:t>
      </w:r>
      <w:r>
        <w:rPr>
          <w:rFonts w:ascii="Arial" w:hAnsi="Arial" w:cs="Arial"/>
          <w:lang w:bidi="ar"/>
        </w:rPr>
        <w:t xml:space="preserve"> in this study is the Teacher Efficacy Scale (TES) to assess the pre-service teachers' level of teaching efficacy. </w:t>
      </w:r>
      <w:r>
        <w:rPr>
          <w:rFonts w:ascii="Arial" w:hAnsi="Arial" w:cs="Arial"/>
          <w:lang w:val="en-PH" w:bidi="ar"/>
        </w:rPr>
        <w:t>N</w:t>
      </w:r>
      <w:proofErr w:type="spellStart"/>
      <w:r>
        <w:rPr>
          <w:rFonts w:ascii="Arial" w:hAnsi="Arial" w:cs="Arial"/>
          <w:lang w:bidi="ar"/>
        </w:rPr>
        <w:t>umerous</w:t>
      </w:r>
      <w:proofErr w:type="spellEnd"/>
      <w:r>
        <w:rPr>
          <w:rFonts w:ascii="Arial" w:hAnsi="Arial" w:cs="Arial"/>
          <w:lang w:bidi="ar"/>
        </w:rPr>
        <w:t xml:space="preserve"> studies have employed the Teacher Efficacy Scale (TES), originally created by Gibson and Dembo (1984) and subsequently revised by Wo</w:t>
      </w:r>
      <w:r>
        <w:rPr>
          <w:rFonts w:ascii="Arial" w:hAnsi="Arial" w:cs="Arial"/>
          <w:lang w:bidi="ar"/>
        </w:rPr>
        <w:t>olfolk and Hoy (1990), to investigate the concept of teacher efficacy. Two dimensions have evolved from the instrument: general teaching efficacy (GTE) and personal teaching efficacy (PTE). GTE is the conviction that a teacher's capacity to effect change i</w:t>
      </w:r>
      <w:r>
        <w:rPr>
          <w:rFonts w:ascii="Arial" w:hAnsi="Arial" w:cs="Arial"/>
          <w:lang w:bidi="ar"/>
        </w:rPr>
        <w:t xml:space="preserve">s considerably constrained by external conditions. PTE is defined </w:t>
      </w:r>
      <w:r>
        <w:rPr>
          <w:rFonts w:ascii="Arial" w:hAnsi="Arial" w:cs="Arial"/>
          <w:lang w:bidi="ar"/>
        </w:rPr>
        <w:lastRenderedPageBreak/>
        <w:t xml:space="preserve">as the conviction in one's skills and ability to facilitate student learning (Gibson </w:t>
      </w:r>
      <w:r>
        <w:rPr>
          <w:rFonts w:ascii="Arial" w:hAnsi="Arial" w:cs="Arial"/>
          <w:lang w:val="en-PH" w:bidi="ar"/>
        </w:rPr>
        <w:t>&amp;</w:t>
      </w:r>
      <w:r>
        <w:rPr>
          <w:rFonts w:ascii="Arial" w:hAnsi="Arial" w:cs="Arial"/>
          <w:lang w:bidi="ar"/>
        </w:rPr>
        <w:t xml:space="preserve"> Dembo, 1984, p. 573).</w:t>
      </w:r>
      <w:r>
        <w:rPr>
          <w:rFonts w:ascii="Arial" w:hAnsi="Arial" w:cs="Arial"/>
          <w:lang w:val="en-PH" w:bidi="ar"/>
        </w:rPr>
        <w:t xml:space="preserve"> </w:t>
      </w:r>
      <w:r>
        <w:rPr>
          <w:rFonts w:ascii="Arial" w:hAnsi="Arial" w:cs="Arial"/>
          <w:lang w:val="en-PH"/>
        </w:rPr>
        <w:t xml:space="preserve">In evaluating the teaching self-efficacy of the pre-service </w:t>
      </w:r>
      <w:proofErr w:type="spellStart"/>
      <w:proofErr w:type="gramStart"/>
      <w:r>
        <w:rPr>
          <w:rFonts w:ascii="Arial" w:hAnsi="Arial" w:cs="Arial"/>
          <w:lang w:val="en-PH"/>
        </w:rPr>
        <w:t>teachers,the</w:t>
      </w:r>
      <w:proofErr w:type="spellEnd"/>
      <w:proofErr w:type="gramEnd"/>
      <w:r>
        <w:rPr>
          <w:rFonts w:ascii="Arial" w:hAnsi="Arial" w:cs="Arial"/>
          <w:lang w:val="en-PH"/>
        </w:rPr>
        <w:t xml:space="preserve"> 5 Likert</w:t>
      </w:r>
      <w:r>
        <w:rPr>
          <w:rFonts w:ascii="Arial" w:hAnsi="Arial" w:cs="Arial"/>
          <w:lang w:val="en-PH"/>
        </w:rPr>
        <w:t xml:space="preserve"> Scale was used and the respondents used the following rating scale: </w:t>
      </w:r>
      <w:r>
        <w:rPr>
          <w:rFonts w:ascii="Arial" w:hAnsi="Arial" w:cs="Arial"/>
        </w:rPr>
        <w:t>5</w:t>
      </w:r>
      <w:r>
        <w:rPr>
          <w:rFonts w:ascii="Arial" w:hAnsi="Arial" w:cs="Arial"/>
          <w:lang w:val="en-PH"/>
        </w:rPr>
        <w:t xml:space="preserve"> as strongly agree; 4 as agree; 3 as neither agree nor disagree; 2 as disagree; and 1 is strongly disagree. T</w:t>
      </w:r>
      <w:r>
        <w:rPr>
          <w:rFonts w:ascii="Arial" w:hAnsi="Arial" w:cs="Arial"/>
          <w:lang w:val="en-PH" w:bidi="ar"/>
        </w:rPr>
        <w:t xml:space="preserve">he Cronbach’s Alpha was </w:t>
      </w:r>
      <w:r>
        <w:rPr>
          <w:rFonts w:ascii="Arial" w:hAnsi="Arial" w:cs="Arial"/>
          <w:lang w:bidi="ar"/>
        </w:rPr>
        <w:t>0</w:t>
      </w:r>
      <w:r>
        <w:rPr>
          <w:rFonts w:ascii="Arial" w:hAnsi="Arial" w:cs="Arial"/>
          <w:lang w:val="en-PH" w:bidi="ar"/>
        </w:rPr>
        <w:t>.912, which indicates the good consistency of the in</w:t>
      </w:r>
      <w:r>
        <w:rPr>
          <w:rFonts w:ascii="Arial" w:hAnsi="Arial" w:cs="Arial"/>
          <w:lang w:val="en-PH" w:bidi="ar"/>
        </w:rPr>
        <w:t>strument.</w:t>
      </w:r>
    </w:p>
    <w:p w14:paraId="7E94F4EF" w14:textId="77777777" w:rsidR="004A39DF" w:rsidRDefault="00D9470C">
      <w:pPr>
        <w:ind w:firstLine="720"/>
        <w:jc w:val="both"/>
        <w:rPr>
          <w:rFonts w:ascii="Arial" w:hAnsi="Arial" w:cs="Arial"/>
          <w:lang w:val="en-PH"/>
        </w:rPr>
      </w:pPr>
      <w:r>
        <w:rPr>
          <w:rFonts w:ascii="Arial" w:hAnsi="Arial" w:cs="Arial"/>
          <w:lang w:bidi="ar"/>
        </w:rPr>
        <w:t>The researcher employ</w:t>
      </w:r>
      <w:r>
        <w:rPr>
          <w:rFonts w:ascii="Arial" w:hAnsi="Arial" w:cs="Arial"/>
          <w:lang w:val="en-PH" w:bidi="ar"/>
        </w:rPr>
        <w:t>ed</w:t>
      </w:r>
      <w:r>
        <w:rPr>
          <w:rFonts w:ascii="Arial" w:hAnsi="Arial" w:cs="Arial"/>
          <w:lang w:bidi="ar"/>
        </w:rPr>
        <w:t xml:space="preserve"> the Mentoring Practices Scale (Andres, 2019) as the </w:t>
      </w:r>
      <w:r>
        <w:rPr>
          <w:rFonts w:ascii="Arial" w:hAnsi="Arial" w:cs="Arial"/>
          <w:lang w:val="en-PH" w:bidi="ar"/>
        </w:rPr>
        <w:t>third</w:t>
      </w:r>
      <w:r>
        <w:rPr>
          <w:rFonts w:ascii="Arial" w:hAnsi="Arial" w:cs="Arial"/>
          <w:lang w:bidi="ar"/>
        </w:rPr>
        <w:t xml:space="preserve"> research instrument in the conducting of the study. The perceived mentoring support that pre-service teachers received from their cooperating teachers' can be measu</w:t>
      </w:r>
      <w:r>
        <w:rPr>
          <w:rFonts w:ascii="Arial" w:hAnsi="Arial" w:cs="Arial"/>
          <w:lang w:bidi="ar"/>
        </w:rPr>
        <w:t>red by this instrument. It is a five-point Likert scale with the following rating scale: The five components of mentoring—personal support, career support, professional knowledge support, instructional process support, and role modeling support—are categor</w:t>
      </w:r>
      <w:r>
        <w:rPr>
          <w:rFonts w:ascii="Arial" w:hAnsi="Arial" w:cs="Arial"/>
          <w:lang w:bidi="ar"/>
        </w:rPr>
        <w:t>ized as follows: 5 as strongly agree, 4 as agree, 3 as neither agree nor disagree, 2 as disagree, and 1 as strongly disagree. The PPST domains are represented by a total of 10 statements in each component.</w:t>
      </w:r>
      <w:r>
        <w:rPr>
          <w:rFonts w:ascii="Arial" w:hAnsi="Arial" w:cs="Arial"/>
          <w:lang w:val="en-PH" w:bidi="ar"/>
        </w:rPr>
        <w:t xml:space="preserve"> </w:t>
      </w:r>
      <w:r>
        <w:rPr>
          <w:rFonts w:ascii="Arial" w:hAnsi="Arial" w:cs="Arial"/>
        </w:rPr>
        <w:t xml:space="preserve">Furthermore, the entire scale’s Cronbach's alpha </w:t>
      </w:r>
      <w:r>
        <w:rPr>
          <w:rFonts w:ascii="Arial" w:hAnsi="Arial" w:cs="Arial"/>
          <w:lang w:val="en-PH"/>
        </w:rPr>
        <w:t>w</w:t>
      </w:r>
      <w:r>
        <w:rPr>
          <w:rFonts w:ascii="Arial" w:hAnsi="Arial" w:cs="Arial"/>
          <w:lang w:val="en-PH"/>
        </w:rPr>
        <w:t>as 0.986, indicating good consistency of the instrument.</w:t>
      </w:r>
    </w:p>
    <w:p w14:paraId="0355EF35" w14:textId="77777777" w:rsidR="004A39DF" w:rsidRDefault="00D9470C">
      <w:pPr>
        <w:ind w:firstLine="720"/>
        <w:jc w:val="both"/>
        <w:rPr>
          <w:rFonts w:ascii="Arial" w:hAnsi="Arial" w:cs="Arial"/>
          <w:lang w:val="en-PH" w:bidi="ar"/>
        </w:rPr>
      </w:pPr>
      <w:r>
        <w:rPr>
          <w:rFonts w:ascii="Arial" w:eastAsia="serif" w:hAnsi="Arial" w:cs="Arial"/>
          <w:shd w:val="clear" w:color="auto" w:fill="FFFFFF"/>
          <w:lang w:val="en-PH"/>
        </w:rPr>
        <w:t>Lastly, the classroom performance of the pre-service teachers was determined through their teaching demonstration performance during teaching internship.</w:t>
      </w:r>
    </w:p>
    <w:p w14:paraId="7A55A473" w14:textId="77777777" w:rsidR="004A39DF" w:rsidRDefault="004A39DF">
      <w:pPr>
        <w:pStyle w:val="Body"/>
        <w:spacing w:after="0"/>
        <w:rPr>
          <w:rFonts w:ascii="Arial" w:hAnsi="Arial" w:cs="Arial"/>
          <w:lang w:val="en-PH"/>
        </w:rPr>
      </w:pPr>
    </w:p>
    <w:p w14:paraId="590CBC34" w14:textId="77777777" w:rsidR="004A39DF" w:rsidRDefault="00D9470C">
      <w:pPr>
        <w:pStyle w:val="Head1"/>
        <w:spacing w:after="0"/>
        <w:jc w:val="both"/>
        <w:rPr>
          <w:rFonts w:ascii="Arial" w:hAnsi="Arial" w:cs="Arial"/>
        </w:rPr>
      </w:pPr>
      <w:r>
        <w:rPr>
          <w:rFonts w:ascii="Arial" w:hAnsi="Arial" w:cs="Arial"/>
        </w:rPr>
        <w:t>3. results and discussion</w:t>
      </w:r>
    </w:p>
    <w:p w14:paraId="44CA809C" w14:textId="77777777" w:rsidR="004A39DF" w:rsidRDefault="004A39DF">
      <w:pPr>
        <w:pStyle w:val="Head1"/>
        <w:spacing w:after="0"/>
        <w:jc w:val="both"/>
        <w:rPr>
          <w:rFonts w:ascii="Arial" w:hAnsi="Arial" w:cs="Arial"/>
        </w:rPr>
      </w:pPr>
    </w:p>
    <w:p w14:paraId="3CC5BF37" w14:textId="77777777" w:rsidR="004A39DF" w:rsidRDefault="00D9470C">
      <w:pPr>
        <w:pStyle w:val="Body"/>
        <w:spacing w:after="0"/>
        <w:rPr>
          <w:rFonts w:ascii="Arial" w:hAnsi="Arial" w:cs="Arial"/>
          <w:b/>
          <w:bCs/>
          <w:sz w:val="22"/>
          <w:szCs w:val="22"/>
          <w:lang w:val="en-PH" w:bidi="ar"/>
        </w:rPr>
      </w:pPr>
      <w:r>
        <w:rPr>
          <w:rFonts w:ascii="Arial" w:hAnsi="Arial" w:cs="Arial"/>
          <w:b/>
          <w:bCs/>
          <w:sz w:val="22"/>
          <w:szCs w:val="22"/>
          <w:lang w:val="en-PH"/>
        </w:rPr>
        <w:t xml:space="preserve">3.1. </w:t>
      </w:r>
      <w:r>
        <w:rPr>
          <w:rFonts w:ascii="Arial" w:hAnsi="Arial" w:cs="Arial"/>
          <w:b/>
          <w:bCs/>
          <w:sz w:val="22"/>
          <w:szCs w:val="22"/>
          <w:lang w:val="en-PH" w:bidi="ar"/>
        </w:rPr>
        <w:t>Level of Tea</w:t>
      </w:r>
      <w:r>
        <w:rPr>
          <w:rFonts w:ascii="Arial" w:hAnsi="Arial" w:cs="Arial"/>
          <w:b/>
          <w:bCs/>
          <w:sz w:val="22"/>
          <w:szCs w:val="22"/>
          <w:lang w:val="en-PH" w:bidi="ar"/>
        </w:rPr>
        <w:t>ching Anxiety, Teaching Self-Efficacy, Teacher Support, and Teaching Demonstration Performance of Pre-service Teachers</w:t>
      </w:r>
    </w:p>
    <w:p w14:paraId="0E6BA4CC" w14:textId="77777777" w:rsidR="004A39DF" w:rsidRDefault="004A39DF">
      <w:pPr>
        <w:pStyle w:val="Body"/>
        <w:spacing w:after="0"/>
        <w:rPr>
          <w:rFonts w:ascii="Arial" w:hAnsi="Arial" w:cs="Arial"/>
          <w:b/>
          <w:bCs/>
          <w:sz w:val="24"/>
          <w:szCs w:val="24"/>
          <w:lang w:val="en-PH" w:bidi="ar"/>
        </w:rPr>
      </w:pPr>
    </w:p>
    <w:p w14:paraId="549B77FB" w14:textId="77777777" w:rsidR="004A39DF" w:rsidRDefault="00D9470C">
      <w:pPr>
        <w:ind w:firstLine="600"/>
        <w:jc w:val="both"/>
        <w:rPr>
          <w:rFonts w:ascii="Arial" w:hAnsi="Arial"/>
          <w:lang w:val="en-PH"/>
        </w:rPr>
      </w:pPr>
      <w:r>
        <w:rPr>
          <w:rFonts w:ascii="Arial" w:hAnsi="Arial"/>
          <w:lang w:val="en-PH"/>
        </w:rPr>
        <w:t>Table 1 highlights the level of Teaching Anxiety of Pre-service Teachers, Teacher Support, Teaching Self-Efficacy, and Teaching Demonstration Performance. The Teaching Anxiety of Pre-service Teachers measures Evaluation Anxiety, Class Control Anxiety, Prof</w:t>
      </w:r>
      <w:r>
        <w:rPr>
          <w:rFonts w:ascii="Arial" w:hAnsi="Arial"/>
          <w:lang w:val="en-PH"/>
        </w:rPr>
        <w:t>essional Anxiety, School Staff Anxiety, and Unsuccessful Lesson Anxiety.  Teaching self-efficacy is evaluated through General Teaching Efficacy and Personal Teaching Efficacy. Moreover, Teacher Support is measured through its indicators, such as personal s</w:t>
      </w:r>
      <w:r>
        <w:rPr>
          <w:rFonts w:ascii="Arial" w:hAnsi="Arial"/>
          <w:lang w:val="en-PH"/>
        </w:rPr>
        <w:t>upport, career support, professional knowledge support, instructional process support, and role modeling support. On the other hand, teaching demonstration performance is assessed through indicators such as lesson planning, teaching methods, classroom mana</w:t>
      </w:r>
      <w:r>
        <w:rPr>
          <w:rFonts w:ascii="Arial" w:hAnsi="Arial"/>
          <w:lang w:val="en-PH"/>
        </w:rPr>
        <w:t xml:space="preserve">gement, communication skills, and teacher personality. </w:t>
      </w:r>
    </w:p>
    <w:p w14:paraId="700D2BC2" w14:textId="77777777" w:rsidR="004A39DF" w:rsidRDefault="00D9470C">
      <w:pPr>
        <w:ind w:firstLineChars="250" w:firstLine="500"/>
        <w:jc w:val="both"/>
        <w:rPr>
          <w:rFonts w:ascii="Arial" w:hAnsi="Arial"/>
          <w:lang w:val="en-PH"/>
        </w:rPr>
      </w:pPr>
      <w:r>
        <w:rPr>
          <w:rFonts w:ascii="Arial" w:hAnsi="Arial"/>
          <w:lang w:val="en-PH"/>
        </w:rPr>
        <w:t xml:space="preserve">As shown in the table 1, the Teaching Anxiety of Pre-service Teachers has a standard deviation of 0.84, with a mean of 3.25, categorized at a moderate level. It indicates that the teaching anxiety of </w:t>
      </w:r>
      <w:r>
        <w:rPr>
          <w:rFonts w:ascii="Arial" w:hAnsi="Arial"/>
          <w:lang w:val="en-PH"/>
        </w:rPr>
        <w:t>pre-service teachers is sometimes observed.  Among the five indicators, only the unsuccessful lesson anxiety was classified as high, and the remaining indicators obtained respective means and were labeled as moderate. Furthermore, the standard deviation of</w:t>
      </w:r>
      <w:r>
        <w:rPr>
          <w:rFonts w:ascii="Arial" w:hAnsi="Arial"/>
          <w:lang w:val="en-PH"/>
        </w:rPr>
        <w:t xml:space="preserve"> teaching self-efficacy is 0.58, with </w:t>
      </w:r>
      <w:proofErr w:type="gramStart"/>
      <w:r>
        <w:rPr>
          <w:rFonts w:ascii="Arial" w:hAnsi="Arial"/>
          <w:lang w:val="en-PH"/>
        </w:rPr>
        <w:t>an</w:t>
      </w:r>
      <w:proofErr w:type="gramEnd"/>
      <w:r>
        <w:rPr>
          <w:rFonts w:ascii="Arial" w:hAnsi="Arial"/>
          <w:lang w:val="en-PH"/>
        </w:rPr>
        <w:t xml:space="preserve"> mean of 4.03, which is described as high. It indicates that the self-efficacy on teaching of pre-service teachers was good. Both personal and general efficacy on teaching as indicators showed a high descriptive leve</w:t>
      </w:r>
      <w:r>
        <w:rPr>
          <w:rFonts w:ascii="Arial" w:hAnsi="Arial"/>
          <w:lang w:val="en-PH"/>
        </w:rPr>
        <w:t xml:space="preserve">l. </w:t>
      </w:r>
    </w:p>
    <w:p w14:paraId="036A1E37" w14:textId="77777777" w:rsidR="004A39DF" w:rsidRDefault="00D9470C">
      <w:pPr>
        <w:ind w:firstLine="799"/>
        <w:jc w:val="both"/>
        <w:rPr>
          <w:rFonts w:ascii="Arial" w:hAnsi="Arial"/>
          <w:lang w:val="en-PH"/>
        </w:rPr>
      </w:pPr>
      <w:r>
        <w:rPr>
          <w:rFonts w:ascii="Arial" w:hAnsi="Arial"/>
          <w:lang w:val="en-PH"/>
        </w:rPr>
        <w:t>Teacher Support obtained a standard deviation of 0.57, with a mean of 4.21, labeled as very high. It indicates that the teacher support of pre-service teachers is excellent. Among its indicators, personal, career, and role modeling support got a very h</w:t>
      </w:r>
      <w:r>
        <w:rPr>
          <w:rFonts w:ascii="Arial" w:hAnsi="Arial"/>
          <w:lang w:val="en-PH"/>
        </w:rPr>
        <w:t>igh descriptive level, and the remaining indicators got a high descriptive level. Teaching demonstration performance has a standard deviation of 0.36, with a mean of 4.41, and a descriptive level of very high. It indicates that the teaching demonstration p</w:t>
      </w:r>
      <w:r>
        <w:rPr>
          <w:rFonts w:ascii="Arial" w:hAnsi="Arial"/>
          <w:lang w:val="en-PH"/>
        </w:rPr>
        <w:t xml:space="preserve">erformance of pre-service teachers is excellent. All its indicators </w:t>
      </w:r>
      <w:proofErr w:type="gramStart"/>
      <w:r>
        <w:rPr>
          <w:rFonts w:ascii="Arial" w:hAnsi="Arial"/>
          <w:lang w:val="en-PH"/>
        </w:rPr>
        <w:t>has</w:t>
      </w:r>
      <w:proofErr w:type="gramEnd"/>
      <w:r>
        <w:rPr>
          <w:rFonts w:ascii="Arial" w:hAnsi="Arial"/>
          <w:lang w:val="en-PH"/>
        </w:rPr>
        <w:t xml:space="preserve"> its respective mean and described a very high descriptive level.</w:t>
      </w:r>
    </w:p>
    <w:p w14:paraId="5C0BE83D" w14:textId="77777777" w:rsidR="004A39DF" w:rsidRDefault="00D9470C">
      <w:pPr>
        <w:ind w:firstLine="799"/>
        <w:jc w:val="both"/>
        <w:rPr>
          <w:rFonts w:ascii="Arial" w:hAnsi="Arial"/>
          <w:lang w:val="en-PH"/>
        </w:rPr>
      </w:pPr>
      <w:r>
        <w:rPr>
          <w:rFonts w:ascii="Arial" w:hAnsi="Arial"/>
          <w:lang w:val="en-PH"/>
        </w:rPr>
        <w:t xml:space="preserve">The results of the study </w:t>
      </w:r>
      <w:proofErr w:type="gramStart"/>
      <w:r>
        <w:rPr>
          <w:rFonts w:ascii="Arial" w:hAnsi="Arial"/>
          <w:lang w:val="en-PH"/>
        </w:rPr>
        <w:t>was</w:t>
      </w:r>
      <w:proofErr w:type="gramEnd"/>
      <w:r>
        <w:rPr>
          <w:rFonts w:ascii="Arial" w:hAnsi="Arial"/>
          <w:lang w:val="en-PH"/>
        </w:rPr>
        <w:t xml:space="preserve"> supported by the study of Ao et al. (2024) revealing that pre-service teachers experience </w:t>
      </w:r>
      <w:r>
        <w:rPr>
          <w:rFonts w:ascii="Arial" w:hAnsi="Arial"/>
          <w:lang w:val="en-PH"/>
        </w:rPr>
        <w:t xml:space="preserve">moderate teaching anxiety, requiring interventions to reduce anxiety. Similarly, </w:t>
      </w:r>
      <w:proofErr w:type="spellStart"/>
      <w:r>
        <w:rPr>
          <w:rFonts w:ascii="Arial" w:hAnsi="Arial"/>
          <w:lang w:val="en-PH"/>
        </w:rPr>
        <w:t>Mardhatillah</w:t>
      </w:r>
      <w:proofErr w:type="spellEnd"/>
      <w:r>
        <w:rPr>
          <w:rFonts w:ascii="Arial" w:hAnsi="Arial"/>
          <w:lang w:val="en-PH"/>
        </w:rPr>
        <w:t xml:space="preserve"> et al. (2024) also claimed that pre-service teacher also exhibited moderate anxiety during their teaching practicum, emphasizing the need for </w:t>
      </w:r>
      <w:r>
        <w:rPr>
          <w:rFonts w:ascii="Arial" w:hAnsi="Arial"/>
          <w:lang w:val="en-PH"/>
        </w:rPr>
        <w:lastRenderedPageBreak/>
        <w:t xml:space="preserve">support in managing </w:t>
      </w:r>
      <w:r>
        <w:rPr>
          <w:rFonts w:ascii="Arial" w:hAnsi="Arial"/>
          <w:lang w:val="en-PH"/>
        </w:rPr>
        <w:t>this anxiety, which required attention and support to enhance their confidence and effectiveness (Han, 2019).</w:t>
      </w:r>
    </w:p>
    <w:p w14:paraId="5254FC06" w14:textId="77777777" w:rsidR="004A39DF" w:rsidRDefault="00D9470C">
      <w:pPr>
        <w:ind w:firstLine="800"/>
        <w:jc w:val="both"/>
        <w:rPr>
          <w:rFonts w:ascii="Arial" w:hAnsi="Arial"/>
          <w:shd w:val="clear" w:color="auto" w:fill="FFFFFF"/>
          <w:lang w:val="en-PH"/>
        </w:rPr>
      </w:pPr>
      <w:r>
        <w:rPr>
          <w:rFonts w:ascii="Arial" w:hAnsi="Arial"/>
          <w:shd w:val="clear" w:color="auto" w:fill="FFFFFF"/>
          <w:lang w:val="en-PH"/>
        </w:rPr>
        <w:t xml:space="preserve">The results of the study </w:t>
      </w:r>
      <w:proofErr w:type="gramStart"/>
      <w:r>
        <w:rPr>
          <w:rFonts w:ascii="Arial" w:hAnsi="Arial"/>
          <w:shd w:val="clear" w:color="auto" w:fill="FFFFFF"/>
          <w:lang w:val="en-PH"/>
        </w:rPr>
        <w:t>was</w:t>
      </w:r>
      <w:proofErr w:type="gramEnd"/>
      <w:r>
        <w:rPr>
          <w:rFonts w:ascii="Arial" w:hAnsi="Arial"/>
          <w:shd w:val="clear" w:color="auto" w:fill="FFFFFF"/>
          <w:lang w:val="en-PH"/>
        </w:rPr>
        <w:t xml:space="preserve"> also confirmed by the study Gorospe (2022). He reveals that pre-service teachers often experience teaching anxiety du</w:t>
      </w:r>
      <w:r>
        <w:rPr>
          <w:rFonts w:ascii="Arial" w:hAnsi="Arial"/>
          <w:shd w:val="clear" w:color="auto" w:fill="FFFFFF"/>
          <w:lang w:val="en-PH"/>
        </w:rPr>
        <w:t>ring teaching practice, particularly related to unsuccessful lessons. He added that this anxiety can negatively impact their teaching efficacy and performance. Unsuccessful lesson delivery can sometimes cause a loss of confidence, reinforcing feelings of f</w:t>
      </w:r>
      <w:r>
        <w:rPr>
          <w:rFonts w:ascii="Arial" w:hAnsi="Arial"/>
          <w:shd w:val="clear" w:color="auto" w:fill="FFFFFF"/>
          <w:lang w:val="en-PH"/>
        </w:rPr>
        <w:t>ailure and perpetuating a cycle of anxiety (Li et al., 2023). Research by Bach and Hagenauer (2022) pointed out that pre-service teachers' anxiety is often linked to their perceived lack of control over classroom management and ability to differentiate ins</w:t>
      </w:r>
      <w:r>
        <w:rPr>
          <w:rFonts w:ascii="Arial" w:hAnsi="Arial"/>
          <w:shd w:val="clear" w:color="auto" w:fill="FFFFFF"/>
          <w:lang w:val="en-PH"/>
        </w:rPr>
        <w:t>truction for diverse learners effectively.</w:t>
      </w:r>
      <w:r>
        <w:rPr>
          <w:rFonts w:ascii="Arial" w:hAnsi="Arial" w:cs="Arial"/>
          <w:color w:val="FF0000"/>
          <w:shd w:val="clear" w:color="auto" w:fill="FFFFFF"/>
          <w:lang w:val="en-PH"/>
        </w:rPr>
        <w:t xml:space="preserve"> </w:t>
      </w:r>
      <w:r>
        <w:rPr>
          <w:rFonts w:ascii="Arial" w:eastAsia="SimSun" w:hAnsi="Arial" w:cs="Arial"/>
        </w:rPr>
        <w:t>However, the study by Sanjaya et al. (2024) does not fully support the findings of the current research. They argue that anxiety may hinder performance, it can also enhance problem-solving skills and facilitate le</w:t>
      </w:r>
      <w:r>
        <w:rPr>
          <w:rFonts w:ascii="Arial" w:eastAsia="SimSun" w:hAnsi="Arial" w:cs="Arial"/>
        </w:rPr>
        <w:t>arning in the classroom, suggesting that anxiety should not be viewed solely as a negative factor but rather as a potential motivator for growth and adaptability in pre-service teachers</w:t>
      </w:r>
      <w:r>
        <w:rPr>
          <w:rFonts w:ascii="Arial" w:hAnsi="Arial" w:cs="Arial"/>
          <w:color w:val="FF0000"/>
          <w:lang w:val="en-PH"/>
        </w:rPr>
        <w:t xml:space="preserve">. </w:t>
      </w:r>
      <w:r>
        <w:rPr>
          <w:rFonts w:ascii="Arial" w:hAnsi="Arial"/>
          <w:shd w:val="clear" w:color="auto" w:fill="FFFFFF"/>
          <w:lang w:val="en-PH"/>
        </w:rPr>
        <w:t xml:space="preserve">Therefore, it was recommended Boehme et al. (2021) </w:t>
      </w:r>
      <w:proofErr w:type="gramStart"/>
      <w:r>
        <w:rPr>
          <w:rFonts w:ascii="Arial" w:hAnsi="Arial"/>
          <w:shd w:val="clear" w:color="auto" w:fill="FFFFFF"/>
          <w:lang w:val="en-PH"/>
        </w:rPr>
        <w:t>that  adequate</w:t>
      </w:r>
      <w:proofErr w:type="gramEnd"/>
      <w:r>
        <w:rPr>
          <w:rFonts w:ascii="Arial" w:hAnsi="Arial"/>
          <w:shd w:val="clear" w:color="auto" w:fill="FFFFFF"/>
          <w:lang w:val="en-PH"/>
        </w:rPr>
        <w:t xml:space="preserve"> sup</w:t>
      </w:r>
      <w:r>
        <w:rPr>
          <w:rFonts w:ascii="Arial" w:hAnsi="Arial"/>
          <w:shd w:val="clear" w:color="auto" w:fill="FFFFFF"/>
          <w:lang w:val="en-PH"/>
        </w:rPr>
        <w:t>port, mentorship, and opportunities for practice are crucial for building pre-service teacher's confidence and performance to lessen the anxiety of the pre-service teachers.</w:t>
      </w:r>
    </w:p>
    <w:p w14:paraId="452F9915" w14:textId="77777777" w:rsidR="004A39DF" w:rsidRDefault="00D9470C">
      <w:pPr>
        <w:pStyle w:val="NormalWeb"/>
        <w:spacing w:beforeAutospacing="0" w:afterAutospacing="0"/>
        <w:ind w:firstLine="601"/>
        <w:jc w:val="both"/>
        <w:rPr>
          <w:rFonts w:ascii="Arial" w:hAnsi="Arial"/>
          <w:sz w:val="20"/>
          <w:szCs w:val="20"/>
          <w:lang w:val="en-PH"/>
        </w:rPr>
      </w:pPr>
      <w:r>
        <w:rPr>
          <w:rFonts w:ascii="Arial" w:hAnsi="Arial"/>
          <w:sz w:val="20"/>
          <w:szCs w:val="20"/>
          <w:lang w:val="en-PH"/>
        </w:rPr>
        <w:t xml:space="preserve">Pre-service teachers usually demonstrate confidence in positively impacting </w:t>
      </w:r>
      <w:r>
        <w:rPr>
          <w:rFonts w:ascii="Arial" w:hAnsi="Arial"/>
          <w:sz w:val="20"/>
          <w:szCs w:val="20"/>
          <w:lang w:val="en-PH"/>
        </w:rPr>
        <w:t>student learning. Therefore, they are more likely to approach teaching tasks optimistically and persistently. </w:t>
      </w:r>
      <w:r>
        <w:rPr>
          <w:rFonts w:ascii="Arial" w:hAnsi="Arial" w:cs="Arial"/>
          <w:bCs/>
          <w:iCs/>
          <w:sz w:val="20"/>
          <w:szCs w:val="20"/>
        </w:rPr>
        <w:t>The result of this study aligns with the study</w:t>
      </w:r>
      <w:r>
        <w:rPr>
          <w:rFonts w:ascii="Arial" w:hAnsi="Arial" w:cs="Arial"/>
          <w:bCs/>
          <w:iCs/>
          <w:sz w:val="20"/>
          <w:szCs w:val="20"/>
          <w:lang w:val="en-PH"/>
        </w:rPr>
        <w:t xml:space="preserve"> of </w:t>
      </w:r>
      <w:r>
        <w:rPr>
          <w:rFonts w:ascii="Arial" w:hAnsi="Arial"/>
          <w:sz w:val="20"/>
          <w:szCs w:val="20"/>
          <w:lang w:val="en-PH"/>
        </w:rPr>
        <w:t>Gorospe (2022)</w:t>
      </w:r>
      <w:r>
        <w:rPr>
          <w:rFonts w:ascii="Arial" w:hAnsi="Arial" w:cs="Arial"/>
          <w:bCs/>
          <w:iCs/>
          <w:sz w:val="20"/>
          <w:szCs w:val="20"/>
          <w:lang w:val="en-PH"/>
        </w:rPr>
        <w:t xml:space="preserve"> emphasizes that p</w:t>
      </w:r>
      <w:r>
        <w:rPr>
          <w:rFonts w:ascii="Arial" w:hAnsi="Arial"/>
          <w:sz w:val="20"/>
          <w:szCs w:val="20"/>
          <w:lang w:val="en-PH"/>
        </w:rPr>
        <w:t xml:space="preserve">re-service teachers with a high level of teaching self-efficacy </w:t>
      </w:r>
      <w:r>
        <w:rPr>
          <w:rFonts w:ascii="Arial" w:hAnsi="Arial"/>
          <w:sz w:val="20"/>
          <w:szCs w:val="20"/>
          <w:lang w:val="en-PH"/>
        </w:rPr>
        <w:t>are more resilient and likely to try harder to help all students reach their potential. Hendricks et al. (2024) also supported that good personal teaching efficacy and positive expectations for student outcomes, showing notably higher averages in both area</w:t>
      </w:r>
      <w:r>
        <w:rPr>
          <w:rFonts w:ascii="Arial" w:hAnsi="Arial"/>
          <w:sz w:val="20"/>
          <w:szCs w:val="20"/>
          <w:lang w:val="en-PH"/>
        </w:rPr>
        <w:t xml:space="preserve">s.  It was also found by </w:t>
      </w:r>
      <w:proofErr w:type="spellStart"/>
      <w:r>
        <w:rPr>
          <w:rFonts w:ascii="Arial" w:hAnsi="Arial"/>
          <w:sz w:val="20"/>
          <w:szCs w:val="20"/>
          <w:lang w:val="en-PH"/>
        </w:rPr>
        <w:t>Pitkäniemi</w:t>
      </w:r>
      <w:proofErr w:type="spellEnd"/>
      <w:r>
        <w:rPr>
          <w:rFonts w:ascii="Arial" w:hAnsi="Arial"/>
          <w:sz w:val="20"/>
          <w:szCs w:val="20"/>
          <w:lang w:val="en-PH"/>
        </w:rPr>
        <w:t xml:space="preserve"> and </w:t>
      </w:r>
      <w:proofErr w:type="spellStart"/>
      <w:r>
        <w:rPr>
          <w:rFonts w:ascii="Arial" w:hAnsi="Arial"/>
          <w:sz w:val="20"/>
          <w:szCs w:val="20"/>
          <w:lang w:val="en-PH"/>
        </w:rPr>
        <w:t>Martikainen</w:t>
      </w:r>
      <w:proofErr w:type="spellEnd"/>
      <w:r>
        <w:rPr>
          <w:rFonts w:ascii="Arial" w:hAnsi="Arial"/>
          <w:sz w:val="20"/>
          <w:szCs w:val="20"/>
          <w:lang w:val="en-PH"/>
        </w:rPr>
        <w:t xml:space="preserve"> (2022) that pre-service teachers generally have high personal teaching efficacy. Studies also show that pre-service teachers report high self-efficacy in classroom management, student engagement, and inst</w:t>
      </w:r>
      <w:r>
        <w:rPr>
          <w:rFonts w:ascii="Arial" w:hAnsi="Arial"/>
          <w:sz w:val="20"/>
          <w:szCs w:val="20"/>
          <w:lang w:val="en-PH"/>
        </w:rPr>
        <w:t>ructional strategies (Balci et al., 2019). Factors influencing self-efficacy include teaching experience, school environment feedback, and observing other teachers (</w:t>
      </w:r>
      <w:proofErr w:type="spellStart"/>
      <w:r>
        <w:rPr>
          <w:rFonts w:ascii="Arial" w:hAnsi="Arial"/>
          <w:sz w:val="20"/>
          <w:szCs w:val="20"/>
          <w:lang w:val="en-PH"/>
        </w:rPr>
        <w:t>Farhadiba</w:t>
      </w:r>
      <w:proofErr w:type="spellEnd"/>
      <w:r>
        <w:rPr>
          <w:rFonts w:ascii="Arial" w:hAnsi="Arial"/>
          <w:sz w:val="20"/>
          <w:szCs w:val="20"/>
          <w:lang w:val="en-PH"/>
        </w:rPr>
        <w:t xml:space="preserve"> &amp; </w:t>
      </w:r>
      <w:proofErr w:type="spellStart"/>
      <w:r>
        <w:rPr>
          <w:rFonts w:ascii="Arial" w:hAnsi="Arial"/>
          <w:sz w:val="20"/>
          <w:szCs w:val="20"/>
          <w:lang w:val="en-PH"/>
        </w:rPr>
        <w:t>Wulyani</w:t>
      </w:r>
      <w:proofErr w:type="spellEnd"/>
      <w:r>
        <w:rPr>
          <w:rFonts w:ascii="Arial" w:hAnsi="Arial"/>
          <w:sz w:val="20"/>
          <w:szCs w:val="20"/>
          <w:lang w:val="en-PH"/>
        </w:rPr>
        <w:t>, 2020). Self-efficacy and feelings of preparedness tend to increase dur</w:t>
      </w:r>
      <w:r>
        <w:rPr>
          <w:rFonts w:ascii="Arial" w:hAnsi="Arial"/>
          <w:sz w:val="20"/>
          <w:szCs w:val="20"/>
          <w:lang w:val="en-PH"/>
        </w:rPr>
        <w:t>ing a teaching internship (Brown et al., 2019).</w:t>
      </w:r>
    </w:p>
    <w:p w14:paraId="12D1612A" w14:textId="77777777" w:rsidR="004A39DF" w:rsidRDefault="00D9470C">
      <w:pPr>
        <w:pStyle w:val="NormalWeb"/>
        <w:spacing w:beforeAutospacing="0" w:afterAutospacing="0"/>
        <w:ind w:firstLine="601"/>
        <w:jc w:val="both"/>
        <w:rPr>
          <w:rFonts w:ascii="Arial" w:hAnsi="Arial"/>
          <w:sz w:val="20"/>
          <w:szCs w:val="20"/>
          <w:shd w:val="clear" w:color="auto" w:fill="FFFFFF"/>
          <w:lang w:val="en-PH"/>
        </w:rPr>
      </w:pPr>
      <w:r>
        <w:rPr>
          <w:rFonts w:ascii="Arial" w:hAnsi="Arial"/>
          <w:sz w:val="20"/>
          <w:szCs w:val="20"/>
          <w:shd w:val="clear" w:color="auto" w:fill="FFFFFF"/>
          <w:lang w:val="en-PH"/>
        </w:rPr>
        <w:t xml:space="preserve">However, </w:t>
      </w:r>
      <w:proofErr w:type="spellStart"/>
      <w:r>
        <w:rPr>
          <w:rFonts w:ascii="Arial" w:hAnsi="Arial"/>
          <w:sz w:val="20"/>
          <w:szCs w:val="20"/>
          <w:shd w:val="clear" w:color="auto" w:fill="FFFFFF"/>
          <w:lang w:val="en-PH"/>
        </w:rPr>
        <w:t>Aliazas</w:t>
      </w:r>
      <w:proofErr w:type="spellEnd"/>
      <w:r>
        <w:rPr>
          <w:rFonts w:ascii="Arial" w:hAnsi="Arial"/>
          <w:sz w:val="20"/>
          <w:szCs w:val="20"/>
          <w:shd w:val="clear" w:color="auto" w:fill="FFFFFF"/>
          <w:lang w:val="en-PH"/>
        </w:rPr>
        <w:t xml:space="preserve"> (2023) revealed that pre-service teachers have high general teaching efficacy but argued that they feel limited by external factors like home environment and student discipline. </w:t>
      </w:r>
      <w:proofErr w:type="spellStart"/>
      <w:r>
        <w:rPr>
          <w:rFonts w:ascii="Arial" w:hAnsi="Arial"/>
          <w:sz w:val="20"/>
          <w:szCs w:val="20"/>
          <w:shd w:val="clear" w:color="auto" w:fill="FFFFFF"/>
          <w:lang w:val="en-PH"/>
        </w:rPr>
        <w:t>Farhadiba</w:t>
      </w:r>
      <w:proofErr w:type="spellEnd"/>
      <w:r>
        <w:rPr>
          <w:rFonts w:ascii="Arial" w:hAnsi="Arial"/>
          <w:sz w:val="20"/>
          <w:szCs w:val="20"/>
          <w:shd w:val="clear" w:color="auto" w:fill="FFFFFF"/>
          <w:lang w:val="en-PH"/>
        </w:rPr>
        <w:t xml:space="preserve"> (2020) also supported the argument that even pre-service teachers have high efficacy in instructional strategies but lower student engagement, indicating they feel limited by external factors. Interestingly, Toe and </w:t>
      </w:r>
      <w:proofErr w:type="spellStart"/>
      <w:r>
        <w:rPr>
          <w:rFonts w:ascii="Arial" w:hAnsi="Arial"/>
          <w:sz w:val="20"/>
          <w:szCs w:val="20"/>
          <w:shd w:val="clear" w:color="auto" w:fill="FFFFFF"/>
          <w:lang w:val="en-PH"/>
        </w:rPr>
        <w:t>Longaretti</w:t>
      </w:r>
      <w:proofErr w:type="spellEnd"/>
      <w:r>
        <w:rPr>
          <w:rFonts w:ascii="Arial" w:hAnsi="Arial"/>
          <w:sz w:val="20"/>
          <w:szCs w:val="20"/>
          <w:shd w:val="clear" w:color="auto" w:fill="FFFFFF"/>
          <w:lang w:val="en-PH"/>
        </w:rPr>
        <w:t xml:space="preserve"> (2022) did not fully opposed</w:t>
      </w:r>
      <w:r>
        <w:rPr>
          <w:rFonts w:ascii="Arial" w:hAnsi="Arial"/>
          <w:sz w:val="20"/>
          <w:szCs w:val="20"/>
          <w:shd w:val="clear" w:color="auto" w:fill="FFFFFF"/>
          <w:lang w:val="en-PH"/>
        </w:rPr>
        <w:t xml:space="preserve"> the results of the study, he revealed that some performing pre-service teachers initially demonstrate lower self-efficacy in instructional strategies but develop higher confidence, suggesting the positive impact of mentoring.</w:t>
      </w:r>
    </w:p>
    <w:p w14:paraId="276FFBE8" w14:textId="77777777" w:rsidR="004A39DF" w:rsidRDefault="00D9470C">
      <w:pPr>
        <w:ind w:firstLine="600"/>
        <w:jc w:val="both"/>
        <w:rPr>
          <w:rFonts w:ascii="Arial" w:hAnsi="Arial"/>
          <w:shd w:val="clear" w:color="auto" w:fill="FFFFFF"/>
          <w:lang w:val="en-PH"/>
        </w:rPr>
      </w:pPr>
      <w:r>
        <w:rPr>
          <w:rFonts w:ascii="Arial" w:hAnsi="Arial"/>
          <w:lang w:val="en-PH"/>
        </w:rPr>
        <w:t>Pre-service teachers consiste</w:t>
      </w:r>
      <w:r>
        <w:rPr>
          <w:rFonts w:ascii="Arial" w:hAnsi="Arial"/>
          <w:lang w:val="en-PH"/>
        </w:rPr>
        <w:t xml:space="preserve">ntly demonstrated exceptional teaching skills during their teaching internship, showcasing their competence in delivering lessons effectively. It </w:t>
      </w:r>
      <w:r>
        <w:rPr>
          <w:rFonts w:ascii="Arial" w:hAnsi="Arial" w:cs="Arial"/>
        </w:rPr>
        <w:t>aligns with the study</w:t>
      </w:r>
      <w:r>
        <w:rPr>
          <w:rFonts w:ascii="Arial" w:hAnsi="Arial"/>
          <w:lang w:val="en-PH"/>
        </w:rPr>
        <w:t xml:space="preserve"> of </w:t>
      </w:r>
      <w:r>
        <w:rPr>
          <w:rFonts w:ascii="Arial" w:hAnsi="Arial"/>
          <w:shd w:val="clear" w:color="auto" w:fill="FFFFFF"/>
          <w:lang w:val="en-PH"/>
        </w:rPr>
        <w:t>Matsko et al. (2020) supporting that pre-service teachers feel more equipped to teach</w:t>
      </w:r>
      <w:r>
        <w:rPr>
          <w:rFonts w:ascii="Arial" w:hAnsi="Arial"/>
          <w:shd w:val="clear" w:color="auto" w:fill="FFFFFF"/>
          <w:lang w:val="en-PH"/>
        </w:rPr>
        <w:t xml:space="preserve"> when their cooperating teachers model successful teaching and mentor them by offering more instructional support, consistent and appropriate input, and a blend of independence and motivation. Research also indicates that strong teacher support significant</w:t>
      </w:r>
      <w:r>
        <w:rPr>
          <w:rFonts w:ascii="Arial" w:hAnsi="Arial"/>
          <w:shd w:val="clear" w:color="auto" w:fill="FFFFFF"/>
          <w:lang w:val="en-PH"/>
        </w:rPr>
        <w:t xml:space="preserve">ly enhances pre-service teachers' professional growth and confidence (Dunst et al., 2020). </w:t>
      </w:r>
      <w:proofErr w:type="spellStart"/>
      <w:r>
        <w:rPr>
          <w:rFonts w:ascii="Arial" w:hAnsi="Arial"/>
          <w:shd w:val="clear" w:color="auto" w:fill="FFFFFF"/>
          <w:lang w:val="en-PH"/>
        </w:rPr>
        <w:t>Robiños</w:t>
      </w:r>
      <w:proofErr w:type="spellEnd"/>
      <w:r>
        <w:rPr>
          <w:rFonts w:ascii="Arial" w:hAnsi="Arial"/>
          <w:shd w:val="clear" w:color="auto" w:fill="FFFFFF"/>
          <w:lang w:val="en-PH"/>
        </w:rPr>
        <w:t xml:space="preserve"> et al. (2024) found that field-based experiences positively impacted the professional development of pre-service teachers. Keese et al. (2021) highlighted th</w:t>
      </w:r>
      <w:r>
        <w:rPr>
          <w:rFonts w:ascii="Arial" w:hAnsi="Arial"/>
          <w:shd w:val="clear" w:color="auto" w:fill="FFFFFF"/>
          <w:lang w:val="en-PH"/>
        </w:rPr>
        <w:t xml:space="preserve">at while pre-service teachers felt confident, their confidence increased during their internships, emphasizing the importance of teachers' support. </w:t>
      </w:r>
    </w:p>
    <w:p w14:paraId="1F33546F" w14:textId="77777777" w:rsidR="004A39DF" w:rsidRDefault="00D9470C">
      <w:pPr>
        <w:ind w:firstLine="720"/>
        <w:jc w:val="both"/>
        <w:rPr>
          <w:rFonts w:ascii="Arial" w:eastAsia="Segoe UI" w:hAnsi="Arial" w:cs="Arial"/>
          <w:shd w:val="clear" w:color="auto" w:fill="FFFFFF"/>
          <w:lang w:val="en-PH"/>
        </w:rPr>
      </w:pPr>
      <w:r>
        <w:rPr>
          <w:rFonts w:ascii="Arial" w:hAnsi="Arial"/>
          <w:shd w:val="clear" w:color="auto" w:fill="FFFFFF"/>
          <w:lang w:val="en-PH"/>
        </w:rPr>
        <w:t xml:space="preserve">However, </w:t>
      </w:r>
      <w:proofErr w:type="spellStart"/>
      <w:r>
        <w:rPr>
          <w:rFonts w:ascii="Arial" w:hAnsi="Arial"/>
          <w:shd w:val="clear" w:color="auto" w:fill="FFFFFF"/>
          <w:lang w:val="en-PH"/>
        </w:rPr>
        <w:t>Frouda</w:t>
      </w:r>
      <w:proofErr w:type="spellEnd"/>
      <w:r>
        <w:rPr>
          <w:rFonts w:ascii="Arial" w:hAnsi="Arial"/>
          <w:shd w:val="clear" w:color="auto" w:fill="FFFFFF"/>
          <w:lang w:val="en-PH"/>
        </w:rPr>
        <w:t xml:space="preserve"> et al. (2022) argues that over-reliance on coope</w:t>
      </w:r>
      <w:r>
        <w:rPr>
          <w:rFonts w:ascii="Arial" w:hAnsi="Arial" w:cs="Arial"/>
          <w:shd w:val="clear" w:color="auto" w:fill="FFFFFF"/>
          <w:lang w:val="en-PH"/>
        </w:rPr>
        <w:t>rating teachers may hinder development of i</w:t>
      </w:r>
      <w:r>
        <w:rPr>
          <w:rFonts w:ascii="Arial" w:hAnsi="Arial" w:cs="Arial"/>
          <w:shd w:val="clear" w:color="auto" w:fill="FFFFFF"/>
          <w:lang w:val="en-PH"/>
        </w:rPr>
        <w:t xml:space="preserve">ndependence and </w:t>
      </w:r>
      <w:proofErr w:type="gramStart"/>
      <w:r>
        <w:rPr>
          <w:rFonts w:ascii="Arial" w:hAnsi="Arial" w:cs="Arial"/>
          <w:shd w:val="clear" w:color="auto" w:fill="FFFFFF"/>
          <w:lang w:val="en-PH"/>
        </w:rPr>
        <w:t>problem solving</w:t>
      </w:r>
      <w:proofErr w:type="gramEnd"/>
      <w:r>
        <w:rPr>
          <w:rFonts w:ascii="Arial" w:hAnsi="Arial" w:cs="Arial"/>
          <w:shd w:val="clear" w:color="auto" w:fill="FFFFFF"/>
          <w:lang w:val="en-PH"/>
        </w:rPr>
        <w:t xml:space="preserve"> skills of pre-service teachers during teaching internship. The argument was further supported by </w:t>
      </w:r>
      <w:r>
        <w:rPr>
          <w:rFonts w:ascii="Arial" w:eastAsia="Segoe UI" w:hAnsi="Arial" w:cs="Arial"/>
          <w:shd w:val="clear" w:color="auto" w:fill="FFFFFF"/>
        </w:rPr>
        <w:t xml:space="preserve">Karsli </w:t>
      </w:r>
      <w:r>
        <w:rPr>
          <w:rFonts w:ascii="Arial" w:eastAsia="Segoe UI" w:hAnsi="Arial" w:cs="Arial"/>
          <w:shd w:val="clear" w:color="auto" w:fill="FFFFFF"/>
          <w:lang w:val="en-PH"/>
        </w:rPr>
        <w:t>and</w:t>
      </w:r>
      <w:r>
        <w:rPr>
          <w:rFonts w:ascii="Arial" w:eastAsia="Segoe UI" w:hAnsi="Arial" w:cs="Arial"/>
          <w:shd w:val="clear" w:color="auto" w:fill="FFFFFF"/>
        </w:rPr>
        <w:t xml:space="preserve"> Yağız, </w:t>
      </w:r>
      <w:r>
        <w:rPr>
          <w:rFonts w:ascii="Arial" w:eastAsia="Segoe UI" w:hAnsi="Arial" w:cs="Arial"/>
          <w:shd w:val="clear" w:color="auto" w:fill="FFFFFF"/>
          <w:lang w:val="en-PH"/>
        </w:rPr>
        <w:t>(</w:t>
      </w:r>
      <w:r>
        <w:rPr>
          <w:rFonts w:ascii="Arial" w:eastAsia="Segoe UI" w:hAnsi="Arial" w:cs="Arial"/>
          <w:shd w:val="clear" w:color="auto" w:fill="FFFFFF"/>
        </w:rPr>
        <w:t>2022)</w:t>
      </w:r>
      <w:r>
        <w:rPr>
          <w:rFonts w:ascii="Arial" w:eastAsia="Segoe UI" w:hAnsi="Arial" w:cs="Arial"/>
          <w:shd w:val="clear" w:color="auto" w:fill="FFFFFF"/>
          <w:lang w:val="en-PH"/>
        </w:rPr>
        <w:t xml:space="preserve"> that </w:t>
      </w:r>
      <w:r>
        <w:rPr>
          <w:rFonts w:ascii="Arial" w:eastAsia="Segoe UI" w:hAnsi="Arial" w:cs="Arial"/>
          <w:shd w:val="clear" w:color="auto" w:fill="FFFFFF"/>
        </w:rPr>
        <w:t xml:space="preserve">challenges exist, including inadequate mentorship, organizational issues, and limited </w:t>
      </w:r>
      <w:r>
        <w:rPr>
          <w:rFonts w:ascii="Arial" w:eastAsia="Segoe UI" w:hAnsi="Arial" w:cs="Arial"/>
          <w:shd w:val="clear" w:color="auto" w:fill="FFFFFF"/>
        </w:rPr>
        <w:lastRenderedPageBreak/>
        <w:t>teaching fr</w:t>
      </w:r>
      <w:r>
        <w:rPr>
          <w:rFonts w:ascii="Arial" w:eastAsia="Segoe UI" w:hAnsi="Arial" w:cs="Arial"/>
          <w:shd w:val="clear" w:color="auto" w:fill="FFFFFF"/>
        </w:rPr>
        <w:t>eedom</w:t>
      </w:r>
      <w:r>
        <w:rPr>
          <w:rFonts w:ascii="Arial" w:eastAsia="Segoe UI" w:hAnsi="Arial" w:cs="Arial"/>
          <w:shd w:val="clear" w:color="auto" w:fill="FFFFFF"/>
          <w:lang w:val="en-PH"/>
        </w:rPr>
        <w:t>. Therefore, t</w:t>
      </w:r>
      <w:r>
        <w:rPr>
          <w:rFonts w:ascii="Arial" w:eastAsia="Segoe UI" w:hAnsi="Arial" w:cs="Arial"/>
          <w:shd w:val="clear" w:color="auto" w:fill="FFFFFF"/>
        </w:rPr>
        <w:t>o maintain a balance in teacher support, internship programs should address these challenges while providing adequate guidance, aligning coursework with practical experiences, and fostering collaboration between universities and schools</w:t>
      </w:r>
      <w:r>
        <w:rPr>
          <w:rFonts w:ascii="Arial" w:eastAsia="Segoe UI" w:hAnsi="Arial" w:cs="Arial"/>
          <w:shd w:val="clear" w:color="auto" w:fill="FFFFFF"/>
          <w:lang w:val="en-PH"/>
        </w:rPr>
        <w:t xml:space="preserve"> </w:t>
      </w:r>
      <w:r>
        <w:rPr>
          <w:rFonts w:ascii="Arial" w:eastAsia="Segoe UI" w:hAnsi="Arial" w:cs="Arial"/>
          <w:shd w:val="clear" w:color="auto" w:fill="FFFFFF"/>
          <w:lang w:val="en-PH"/>
        </w:rPr>
        <w:t>(</w:t>
      </w:r>
      <w:proofErr w:type="spellStart"/>
      <w:r>
        <w:rPr>
          <w:rFonts w:ascii="Arial" w:eastAsia="Segoe UI" w:hAnsi="Arial" w:cs="Arial"/>
          <w:shd w:val="clear" w:color="auto" w:fill="FFFFFF"/>
          <w:lang w:val="en-PH"/>
        </w:rPr>
        <w:t>Niyibizi</w:t>
      </w:r>
      <w:proofErr w:type="spellEnd"/>
      <w:r>
        <w:rPr>
          <w:rFonts w:ascii="Arial" w:eastAsia="Segoe UI" w:hAnsi="Arial" w:cs="Arial"/>
          <w:shd w:val="clear" w:color="auto" w:fill="FFFFFF"/>
          <w:lang w:val="en-PH"/>
        </w:rPr>
        <w:t xml:space="preserve"> et al., 2021).</w:t>
      </w:r>
    </w:p>
    <w:p w14:paraId="4B14E0EF" w14:textId="77777777" w:rsidR="004A39DF" w:rsidRDefault="00D9470C">
      <w:pPr>
        <w:ind w:firstLine="720"/>
        <w:jc w:val="both"/>
        <w:rPr>
          <w:rFonts w:ascii="Arial" w:hAnsi="Arial"/>
          <w:shd w:val="clear" w:color="auto" w:fill="FFFFFF"/>
          <w:lang w:val="en-PH"/>
        </w:rPr>
      </w:pPr>
      <w:r>
        <w:rPr>
          <w:rFonts w:ascii="Arial" w:hAnsi="Arial"/>
          <w:shd w:val="clear" w:color="auto" w:fill="FFFFFF"/>
          <w:lang w:val="en-PH"/>
        </w:rPr>
        <w:t xml:space="preserve">Pre-service teachers </w:t>
      </w:r>
      <w:r>
        <w:rPr>
          <w:rFonts w:ascii="Arial" w:hAnsi="Arial"/>
          <w:lang w:val="en-PH"/>
        </w:rPr>
        <w:t>demonstrated exceptional teaching skills during their teaching internship, showcasing their competence in delivering lessons effectively.</w:t>
      </w:r>
      <w:r>
        <w:rPr>
          <w:rFonts w:ascii="Arial" w:hAnsi="Arial"/>
          <w:shd w:val="clear" w:color="auto" w:fill="FFFFFF"/>
          <w:lang w:val="en-PH"/>
        </w:rPr>
        <w:t xml:space="preserve"> </w:t>
      </w:r>
      <w:r>
        <w:rPr>
          <w:rFonts w:ascii="Arial" w:hAnsi="Arial" w:cs="Arial"/>
        </w:rPr>
        <w:t xml:space="preserve">The result of this study aligns </w:t>
      </w:r>
      <w:proofErr w:type="gramStart"/>
      <w:r>
        <w:rPr>
          <w:rFonts w:ascii="Arial" w:hAnsi="Arial" w:cs="Arial"/>
        </w:rPr>
        <w:t xml:space="preserve">with </w:t>
      </w:r>
      <w:r>
        <w:rPr>
          <w:rFonts w:ascii="Arial" w:hAnsi="Arial" w:cs="Arial"/>
          <w:lang w:val="en-PH"/>
        </w:rPr>
        <w:t xml:space="preserve"> </w:t>
      </w:r>
      <w:proofErr w:type="spellStart"/>
      <w:r>
        <w:rPr>
          <w:rFonts w:ascii="Arial" w:hAnsi="Arial"/>
          <w:shd w:val="clear" w:color="auto" w:fill="FFFFFF"/>
          <w:lang w:val="en-PH"/>
        </w:rPr>
        <w:t>Batugal</w:t>
      </w:r>
      <w:proofErr w:type="spellEnd"/>
      <w:proofErr w:type="gramEnd"/>
      <w:r>
        <w:rPr>
          <w:rFonts w:ascii="Arial" w:hAnsi="Arial"/>
          <w:shd w:val="clear" w:color="auto" w:fill="FFFFFF"/>
          <w:lang w:val="en-PH"/>
        </w:rPr>
        <w:t xml:space="preserve"> (2020) and </w:t>
      </w:r>
      <w:proofErr w:type="spellStart"/>
      <w:r>
        <w:rPr>
          <w:rFonts w:ascii="Arial" w:hAnsi="Arial"/>
          <w:shd w:val="clear" w:color="auto" w:fill="FFFFFF"/>
          <w:lang w:val="en-PH"/>
        </w:rPr>
        <w:t>Magno</w:t>
      </w:r>
      <w:proofErr w:type="spellEnd"/>
      <w:r>
        <w:rPr>
          <w:rFonts w:ascii="Arial" w:hAnsi="Arial"/>
          <w:shd w:val="clear" w:color="auto" w:fill="FFFFFF"/>
          <w:lang w:val="en-PH"/>
        </w:rPr>
        <w:t xml:space="preserve"> (2019) re</w:t>
      </w:r>
      <w:r>
        <w:rPr>
          <w:rFonts w:ascii="Arial" w:hAnsi="Arial"/>
          <w:shd w:val="clear" w:color="auto" w:fill="FFFFFF"/>
          <w:lang w:val="en-PH"/>
        </w:rPr>
        <w:t xml:space="preserve">vealing that ratings of pre-service teachers during teaching internship ranging from very good to excellent. </w:t>
      </w:r>
      <w:proofErr w:type="spellStart"/>
      <w:r>
        <w:rPr>
          <w:rFonts w:ascii="Arial" w:hAnsi="Arial"/>
          <w:shd w:val="clear" w:color="auto" w:fill="FFFFFF"/>
          <w:lang w:val="en-PH"/>
        </w:rPr>
        <w:t>Afalla</w:t>
      </w:r>
      <w:proofErr w:type="spellEnd"/>
      <w:r>
        <w:rPr>
          <w:rFonts w:ascii="Arial" w:hAnsi="Arial"/>
          <w:shd w:val="clear" w:color="auto" w:fill="FFFFFF"/>
          <w:lang w:val="en-PH"/>
        </w:rPr>
        <w:t xml:space="preserve"> and </w:t>
      </w:r>
      <w:proofErr w:type="spellStart"/>
      <w:r>
        <w:rPr>
          <w:rFonts w:ascii="Arial" w:hAnsi="Arial"/>
          <w:shd w:val="clear" w:color="auto" w:fill="FFFFFF"/>
          <w:lang w:val="en-PH"/>
        </w:rPr>
        <w:t>Fabelico</w:t>
      </w:r>
      <w:proofErr w:type="spellEnd"/>
      <w:r>
        <w:rPr>
          <w:rFonts w:ascii="Arial" w:hAnsi="Arial"/>
          <w:shd w:val="clear" w:color="auto" w:fill="FFFFFF"/>
          <w:lang w:val="en-PH"/>
        </w:rPr>
        <w:t xml:space="preserve"> (2020) found that pre-service teachers regularly exhibited a very high level of pedagogical competence, which correlated positi</w:t>
      </w:r>
      <w:r>
        <w:rPr>
          <w:rFonts w:ascii="Arial" w:hAnsi="Arial"/>
          <w:shd w:val="clear" w:color="auto" w:fill="FFFFFF"/>
          <w:lang w:val="en-PH"/>
        </w:rPr>
        <w:t xml:space="preserve">vely with teaching efficiency. Nevertheless, it was argued by Kim et al. (2023) that positive evaluations of pre-service teachers may overlook areas needing improvement, as pre-service teachers show high </w:t>
      </w:r>
      <w:proofErr w:type="gramStart"/>
      <w:r>
        <w:rPr>
          <w:rFonts w:ascii="Arial" w:hAnsi="Arial"/>
          <w:shd w:val="clear" w:color="auto" w:fill="FFFFFF"/>
          <w:lang w:val="en-PH"/>
        </w:rPr>
        <w:t>knowledge  but</w:t>
      </w:r>
      <w:proofErr w:type="gramEnd"/>
      <w:r>
        <w:rPr>
          <w:rFonts w:ascii="Arial" w:hAnsi="Arial"/>
          <w:shd w:val="clear" w:color="auto" w:fill="FFFFFF"/>
          <w:lang w:val="en-PH"/>
        </w:rPr>
        <w:t xml:space="preserve"> low methodological knowledge, suggest</w:t>
      </w:r>
      <w:r>
        <w:rPr>
          <w:rFonts w:ascii="Arial" w:hAnsi="Arial"/>
          <w:shd w:val="clear" w:color="auto" w:fill="FFFFFF"/>
          <w:lang w:val="en-PH"/>
        </w:rPr>
        <w:t>ing a need of harmonizing theory and practice in pre-service teacher education.</w:t>
      </w:r>
    </w:p>
    <w:p w14:paraId="3914C431" w14:textId="77777777" w:rsidR="004A39DF" w:rsidRDefault="004A39DF">
      <w:pPr>
        <w:jc w:val="both"/>
        <w:rPr>
          <w:rFonts w:ascii="Arial" w:hAnsi="Arial"/>
          <w:sz w:val="24"/>
          <w:szCs w:val="24"/>
          <w:lang w:val="en-PH"/>
        </w:rPr>
      </w:pPr>
    </w:p>
    <w:p w14:paraId="7825D957" w14:textId="77777777" w:rsidR="004A39DF" w:rsidRDefault="00D9470C">
      <w:pPr>
        <w:jc w:val="center"/>
        <w:rPr>
          <w:rFonts w:ascii="Arial" w:hAnsi="Arial" w:cs="Arial"/>
          <w:b/>
          <w:bCs/>
          <w:lang w:val="en-PH" w:bidi="ar"/>
        </w:rPr>
      </w:pPr>
      <w:r>
        <w:rPr>
          <w:rFonts w:ascii="Arial" w:hAnsi="Arial"/>
          <w:b/>
          <w:bCs/>
          <w:lang w:val="en-PH"/>
        </w:rPr>
        <w:t>Table 1. L</w:t>
      </w:r>
      <w:r>
        <w:rPr>
          <w:rFonts w:ascii="Arial" w:hAnsi="Arial" w:cs="Arial"/>
          <w:b/>
          <w:bCs/>
          <w:lang w:val="en-PH" w:bidi="ar"/>
        </w:rPr>
        <w:t>evels of teaching anxiety, teaching self-efficacy, teacher support, and teaching demonstration performance of pre-service teachers</w:t>
      </w:r>
    </w:p>
    <w:p w14:paraId="6CF85648" w14:textId="77777777" w:rsidR="004A39DF" w:rsidRDefault="004A39DF">
      <w:pPr>
        <w:jc w:val="both"/>
        <w:rPr>
          <w:rFonts w:ascii="Arial" w:hAnsi="Arial" w:cs="Arial"/>
          <w:b/>
          <w:bCs/>
          <w:sz w:val="24"/>
          <w:szCs w:val="24"/>
          <w:lang w:val="en-PH" w:bidi="ar"/>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182"/>
        <w:gridCol w:w="733"/>
        <w:gridCol w:w="1203"/>
        <w:gridCol w:w="1707"/>
      </w:tblGrid>
      <w:tr w:rsidR="004A39DF" w14:paraId="61E4CAF3" w14:textId="77777777">
        <w:tc>
          <w:tcPr>
            <w:tcW w:w="4182" w:type="dxa"/>
            <w:tcBorders>
              <w:bottom w:val="single" w:sz="4" w:space="0" w:color="auto"/>
            </w:tcBorders>
          </w:tcPr>
          <w:p w14:paraId="224A21A1" w14:textId="77777777" w:rsidR="004A39DF" w:rsidRDefault="00D9470C">
            <w:pPr>
              <w:pStyle w:val="NoSpacing"/>
              <w:widowControl w:val="0"/>
              <w:jc w:val="center"/>
              <w:rPr>
                <w:rFonts w:ascii="Tahoma" w:hAnsi="Tahoma" w:cs="Tahoma"/>
                <w:b/>
                <w:bCs/>
                <w:sz w:val="20"/>
                <w:szCs w:val="20"/>
                <w:lang w:eastAsia="en-PH"/>
              </w:rPr>
            </w:pPr>
            <w:r>
              <w:rPr>
                <w:rFonts w:ascii="Tahoma" w:hAnsi="Tahoma" w:cs="Tahoma"/>
                <w:b/>
                <w:bCs/>
                <w:sz w:val="20"/>
                <w:szCs w:val="20"/>
                <w:lang w:eastAsia="en-PH"/>
              </w:rPr>
              <w:t>Variables</w:t>
            </w:r>
          </w:p>
        </w:tc>
        <w:tc>
          <w:tcPr>
            <w:tcW w:w="733" w:type="dxa"/>
            <w:tcBorders>
              <w:bottom w:val="single" w:sz="4" w:space="0" w:color="auto"/>
            </w:tcBorders>
          </w:tcPr>
          <w:p w14:paraId="45A5192D" w14:textId="77777777" w:rsidR="004A39DF" w:rsidRDefault="00D9470C">
            <w:pPr>
              <w:pStyle w:val="NoSpacing"/>
              <w:widowControl w:val="0"/>
              <w:jc w:val="center"/>
              <w:rPr>
                <w:rFonts w:ascii="Tahoma" w:hAnsi="Tahoma" w:cs="Tahoma"/>
                <w:b/>
                <w:bCs/>
                <w:sz w:val="20"/>
                <w:szCs w:val="20"/>
                <w:lang w:eastAsia="en-PH"/>
              </w:rPr>
            </w:pPr>
            <w:r>
              <w:rPr>
                <w:rFonts w:ascii="Tahoma" w:hAnsi="Tahoma" w:cs="Tahoma"/>
                <w:b/>
                <w:bCs/>
                <w:sz w:val="20"/>
                <w:szCs w:val="20"/>
                <w:lang w:eastAsia="en-PH"/>
              </w:rPr>
              <w:t>SD</w:t>
            </w:r>
          </w:p>
        </w:tc>
        <w:tc>
          <w:tcPr>
            <w:tcW w:w="1203" w:type="dxa"/>
            <w:tcBorders>
              <w:bottom w:val="single" w:sz="4" w:space="0" w:color="auto"/>
            </w:tcBorders>
          </w:tcPr>
          <w:p w14:paraId="3D9C19EE" w14:textId="77777777" w:rsidR="004A39DF" w:rsidRDefault="00D9470C">
            <w:pPr>
              <w:pStyle w:val="NoSpacing"/>
              <w:widowControl w:val="0"/>
              <w:jc w:val="center"/>
              <w:rPr>
                <w:rFonts w:ascii="Tahoma" w:hAnsi="Tahoma" w:cs="Tahoma"/>
                <w:b/>
                <w:bCs/>
                <w:sz w:val="20"/>
                <w:szCs w:val="20"/>
                <w:lang w:eastAsia="en-PH"/>
              </w:rPr>
            </w:pPr>
            <w:r>
              <w:rPr>
                <w:rFonts w:ascii="Tahoma" w:hAnsi="Tahoma" w:cs="Tahoma"/>
                <w:b/>
                <w:bCs/>
                <w:sz w:val="20"/>
                <w:szCs w:val="20"/>
                <w:lang w:eastAsia="en-PH"/>
              </w:rPr>
              <w:t>Mean</w:t>
            </w:r>
          </w:p>
        </w:tc>
        <w:tc>
          <w:tcPr>
            <w:tcW w:w="1707" w:type="dxa"/>
            <w:tcBorders>
              <w:bottom w:val="single" w:sz="4" w:space="0" w:color="auto"/>
            </w:tcBorders>
          </w:tcPr>
          <w:p w14:paraId="504E06D1" w14:textId="77777777" w:rsidR="004A39DF" w:rsidRDefault="00D9470C">
            <w:pPr>
              <w:pStyle w:val="NoSpacing"/>
              <w:widowControl w:val="0"/>
              <w:jc w:val="both"/>
              <w:rPr>
                <w:rFonts w:ascii="Tahoma" w:hAnsi="Tahoma" w:cs="Tahoma"/>
                <w:b/>
                <w:bCs/>
                <w:sz w:val="20"/>
                <w:szCs w:val="20"/>
                <w:lang w:eastAsia="en-PH"/>
              </w:rPr>
            </w:pPr>
            <w:r>
              <w:rPr>
                <w:rFonts w:ascii="Tahoma" w:hAnsi="Tahoma" w:cs="Tahoma"/>
                <w:b/>
                <w:bCs/>
                <w:sz w:val="20"/>
                <w:szCs w:val="20"/>
                <w:lang w:eastAsia="en-PH"/>
              </w:rPr>
              <w:t>Description</w:t>
            </w:r>
          </w:p>
        </w:tc>
      </w:tr>
      <w:tr w:rsidR="004A39DF" w14:paraId="221024D4" w14:textId="77777777">
        <w:tc>
          <w:tcPr>
            <w:tcW w:w="4182" w:type="dxa"/>
            <w:tcBorders>
              <w:top w:val="single" w:sz="4" w:space="0" w:color="auto"/>
            </w:tcBorders>
          </w:tcPr>
          <w:p w14:paraId="3B6B1B8C" w14:textId="77777777" w:rsidR="004A39DF" w:rsidRDefault="00D9470C">
            <w:pPr>
              <w:pStyle w:val="NoSpacing"/>
              <w:widowControl w:val="0"/>
              <w:rPr>
                <w:rFonts w:ascii="Tahoma" w:hAnsi="Tahoma" w:cs="Tahoma"/>
                <w:b/>
                <w:bCs/>
                <w:sz w:val="20"/>
                <w:szCs w:val="20"/>
                <w:lang w:eastAsia="en-PH"/>
              </w:rPr>
            </w:pPr>
            <w:r>
              <w:rPr>
                <w:rFonts w:ascii="Tahoma" w:hAnsi="Tahoma" w:cs="Tahoma"/>
                <w:b/>
                <w:bCs/>
                <w:sz w:val="20"/>
                <w:szCs w:val="20"/>
                <w:lang w:eastAsia="en-PH"/>
              </w:rPr>
              <w:t xml:space="preserve">Teaching Anxiety </w:t>
            </w:r>
            <w:r>
              <w:rPr>
                <w:rFonts w:ascii="Tahoma" w:hAnsi="Tahoma" w:cs="Tahoma"/>
                <w:b/>
                <w:bCs/>
                <w:sz w:val="20"/>
                <w:szCs w:val="20"/>
                <w:lang w:val="en-PH" w:eastAsia="en-PH"/>
              </w:rPr>
              <w:t>of Pre-Service Teachers</w:t>
            </w:r>
          </w:p>
        </w:tc>
        <w:tc>
          <w:tcPr>
            <w:tcW w:w="733" w:type="dxa"/>
            <w:tcBorders>
              <w:top w:val="single" w:sz="4" w:space="0" w:color="auto"/>
            </w:tcBorders>
          </w:tcPr>
          <w:p w14:paraId="3D900952" w14:textId="77777777" w:rsidR="004A39DF" w:rsidRDefault="00D9470C">
            <w:pPr>
              <w:pStyle w:val="NoSpacing"/>
              <w:widowControl w:val="0"/>
              <w:jc w:val="center"/>
              <w:rPr>
                <w:rFonts w:ascii="Tahoma" w:hAnsi="Tahoma" w:cs="Tahoma"/>
                <w:b/>
                <w:bCs/>
                <w:sz w:val="20"/>
                <w:szCs w:val="20"/>
                <w:lang w:eastAsia="en-PH"/>
              </w:rPr>
            </w:pPr>
            <w:r>
              <w:rPr>
                <w:rFonts w:ascii="Tahoma" w:hAnsi="Tahoma" w:cs="Tahoma"/>
                <w:b/>
                <w:bCs/>
                <w:sz w:val="20"/>
                <w:szCs w:val="20"/>
                <w:lang w:eastAsia="en-PH"/>
              </w:rPr>
              <w:t>0.84</w:t>
            </w:r>
          </w:p>
        </w:tc>
        <w:tc>
          <w:tcPr>
            <w:tcW w:w="1203" w:type="dxa"/>
            <w:tcBorders>
              <w:top w:val="single" w:sz="4" w:space="0" w:color="auto"/>
            </w:tcBorders>
          </w:tcPr>
          <w:p w14:paraId="154B010E" w14:textId="77777777" w:rsidR="004A39DF" w:rsidRDefault="00D9470C">
            <w:pPr>
              <w:pStyle w:val="NoSpacing"/>
              <w:widowControl w:val="0"/>
              <w:jc w:val="center"/>
              <w:rPr>
                <w:rFonts w:ascii="Tahoma" w:hAnsi="Tahoma" w:cs="Tahoma"/>
                <w:b/>
                <w:bCs/>
                <w:sz w:val="20"/>
                <w:szCs w:val="20"/>
                <w:lang w:eastAsia="en-PH"/>
              </w:rPr>
            </w:pPr>
            <w:r>
              <w:rPr>
                <w:rFonts w:ascii="Tahoma" w:hAnsi="Tahoma" w:cs="Tahoma"/>
                <w:b/>
                <w:bCs/>
                <w:sz w:val="20"/>
                <w:szCs w:val="20"/>
                <w:lang w:eastAsia="en-PH"/>
              </w:rPr>
              <w:t>3.25</w:t>
            </w:r>
          </w:p>
        </w:tc>
        <w:tc>
          <w:tcPr>
            <w:tcW w:w="1707" w:type="dxa"/>
            <w:tcBorders>
              <w:top w:val="single" w:sz="4" w:space="0" w:color="auto"/>
            </w:tcBorders>
          </w:tcPr>
          <w:p w14:paraId="521CAF2A" w14:textId="77777777" w:rsidR="004A39DF" w:rsidRDefault="00D9470C">
            <w:pPr>
              <w:pStyle w:val="NoSpacing"/>
              <w:widowControl w:val="0"/>
              <w:rPr>
                <w:rFonts w:ascii="Tahoma" w:hAnsi="Tahoma" w:cs="Tahoma"/>
                <w:sz w:val="20"/>
                <w:szCs w:val="20"/>
                <w:lang w:eastAsia="en-PH"/>
              </w:rPr>
            </w:pPr>
            <w:r>
              <w:rPr>
                <w:rFonts w:ascii="Tahoma" w:hAnsi="Tahoma" w:cs="Tahoma"/>
                <w:b/>
                <w:bCs/>
                <w:sz w:val="20"/>
                <w:szCs w:val="20"/>
                <w:lang w:eastAsia="en-PH"/>
              </w:rPr>
              <w:t>Moderate</w:t>
            </w:r>
          </w:p>
        </w:tc>
      </w:tr>
      <w:tr w:rsidR="004A39DF" w14:paraId="727ABDF4" w14:textId="77777777">
        <w:tc>
          <w:tcPr>
            <w:tcW w:w="4182" w:type="dxa"/>
          </w:tcPr>
          <w:p w14:paraId="10975E6C" w14:textId="77777777" w:rsidR="004A39DF" w:rsidRDefault="00D9470C">
            <w:pPr>
              <w:pStyle w:val="NoSpacing"/>
              <w:widowControl w:val="0"/>
              <w:jc w:val="both"/>
              <w:rPr>
                <w:rFonts w:ascii="Tahoma" w:hAnsi="Tahoma" w:cs="Tahoma"/>
                <w:sz w:val="20"/>
                <w:szCs w:val="20"/>
                <w:lang w:eastAsia="en-PH"/>
              </w:rPr>
            </w:pPr>
            <w:r>
              <w:rPr>
                <w:rFonts w:ascii="Tahoma" w:hAnsi="Tahoma" w:cs="Tahoma"/>
                <w:sz w:val="20"/>
                <w:szCs w:val="20"/>
                <w:lang w:eastAsia="en-PH"/>
              </w:rPr>
              <w:t xml:space="preserve">     </w:t>
            </w:r>
            <w:r>
              <w:rPr>
                <w:rFonts w:ascii="Tahoma" w:hAnsi="Tahoma" w:cs="Tahoma"/>
                <w:sz w:val="20"/>
                <w:szCs w:val="20"/>
                <w:lang w:val="en-PH" w:eastAsia="en-PH"/>
              </w:rPr>
              <w:t>Evaluation Anxiety</w:t>
            </w:r>
          </w:p>
        </w:tc>
        <w:tc>
          <w:tcPr>
            <w:tcW w:w="733" w:type="dxa"/>
          </w:tcPr>
          <w:p w14:paraId="2F6B9096" w14:textId="77777777" w:rsidR="004A39DF" w:rsidRDefault="00D9470C">
            <w:pPr>
              <w:pStyle w:val="NoSpacing"/>
              <w:widowControl w:val="0"/>
              <w:jc w:val="center"/>
              <w:rPr>
                <w:rFonts w:ascii="Tahoma" w:hAnsi="Tahoma" w:cs="Tahoma"/>
                <w:sz w:val="20"/>
                <w:szCs w:val="20"/>
                <w:lang w:eastAsia="en-PH"/>
              </w:rPr>
            </w:pPr>
            <w:r>
              <w:rPr>
                <w:rFonts w:ascii="Tahoma" w:hAnsi="Tahoma" w:cs="Tahoma"/>
                <w:sz w:val="20"/>
                <w:szCs w:val="20"/>
                <w:lang w:eastAsia="en-PH"/>
              </w:rPr>
              <w:t>0.87</w:t>
            </w:r>
          </w:p>
        </w:tc>
        <w:tc>
          <w:tcPr>
            <w:tcW w:w="1203" w:type="dxa"/>
            <w:vAlign w:val="center"/>
          </w:tcPr>
          <w:p w14:paraId="5C0BBA81" w14:textId="77777777" w:rsidR="004A39DF" w:rsidRDefault="00D9470C">
            <w:pPr>
              <w:pStyle w:val="NoSpacing"/>
              <w:widowControl w:val="0"/>
              <w:jc w:val="center"/>
              <w:rPr>
                <w:rFonts w:ascii="Tahoma" w:hAnsi="Tahoma" w:cs="Tahoma"/>
                <w:sz w:val="20"/>
                <w:szCs w:val="20"/>
                <w:lang w:eastAsia="en-PH"/>
              </w:rPr>
            </w:pPr>
            <w:r>
              <w:rPr>
                <w:rFonts w:ascii="Tahoma" w:hAnsi="Tahoma" w:cs="Tahoma"/>
                <w:sz w:val="20"/>
                <w:szCs w:val="20"/>
                <w:lang w:eastAsia="en-PH"/>
              </w:rPr>
              <w:t>3.27</w:t>
            </w:r>
          </w:p>
        </w:tc>
        <w:tc>
          <w:tcPr>
            <w:tcW w:w="1707" w:type="dxa"/>
          </w:tcPr>
          <w:p w14:paraId="2AA61082" w14:textId="77777777" w:rsidR="004A39DF" w:rsidRDefault="00D9470C">
            <w:pPr>
              <w:jc w:val="both"/>
              <w:rPr>
                <w:rFonts w:ascii="Tahoma" w:hAnsi="Tahoma" w:cs="Tahoma"/>
                <w:sz w:val="20"/>
                <w:szCs w:val="20"/>
                <w:lang w:eastAsia="en-PH"/>
              </w:rPr>
            </w:pPr>
            <w:r>
              <w:rPr>
                <w:rFonts w:ascii="Arial" w:hAnsi="Arial" w:cs="Arial"/>
                <w:sz w:val="20"/>
                <w:szCs w:val="20"/>
                <w:lang w:val="en-PH"/>
              </w:rPr>
              <w:t>Moderate</w:t>
            </w:r>
          </w:p>
        </w:tc>
      </w:tr>
      <w:tr w:rsidR="004A39DF" w14:paraId="6B6DD3A3" w14:textId="77777777">
        <w:tc>
          <w:tcPr>
            <w:tcW w:w="4182" w:type="dxa"/>
          </w:tcPr>
          <w:p w14:paraId="7B7A600B" w14:textId="77777777" w:rsidR="004A39DF" w:rsidRDefault="00D9470C">
            <w:pPr>
              <w:pStyle w:val="NoSpacing"/>
              <w:widowControl w:val="0"/>
              <w:jc w:val="both"/>
              <w:rPr>
                <w:rFonts w:ascii="Tahoma" w:hAnsi="Tahoma" w:cs="Tahoma"/>
                <w:sz w:val="20"/>
                <w:szCs w:val="20"/>
                <w:lang w:eastAsia="en-PH"/>
              </w:rPr>
            </w:pPr>
            <w:r>
              <w:rPr>
                <w:rFonts w:ascii="Tahoma" w:hAnsi="Tahoma" w:cs="Tahoma"/>
                <w:sz w:val="20"/>
                <w:szCs w:val="20"/>
                <w:lang w:eastAsia="en-PH"/>
              </w:rPr>
              <w:t xml:space="preserve">     </w:t>
            </w:r>
            <w:r>
              <w:rPr>
                <w:rFonts w:ascii="Tahoma" w:hAnsi="Tahoma" w:cs="Tahoma"/>
                <w:sz w:val="20"/>
                <w:szCs w:val="20"/>
                <w:lang w:val="en-PH" w:eastAsia="en-PH"/>
              </w:rPr>
              <w:t>Class Control Anxiety</w:t>
            </w:r>
          </w:p>
        </w:tc>
        <w:tc>
          <w:tcPr>
            <w:tcW w:w="733" w:type="dxa"/>
          </w:tcPr>
          <w:p w14:paraId="108C3357" w14:textId="77777777" w:rsidR="004A39DF" w:rsidRDefault="00D9470C">
            <w:pPr>
              <w:pStyle w:val="NoSpacing"/>
              <w:widowControl w:val="0"/>
              <w:jc w:val="center"/>
              <w:rPr>
                <w:rFonts w:ascii="Tahoma" w:hAnsi="Tahoma" w:cs="Tahoma"/>
                <w:sz w:val="20"/>
                <w:szCs w:val="20"/>
                <w:lang w:eastAsia="en-PH"/>
              </w:rPr>
            </w:pPr>
            <w:r>
              <w:rPr>
                <w:rFonts w:ascii="Tahoma" w:hAnsi="Tahoma" w:cs="Tahoma"/>
                <w:sz w:val="20"/>
                <w:szCs w:val="20"/>
                <w:lang w:eastAsia="en-PH"/>
              </w:rPr>
              <w:t>0.96</w:t>
            </w:r>
          </w:p>
        </w:tc>
        <w:tc>
          <w:tcPr>
            <w:tcW w:w="1203" w:type="dxa"/>
            <w:vAlign w:val="center"/>
          </w:tcPr>
          <w:p w14:paraId="73AA184E" w14:textId="77777777" w:rsidR="004A39DF" w:rsidRDefault="00D9470C">
            <w:pPr>
              <w:pStyle w:val="NoSpacing"/>
              <w:widowControl w:val="0"/>
              <w:jc w:val="center"/>
              <w:rPr>
                <w:rFonts w:ascii="Tahoma" w:hAnsi="Tahoma" w:cs="Tahoma"/>
                <w:sz w:val="20"/>
                <w:szCs w:val="20"/>
                <w:lang w:eastAsia="en-PH"/>
              </w:rPr>
            </w:pPr>
            <w:r>
              <w:rPr>
                <w:rFonts w:ascii="Tahoma" w:hAnsi="Tahoma" w:cs="Tahoma"/>
                <w:sz w:val="20"/>
                <w:szCs w:val="20"/>
                <w:lang w:eastAsia="en-PH"/>
              </w:rPr>
              <w:t>3.22</w:t>
            </w:r>
          </w:p>
        </w:tc>
        <w:tc>
          <w:tcPr>
            <w:tcW w:w="1707" w:type="dxa"/>
          </w:tcPr>
          <w:p w14:paraId="27275B7D" w14:textId="77777777" w:rsidR="004A39DF" w:rsidRDefault="00D9470C">
            <w:pPr>
              <w:jc w:val="both"/>
              <w:rPr>
                <w:rFonts w:ascii="Tahoma" w:hAnsi="Tahoma" w:cs="Tahoma"/>
                <w:sz w:val="20"/>
                <w:szCs w:val="20"/>
                <w:lang w:eastAsia="en-PH"/>
              </w:rPr>
            </w:pPr>
            <w:r>
              <w:rPr>
                <w:rFonts w:ascii="Arial" w:hAnsi="Arial" w:cs="Arial"/>
                <w:sz w:val="20"/>
                <w:szCs w:val="20"/>
                <w:lang w:val="en-PH"/>
              </w:rPr>
              <w:t>Moderate</w:t>
            </w:r>
          </w:p>
        </w:tc>
      </w:tr>
      <w:tr w:rsidR="004A39DF" w14:paraId="075941B5" w14:textId="77777777">
        <w:tc>
          <w:tcPr>
            <w:tcW w:w="4182" w:type="dxa"/>
          </w:tcPr>
          <w:p w14:paraId="26BC0148" w14:textId="77777777" w:rsidR="004A39DF" w:rsidRDefault="00D9470C">
            <w:pPr>
              <w:pStyle w:val="NoSpacing"/>
              <w:widowControl w:val="0"/>
              <w:jc w:val="both"/>
              <w:rPr>
                <w:rFonts w:ascii="Tahoma" w:hAnsi="Tahoma" w:cs="Tahoma"/>
                <w:sz w:val="20"/>
                <w:szCs w:val="20"/>
                <w:lang w:eastAsia="en-PH"/>
              </w:rPr>
            </w:pPr>
            <w:r>
              <w:rPr>
                <w:rFonts w:ascii="Tahoma" w:hAnsi="Tahoma" w:cs="Tahoma"/>
                <w:sz w:val="20"/>
                <w:szCs w:val="20"/>
                <w:lang w:eastAsia="en-PH"/>
              </w:rPr>
              <w:t xml:space="preserve">     </w:t>
            </w:r>
            <w:r>
              <w:rPr>
                <w:rFonts w:ascii="Tahoma" w:hAnsi="Tahoma" w:cs="Tahoma"/>
                <w:sz w:val="20"/>
                <w:szCs w:val="20"/>
                <w:lang w:val="en-PH" w:eastAsia="en-PH"/>
              </w:rPr>
              <w:t>Professional Preparation Anxiety</w:t>
            </w:r>
          </w:p>
        </w:tc>
        <w:tc>
          <w:tcPr>
            <w:tcW w:w="733" w:type="dxa"/>
          </w:tcPr>
          <w:p w14:paraId="20427E31" w14:textId="77777777" w:rsidR="004A39DF" w:rsidRDefault="00D9470C">
            <w:pPr>
              <w:pStyle w:val="NoSpacing"/>
              <w:widowControl w:val="0"/>
              <w:jc w:val="center"/>
              <w:rPr>
                <w:rFonts w:ascii="Tahoma" w:hAnsi="Tahoma" w:cs="Tahoma"/>
                <w:sz w:val="20"/>
                <w:szCs w:val="20"/>
                <w:lang w:eastAsia="en-PH"/>
              </w:rPr>
            </w:pPr>
            <w:r>
              <w:rPr>
                <w:rFonts w:ascii="Tahoma" w:hAnsi="Tahoma" w:cs="Tahoma"/>
                <w:sz w:val="20"/>
                <w:szCs w:val="20"/>
                <w:lang w:eastAsia="en-PH"/>
              </w:rPr>
              <w:t>0.91</w:t>
            </w:r>
          </w:p>
        </w:tc>
        <w:tc>
          <w:tcPr>
            <w:tcW w:w="1203" w:type="dxa"/>
            <w:vAlign w:val="center"/>
          </w:tcPr>
          <w:p w14:paraId="02742F25" w14:textId="77777777" w:rsidR="004A39DF" w:rsidRDefault="00D9470C">
            <w:pPr>
              <w:pStyle w:val="NoSpacing"/>
              <w:widowControl w:val="0"/>
              <w:jc w:val="center"/>
              <w:rPr>
                <w:rFonts w:ascii="Tahoma" w:hAnsi="Tahoma" w:cs="Tahoma"/>
                <w:sz w:val="20"/>
                <w:szCs w:val="20"/>
                <w:lang w:eastAsia="en-PH"/>
              </w:rPr>
            </w:pPr>
            <w:r>
              <w:rPr>
                <w:rFonts w:ascii="Tahoma" w:hAnsi="Tahoma" w:cs="Tahoma"/>
                <w:sz w:val="20"/>
                <w:szCs w:val="20"/>
                <w:lang w:eastAsia="en-PH"/>
              </w:rPr>
              <w:t>3.20</w:t>
            </w:r>
          </w:p>
        </w:tc>
        <w:tc>
          <w:tcPr>
            <w:tcW w:w="1707" w:type="dxa"/>
          </w:tcPr>
          <w:p w14:paraId="2F194C9E" w14:textId="77777777" w:rsidR="004A39DF" w:rsidRDefault="00D9470C">
            <w:pPr>
              <w:jc w:val="both"/>
              <w:rPr>
                <w:rFonts w:ascii="Tahoma" w:hAnsi="Tahoma" w:cs="Tahoma"/>
                <w:sz w:val="20"/>
                <w:szCs w:val="20"/>
                <w:lang w:eastAsia="en-PH"/>
              </w:rPr>
            </w:pPr>
            <w:r>
              <w:rPr>
                <w:rFonts w:ascii="Arial" w:hAnsi="Arial" w:cs="Arial"/>
                <w:sz w:val="20"/>
                <w:szCs w:val="20"/>
                <w:lang w:val="en-PH"/>
              </w:rPr>
              <w:t>Moderate</w:t>
            </w:r>
          </w:p>
        </w:tc>
      </w:tr>
      <w:tr w:rsidR="004A39DF" w14:paraId="70C3DA17" w14:textId="77777777">
        <w:tc>
          <w:tcPr>
            <w:tcW w:w="4182" w:type="dxa"/>
          </w:tcPr>
          <w:p w14:paraId="35361982" w14:textId="77777777" w:rsidR="004A39DF" w:rsidRDefault="00D9470C">
            <w:pPr>
              <w:pStyle w:val="NoSpacing"/>
              <w:widowControl w:val="0"/>
              <w:jc w:val="both"/>
              <w:rPr>
                <w:rFonts w:ascii="Tahoma" w:hAnsi="Tahoma" w:cs="Tahoma"/>
                <w:sz w:val="20"/>
                <w:szCs w:val="20"/>
                <w:lang w:eastAsia="en-PH"/>
              </w:rPr>
            </w:pPr>
            <w:r>
              <w:rPr>
                <w:rFonts w:ascii="Tahoma" w:hAnsi="Tahoma" w:cs="Tahoma"/>
                <w:sz w:val="20"/>
                <w:szCs w:val="20"/>
                <w:lang w:eastAsia="en-PH"/>
              </w:rPr>
              <w:t xml:space="preserve">     </w:t>
            </w:r>
            <w:r>
              <w:rPr>
                <w:rFonts w:ascii="Tahoma" w:hAnsi="Tahoma" w:cs="Tahoma"/>
                <w:sz w:val="20"/>
                <w:szCs w:val="20"/>
                <w:lang w:val="en-PH" w:eastAsia="en-PH"/>
              </w:rPr>
              <w:t>School Staff Anxiety</w:t>
            </w:r>
          </w:p>
        </w:tc>
        <w:tc>
          <w:tcPr>
            <w:tcW w:w="733" w:type="dxa"/>
          </w:tcPr>
          <w:p w14:paraId="3F2EB1F4" w14:textId="77777777" w:rsidR="004A39DF" w:rsidRDefault="00D9470C">
            <w:pPr>
              <w:pStyle w:val="NoSpacing"/>
              <w:widowControl w:val="0"/>
              <w:jc w:val="center"/>
              <w:rPr>
                <w:rFonts w:ascii="Tahoma" w:hAnsi="Tahoma" w:cs="Tahoma"/>
                <w:sz w:val="20"/>
                <w:szCs w:val="20"/>
                <w:lang w:eastAsia="en-PH"/>
              </w:rPr>
            </w:pPr>
            <w:r>
              <w:rPr>
                <w:rFonts w:ascii="Tahoma" w:hAnsi="Tahoma" w:cs="Tahoma"/>
                <w:sz w:val="20"/>
                <w:szCs w:val="20"/>
                <w:lang w:eastAsia="en-PH"/>
              </w:rPr>
              <w:t>0.95</w:t>
            </w:r>
          </w:p>
        </w:tc>
        <w:tc>
          <w:tcPr>
            <w:tcW w:w="1203" w:type="dxa"/>
            <w:vAlign w:val="center"/>
          </w:tcPr>
          <w:p w14:paraId="2B92D3A3" w14:textId="77777777" w:rsidR="004A39DF" w:rsidRDefault="00D9470C">
            <w:pPr>
              <w:pStyle w:val="NoSpacing"/>
              <w:widowControl w:val="0"/>
              <w:jc w:val="center"/>
              <w:rPr>
                <w:rFonts w:ascii="Tahoma" w:hAnsi="Tahoma" w:cs="Tahoma"/>
                <w:sz w:val="20"/>
                <w:szCs w:val="20"/>
                <w:lang w:eastAsia="en-PH"/>
              </w:rPr>
            </w:pPr>
            <w:r>
              <w:rPr>
                <w:rFonts w:ascii="Tahoma" w:eastAsia="SimSun" w:hAnsi="Tahoma" w:cs="Tahoma"/>
                <w:sz w:val="20"/>
                <w:szCs w:val="20"/>
                <w:lang w:eastAsia="zh-CN" w:bidi="ar"/>
              </w:rPr>
              <w:t>3.12</w:t>
            </w:r>
          </w:p>
        </w:tc>
        <w:tc>
          <w:tcPr>
            <w:tcW w:w="1707" w:type="dxa"/>
          </w:tcPr>
          <w:p w14:paraId="4E3B8540" w14:textId="77777777" w:rsidR="004A39DF" w:rsidRDefault="00D9470C">
            <w:pPr>
              <w:jc w:val="both"/>
              <w:rPr>
                <w:rFonts w:ascii="Tahoma" w:hAnsi="Tahoma" w:cs="Tahoma"/>
                <w:sz w:val="20"/>
                <w:szCs w:val="20"/>
                <w:lang w:eastAsia="en-PH"/>
              </w:rPr>
            </w:pPr>
            <w:r>
              <w:rPr>
                <w:rFonts w:ascii="Arial" w:hAnsi="Arial" w:cs="Arial"/>
                <w:sz w:val="20"/>
                <w:szCs w:val="20"/>
                <w:lang w:val="en-PH"/>
              </w:rPr>
              <w:t>Moderate</w:t>
            </w:r>
          </w:p>
        </w:tc>
      </w:tr>
      <w:tr w:rsidR="004A39DF" w14:paraId="3D9402B8" w14:textId="77777777">
        <w:tc>
          <w:tcPr>
            <w:tcW w:w="4182" w:type="dxa"/>
          </w:tcPr>
          <w:p w14:paraId="7EAA1F29" w14:textId="77777777" w:rsidR="004A39DF" w:rsidRDefault="00D9470C">
            <w:pPr>
              <w:pStyle w:val="NoSpacing"/>
              <w:widowControl w:val="0"/>
              <w:jc w:val="both"/>
              <w:rPr>
                <w:rFonts w:ascii="Tahoma" w:hAnsi="Tahoma" w:cs="Tahoma"/>
                <w:sz w:val="20"/>
                <w:szCs w:val="20"/>
                <w:lang w:eastAsia="en-PH"/>
              </w:rPr>
            </w:pPr>
            <w:r>
              <w:rPr>
                <w:rFonts w:ascii="Tahoma" w:hAnsi="Tahoma" w:cs="Tahoma"/>
                <w:sz w:val="20"/>
                <w:szCs w:val="20"/>
                <w:lang w:eastAsia="en-PH"/>
              </w:rPr>
              <w:t xml:space="preserve">     </w:t>
            </w:r>
            <w:r>
              <w:rPr>
                <w:rFonts w:ascii="Tahoma" w:hAnsi="Tahoma" w:cs="Tahoma"/>
                <w:sz w:val="20"/>
                <w:szCs w:val="20"/>
                <w:lang w:val="en-PH" w:eastAsia="en-PH"/>
              </w:rPr>
              <w:t>Unsuccessful Lesson Anxiety</w:t>
            </w:r>
          </w:p>
        </w:tc>
        <w:tc>
          <w:tcPr>
            <w:tcW w:w="733" w:type="dxa"/>
          </w:tcPr>
          <w:p w14:paraId="714C39B3" w14:textId="77777777" w:rsidR="004A39DF" w:rsidRDefault="00D9470C">
            <w:pPr>
              <w:pStyle w:val="NoSpacing"/>
              <w:widowControl w:val="0"/>
              <w:jc w:val="center"/>
              <w:rPr>
                <w:rFonts w:ascii="Tahoma" w:hAnsi="Tahoma" w:cs="Tahoma"/>
                <w:sz w:val="20"/>
                <w:szCs w:val="20"/>
                <w:lang w:eastAsia="en-PH"/>
              </w:rPr>
            </w:pPr>
            <w:r>
              <w:rPr>
                <w:rFonts w:ascii="Tahoma" w:hAnsi="Tahoma" w:cs="Tahoma"/>
                <w:sz w:val="20"/>
                <w:szCs w:val="20"/>
                <w:lang w:eastAsia="en-PH"/>
              </w:rPr>
              <w:t>1.00</w:t>
            </w:r>
          </w:p>
        </w:tc>
        <w:tc>
          <w:tcPr>
            <w:tcW w:w="1203" w:type="dxa"/>
            <w:vAlign w:val="center"/>
          </w:tcPr>
          <w:p w14:paraId="49BB31F6" w14:textId="77777777" w:rsidR="004A39DF" w:rsidRDefault="00D9470C">
            <w:pPr>
              <w:pStyle w:val="NoSpacing"/>
              <w:widowControl w:val="0"/>
              <w:jc w:val="center"/>
              <w:rPr>
                <w:rFonts w:ascii="Tahoma" w:hAnsi="Tahoma" w:cs="Tahoma"/>
                <w:sz w:val="20"/>
                <w:szCs w:val="20"/>
                <w:lang w:eastAsia="en-PH"/>
              </w:rPr>
            </w:pPr>
            <w:r>
              <w:rPr>
                <w:rFonts w:ascii="Tahoma" w:eastAsia="SimSun" w:hAnsi="Tahoma" w:cs="Tahoma"/>
                <w:sz w:val="20"/>
                <w:szCs w:val="20"/>
                <w:lang w:eastAsia="zh-CN" w:bidi="ar"/>
              </w:rPr>
              <w:t>3.45</w:t>
            </w:r>
          </w:p>
        </w:tc>
        <w:tc>
          <w:tcPr>
            <w:tcW w:w="1707" w:type="dxa"/>
          </w:tcPr>
          <w:p w14:paraId="7CE1E75C" w14:textId="77777777" w:rsidR="004A39DF" w:rsidRDefault="00D9470C">
            <w:pPr>
              <w:jc w:val="both"/>
              <w:rPr>
                <w:rFonts w:ascii="Tahoma" w:hAnsi="Tahoma" w:cs="Tahoma"/>
                <w:sz w:val="20"/>
                <w:szCs w:val="20"/>
                <w:lang w:eastAsia="en-PH"/>
              </w:rPr>
            </w:pPr>
            <w:r>
              <w:rPr>
                <w:rFonts w:ascii="Arial" w:hAnsi="Arial" w:cs="Arial"/>
                <w:sz w:val="20"/>
                <w:szCs w:val="20"/>
                <w:lang w:val="en-PH"/>
              </w:rPr>
              <w:t>High</w:t>
            </w:r>
          </w:p>
        </w:tc>
      </w:tr>
      <w:tr w:rsidR="004A39DF" w14:paraId="092920B8" w14:textId="77777777">
        <w:tc>
          <w:tcPr>
            <w:tcW w:w="4182" w:type="dxa"/>
            <w:shd w:val="clear" w:color="auto" w:fill="auto"/>
          </w:tcPr>
          <w:p w14:paraId="0FC9B6FD" w14:textId="77777777" w:rsidR="004A39DF" w:rsidRDefault="00D9470C">
            <w:pPr>
              <w:pStyle w:val="NoSpacing"/>
              <w:widowControl w:val="0"/>
              <w:jc w:val="both"/>
              <w:rPr>
                <w:rFonts w:ascii="Tahoma" w:eastAsiaTheme="minorHAnsi" w:hAnsi="Tahoma" w:cs="Tahoma"/>
                <w:b/>
                <w:bCs/>
                <w:sz w:val="20"/>
                <w:szCs w:val="20"/>
                <w:lang w:eastAsia="en-PH"/>
              </w:rPr>
            </w:pPr>
            <w:r>
              <w:rPr>
                <w:rFonts w:ascii="Tahoma" w:hAnsi="Tahoma" w:cs="Tahoma"/>
                <w:b/>
                <w:bCs/>
                <w:iCs/>
                <w:sz w:val="20"/>
                <w:szCs w:val="20"/>
                <w:lang w:eastAsia="en-PH"/>
              </w:rPr>
              <w:t xml:space="preserve">Teaching </w:t>
            </w:r>
            <w:r>
              <w:rPr>
                <w:rFonts w:ascii="Tahoma" w:hAnsi="Tahoma" w:cs="Tahoma"/>
                <w:b/>
                <w:bCs/>
                <w:iCs/>
                <w:sz w:val="20"/>
                <w:szCs w:val="20"/>
                <w:lang w:val="en-PH" w:eastAsia="en-PH"/>
              </w:rPr>
              <w:t>Self-</w:t>
            </w:r>
            <w:r>
              <w:rPr>
                <w:rFonts w:ascii="Tahoma" w:hAnsi="Tahoma" w:cs="Tahoma"/>
                <w:b/>
                <w:bCs/>
                <w:iCs/>
                <w:sz w:val="20"/>
                <w:szCs w:val="20"/>
                <w:lang w:eastAsia="en-PH"/>
              </w:rPr>
              <w:t>Efficacy</w:t>
            </w:r>
          </w:p>
        </w:tc>
        <w:tc>
          <w:tcPr>
            <w:tcW w:w="733" w:type="dxa"/>
            <w:shd w:val="clear" w:color="auto" w:fill="auto"/>
          </w:tcPr>
          <w:p w14:paraId="5E6AAC7A" w14:textId="77777777" w:rsidR="004A39DF" w:rsidRDefault="00D9470C">
            <w:pPr>
              <w:pStyle w:val="NoSpacing"/>
              <w:widowControl w:val="0"/>
              <w:jc w:val="center"/>
              <w:rPr>
                <w:rFonts w:ascii="Tahoma" w:eastAsiaTheme="minorHAnsi" w:hAnsi="Tahoma" w:cs="Tahoma"/>
                <w:b/>
                <w:bCs/>
                <w:sz w:val="20"/>
                <w:szCs w:val="20"/>
                <w:lang w:eastAsia="en-PH"/>
              </w:rPr>
            </w:pPr>
            <w:r>
              <w:rPr>
                <w:rFonts w:ascii="Tahoma" w:hAnsi="Tahoma" w:cs="Tahoma"/>
                <w:b/>
                <w:bCs/>
                <w:sz w:val="20"/>
                <w:szCs w:val="20"/>
                <w:lang w:eastAsia="en-PH"/>
              </w:rPr>
              <w:t>0.58</w:t>
            </w:r>
          </w:p>
        </w:tc>
        <w:tc>
          <w:tcPr>
            <w:tcW w:w="1203" w:type="dxa"/>
            <w:shd w:val="clear" w:color="auto" w:fill="auto"/>
          </w:tcPr>
          <w:p w14:paraId="50546F28" w14:textId="77777777" w:rsidR="004A39DF" w:rsidRDefault="00D9470C">
            <w:pPr>
              <w:pStyle w:val="NoSpacing"/>
              <w:widowControl w:val="0"/>
              <w:jc w:val="center"/>
              <w:rPr>
                <w:rFonts w:ascii="Tahoma" w:eastAsiaTheme="minorHAnsi" w:hAnsi="Tahoma" w:cs="Tahoma"/>
                <w:b/>
                <w:bCs/>
                <w:sz w:val="20"/>
                <w:szCs w:val="20"/>
                <w:lang w:eastAsia="zh-CN"/>
              </w:rPr>
            </w:pPr>
            <w:r>
              <w:rPr>
                <w:rFonts w:ascii="Tahoma" w:hAnsi="Tahoma" w:cs="Tahoma"/>
                <w:b/>
                <w:bCs/>
                <w:sz w:val="20"/>
                <w:szCs w:val="20"/>
                <w:lang w:eastAsia="en-PH"/>
              </w:rPr>
              <w:t>4.03</w:t>
            </w:r>
          </w:p>
        </w:tc>
        <w:tc>
          <w:tcPr>
            <w:tcW w:w="1707" w:type="dxa"/>
            <w:shd w:val="clear" w:color="auto" w:fill="auto"/>
          </w:tcPr>
          <w:p w14:paraId="5FC5E94B" w14:textId="77777777" w:rsidR="004A39DF" w:rsidRDefault="00D9470C">
            <w:pPr>
              <w:pStyle w:val="NoSpacing"/>
              <w:widowControl w:val="0"/>
              <w:jc w:val="both"/>
              <w:rPr>
                <w:rFonts w:ascii="Tahoma" w:eastAsiaTheme="minorHAnsi" w:hAnsi="Tahoma" w:cs="Tahoma"/>
                <w:b/>
                <w:bCs/>
                <w:sz w:val="20"/>
                <w:szCs w:val="20"/>
                <w:lang w:eastAsia="en-PH"/>
              </w:rPr>
            </w:pPr>
            <w:r>
              <w:rPr>
                <w:rFonts w:ascii="Tahoma" w:eastAsiaTheme="minorHAnsi" w:hAnsi="Tahoma" w:cs="Tahoma"/>
                <w:b/>
                <w:bCs/>
                <w:sz w:val="20"/>
                <w:szCs w:val="20"/>
                <w:lang w:eastAsia="en-PH"/>
              </w:rPr>
              <w:t>High</w:t>
            </w:r>
          </w:p>
        </w:tc>
      </w:tr>
      <w:tr w:rsidR="004A39DF" w14:paraId="423F35EB" w14:textId="77777777">
        <w:tc>
          <w:tcPr>
            <w:tcW w:w="4182" w:type="dxa"/>
            <w:shd w:val="clear" w:color="auto" w:fill="auto"/>
          </w:tcPr>
          <w:p w14:paraId="570F09ED" w14:textId="77777777" w:rsidR="004A39DF" w:rsidRDefault="00D9470C">
            <w:pPr>
              <w:pStyle w:val="NoSpacing"/>
              <w:widowControl w:val="0"/>
              <w:jc w:val="both"/>
              <w:rPr>
                <w:rFonts w:ascii="Tahoma" w:eastAsiaTheme="minorHAnsi" w:hAnsi="Tahoma" w:cs="Tahoma"/>
                <w:sz w:val="20"/>
                <w:szCs w:val="20"/>
                <w:lang w:eastAsia="en-PH"/>
              </w:rPr>
            </w:pPr>
            <w:r>
              <w:rPr>
                <w:rFonts w:ascii="Tahoma" w:hAnsi="Tahoma" w:cs="Tahoma"/>
                <w:sz w:val="20"/>
                <w:szCs w:val="20"/>
                <w:lang w:eastAsia="en-PH"/>
              </w:rPr>
              <w:t xml:space="preserve">     Personal Teaching Efficacy</w:t>
            </w:r>
          </w:p>
        </w:tc>
        <w:tc>
          <w:tcPr>
            <w:tcW w:w="733" w:type="dxa"/>
            <w:shd w:val="clear" w:color="auto" w:fill="auto"/>
          </w:tcPr>
          <w:p w14:paraId="74314985" w14:textId="77777777" w:rsidR="004A39DF" w:rsidRDefault="00D9470C">
            <w:pPr>
              <w:pStyle w:val="NoSpacing"/>
              <w:widowControl w:val="0"/>
              <w:jc w:val="center"/>
              <w:rPr>
                <w:rFonts w:ascii="Tahoma" w:eastAsiaTheme="minorHAnsi" w:hAnsi="Tahoma" w:cs="Tahoma"/>
                <w:sz w:val="20"/>
                <w:szCs w:val="20"/>
                <w:lang w:eastAsia="en-PH"/>
              </w:rPr>
            </w:pPr>
            <w:r>
              <w:rPr>
                <w:rFonts w:ascii="Tahoma" w:hAnsi="Tahoma" w:cs="Tahoma"/>
                <w:sz w:val="20"/>
                <w:szCs w:val="20"/>
                <w:lang w:eastAsia="en-PH"/>
              </w:rPr>
              <w:t>0.59</w:t>
            </w:r>
          </w:p>
        </w:tc>
        <w:tc>
          <w:tcPr>
            <w:tcW w:w="1203" w:type="dxa"/>
            <w:shd w:val="clear" w:color="auto" w:fill="auto"/>
            <w:vAlign w:val="center"/>
          </w:tcPr>
          <w:p w14:paraId="1F0A26C3" w14:textId="77777777" w:rsidR="004A39DF" w:rsidRDefault="00D9470C">
            <w:pPr>
              <w:pStyle w:val="NoSpacing"/>
              <w:widowControl w:val="0"/>
              <w:jc w:val="center"/>
              <w:rPr>
                <w:rFonts w:ascii="Tahoma" w:eastAsiaTheme="minorHAnsi" w:hAnsi="Tahoma" w:cs="Tahoma"/>
                <w:b/>
                <w:bCs/>
                <w:sz w:val="20"/>
                <w:szCs w:val="20"/>
                <w:lang w:eastAsia="zh-CN"/>
              </w:rPr>
            </w:pPr>
            <w:r>
              <w:rPr>
                <w:rFonts w:ascii="Tahoma" w:eastAsia="SimSun" w:hAnsi="Tahoma" w:cs="Tahoma"/>
                <w:sz w:val="20"/>
                <w:szCs w:val="20"/>
                <w:lang w:eastAsia="zh-CN" w:bidi="ar"/>
              </w:rPr>
              <w:t>4.06</w:t>
            </w:r>
          </w:p>
        </w:tc>
        <w:tc>
          <w:tcPr>
            <w:tcW w:w="1707" w:type="dxa"/>
            <w:shd w:val="clear" w:color="auto" w:fill="auto"/>
          </w:tcPr>
          <w:p w14:paraId="0DAFF269" w14:textId="77777777" w:rsidR="004A39DF" w:rsidRDefault="00D9470C">
            <w:pPr>
              <w:pStyle w:val="NoSpacing"/>
              <w:widowControl w:val="0"/>
              <w:jc w:val="both"/>
              <w:rPr>
                <w:rFonts w:ascii="Tahoma" w:eastAsiaTheme="minorHAnsi" w:hAnsi="Tahoma" w:cs="Tahoma"/>
                <w:sz w:val="20"/>
                <w:szCs w:val="20"/>
                <w:lang w:eastAsia="en-PH"/>
              </w:rPr>
            </w:pPr>
            <w:r>
              <w:rPr>
                <w:rFonts w:ascii="Tahoma" w:eastAsiaTheme="minorHAnsi" w:hAnsi="Tahoma" w:cs="Tahoma"/>
                <w:sz w:val="20"/>
                <w:szCs w:val="20"/>
                <w:lang w:eastAsia="en-PH"/>
              </w:rPr>
              <w:t>High</w:t>
            </w:r>
          </w:p>
        </w:tc>
      </w:tr>
      <w:tr w:rsidR="004A39DF" w14:paraId="09A9742A" w14:textId="77777777">
        <w:tc>
          <w:tcPr>
            <w:tcW w:w="4182" w:type="dxa"/>
            <w:shd w:val="clear" w:color="auto" w:fill="auto"/>
          </w:tcPr>
          <w:p w14:paraId="58230591" w14:textId="77777777" w:rsidR="004A39DF" w:rsidRDefault="00D9470C">
            <w:pPr>
              <w:pStyle w:val="NoSpacing"/>
              <w:widowControl w:val="0"/>
              <w:jc w:val="both"/>
              <w:rPr>
                <w:rFonts w:ascii="Tahoma" w:eastAsiaTheme="minorHAnsi" w:hAnsi="Tahoma" w:cs="Tahoma"/>
                <w:sz w:val="20"/>
                <w:szCs w:val="20"/>
                <w:lang w:eastAsia="en-PH"/>
              </w:rPr>
            </w:pPr>
            <w:r>
              <w:rPr>
                <w:rFonts w:ascii="Tahoma" w:hAnsi="Tahoma" w:cs="Tahoma"/>
                <w:sz w:val="20"/>
                <w:szCs w:val="20"/>
                <w:lang w:eastAsia="en-PH"/>
              </w:rPr>
              <w:t xml:space="preserve">     </w:t>
            </w:r>
            <w:r>
              <w:rPr>
                <w:rFonts w:ascii="Tahoma" w:hAnsi="Tahoma" w:cs="Tahoma"/>
                <w:sz w:val="20"/>
                <w:szCs w:val="20"/>
                <w:lang w:val="en-PH" w:eastAsia="en-PH"/>
              </w:rPr>
              <w:t>General Teaching Efficacy</w:t>
            </w:r>
          </w:p>
        </w:tc>
        <w:tc>
          <w:tcPr>
            <w:tcW w:w="733" w:type="dxa"/>
            <w:shd w:val="clear" w:color="auto" w:fill="auto"/>
          </w:tcPr>
          <w:p w14:paraId="17FF6400" w14:textId="77777777" w:rsidR="004A39DF" w:rsidRDefault="00D9470C">
            <w:pPr>
              <w:pStyle w:val="NoSpacing"/>
              <w:widowControl w:val="0"/>
              <w:jc w:val="center"/>
              <w:rPr>
                <w:rFonts w:ascii="Tahoma" w:eastAsiaTheme="minorHAnsi" w:hAnsi="Tahoma" w:cs="Tahoma"/>
                <w:sz w:val="20"/>
                <w:szCs w:val="20"/>
                <w:lang w:eastAsia="en-PH"/>
              </w:rPr>
            </w:pPr>
            <w:r>
              <w:rPr>
                <w:rFonts w:ascii="Tahoma" w:hAnsi="Tahoma" w:cs="Tahoma"/>
                <w:sz w:val="20"/>
                <w:szCs w:val="20"/>
                <w:lang w:eastAsia="en-PH"/>
              </w:rPr>
              <w:t>0.64</w:t>
            </w:r>
          </w:p>
        </w:tc>
        <w:tc>
          <w:tcPr>
            <w:tcW w:w="1203" w:type="dxa"/>
            <w:shd w:val="clear" w:color="auto" w:fill="auto"/>
            <w:vAlign w:val="center"/>
          </w:tcPr>
          <w:p w14:paraId="4FA1B2BB" w14:textId="77777777" w:rsidR="004A39DF" w:rsidRDefault="00D9470C">
            <w:pPr>
              <w:pStyle w:val="NoSpacing"/>
              <w:widowControl w:val="0"/>
              <w:jc w:val="center"/>
              <w:rPr>
                <w:rFonts w:ascii="Tahoma" w:eastAsiaTheme="minorHAnsi" w:hAnsi="Tahoma" w:cs="Tahoma"/>
                <w:b/>
                <w:bCs/>
                <w:sz w:val="20"/>
                <w:szCs w:val="20"/>
                <w:lang w:eastAsia="zh-CN"/>
              </w:rPr>
            </w:pPr>
            <w:r>
              <w:rPr>
                <w:rFonts w:ascii="Tahoma" w:eastAsia="SimSun" w:hAnsi="Tahoma" w:cs="Tahoma"/>
                <w:sz w:val="20"/>
                <w:szCs w:val="20"/>
                <w:lang w:eastAsia="zh-CN" w:bidi="ar"/>
              </w:rPr>
              <w:t>4.00</w:t>
            </w:r>
          </w:p>
        </w:tc>
        <w:tc>
          <w:tcPr>
            <w:tcW w:w="1707" w:type="dxa"/>
            <w:shd w:val="clear" w:color="auto" w:fill="auto"/>
          </w:tcPr>
          <w:p w14:paraId="3276066A" w14:textId="77777777" w:rsidR="004A39DF" w:rsidRDefault="00D9470C">
            <w:pPr>
              <w:pStyle w:val="NoSpacing"/>
              <w:widowControl w:val="0"/>
              <w:jc w:val="both"/>
              <w:rPr>
                <w:rFonts w:ascii="Tahoma" w:eastAsiaTheme="minorHAnsi" w:hAnsi="Tahoma" w:cs="Tahoma"/>
                <w:sz w:val="20"/>
                <w:szCs w:val="20"/>
                <w:lang w:eastAsia="en-PH"/>
              </w:rPr>
            </w:pPr>
            <w:r>
              <w:rPr>
                <w:rFonts w:ascii="Tahoma" w:eastAsiaTheme="minorHAnsi" w:hAnsi="Tahoma" w:cs="Tahoma"/>
                <w:sz w:val="20"/>
                <w:szCs w:val="20"/>
                <w:lang w:eastAsia="en-PH"/>
              </w:rPr>
              <w:t>High</w:t>
            </w:r>
          </w:p>
        </w:tc>
      </w:tr>
      <w:tr w:rsidR="004A39DF" w14:paraId="05A56865" w14:textId="77777777">
        <w:tc>
          <w:tcPr>
            <w:tcW w:w="4182" w:type="dxa"/>
          </w:tcPr>
          <w:p w14:paraId="4A620A21" w14:textId="77777777" w:rsidR="004A39DF" w:rsidRDefault="00D9470C">
            <w:pPr>
              <w:pStyle w:val="NoSpacing"/>
              <w:widowControl w:val="0"/>
              <w:jc w:val="both"/>
              <w:rPr>
                <w:rFonts w:ascii="Tahoma" w:hAnsi="Tahoma" w:cs="Tahoma"/>
                <w:b/>
                <w:bCs/>
                <w:sz w:val="20"/>
                <w:szCs w:val="20"/>
                <w:lang w:eastAsia="en-PH"/>
              </w:rPr>
            </w:pPr>
            <w:r>
              <w:rPr>
                <w:rFonts w:ascii="Tahoma" w:hAnsi="Tahoma" w:cs="Tahoma"/>
                <w:b/>
                <w:bCs/>
                <w:sz w:val="20"/>
                <w:szCs w:val="20"/>
                <w:lang w:val="en-PH" w:eastAsia="en-PH"/>
              </w:rPr>
              <w:t>Teacher Support</w:t>
            </w:r>
          </w:p>
        </w:tc>
        <w:tc>
          <w:tcPr>
            <w:tcW w:w="733" w:type="dxa"/>
          </w:tcPr>
          <w:p w14:paraId="38C76573" w14:textId="77777777" w:rsidR="004A39DF" w:rsidRDefault="00D9470C">
            <w:pPr>
              <w:pStyle w:val="NoSpacing"/>
              <w:widowControl w:val="0"/>
              <w:jc w:val="center"/>
              <w:rPr>
                <w:rFonts w:ascii="Tahoma" w:hAnsi="Tahoma" w:cs="Tahoma"/>
                <w:b/>
                <w:bCs/>
                <w:sz w:val="20"/>
                <w:szCs w:val="20"/>
                <w:lang w:eastAsia="en-PH"/>
              </w:rPr>
            </w:pPr>
            <w:r>
              <w:rPr>
                <w:rFonts w:ascii="Tahoma" w:hAnsi="Tahoma" w:cs="Tahoma"/>
                <w:b/>
                <w:bCs/>
                <w:sz w:val="20"/>
                <w:szCs w:val="20"/>
                <w:lang w:eastAsia="en-PH"/>
              </w:rPr>
              <w:t>0.57</w:t>
            </w:r>
          </w:p>
        </w:tc>
        <w:tc>
          <w:tcPr>
            <w:tcW w:w="1203" w:type="dxa"/>
          </w:tcPr>
          <w:p w14:paraId="3D49C712" w14:textId="77777777" w:rsidR="004A39DF" w:rsidRDefault="00D9470C">
            <w:pPr>
              <w:pStyle w:val="NoSpacing"/>
              <w:widowControl w:val="0"/>
              <w:jc w:val="center"/>
              <w:rPr>
                <w:rFonts w:ascii="Tahoma" w:hAnsi="Tahoma" w:cs="Tahoma"/>
                <w:b/>
                <w:bCs/>
                <w:sz w:val="20"/>
                <w:szCs w:val="20"/>
                <w:lang w:eastAsia="en-PH"/>
              </w:rPr>
            </w:pPr>
            <w:r>
              <w:rPr>
                <w:rFonts w:ascii="Tahoma" w:hAnsi="Tahoma" w:cs="Tahoma"/>
                <w:b/>
                <w:bCs/>
                <w:sz w:val="20"/>
                <w:szCs w:val="20"/>
                <w:lang w:eastAsia="en-PH"/>
              </w:rPr>
              <w:t>4.21</w:t>
            </w:r>
          </w:p>
        </w:tc>
        <w:tc>
          <w:tcPr>
            <w:tcW w:w="1707" w:type="dxa"/>
          </w:tcPr>
          <w:p w14:paraId="0363E32B" w14:textId="77777777" w:rsidR="004A39DF" w:rsidRDefault="00D9470C">
            <w:pPr>
              <w:pStyle w:val="NoSpacing"/>
              <w:widowControl w:val="0"/>
              <w:jc w:val="both"/>
              <w:rPr>
                <w:rFonts w:ascii="Tahoma" w:hAnsi="Tahoma" w:cs="Tahoma"/>
                <w:sz w:val="20"/>
                <w:szCs w:val="20"/>
                <w:lang w:eastAsia="en-PH"/>
              </w:rPr>
            </w:pPr>
            <w:r>
              <w:rPr>
                <w:rFonts w:ascii="Arial" w:hAnsi="Arial" w:cs="Arial"/>
                <w:b/>
                <w:bCs/>
                <w:sz w:val="20"/>
                <w:szCs w:val="20"/>
                <w:lang w:val="en-PH" w:bidi="ar"/>
              </w:rPr>
              <w:t>Very High</w:t>
            </w:r>
          </w:p>
        </w:tc>
      </w:tr>
      <w:tr w:rsidR="004A39DF" w14:paraId="5BFA95BB" w14:textId="77777777">
        <w:tc>
          <w:tcPr>
            <w:tcW w:w="4182" w:type="dxa"/>
          </w:tcPr>
          <w:p w14:paraId="4AD7CD4E" w14:textId="77777777" w:rsidR="004A39DF" w:rsidRDefault="00D9470C">
            <w:pPr>
              <w:pStyle w:val="NoSpacing"/>
              <w:widowControl w:val="0"/>
              <w:jc w:val="both"/>
              <w:rPr>
                <w:rFonts w:ascii="Tahoma" w:hAnsi="Tahoma" w:cs="Tahoma"/>
                <w:sz w:val="20"/>
                <w:szCs w:val="20"/>
                <w:lang w:eastAsia="en-PH"/>
              </w:rPr>
            </w:pPr>
            <w:r>
              <w:rPr>
                <w:rFonts w:ascii="Tahoma" w:hAnsi="Tahoma" w:cs="Tahoma"/>
                <w:sz w:val="20"/>
                <w:szCs w:val="20"/>
                <w:lang w:eastAsia="en-PH"/>
              </w:rPr>
              <w:t xml:space="preserve">     </w:t>
            </w:r>
            <w:r>
              <w:rPr>
                <w:rFonts w:ascii="Tahoma" w:hAnsi="Tahoma" w:cs="Tahoma"/>
                <w:sz w:val="20"/>
                <w:szCs w:val="20"/>
                <w:lang w:val="en-PH" w:eastAsia="en-PH"/>
              </w:rPr>
              <w:t>Personal Support</w:t>
            </w:r>
          </w:p>
        </w:tc>
        <w:tc>
          <w:tcPr>
            <w:tcW w:w="733" w:type="dxa"/>
          </w:tcPr>
          <w:p w14:paraId="109F8B4D" w14:textId="77777777" w:rsidR="004A39DF" w:rsidRDefault="00D9470C">
            <w:pPr>
              <w:pStyle w:val="NoSpacing"/>
              <w:widowControl w:val="0"/>
              <w:jc w:val="center"/>
              <w:rPr>
                <w:rFonts w:ascii="Tahoma" w:hAnsi="Tahoma" w:cs="Tahoma"/>
                <w:sz w:val="20"/>
                <w:szCs w:val="20"/>
                <w:lang w:eastAsia="en-PH"/>
              </w:rPr>
            </w:pPr>
            <w:r>
              <w:rPr>
                <w:rFonts w:ascii="Tahoma" w:hAnsi="Tahoma" w:cs="Tahoma"/>
                <w:sz w:val="20"/>
                <w:szCs w:val="20"/>
                <w:lang w:eastAsia="en-PH"/>
              </w:rPr>
              <w:t>0.64</w:t>
            </w:r>
          </w:p>
        </w:tc>
        <w:tc>
          <w:tcPr>
            <w:tcW w:w="1203" w:type="dxa"/>
            <w:vAlign w:val="center"/>
          </w:tcPr>
          <w:p w14:paraId="23DDDB87" w14:textId="77777777" w:rsidR="004A39DF" w:rsidRDefault="00D9470C">
            <w:pPr>
              <w:pStyle w:val="NoSpacing"/>
              <w:widowControl w:val="0"/>
              <w:jc w:val="center"/>
              <w:rPr>
                <w:rFonts w:ascii="Tahoma" w:hAnsi="Tahoma" w:cs="Tahoma"/>
                <w:sz w:val="20"/>
                <w:szCs w:val="20"/>
                <w:lang w:eastAsia="en-PH"/>
              </w:rPr>
            </w:pPr>
            <w:r>
              <w:rPr>
                <w:rFonts w:ascii="Tahoma" w:eastAsia="SimSun" w:hAnsi="Tahoma" w:cs="Tahoma"/>
                <w:sz w:val="20"/>
                <w:szCs w:val="20"/>
                <w:lang w:eastAsia="zh-CN" w:bidi="ar"/>
              </w:rPr>
              <w:t>4.26</w:t>
            </w:r>
          </w:p>
        </w:tc>
        <w:tc>
          <w:tcPr>
            <w:tcW w:w="1707" w:type="dxa"/>
          </w:tcPr>
          <w:p w14:paraId="22CCBDA9" w14:textId="77777777" w:rsidR="004A39DF" w:rsidRDefault="00D9470C">
            <w:pPr>
              <w:jc w:val="both"/>
              <w:rPr>
                <w:rFonts w:ascii="Tahoma" w:hAnsi="Tahoma" w:cs="Tahoma"/>
                <w:sz w:val="20"/>
                <w:szCs w:val="20"/>
                <w:lang w:eastAsia="en-PH"/>
              </w:rPr>
            </w:pPr>
            <w:r>
              <w:rPr>
                <w:rFonts w:ascii="Arial" w:hAnsi="Arial" w:cs="Arial"/>
                <w:sz w:val="20"/>
                <w:szCs w:val="20"/>
                <w:lang w:val="en-PH"/>
              </w:rPr>
              <w:t>Very</w:t>
            </w:r>
            <w:r>
              <w:rPr>
                <w:rFonts w:ascii="Arial" w:hAnsi="Arial" w:cs="Arial"/>
                <w:sz w:val="20"/>
                <w:szCs w:val="20"/>
                <w:lang w:val="en-PH"/>
              </w:rPr>
              <w:t xml:space="preserve"> High</w:t>
            </w:r>
          </w:p>
        </w:tc>
      </w:tr>
      <w:tr w:rsidR="004A39DF" w14:paraId="584C4F80" w14:textId="77777777">
        <w:tc>
          <w:tcPr>
            <w:tcW w:w="4182" w:type="dxa"/>
          </w:tcPr>
          <w:p w14:paraId="2CAB22D8" w14:textId="77777777" w:rsidR="004A39DF" w:rsidRDefault="00D9470C">
            <w:pPr>
              <w:pStyle w:val="NoSpacing"/>
              <w:widowControl w:val="0"/>
              <w:jc w:val="both"/>
              <w:rPr>
                <w:rFonts w:ascii="Tahoma" w:hAnsi="Tahoma" w:cs="Tahoma"/>
                <w:sz w:val="20"/>
                <w:szCs w:val="20"/>
                <w:lang w:eastAsia="en-PH"/>
              </w:rPr>
            </w:pPr>
            <w:r>
              <w:rPr>
                <w:rFonts w:ascii="Tahoma" w:hAnsi="Tahoma" w:cs="Tahoma"/>
                <w:sz w:val="20"/>
                <w:szCs w:val="20"/>
                <w:lang w:eastAsia="en-PH"/>
              </w:rPr>
              <w:t xml:space="preserve">     </w:t>
            </w:r>
            <w:r>
              <w:rPr>
                <w:rFonts w:ascii="Tahoma" w:hAnsi="Tahoma" w:cs="Tahoma"/>
                <w:sz w:val="20"/>
                <w:szCs w:val="20"/>
                <w:lang w:val="en-PH" w:eastAsia="en-PH"/>
              </w:rPr>
              <w:t>Career Support</w:t>
            </w:r>
          </w:p>
        </w:tc>
        <w:tc>
          <w:tcPr>
            <w:tcW w:w="733" w:type="dxa"/>
          </w:tcPr>
          <w:p w14:paraId="3EB292C1" w14:textId="77777777" w:rsidR="004A39DF" w:rsidRDefault="00D9470C">
            <w:pPr>
              <w:pStyle w:val="NoSpacing"/>
              <w:widowControl w:val="0"/>
              <w:jc w:val="center"/>
              <w:rPr>
                <w:rFonts w:ascii="Tahoma" w:hAnsi="Tahoma" w:cs="Tahoma"/>
                <w:sz w:val="20"/>
                <w:szCs w:val="20"/>
                <w:lang w:eastAsia="en-PH"/>
              </w:rPr>
            </w:pPr>
            <w:r>
              <w:rPr>
                <w:rFonts w:ascii="Tahoma" w:hAnsi="Tahoma" w:cs="Tahoma"/>
                <w:sz w:val="20"/>
                <w:szCs w:val="20"/>
                <w:lang w:eastAsia="en-PH"/>
              </w:rPr>
              <w:t>0.64</w:t>
            </w:r>
          </w:p>
        </w:tc>
        <w:tc>
          <w:tcPr>
            <w:tcW w:w="1203" w:type="dxa"/>
            <w:vAlign w:val="center"/>
          </w:tcPr>
          <w:p w14:paraId="4A793290" w14:textId="77777777" w:rsidR="004A39DF" w:rsidRDefault="00D9470C">
            <w:pPr>
              <w:pStyle w:val="NoSpacing"/>
              <w:widowControl w:val="0"/>
              <w:jc w:val="center"/>
              <w:rPr>
                <w:rFonts w:ascii="Tahoma" w:hAnsi="Tahoma" w:cs="Tahoma"/>
                <w:sz w:val="20"/>
                <w:szCs w:val="20"/>
                <w:lang w:eastAsia="en-PH"/>
              </w:rPr>
            </w:pPr>
            <w:r>
              <w:rPr>
                <w:rFonts w:ascii="Tahoma" w:eastAsia="SimSun" w:hAnsi="Tahoma" w:cs="Tahoma"/>
                <w:sz w:val="20"/>
                <w:szCs w:val="20"/>
                <w:lang w:eastAsia="zh-CN" w:bidi="ar"/>
              </w:rPr>
              <w:t>4.25</w:t>
            </w:r>
          </w:p>
        </w:tc>
        <w:tc>
          <w:tcPr>
            <w:tcW w:w="1707" w:type="dxa"/>
          </w:tcPr>
          <w:p w14:paraId="3D555110" w14:textId="77777777" w:rsidR="004A39DF" w:rsidRDefault="00D9470C">
            <w:pPr>
              <w:jc w:val="both"/>
              <w:rPr>
                <w:rFonts w:ascii="Tahoma" w:hAnsi="Tahoma" w:cs="Tahoma"/>
                <w:sz w:val="20"/>
                <w:szCs w:val="20"/>
                <w:lang w:eastAsia="en-PH"/>
              </w:rPr>
            </w:pPr>
            <w:r>
              <w:rPr>
                <w:rFonts w:ascii="Arial" w:hAnsi="Arial" w:cs="Arial"/>
                <w:sz w:val="20"/>
                <w:szCs w:val="20"/>
                <w:lang w:val="en-PH"/>
              </w:rPr>
              <w:t>Very High</w:t>
            </w:r>
          </w:p>
        </w:tc>
      </w:tr>
      <w:tr w:rsidR="004A39DF" w14:paraId="50CDCEDA" w14:textId="77777777">
        <w:tc>
          <w:tcPr>
            <w:tcW w:w="4182" w:type="dxa"/>
          </w:tcPr>
          <w:p w14:paraId="41DFD3AD" w14:textId="77777777" w:rsidR="004A39DF" w:rsidRDefault="00D9470C">
            <w:pPr>
              <w:pStyle w:val="NoSpacing"/>
              <w:widowControl w:val="0"/>
              <w:jc w:val="both"/>
              <w:rPr>
                <w:rFonts w:ascii="Tahoma" w:hAnsi="Tahoma" w:cs="Tahoma"/>
                <w:sz w:val="20"/>
                <w:szCs w:val="20"/>
                <w:lang w:eastAsia="en-PH"/>
              </w:rPr>
            </w:pPr>
            <w:r>
              <w:rPr>
                <w:rFonts w:ascii="Tahoma" w:hAnsi="Tahoma" w:cs="Tahoma"/>
                <w:sz w:val="20"/>
                <w:szCs w:val="20"/>
                <w:lang w:eastAsia="en-PH"/>
              </w:rPr>
              <w:t xml:space="preserve">     Professional</w:t>
            </w:r>
            <w:r>
              <w:rPr>
                <w:rFonts w:ascii="Tahoma" w:hAnsi="Tahoma" w:cs="Tahoma"/>
                <w:sz w:val="20"/>
                <w:szCs w:val="20"/>
                <w:lang w:val="en-PH" w:eastAsia="en-PH"/>
              </w:rPr>
              <w:t xml:space="preserve"> Knowledge Support</w:t>
            </w:r>
          </w:p>
        </w:tc>
        <w:tc>
          <w:tcPr>
            <w:tcW w:w="733" w:type="dxa"/>
          </w:tcPr>
          <w:p w14:paraId="4DDEC0C7" w14:textId="77777777" w:rsidR="004A39DF" w:rsidRDefault="00D9470C">
            <w:pPr>
              <w:pStyle w:val="NoSpacing"/>
              <w:widowControl w:val="0"/>
              <w:jc w:val="center"/>
              <w:rPr>
                <w:rFonts w:ascii="Tahoma" w:hAnsi="Tahoma" w:cs="Tahoma"/>
                <w:sz w:val="20"/>
                <w:szCs w:val="20"/>
                <w:lang w:eastAsia="en-PH"/>
              </w:rPr>
            </w:pPr>
            <w:r>
              <w:rPr>
                <w:rFonts w:ascii="Tahoma" w:hAnsi="Tahoma" w:cs="Tahoma"/>
                <w:sz w:val="20"/>
                <w:szCs w:val="20"/>
                <w:lang w:eastAsia="en-PH"/>
              </w:rPr>
              <w:t>0.63</w:t>
            </w:r>
          </w:p>
        </w:tc>
        <w:tc>
          <w:tcPr>
            <w:tcW w:w="1203" w:type="dxa"/>
            <w:vAlign w:val="center"/>
          </w:tcPr>
          <w:p w14:paraId="02E5A5AD" w14:textId="77777777" w:rsidR="004A39DF" w:rsidRDefault="00D9470C">
            <w:pPr>
              <w:pStyle w:val="NoSpacing"/>
              <w:widowControl w:val="0"/>
              <w:jc w:val="center"/>
              <w:rPr>
                <w:rFonts w:ascii="Tahoma" w:hAnsi="Tahoma" w:cs="Tahoma"/>
                <w:sz w:val="20"/>
                <w:szCs w:val="20"/>
                <w:lang w:eastAsia="en-PH"/>
              </w:rPr>
            </w:pPr>
            <w:r>
              <w:rPr>
                <w:rFonts w:ascii="Tahoma" w:eastAsia="SimSun" w:hAnsi="Tahoma" w:cs="Tahoma"/>
                <w:sz w:val="20"/>
                <w:szCs w:val="20"/>
                <w:lang w:eastAsia="zh-CN" w:bidi="ar"/>
              </w:rPr>
              <w:t>4.17</w:t>
            </w:r>
          </w:p>
        </w:tc>
        <w:tc>
          <w:tcPr>
            <w:tcW w:w="1707" w:type="dxa"/>
          </w:tcPr>
          <w:p w14:paraId="3091D4D8" w14:textId="77777777" w:rsidR="004A39DF" w:rsidRDefault="00D9470C">
            <w:pPr>
              <w:jc w:val="both"/>
              <w:rPr>
                <w:rFonts w:ascii="Tahoma" w:hAnsi="Tahoma" w:cs="Tahoma"/>
                <w:sz w:val="20"/>
                <w:szCs w:val="20"/>
                <w:lang w:eastAsia="en-PH"/>
              </w:rPr>
            </w:pPr>
            <w:r>
              <w:rPr>
                <w:rFonts w:ascii="Arial" w:hAnsi="Arial" w:cs="Arial"/>
                <w:sz w:val="20"/>
                <w:szCs w:val="20"/>
                <w:lang w:val="en-PH"/>
              </w:rPr>
              <w:t>High</w:t>
            </w:r>
          </w:p>
        </w:tc>
      </w:tr>
      <w:tr w:rsidR="004A39DF" w14:paraId="6065AC82" w14:textId="77777777">
        <w:tc>
          <w:tcPr>
            <w:tcW w:w="4182" w:type="dxa"/>
          </w:tcPr>
          <w:p w14:paraId="500118DA" w14:textId="77777777" w:rsidR="004A39DF" w:rsidRDefault="00D9470C">
            <w:pPr>
              <w:pStyle w:val="NoSpacing"/>
              <w:widowControl w:val="0"/>
              <w:jc w:val="both"/>
              <w:rPr>
                <w:rFonts w:ascii="Tahoma" w:hAnsi="Tahoma" w:cs="Tahoma"/>
                <w:sz w:val="20"/>
                <w:szCs w:val="20"/>
                <w:lang w:eastAsia="en-PH"/>
              </w:rPr>
            </w:pPr>
            <w:r>
              <w:rPr>
                <w:rFonts w:ascii="Tahoma" w:hAnsi="Tahoma" w:cs="Tahoma"/>
                <w:sz w:val="20"/>
                <w:szCs w:val="20"/>
                <w:lang w:eastAsia="en-PH"/>
              </w:rPr>
              <w:t xml:space="preserve">     </w:t>
            </w:r>
            <w:r>
              <w:rPr>
                <w:rFonts w:ascii="Tahoma" w:hAnsi="Tahoma" w:cs="Tahoma"/>
                <w:sz w:val="20"/>
                <w:szCs w:val="20"/>
                <w:lang w:val="en-PH" w:eastAsia="en-PH"/>
              </w:rPr>
              <w:t>Instructional Process Support</w:t>
            </w:r>
          </w:p>
        </w:tc>
        <w:tc>
          <w:tcPr>
            <w:tcW w:w="733" w:type="dxa"/>
          </w:tcPr>
          <w:p w14:paraId="73FE6E95" w14:textId="77777777" w:rsidR="004A39DF" w:rsidRDefault="00D9470C">
            <w:pPr>
              <w:pStyle w:val="NoSpacing"/>
              <w:widowControl w:val="0"/>
              <w:jc w:val="center"/>
              <w:rPr>
                <w:rFonts w:ascii="Tahoma" w:hAnsi="Tahoma" w:cs="Tahoma"/>
                <w:sz w:val="20"/>
                <w:szCs w:val="20"/>
                <w:lang w:eastAsia="en-PH"/>
              </w:rPr>
            </w:pPr>
            <w:r>
              <w:rPr>
                <w:rFonts w:ascii="Tahoma" w:hAnsi="Tahoma" w:cs="Tahoma"/>
                <w:sz w:val="20"/>
                <w:szCs w:val="20"/>
                <w:lang w:eastAsia="en-PH"/>
              </w:rPr>
              <w:t>0.67</w:t>
            </w:r>
          </w:p>
        </w:tc>
        <w:tc>
          <w:tcPr>
            <w:tcW w:w="1203" w:type="dxa"/>
            <w:vAlign w:val="center"/>
          </w:tcPr>
          <w:p w14:paraId="11E711CC" w14:textId="77777777" w:rsidR="004A39DF" w:rsidRDefault="00D9470C">
            <w:pPr>
              <w:pStyle w:val="NoSpacing"/>
              <w:widowControl w:val="0"/>
              <w:jc w:val="center"/>
              <w:rPr>
                <w:rFonts w:ascii="Tahoma" w:hAnsi="Tahoma" w:cs="Tahoma"/>
                <w:sz w:val="20"/>
                <w:szCs w:val="20"/>
                <w:lang w:eastAsia="en-PH"/>
              </w:rPr>
            </w:pPr>
            <w:r>
              <w:rPr>
                <w:rFonts w:ascii="Tahoma" w:eastAsia="SimSun" w:hAnsi="Tahoma" w:cs="Tahoma"/>
                <w:sz w:val="20"/>
                <w:szCs w:val="20"/>
                <w:lang w:eastAsia="zh-CN" w:bidi="ar"/>
              </w:rPr>
              <w:t>4.19</w:t>
            </w:r>
          </w:p>
        </w:tc>
        <w:tc>
          <w:tcPr>
            <w:tcW w:w="1707" w:type="dxa"/>
          </w:tcPr>
          <w:p w14:paraId="39FB9769" w14:textId="77777777" w:rsidR="004A39DF" w:rsidRDefault="00D9470C">
            <w:pPr>
              <w:jc w:val="both"/>
              <w:rPr>
                <w:rFonts w:ascii="Tahoma" w:hAnsi="Tahoma" w:cs="Tahoma"/>
                <w:sz w:val="20"/>
                <w:szCs w:val="20"/>
                <w:lang w:eastAsia="en-PH"/>
              </w:rPr>
            </w:pPr>
            <w:r>
              <w:rPr>
                <w:rFonts w:ascii="Arial" w:hAnsi="Arial" w:cs="Arial"/>
                <w:sz w:val="20"/>
                <w:szCs w:val="20"/>
                <w:lang w:val="en-PH"/>
              </w:rPr>
              <w:t>High</w:t>
            </w:r>
          </w:p>
        </w:tc>
      </w:tr>
      <w:tr w:rsidR="004A39DF" w14:paraId="6998A00B" w14:textId="77777777">
        <w:tc>
          <w:tcPr>
            <w:tcW w:w="4182" w:type="dxa"/>
          </w:tcPr>
          <w:p w14:paraId="2327D166" w14:textId="77777777" w:rsidR="004A39DF" w:rsidRDefault="00D9470C">
            <w:pPr>
              <w:pStyle w:val="NoSpacing"/>
              <w:widowControl w:val="0"/>
              <w:jc w:val="both"/>
              <w:rPr>
                <w:rFonts w:ascii="Tahoma" w:hAnsi="Tahoma" w:cs="Tahoma"/>
                <w:sz w:val="20"/>
                <w:szCs w:val="20"/>
                <w:lang w:eastAsia="en-PH"/>
              </w:rPr>
            </w:pPr>
            <w:r>
              <w:rPr>
                <w:rFonts w:ascii="Tahoma" w:hAnsi="Tahoma" w:cs="Tahoma"/>
                <w:sz w:val="20"/>
                <w:szCs w:val="20"/>
                <w:lang w:eastAsia="en-PH"/>
              </w:rPr>
              <w:t xml:space="preserve">     </w:t>
            </w:r>
            <w:r>
              <w:rPr>
                <w:rFonts w:ascii="Tahoma" w:hAnsi="Tahoma" w:cs="Tahoma"/>
                <w:sz w:val="20"/>
                <w:szCs w:val="20"/>
                <w:lang w:val="en-PH" w:eastAsia="en-PH"/>
              </w:rPr>
              <w:t>Role Modeling Support</w:t>
            </w:r>
          </w:p>
        </w:tc>
        <w:tc>
          <w:tcPr>
            <w:tcW w:w="733" w:type="dxa"/>
          </w:tcPr>
          <w:p w14:paraId="729738D6" w14:textId="77777777" w:rsidR="004A39DF" w:rsidRDefault="00D9470C">
            <w:pPr>
              <w:pStyle w:val="NoSpacing"/>
              <w:widowControl w:val="0"/>
              <w:jc w:val="center"/>
              <w:rPr>
                <w:rFonts w:ascii="Tahoma" w:hAnsi="Tahoma" w:cs="Tahoma"/>
                <w:sz w:val="20"/>
                <w:szCs w:val="20"/>
                <w:lang w:eastAsia="en-PH"/>
              </w:rPr>
            </w:pPr>
            <w:r>
              <w:rPr>
                <w:rFonts w:ascii="Tahoma" w:hAnsi="Tahoma" w:cs="Tahoma"/>
                <w:sz w:val="20"/>
                <w:szCs w:val="20"/>
                <w:lang w:eastAsia="en-PH"/>
              </w:rPr>
              <w:t>0.65</w:t>
            </w:r>
          </w:p>
        </w:tc>
        <w:tc>
          <w:tcPr>
            <w:tcW w:w="1203" w:type="dxa"/>
            <w:vAlign w:val="center"/>
          </w:tcPr>
          <w:p w14:paraId="42E34E59" w14:textId="77777777" w:rsidR="004A39DF" w:rsidRDefault="00D9470C">
            <w:pPr>
              <w:pStyle w:val="NoSpacing"/>
              <w:widowControl w:val="0"/>
              <w:jc w:val="center"/>
              <w:rPr>
                <w:rFonts w:ascii="Tahoma" w:hAnsi="Tahoma" w:cs="Tahoma"/>
                <w:sz w:val="20"/>
                <w:szCs w:val="20"/>
                <w:lang w:eastAsia="en-PH"/>
              </w:rPr>
            </w:pPr>
            <w:r>
              <w:rPr>
                <w:rFonts w:ascii="Tahoma" w:eastAsia="SimSun" w:hAnsi="Tahoma" w:cs="Tahoma"/>
                <w:sz w:val="20"/>
                <w:szCs w:val="20"/>
                <w:lang w:eastAsia="zh-CN" w:bidi="ar"/>
              </w:rPr>
              <w:t>4.24</w:t>
            </w:r>
          </w:p>
        </w:tc>
        <w:tc>
          <w:tcPr>
            <w:tcW w:w="1707" w:type="dxa"/>
          </w:tcPr>
          <w:p w14:paraId="73ECAF31" w14:textId="77777777" w:rsidR="004A39DF" w:rsidRDefault="00D9470C">
            <w:pPr>
              <w:jc w:val="both"/>
              <w:rPr>
                <w:rFonts w:ascii="Tahoma" w:hAnsi="Tahoma" w:cs="Tahoma"/>
                <w:sz w:val="20"/>
                <w:szCs w:val="20"/>
                <w:lang w:eastAsia="en-PH"/>
              </w:rPr>
            </w:pPr>
            <w:r>
              <w:rPr>
                <w:rFonts w:ascii="Arial" w:hAnsi="Arial" w:cs="Arial"/>
                <w:sz w:val="20"/>
                <w:szCs w:val="20"/>
                <w:lang w:val="en-PH" w:bidi="ar"/>
              </w:rPr>
              <w:t>Very High</w:t>
            </w:r>
          </w:p>
        </w:tc>
      </w:tr>
      <w:tr w:rsidR="004A39DF" w14:paraId="7AB65E8F" w14:textId="77777777">
        <w:tc>
          <w:tcPr>
            <w:tcW w:w="4182" w:type="dxa"/>
          </w:tcPr>
          <w:p w14:paraId="380C6A52" w14:textId="77777777" w:rsidR="004A39DF" w:rsidRDefault="00D9470C">
            <w:pPr>
              <w:pStyle w:val="NoSpacing"/>
              <w:widowControl w:val="0"/>
              <w:rPr>
                <w:rFonts w:ascii="Tahoma" w:hAnsi="Tahoma" w:cs="Tahoma"/>
                <w:b/>
                <w:bCs/>
                <w:iCs/>
                <w:sz w:val="20"/>
                <w:szCs w:val="20"/>
                <w:lang w:val="en-PH" w:eastAsia="en-PH"/>
              </w:rPr>
            </w:pPr>
            <w:r>
              <w:rPr>
                <w:rFonts w:ascii="Tahoma" w:hAnsi="Tahoma" w:cs="Tahoma"/>
                <w:b/>
                <w:bCs/>
                <w:iCs/>
                <w:sz w:val="20"/>
                <w:szCs w:val="20"/>
                <w:lang w:val="en-PH" w:eastAsia="en-PH"/>
              </w:rPr>
              <w:t>Teaching Demonstration Performance</w:t>
            </w:r>
          </w:p>
        </w:tc>
        <w:tc>
          <w:tcPr>
            <w:tcW w:w="733" w:type="dxa"/>
          </w:tcPr>
          <w:p w14:paraId="1D1393E7" w14:textId="77777777" w:rsidR="004A39DF" w:rsidRDefault="00D9470C">
            <w:pPr>
              <w:pStyle w:val="NoSpacing"/>
              <w:widowControl w:val="0"/>
              <w:jc w:val="center"/>
              <w:rPr>
                <w:rFonts w:ascii="Tahoma" w:hAnsi="Tahoma" w:cs="Tahoma"/>
                <w:b/>
                <w:bCs/>
                <w:sz w:val="20"/>
                <w:szCs w:val="20"/>
                <w:lang w:eastAsia="en-PH"/>
              </w:rPr>
            </w:pPr>
            <w:r>
              <w:rPr>
                <w:rFonts w:ascii="Tahoma" w:hAnsi="Tahoma" w:cs="Tahoma"/>
                <w:b/>
                <w:bCs/>
                <w:sz w:val="20"/>
                <w:szCs w:val="20"/>
                <w:lang w:eastAsia="en-PH"/>
              </w:rPr>
              <w:t>0.36</w:t>
            </w:r>
          </w:p>
        </w:tc>
        <w:tc>
          <w:tcPr>
            <w:tcW w:w="1203" w:type="dxa"/>
            <w:vAlign w:val="center"/>
          </w:tcPr>
          <w:p w14:paraId="698EA631" w14:textId="77777777" w:rsidR="004A39DF" w:rsidRDefault="00D9470C">
            <w:pPr>
              <w:pStyle w:val="NoSpacing"/>
              <w:widowControl w:val="0"/>
              <w:jc w:val="center"/>
              <w:rPr>
                <w:rFonts w:ascii="Tahoma" w:hAnsi="Tahoma" w:cs="Tahoma"/>
                <w:b/>
                <w:bCs/>
                <w:sz w:val="20"/>
                <w:szCs w:val="20"/>
                <w:lang w:eastAsia="en-PH"/>
              </w:rPr>
            </w:pPr>
            <w:r>
              <w:rPr>
                <w:rFonts w:ascii="Tahoma" w:eastAsia="SimSun" w:hAnsi="Tahoma" w:cs="Tahoma"/>
                <w:b/>
                <w:bCs/>
                <w:sz w:val="20"/>
                <w:szCs w:val="20"/>
                <w:lang w:eastAsia="zh-CN" w:bidi="ar"/>
              </w:rPr>
              <w:t>4.41</w:t>
            </w:r>
          </w:p>
        </w:tc>
        <w:tc>
          <w:tcPr>
            <w:tcW w:w="1707" w:type="dxa"/>
          </w:tcPr>
          <w:p w14:paraId="0DF7F6BE" w14:textId="77777777" w:rsidR="004A39DF" w:rsidRDefault="00D9470C">
            <w:pPr>
              <w:pStyle w:val="NoSpacing"/>
              <w:widowControl w:val="0"/>
              <w:jc w:val="both"/>
              <w:rPr>
                <w:rFonts w:ascii="Tahoma" w:hAnsi="Tahoma" w:cs="Tahoma"/>
                <w:sz w:val="20"/>
                <w:szCs w:val="20"/>
                <w:lang w:eastAsia="en-PH"/>
              </w:rPr>
            </w:pPr>
            <w:r>
              <w:rPr>
                <w:rFonts w:ascii="Arial" w:hAnsi="Arial" w:cs="Arial"/>
                <w:b/>
                <w:bCs/>
                <w:sz w:val="20"/>
                <w:szCs w:val="20"/>
                <w:lang w:val="en-PH"/>
              </w:rPr>
              <w:t>Very High</w:t>
            </w:r>
          </w:p>
        </w:tc>
      </w:tr>
      <w:tr w:rsidR="004A39DF" w14:paraId="3960F7FF" w14:textId="77777777">
        <w:tc>
          <w:tcPr>
            <w:tcW w:w="4182" w:type="dxa"/>
          </w:tcPr>
          <w:p w14:paraId="6E6F5DCE" w14:textId="77777777" w:rsidR="004A39DF" w:rsidRDefault="00D9470C">
            <w:pPr>
              <w:pStyle w:val="NoSpacing"/>
              <w:widowControl w:val="0"/>
              <w:jc w:val="both"/>
              <w:rPr>
                <w:rFonts w:ascii="Tahoma" w:hAnsi="Tahoma" w:cs="Tahoma"/>
                <w:sz w:val="20"/>
                <w:szCs w:val="20"/>
                <w:lang w:eastAsia="en-PH"/>
              </w:rPr>
            </w:pPr>
            <w:r>
              <w:rPr>
                <w:rFonts w:ascii="Tahoma" w:hAnsi="Tahoma" w:cs="Tahoma"/>
                <w:sz w:val="20"/>
                <w:szCs w:val="20"/>
                <w:lang w:eastAsia="en-PH"/>
              </w:rPr>
              <w:t xml:space="preserve">     </w:t>
            </w:r>
            <w:r>
              <w:rPr>
                <w:rFonts w:ascii="Tahoma" w:hAnsi="Tahoma" w:cs="Tahoma"/>
                <w:sz w:val="20"/>
                <w:szCs w:val="20"/>
                <w:lang w:val="en-PH" w:eastAsia="en-PH"/>
              </w:rPr>
              <w:t>Lesson Planning</w:t>
            </w:r>
          </w:p>
        </w:tc>
        <w:tc>
          <w:tcPr>
            <w:tcW w:w="733" w:type="dxa"/>
          </w:tcPr>
          <w:p w14:paraId="2E0957AE" w14:textId="77777777" w:rsidR="004A39DF" w:rsidRDefault="00D9470C">
            <w:pPr>
              <w:pStyle w:val="NoSpacing"/>
              <w:widowControl w:val="0"/>
              <w:jc w:val="center"/>
              <w:rPr>
                <w:rFonts w:ascii="Tahoma" w:hAnsi="Tahoma" w:cs="Tahoma"/>
                <w:sz w:val="20"/>
                <w:szCs w:val="20"/>
                <w:lang w:eastAsia="en-PH"/>
              </w:rPr>
            </w:pPr>
            <w:r>
              <w:rPr>
                <w:rFonts w:ascii="Tahoma" w:hAnsi="Tahoma" w:cs="Tahoma"/>
                <w:sz w:val="20"/>
                <w:szCs w:val="20"/>
                <w:lang w:eastAsia="en-PH"/>
              </w:rPr>
              <w:t>0.58</w:t>
            </w:r>
          </w:p>
        </w:tc>
        <w:tc>
          <w:tcPr>
            <w:tcW w:w="1203" w:type="dxa"/>
            <w:vAlign w:val="center"/>
          </w:tcPr>
          <w:p w14:paraId="037F9A5A" w14:textId="77777777" w:rsidR="004A39DF" w:rsidRDefault="00D9470C">
            <w:pPr>
              <w:pStyle w:val="NoSpacing"/>
              <w:widowControl w:val="0"/>
              <w:jc w:val="center"/>
              <w:rPr>
                <w:rFonts w:ascii="Tahoma" w:hAnsi="Tahoma" w:cs="Tahoma"/>
                <w:sz w:val="20"/>
                <w:szCs w:val="20"/>
                <w:lang w:eastAsia="en-PH"/>
              </w:rPr>
            </w:pPr>
            <w:r>
              <w:rPr>
                <w:rFonts w:ascii="Tahoma" w:eastAsia="SimSun" w:hAnsi="Tahoma" w:cs="Tahoma"/>
                <w:sz w:val="20"/>
                <w:szCs w:val="20"/>
                <w:lang w:eastAsia="zh-CN" w:bidi="ar"/>
              </w:rPr>
              <w:t>4.51</w:t>
            </w:r>
          </w:p>
        </w:tc>
        <w:tc>
          <w:tcPr>
            <w:tcW w:w="1707" w:type="dxa"/>
          </w:tcPr>
          <w:p w14:paraId="7C2F7E68" w14:textId="77777777" w:rsidR="004A39DF" w:rsidRDefault="00D9470C">
            <w:pPr>
              <w:jc w:val="both"/>
              <w:rPr>
                <w:rFonts w:ascii="Tahoma" w:hAnsi="Tahoma" w:cs="Tahoma"/>
                <w:sz w:val="20"/>
                <w:szCs w:val="20"/>
                <w:lang w:eastAsia="en-PH"/>
              </w:rPr>
            </w:pPr>
            <w:r>
              <w:rPr>
                <w:rFonts w:ascii="Arial" w:hAnsi="Arial" w:cs="Arial"/>
                <w:sz w:val="20"/>
                <w:szCs w:val="20"/>
                <w:lang w:val="en-PH" w:bidi="ar"/>
              </w:rPr>
              <w:t>Very High</w:t>
            </w:r>
          </w:p>
        </w:tc>
      </w:tr>
      <w:tr w:rsidR="004A39DF" w14:paraId="67F902B8" w14:textId="77777777">
        <w:tc>
          <w:tcPr>
            <w:tcW w:w="4182" w:type="dxa"/>
          </w:tcPr>
          <w:p w14:paraId="67803469" w14:textId="77777777" w:rsidR="004A39DF" w:rsidRDefault="00D9470C">
            <w:pPr>
              <w:pStyle w:val="NoSpacing"/>
              <w:widowControl w:val="0"/>
              <w:jc w:val="both"/>
              <w:rPr>
                <w:rFonts w:ascii="Tahoma" w:hAnsi="Tahoma" w:cs="Tahoma"/>
                <w:sz w:val="20"/>
                <w:szCs w:val="20"/>
                <w:lang w:eastAsia="en-PH"/>
              </w:rPr>
            </w:pPr>
            <w:r>
              <w:rPr>
                <w:rFonts w:ascii="Tahoma" w:hAnsi="Tahoma" w:cs="Tahoma"/>
                <w:sz w:val="20"/>
                <w:szCs w:val="20"/>
                <w:lang w:eastAsia="en-PH"/>
              </w:rPr>
              <w:t xml:space="preserve">     </w:t>
            </w:r>
            <w:r>
              <w:rPr>
                <w:rFonts w:ascii="Tahoma" w:hAnsi="Tahoma" w:cs="Tahoma"/>
                <w:sz w:val="20"/>
                <w:szCs w:val="20"/>
                <w:lang w:val="en-PH" w:eastAsia="en-PH"/>
              </w:rPr>
              <w:t>Teaching Methods</w:t>
            </w:r>
          </w:p>
        </w:tc>
        <w:tc>
          <w:tcPr>
            <w:tcW w:w="733" w:type="dxa"/>
          </w:tcPr>
          <w:p w14:paraId="653A45DB" w14:textId="77777777" w:rsidR="004A39DF" w:rsidRDefault="00D9470C">
            <w:pPr>
              <w:pStyle w:val="NoSpacing"/>
              <w:widowControl w:val="0"/>
              <w:jc w:val="center"/>
              <w:rPr>
                <w:rFonts w:ascii="Tahoma" w:hAnsi="Tahoma" w:cs="Tahoma"/>
                <w:sz w:val="20"/>
                <w:szCs w:val="20"/>
                <w:lang w:eastAsia="en-PH"/>
              </w:rPr>
            </w:pPr>
            <w:r>
              <w:rPr>
                <w:rFonts w:ascii="Tahoma" w:hAnsi="Tahoma" w:cs="Tahoma"/>
                <w:sz w:val="20"/>
                <w:szCs w:val="20"/>
                <w:lang w:eastAsia="en-PH"/>
              </w:rPr>
              <w:t>0.44</w:t>
            </w:r>
          </w:p>
        </w:tc>
        <w:tc>
          <w:tcPr>
            <w:tcW w:w="1203" w:type="dxa"/>
            <w:vAlign w:val="center"/>
          </w:tcPr>
          <w:p w14:paraId="31CB88F6" w14:textId="77777777" w:rsidR="004A39DF" w:rsidRDefault="00D9470C">
            <w:pPr>
              <w:pStyle w:val="NoSpacing"/>
              <w:widowControl w:val="0"/>
              <w:jc w:val="center"/>
              <w:rPr>
                <w:rFonts w:ascii="Tahoma" w:hAnsi="Tahoma" w:cs="Tahoma"/>
                <w:sz w:val="20"/>
                <w:szCs w:val="20"/>
                <w:lang w:eastAsia="en-PH"/>
              </w:rPr>
            </w:pPr>
            <w:r>
              <w:rPr>
                <w:rFonts w:ascii="Tahoma" w:eastAsia="SimSun" w:hAnsi="Tahoma" w:cs="Tahoma"/>
                <w:sz w:val="20"/>
                <w:szCs w:val="20"/>
                <w:lang w:eastAsia="zh-CN" w:bidi="ar"/>
              </w:rPr>
              <w:t>4.34</w:t>
            </w:r>
          </w:p>
        </w:tc>
        <w:tc>
          <w:tcPr>
            <w:tcW w:w="1707" w:type="dxa"/>
          </w:tcPr>
          <w:p w14:paraId="2F90DDBF" w14:textId="77777777" w:rsidR="004A39DF" w:rsidRDefault="00D9470C">
            <w:pPr>
              <w:jc w:val="both"/>
              <w:rPr>
                <w:rFonts w:ascii="Tahoma" w:hAnsi="Tahoma" w:cs="Tahoma"/>
                <w:sz w:val="20"/>
                <w:szCs w:val="20"/>
                <w:lang w:eastAsia="en-PH"/>
              </w:rPr>
            </w:pPr>
            <w:r>
              <w:rPr>
                <w:rFonts w:ascii="Arial" w:hAnsi="Arial" w:cs="Arial"/>
                <w:sz w:val="20"/>
                <w:szCs w:val="20"/>
                <w:lang w:val="en-PH"/>
              </w:rPr>
              <w:t>Very High</w:t>
            </w:r>
          </w:p>
        </w:tc>
      </w:tr>
      <w:tr w:rsidR="004A39DF" w14:paraId="72BB2E6A" w14:textId="77777777">
        <w:tc>
          <w:tcPr>
            <w:tcW w:w="4182" w:type="dxa"/>
          </w:tcPr>
          <w:p w14:paraId="3AB5301B" w14:textId="77777777" w:rsidR="004A39DF" w:rsidRDefault="00D9470C">
            <w:pPr>
              <w:pStyle w:val="NoSpacing"/>
              <w:widowControl w:val="0"/>
              <w:jc w:val="both"/>
              <w:rPr>
                <w:rFonts w:ascii="Tahoma" w:hAnsi="Tahoma" w:cs="Tahoma"/>
                <w:sz w:val="20"/>
                <w:szCs w:val="20"/>
                <w:lang w:eastAsia="en-PH"/>
              </w:rPr>
            </w:pPr>
            <w:r>
              <w:rPr>
                <w:rFonts w:ascii="Tahoma" w:hAnsi="Tahoma" w:cs="Tahoma"/>
                <w:sz w:val="20"/>
                <w:szCs w:val="20"/>
                <w:lang w:eastAsia="en-PH"/>
              </w:rPr>
              <w:t xml:space="preserve">     </w:t>
            </w:r>
            <w:r>
              <w:rPr>
                <w:rFonts w:ascii="Tahoma" w:hAnsi="Tahoma" w:cs="Tahoma"/>
                <w:sz w:val="20"/>
                <w:szCs w:val="20"/>
                <w:lang w:val="en-PH" w:eastAsia="en-PH"/>
              </w:rPr>
              <w:t>Classroom Management</w:t>
            </w:r>
          </w:p>
        </w:tc>
        <w:tc>
          <w:tcPr>
            <w:tcW w:w="733" w:type="dxa"/>
          </w:tcPr>
          <w:p w14:paraId="05E677F1" w14:textId="77777777" w:rsidR="004A39DF" w:rsidRDefault="00D9470C">
            <w:pPr>
              <w:pStyle w:val="NoSpacing"/>
              <w:widowControl w:val="0"/>
              <w:jc w:val="center"/>
              <w:rPr>
                <w:rFonts w:ascii="Tahoma" w:hAnsi="Tahoma" w:cs="Tahoma"/>
                <w:sz w:val="20"/>
                <w:szCs w:val="20"/>
                <w:lang w:eastAsia="en-PH"/>
              </w:rPr>
            </w:pPr>
            <w:r>
              <w:rPr>
                <w:rFonts w:ascii="Tahoma" w:hAnsi="Tahoma" w:cs="Tahoma"/>
                <w:sz w:val="20"/>
                <w:szCs w:val="20"/>
                <w:lang w:eastAsia="en-PH"/>
              </w:rPr>
              <w:t>0.43</w:t>
            </w:r>
          </w:p>
        </w:tc>
        <w:tc>
          <w:tcPr>
            <w:tcW w:w="1203" w:type="dxa"/>
            <w:vAlign w:val="center"/>
          </w:tcPr>
          <w:p w14:paraId="2764E814" w14:textId="77777777" w:rsidR="004A39DF" w:rsidRDefault="00D9470C">
            <w:pPr>
              <w:pStyle w:val="NoSpacing"/>
              <w:widowControl w:val="0"/>
              <w:jc w:val="center"/>
              <w:rPr>
                <w:rFonts w:ascii="Tahoma" w:eastAsia="Aptos Narrow" w:hAnsi="Tahoma" w:cs="Tahoma"/>
                <w:sz w:val="20"/>
                <w:szCs w:val="20"/>
                <w:lang w:eastAsia="zh-CN" w:bidi="ar"/>
              </w:rPr>
            </w:pPr>
            <w:r>
              <w:rPr>
                <w:rFonts w:ascii="Tahoma" w:eastAsia="SimSun" w:hAnsi="Tahoma" w:cs="Tahoma"/>
                <w:sz w:val="20"/>
                <w:szCs w:val="20"/>
                <w:lang w:eastAsia="zh-CN" w:bidi="ar"/>
              </w:rPr>
              <w:t>4.33</w:t>
            </w:r>
          </w:p>
        </w:tc>
        <w:tc>
          <w:tcPr>
            <w:tcW w:w="1707" w:type="dxa"/>
          </w:tcPr>
          <w:p w14:paraId="62800E86" w14:textId="77777777" w:rsidR="004A39DF" w:rsidRDefault="00D9470C">
            <w:pPr>
              <w:jc w:val="both"/>
              <w:rPr>
                <w:rFonts w:ascii="Tahoma" w:hAnsi="Tahoma" w:cs="Tahoma"/>
                <w:sz w:val="20"/>
                <w:szCs w:val="20"/>
                <w:lang w:eastAsia="en-PH"/>
              </w:rPr>
            </w:pPr>
            <w:r>
              <w:rPr>
                <w:rFonts w:ascii="Arial" w:hAnsi="Arial" w:cs="Arial"/>
                <w:sz w:val="20"/>
                <w:szCs w:val="20"/>
                <w:lang w:val="en-PH"/>
              </w:rPr>
              <w:t>Very High</w:t>
            </w:r>
          </w:p>
        </w:tc>
      </w:tr>
      <w:tr w:rsidR="004A39DF" w14:paraId="2AE46BC9" w14:textId="77777777">
        <w:tc>
          <w:tcPr>
            <w:tcW w:w="4182" w:type="dxa"/>
          </w:tcPr>
          <w:p w14:paraId="146EA1A1" w14:textId="77777777" w:rsidR="004A39DF" w:rsidRDefault="00D9470C">
            <w:pPr>
              <w:pStyle w:val="NoSpacing"/>
              <w:widowControl w:val="0"/>
              <w:jc w:val="both"/>
              <w:rPr>
                <w:rFonts w:ascii="Tahoma" w:hAnsi="Tahoma" w:cs="Tahoma"/>
                <w:sz w:val="20"/>
                <w:szCs w:val="20"/>
                <w:lang w:eastAsia="en-PH"/>
              </w:rPr>
            </w:pPr>
            <w:r>
              <w:rPr>
                <w:rFonts w:ascii="Tahoma" w:hAnsi="Tahoma" w:cs="Tahoma"/>
                <w:sz w:val="20"/>
                <w:szCs w:val="20"/>
                <w:lang w:eastAsia="en-PH"/>
              </w:rPr>
              <w:t xml:space="preserve">     </w:t>
            </w:r>
            <w:r>
              <w:rPr>
                <w:rFonts w:ascii="Tahoma" w:hAnsi="Tahoma" w:cs="Tahoma"/>
                <w:sz w:val="20"/>
                <w:szCs w:val="20"/>
                <w:lang w:val="en-PH" w:eastAsia="en-PH"/>
              </w:rPr>
              <w:t>Communication Skills</w:t>
            </w:r>
          </w:p>
        </w:tc>
        <w:tc>
          <w:tcPr>
            <w:tcW w:w="733" w:type="dxa"/>
          </w:tcPr>
          <w:p w14:paraId="01603BBE" w14:textId="77777777" w:rsidR="004A39DF" w:rsidRDefault="00D9470C">
            <w:pPr>
              <w:pStyle w:val="NoSpacing"/>
              <w:widowControl w:val="0"/>
              <w:jc w:val="center"/>
              <w:rPr>
                <w:rFonts w:ascii="Tahoma" w:hAnsi="Tahoma" w:cs="Tahoma"/>
                <w:sz w:val="20"/>
                <w:szCs w:val="20"/>
                <w:lang w:eastAsia="en-PH"/>
              </w:rPr>
            </w:pPr>
            <w:r>
              <w:rPr>
                <w:rFonts w:ascii="Tahoma" w:hAnsi="Tahoma" w:cs="Tahoma"/>
                <w:sz w:val="20"/>
                <w:szCs w:val="20"/>
                <w:lang w:eastAsia="en-PH"/>
              </w:rPr>
              <w:t>0.44</w:t>
            </w:r>
          </w:p>
        </w:tc>
        <w:tc>
          <w:tcPr>
            <w:tcW w:w="1203" w:type="dxa"/>
            <w:vAlign w:val="center"/>
          </w:tcPr>
          <w:p w14:paraId="343EC893" w14:textId="77777777" w:rsidR="004A39DF" w:rsidRDefault="00D9470C">
            <w:pPr>
              <w:pStyle w:val="NoSpacing"/>
              <w:widowControl w:val="0"/>
              <w:jc w:val="center"/>
              <w:rPr>
                <w:rFonts w:ascii="Tahoma" w:eastAsia="Aptos Narrow" w:hAnsi="Tahoma" w:cs="Tahoma"/>
                <w:sz w:val="20"/>
                <w:szCs w:val="20"/>
                <w:lang w:eastAsia="zh-CN" w:bidi="ar"/>
              </w:rPr>
            </w:pPr>
            <w:r>
              <w:rPr>
                <w:rFonts w:ascii="Tahoma" w:eastAsia="SimSun" w:hAnsi="Tahoma" w:cs="Tahoma"/>
                <w:sz w:val="20"/>
                <w:szCs w:val="20"/>
                <w:lang w:eastAsia="zh-CN" w:bidi="ar"/>
              </w:rPr>
              <w:t>4.39</w:t>
            </w:r>
          </w:p>
        </w:tc>
        <w:tc>
          <w:tcPr>
            <w:tcW w:w="1707" w:type="dxa"/>
          </w:tcPr>
          <w:p w14:paraId="1FFF675A" w14:textId="77777777" w:rsidR="004A39DF" w:rsidRDefault="00D9470C">
            <w:pPr>
              <w:jc w:val="both"/>
              <w:rPr>
                <w:rFonts w:ascii="Tahoma" w:hAnsi="Tahoma" w:cs="Tahoma"/>
                <w:sz w:val="20"/>
                <w:szCs w:val="20"/>
                <w:lang w:eastAsia="en-PH"/>
              </w:rPr>
            </w:pPr>
            <w:r>
              <w:rPr>
                <w:rFonts w:ascii="Arial" w:hAnsi="Arial" w:cs="Arial"/>
                <w:sz w:val="20"/>
                <w:szCs w:val="20"/>
                <w:lang w:val="en-PH"/>
              </w:rPr>
              <w:t>Very High</w:t>
            </w:r>
          </w:p>
        </w:tc>
      </w:tr>
      <w:tr w:rsidR="004A39DF" w14:paraId="3228C72B" w14:textId="77777777">
        <w:tc>
          <w:tcPr>
            <w:tcW w:w="4182" w:type="dxa"/>
          </w:tcPr>
          <w:p w14:paraId="26CF453F" w14:textId="77777777" w:rsidR="004A39DF" w:rsidRDefault="00D9470C">
            <w:pPr>
              <w:pStyle w:val="NoSpacing"/>
              <w:widowControl w:val="0"/>
              <w:jc w:val="both"/>
              <w:rPr>
                <w:rFonts w:ascii="Tahoma" w:hAnsi="Tahoma" w:cs="Tahoma"/>
                <w:sz w:val="20"/>
                <w:szCs w:val="20"/>
                <w:lang w:eastAsia="en-PH"/>
              </w:rPr>
            </w:pPr>
            <w:r>
              <w:rPr>
                <w:rFonts w:ascii="Tahoma" w:hAnsi="Tahoma" w:cs="Tahoma"/>
                <w:sz w:val="20"/>
                <w:szCs w:val="20"/>
                <w:lang w:eastAsia="en-PH"/>
              </w:rPr>
              <w:t xml:space="preserve">     </w:t>
            </w:r>
            <w:r>
              <w:rPr>
                <w:rFonts w:ascii="Tahoma" w:hAnsi="Tahoma" w:cs="Tahoma"/>
                <w:sz w:val="20"/>
                <w:szCs w:val="20"/>
                <w:lang w:val="en-PH" w:eastAsia="en-PH"/>
              </w:rPr>
              <w:t>Teacher’s Personality</w:t>
            </w:r>
          </w:p>
        </w:tc>
        <w:tc>
          <w:tcPr>
            <w:tcW w:w="733" w:type="dxa"/>
          </w:tcPr>
          <w:p w14:paraId="32EF6F91" w14:textId="77777777" w:rsidR="004A39DF" w:rsidRDefault="00D9470C">
            <w:pPr>
              <w:pStyle w:val="NoSpacing"/>
              <w:widowControl w:val="0"/>
              <w:jc w:val="center"/>
              <w:rPr>
                <w:rFonts w:ascii="Tahoma" w:hAnsi="Tahoma" w:cs="Tahoma"/>
                <w:sz w:val="20"/>
                <w:szCs w:val="20"/>
                <w:lang w:eastAsia="en-PH"/>
              </w:rPr>
            </w:pPr>
            <w:r>
              <w:rPr>
                <w:rFonts w:ascii="Tahoma" w:hAnsi="Tahoma" w:cs="Tahoma"/>
                <w:sz w:val="20"/>
                <w:szCs w:val="20"/>
                <w:lang w:eastAsia="en-PH"/>
              </w:rPr>
              <w:t>0.36</w:t>
            </w:r>
          </w:p>
        </w:tc>
        <w:tc>
          <w:tcPr>
            <w:tcW w:w="1203" w:type="dxa"/>
            <w:vAlign w:val="center"/>
          </w:tcPr>
          <w:p w14:paraId="4CB9046A" w14:textId="77777777" w:rsidR="004A39DF" w:rsidRDefault="00D9470C">
            <w:pPr>
              <w:pStyle w:val="NoSpacing"/>
              <w:widowControl w:val="0"/>
              <w:jc w:val="center"/>
              <w:rPr>
                <w:rFonts w:ascii="Tahoma" w:eastAsia="Aptos Narrow" w:hAnsi="Tahoma" w:cs="Tahoma"/>
                <w:sz w:val="20"/>
                <w:szCs w:val="20"/>
                <w:lang w:eastAsia="zh-CN" w:bidi="ar"/>
              </w:rPr>
            </w:pPr>
            <w:r>
              <w:rPr>
                <w:rFonts w:ascii="Tahoma" w:eastAsia="SimSun" w:hAnsi="Tahoma" w:cs="Tahoma"/>
                <w:sz w:val="20"/>
                <w:szCs w:val="20"/>
                <w:lang w:eastAsia="zh-CN" w:bidi="ar"/>
              </w:rPr>
              <w:t>4.48</w:t>
            </w:r>
          </w:p>
        </w:tc>
        <w:tc>
          <w:tcPr>
            <w:tcW w:w="1707" w:type="dxa"/>
          </w:tcPr>
          <w:p w14:paraId="6B45F837" w14:textId="77777777" w:rsidR="004A39DF" w:rsidRDefault="00D9470C">
            <w:pPr>
              <w:jc w:val="both"/>
              <w:rPr>
                <w:rFonts w:ascii="Tahoma" w:hAnsi="Tahoma" w:cs="Tahoma"/>
                <w:sz w:val="20"/>
                <w:szCs w:val="20"/>
                <w:lang w:eastAsia="en-PH"/>
              </w:rPr>
            </w:pPr>
            <w:r>
              <w:rPr>
                <w:rFonts w:ascii="Arial" w:hAnsi="Arial" w:cs="Arial"/>
                <w:sz w:val="20"/>
                <w:szCs w:val="20"/>
                <w:lang w:val="en-PH"/>
              </w:rPr>
              <w:t>Very High</w:t>
            </w:r>
          </w:p>
        </w:tc>
      </w:tr>
    </w:tbl>
    <w:p w14:paraId="38795467" w14:textId="77777777" w:rsidR="004A39DF" w:rsidRDefault="004A39DF">
      <w:pPr>
        <w:pStyle w:val="Body"/>
        <w:spacing w:after="0"/>
        <w:rPr>
          <w:rFonts w:ascii="Arial" w:hAnsi="Arial" w:cs="Arial"/>
          <w:lang w:val="en-PH" w:bidi="ar"/>
        </w:rPr>
      </w:pPr>
    </w:p>
    <w:p w14:paraId="23AEF972" w14:textId="77777777" w:rsidR="004A39DF" w:rsidRDefault="00D9470C">
      <w:pPr>
        <w:snapToGrid w:val="0"/>
        <w:jc w:val="both"/>
        <w:rPr>
          <w:rFonts w:ascii="Arial" w:hAnsi="Arial" w:cs="Arial"/>
          <w:b/>
          <w:bCs/>
          <w:sz w:val="22"/>
          <w:szCs w:val="22"/>
          <w:lang w:val="en-PH" w:bidi="ar"/>
        </w:rPr>
      </w:pPr>
      <w:r>
        <w:rPr>
          <w:rFonts w:ascii="Arial" w:hAnsi="Arial" w:cs="Arial"/>
          <w:b/>
          <w:bCs/>
          <w:sz w:val="22"/>
          <w:szCs w:val="22"/>
          <w:lang w:val="en-PH"/>
        </w:rPr>
        <w:t xml:space="preserve">3.2. </w:t>
      </w:r>
      <w:r>
        <w:rPr>
          <w:rFonts w:ascii="Arial" w:hAnsi="Arial" w:cs="Arial"/>
          <w:b/>
          <w:bCs/>
          <w:sz w:val="22"/>
          <w:szCs w:val="22"/>
          <w:lang w:val="en-PH" w:bidi="ar"/>
        </w:rPr>
        <w:t xml:space="preserve">Relationship between teaching anxiety, </w:t>
      </w:r>
      <w:r>
        <w:rPr>
          <w:rFonts w:ascii="Arial" w:hAnsi="Arial" w:cs="Arial"/>
          <w:b/>
          <w:bCs/>
          <w:sz w:val="22"/>
          <w:szCs w:val="22"/>
          <w:shd w:val="clear" w:color="auto" w:fill="FFFFFF"/>
          <w:lang w:val="en-PH"/>
        </w:rPr>
        <w:t xml:space="preserve">teaching self-efficacy, </w:t>
      </w:r>
      <w:r>
        <w:rPr>
          <w:rFonts w:ascii="Arial" w:hAnsi="Arial" w:cs="Arial"/>
          <w:b/>
          <w:bCs/>
          <w:sz w:val="22"/>
          <w:szCs w:val="22"/>
          <w:lang w:val="en-PH" w:bidi="ar"/>
        </w:rPr>
        <w:t>t</w:t>
      </w:r>
      <w:r>
        <w:rPr>
          <w:rFonts w:ascii="Arial" w:hAnsi="Arial" w:cs="Arial"/>
          <w:b/>
          <w:bCs/>
          <w:sz w:val="22"/>
          <w:szCs w:val="22"/>
          <w:shd w:val="clear" w:color="auto" w:fill="FFFFFF"/>
          <w:lang w:val="en-PH"/>
        </w:rPr>
        <w:t>eacher support, and teaching demonstration performance of pre-service teachers</w:t>
      </w:r>
    </w:p>
    <w:p w14:paraId="5BF59066" w14:textId="77777777" w:rsidR="004A39DF" w:rsidRDefault="004A39DF">
      <w:pPr>
        <w:pStyle w:val="Body"/>
        <w:spacing w:after="0"/>
        <w:rPr>
          <w:rFonts w:ascii="Arial" w:hAnsi="Arial" w:cs="Arial"/>
          <w:lang w:val="en-PH"/>
        </w:rPr>
      </w:pPr>
    </w:p>
    <w:p w14:paraId="4FC49EBC" w14:textId="77777777" w:rsidR="004A39DF" w:rsidRDefault="00D9470C">
      <w:pPr>
        <w:ind w:firstLineChars="250" w:firstLine="500"/>
        <w:jc w:val="both"/>
        <w:rPr>
          <w:rFonts w:ascii="Arial" w:hAnsi="Arial"/>
          <w:lang w:val="en-PH"/>
        </w:rPr>
      </w:pPr>
      <w:r>
        <w:rPr>
          <w:rFonts w:ascii="Arial" w:hAnsi="Arial"/>
          <w:lang w:val="en-PH"/>
        </w:rPr>
        <w:t>Table 2 presents the significant relationship teaching anxiety, teaching self-efficacy, teacher support, and teaching demonstration performance of pre-service teachers. The table shows a correlation between teaching anxiety and teaching demonstration perfo</w:t>
      </w:r>
      <w:r>
        <w:rPr>
          <w:rFonts w:ascii="Arial" w:hAnsi="Arial"/>
          <w:lang w:val="en-PH"/>
        </w:rPr>
        <w:t xml:space="preserve">rmance with a p-value of 0.84, greater than 0.05 degree of confidence. Therefore, the null hypothesis was not rejected. It indicates that the correlation between the teaching anxiety of pre-service </w:t>
      </w:r>
      <w:r>
        <w:rPr>
          <w:rFonts w:ascii="Arial" w:hAnsi="Arial"/>
          <w:lang w:val="en-PH"/>
        </w:rPr>
        <w:lastRenderedPageBreak/>
        <w:t>teachers and teaching demonstration performance is not sig</w:t>
      </w:r>
      <w:r>
        <w:rPr>
          <w:rFonts w:ascii="Arial" w:hAnsi="Arial"/>
          <w:lang w:val="en-PH"/>
        </w:rPr>
        <w:t xml:space="preserve">nificant. Likewise, the correlation between the two variables obtained an </w:t>
      </w:r>
      <w:proofErr w:type="spellStart"/>
      <w:r>
        <w:rPr>
          <w:rFonts w:ascii="Arial" w:hAnsi="Arial"/>
          <w:lang w:val="en-PH"/>
        </w:rPr>
        <w:t>r-value</w:t>
      </w:r>
      <w:proofErr w:type="spellEnd"/>
      <w:r>
        <w:rPr>
          <w:rFonts w:ascii="Arial" w:hAnsi="Arial"/>
          <w:lang w:val="en-PH"/>
        </w:rPr>
        <w:t xml:space="preserve"> of 0.131, indicating a low correlation.</w:t>
      </w:r>
    </w:p>
    <w:p w14:paraId="2DF2EC79" w14:textId="77777777" w:rsidR="004A39DF" w:rsidRDefault="00D9470C">
      <w:pPr>
        <w:ind w:firstLineChars="250" w:firstLine="500"/>
        <w:jc w:val="both"/>
        <w:rPr>
          <w:rFonts w:ascii="Arial" w:hAnsi="Arial"/>
          <w:lang w:val="en-PH"/>
        </w:rPr>
      </w:pPr>
      <w:proofErr w:type="gramStart"/>
      <w:r>
        <w:rPr>
          <w:rFonts w:ascii="Arial" w:hAnsi="Arial"/>
          <w:lang w:val="en-PH"/>
        </w:rPr>
        <w:t>Meanwhile,  the</w:t>
      </w:r>
      <w:proofErr w:type="gramEnd"/>
      <w:r>
        <w:rPr>
          <w:rFonts w:ascii="Arial" w:hAnsi="Arial"/>
          <w:lang w:val="en-PH"/>
        </w:rPr>
        <w:t xml:space="preserve"> correlation between teaching self-efficacy and teaching demonstration performance obtained a p-value of .000, which is</w:t>
      </w:r>
      <w:r>
        <w:rPr>
          <w:rFonts w:ascii="Arial" w:hAnsi="Arial"/>
          <w:lang w:val="en-PH"/>
        </w:rPr>
        <w:t xml:space="preserve"> less than 0.05 degree of confidence; therefore, the null hypothesis was rejected. It indicates that the correlation between teaching self-efficacy and teaching demonstration performance is significant. In like manner, the correlation between Teaching Self</w:t>
      </w:r>
      <w:r>
        <w:rPr>
          <w:rFonts w:ascii="Arial" w:hAnsi="Arial"/>
          <w:lang w:val="en-PH"/>
        </w:rPr>
        <w:t xml:space="preserve">-Efficacy and Teaching Demonstration Performance has a </w:t>
      </w:r>
      <w:proofErr w:type="spellStart"/>
      <w:r>
        <w:rPr>
          <w:rFonts w:ascii="Arial" w:hAnsi="Arial"/>
          <w:lang w:val="en-PH"/>
        </w:rPr>
        <w:t>r-value</w:t>
      </w:r>
      <w:proofErr w:type="spellEnd"/>
      <w:r>
        <w:rPr>
          <w:rFonts w:ascii="Arial" w:hAnsi="Arial"/>
          <w:lang w:val="en-PH"/>
        </w:rPr>
        <w:t xml:space="preserve"> of 0.577, which indicates a moderately high correlation.</w:t>
      </w:r>
    </w:p>
    <w:p w14:paraId="571F3297" w14:textId="77777777" w:rsidR="004A39DF" w:rsidRDefault="00D9470C">
      <w:pPr>
        <w:ind w:firstLineChars="250" w:firstLine="500"/>
        <w:jc w:val="both"/>
        <w:rPr>
          <w:rFonts w:ascii="Arial" w:hAnsi="Arial"/>
          <w:lang w:val="en-PH"/>
        </w:rPr>
      </w:pPr>
      <w:r>
        <w:rPr>
          <w:rFonts w:ascii="Arial" w:hAnsi="Arial"/>
          <w:lang w:val="en-PH"/>
        </w:rPr>
        <w:t>Nevertheless, the correlation between teacher support and teaching demonstration performance acquired a p-value of .001, which is less t</w:t>
      </w:r>
      <w:r>
        <w:rPr>
          <w:rFonts w:ascii="Arial" w:hAnsi="Arial"/>
          <w:lang w:val="en-PH"/>
        </w:rPr>
        <w:t xml:space="preserve">han 0.05 degrees of confidence; therefore, the null hypothesis was rejected. It indicates a significant correlation between Teacher Support and Teaching Demonstration Performance. Also, the correlation between the two variables obtained an </w:t>
      </w:r>
      <w:proofErr w:type="spellStart"/>
      <w:r>
        <w:rPr>
          <w:rFonts w:ascii="Arial" w:hAnsi="Arial"/>
          <w:lang w:val="en-PH"/>
        </w:rPr>
        <w:t>r-value</w:t>
      </w:r>
      <w:proofErr w:type="spellEnd"/>
      <w:r>
        <w:rPr>
          <w:rFonts w:ascii="Arial" w:hAnsi="Arial"/>
          <w:lang w:val="en-PH"/>
        </w:rPr>
        <w:t xml:space="preserve"> of 0.234</w:t>
      </w:r>
      <w:r>
        <w:rPr>
          <w:rFonts w:ascii="Arial" w:hAnsi="Arial"/>
          <w:lang w:val="en-PH"/>
        </w:rPr>
        <w:t>, indicating a low correlation.</w:t>
      </w:r>
    </w:p>
    <w:p w14:paraId="013E0356" w14:textId="77777777" w:rsidR="004A39DF" w:rsidRDefault="00D9470C">
      <w:pPr>
        <w:ind w:firstLineChars="250" w:firstLine="500"/>
        <w:jc w:val="both"/>
        <w:rPr>
          <w:rFonts w:ascii="Arial" w:hAnsi="Arial"/>
          <w:lang w:val="en-PH"/>
        </w:rPr>
      </w:pPr>
      <w:r>
        <w:rPr>
          <w:rFonts w:ascii="Arial" w:hAnsi="Arial" w:cs="Arial"/>
        </w:rPr>
        <w:t>Th</w:t>
      </w:r>
      <w:r>
        <w:rPr>
          <w:rFonts w:ascii="Arial" w:hAnsi="Arial" w:cs="Arial"/>
          <w:lang w:val="en-PH"/>
        </w:rPr>
        <w:t>e result</w:t>
      </w:r>
      <w:r>
        <w:rPr>
          <w:rFonts w:ascii="Arial" w:hAnsi="Arial" w:cs="Arial"/>
        </w:rPr>
        <w:t xml:space="preserve"> aligns </w:t>
      </w:r>
      <w:r>
        <w:rPr>
          <w:rFonts w:ascii="Arial" w:hAnsi="Arial" w:cs="Arial"/>
          <w:lang w:val="en-PH"/>
        </w:rPr>
        <w:t xml:space="preserve">various with studies that support the findings. </w:t>
      </w:r>
      <w:r>
        <w:rPr>
          <w:rFonts w:ascii="Arial" w:hAnsi="Arial"/>
          <w:lang w:val="en-PH"/>
        </w:rPr>
        <w:t>Studies have found that teaching self-efficacy significantly influences pre-service teacher performance (</w:t>
      </w:r>
      <w:proofErr w:type="spellStart"/>
      <w:r>
        <w:rPr>
          <w:rFonts w:ascii="Arial" w:hAnsi="Arial"/>
          <w:lang w:val="en-PH"/>
        </w:rPr>
        <w:t>Octoria</w:t>
      </w:r>
      <w:proofErr w:type="spellEnd"/>
      <w:r>
        <w:rPr>
          <w:rFonts w:ascii="Arial" w:hAnsi="Arial"/>
          <w:lang w:val="en-PH"/>
        </w:rPr>
        <w:t xml:space="preserve"> et al., 2024) and increases during student te</w:t>
      </w:r>
      <w:r>
        <w:rPr>
          <w:rFonts w:ascii="Arial" w:hAnsi="Arial"/>
          <w:lang w:val="en-PH"/>
        </w:rPr>
        <w:t xml:space="preserve">aching experiences (Brown et al., 2019). A study by </w:t>
      </w:r>
      <w:proofErr w:type="spellStart"/>
      <w:r>
        <w:rPr>
          <w:rFonts w:ascii="Arial" w:hAnsi="Arial"/>
          <w:lang w:val="en-PH"/>
        </w:rPr>
        <w:t>Octoria</w:t>
      </w:r>
      <w:proofErr w:type="spellEnd"/>
      <w:r>
        <w:rPr>
          <w:rFonts w:ascii="Arial" w:hAnsi="Arial"/>
          <w:lang w:val="en-PH"/>
        </w:rPr>
        <w:t xml:space="preserve"> et al. (2024) found that higher self-efficacy levels significantly improved pre-service teachers' teaching performance. Similarly, Arrington (2023) reported that high teaching self-efficacy led to</w:t>
      </w:r>
      <w:r>
        <w:rPr>
          <w:rFonts w:ascii="Arial" w:hAnsi="Arial"/>
          <w:lang w:val="en-PH"/>
        </w:rPr>
        <w:t xml:space="preserve"> pre-service teachers demonstrating proactive classroom management and enhanced student engagement. However, Cheung et al. (2023) argue that pre-service teacher may demonstrate lower self-efficacy during teaching internship. Thus, research suggests that pr</w:t>
      </w:r>
      <w:r>
        <w:rPr>
          <w:rFonts w:ascii="Arial" w:hAnsi="Arial"/>
          <w:lang w:val="en-PH"/>
        </w:rPr>
        <w:t>e-service teachers' mindsets and motivations evolve during their practicum experiences, leading to increased resilience and a more pragmatic approach to teaching (</w:t>
      </w:r>
      <w:proofErr w:type="spellStart"/>
      <w:r>
        <w:rPr>
          <w:rFonts w:ascii="Arial" w:hAnsi="Arial"/>
          <w:lang w:val="en-PH"/>
        </w:rPr>
        <w:t>Soleas</w:t>
      </w:r>
      <w:proofErr w:type="spellEnd"/>
      <w:r>
        <w:rPr>
          <w:rFonts w:ascii="Arial" w:hAnsi="Arial"/>
          <w:lang w:val="en-PH"/>
        </w:rPr>
        <w:t xml:space="preserve"> &amp; Hong, 2020). </w:t>
      </w:r>
    </w:p>
    <w:p w14:paraId="2DA8227B" w14:textId="77777777" w:rsidR="004A39DF" w:rsidRDefault="00D9470C">
      <w:pPr>
        <w:ind w:firstLineChars="250" w:firstLine="500"/>
        <w:jc w:val="both"/>
        <w:rPr>
          <w:rFonts w:ascii="Arial" w:hAnsi="Arial"/>
          <w:lang w:val="en-PH"/>
        </w:rPr>
      </w:pPr>
      <w:r>
        <w:rPr>
          <w:rFonts w:ascii="Arial" w:hAnsi="Arial"/>
          <w:lang w:val="en-PH"/>
        </w:rPr>
        <w:t>Pre-service teachers who receive support from cooperating teachers are</w:t>
      </w:r>
      <w:r>
        <w:rPr>
          <w:rFonts w:ascii="Arial" w:hAnsi="Arial"/>
          <w:lang w:val="en-PH"/>
        </w:rPr>
        <w:t xml:space="preserve"> more likely to excel in their teaching demonstrations as they benefit from expert guidance and constructive feedback. The result was supported </w:t>
      </w:r>
      <w:proofErr w:type="gramStart"/>
      <w:r>
        <w:rPr>
          <w:rFonts w:ascii="Arial" w:hAnsi="Arial"/>
          <w:lang w:val="en-PH"/>
        </w:rPr>
        <w:t xml:space="preserve">by </w:t>
      </w:r>
      <w:r>
        <w:rPr>
          <w:rFonts w:ascii="Arial" w:eastAsia="Segoe UI" w:hAnsi="Arial" w:cs="Arial"/>
          <w:shd w:val="clear" w:color="auto" w:fill="FFFFFF"/>
        </w:rPr>
        <w:t xml:space="preserve"> Bautista</w:t>
      </w:r>
      <w:proofErr w:type="gramEnd"/>
      <w:r>
        <w:rPr>
          <w:rFonts w:ascii="Arial" w:eastAsia="Segoe UI" w:hAnsi="Arial" w:cs="Arial"/>
          <w:shd w:val="clear" w:color="auto" w:fill="FFFFFF"/>
        </w:rPr>
        <w:t>-Quispe et al.</w:t>
      </w:r>
      <w:r>
        <w:rPr>
          <w:rFonts w:ascii="Arial" w:eastAsia="Segoe UI" w:hAnsi="Arial" w:cs="Arial"/>
          <w:shd w:val="clear" w:color="auto" w:fill="FFFFFF"/>
          <w:lang w:val="en-PH"/>
        </w:rPr>
        <w:t xml:space="preserve"> (</w:t>
      </w:r>
      <w:r>
        <w:rPr>
          <w:rFonts w:ascii="Arial" w:eastAsia="Segoe UI" w:hAnsi="Arial" w:cs="Arial"/>
          <w:shd w:val="clear" w:color="auto" w:fill="FFFFFF"/>
        </w:rPr>
        <w:t>2023)</w:t>
      </w:r>
      <w:r>
        <w:rPr>
          <w:rFonts w:ascii="Arial" w:eastAsia="Segoe UI" w:hAnsi="Arial" w:cs="Arial"/>
          <w:shd w:val="clear" w:color="auto" w:fill="FFFFFF"/>
          <w:lang w:val="en-PH"/>
        </w:rPr>
        <w:t xml:space="preserve"> showing that teacher</w:t>
      </w:r>
      <w:r>
        <w:rPr>
          <w:rFonts w:ascii="Arial" w:eastAsia="Segoe UI" w:hAnsi="Arial" w:cs="Arial"/>
          <w:shd w:val="clear" w:color="auto" w:fill="FFFFFF"/>
        </w:rPr>
        <w:t xml:space="preserve"> support</w:t>
      </w:r>
      <w:r>
        <w:rPr>
          <w:rFonts w:ascii="Arial" w:eastAsia="Segoe UI" w:hAnsi="Arial" w:cs="Arial"/>
          <w:shd w:val="clear" w:color="auto" w:fill="FFFFFF"/>
          <w:lang w:val="en-PH"/>
        </w:rPr>
        <w:t xml:space="preserve"> </w:t>
      </w:r>
      <w:r>
        <w:rPr>
          <w:rFonts w:ascii="Arial" w:eastAsia="Segoe UI" w:hAnsi="Arial" w:cs="Arial"/>
          <w:shd w:val="clear" w:color="auto" w:fill="FFFFFF"/>
        </w:rPr>
        <w:t xml:space="preserve">have been shown to positively influence teaching </w:t>
      </w:r>
      <w:r>
        <w:rPr>
          <w:rFonts w:ascii="Arial" w:eastAsia="Segoe UI" w:hAnsi="Arial" w:cs="Arial"/>
          <w:shd w:val="clear" w:color="auto" w:fill="FFFFFF"/>
          <w:lang w:val="en-PH"/>
        </w:rPr>
        <w:t xml:space="preserve">demonstration </w:t>
      </w:r>
      <w:r>
        <w:rPr>
          <w:rFonts w:ascii="Arial" w:eastAsia="Segoe UI" w:hAnsi="Arial" w:cs="Arial"/>
          <w:shd w:val="clear" w:color="auto" w:fill="FFFFFF"/>
        </w:rPr>
        <w:t xml:space="preserve">performance </w:t>
      </w:r>
      <w:r>
        <w:rPr>
          <w:rFonts w:ascii="Arial" w:eastAsia="Segoe UI" w:hAnsi="Arial" w:cs="Arial"/>
          <w:shd w:val="clear" w:color="auto" w:fill="FFFFFF"/>
          <w:lang w:val="en-PH"/>
        </w:rPr>
        <w:t>of pre-service teachers</w:t>
      </w:r>
      <w:r>
        <w:rPr>
          <w:rFonts w:ascii="Arial" w:eastAsia="Segoe UI" w:hAnsi="Arial" w:cs="Arial"/>
          <w:shd w:val="clear" w:color="auto" w:fill="FFFFFF"/>
        </w:rPr>
        <w:t>.  Teacher support is also vital in fostering willingness to communicate and developing communicative competence among students (</w:t>
      </w:r>
      <w:proofErr w:type="spellStart"/>
      <w:r>
        <w:rPr>
          <w:rFonts w:ascii="Arial" w:eastAsia="Segoe UI" w:hAnsi="Arial" w:cs="Arial"/>
          <w:shd w:val="clear" w:color="auto" w:fill="FFFFFF"/>
        </w:rPr>
        <w:t>Borasheva</w:t>
      </w:r>
      <w:proofErr w:type="spellEnd"/>
      <w:r>
        <w:rPr>
          <w:rFonts w:ascii="Arial" w:eastAsia="Segoe UI" w:hAnsi="Arial" w:cs="Arial"/>
          <w:shd w:val="clear" w:color="auto" w:fill="FFFFFF"/>
        </w:rPr>
        <w:t xml:space="preserve">, 2024). </w:t>
      </w:r>
      <w:r>
        <w:rPr>
          <w:rFonts w:ascii="Arial" w:hAnsi="Arial"/>
          <w:lang w:val="en-PH"/>
        </w:rPr>
        <w:t>According to Kim T and Kim Y (2024), teacher support also en</w:t>
      </w:r>
      <w:r>
        <w:rPr>
          <w:rFonts w:ascii="Arial" w:hAnsi="Arial"/>
          <w:lang w:val="en-PH"/>
        </w:rPr>
        <w:t xml:space="preserve">hances instructional competence and promotes professional growth and resilience in pre-service teachers. </w:t>
      </w:r>
    </w:p>
    <w:p w14:paraId="3E24EADD" w14:textId="77777777" w:rsidR="004A39DF" w:rsidRDefault="00D9470C">
      <w:pPr>
        <w:ind w:firstLineChars="250" w:firstLine="500"/>
        <w:jc w:val="both"/>
        <w:rPr>
          <w:rFonts w:ascii="Arial" w:hAnsi="Arial"/>
          <w:lang w:val="en-PH"/>
        </w:rPr>
      </w:pPr>
      <w:r>
        <w:rPr>
          <w:rFonts w:ascii="Arial" w:hAnsi="Arial"/>
          <w:lang w:val="en-PH"/>
        </w:rPr>
        <w:t xml:space="preserve">Teaching anxiety does not have a meaningful impact on the teaching demonstrations of pre-service teachers. In the study of </w:t>
      </w:r>
      <w:proofErr w:type="spellStart"/>
      <w:r>
        <w:rPr>
          <w:rFonts w:ascii="Arial" w:hAnsi="Arial"/>
          <w:lang w:val="en-PH"/>
        </w:rPr>
        <w:t>Senler</w:t>
      </w:r>
      <w:proofErr w:type="spellEnd"/>
      <w:r>
        <w:rPr>
          <w:rFonts w:ascii="Arial" w:hAnsi="Arial"/>
          <w:lang w:val="en-PH"/>
        </w:rPr>
        <w:t xml:space="preserve"> (2016), it was revea</w:t>
      </w:r>
      <w:r>
        <w:rPr>
          <w:rFonts w:ascii="Arial" w:hAnsi="Arial"/>
          <w:lang w:val="en-PH"/>
        </w:rPr>
        <w:t>led that there was a low correlation with teaching self-efficacy and classroom performance. However, it was argued that anxiety levels can vary based on grade level placement and expectations from cooperating teachers (Gorospe, 2022). Self-efficacy is posi</w:t>
      </w:r>
      <w:r>
        <w:rPr>
          <w:rFonts w:ascii="Arial" w:hAnsi="Arial"/>
          <w:lang w:val="en-PH"/>
        </w:rPr>
        <w:t xml:space="preserve">tively associated with teaching performance and can help teachers manage anxieties (Bantilan et al., 2024; </w:t>
      </w:r>
      <w:proofErr w:type="spellStart"/>
      <w:r>
        <w:rPr>
          <w:rFonts w:ascii="Arial" w:hAnsi="Arial"/>
          <w:lang w:val="en-PH"/>
        </w:rPr>
        <w:t>Senler</w:t>
      </w:r>
      <w:proofErr w:type="spellEnd"/>
      <w:r>
        <w:rPr>
          <w:rFonts w:ascii="Arial" w:hAnsi="Arial"/>
          <w:lang w:val="en-PH"/>
        </w:rPr>
        <w:t>, 2016). Factors influencing anxiety include classroom management, limited resources, and professional development opportunities (Bantilan et a</w:t>
      </w:r>
      <w:r>
        <w:rPr>
          <w:rFonts w:ascii="Arial" w:hAnsi="Arial"/>
          <w:lang w:val="en-PH"/>
        </w:rPr>
        <w:t>l., 2024; Gorospe, 2022). Attitude toward teaching is positively linked to self-efficacy and negatively to anxiety (</w:t>
      </w:r>
      <w:proofErr w:type="spellStart"/>
      <w:r>
        <w:rPr>
          <w:rFonts w:ascii="Arial" w:hAnsi="Arial"/>
          <w:lang w:val="en-PH"/>
        </w:rPr>
        <w:t>Senler</w:t>
      </w:r>
      <w:proofErr w:type="spellEnd"/>
      <w:r>
        <w:rPr>
          <w:rFonts w:ascii="Arial" w:hAnsi="Arial"/>
          <w:lang w:val="en-PH"/>
        </w:rPr>
        <w:t>, 2016). To address these issues, researchers recommend better preparation for internships, increased teaching practice, and professio</w:t>
      </w:r>
      <w:r>
        <w:rPr>
          <w:rFonts w:ascii="Arial" w:hAnsi="Arial"/>
          <w:lang w:val="en-PH"/>
        </w:rPr>
        <w:t>nal development plans (Gorospe, 2022; Bantilan et al., 2024). Fostering positive attitudes and providing support systems appear crucial for enhancing pre-service teachers' self-efficacy and performance while reducing anxiety.</w:t>
      </w:r>
    </w:p>
    <w:p w14:paraId="5B99B637" w14:textId="77777777" w:rsidR="004A39DF" w:rsidRDefault="004A39DF">
      <w:pPr>
        <w:ind w:firstLineChars="250" w:firstLine="500"/>
        <w:jc w:val="center"/>
        <w:rPr>
          <w:rFonts w:ascii="Arial" w:hAnsi="Arial"/>
          <w:lang w:val="en-PH"/>
        </w:rPr>
      </w:pPr>
    </w:p>
    <w:p w14:paraId="55962AC0" w14:textId="77777777" w:rsidR="004A39DF" w:rsidRDefault="004A39DF">
      <w:pPr>
        <w:ind w:firstLineChars="250" w:firstLine="500"/>
        <w:jc w:val="center"/>
        <w:rPr>
          <w:rFonts w:ascii="Arial" w:hAnsi="Arial"/>
          <w:lang w:val="en-PH"/>
        </w:rPr>
      </w:pPr>
    </w:p>
    <w:p w14:paraId="091ADA23" w14:textId="77777777" w:rsidR="004A39DF" w:rsidRDefault="004A39DF">
      <w:pPr>
        <w:ind w:firstLineChars="250" w:firstLine="500"/>
        <w:jc w:val="center"/>
        <w:rPr>
          <w:rFonts w:ascii="Arial" w:hAnsi="Arial"/>
          <w:lang w:val="en-PH"/>
        </w:rPr>
      </w:pPr>
    </w:p>
    <w:p w14:paraId="464D6D47" w14:textId="77777777" w:rsidR="004A39DF" w:rsidRDefault="004A39DF">
      <w:pPr>
        <w:ind w:firstLineChars="250" w:firstLine="500"/>
        <w:jc w:val="center"/>
        <w:rPr>
          <w:rFonts w:ascii="Arial" w:hAnsi="Arial"/>
          <w:lang w:val="en-PH"/>
        </w:rPr>
      </w:pPr>
    </w:p>
    <w:p w14:paraId="241451A6" w14:textId="77777777" w:rsidR="004A39DF" w:rsidRDefault="00D9470C">
      <w:pPr>
        <w:snapToGrid w:val="0"/>
        <w:jc w:val="center"/>
        <w:rPr>
          <w:rFonts w:ascii="Arial" w:hAnsi="Arial" w:cs="Arial"/>
          <w:b/>
          <w:bCs/>
          <w:lang w:val="en-PH" w:bidi="ar"/>
        </w:rPr>
      </w:pPr>
      <w:r>
        <w:rPr>
          <w:rFonts w:ascii="Arial" w:hAnsi="Arial"/>
          <w:b/>
          <w:bCs/>
          <w:lang w:val="en-PH"/>
        </w:rPr>
        <w:t xml:space="preserve">Table 2. </w:t>
      </w:r>
      <w:r>
        <w:rPr>
          <w:rFonts w:ascii="Arial" w:hAnsi="Arial" w:cs="Arial"/>
          <w:b/>
          <w:bCs/>
          <w:lang w:val="en-PH" w:bidi="ar"/>
        </w:rPr>
        <w:t>Relationship betw</w:t>
      </w:r>
      <w:r>
        <w:rPr>
          <w:rFonts w:ascii="Arial" w:hAnsi="Arial" w:cs="Arial"/>
          <w:b/>
          <w:bCs/>
          <w:lang w:val="en-PH" w:bidi="ar"/>
        </w:rPr>
        <w:t xml:space="preserve">een Teaching Anxiety, </w:t>
      </w:r>
      <w:r>
        <w:rPr>
          <w:rFonts w:ascii="Arial" w:hAnsi="Arial" w:cs="Arial"/>
          <w:b/>
          <w:bCs/>
          <w:shd w:val="clear" w:color="auto" w:fill="FFFFFF"/>
          <w:lang w:val="en-PH"/>
        </w:rPr>
        <w:t xml:space="preserve">Teaching Self-efficacy, </w:t>
      </w:r>
      <w:r>
        <w:rPr>
          <w:rFonts w:ascii="Arial" w:hAnsi="Arial" w:cs="Arial"/>
          <w:b/>
          <w:bCs/>
          <w:lang w:val="en-PH" w:bidi="ar"/>
        </w:rPr>
        <w:t>T</w:t>
      </w:r>
      <w:r>
        <w:rPr>
          <w:rFonts w:ascii="Arial" w:hAnsi="Arial" w:cs="Arial"/>
          <w:b/>
          <w:bCs/>
          <w:shd w:val="clear" w:color="auto" w:fill="FFFFFF"/>
          <w:lang w:val="en-PH"/>
        </w:rPr>
        <w:t>eacher Support, and Teaching Demonstration Performance of Pre-service Teachers</w:t>
      </w:r>
    </w:p>
    <w:p w14:paraId="692859CC" w14:textId="77777777" w:rsidR="004A39DF" w:rsidRDefault="004A39DF">
      <w:pPr>
        <w:ind w:firstLineChars="250" w:firstLine="500"/>
        <w:jc w:val="both"/>
        <w:rPr>
          <w:rFonts w:ascii="Arial" w:hAnsi="Arial"/>
          <w:lang w:val="en-PH"/>
        </w:rPr>
      </w:pPr>
    </w:p>
    <w:tbl>
      <w:tblPr>
        <w:tblStyle w:val="TableGrid"/>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0"/>
        <w:gridCol w:w="1124"/>
        <w:gridCol w:w="140"/>
        <w:gridCol w:w="1048"/>
        <w:gridCol w:w="136"/>
        <w:gridCol w:w="1887"/>
        <w:gridCol w:w="1627"/>
      </w:tblGrid>
      <w:tr w:rsidR="004A39DF" w14:paraId="424BC4ED" w14:textId="77777777">
        <w:trPr>
          <w:trHeight w:val="284"/>
        </w:trPr>
        <w:tc>
          <w:tcPr>
            <w:tcW w:w="1460" w:type="pct"/>
            <w:vMerge w:val="restart"/>
            <w:tcBorders>
              <w:top w:val="single" w:sz="18" w:space="0" w:color="auto"/>
              <w:bottom w:val="single" w:sz="4" w:space="0" w:color="auto"/>
            </w:tcBorders>
          </w:tcPr>
          <w:p w14:paraId="493A6A36" w14:textId="77777777" w:rsidR="004A39DF" w:rsidRDefault="004A39DF">
            <w:pPr>
              <w:pStyle w:val="NoSpacing"/>
              <w:keepLines/>
              <w:jc w:val="both"/>
              <w:rPr>
                <w:rFonts w:ascii="Arial" w:hAnsi="Arial" w:cs="Arial"/>
                <w:sz w:val="20"/>
                <w:szCs w:val="20"/>
                <w:lang w:eastAsia="en-PH"/>
              </w:rPr>
            </w:pPr>
          </w:p>
        </w:tc>
        <w:tc>
          <w:tcPr>
            <w:tcW w:w="3539" w:type="pct"/>
            <w:gridSpan w:val="6"/>
            <w:tcBorders>
              <w:top w:val="single" w:sz="18" w:space="0" w:color="auto"/>
              <w:bottom w:val="single" w:sz="4" w:space="0" w:color="auto"/>
            </w:tcBorders>
          </w:tcPr>
          <w:p w14:paraId="61097148" w14:textId="77777777" w:rsidR="004A39DF" w:rsidRDefault="00D9470C">
            <w:pPr>
              <w:pStyle w:val="NoSpacing"/>
              <w:keepLines/>
              <w:jc w:val="center"/>
              <w:rPr>
                <w:rFonts w:ascii="Arial" w:hAnsi="Arial" w:cs="Arial"/>
                <w:sz w:val="20"/>
                <w:szCs w:val="20"/>
                <w:lang w:eastAsia="en-PH"/>
              </w:rPr>
            </w:pPr>
            <w:r>
              <w:rPr>
                <w:rFonts w:ascii="Arial" w:hAnsi="Arial" w:cs="Arial"/>
                <w:sz w:val="20"/>
                <w:szCs w:val="20"/>
                <w:lang w:eastAsia="en-PH"/>
              </w:rPr>
              <w:t>Teaching Demonstration Performance</w:t>
            </w:r>
          </w:p>
        </w:tc>
      </w:tr>
      <w:tr w:rsidR="004A39DF" w14:paraId="345D7A70" w14:textId="77777777">
        <w:trPr>
          <w:trHeight w:val="148"/>
        </w:trPr>
        <w:tc>
          <w:tcPr>
            <w:tcW w:w="1460" w:type="pct"/>
            <w:vMerge/>
            <w:tcBorders>
              <w:top w:val="single" w:sz="4" w:space="0" w:color="auto"/>
            </w:tcBorders>
          </w:tcPr>
          <w:p w14:paraId="6FCE95E8" w14:textId="77777777" w:rsidR="004A39DF" w:rsidRDefault="004A39DF">
            <w:pPr>
              <w:pStyle w:val="NoSpacing"/>
              <w:keepLines/>
              <w:jc w:val="both"/>
              <w:rPr>
                <w:rFonts w:ascii="Arial" w:hAnsi="Arial" w:cs="Arial"/>
                <w:sz w:val="20"/>
                <w:szCs w:val="20"/>
                <w:lang w:eastAsia="en-PH"/>
              </w:rPr>
            </w:pPr>
          </w:p>
        </w:tc>
        <w:tc>
          <w:tcPr>
            <w:tcW w:w="750" w:type="pct"/>
            <w:gridSpan w:val="2"/>
            <w:tcBorders>
              <w:top w:val="single" w:sz="4" w:space="0" w:color="auto"/>
              <w:bottom w:val="single" w:sz="4" w:space="0" w:color="auto"/>
            </w:tcBorders>
          </w:tcPr>
          <w:p w14:paraId="6359CF01" w14:textId="77777777" w:rsidR="004A39DF" w:rsidRDefault="00D9470C">
            <w:pPr>
              <w:pStyle w:val="NoSpacing"/>
              <w:keepLines/>
              <w:jc w:val="center"/>
              <w:rPr>
                <w:rFonts w:ascii="Arial" w:hAnsi="Arial" w:cs="Arial"/>
                <w:b/>
                <w:bCs/>
                <w:sz w:val="20"/>
                <w:szCs w:val="20"/>
                <w:lang w:eastAsia="en-PH"/>
              </w:rPr>
            </w:pPr>
            <m:oMathPara>
              <m:oMath>
                <m:r>
                  <m:rPr>
                    <m:sty m:val="bi"/>
                  </m:rPr>
                  <w:rPr>
                    <w:rFonts w:ascii="Cambria Math" w:hAnsi="Cambria Math" w:cs="Arial"/>
                    <w:sz w:val="20"/>
                    <w:szCs w:val="20"/>
                    <w:lang w:eastAsia="en-PH"/>
                  </w:rPr>
                  <m:t>r</m:t>
                </m:r>
                <m:r>
                  <m:rPr>
                    <m:sty m:val="bi"/>
                  </m:rPr>
                  <w:rPr>
                    <w:rFonts w:ascii="Cambria Math" w:hAnsi="Cambria Math" w:cs="Arial"/>
                    <w:sz w:val="20"/>
                    <w:szCs w:val="20"/>
                    <w:lang w:eastAsia="en-PH"/>
                  </w:rPr>
                  <m:t>-</m:t>
                </m:r>
                <m:r>
                  <m:rPr>
                    <m:sty m:val="bi"/>
                  </m:rPr>
                  <w:rPr>
                    <w:rFonts w:ascii="Cambria Math" w:hAnsi="Cambria Math" w:cs="Arial"/>
                    <w:sz w:val="20"/>
                    <w:szCs w:val="20"/>
                    <w:lang w:eastAsia="en-PH"/>
                  </w:rPr>
                  <m:t>Value</m:t>
                </m:r>
              </m:oMath>
            </m:oMathPara>
          </w:p>
        </w:tc>
        <w:tc>
          <w:tcPr>
            <w:tcW w:w="703" w:type="pct"/>
            <w:gridSpan w:val="2"/>
            <w:tcBorders>
              <w:top w:val="single" w:sz="4" w:space="0" w:color="auto"/>
              <w:bottom w:val="single" w:sz="4" w:space="0" w:color="auto"/>
            </w:tcBorders>
          </w:tcPr>
          <w:p w14:paraId="07673E98" w14:textId="77777777" w:rsidR="004A39DF" w:rsidRDefault="00D9470C">
            <w:pPr>
              <w:pStyle w:val="NoSpacing"/>
              <w:keepLines/>
              <w:jc w:val="center"/>
              <w:rPr>
                <w:rFonts w:ascii="Arial" w:hAnsi="Arial" w:cs="Arial"/>
                <w:b/>
                <w:bCs/>
                <w:sz w:val="20"/>
                <w:szCs w:val="20"/>
                <w:lang w:eastAsia="en-PH"/>
              </w:rPr>
            </w:pPr>
            <m:oMathPara>
              <m:oMath>
                <m:r>
                  <m:rPr>
                    <m:sty m:val="bi"/>
                  </m:rPr>
                  <w:rPr>
                    <w:rFonts w:ascii="Cambria Math" w:hAnsi="Cambria Math" w:cs="Arial"/>
                    <w:sz w:val="20"/>
                    <w:szCs w:val="20"/>
                    <w:lang w:eastAsia="en-PH"/>
                  </w:rPr>
                  <m:t>p</m:t>
                </m:r>
                <m:r>
                  <m:rPr>
                    <m:sty m:val="bi"/>
                  </m:rPr>
                  <w:rPr>
                    <w:rFonts w:ascii="Cambria Math" w:hAnsi="Cambria Math" w:cs="Arial"/>
                    <w:sz w:val="20"/>
                    <w:szCs w:val="20"/>
                    <w:lang w:eastAsia="en-PH"/>
                  </w:rPr>
                  <m:t>-</m:t>
                </m:r>
                <m:r>
                  <m:rPr>
                    <m:sty m:val="bi"/>
                  </m:rPr>
                  <w:rPr>
                    <w:rFonts w:ascii="Cambria Math" w:hAnsi="Cambria Math" w:cs="Arial"/>
                    <w:sz w:val="20"/>
                    <w:szCs w:val="20"/>
                    <w:lang w:eastAsia="en-PH"/>
                  </w:rPr>
                  <m:t>Value</m:t>
                </m:r>
              </m:oMath>
            </m:oMathPara>
          </w:p>
        </w:tc>
        <w:tc>
          <w:tcPr>
            <w:tcW w:w="1120" w:type="pct"/>
            <w:tcBorders>
              <w:top w:val="single" w:sz="4" w:space="0" w:color="auto"/>
              <w:bottom w:val="single" w:sz="4" w:space="0" w:color="auto"/>
            </w:tcBorders>
          </w:tcPr>
          <w:p w14:paraId="1ED90FE8" w14:textId="77777777" w:rsidR="004A39DF" w:rsidRDefault="00D9470C">
            <w:pPr>
              <w:pStyle w:val="NoSpacing"/>
              <w:keepLines/>
              <w:jc w:val="center"/>
              <w:rPr>
                <w:rFonts w:ascii="Arial" w:hAnsi="Arial" w:cs="Arial"/>
                <w:b/>
                <w:bCs/>
                <w:sz w:val="20"/>
                <w:szCs w:val="20"/>
                <w:lang w:eastAsia="en-PH"/>
              </w:rPr>
            </w:pPr>
            <w:r>
              <w:rPr>
                <w:rFonts w:ascii="Arial" w:hAnsi="Arial" w:cs="Arial"/>
                <w:b/>
                <w:bCs/>
                <w:sz w:val="20"/>
                <w:szCs w:val="20"/>
                <w:lang w:eastAsia="en-PH"/>
              </w:rPr>
              <w:t xml:space="preserve">Decision on </w:t>
            </w:r>
            <m:oMath>
              <m:r>
                <m:rPr>
                  <m:sty m:val="bi"/>
                </m:rPr>
                <w:rPr>
                  <w:rFonts w:ascii="Cambria Math" w:hAnsi="Cambria Math" w:cs="Arial"/>
                  <w:sz w:val="20"/>
                  <w:szCs w:val="20"/>
                  <w:lang w:eastAsia="en-PH"/>
                </w:rPr>
                <m:t>Ho</m:t>
              </m:r>
            </m:oMath>
          </w:p>
        </w:tc>
        <w:tc>
          <w:tcPr>
            <w:tcW w:w="965" w:type="pct"/>
            <w:tcBorders>
              <w:top w:val="single" w:sz="4" w:space="0" w:color="auto"/>
              <w:bottom w:val="single" w:sz="4" w:space="0" w:color="auto"/>
            </w:tcBorders>
          </w:tcPr>
          <w:p w14:paraId="08440416" w14:textId="77777777" w:rsidR="004A39DF" w:rsidRDefault="00D9470C">
            <w:pPr>
              <w:pStyle w:val="NoSpacing"/>
              <w:keepLines/>
              <w:jc w:val="center"/>
              <w:rPr>
                <w:rFonts w:ascii="Arial" w:hAnsi="Arial" w:cs="Arial"/>
                <w:b/>
                <w:bCs/>
                <w:sz w:val="20"/>
                <w:szCs w:val="20"/>
                <w:lang w:eastAsia="en-PH"/>
              </w:rPr>
            </w:pPr>
            <w:r>
              <w:rPr>
                <w:rFonts w:ascii="Arial" w:hAnsi="Arial" w:cs="Arial"/>
                <w:b/>
                <w:bCs/>
                <w:sz w:val="20"/>
                <w:szCs w:val="20"/>
                <w:lang w:eastAsia="en-PH"/>
              </w:rPr>
              <w:t>Interpretation</w:t>
            </w:r>
          </w:p>
        </w:tc>
      </w:tr>
      <w:tr w:rsidR="004A39DF" w14:paraId="71C26947" w14:textId="77777777">
        <w:trPr>
          <w:trHeight w:val="804"/>
        </w:trPr>
        <w:tc>
          <w:tcPr>
            <w:tcW w:w="1460" w:type="pct"/>
          </w:tcPr>
          <w:p w14:paraId="012EE83E" w14:textId="77777777" w:rsidR="004A39DF" w:rsidRDefault="004A39DF">
            <w:pPr>
              <w:keepLines/>
              <w:jc w:val="both"/>
              <w:rPr>
                <w:rFonts w:ascii="Arial" w:hAnsi="Arial" w:cs="Arial"/>
                <w:sz w:val="20"/>
                <w:szCs w:val="20"/>
                <w:lang w:eastAsia="en-PH"/>
              </w:rPr>
            </w:pPr>
          </w:p>
          <w:p w14:paraId="7F9045EC" w14:textId="77777777" w:rsidR="004A39DF" w:rsidRDefault="00D9470C">
            <w:pPr>
              <w:keepLines/>
              <w:jc w:val="both"/>
              <w:rPr>
                <w:rFonts w:ascii="Arial" w:hAnsi="Arial" w:cs="Arial"/>
                <w:sz w:val="20"/>
                <w:szCs w:val="20"/>
                <w:lang w:eastAsia="en-PH"/>
              </w:rPr>
            </w:pPr>
            <w:r>
              <w:rPr>
                <w:rFonts w:ascii="Arial" w:hAnsi="Arial" w:cs="Arial"/>
                <w:sz w:val="20"/>
                <w:szCs w:val="20"/>
                <w:lang w:eastAsia="en-PH"/>
              </w:rPr>
              <w:t xml:space="preserve">Teaching Anxiety </w:t>
            </w:r>
            <w:r>
              <w:rPr>
                <w:rFonts w:ascii="Arial" w:hAnsi="Arial" w:cs="Arial"/>
                <w:sz w:val="20"/>
                <w:szCs w:val="20"/>
                <w:lang w:val="en-PH" w:eastAsia="en-PH"/>
              </w:rPr>
              <w:t xml:space="preserve">of </w:t>
            </w:r>
            <w:r>
              <w:rPr>
                <w:rFonts w:ascii="Arial" w:hAnsi="Arial" w:cs="Arial"/>
                <w:sz w:val="20"/>
                <w:szCs w:val="20"/>
                <w:lang w:val="en-PH" w:eastAsia="en-PH"/>
              </w:rPr>
              <w:t>Pre-service Teachers</w:t>
            </w:r>
          </w:p>
        </w:tc>
        <w:tc>
          <w:tcPr>
            <w:tcW w:w="667" w:type="pct"/>
            <w:tcBorders>
              <w:top w:val="single" w:sz="4" w:space="0" w:color="auto"/>
            </w:tcBorders>
          </w:tcPr>
          <w:p w14:paraId="5CD75FCD" w14:textId="77777777" w:rsidR="004A39DF" w:rsidRDefault="004A39DF">
            <w:pPr>
              <w:keepLines/>
              <w:jc w:val="center"/>
              <w:rPr>
                <w:rFonts w:ascii="Cambria Math" w:eastAsiaTheme="minorEastAsia" w:hAnsi="Cambria Math" w:cs="Arial"/>
                <w:sz w:val="20"/>
                <w:szCs w:val="20"/>
                <w:lang w:eastAsia="en-PH"/>
                <w:oMath/>
              </w:rPr>
            </w:pPr>
          </w:p>
          <w:p w14:paraId="4D832499" w14:textId="77777777" w:rsidR="004A39DF" w:rsidRDefault="00D9470C">
            <w:pPr>
              <w:keepLines/>
              <w:jc w:val="center"/>
              <w:rPr>
                <w:rFonts w:ascii="Cambria Math" w:hAnsi="Cambria Math" w:cs="Arial"/>
                <w:sz w:val="20"/>
                <w:szCs w:val="20"/>
                <w:lang w:eastAsia="en-PH"/>
                <w:oMath/>
              </w:rPr>
            </w:pPr>
            <m:oMathPara>
              <m:oMath>
                <m:r>
                  <w:rPr>
                    <w:rFonts w:ascii="Cambria Math" w:eastAsiaTheme="minorEastAsia" w:hAnsi="Cambria Math" w:cs="Arial"/>
                    <w:sz w:val="20"/>
                    <w:szCs w:val="20"/>
                    <w:lang w:eastAsia="en-PH"/>
                  </w:rPr>
                  <m:t>.131</m:t>
                </m:r>
              </m:oMath>
            </m:oMathPara>
          </w:p>
        </w:tc>
        <w:tc>
          <w:tcPr>
            <w:tcW w:w="705" w:type="pct"/>
            <w:gridSpan w:val="2"/>
            <w:tcBorders>
              <w:top w:val="single" w:sz="4" w:space="0" w:color="auto"/>
            </w:tcBorders>
          </w:tcPr>
          <w:p w14:paraId="3B1FD55A" w14:textId="77777777" w:rsidR="004A39DF" w:rsidRDefault="004A39DF">
            <w:pPr>
              <w:keepLines/>
              <w:jc w:val="center"/>
              <w:rPr>
                <w:rFonts w:ascii="Cambria Math" w:eastAsiaTheme="minorEastAsia" w:hAnsi="Cambria Math" w:cs="Arial"/>
                <w:sz w:val="20"/>
                <w:szCs w:val="20"/>
                <w:lang w:eastAsia="en-PH"/>
                <w:oMath/>
              </w:rPr>
            </w:pPr>
          </w:p>
          <w:p w14:paraId="4F48BA62" w14:textId="77777777" w:rsidR="004A39DF" w:rsidRDefault="00D9470C">
            <w:pPr>
              <w:keepLines/>
              <w:jc w:val="center"/>
              <w:rPr>
                <w:rFonts w:ascii="Cambria Math" w:hAnsi="Cambria Math" w:cs="Arial"/>
                <w:sz w:val="20"/>
                <w:szCs w:val="20"/>
                <w:lang w:eastAsia="en-PH"/>
                <w:oMath/>
              </w:rPr>
            </w:pPr>
            <m:oMathPara>
              <m:oMath>
                <m:r>
                  <w:rPr>
                    <w:rFonts w:ascii="Cambria Math" w:eastAsiaTheme="minorEastAsia" w:hAnsi="Cambria Math" w:cs="Arial"/>
                    <w:sz w:val="20"/>
                    <w:szCs w:val="20"/>
                    <w:lang w:eastAsia="en-PH"/>
                  </w:rPr>
                  <m:t>.084</m:t>
                </m:r>
              </m:oMath>
            </m:oMathPara>
          </w:p>
        </w:tc>
        <w:tc>
          <w:tcPr>
            <w:tcW w:w="1200" w:type="pct"/>
            <w:gridSpan w:val="2"/>
            <w:tcBorders>
              <w:top w:val="single" w:sz="4" w:space="0" w:color="auto"/>
            </w:tcBorders>
          </w:tcPr>
          <w:p w14:paraId="34230F87" w14:textId="77777777" w:rsidR="004A39DF" w:rsidRDefault="004A39DF">
            <w:pPr>
              <w:keepLines/>
              <w:jc w:val="both"/>
              <w:rPr>
                <w:rFonts w:ascii="Arial" w:eastAsiaTheme="minorEastAsia" w:hAnsi="Arial" w:cs="Arial"/>
                <w:sz w:val="20"/>
                <w:szCs w:val="20"/>
                <w:lang w:eastAsia="en-PH"/>
              </w:rPr>
            </w:pPr>
          </w:p>
          <w:p w14:paraId="40178449" w14:textId="77777777" w:rsidR="004A39DF" w:rsidRDefault="00D9470C">
            <w:pPr>
              <w:keepLines/>
              <w:jc w:val="center"/>
              <w:rPr>
                <w:rFonts w:ascii="Arial" w:eastAsiaTheme="minorEastAsia" w:hAnsi="Arial" w:cs="Arial"/>
                <w:sz w:val="20"/>
                <w:szCs w:val="20"/>
                <w:lang w:eastAsia="en-PH"/>
              </w:rPr>
            </w:pPr>
            <w:r>
              <w:rPr>
                <w:rFonts w:ascii="Arial" w:eastAsiaTheme="minorEastAsia" w:hAnsi="Arial" w:cs="Arial"/>
                <w:sz w:val="20"/>
                <w:szCs w:val="20"/>
                <w:lang w:eastAsia="en-PH"/>
              </w:rPr>
              <w:t>Failed to Reject</w:t>
            </w:r>
          </w:p>
        </w:tc>
        <w:tc>
          <w:tcPr>
            <w:tcW w:w="965" w:type="pct"/>
            <w:tcBorders>
              <w:top w:val="single" w:sz="4" w:space="0" w:color="auto"/>
            </w:tcBorders>
          </w:tcPr>
          <w:p w14:paraId="613AC0FB" w14:textId="77777777" w:rsidR="004A39DF" w:rsidRDefault="004A39DF">
            <w:pPr>
              <w:keepLines/>
              <w:jc w:val="both"/>
              <w:rPr>
                <w:rFonts w:ascii="Arial" w:eastAsiaTheme="minorEastAsia" w:hAnsi="Arial" w:cs="Arial"/>
                <w:sz w:val="20"/>
                <w:szCs w:val="20"/>
                <w:lang w:eastAsia="en-PH"/>
              </w:rPr>
            </w:pPr>
          </w:p>
          <w:p w14:paraId="260A3C92" w14:textId="77777777" w:rsidR="004A39DF" w:rsidRDefault="00D9470C">
            <w:pPr>
              <w:keepLines/>
              <w:jc w:val="center"/>
              <w:rPr>
                <w:rFonts w:ascii="Arial" w:eastAsiaTheme="minorEastAsia" w:hAnsi="Arial" w:cs="Arial"/>
                <w:sz w:val="20"/>
                <w:szCs w:val="20"/>
                <w:lang w:eastAsia="en-PH"/>
              </w:rPr>
            </w:pPr>
            <w:r>
              <w:rPr>
                <w:rFonts w:ascii="Arial" w:eastAsiaTheme="minorEastAsia" w:hAnsi="Arial" w:cs="Arial"/>
                <w:sz w:val="20"/>
                <w:szCs w:val="20"/>
                <w:lang w:eastAsia="en-PH"/>
              </w:rPr>
              <w:t>Not Significant</w:t>
            </w:r>
          </w:p>
        </w:tc>
      </w:tr>
      <w:tr w:rsidR="004A39DF" w14:paraId="51EA5E93" w14:textId="77777777">
        <w:trPr>
          <w:trHeight w:val="397"/>
        </w:trPr>
        <w:tc>
          <w:tcPr>
            <w:tcW w:w="1460" w:type="pct"/>
            <w:shd w:val="clear" w:color="auto" w:fill="auto"/>
          </w:tcPr>
          <w:p w14:paraId="4A4DCA7E" w14:textId="77777777" w:rsidR="004A39DF" w:rsidRDefault="00D9470C">
            <w:pPr>
              <w:keepLines/>
              <w:jc w:val="both"/>
              <w:rPr>
                <w:rFonts w:ascii="Arial" w:hAnsi="Arial" w:cs="Arial"/>
                <w:sz w:val="20"/>
                <w:szCs w:val="20"/>
                <w:lang w:val="en-PH" w:eastAsia="en-PH"/>
              </w:rPr>
            </w:pPr>
            <w:r>
              <w:rPr>
                <w:rFonts w:ascii="Arial" w:eastAsia="Calibri" w:hAnsi="Arial" w:cs="Arial"/>
                <w:iCs/>
                <w:sz w:val="20"/>
                <w:szCs w:val="20"/>
                <w:lang w:eastAsia="en-PH"/>
              </w:rPr>
              <w:t xml:space="preserve">Teaching </w:t>
            </w:r>
            <w:r>
              <w:rPr>
                <w:rFonts w:ascii="Arial" w:eastAsia="Calibri" w:hAnsi="Arial" w:cs="Arial"/>
                <w:iCs/>
                <w:sz w:val="20"/>
                <w:szCs w:val="20"/>
                <w:lang w:val="en-PH" w:eastAsia="en-PH"/>
              </w:rPr>
              <w:t>Self-</w:t>
            </w:r>
            <w:r>
              <w:rPr>
                <w:rFonts w:ascii="Arial" w:eastAsia="Calibri" w:hAnsi="Arial" w:cs="Arial"/>
                <w:iCs/>
                <w:sz w:val="20"/>
                <w:szCs w:val="20"/>
                <w:lang w:eastAsia="en-PH"/>
              </w:rPr>
              <w:t>Efficacy</w:t>
            </w:r>
          </w:p>
        </w:tc>
        <w:tc>
          <w:tcPr>
            <w:tcW w:w="667" w:type="pct"/>
            <w:shd w:val="clear" w:color="auto" w:fill="auto"/>
          </w:tcPr>
          <w:p w14:paraId="255E2DCD" w14:textId="77777777" w:rsidR="004A39DF" w:rsidRDefault="00D9470C">
            <w:pPr>
              <w:keepLines/>
              <w:jc w:val="center"/>
              <w:rPr>
                <w:rFonts w:ascii="Cambria Math" w:eastAsia="Aptos" w:hAnsi="Cambria Math" w:cs="Arial"/>
                <w:sz w:val="20"/>
                <w:szCs w:val="20"/>
                <w:lang w:eastAsia="en-PH"/>
                <w:oMath/>
              </w:rPr>
            </w:pPr>
            <m:oMathPara>
              <m:oMath>
                <m:r>
                  <w:rPr>
                    <w:rFonts w:ascii="Cambria Math" w:eastAsia="Aptos" w:hAnsi="Cambria Math" w:cs="Arial"/>
                    <w:sz w:val="20"/>
                    <w:szCs w:val="20"/>
                    <w:lang w:eastAsia="en-PH"/>
                  </w:rPr>
                  <m:t>.577</m:t>
                </m:r>
              </m:oMath>
            </m:oMathPara>
          </w:p>
        </w:tc>
        <w:tc>
          <w:tcPr>
            <w:tcW w:w="705" w:type="pct"/>
            <w:gridSpan w:val="2"/>
            <w:shd w:val="clear" w:color="auto" w:fill="auto"/>
          </w:tcPr>
          <w:p w14:paraId="290FC5C6" w14:textId="77777777" w:rsidR="004A39DF" w:rsidRDefault="00D9470C">
            <w:pPr>
              <w:keepLines/>
              <w:jc w:val="center"/>
              <w:rPr>
                <w:rFonts w:ascii="Cambria Math" w:eastAsia="Aptos" w:hAnsi="Cambria Math" w:cs="Arial"/>
                <w:sz w:val="20"/>
                <w:szCs w:val="20"/>
                <w:lang w:eastAsia="en-PH"/>
                <w:oMath/>
              </w:rPr>
            </w:pPr>
            <m:oMathPara>
              <m:oMath>
                <m:r>
                  <w:rPr>
                    <w:rFonts w:ascii="Cambria Math" w:eastAsiaTheme="minorEastAsia" w:hAnsi="Cambria Math" w:cs="Arial"/>
                    <w:sz w:val="20"/>
                    <w:szCs w:val="20"/>
                    <w:lang w:eastAsia="en-PH"/>
                  </w:rPr>
                  <m:t>.000</m:t>
                </m:r>
              </m:oMath>
            </m:oMathPara>
          </w:p>
        </w:tc>
        <w:tc>
          <w:tcPr>
            <w:tcW w:w="1200" w:type="pct"/>
            <w:gridSpan w:val="2"/>
            <w:shd w:val="clear" w:color="auto" w:fill="auto"/>
          </w:tcPr>
          <w:p w14:paraId="5D230E86" w14:textId="77777777" w:rsidR="004A39DF" w:rsidRDefault="00D9470C">
            <w:pPr>
              <w:keepLines/>
              <w:jc w:val="center"/>
              <w:rPr>
                <w:rFonts w:ascii="Arial" w:eastAsiaTheme="minorEastAsia" w:hAnsi="Arial" w:cs="Arial"/>
                <w:sz w:val="20"/>
                <w:szCs w:val="20"/>
                <w:lang w:eastAsia="en-PH"/>
              </w:rPr>
            </w:pPr>
            <w:r>
              <w:rPr>
                <w:rFonts w:ascii="Arial" w:eastAsiaTheme="minorEastAsia" w:hAnsi="Arial" w:cs="Arial"/>
                <w:sz w:val="20"/>
                <w:szCs w:val="20"/>
                <w:lang w:eastAsia="en-PH"/>
              </w:rPr>
              <w:t>Reject</w:t>
            </w:r>
          </w:p>
        </w:tc>
        <w:tc>
          <w:tcPr>
            <w:tcW w:w="965" w:type="pct"/>
            <w:shd w:val="clear" w:color="auto" w:fill="auto"/>
          </w:tcPr>
          <w:p w14:paraId="24F12377" w14:textId="77777777" w:rsidR="004A39DF" w:rsidRDefault="00D9470C">
            <w:pPr>
              <w:keepLines/>
              <w:jc w:val="center"/>
              <w:rPr>
                <w:rFonts w:ascii="Arial" w:eastAsiaTheme="minorEastAsia" w:hAnsi="Arial" w:cs="Arial"/>
                <w:sz w:val="20"/>
                <w:szCs w:val="20"/>
                <w:lang w:eastAsia="en-PH"/>
              </w:rPr>
            </w:pPr>
            <w:r>
              <w:rPr>
                <w:rFonts w:ascii="Arial" w:eastAsiaTheme="minorEastAsia" w:hAnsi="Arial" w:cs="Arial"/>
                <w:sz w:val="20"/>
                <w:szCs w:val="20"/>
                <w:lang w:eastAsia="en-PH"/>
              </w:rPr>
              <w:t>Significant</w:t>
            </w:r>
          </w:p>
        </w:tc>
      </w:tr>
      <w:tr w:rsidR="004A39DF" w14:paraId="69E4908E" w14:textId="77777777">
        <w:trPr>
          <w:trHeight w:val="397"/>
        </w:trPr>
        <w:tc>
          <w:tcPr>
            <w:tcW w:w="1460" w:type="pct"/>
            <w:tcBorders>
              <w:bottom w:val="single" w:sz="18" w:space="0" w:color="auto"/>
            </w:tcBorders>
          </w:tcPr>
          <w:p w14:paraId="273B1F25" w14:textId="77777777" w:rsidR="004A39DF" w:rsidRDefault="00D9470C">
            <w:pPr>
              <w:keepLines/>
              <w:jc w:val="both"/>
              <w:rPr>
                <w:rFonts w:ascii="Arial" w:hAnsi="Arial" w:cs="Arial"/>
                <w:sz w:val="20"/>
                <w:szCs w:val="20"/>
                <w:lang w:eastAsia="en-PH"/>
              </w:rPr>
            </w:pPr>
            <w:r>
              <w:rPr>
                <w:rFonts w:ascii="Arial" w:hAnsi="Arial" w:cs="Arial"/>
                <w:sz w:val="20"/>
                <w:szCs w:val="20"/>
                <w:lang w:val="en-PH" w:eastAsia="en-PH"/>
              </w:rPr>
              <w:t>Teacher Support</w:t>
            </w:r>
          </w:p>
        </w:tc>
        <w:tc>
          <w:tcPr>
            <w:tcW w:w="667" w:type="pct"/>
            <w:tcBorders>
              <w:bottom w:val="single" w:sz="18" w:space="0" w:color="auto"/>
            </w:tcBorders>
          </w:tcPr>
          <w:p w14:paraId="22269DF1" w14:textId="77777777" w:rsidR="004A39DF" w:rsidRDefault="00D9470C">
            <w:pPr>
              <w:keepLines/>
              <w:jc w:val="center"/>
              <w:rPr>
                <w:rFonts w:ascii="Cambria Math" w:hAnsi="Cambria Math" w:cs="Arial"/>
                <w:sz w:val="20"/>
                <w:szCs w:val="20"/>
                <w:lang w:eastAsia="en-PH"/>
                <w:oMath/>
              </w:rPr>
            </w:pPr>
            <m:oMathPara>
              <m:oMath>
                <m:r>
                  <w:rPr>
                    <w:rFonts w:ascii="Cambria Math" w:eastAsiaTheme="minorEastAsia" w:hAnsi="Cambria Math" w:cs="Arial"/>
                    <w:sz w:val="20"/>
                    <w:szCs w:val="20"/>
                    <w:lang w:eastAsia="en-PH"/>
                  </w:rPr>
                  <m:t>.234</m:t>
                </m:r>
              </m:oMath>
            </m:oMathPara>
          </w:p>
        </w:tc>
        <w:tc>
          <w:tcPr>
            <w:tcW w:w="705" w:type="pct"/>
            <w:gridSpan w:val="2"/>
            <w:tcBorders>
              <w:bottom w:val="single" w:sz="18" w:space="0" w:color="auto"/>
            </w:tcBorders>
          </w:tcPr>
          <w:p w14:paraId="3E85F5AD" w14:textId="77777777" w:rsidR="004A39DF" w:rsidRDefault="00D9470C">
            <w:pPr>
              <w:keepLines/>
              <w:jc w:val="center"/>
              <w:rPr>
                <w:rFonts w:ascii="Cambria Math" w:hAnsi="Cambria Math" w:cs="Arial"/>
                <w:sz w:val="20"/>
                <w:szCs w:val="20"/>
                <w:lang w:eastAsia="en-PH"/>
                <w:oMath/>
              </w:rPr>
            </w:pPr>
            <m:oMathPara>
              <m:oMath>
                <m:r>
                  <w:rPr>
                    <w:rFonts w:ascii="Cambria Math" w:eastAsiaTheme="minorEastAsia" w:hAnsi="Cambria Math" w:cs="Arial"/>
                    <w:sz w:val="20"/>
                    <w:szCs w:val="20"/>
                    <w:lang w:eastAsia="en-PH"/>
                  </w:rPr>
                  <m:t>.001</m:t>
                </m:r>
              </m:oMath>
            </m:oMathPara>
          </w:p>
        </w:tc>
        <w:tc>
          <w:tcPr>
            <w:tcW w:w="1200" w:type="pct"/>
            <w:gridSpan w:val="2"/>
            <w:tcBorders>
              <w:bottom w:val="single" w:sz="18" w:space="0" w:color="auto"/>
            </w:tcBorders>
          </w:tcPr>
          <w:p w14:paraId="342EC07F" w14:textId="77777777" w:rsidR="004A39DF" w:rsidRDefault="00D9470C">
            <w:pPr>
              <w:keepLines/>
              <w:jc w:val="center"/>
              <w:rPr>
                <w:rFonts w:ascii="Arial" w:eastAsiaTheme="minorEastAsia" w:hAnsi="Arial" w:cs="Arial"/>
                <w:sz w:val="20"/>
                <w:szCs w:val="20"/>
                <w:lang w:eastAsia="en-PH"/>
              </w:rPr>
            </w:pPr>
            <w:r>
              <w:rPr>
                <w:rFonts w:ascii="Arial" w:eastAsiaTheme="minorEastAsia" w:hAnsi="Arial" w:cs="Arial"/>
                <w:sz w:val="20"/>
                <w:szCs w:val="20"/>
                <w:lang w:eastAsia="en-PH"/>
              </w:rPr>
              <w:t>Reject</w:t>
            </w:r>
          </w:p>
        </w:tc>
        <w:tc>
          <w:tcPr>
            <w:tcW w:w="965" w:type="pct"/>
            <w:tcBorders>
              <w:bottom w:val="single" w:sz="18" w:space="0" w:color="auto"/>
            </w:tcBorders>
          </w:tcPr>
          <w:p w14:paraId="009B8907" w14:textId="77777777" w:rsidR="004A39DF" w:rsidRDefault="00D9470C">
            <w:pPr>
              <w:keepLines/>
              <w:jc w:val="center"/>
              <w:rPr>
                <w:rFonts w:ascii="Arial" w:eastAsiaTheme="minorEastAsia" w:hAnsi="Arial" w:cs="Arial"/>
                <w:sz w:val="20"/>
                <w:szCs w:val="20"/>
                <w:lang w:eastAsia="en-PH"/>
              </w:rPr>
            </w:pPr>
            <w:r>
              <w:rPr>
                <w:rFonts w:ascii="Arial" w:eastAsiaTheme="minorEastAsia" w:hAnsi="Arial" w:cs="Arial"/>
                <w:sz w:val="20"/>
                <w:szCs w:val="20"/>
                <w:lang w:eastAsia="en-PH"/>
              </w:rPr>
              <w:t>Significant</w:t>
            </w:r>
          </w:p>
        </w:tc>
      </w:tr>
    </w:tbl>
    <w:p w14:paraId="1250D1F3" w14:textId="77777777" w:rsidR="004A39DF" w:rsidRDefault="004A39DF">
      <w:pPr>
        <w:snapToGrid w:val="0"/>
        <w:ind w:firstLineChars="300" w:firstLine="720"/>
        <w:jc w:val="both"/>
        <w:rPr>
          <w:rFonts w:ascii="Arial" w:hAnsi="Arial"/>
          <w:sz w:val="24"/>
          <w:szCs w:val="24"/>
          <w:lang w:val="en-PH"/>
        </w:rPr>
      </w:pPr>
    </w:p>
    <w:p w14:paraId="353EC539" w14:textId="77777777" w:rsidR="004A39DF" w:rsidRDefault="00D9470C">
      <w:pPr>
        <w:pStyle w:val="Body"/>
        <w:spacing w:after="0"/>
        <w:rPr>
          <w:rFonts w:ascii="Arial" w:hAnsi="Arial" w:cs="Arial"/>
          <w:b/>
          <w:bCs/>
          <w:sz w:val="22"/>
          <w:szCs w:val="22"/>
          <w:lang w:val="en-PH"/>
        </w:rPr>
      </w:pPr>
      <w:r>
        <w:rPr>
          <w:rFonts w:ascii="Arial" w:hAnsi="Arial" w:cs="Arial"/>
          <w:b/>
          <w:bCs/>
          <w:sz w:val="22"/>
          <w:szCs w:val="22"/>
          <w:lang w:val="en-PH"/>
        </w:rPr>
        <w:t xml:space="preserve">3.3. </w:t>
      </w:r>
      <w:r>
        <w:rPr>
          <w:rFonts w:ascii="Arial" w:hAnsi="Arial" w:cs="Arial"/>
          <w:b/>
          <w:bCs/>
          <w:sz w:val="22"/>
          <w:szCs w:val="22"/>
          <w:lang w:val="en-PH" w:bidi="ar"/>
        </w:rPr>
        <w:t xml:space="preserve">Influence of teaching anxiety, teaching self-efficacy, and teacher support on the </w:t>
      </w:r>
      <w:r>
        <w:rPr>
          <w:rFonts w:ascii="Arial" w:hAnsi="Arial" w:cs="Arial"/>
          <w:b/>
          <w:bCs/>
          <w:sz w:val="22"/>
          <w:szCs w:val="22"/>
          <w:lang w:val="en-PH" w:bidi="ar"/>
        </w:rPr>
        <w:t>teaching demonstration performance of pre-service teachers</w:t>
      </w:r>
    </w:p>
    <w:p w14:paraId="57871F3A" w14:textId="77777777" w:rsidR="004A39DF" w:rsidRDefault="004A39DF">
      <w:pPr>
        <w:pStyle w:val="Body"/>
        <w:spacing w:after="0"/>
        <w:rPr>
          <w:rFonts w:ascii="Arial" w:hAnsi="Arial" w:cs="Arial"/>
          <w:lang w:val="en-PH"/>
        </w:rPr>
      </w:pPr>
    </w:p>
    <w:p w14:paraId="44C3C45E" w14:textId="77777777" w:rsidR="004A39DF" w:rsidRDefault="00D9470C">
      <w:pPr>
        <w:pStyle w:val="NoSpacing"/>
        <w:ind w:firstLine="799"/>
        <w:jc w:val="both"/>
        <w:rPr>
          <w:rFonts w:ascii="Arial" w:hAnsi="Arial"/>
          <w:sz w:val="20"/>
          <w:szCs w:val="20"/>
          <w:lang w:val="en-PH"/>
        </w:rPr>
      </w:pPr>
      <w:r>
        <w:rPr>
          <w:rFonts w:ascii="Arial" w:hAnsi="Arial" w:cs="Arial"/>
          <w:sz w:val="20"/>
          <w:szCs w:val="20"/>
          <w:lang w:val="en-PH"/>
        </w:rPr>
        <w:t xml:space="preserve">Table 3 shows the significant influence of teaching anxiety, teaching self-efficacy, and teacher support on the teaching demonstration performance of pre-service teachers. Based on the results. </w:t>
      </w:r>
      <w:r>
        <w:rPr>
          <w:rFonts w:ascii="Arial" w:hAnsi="Arial"/>
          <w:sz w:val="20"/>
          <w:szCs w:val="20"/>
          <w:lang w:val="en-PH"/>
        </w:rPr>
        <w:t>teaching anxiety of pre-service teachers obtained a beta coefficient of .014. It indicates that the teaching anxiety of pre-service teachers has a 1.4 % degree of influence on teaching demonstration performance. The null hypothesis was not rejected since i</w:t>
      </w:r>
      <w:r>
        <w:rPr>
          <w:rFonts w:ascii="Arial" w:hAnsi="Arial"/>
          <w:sz w:val="20"/>
          <w:szCs w:val="20"/>
          <w:lang w:val="en-PH"/>
        </w:rPr>
        <w:t xml:space="preserve">t gained a p-value of .762, greater than 0.05 degree of confidence. It further indicates that the 1.4% degree of influence </w:t>
      </w:r>
      <w:proofErr w:type="gramStart"/>
      <w:r>
        <w:rPr>
          <w:rFonts w:ascii="Arial" w:hAnsi="Arial"/>
          <w:sz w:val="20"/>
          <w:szCs w:val="20"/>
          <w:lang w:val="en-PH"/>
        </w:rPr>
        <w:t>of  Teaching</w:t>
      </w:r>
      <w:proofErr w:type="gramEnd"/>
      <w:r>
        <w:rPr>
          <w:rFonts w:ascii="Arial" w:hAnsi="Arial"/>
          <w:sz w:val="20"/>
          <w:szCs w:val="20"/>
          <w:lang w:val="en-PH"/>
        </w:rPr>
        <w:t xml:space="preserve"> Anxiety on Teaching Demonstration Performance is  not significant.</w:t>
      </w:r>
    </w:p>
    <w:p w14:paraId="1FA17703" w14:textId="77777777" w:rsidR="004A39DF" w:rsidRDefault="00D9470C">
      <w:pPr>
        <w:pStyle w:val="NoSpacing"/>
        <w:ind w:firstLine="799"/>
        <w:jc w:val="both"/>
        <w:rPr>
          <w:rFonts w:ascii="Arial" w:hAnsi="Arial"/>
          <w:sz w:val="20"/>
          <w:szCs w:val="20"/>
          <w:lang w:val="en-PH"/>
        </w:rPr>
      </w:pPr>
      <w:r>
        <w:rPr>
          <w:rFonts w:ascii="Arial" w:hAnsi="Arial"/>
          <w:sz w:val="20"/>
          <w:szCs w:val="20"/>
          <w:lang w:val="en-PH"/>
        </w:rPr>
        <w:t>Teaching Self-Efficacy, on the other hand, obtained a</w:t>
      </w:r>
      <w:r>
        <w:rPr>
          <w:rFonts w:ascii="Arial" w:hAnsi="Arial"/>
          <w:sz w:val="20"/>
          <w:szCs w:val="20"/>
          <w:lang w:val="en-PH"/>
        </w:rPr>
        <w:t xml:space="preserve"> beta coefficient </w:t>
      </w:r>
      <w:proofErr w:type="gramStart"/>
      <w:r>
        <w:rPr>
          <w:rFonts w:ascii="Arial" w:hAnsi="Arial"/>
          <w:sz w:val="20"/>
          <w:szCs w:val="20"/>
          <w:lang w:val="en-PH"/>
        </w:rPr>
        <w:t>of  .</w:t>
      </w:r>
      <w:proofErr w:type="gramEnd"/>
      <w:r>
        <w:rPr>
          <w:rFonts w:ascii="Arial" w:hAnsi="Arial"/>
          <w:sz w:val="20"/>
          <w:szCs w:val="20"/>
          <w:lang w:val="en-PH"/>
        </w:rPr>
        <w:t>554. It indicates that teaching self-efficacy has a 55.4% degree of influence on teaching demonstration performance. It also received a p-value of .000, less than 0.05 degree of confidence. Therefore, the null hypothesis was rejected</w:t>
      </w:r>
      <w:r>
        <w:rPr>
          <w:rFonts w:ascii="Arial" w:hAnsi="Arial"/>
          <w:sz w:val="20"/>
          <w:szCs w:val="20"/>
          <w:lang w:val="en-PH"/>
        </w:rPr>
        <w:t xml:space="preserve">. This signifies that the 55.4 % degree </w:t>
      </w:r>
      <w:proofErr w:type="gramStart"/>
      <w:r>
        <w:rPr>
          <w:rFonts w:ascii="Arial" w:hAnsi="Arial"/>
          <w:sz w:val="20"/>
          <w:szCs w:val="20"/>
          <w:lang w:val="en-PH"/>
        </w:rPr>
        <w:t>of  influence</w:t>
      </w:r>
      <w:proofErr w:type="gramEnd"/>
      <w:r>
        <w:rPr>
          <w:rFonts w:ascii="Arial" w:hAnsi="Arial"/>
          <w:sz w:val="20"/>
          <w:szCs w:val="20"/>
          <w:lang w:val="en-PH"/>
        </w:rPr>
        <w:t xml:space="preserve"> of teaching Self-efficacy on teaching demonstration performance is significant.</w:t>
      </w:r>
    </w:p>
    <w:p w14:paraId="3798EE93" w14:textId="77777777" w:rsidR="004A39DF" w:rsidRDefault="00D9470C">
      <w:pPr>
        <w:pStyle w:val="NoSpacing"/>
        <w:ind w:firstLine="799"/>
        <w:jc w:val="both"/>
        <w:rPr>
          <w:rFonts w:ascii="Arial" w:hAnsi="Arial"/>
          <w:sz w:val="20"/>
          <w:szCs w:val="20"/>
          <w:lang w:val="en-PH"/>
        </w:rPr>
      </w:pPr>
      <w:r>
        <w:rPr>
          <w:rFonts w:ascii="Arial" w:hAnsi="Arial"/>
          <w:sz w:val="20"/>
          <w:szCs w:val="20"/>
          <w:lang w:val="en-PH"/>
        </w:rPr>
        <w:t>Teacher Support attained a beta coefficient of .131. It insinuates that Teacher Support has a 13.1% degree of influence on</w:t>
      </w:r>
      <w:r>
        <w:rPr>
          <w:rFonts w:ascii="Arial" w:hAnsi="Arial"/>
          <w:sz w:val="20"/>
          <w:szCs w:val="20"/>
          <w:lang w:val="en-PH"/>
        </w:rPr>
        <w:t xml:space="preserve"> the Teaching Demonstration Performance. Furthermore, the p-value is .005, which is less than 0.05 degree of confidence. Hence, the null hypothesis was rejected. Moreover, it purports that 13.1% of the degree of influence of Teacher Support on Teaching Dem</w:t>
      </w:r>
      <w:r>
        <w:rPr>
          <w:rFonts w:ascii="Arial" w:hAnsi="Arial"/>
          <w:sz w:val="20"/>
          <w:szCs w:val="20"/>
          <w:lang w:val="en-PH"/>
        </w:rPr>
        <w:t>onstration Performance is significant.</w:t>
      </w:r>
    </w:p>
    <w:p w14:paraId="3B66ACAC" w14:textId="77777777" w:rsidR="004A39DF" w:rsidRDefault="00D9470C">
      <w:pPr>
        <w:pStyle w:val="NoSpacing"/>
        <w:ind w:firstLine="799"/>
        <w:jc w:val="both"/>
        <w:rPr>
          <w:rFonts w:ascii="Arial" w:hAnsi="Arial"/>
          <w:sz w:val="20"/>
          <w:szCs w:val="20"/>
          <w:lang w:val="en-PH"/>
        </w:rPr>
      </w:pPr>
      <w:r>
        <w:rPr>
          <w:rFonts w:ascii="Arial" w:hAnsi="Arial"/>
          <w:sz w:val="20"/>
          <w:szCs w:val="20"/>
          <w:lang w:val="en-PH"/>
        </w:rPr>
        <w:t xml:space="preserve">Predictive variables obtained an r-squared value of .350, it means that there was </w:t>
      </w:r>
      <w:proofErr w:type="gramStart"/>
      <w:r>
        <w:rPr>
          <w:rFonts w:ascii="Arial" w:hAnsi="Arial"/>
          <w:sz w:val="20"/>
          <w:szCs w:val="20"/>
          <w:lang w:val="en-PH"/>
        </w:rPr>
        <w:t>a  35</w:t>
      </w:r>
      <w:proofErr w:type="gramEnd"/>
      <w:r>
        <w:rPr>
          <w:rFonts w:ascii="Arial" w:hAnsi="Arial"/>
          <w:sz w:val="20"/>
          <w:szCs w:val="20"/>
          <w:lang w:val="en-PH"/>
        </w:rPr>
        <w:t>% combined degree of influence on the Teaching Demonstration Performance. Since they obtained the p-value of .000 which is less th</w:t>
      </w:r>
      <w:r>
        <w:rPr>
          <w:rFonts w:ascii="Arial" w:hAnsi="Arial"/>
          <w:sz w:val="20"/>
          <w:szCs w:val="20"/>
          <w:lang w:val="en-PH"/>
        </w:rPr>
        <w:t xml:space="preserve">an 0.05 degree of confidence, it </w:t>
      </w:r>
      <w:proofErr w:type="gramStart"/>
      <w:r>
        <w:rPr>
          <w:rFonts w:ascii="Arial" w:hAnsi="Arial"/>
          <w:sz w:val="20"/>
          <w:szCs w:val="20"/>
          <w:lang w:val="en-PH"/>
        </w:rPr>
        <w:t>indicates  that</w:t>
      </w:r>
      <w:proofErr w:type="gramEnd"/>
      <w:r>
        <w:rPr>
          <w:rFonts w:ascii="Arial" w:hAnsi="Arial"/>
          <w:sz w:val="20"/>
          <w:szCs w:val="20"/>
          <w:lang w:val="en-PH"/>
        </w:rPr>
        <w:t xml:space="preserve"> their combined influence is significant.</w:t>
      </w:r>
    </w:p>
    <w:p w14:paraId="1F9AE34D" w14:textId="77777777" w:rsidR="004A39DF" w:rsidRDefault="00D9470C">
      <w:pPr>
        <w:ind w:firstLineChars="250" w:firstLine="500"/>
        <w:jc w:val="both"/>
        <w:rPr>
          <w:rFonts w:ascii="Arial" w:hAnsi="Arial"/>
          <w:lang w:val="en-PH"/>
        </w:rPr>
      </w:pPr>
      <w:r>
        <w:rPr>
          <w:rFonts w:ascii="Arial" w:hAnsi="Arial"/>
          <w:lang w:val="en-PH"/>
        </w:rPr>
        <w:t xml:space="preserve">It was supported in the study of Ma, </w:t>
      </w:r>
      <w:proofErr w:type="spellStart"/>
      <w:r>
        <w:rPr>
          <w:rFonts w:ascii="Arial" w:hAnsi="Arial"/>
          <w:lang w:val="en-PH"/>
        </w:rPr>
        <w:t>McMaugh</w:t>
      </w:r>
      <w:proofErr w:type="spellEnd"/>
      <w:r>
        <w:rPr>
          <w:rFonts w:ascii="Arial" w:hAnsi="Arial"/>
          <w:lang w:val="en-PH"/>
        </w:rPr>
        <w:t>, and Cavanagh (2022), cooperating teachers' mentorship, feedback, and encouragement significantly improve pre-service tea</w:t>
      </w:r>
      <w:r>
        <w:rPr>
          <w:rFonts w:ascii="Arial" w:hAnsi="Arial"/>
          <w:lang w:val="en-PH"/>
        </w:rPr>
        <w:t>chers' instructional skills and confidence. Concurrently, high teaching self-efficacy empowers pre-service teachers to manage classrooms and deliver engaging lessons effectively, leading to improved performance (Patterson &amp; Farmer, 2018). Teacher support a</w:t>
      </w:r>
      <w:r>
        <w:rPr>
          <w:rFonts w:ascii="Arial" w:hAnsi="Arial"/>
          <w:lang w:val="en-PH"/>
        </w:rPr>
        <w:t>nd teaching self-efficacy positively influence pre-service teachers' performance, with committed teachers creating more effective teaching plans (</w:t>
      </w:r>
      <w:proofErr w:type="spellStart"/>
      <w:r>
        <w:rPr>
          <w:rFonts w:ascii="Arial" w:hAnsi="Arial"/>
          <w:lang w:val="en-PH"/>
        </w:rPr>
        <w:t>Octoria</w:t>
      </w:r>
      <w:proofErr w:type="spellEnd"/>
      <w:r>
        <w:rPr>
          <w:rFonts w:ascii="Arial" w:hAnsi="Arial"/>
          <w:lang w:val="en-PH"/>
        </w:rPr>
        <w:t xml:space="preserve"> et al., 2024).</w:t>
      </w:r>
    </w:p>
    <w:p w14:paraId="41F4D303" w14:textId="77777777" w:rsidR="004A39DF" w:rsidRDefault="00D9470C">
      <w:pPr>
        <w:pStyle w:val="NoSpacing"/>
        <w:ind w:firstLine="799"/>
        <w:jc w:val="both"/>
        <w:rPr>
          <w:rFonts w:ascii="Arial" w:hAnsi="Arial"/>
          <w:sz w:val="20"/>
          <w:szCs w:val="20"/>
          <w:lang w:val="en-PH"/>
        </w:rPr>
      </w:pPr>
      <w:r>
        <w:rPr>
          <w:rFonts w:ascii="Arial" w:hAnsi="Arial"/>
          <w:sz w:val="20"/>
          <w:szCs w:val="20"/>
          <w:lang w:val="en-PH"/>
        </w:rPr>
        <w:t>However, t</w:t>
      </w:r>
      <w:proofErr w:type="spellStart"/>
      <w:r>
        <w:rPr>
          <w:rFonts w:ascii="Arial" w:hAnsi="Arial"/>
          <w:sz w:val="20"/>
          <w:szCs w:val="20"/>
        </w:rPr>
        <w:t>eaching</w:t>
      </w:r>
      <w:proofErr w:type="spellEnd"/>
      <w:r>
        <w:rPr>
          <w:rFonts w:ascii="Arial" w:hAnsi="Arial"/>
          <w:sz w:val="20"/>
          <w:szCs w:val="20"/>
        </w:rPr>
        <w:t xml:space="preserve"> </w:t>
      </w:r>
      <w:r>
        <w:rPr>
          <w:rFonts w:ascii="Arial" w:hAnsi="Arial"/>
          <w:sz w:val="20"/>
          <w:szCs w:val="20"/>
          <w:lang w:val="en-PH"/>
        </w:rPr>
        <w:t>a</w:t>
      </w:r>
      <w:proofErr w:type="spellStart"/>
      <w:r>
        <w:rPr>
          <w:rFonts w:ascii="Arial" w:hAnsi="Arial"/>
          <w:sz w:val="20"/>
          <w:szCs w:val="20"/>
        </w:rPr>
        <w:t>nxiety</w:t>
      </w:r>
      <w:proofErr w:type="spellEnd"/>
      <w:r>
        <w:rPr>
          <w:rFonts w:ascii="Arial" w:hAnsi="Arial"/>
          <w:sz w:val="20"/>
          <w:szCs w:val="20"/>
        </w:rPr>
        <w:t xml:space="preserve"> alone may not necessarily hinder a pre-service teacher’s abil</w:t>
      </w:r>
      <w:r>
        <w:rPr>
          <w:rFonts w:ascii="Arial" w:hAnsi="Arial"/>
          <w:sz w:val="20"/>
          <w:szCs w:val="20"/>
        </w:rPr>
        <w:t>ity to deliver an effective lesson.</w:t>
      </w:r>
      <w:r>
        <w:rPr>
          <w:rFonts w:ascii="Arial" w:hAnsi="Arial"/>
          <w:sz w:val="20"/>
          <w:szCs w:val="20"/>
          <w:lang w:val="en-PH"/>
        </w:rPr>
        <w:t xml:space="preserve"> </w:t>
      </w:r>
      <w:r>
        <w:rPr>
          <w:rFonts w:ascii="Arial" w:hAnsi="Arial"/>
          <w:sz w:val="20"/>
          <w:szCs w:val="20"/>
        </w:rPr>
        <w:t xml:space="preserve">This could mean that other factors, such as coping mechanisms or prior teaching experience, may play a role in mitigating the effects of </w:t>
      </w:r>
      <w:r>
        <w:rPr>
          <w:rFonts w:ascii="Arial" w:hAnsi="Arial"/>
          <w:sz w:val="20"/>
          <w:szCs w:val="20"/>
          <w:lang w:val="en-PH"/>
        </w:rPr>
        <w:t>a</w:t>
      </w:r>
      <w:proofErr w:type="spellStart"/>
      <w:r>
        <w:rPr>
          <w:rFonts w:ascii="Arial" w:hAnsi="Arial"/>
          <w:sz w:val="20"/>
          <w:szCs w:val="20"/>
        </w:rPr>
        <w:t>nxiety</w:t>
      </w:r>
      <w:proofErr w:type="spellEnd"/>
      <w:r>
        <w:rPr>
          <w:rFonts w:ascii="Arial" w:hAnsi="Arial"/>
          <w:sz w:val="20"/>
          <w:szCs w:val="20"/>
        </w:rPr>
        <w:t xml:space="preserve"> on performance.</w:t>
      </w:r>
      <w:r>
        <w:rPr>
          <w:rFonts w:ascii="Arial" w:hAnsi="Arial"/>
          <w:sz w:val="20"/>
          <w:szCs w:val="20"/>
          <w:lang w:val="en-PH"/>
        </w:rPr>
        <w:t xml:space="preserve"> Teaching anxiety significantly relates to teaching self-eff</w:t>
      </w:r>
      <w:r>
        <w:rPr>
          <w:rFonts w:ascii="Arial" w:hAnsi="Arial"/>
          <w:sz w:val="20"/>
          <w:szCs w:val="20"/>
          <w:lang w:val="en-PH"/>
        </w:rPr>
        <w:t>icacy (Gorospe, 2022) but may not necessarily hinder classroom performance. Pre-service teachers generally experience normal anxiety during teaching demonstrations, particularly in lesson planning (</w:t>
      </w:r>
      <w:proofErr w:type="spellStart"/>
      <w:r>
        <w:rPr>
          <w:rFonts w:ascii="Arial" w:hAnsi="Arial"/>
          <w:sz w:val="20"/>
          <w:szCs w:val="20"/>
          <w:lang w:val="en-PH"/>
        </w:rPr>
        <w:t>Albasin-Lacaba</w:t>
      </w:r>
      <w:proofErr w:type="spellEnd"/>
      <w:r>
        <w:rPr>
          <w:rFonts w:ascii="Arial" w:hAnsi="Arial"/>
          <w:sz w:val="20"/>
          <w:szCs w:val="20"/>
          <w:lang w:val="en-PH"/>
        </w:rPr>
        <w:t xml:space="preserve"> et al., 2022). To manage anxiety, researche</w:t>
      </w:r>
      <w:r>
        <w:rPr>
          <w:rFonts w:ascii="Arial" w:hAnsi="Arial"/>
          <w:sz w:val="20"/>
          <w:szCs w:val="20"/>
          <w:lang w:val="en-PH"/>
        </w:rPr>
        <w:t>rs recommend better planning and preparation for internships (Gorospe, 2022), more training workshops on lesson planning, and increased practice teaching demonstrations (</w:t>
      </w:r>
      <w:proofErr w:type="spellStart"/>
      <w:r>
        <w:rPr>
          <w:rFonts w:ascii="Arial" w:hAnsi="Arial"/>
          <w:sz w:val="20"/>
          <w:szCs w:val="20"/>
          <w:lang w:val="en-PH"/>
        </w:rPr>
        <w:t>Albasin-Lacaba</w:t>
      </w:r>
      <w:proofErr w:type="spellEnd"/>
      <w:r>
        <w:rPr>
          <w:rFonts w:ascii="Arial" w:hAnsi="Arial"/>
          <w:sz w:val="20"/>
          <w:szCs w:val="20"/>
          <w:lang w:val="en-PH"/>
        </w:rPr>
        <w:t xml:space="preserve"> et al., 2022).</w:t>
      </w:r>
    </w:p>
    <w:p w14:paraId="312FB345" w14:textId="77777777" w:rsidR="004A39DF" w:rsidRDefault="004A39DF">
      <w:pPr>
        <w:pStyle w:val="NoSpacing"/>
        <w:ind w:firstLine="799"/>
        <w:jc w:val="both"/>
        <w:rPr>
          <w:rFonts w:ascii="Arial" w:hAnsi="Arial"/>
          <w:sz w:val="20"/>
          <w:szCs w:val="20"/>
          <w:lang w:val="en-PH"/>
        </w:rPr>
      </w:pPr>
    </w:p>
    <w:p w14:paraId="103F1207" w14:textId="77777777" w:rsidR="004A39DF" w:rsidRDefault="00D9470C">
      <w:pPr>
        <w:pStyle w:val="NoSpacing"/>
        <w:ind w:firstLine="799"/>
        <w:jc w:val="center"/>
        <w:rPr>
          <w:rFonts w:ascii="Arial" w:hAnsi="Arial" w:cs="Arial"/>
          <w:b/>
          <w:bCs/>
          <w:sz w:val="20"/>
          <w:szCs w:val="20"/>
          <w:lang w:val="en-PH" w:bidi="ar"/>
        </w:rPr>
      </w:pPr>
      <w:r>
        <w:rPr>
          <w:rFonts w:ascii="Arial" w:hAnsi="Arial"/>
          <w:b/>
          <w:bCs/>
          <w:sz w:val="20"/>
          <w:szCs w:val="20"/>
          <w:lang w:val="en-PH"/>
        </w:rPr>
        <w:lastRenderedPageBreak/>
        <w:t xml:space="preserve">Table 3. </w:t>
      </w:r>
      <w:r>
        <w:rPr>
          <w:rFonts w:ascii="Arial" w:hAnsi="Arial" w:cs="Arial"/>
          <w:b/>
          <w:bCs/>
          <w:sz w:val="20"/>
          <w:szCs w:val="20"/>
          <w:lang w:val="en-PH" w:bidi="ar"/>
        </w:rPr>
        <w:t>Influence of teaching anxiety, teaching self-e</w:t>
      </w:r>
      <w:r>
        <w:rPr>
          <w:rFonts w:ascii="Arial" w:hAnsi="Arial" w:cs="Arial"/>
          <w:b/>
          <w:bCs/>
          <w:sz w:val="20"/>
          <w:szCs w:val="20"/>
          <w:lang w:val="en-PH" w:bidi="ar"/>
        </w:rPr>
        <w:t>fficacy, and teacher support on the teaching demonstration performance of pre-service teachers</w:t>
      </w:r>
    </w:p>
    <w:p w14:paraId="6A57F735" w14:textId="77777777" w:rsidR="004A39DF" w:rsidRDefault="004A39DF">
      <w:pPr>
        <w:pStyle w:val="NoSpacing"/>
        <w:ind w:firstLine="799"/>
        <w:jc w:val="center"/>
        <w:rPr>
          <w:rFonts w:ascii="Arial" w:hAnsi="Arial" w:cs="Arial"/>
          <w:b/>
          <w:bCs/>
          <w:sz w:val="20"/>
          <w:szCs w:val="20"/>
          <w:lang w:val="en-PH" w:bidi="ar"/>
        </w:rPr>
      </w:pPr>
    </w:p>
    <w:tbl>
      <w:tblPr>
        <w:tblStyle w:val="TableGrid"/>
        <w:tblW w:w="4997"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288"/>
        <w:gridCol w:w="463"/>
        <w:gridCol w:w="1312"/>
        <w:gridCol w:w="657"/>
        <w:gridCol w:w="844"/>
        <w:gridCol w:w="652"/>
        <w:gridCol w:w="1116"/>
        <w:gridCol w:w="1527"/>
      </w:tblGrid>
      <w:tr w:rsidR="004A39DF" w14:paraId="7AB5A2BB" w14:textId="77777777">
        <w:trPr>
          <w:trHeight w:val="340"/>
        </w:trPr>
        <w:tc>
          <w:tcPr>
            <w:tcW w:w="926" w:type="pct"/>
            <w:tcBorders>
              <w:top w:val="single" w:sz="18" w:space="0" w:color="auto"/>
              <w:bottom w:val="single" w:sz="18" w:space="0" w:color="auto"/>
            </w:tcBorders>
            <w:vAlign w:val="center"/>
          </w:tcPr>
          <w:p w14:paraId="5E285064" w14:textId="77777777" w:rsidR="004A39DF" w:rsidRDefault="004A39DF">
            <w:pPr>
              <w:widowControl w:val="0"/>
              <w:jc w:val="center"/>
              <w:rPr>
                <w:rFonts w:ascii="Arial" w:hAnsi="Arial" w:cs="Arial"/>
                <w:b/>
                <w:kern w:val="2"/>
                <w:sz w:val="20"/>
                <w:szCs w:val="20"/>
                <w:lang w:eastAsia="en-PH"/>
              </w:rPr>
            </w:pPr>
          </w:p>
        </w:tc>
        <w:tc>
          <w:tcPr>
            <w:tcW w:w="4073" w:type="pct"/>
            <w:gridSpan w:val="8"/>
            <w:tcBorders>
              <w:top w:val="single" w:sz="18" w:space="0" w:color="auto"/>
              <w:bottom w:val="single" w:sz="4" w:space="0" w:color="auto"/>
            </w:tcBorders>
            <w:vAlign w:val="center"/>
          </w:tcPr>
          <w:p w14:paraId="4BA10124" w14:textId="77777777" w:rsidR="004A39DF" w:rsidRDefault="00D9470C">
            <w:pPr>
              <w:widowControl w:val="0"/>
              <w:jc w:val="center"/>
              <w:rPr>
                <w:rFonts w:ascii="Arial" w:hAnsi="Arial" w:cs="Arial"/>
                <w:b/>
                <w:bCs/>
                <w:kern w:val="2"/>
                <w:sz w:val="20"/>
                <w:szCs w:val="20"/>
                <w:lang w:val="en-PH" w:bidi="ar"/>
              </w:rPr>
            </w:pPr>
            <w:r>
              <w:rPr>
                <w:rFonts w:ascii="Arial" w:hAnsi="Arial" w:cs="Arial"/>
                <w:b/>
                <w:bCs/>
                <w:sz w:val="20"/>
                <w:szCs w:val="20"/>
                <w:lang w:eastAsia="en-PH"/>
              </w:rPr>
              <w:t>Teaching Demonstration Performance</w:t>
            </w:r>
          </w:p>
        </w:tc>
      </w:tr>
      <w:tr w:rsidR="004A39DF" w14:paraId="239D8AFA" w14:textId="77777777">
        <w:trPr>
          <w:trHeight w:val="340"/>
        </w:trPr>
        <w:tc>
          <w:tcPr>
            <w:tcW w:w="926" w:type="pct"/>
            <w:tcBorders>
              <w:top w:val="single" w:sz="18" w:space="0" w:color="auto"/>
              <w:bottom w:val="nil"/>
            </w:tcBorders>
            <w:vAlign w:val="center"/>
          </w:tcPr>
          <w:p w14:paraId="2530EC47" w14:textId="77777777" w:rsidR="004A39DF" w:rsidRDefault="004A39DF">
            <w:pPr>
              <w:widowControl w:val="0"/>
              <w:jc w:val="center"/>
              <w:rPr>
                <w:rFonts w:ascii="Arial" w:hAnsi="Arial" w:cs="Arial"/>
                <w:b/>
                <w:kern w:val="2"/>
                <w:sz w:val="20"/>
                <w:szCs w:val="20"/>
                <w:lang w:eastAsia="en-PH"/>
              </w:rPr>
            </w:pPr>
          </w:p>
        </w:tc>
        <w:tc>
          <w:tcPr>
            <w:tcW w:w="171" w:type="pct"/>
            <w:tcBorders>
              <w:top w:val="single" w:sz="18" w:space="0" w:color="auto"/>
              <w:bottom w:val="nil"/>
            </w:tcBorders>
            <w:vAlign w:val="center"/>
          </w:tcPr>
          <w:p w14:paraId="60E51B82" w14:textId="77777777" w:rsidR="004A39DF" w:rsidRDefault="004A39DF">
            <w:pPr>
              <w:widowControl w:val="0"/>
              <w:jc w:val="center"/>
              <w:rPr>
                <w:rFonts w:ascii="Arial" w:hAnsi="Arial" w:cs="Arial"/>
                <w:b/>
                <w:kern w:val="2"/>
                <w:sz w:val="20"/>
                <w:szCs w:val="20"/>
                <w:lang w:bidi="ar"/>
              </w:rPr>
            </w:pPr>
          </w:p>
        </w:tc>
        <w:tc>
          <w:tcPr>
            <w:tcW w:w="1054" w:type="pct"/>
            <w:gridSpan w:val="2"/>
            <w:tcBorders>
              <w:top w:val="single" w:sz="18" w:space="0" w:color="auto"/>
              <w:bottom w:val="nil"/>
            </w:tcBorders>
            <w:vAlign w:val="center"/>
          </w:tcPr>
          <w:p w14:paraId="505D4183" w14:textId="77777777" w:rsidR="004A39DF" w:rsidRDefault="00D9470C">
            <w:pPr>
              <w:widowControl w:val="0"/>
              <w:jc w:val="center"/>
              <w:rPr>
                <w:rFonts w:ascii="Arial" w:hAnsi="Arial" w:cs="Arial"/>
                <w:b/>
                <w:kern w:val="2"/>
                <w:sz w:val="20"/>
                <w:szCs w:val="20"/>
                <w:lang w:bidi="ar"/>
              </w:rPr>
            </w:pPr>
            <w:r>
              <w:rPr>
                <w:rFonts w:ascii="Arial" w:hAnsi="Arial" w:cs="Arial" w:hint="eastAsia"/>
                <w:b/>
                <w:kern w:val="2"/>
                <w:sz w:val="20"/>
                <w:szCs w:val="20"/>
                <w:lang w:bidi="ar"/>
              </w:rPr>
              <w:t>Unstandardized</w:t>
            </w:r>
          </w:p>
          <w:p w14:paraId="24A71F06" w14:textId="77777777" w:rsidR="004A39DF" w:rsidRDefault="00D9470C">
            <w:pPr>
              <w:widowControl w:val="0"/>
              <w:jc w:val="center"/>
              <w:rPr>
                <w:rFonts w:ascii="Arial" w:hAnsi="Arial" w:cs="Arial"/>
                <w:b/>
                <w:kern w:val="2"/>
                <w:sz w:val="20"/>
                <w:szCs w:val="20"/>
                <w:lang w:bidi="ar"/>
              </w:rPr>
            </w:pPr>
            <w:r>
              <w:rPr>
                <w:rFonts w:ascii="Arial" w:hAnsi="Arial" w:cs="Arial" w:hint="eastAsia"/>
                <w:b/>
                <w:kern w:val="2"/>
                <w:sz w:val="20"/>
                <w:szCs w:val="20"/>
                <w:lang w:bidi="ar"/>
              </w:rPr>
              <w:t>Coefficients</w:t>
            </w:r>
          </w:p>
        </w:tc>
        <w:tc>
          <w:tcPr>
            <w:tcW w:w="1278" w:type="pct"/>
            <w:gridSpan w:val="3"/>
            <w:tcBorders>
              <w:top w:val="single" w:sz="18" w:space="0" w:color="auto"/>
              <w:bottom w:val="nil"/>
            </w:tcBorders>
            <w:vAlign w:val="center"/>
          </w:tcPr>
          <w:p w14:paraId="3A5DFA41" w14:textId="77777777" w:rsidR="004A39DF" w:rsidRDefault="00D9470C">
            <w:pPr>
              <w:widowControl w:val="0"/>
              <w:jc w:val="center"/>
              <w:rPr>
                <w:rFonts w:ascii="Arial" w:hAnsi="Arial" w:cs="Arial"/>
                <w:b/>
                <w:kern w:val="2"/>
                <w:sz w:val="20"/>
                <w:szCs w:val="20"/>
                <w:lang w:eastAsia="en-PH"/>
              </w:rPr>
            </w:pPr>
            <w:r>
              <w:rPr>
                <w:rFonts w:ascii="Arial" w:hAnsi="Arial" w:cs="Arial" w:hint="eastAsia"/>
                <w:b/>
                <w:kern w:val="2"/>
                <w:sz w:val="20"/>
                <w:szCs w:val="20"/>
                <w:lang w:bidi="ar"/>
              </w:rPr>
              <w:t>Standardized Coefficients</w:t>
            </w:r>
          </w:p>
        </w:tc>
        <w:tc>
          <w:tcPr>
            <w:tcW w:w="663" w:type="pct"/>
            <w:tcBorders>
              <w:top w:val="single" w:sz="18" w:space="0" w:color="auto"/>
              <w:bottom w:val="nil"/>
            </w:tcBorders>
          </w:tcPr>
          <w:p w14:paraId="4256579F" w14:textId="77777777" w:rsidR="004A39DF" w:rsidRDefault="004A39DF">
            <w:pPr>
              <w:widowControl w:val="0"/>
              <w:jc w:val="center"/>
              <w:rPr>
                <w:rFonts w:ascii="Arial" w:hAnsi="Arial" w:cs="Arial"/>
                <w:b/>
                <w:kern w:val="2"/>
                <w:sz w:val="20"/>
                <w:szCs w:val="20"/>
                <w:lang w:bidi="ar"/>
              </w:rPr>
            </w:pPr>
          </w:p>
        </w:tc>
        <w:tc>
          <w:tcPr>
            <w:tcW w:w="906" w:type="pct"/>
            <w:tcBorders>
              <w:top w:val="single" w:sz="18" w:space="0" w:color="auto"/>
              <w:bottom w:val="nil"/>
            </w:tcBorders>
          </w:tcPr>
          <w:p w14:paraId="056C3799" w14:textId="77777777" w:rsidR="004A39DF" w:rsidRDefault="004A39DF">
            <w:pPr>
              <w:widowControl w:val="0"/>
              <w:jc w:val="center"/>
              <w:rPr>
                <w:rFonts w:ascii="Arial" w:hAnsi="Arial" w:cs="Arial"/>
                <w:b/>
                <w:kern w:val="2"/>
                <w:sz w:val="20"/>
                <w:szCs w:val="20"/>
                <w:lang w:bidi="ar"/>
              </w:rPr>
            </w:pPr>
          </w:p>
        </w:tc>
      </w:tr>
      <w:tr w:rsidR="004A39DF" w14:paraId="5D8EE7D9" w14:textId="77777777">
        <w:trPr>
          <w:trHeight w:val="170"/>
        </w:trPr>
        <w:tc>
          <w:tcPr>
            <w:tcW w:w="926" w:type="pct"/>
            <w:tcBorders>
              <w:top w:val="nil"/>
              <w:bottom w:val="nil"/>
            </w:tcBorders>
            <w:vAlign w:val="center"/>
          </w:tcPr>
          <w:p w14:paraId="6DE95A9B" w14:textId="77777777" w:rsidR="004A39DF" w:rsidRDefault="00D9470C">
            <w:pPr>
              <w:widowControl w:val="0"/>
              <w:jc w:val="center"/>
              <w:rPr>
                <w:rFonts w:ascii="Arial" w:eastAsia="Calibri" w:hAnsi="Arial" w:cs="Arial"/>
                <w:kern w:val="2"/>
                <w:sz w:val="20"/>
                <w:szCs w:val="20"/>
                <w:lang w:val="en-PH" w:eastAsia="en-PH"/>
              </w:rPr>
            </w:pPr>
            <w:r>
              <w:rPr>
                <w:rFonts w:ascii="Arial" w:eastAsia="Calibri" w:hAnsi="Arial" w:cs="Arial"/>
                <w:b/>
                <w:bCs/>
                <w:kern w:val="2"/>
                <w:sz w:val="20"/>
                <w:szCs w:val="20"/>
                <w:lang w:val="en-PH" w:eastAsia="en-PH"/>
              </w:rPr>
              <w:t>Independent Variables</w:t>
            </w:r>
          </w:p>
        </w:tc>
        <w:tc>
          <w:tcPr>
            <w:tcW w:w="446" w:type="pct"/>
            <w:gridSpan w:val="2"/>
            <w:tcBorders>
              <w:top w:val="nil"/>
              <w:bottom w:val="nil"/>
            </w:tcBorders>
            <w:vAlign w:val="center"/>
          </w:tcPr>
          <w:p w14:paraId="2C45D895" w14:textId="77777777" w:rsidR="004A39DF" w:rsidRDefault="00D9470C">
            <w:pPr>
              <w:widowControl w:val="0"/>
              <w:jc w:val="center"/>
              <w:rPr>
                <w:rFonts w:ascii="Arial" w:hAnsi="Arial" w:cs="Arial"/>
                <w:b/>
                <w:kern w:val="2"/>
                <w:sz w:val="20"/>
                <w:szCs w:val="20"/>
                <w:lang w:eastAsia="en-PH"/>
              </w:rPr>
            </w:pPr>
            <w:r>
              <w:rPr>
                <w:rFonts w:ascii="Arial" w:hAnsi="Arial" w:cs="Arial" w:hint="eastAsia"/>
                <w:b/>
                <w:kern w:val="2"/>
                <w:sz w:val="20"/>
                <w:szCs w:val="20"/>
                <w:lang w:eastAsia="en-PH"/>
              </w:rPr>
              <w:t>B</w:t>
            </w:r>
          </w:p>
        </w:tc>
        <w:tc>
          <w:tcPr>
            <w:tcW w:w="779" w:type="pct"/>
            <w:tcBorders>
              <w:top w:val="nil"/>
              <w:bottom w:val="nil"/>
            </w:tcBorders>
            <w:vAlign w:val="center"/>
          </w:tcPr>
          <w:p w14:paraId="0E9291BE" w14:textId="77777777" w:rsidR="004A39DF" w:rsidRDefault="00D9470C">
            <w:pPr>
              <w:widowControl w:val="0"/>
              <w:jc w:val="center"/>
              <w:rPr>
                <w:rFonts w:ascii="Arial" w:hAnsi="Arial" w:cs="Arial"/>
                <w:b/>
                <w:kern w:val="2"/>
                <w:sz w:val="20"/>
                <w:szCs w:val="20"/>
                <w:lang w:eastAsia="en-PH"/>
              </w:rPr>
            </w:pPr>
            <w:r>
              <w:rPr>
                <w:rFonts w:ascii="Arial" w:hAnsi="Arial" w:cs="Arial" w:hint="eastAsia"/>
                <w:b/>
                <w:kern w:val="2"/>
                <w:sz w:val="20"/>
                <w:szCs w:val="20"/>
                <w:lang w:eastAsia="en-PH"/>
              </w:rPr>
              <w:t>Std. Error</w:t>
            </w:r>
          </w:p>
        </w:tc>
        <w:tc>
          <w:tcPr>
            <w:tcW w:w="390" w:type="pct"/>
            <w:tcBorders>
              <w:top w:val="nil"/>
              <w:bottom w:val="nil"/>
            </w:tcBorders>
            <w:vAlign w:val="center"/>
          </w:tcPr>
          <w:p w14:paraId="27EDCFAF" w14:textId="77777777" w:rsidR="004A39DF" w:rsidRDefault="00D9470C">
            <w:pPr>
              <w:widowControl w:val="0"/>
              <w:jc w:val="center"/>
              <w:rPr>
                <w:rFonts w:ascii="Arial" w:hAnsi="Arial" w:cs="Arial"/>
                <w:b/>
                <w:kern w:val="2"/>
                <w:sz w:val="20"/>
                <w:szCs w:val="20"/>
                <w:lang w:eastAsia="en-PH"/>
              </w:rPr>
            </w:pPr>
            <w:r>
              <w:rPr>
                <w:rFonts w:ascii="Arial" w:hAnsi="Arial" w:cs="Arial" w:hint="eastAsia"/>
                <w:b/>
                <w:kern w:val="2"/>
                <w:sz w:val="20"/>
                <w:szCs w:val="20"/>
                <w:lang w:eastAsia="en-PH"/>
              </w:rPr>
              <w:t>Beta</w:t>
            </w:r>
          </w:p>
        </w:tc>
        <w:tc>
          <w:tcPr>
            <w:tcW w:w="501" w:type="pct"/>
            <w:tcBorders>
              <w:top w:val="nil"/>
              <w:bottom w:val="nil"/>
            </w:tcBorders>
            <w:vAlign w:val="center"/>
          </w:tcPr>
          <w:p w14:paraId="6945461D" w14:textId="77777777" w:rsidR="004A39DF" w:rsidRDefault="00D9470C">
            <w:pPr>
              <w:widowControl w:val="0"/>
              <w:jc w:val="center"/>
              <w:rPr>
                <w:rFonts w:ascii="Arial" w:hAnsi="Arial" w:cs="Arial"/>
                <w:b/>
                <w:kern w:val="2"/>
                <w:sz w:val="20"/>
                <w:szCs w:val="20"/>
                <w:lang w:eastAsia="en-PH"/>
              </w:rPr>
            </w:pPr>
            <w:r>
              <w:rPr>
                <w:rFonts w:ascii="Arial" w:hAnsi="Arial" w:cs="Arial" w:hint="eastAsia"/>
                <w:b/>
                <w:kern w:val="2"/>
                <w:sz w:val="20"/>
                <w:szCs w:val="20"/>
                <w:lang w:eastAsia="en-PH"/>
              </w:rPr>
              <w:t>t</w:t>
            </w:r>
          </w:p>
        </w:tc>
        <w:tc>
          <w:tcPr>
            <w:tcW w:w="386" w:type="pct"/>
            <w:tcBorders>
              <w:top w:val="nil"/>
              <w:bottom w:val="nil"/>
            </w:tcBorders>
            <w:vAlign w:val="center"/>
          </w:tcPr>
          <w:p w14:paraId="219FA2B3" w14:textId="77777777" w:rsidR="004A39DF" w:rsidRDefault="00D9470C">
            <w:pPr>
              <w:widowControl w:val="0"/>
              <w:jc w:val="center"/>
              <w:rPr>
                <w:rFonts w:ascii="Arial" w:hAnsi="Arial" w:cs="Arial"/>
                <w:b/>
                <w:kern w:val="2"/>
                <w:sz w:val="20"/>
                <w:szCs w:val="20"/>
                <w:lang w:eastAsia="en-PH"/>
              </w:rPr>
            </w:pPr>
            <w:r>
              <w:rPr>
                <w:rFonts w:ascii="Arial" w:hAnsi="Arial" w:cs="Arial" w:hint="eastAsia"/>
                <w:b/>
                <w:kern w:val="2"/>
                <w:sz w:val="20"/>
                <w:szCs w:val="20"/>
                <w:lang w:eastAsia="en-PH"/>
              </w:rPr>
              <w:t>Sig.</w:t>
            </w:r>
          </w:p>
        </w:tc>
        <w:tc>
          <w:tcPr>
            <w:tcW w:w="663" w:type="pct"/>
            <w:tcBorders>
              <w:top w:val="nil"/>
              <w:bottom w:val="nil"/>
            </w:tcBorders>
            <w:vAlign w:val="center"/>
          </w:tcPr>
          <w:p w14:paraId="0431708B" w14:textId="77777777" w:rsidR="004A39DF" w:rsidRDefault="004A39DF">
            <w:pPr>
              <w:widowControl w:val="0"/>
              <w:jc w:val="center"/>
              <w:rPr>
                <w:rFonts w:ascii="Arial" w:hAnsi="Arial" w:cs="Arial"/>
                <w:b/>
                <w:kern w:val="2"/>
                <w:sz w:val="20"/>
                <w:szCs w:val="20"/>
                <w:lang w:eastAsia="en-PH"/>
              </w:rPr>
            </w:pPr>
          </w:p>
          <w:p w14:paraId="77B72ADB" w14:textId="77777777" w:rsidR="004A39DF" w:rsidRDefault="00D9470C">
            <w:pPr>
              <w:widowControl w:val="0"/>
              <w:jc w:val="center"/>
              <w:rPr>
                <w:rFonts w:ascii="Arial" w:hAnsi="Arial" w:cs="Arial"/>
                <w:b/>
                <w:kern w:val="2"/>
                <w:sz w:val="20"/>
                <w:szCs w:val="20"/>
                <w:vertAlign w:val="subscript"/>
                <w:lang w:eastAsia="en-PH"/>
              </w:rPr>
            </w:pPr>
            <w:r>
              <w:rPr>
                <w:rFonts w:ascii="Arial" w:hAnsi="Arial" w:cs="Arial" w:hint="eastAsia"/>
                <w:b/>
                <w:kern w:val="2"/>
                <w:sz w:val="20"/>
                <w:szCs w:val="20"/>
                <w:lang w:eastAsia="en-PH"/>
              </w:rPr>
              <w:t>Decision on H</w:t>
            </w:r>
            <w:r>
              <w:rPr>
                <w:rFonts w:ascii="Arial" w:hAnsi="Arial" w:cs="Arial" w:hint="eastAsia"/>
                <w:b/>
                <w:kern w:val="2"/>
                <w:sz w:val="20"/>
                <w:szCs w:val="20"/>
                <w:vertAlign w:val="subscript"/>
                <w:lang w:eastAsia="en-PH"/>
              </w:rPr>
              <w:t>0</w:t>
            </w:r>
          </w:p>
        </w:tc>
        <w:tc>
          <w:tcPr>
            <w:tcW w:w="906" w:type="pct"/>
            <w:tcBorders>
              <w:top w:val="nil"/>
              <w:bottom w:val="nil"/>
            </w:tcBorders>
            <w:vAlign w:val="center"/>
          </w:tcPr>
          <w:p w14:paraId="48F413C3" w14:textId="77777777" w:rsidR="004A39DF" w:rsidRDefault="004A39DF">
            <w:pPr>
              <w:widowControl w:val="0"/>
              <w:jc w:val="center"/>
              <w:rPr>
                <w:rFonts w:ascii="Arial" w:hAnsi="Arial" w:cs="Arial"/>
                <w:b/>
                <w:kern w:val="2"/>
                <w:sz w:val="20"/>
                <w:szCs w:val="20"/>
                <w:lang w:eastAsia="en-PH"/>
              </w:rPr>
            </w:pPr>
          </w:p>
          <w:p w14:paraId="56A6F196" w14:textId="77777777" w:rsidR="004A39DF" w:rsidRDefault="00D9470C">
            <w:pPr>
              <w:widowControl w:val="0"/>
              <w:jc w:val="center"/>
              <w:rPr>
                <w:rFonts w:ascii="Arial" w:hAnsi="Arial" w:cs="Arial"/>
                <w:b/>
                <w:kern w:val="2"/>
                <w:sz w:val="20"/>
                <w:szCs w:val="20"/>
                <w:lang w:eastAsia="en-PH"/>
              </w:rPr>
            </w:pPr>
            <w:r>
              <w:rPr>
                <w:rFonts w:ascii="Arial" w:hAnsi="Arial" w:cs="Arial" w:hint="eastAsia"/>
                <w:b/>
                <w:kern w:val="2"/>
                <w:sz w:val="20"/>
                <w:szCs w:val="20"/>
                <w:lang w:eastAsia="en-PH"/>
              </w:rPr>
              <w:t>Interpretation</w:t>
            </w:r>
          </w:p>
        </w:tc>
      </w:tr>
      <w:tr w:rsidR="004A39DF" w14:paraId="7DC65089" w14:textId="77777777">
        <w:trPr>
          <w:trHeight w:val="170"/>
        </w:trPr>
        <w:tc>
          <w:tcPr>
            <w:tcW w:w="926" w:type="pct"/>
            <w:tcBorders>
              <w:bottom w:val="single" w:sz="8" w:space="0" w:color="auto"/>
            </w:tcBorders>
            <w:vAlign w:val="center"/>
          </w:tcPr>
          <w:p w14:paraId="4E61604D" w14:textId="77777777" w:rsidR="004A39DF" w:rsidRDefault="00D9470C">
            <w:pPr>
              <w:widowControl w:val="0"/>
              <w:spacing w:line="256" w:lineRule="auto"/>
              <w:jc w:val="center"/>
              <w:rPr>
                <w:rFonts w:ascii="Arial" w:hAnsi="Arial" w:cs="Arial"/>
                <w:kern w:val="2"/>
                <w:sz w:val="20"/>
                <w:szCs w:val="20"/>
                <w:lang w:eastAsia="en-PH"/>
              </w:rPr>
            </w:pPr>
            <w:r>
              <w:rPr>
                <w:rFonts w:ascii="Arial" w:eastAsia="Calibri" w:hAnsi="Arial" w:cs="Arial"/>
                <w:kern w:val="2"/>
                <w:sz w:val="20"/>
                <w:szCs w:val="20"/>
                <w:lang w:bidi="ar"/>
              </w:rPr>
              <w:t>(Constant)</w:t>
            </w:r>
          </w:p>
        </w:tc>
        <w:tc>
          <w:tcPr>
            <w:tcW w:w="446" w:type="pct"/>
            <w:gridSpan w:val="2"/>
            <w:tcBorders>
              <w:bottom w:val="single" w:sz="8" w:space="0" w:color="auto"/>
            </w:tcBorders>
          </w:tcPr>
          <w:p w14:paraId="08B8361A" w14:textId="77777777" w:rsidR="004A39DF" w:rsidRDefault="00D9470C">
            <w:pPr>
              <w:widowControl w:val="0"/>
              <w:spacing w:line="256" w:lineRule="auto"/>
              <w:jc w:val="center"/>
              <w:rPr>
                <w:rFonts w:ascii="Arial" w:hAnsi="Arial" w:cs="Arial"/>
                <w:kern w:val="2"/>
                <w:sz w:val="20"/>
                <w:szCs w:val="20"/>
                <w:lang w:eastAsia="en-PH"/>
              </w:rPr>
            </w:pPr>
            <w:r>
              <w:rPr>
                <w:rFonts w:ascii="Arial" w:hAnsi="Arial" w:cs="Arial"/>
                <w:kern w:val="2"/>
                <w:sz w:val="20"/>
                <w:szCs w:val="20"/>
                <w:lang w:eastAsia="en-PH"/>
              </w:rPr>
              <w:t>1.497</w:t>
            </w:r>
          </w:p>
        </w:tc>
        <w:tc>
          <w:tcPr>
            <w:tcW w:w="779" w:type="pct"/>
            <w:tcBorders>
              <w:bottom w:val="single" w:sz="8" w:space="0" w:color="auto"/>
            </w:tcBorders>
          </w:tcPr>
          <w:p w14:paraId="1E004BE7" w14:textId="77777777" w:rsidR="004A39DF" w:rsidRDefault="00D9470C">
            <w:pPr>
              <w:widowControl w:val="0"/>
              <w:spacing w:line="256" w:lineRule="auto"/>
              <w:jc w:val="center"/>
              <w:rPr>
                <w:rFonts w:ascii="Arial" w:hAnsi="Arial" w:cs="Arial"/>
                <w:kern w:val="2"/>
                <w:sz w:val="20"/>
                <w:szCs w:val="20"/>
                <w:lang w:eastAsia="en-PH"/>
              </w:rPr>
            </w:pPr>
            <w:r>
              <w:rPr>
                <w:rFonts w:ascii="Arial" w:eastAsia="Calibri" w:hAnsi="Arial" w:cs="Arial"/>
                <w:kern w:val="2"/>
                <w:sz w:val="20"/>
                <w:szCs w:val="20"/>
                <w:lang w:bidi="ar"/>
              </w:rPr>
              <w:t>.379</w:t>
            </w:r>
          </w:p>
        </w:tc>
        <w:tc>
          <w:tcPr>
            <w:tcW w:w="390" w:type="pct"/>
            <w:tcBorders>
              <w:bottom w:val="single" w:sz="8" w:space="0" w:color="auto"/>
            </w:tcBorders>
          </w:tcPr>
          <w:p w14:paraId="0C6CA933" w14:textId="77777777" w:rsidR="004A39DF" w:rsidRDefault="004A39DF">
            <w:pPr>
              <w:widowControl w:val="0"/>
              <w:spacing w:line="256" w:lineRule="auto"/>
              <w:jc w:val="center"/>
              <w:rPr>
                <w:rFonts w:ascii="Arial" w:hAnsi="Arial" w:cs="Arial"/>
                <w:kern w:val="2"/>
                <w:sz w:val="20"/>
                <w:szCs w:val="20"/>
                <w:lang w:eastAsia="en-PH"/>
              </w:rPr>
            </w:pPr>
          </w:p>
        </w:tc>
        <w:tc>
          <w:tcPr>
            <w:tcW w:w="501" w:type="pct"/>
            <w:tcBorders>
              <w:bottom w:val="single" w:sz="8" w:space="0" w:color="auto"/>
            </w:tcBorders>
          </w:tcPr>
          <w:p w14:paraId="3FA3B98F" w14:textId="77777777" w:rsidR="004A39DF" w:rsidRDefault="00D9470C">
            <w:pPr>
              <w:widowControl w:val="0"/>
              <w:spacing w:line="256" w:lineRule="auto"/>
              <w:jc w:val="center"/>
              <w:rPr>
                <w:rFonts w:ascii="Arial" w:hAnsi="Arial" w:cs="Arial"/>
                <w:kern w:val="2"/>
                <w:sz w:val="20"/>
                <w:szCs w:val="20"/>
                <w:lang w:eastAsia="en-PH"/>
              </w:rPr>
            </w:pPr>
            <w:r>
              <w:rPr>
                <w:rFonts w:ascii="Arial" w:hAnsi="Arial" w:cs="Arial"/>
                <w:kern w:val="2"/>
                <w:sz w:val="20"/>
                <w:szCs w:val="20"/>
                <w:lang w:eastAsia="en-PH"/>
              </w:rPr>
              <w:t>3.950</w:t>
            </w:r>
          </w:p>
        </w:tc>
        <w:tc>
          <w:tcPr>
            <w:tcW w:w="386" w:type="pct"/>
            <w:tcBorders>
              <w:bottom w:val="single" w:sz="8" w:space="0" w:color="auto"/>
            </w:tcBorders>
          </w:tcPr>
          <w:p w14:paraId="071266FD" w14:textId="77777777" w:rsidR="004A39DF" w:rsidRDefault="00D9470C">
            <w:pPr>
              <w:widowControl w:val="0"/>
              <w:spacing w:line="256" w:lineRule="auto"/>
              <w:jc w:val="center"/>
              <w:rPr>
                <w:rFonts w:ascii="Arial" w:hAnsi="Arial" w:cs="Arial"/>
                <w:kern w:val="2"/>
                <w:sz w:val="20"/>
                <w:szCs w:val="20"/>
                <w:lang w:eastAsia="en-PH"/>
              </w:rPr>
            </w:pPr>
            <w:r>
              <w:rPr>
                <w:rFonts w:ascii="Arial" w:eastAsia="Calibri" w:hAnsi="Arial" w:cs="Arial"/>
                <w:kern w:val="2"/>
                <w:sz w:val="20"/>
                <w:szCs w:val="20"/>
                <w:lang w:bidi="ar"/>
              </w:rPr>
              <w:t>.000</w:t>
            </w:r>
          </w:p>
        </w:tc>
        <w:tc>
          <w:tcPr>
            <w:tcW w:w="663" w:type="pct"/>
            <w:tcBorders>
              <w:bottom w:val="single" w:sz="8" w:space="0" w:color="auto"/>
            </w:tcBorders>
            <w:vAlign w:val="center"/>
          </w:tcPr>
          <w:p w14:paraId="6805A8B0" w14:textId="77777777" w:rsidR="004A39DF" w:rsidRDefault="004A39DF">
            <w:pPr>
              <w:widowControl w:val="0"/>
              <w:autoSpaceDE w:val="0"/>
              <w:autoSpaceDN w:val="0"/>
              <w:adjustRightInd w:val="0"/>
              <w:spacing w:line="320" w:lineRule="atLeast"/>
              <w:ind w:left="60" w:right="60"/>
              <w:jc w:val="center"/>
              <w:rPr>
                <w:rFonts w:ascii="Arial" w:hAnsi="Arial" w:cs="Arial"/>
                <w:kern w:val="2"/>
                <w:sz w:val="20"/>
                <w:szCs w:val="20"/>
                <w:lang w:eastAsia="en-PH"/>
              </w:rPr>
            </w:pPr>
          </w:p>
        </w:tc>
        <w:tc>
          <w:tcPr>
            <w:tcW w:w="906" w:type="pct"/>
            <w:tcBorders>
              <w:bottom w:val="single" w:sz="8" w:space="0" w:color="auto"/>
            </w:tcBorders>
            <w:vAlign w:val="center"/>
          </w:tcPr>
          <w:p w14:paraId="3C254B4B" w14:textId="77777777" w:rsidR="004A39DF" w:rsidRDefault="004A39DF">
            <w:pPr>
              <w:widowControl w:val="0"/>
              <w:autoSpaceDE w:val="0"/>
              <w:autoSpaceDN w:val="0"/>
              <w:adjustRightInd w:val="0"/>
              <w:ind w:left="60" w:right="60"/>
              <w:jc w:val="center"/>
              <w:rPr>
                <w:rFonts w:ascii="Arial" w:hAnsi="Arial" w:cs="Arial"/>
                <w:kern w:val="2"/>
                <w:sz w:val="20"/>
                <w:szCs w:val="20"/>
                <w:lang w:eastAsia="en-PH"/>
              </w:rPr>
            </w:pPr>
          </w:p>
        </w:tc>
      </w:tr>
      <w:tr w:rsidR="004A39DF" w14:paraId="26FC523D" w14:textId="77777777">
        <w:trPr>
          <w:trHeight w:val="877"/>
        </w:trPr>
        <w:tc>
          <w:tcPr>
            <w:tcW w:w="926" w:type="pct"/>
            <w:tcBorders>
              <w:top w:val="single" w:sz="8" w:space="0" w:color="auto"/>
              <w:bottom w:val="single" w:sz="8" w:space="0" w:color="auto"/>
            </w:tcBorders>
            <w:vAlign w:val="center"/>
          </w:tcPr>
          <w:p w14:paraId="3C0CA53C" w14:textId="77777777" w:rsidR="004A39DF" w:rsidRDefault="00D9470C">
            <w:pPr>
              <w:widowControl w:val="0"/>
              <w:spacing w:line="256" w:lineRule="auto"/>
              <w:rPr>
                <w:rFonts w:ascii="Arial" w:eastAsia="Calibri" w:hAnsi="Arial" w:cs="Arial"/>
                <w:kern w:val="2"/>
                <w:sz w:val="20"/>
                <w:szCs w:val="20"/>
                <w:lang w:val="en-PH" w:bidi="ar"/>
              </w:rPr>
            </w:pPr>
            <w:r>
              <w:rPr>
                <w:rFonts w:ascii="Arial" w:hAnsi="Arial" w:cs="Arial"/>
                <w:sz w:val="20"/>
                <w:szCs w:val="20"/>
                <w:lang w:eastAsia="en-PH"/>
              </w:rPr>
              <w:t>Teaching Anxiety of Pre-service Teachers</w:t>
            </w:r>
          </w:p>
        </w:tc>
        <w:tc>
          <w:tcPr>
            <w:tcW w:w="446" w:type="pct"/>
            <w:gridSpan w:val="2"/>
            <w:tcBorders>
              <w:top w:val="single" w:sz="8" w:space="0" w:color="auto"/>
              <w:bottom w:val="single" w:sz="8" w:space="0" w:color="auto"/>
            </w:tcBorders>
            <w:vAlign w:val="center"/>
          </w:tcPr>
          <w:p w14:paraId="4C2BC63D" w14:textId="77777777" w:rsidR="004A39DF" w:rsidRDefault="00D9470C">
            <w:pPr>
              <w:widowControl w:val="0"/>
              <w:spacing w:line="256" w:lineRule="auto"/>
              <w:jc w:val="center"/>
              <w:rPr>
                <w:rFonts w:ascii="Arial" w:eastAsia="Calibri" w:hAnsi="Arial" w:cs="Arial"/>
                <w:kern w:val="2"/>
                <w:sz w:val="20"/>
                <w:szCs w:val="20"/>
                <w:lang w:bidi="ar"/>
              </w:rPr>
            </w:pPr>
            <w:r>
              <w:rPr>
                <w:rFonts w:ascii="Arial" w:eastAsia="Calibri" w:hAnsi="Arial" w:cs="Arial"/>
                <w:kern w:val="2"/>
                <w:sz w:val="20"/>
                <w:szCs w:val="20"/>
                <w:lang w:bidi="ar"/>
              </w:rPr>
              <w:t>.022</w:t>
            </w:r>
          </w:p>
        </w:tc>
        <w:tc>
          <w:tcPr>
            <w:tcW w:w="779" w:type="pct"/>
            <w:tcBorders>
              <w:top w:val="single" w:sz="8" w:space="0" w:color="auto"/>
              <w:bottom w:val="single" w:sz="8" w:space="0" w:color="auto"/>
            </w:tcBorders>
            <w:vAlign w:val="center"/>
          </w:tcPr>
          <w:p w14:paraId="4660EB06" w14:textId="77777777" w:rsidR="004A39DF" w:rsidRDefault="00D9470C">
            <w:pPr>
              <w:widowControl w:val="0"/>
              <w:spacing w:line="256" w:lineRule="auto"/>
              <w:jc w:val="center"/>
              <w:rPr>
                <w:rFonts w:ascii="Arial" w:eastAsia="Calibri" w:hAnsi="Arial" w:cs="Arial"/>
                <w:kern w:val="2"/>
                <w:sz w:val="20"/>
                <w:szCs w:val="20"/>
                <w:lang w:bidi="ar"/>
              </w:rPr>
            </w:pPr>
            <w:r>
              <w:rPr>
                <w:rFonts w:ascii="Arial" w:eastAsia="Calibri" w:hAnsi="Arial" w:cs="Arial"/>
                <w:kern w:val="2"/>
                <w:sz w:val="20"/>
                <w:szCs w:val="20"/>
                <w:lang w:bidi="ar"/>
              </w:rPr>
              <w:t>.074</w:t>
            </w:r>
          </w:p>
        </w:tc>
        <w:tc>
          <w:tcPr>
            <w:tcW w:w="390" w:type="pct"/>
            <w:tcBorders>
              <w:top w:val="single" w:sz="8" w:space="0" w:color="auto"/>
              <w:bottom w:val="single" w:sz="8" w:space="0" w:color="auto"/>
            </w:tcBorders>
            <w:vAlign w:val="center"/>
          </w:tcPr>
          <w:p w14:paraId="0F252F5B" w14:textId="77777777" w:rsidR="004A39DF" w:rsidRDefault="00D9470C">
            <w:pPr>
              <w:widowControl w:val="0"/>
              <w:spacing w:line="256" w:lineRule="auto"/>
              <w:jc w:val="center"/>
              <w:rPr>
                <w:rFonts w:ascii="Arial" w:eastAsia="Calibri" w:hAnsi="Arial" w:cs="Arial"/>
                <w:kern w:val="2"/>
                <w:sz w:val="20"/>
                <w:szCs w:val="20"/>
                <w:lang w:bidi="ar"/>
              </w:rPr>
            </w:pPr>
            <w:r>
              <w:rPr>
                <w:rFonts w:ascii="Arial" w:eastAsia="Calibri" w:hAnsi="Arial" w:cs="Arial"/>
                <w:kern w:val="2"/>
                <w:sz w:val="20"/>
                <w:szCs w:val="20"/>
                <w:lang w:bidi="ar"/>
              </w:rPr>
              <w:t>.014</w:t>
            </w:r>
          </w:p>
        </w:tc>
        <w:tc>
          <w:tcPr>
            <w:tcW w:w="501" w:type="pct"/>
            <w:tcBorders>
              <w:top w:val="single" w:sz="8" w:space="0" w:color="auto"/>
              <w:bottom w:val="single" w:sz="8" w:space="0" w:color="auto"/>
            </w:tcBorders>
            <w:vAlign w:val="center"/>
          </w:tcPr>
          <w:p w14:paraId="2096784C" w14:textId="77777777" w:rsidR="004A39DF" w:rsidRDefault="00D9470C">
            <w:pPr>
              <w:widowControl w:val="0"/>
              <w:spacing w:line="256" w:lineRule="auto"/>
              <w:jc w:val="center"/>
              <w:rPr>
                <w:rFonts w:ascii="Arial" w:eastAsia="Calibri" w:hAnsi="Arial" w:cs="Arial"/>
                <w:kern w:val="2"/>
                <w:sz w:val="20"/>
                <w:szCs w:val="20"/>
                <w:lang w:bidi="ar"/>
              </w:rPr>
            </w:pPr>
            <w:r>
              <w:rPr>
                <w:rFonts w:ascii="Arial" w:eastAsia="Calibri" w:hAnsi="Arial" w:cs="Arial"/>
                <w:kern w:val="2"/>
                <w:sz w:val="20"/>
                <w:szCs w:val="20"/>
                <w:lang w:bidi="ar"/>
              </w:rPr>
              <w:t>.303</w:t>
            </w:r>
          </w:p>
        </w:tc>
        <w:tc>
          <w:tcPr>
            <w:tcW w:w="386" w:type="pct"/>
            <w:tcBorders>
              <w:top w:val="single" w:sz="8" w:space="0" w:color="auto"/>
              <w:bottom w:val="single" w:sz="8" w:space="0" w:color="auto"/>
            </w:tcBorders>
            <w:vAlign w:val="center"/>
          </w:tcPr>
          <w:p w14:paraId="4791C4F7" w14:textId="77777777" w:rsidR="004A39DF" w:rsidRDefault="00D9470C">
            <w:pPr>
              <w:widowControl w:val="0"/>
              <w:spacing w:line="256" w:lineRule="auto"/>
              <w:jc w:val="center"/>
              <w:rPr>
                <w:rFonts w:ascii="Arial" w:eastAsia="Calibri" w:hAnsi="Arial" w:cs="Arial"/>
                <w:kern w:val="2"/>
                <w:sz w:val="20"/>
                <w:szCs w:val="20"/>
                <w:lang w:bidi="ar"/>
              </w:rPr>
            </w:pPr>
            <w:r>
              <w:rPr>
                <w:rFonts w:ascii="Arial" w:eastAsia="Calibri" w:hAnsi="Arial" w:cs="Arial"/>
                <w:kern w:val="2"/>
                <w:sz w:val="20"/>
                <w:szCs w:val="20"/>
                <w:lang w:bidi="ar"/>
              </w:rPr>
              <w:t>.762</w:t>
            </w:r>
          </w:p>
        </w:tc>
        <w:tc>
          <w:tcPr>
            <w:tcW w:w="663" w:type="pct"/>
            <w:tcBorders>
              <w:top w:val="single" w:sz="8" w:space="0" w:color="auto"/>
              <w:bottom w:val="single" w:sz="8" w:space="0" w:color="auto"/>
            </w:tcBorders>
            <w:vAlign w:val="center"/>
          </w:tcPr>
          <w:p w14:paraId="3E3E0AE7" w14:textId="77777777" w:rsidR="004A39DF" w:rsidRDefault="00D9470C">
            <w:pPr>
              <w:widowControl w:val="0"/>
              <w:autoSpaceDE w:val="0"/>
              <w:autoSpaceDN w:val="0"/>
              <w:adjustRightInd w:val="0"/>
              <w:spacing w:line="320" w:lineRule="atLeast"/>
              <w:ind w:left="60" w:right="60"/>
              <w:jc w:val="center"/>
              <w:rPr>
                <w:rFonts w:ascii="Arial" w:hAnsi="Arial" w:cs="Arial"/>
                <w:kern w:val="2"/>
                <w:sz w:val="20"/>
                <w:szCs w:val="20"/>
                <w:lang w:eastAsia="en-PH"/>
              </w:rPr>
            </w:pPr>
            <w:r>
              <w:rPr>
                <w:rFonts w:ascii="Arial" w:hAnsi="Arial" w:cs="Arial"/>
                <w:kern w:val="2"/>
                <w:sz w:val="20"/>
                <w:szCs w:val="20"/>
                <w:lang w:eastAsia="en-PH"/>
              </w:rPr>
              <w:t>Failed to Reject</w:t>
            </w:r>
          </w:p>
        </w:tc>
        <w:tc>
          <w:tcPr>
            <w:tcW w:w="906" w:type="pct"/>
            <w:tcBorders>
              <w:top w:val="single" w:sz="8" w:space="0" w:color="auto"/>
              <w:bottom w:val="single" w:sz="8" w:space="0" w:color="auto"/>
            </w:tcBorders>
            <w:vAlign w:val="center"/>
          </w:tcPr>
          <w:p w14:paraId="6D350B38" w14:textId="77777777" w:rsidR="004A39DF" w:rsidRDefault="00D9470C">
            <w:pPr>
              <w:widowControl w:val="0"/>
              <w:autoSpaceDE w:val="0"/>
              <w:autoSpaceDN w:val="0"/>
              <w:adjustRightInd w:val="0"/>
              <w:ind w:left="60" w:right="60"/>
              <w:jc w:val="center"/>
              <w:rPr>
                <w:rFonts w:ascii="Arial" w:hAnsi="Arial" w:cs="Arial"/>
                <w:kern w:val="2"/>
                <w:sz w:val="20"/>
                <w:szCs w:val="20"/>
                <w:lang w:eastAsia="en-PH"/>
              </w:rPr>
            </w:pPr>
            <w:r>
              <w:rPr>
                <w:rFonts w:ascii="Arial" w:hAnsi="Arial" w:cs="Arial"/>
                <w:kern w:val="2"/>
                <w:sz w:val="20"/>
                <w:szCs w:val="20"/>
                <w:lang w:eastAsia="en-PH"/>
              </w:rPr>
              <w:t>Not Significant</w:t>
            </w:r>
          </w:p>
        </w:tc>
      </w:tr>
      <w:tr w:rsidR="004A39DF" w14:paraId="53248E37" w14:textId="77777777">
        <w:trPr>
          <w:trHeight w:val="540"/>
        </w:trPr>
        <w:tc>
          <w:tcPr>
            <w:tcW w:w="926" w:type="pct"/>
            <w:tcBorders>
              <w:top w:val="single" w:sz="8" w:space="0" w:color="auto"/>
              <w:bottom w:val="single" w:sz="8" w:space="0" w:color="auto"/>
            </w:tcBorders>
            <w:vAlign w:val="center"/>
          </w:tcPr>
          <w:p w14:paraId="38EBC168" w14:textId="77777777" w:rsidR="004A39DF" w:rsidRDefault="00D9470C">
            <w:pPr>
              <w:widowControl w:val="0"/>
              <w:spacing w:line="256" w:lineRule="auto"/>
              <w:jc w:val="both"/>
              <w:rPr>
                <w:rFonts w:ascii="Arial" w:eastAsia="Calibri" w:hAnsi="Arial" w:cs="Arial"/>
                <w:kern w:val="2"/>
                <w:sz w:val="20"/>
                <w:szCs w:val="20"/>
                <w:lang w:val="en-PH" w:bidi="ar"/>
              </w:rPr>
            </w:pPr>
            <w:r>
              <w:rPr>
                <w:rFonts w:ascii="Arial" w:eastAsia="Calibri" w:hAnsi="Arial" w:cs="Arial"/>
                <w:iCs/>
                <w:sz w:val="20"/>
                <w:szCs w:val="20"/>
                <w:lang w:eastAsia="en-PH"/>
              </w:rPr>
              <w:t xml:space="preserve">Teaching </w:t>
            </w:r>
            <w:r>
              <w:rPr>
                <w:rFonts w:ascii="Arial" w:eastAsia="Calibri" w:hAnsi="Arial" w:cs="Arial"/>
                <w:iCs/>
                <w:sz w:val="20"/>
                <w:szCs w:val="20"/>
                <w:lang w:val="en-PH" w:eastAsia="en-PH"/>
              </w:rPr>
              <w:t>Self-</w:t>
            </w:r>
            <w:r>
              <w:rPr>
                <w:rFonts w:ascii="Arial" w:eastAsia="Calibri" w:hAnsi="Arial" w:cs="Arial"/>
                <w:iCs/>
                <w:sz w:val="20"/>
                <w:szCs w:val="20"/>
                <w:lang w:eastAsia="en-PH"/>
              </w:rPr>
              <w:t>Efficacy</w:t>
            </w:r>
          </w:p>
        </w:tc>
        <w:tc>
          <w:tcPr>
            <w:tcW w:w="446" w:type="pct"/>
            <w:gridSpan w:val="2"/>
            <w:tcBorders>
              <w:top w:val="single" w:sz="8" w:space="0" w:color="auto"/>
              <w:bottom w:val="single" w:sz="8" w:space="0" w:color="auto"/>
            </w:tcBorders>
            <w:vAlign w:val="center"/>
          </w:tcPr>
          <w:p w14:paraId="4767850D" w14:textId="77777777" w:rsidR="004A39DF" w:rsidRDefault="00D9470C">
            <w:pPr>
              <w:widowControl w:val="0"/>
              <w:spacing w:line="256" w:lineRule="auto"/>
              <w:jc w:val="center"/>
              <w:rPr>
                <w:rFonts w:ascii="Arial" w:eastAsia="Calibri" w:hAnsi="Arial" w:cs="Arial"/>
                <w:kern w:val="2"/>
                <w:sz w:val="20"/>
                <w:szCs w:val="20"/>
                <w:lang w:bidi="ar"/>
              </w:rPr>
            </w:pPr>
            <w:r>
              <w:rPr>
                <w:rFonts w:ascii="Arial" w:eastAsia="Calibri" w:hAnsi="Arial" w:cs="Arial"/>
                <w:kern w:val="2"/>
                <w:sz w:val="20"/>
                <w:szCs w:val="20"/>
                <w:lang w:bidi="ar"/>
              </w:rPr>
              <w:t>.556</w:t>
            </w:r>
          </w:p>
        </w:tc>
        <w:tc>
          <w:tcPr>
            <w:tcW w:w="779" w:type="pct"/>
            <w:tcBorders>
              <w:top w:val="single" w:sz="8" w:space="0" w:color="auto"/>
              <w:bottom w:val="single" w:sz="8" w:space="0" w:color="auto"/>
            </w:tcBorders>
            <w:vAlign w:val="center"/>
          </w:tcPr>
          <w:p w14:paraId="69682E7E" w14:textId="77777777" w:rsidR="004A39DF" w:rsidRDefault="00D9470C">
            <w:pPr>
              <w:widowControl w:val="0"/>
              <w:spacing w:line="256" w:lineRule="auto"/>
              <w:jc w:val="center"/>
              <w:rPr>
                <w:rFonts w:ascii="Arial" w:eastAsia="Calibri" w:hAnsi="Arial" w:cs="Arial"/>
                <w:kern w:val="2"/>
                <w:sz w:val="20"/>
                <w:szCs w:val="20"/>
                <w:lang w:bidi="ar"/>
              </w:rPr>
            </w:pPr>
            <w:r>
              <w:rPr>
                <w:rFonts w:ascii="Arial" w:eastAsia="Calibri" w:hAnsi="Arial" w:cs="Arial"/>
                <w:kern w:val="2"/>
                <w:sz w:val="20"/>
                <w:szCs w:val="20"/>
                <w:lang w:bidi="ar"/>
              </w:rPr>
              <w:t>.046</w:t>
            </w:r>
          </w:p>
        </w:tc>
        <w:tc>
          <w:tcPr>
            <w:tcW w:w="390" w:type="pct"/>
            <w:tcBorders>
              <w:top w:val="single" w:sz="8" w:space="0" w:color="auto"/>
              <w:bottom w:val="single" w:sz="8" w:space="0" w:color="auto"/>
            </w:tcBorders>
            <w:vAlign w:val="center"/>
          </w:tcPr>
          <w:p w14:paraId="5CCC91C1" w14:textId="77777777" w:rsidR="004A39DF" w:rsidRDefault="00D9470C">
            <w:pPr>
              <w:widowControl w:val="0"/>
              <w:spacing w:line="256" w:lineRule="auto"/>
              <w:jc w:val="center"/>
              <w:rPr>
                <w:rFonts w:ascii="Arial" w:eastAsia="Calibri" w:hAnsi="Arial" w:cs="Arial"/>
                <w:kern w:val="2"/>
                <w:sz w:val="20"/>
                <w:szCs w:val="20"/>
                <w:lang w:bidi="ar"/>
              </w:rPr>
            </w:pPr>
            <w:r>
              <w:rPr>
                <w:rFonts w:ascii="Arial" w:eastAsia="Calibri" w:hAnsi="Arial" w:cs="Arial"/>
                <w:kern w:val="2"/>
                <w:sz w:val="20"/>
                <w:szCs w:val="20"/>
                <w:lang w:bidi="ar"/>
              </w:rPr>
              <w:t>.554</w:t>
            </w:r>
          </w:p>
        </w:tc>
        <w:tc>
          <w:tcPr>
            <w:tcW w:w="501" w:type="pct"/>
            <w:tcBorders>
              <w:top w:val="single" w:sz="8" w:space="0" w:color="auto"/>
              <w:bottom w:val="single" w:sz="8" w:space="0" w:color="auto"/>
            </w:tcBorders>
            <w:vAlign w:val="center"/>
          </w:tcPr>
          <w:p w14:paraId="2F008E3A" w14:textId="77777777" w:rsidR="004A39DF" w:rsidRDefault="00D9470C">
            <w:pPr>
              <w:widowControl w:val="0"/>
              <w:spacing w:line="256" w:lineRule="auto"/>
              <w:jc w:val="center"/>
              <w:rPr>
                <w:rFonts w:ascii="Arial" w:eastAsia="Calibri" w:hAnsi="Arial" w:cs="Arial"/>
                <w:kern w:val="2"/>
                <w:sz w:val="20"/>
                <w:szCs w:val="20"/>
                <w:lang w:bidi="ar"/>
              </w:rPr>
            </w:pPr>
            <w:r>
              <w:rPr>
                <w:rFonts w:ascii="Arial" w:eastAsia="Calibri" w:hAnsi="Arial" w:cs="Arial"/>
                <w:kern w:val="2"/>
                <w:sz w:val="20"/>
                <w:szCs w:val="20"/>
                <w:lang w:bidi="ar"/>
              </w:rPr>
              <w:t>12.036</w:t>
            </w:r>
          </w:p>
        </w:tc>
        <w:tc>
          <w:tcPr>
            <w:tcW w:w="386" w:type="pct"/>
            <w:tcBorders>
              <w:top w:val="single" w:sz="8" w:space="0" w:color="auto"/>
              <w:bottom w:val="single" w:sz="8" w:space="0" w:color="auto"/>
            </w:tcBorders>
            <w:vAlign w:val="center"/>
          </w:tcPr>
          <w:p w14:paraId="435D1D3D" w14:textId="77777777" w:rsidR="004A39DF" w:rsidRDefault="00D9470C">
            <w:pPr>
              <w:widowControl w:val="0"/>
              <w:spacing w:line="256" w:lineRule="auto"/>
              <w:jc w:val="center"/>
              <w:rPr>
                <w:rFonts w:ascii="Arial" w:eastAsia="Calibri" w:hAnsi="Arial" w:cs="Arial"/>
                <w:kern w:val="2"/>
                <w:sz w:val="20"/>
                <w:szCs w:val="20"/>
                <w:lang w:bidi="ar"/>
              </w:rPr>
            </w:pPr>
            <w:r>
              <w:rPr>
                <w:rFonts w:ascii="Arial" w:eastAsia="Calibri" w:hAnsi="Arial" w:cs="Arial"/>
                <w:kern w:val="2"/>
                <w:sz w:val="20"/>
                <w:szCs w:val="20"/>
                <w:lang w:bidi="ar"/>
              </w:rPr>
              <w:t>.000</w:t>
            </w:r>
          </w:p>
        </w:tc>
        <w:tc>
          <w:tcPr>
            <w:tcW w:w="663" w:type="pct"/>
            <w:tcBorders>
              <w:top w:val="single" w:sz="8" w:space="0" w:color="auto"/>
              <w:bottom w:val="single" w:sz="8" w:space="0" w:color="auto"/>
            </w:tcBorders>
            <w:vAlign w:val="center"/>
          </w:tcPr>
          <w:p w14:paraId="663782A7" w14:textId="77777777" w:rsidR="004A39DF" w:rsidRDefault="00D9470C">
            <w:pPr>
              <w:widowControl w:val="0"/>
              <w:autoSpaceDE w:val="0"/>
              <w:autoSpaceDN w:val="0"/>
              <w:adjustRightInd w:val="0"/>
              <w:spacing w:line="320" w:lineRule="atLeast"/>
              <w:ind w:left="60" w:right="60"/>
              <w:jc w:val="center"/>
              <w:rPr>
                <w:rFonts w:ascii="Arial" w:hAnsi="Arial" w:cs="Arial"/>
                <w:kern w:val="2"/>
                <w:sz w:val="20"/>
                <w:szCs w:val="20"/>
                <w:lang w:eastAsia="en-PH"/>
              </w:rPr>
            </w:pPr>
            <w:r>
              <w:rPr>
                <w:rFonts w:ascii="Arial" w:hAnsi="Arial" w:cs="Arial"/>
                <w:kern w:val="2"/>
                <w:sz w:val="20"/>
                <w:szCs w:val="20"/>
                <w:lang w:eastAsia="en-PH"/>
              </w:rPr>
              <w:t>Reject</w:t>
            </w:r>
          </w:p>
        </w:tc>
        <w:tc>
          <w:tcPr>
            <w:tcW w:w="906" w:type="pct"/>
            <w:tcBorders>
              <w:top w:val="single" w:sz="8" w:space="0" w:color="auto"/>
              <w:bottom w:val="single" w:sz="8" w:space="0" w:color="auto"/>
            </w:tcBorders>
            <w:vAlign w:val="center"/>
          </w:tcPr>
          <w:p w14:paraId="7A9C242B" w14:textId="77777777" w:rsidR="004A39DF" w:rsidRDefault="00D9470C">
            <w:pPr>
              <w:widowControl w:val="0"/>
              <w:autoSpaceDE w:val="0"/>
              <w:autoSpaceDN w:val="0"/>
              <w:adjustRightInd w:val="0"/>
              <w:ind w:left="60" w:right="60"/>
              <w:jc w:val="center"/>
              <w:rPr>
                <w:rFonts w:ascii="Arial" w:hAnsi="Arial" w:cs="Arial"/>
                <w:kern w:val="2"/>
                <w:sz w:val="20"/>
                <w:szCs w:val="20"/>
                <w:lang w:eastAsia="en-PH"/>
              </w:rPr>
            </w:pPr>
            <w:r>
              <w:rPr>
                <w:rFonts w:ascii="Arial" w:hAnsi="Arial" w:cs="Arial"/>
                <w:kern w:val="2"/>
                <w:sz w:val="20"/>
                <w:szCs w:val="20"/>
                <w:lang w:eastAsia="en-PH"/>
              </w:rPr>
              <w:t>Significant</w:t>
            </w:r>
          </w:p>
        </w:tc>
      </w:tr>
      <w:tr w:rsidR="004A39DF" w14:paraId="58404FBF" w14:textId="77777777">
        <w:trPr>
          <w:trHeight w:val="540"/>
        </w:trPr>
        <w:tc>
          <w:tcPr>
            <w:tcW w:w="926" w:type="pct"/>
            <w:tcBorders>
              <w:top w:val="single" w:sz="8" w:space="0" w:color="auto"/>
              <w:bottom w:val="single" w:sz="18" w:space="0" w:color="auto"/>
            </w:tcBorders>
            <w:shd w:val="clear" w:color="auto" w:fill="auto"/>
            <w:vAlign w:val="center"/>
          </w:tcPr>
          <w:p w14:paraId="3C70B2EA" w14:textId="77777777" w:rsidR="004A39DF" w:rsidRDefault="00D9470C">
            <w:pPr>
              <w:widowControl w:val="0"/>
              <w:spacing w:line="256" w:lineRule="auto"/>
              <w:jc w:val="both"/>
              <w:rPr>
                <w:rFonts w:ascii="Arial" w:eastAsia="Calibri" w:hAnsi="Arial" w:cs="Arial"/>
                <w:kern w:val="2"/>
                <w:sz w:val="20"/>
                <w:szCs w:val="20"/>
                <w:lang w:val="en-PH" w:eastAsia="en-PH" w:bidi="ar"/>
              </w:rPr>
            </w:pPr>
            <w:r>
              <w:rPr>
                <w:rFonts w:ascii="Arial" w:hAnsi="Arial" w:cs="Arial"/>
                <w:sz w:val="20"/>
                <w:szCs w:val="20"/>
                <w:lang w:val="en-PH" w:eastAsia="en-PH"/>
              </w:rPr>
              <w:t>Teacher Support</w:t>
            </w:r>
          </w:p>
        </w:tc>
        <w:tc>
          <w:tcPr>
            <w:tcW w:w="446" w:type="pct"/>
            <w:gridSpan w:val="2"/>
            <w:tcBorders>
              <w:top w:val="single" w:sz="8" w:space="0" w:color="auto"/>
              <w:bottom w:val="single" w:sz="18" w:space="0" w:color="auto"/>
            </w:tcBorders>
            <w:shd w:val="clear" w:color="auto" w:fill="auto"/>
            <w:vAlign w:val="center"/>
          </w:tcPr>
          <w:p w14:paraId="4A8C9A2B" w14:textId="77777777" w:rsidR="004A39DF" w:rsidRDefault="00D9470C">
            <w:pPr>
              <w:widowControl w:val="0"/>
              <w:spacing w:line="256" w:lineRule="auto"/>
              <w:jc w:val="center"/>
              <w:rPr>
                <w:rFonts w:ascii="Arial" w:eastAsia="Calibri" w:hAnsi="Arial" w:cs="Arial"/>
                <w:kern w:val="2"/>
                <w:sz w:val="20"/>
                <w:szCs w:val="20"/>
                <w:lang w:bidi="ar"/>
              </w:rPr>
            </w:pPr>
            <w:r>
              <w:rPr>
                <w:rFonts w:ascii="Arial" w:eastAsia="Calibri" w:hAnsi="Arial" w:cs="Arial"/>
                <w:kern w:val="2"/>
                <w:sz w:val="20"/>
                <w:szCs w:val="20"/>
                <w:lang w:bidi="ar"/>
              </w:rPr>
              <w:t>.090</w:t>
            </w:r>
          </w:p>
        </w:tc>
        <w:tc>
          <w:tcPr>
            <w:tcW w:w="779" w:type="pct"/>
            <w:tcBorders>
              <w:top w:val="single" w:sz="8" w:space="0" w:color="auto"/>
              <w:bottom w:val="single" w:sz="18" w:space="0" w:color="auto"/>
            </w:tcBorders>
            <w:shd w:val="clear" w:color="auto" w:fill="auto"/>
            <w:vAlign w:val="center"/>
          </w:tcPr>
          <w:p w14:paraId="0F033153" w14:textId="77777777" w:rsidR="004A39DF" w:rsidRDefault="00D9470C">
            <w:pPr>
              <w:widowControl w:val="0"/>
              <w:spacing w:line="256" w:lineRule="auto"/>
              <w:jc w:val="center"/>
              <w:rPr>
                <w:rFonts w:ascii="Arial" w:eastAsia="Calibri" w:hAnsi="Arial" w:cs="Arial"/>
                <w:kern w:val="2"/>
                <w:sz w:val="20"/>
                <w:szCs w:val="20"/>
                <w:lang w:bidi="ar"/>
              </w:rPr>
            </w:pPr>
            <w:r>
              <w:rPr>
                <w:rFonts w:ascii="Arial" w:eastAsia="Calibri" w:hAnsi="Arial" w:cs="Arial"/>
                <w:kern w:val="2"/>
                <w:sz w:val="20"/>
                <w:szCs w:val="20"/>
                <w:lang w:bidi="ar"/>
              </w:rPr>
              <w:t>.032</w:t>
            </w:r>
          </w:p>
        </w:tc>
        <w:tc>
          <w:tcPr>
            <w:tcW w:w="390" w:type="pct"/>
            <w:tcBorders>
              <w:top w:val="single" w:sz="8" w:space="0" w:color="auto"/>
              <w:bottom w:val="single" w:sz="18" w:space="0" w:color="auto"/>
            </w:tcBorders>
            <w:shd w:val="clear" w:color="auto" w:fill="auto"/>
            <w:vAlign w:val="center"/>
          </w:tcPr>
          <w:p w14:paraId="0887FE7E" w14:textId="77777777" w:rsidR="004A39DF" w:rsidRDefault="00D9470C">
            <w:pPr>
              <w:widowControl w:val="0"/>
              <w:spacing w:line="256" w:lineRule="auto"/>
              <w:jc w:val="center"/>
              <w:rPr>
                <w:rFonts w:ascii="Arial" w:eastAsia="Calibri" w:hAnsi="Arial" w:cs="Arial"/>
                <w:kern w:val="2"/>
                <w:sz w:val="20"/>
                <w:szCs w:val="20"/>
                <w:lang w:bidi="ar"/>
              </w:rPr>
            </w:pPr>
            <w:r>
              <w:rPr>
                <w:rFonts w:ascii="Arial" w:eastAsia="Calibri" w:hAnsi="Arial" w:cs="Arial"/>
                <w:kern w:val="2"/>
                <w:sz w:val="20"/>
                <w:szCs w:val="20"/>
                <w:lang w:bidi="ar"/>
              </w:rPr>
              <w:t>.131</w:t>
            </w:r>
          </w:p>
        </w:tc>
        <w:tc>
          <w:tcPr>
            <w:tcW w:w="501" w:type="pct"/>
            <w:tcBorders>
              <w:top w:val="single" w:sz="8" w:space="0" w:color="auto"/>
              <w:bottom w:val="single" w:sz="18" w:space="0" w:color="auto"/>
            </w:tcBorders>
            <w:shd w:val="clear" w:color="auto" w:fill="auto"/>
            <w:vAlign w:val="center"/>
          </w:tcPr>
          <w:p w14:paraId="643AEA3C" w14:textId="77777777" w:rsidR="004A39DF" w:rsidRDefault="00D9470C">
            <w:pPr>
              <w:widowControl w:val="0"/>
              <w:spacing w:line="256" w:lineRule="auto"/>
              <w:jc w:val="center"/>
              <w:rPr>
                <w:rFonts w:ascii="Arial" w:eastAsia="Calibri" w:hAnsi="Arial" w:cs="Arial"/>
                <w:kern w:val="2"/>
                <w:sz w:val="20"/>
                <w:szCs w:val="20"/>
                <w:lang w:bidi="ar"/>
              </w:rPr>
            </w:pPr>
            <w:r>
              <w:rPr>
                <w:rFonts w:ascii="Arial" w:eastAsia="Calibri" w:hAnsi="Arial" w:cs="Arial"/>
                <w:kern w:val="2"/>
                <w:sz w:val="20"/>
                <w:szCs w:val="20"/>
                <w:lang w:bidi="ar"/>
              </w:rPr>
              <w:t>2.845</w:t>
            </w:r>
          </w:p>
        </w:tc>
        <w:tc>
          <w:tcPr>
            <w:tcW w:w="386" w:type="pct"/>
            <w:tcBorders>
              <w:top w:val="single" w:sz="8" w:space="0" w:color="auto"/>
              <w:bottom w:val="single" w:sz="18" w:space="0" w:color="auto"/>
            </w:tcBorders>
            <w:shd w:val="clear" w:color="auto" w:fill="auto"/>
            <w:vAlign w:val="center"/>
          </w:tcPr>
          <w:p w14:paraId="4338DE0F" w14:textId="77777777" w:rsidR="004A39DF" w:rsidRDefault="00D9470C">
            <w:pPr>
              <w:widowControl w:val="0"/>
              <w:spacing w:line="256" w:lineRule="auto"/>
              <w:jc w:val="center"/>
              <w:rPr>
                <w:rFonts w:ascii="Arial" w:eastAsia="Calibri" w:hAnsi="Arial" w:cs="Arial"/>
                <w:kern w:val="2"/>
                <w:sz w:val="20"/>
                <w:szCs w:val="20"/>
                <w:lang w:bidi="ar"/>
              </w:rPr>
            </w:pPr>
            <w:r>
              <w:rPr>
                <w:rFonts w:ascii="Arial" w:eastAsia="Calibri" w:hAnsi="Arial" w:cs="Arial"/>
                <w:kern w:val="2"/>
                <w:sz w:val="20"/>
                <w:szCs w:val="20"/>
                <w:lang w:bidi="ar"/>
              </w:rPr>
              <w:t>.005</w:t>
            </w:r>
          </w:p>
        </w:tc>
        <w:tc>
          <w:tcPr>
            <w:tcW w:w="663" w:type="pct"/>
            <w:tcBorders>
              <w:top w:val="single" w:sz="8" w:space="0" w:color="auto"/>
              <w:bottom w:val="single" w:sz="18" w:space="0" w:color="auto"/>
            </w:tcBorders>
            <w:shd w:val="clear" w:color="auto" w:fill="auto"/>
            <w:vAlign w:val="center"/>
          </w:tcPr>
          <w:p w14:paraId="77ABAC41" w14:textId="77777777" w:rsidR="004A39DF" w:rsidRDefault="00D9470C">
            <w:pPr>
              <w:widowControl w:val="0"/>
              <w:autoSpaceDE w:val="0"/>
              <w:autoSpaceDN w:val="0"/>
              <w:adjustRightInd w:val="0"/>
              <w:spacing w:line="320" w:lineRule="atLeast"/>
              <w:ind w:left="60" w:right="60"/>
              <w:jc w:val="center"/>
              <w:rPr>
                <w:rFonts w:ascii="Arial" w:hAnsi="Arial" w:cs="Arial"/>
                <w:kern w:val="2"/>
                <w:sz w:val="20"/>
                <w:szCs w:val="20"/>
                <w:lang w:eastAsia="en-PH"/>
              </w:rPr>
            </w:pPr>
            <w:r>
              <w:rPr>
                <w:rFonts w:ascii="Arial" w:hAnsi="Arial" w:cs="Arial"/>
                <w:kern w:val="2"/>
                <w:sz w:val="20"/>
                <w:szCs w:val="20"/>
                <w:lang w:eastAsia="en-PH"/>
              </w:rPr>
              <w:t>Reject</w:t>
            </w:r>
          </w:p>
        </w:tc>
        <w:tc>
          <w:tcPr>
            <w:tcW w:w="906" w:type="pct"/>
            <w:tcBorders>
              <w:top w:val="single" w:sz="8" w:space="0" w:color="auto"/>
              <w:bottom w:val="single" w:sz="18" w:space="0" w:color="auto"/>
            </w:tcBorders>
            <w:shd w:val="clear" w:color="auto" w:fill="auto"/>
            <w:vAlign w:val="center"/>
          </w:tcPr>
          <w:p w14:paraId="0FFC2C68" w14:textId="77777777" w:rsidR="004A39DF" w:rsidRDefault="00D9470C">
            <w:pPr>
              <w:widowControl w:val="0"/>
              <w:autoSpaceDE w:val="0"/>
              <w:autoSpaceDN w:val="0"/>
              <w:adjustRightInd w:val="0"/>
              <w:ind w:left="60" w:right="60"/>
              <w:jc w:val="center"/>
              <w:rPr>
                <w:rFonts w:ascii="Arial" w:hAnsi="Arial" w:cs="Arial"/>
                <w:kern w:val="2"/>
                <w:sz w:val="20"/>
                <w:szCs w:val="20"/>
                <w:lang w:eastAsia="en-PH"/>
              </w:rPr>
            </w:pPr>
            <w:r>
              <w:rPr>
                <w:rFonts w:ascii="Arial" w:hAnsi="Arial" w:cs="Arial"/>
                <w:kern w:val="2"/>
                <w:sz w:val="20"/>
                <w:szCs w:val="20"/>
                <w:lang w:eastAsia="en-PH"/>
              </w:rPr>
              <w:t>Significant</w:t>
            </w:r>
          </w:p>
        </w:tc>
      </w:tr>
    </w:tbl>
    <w:p w14:paraId="23E22CBC" w14:textId="77777777" w:rsidR="004A39DF" w:rsidRDefault="00D9470C">
      <w:pPr>
        <w:pStyle w:val="NoSpacing"/>
        <w:spacing w:line="480" w:lineRule="auto"/>
        <w:rPr>
          <w:rFonts w:ascii="Arial" w:hAnsi="Arial" w:cs="Arial"/>
          <w:sz w:val="20"/>
          <w:szCs w:val="20"/>
          <w:lang w:val="en-PH"/>
        </w:rPr>
      </w:pPr>
      <m:oMath>
        <m:r>
          <w:rPr>
            <w:rFonts w:ascii="Cambria Math" w:eastAsiaTheme="minorEastAsia" w:hAnsi="Cambria Math" w:cs="Arial"/>
            <w:sz w:val="20"/>
            <w:szCs w:val="20"/>
          </w:rPr>
          <m:t>R</m:t>
        </m:r>
        <m:r>
          <w:rPr>
            <w:rFonts w:ascii="Cambria Math" w:eastAsia="Times New Roman" w:hAnsi="Cambria Math" w:cs="Arial"/>
            <w:sz w:val="20"/>
            <w:szCs w:val="20"/>
          </w:rPr>
          <m:t>=.591</m:t>
        </m:r>
      </m:oMath>
      <w:r>
        <w:rPr>
          <w:rFonts w:ascii="Arial" w:eastAsia="Times New Roman" w:hAnsi="Arial" w:cs="Arial"/>
          <w:sz w:val="20"/>
          <w:szCs w:val="20"/>
        </w:rPr>
        <w:t xml:space="preserve">;  </w:t>
      </w:r>
      <m:oMath>
        <m:sSup>
          <m:sSupPr>
            <m:ctrlPr>
              <w:rPr>
                <w:rFonts w:ascii="Cambria Math" w:eastAsia="Times New Roman" w:hAnsi="Cambria Math" w:cs="Arial"/>
                <w:i/>
                <w:sz w:val="20"/>
                <w:szCs w:val="20"/>
              </w:rPr>
            </m:ctrlPr>
          </m:sSupPr>
          <m:e>
            <m:r>
              <w:rPr>
                <w:rFonts w:ascii="Cambria Math" w:eastAsia="Times New Roman" w:hAnsi="Cambria Math" w:cs="Arial"/>
                <w:sz w:val="20"/>
                <w:szCs w:val="20"/>
              </w:rPr>
              <m:t>R</m:t>
            </m:r>
          </m:e>
          <m:sup>
            <m:r>
              <w:rPr>
                <w:rFonts w:ascii="Cambria Math" w:eastAsia="Times New Roman" w:hAnsi="Cambria Math" w:cs="Arial"/>
                <w:sz w:val="20"/>
                <w:szCs w:val="20"/>
              </w:rPr>
              <m:t>2</m:t>
            </m:r>
          </m:sup>
        </m:sSup>
        <m:r>
          <w:rPr>
            <w:rFonts w:ascii="Cambria Math" w:eastAsia="Times New Roman" w:hAnsi="Cambria Math" w:cs="Arial"/>
            <w:sz w:val="20"/>
            <w:szCs w:val="20"/>
          </w:rPr>
          <m:t xml:space="preserve">=.350;  </m:t>
        </m:r>
        <m:r>
          <w:rPr>
            <w:rFonts w:ascii="Cambria Math" w:eastAsia="Times New Roman" w:hAnsi="Cambria Math" w:cs="Arial"/>
            <w:sz w:val="20"/>
            <w:szCs w:val="20"/>
          </w:rPr>
          <m:t>F</m:t>
        </m:r>
        <m:r>
          <w:rPr>
            <w:rFonts w:ascii="Cambria Math" w:eastAsia="Times New Roman" w:hAnsi="Cambria Math" w:cs="Arial"/>
            <w:sz w:val="20"/>
            <w:szCs w:val="20"/>
          </w:rPr>
          <m:t>-</m:t>
        </m:r>
        <m:r>
          <w:rPr>
            <w:rFonts w:ascii="Cambria Math" w:eastAsia="Times New Roman" w:hAnsi="Cambria Math" w:cs="Arial"/>
            <w:sz w:val="20"/>
            <w:szCs w:val="20"/>
          </w:rPr>
          <m:t>value</m:t>
        </m:r>
        <m:r>
          <w:rPr>
            <w:rFonts w:ascii="Cambria Math" w:eastAsia="Times New Roman" w:hAnsi="Cambria Math" w:cs="Arial"/>
            <w:sz w:val="20"/>
            <w:szCs w:val="20"/>
          </w:rPr>
          <m:t xml:space="preserve"> = 57.543;</m:t>
        </m:r>
      </m:oMath>
      <w:r>
        <w:rPr>
          <w:rFonts w:ascii="Arial" w:eastAsia="Times New Roman" w:hAnsi="Arial" w:cs="Arial"/>
          <w:sz w:val="20"/>
          <w:szCs w:val="20"/>
        </w:rPr>
        <w:t xml:space="preserve">  </w:t>
      </w:r>
      <m:oMath>
        <m:r>
          <w:rPr>
            <w:rFonts w:ascii="Cambria Math" w:eastAsia="Times New Roman" w:hAnsi="Cambria Math" w:cs="Arial"/>
            <w:sz w:val="20"/>
            <w:szCs w:val="20"/>
          </w:rPr>
          <m:t>p</m:t>
        </m:r>
        <m:r>
          <w:rPr>
            <w:rFonts w:ascii="Cambria Math" w:eastAsia="Times New Roman" w:hAnsi="Cambria Math" w:cs="Arial"/>
            <w:sz w:val="20"/>
            <w:szCs w:val="20"/>
          </w:rPr>
          <m:t>-</m:t>
        </m:r>
        <m:r>
          <w:rPr>
            <w:rFonts w:ascii="Cambria Math" w:eastAsia="Times New Roman" w:hAnsi="Cambria Math" w:cs="Arial"/>
            <w:sz w:val="20"/>
            <w:szCs w:val="20"/>
          </w:rPr>
          <m:t>value</m:t>
        </m:r>
        <m:r>
          <w:rPr>
            <w:rFonts w:ascii="Cambria Math" w:eastAsia="Times New Roman" w:hAnsi="Cambria Math" w:cs="Arial"/>
            <w:sz w:val="20"/>
            <w:szCs w:val="20"/>
          </w:rPr>
          <m:t xml:space="preserve"> =.000</m:t>
        </m:r>
      </m:oMath>
    </w:p>
    <w:p w14:paraId="05307A2D" w14:textId="77777777" w:rsidR="004A39DF" w:rsidRDefault="00D9470C">
      <w:pPr>
        <w:pStyle w:val="ConcHead"/>
        <w:spacing w:after="0"/>
        <w:jc w:val="both"/>
        <w:rPr>
          <w:rFonts w:ascii="Arial" w:hAnsi="Arial" w:cs="Arial"/>
        </w:rPr>
      </w:pPr>
      <w:r>
        <w:rPr>
          <w:rFonts w:ascii="Arial" w:hAnsi="Arial" w:cs="Arial"/>
        </w:rPr>
        <w:t>4. Conclusion</w:t>
      </w:r>
    </w:p>
    <w:p w14:paraId="02E2911C" w14:textId="77777777" w:rsidR="004A39DF" w:rsidRDefault="004A39DF">
      <w:pPr>
        <w:pStyle w:val="ConcHead"/>
        <w:spacing w:after="0"/>
        <w:jc w:val="both"/>
        <w:rPr>
          <w:rFonts w:ascii="Arial" w:hAnsi="Arial" w:cs="Arial"/>
        </w:rPr>
      </w:pPr>
    </w:p>
    <w:p w14:paraId="12D93B25" w14:textId="77777777" w:rsidR="004A39DF" w:rsidRDefault="00D9470C">
      <w:pPr>
        <w:ind w:firstLine="600"/>
        <w:jc w:val="both"/>
        <w:rPr>
          <w:rFonts w:ascii="Arial" w:hAnsi="Arial"/>
          <w:sz w:val="24"/>
          <w:szCs w:val="24"/>
          <w:lang w:val="en-PH"/>
        </w:rPr>
      </w:pPr>
      <w:r>
        <w:rPr>
          <w:rFonts w:ascii="Arial" w:hAnsi="Arial"/>
          <w:lang w:val="en-PH"/>
        </w:rPr>
        <w:t>Based on the results, it was concluded that Teaching Self-efficacy and Teacher Support are significant predictors of Teaching Demonstration Performance of pre-service teachers but Teaching Anxiety was not found as a significant predictor.  Therefore, the S</w:t>
      </w:r>
      <w:r>
        <w:rPr>
          <w:rFonts w:ascii="Arial" w:hAnsi="Arial"/>
          <w:lang w:val="en-PH"/>
        </w:rPr>
        <w:t xml:space="preserve">ocial Cognitive Theory stating that human behavior is influenced by the interaction of personal factors, environmental influences, and behavioral patterns was partially affirmed. </w:t>
      </w:r>
      <w:r>
        <w:rPr>
          <w:rFonts w:ascii="Arial" w:hAnsi="Arial" w:cs="Arial"/>
          <w:lang w:val="en-PH" w:bidi="ar"/>
        </w:rPr>
        <w:t xml:space="preserve">Based on the conclusion, </w:t>
      </w:r>
      <w:r>
        <w:rPr>
          <w:rFonts w:ascii="Arial" w:hAnsi="Arial" w:cs="Arial"/>
        </w:rPr>
        <w:t>it is recommended that further studies may be conduc</w:t>
      </w:r>
      <w:r>
        <w:rPr>
          <w:rFonts w:ascii="Arial" w:hAnsi="Arial" w:cs="Arial"/>
        </w:rPr>
        <w:t>ted using other variables</w:t>
      </w:r>
      <w:r>
        <w:rPr>
          <w:rFonts w:ascii="Arial" w:hAnsi="Arial" w:cs="Arial"/>
          <w:lang w:val="en-PH"/>
        </w:rPr>
        <w:t xml:space="preserve"> not covered in this study in order to trace the 35% variance in teaching demonstration performance of pre-service teachers. </w:t>
      </w:r>
      <w:r>
        <w:rPr>
          <w:rFonts w:ascii="Arial" w:hAnsi="Arial"/>
          <w:lang w:val="en-PH"/>
        </w:rPr>
        <w:t>It is also recommended that pre-service teachers' training programs prioritize the enhancement of the teac</w:t>
      </w:r>
      <w:r>
        <w:rPr>
          <w:rFonts w:ascii="Arial" w:hAnsi="Arial"/>
          <w:lang w:val="en-PH"/>
        </w:rPr>
        <w:t>her support system and the cultivation of teaching self-efficacy to strengthen teaching demonstration performance.</w:t>
      </w:r>
    </w:p>
    <w:p w14:paraId="36078877" w14:textId="77777777" w:rsidR="004A39DF" w:rsidRDefault="004A39DF">
      <w:pPr>
        <w:pStyle w:val="Body"/>
        <w:spacing w:after="0"/>
        <w:rPr>
          <w:rFonts w:ascii="Arial" w:hAnsi="Arial" w:cs="Arial"/>
        </w:rPr>
      </w:pPr>
    </w:p>
    <w:p w14:paraId="3D95A50C" w14:textId="43A30692" w:rsidR="004A39DF" w:rsidRDefault="004A39DF">
      <w:pPr>
        <w:rPr>
          <w:rFonts w:ascii="Arial" w:hAnsi="Arial" w:cs="Arial"/>
        </w:rPr>
      </w:pPr>
      <w:bookmarkStart w:id="0" w:name="_GoBack"/>
      <w:bookmarkEnd w:id="0"/>
    </w:p>
    <w:p w14:paraId="16CCABA4" w14:textId="77777777" w:rsidR="004A39DF" w:rsidRDefault="004A39DF">
      <w:pPr>
        <w:pStyle w:val="ReferHead"/>
        <w:spacing w:after="0"/>
        <w:jc w:val="both"/>
        <w:rPr>
          <w:rFonts w:ascii="Arial" w:hAnsi="Arial" w:cs="Arial"/>
          <w:b w:val="0"/>
          <w:caps w:val="0"/>
          <w:sz w:val="20"/>
        </w:rPr>
      </w:pPr>
    </w:p>
    <w:p w14:paraId="2CD41FE5" w14:textId="77777777" w:rsidR="004A39DF" w:rsidRDefault="00D9470C">
      <w:pPr>
        <w:pStyle w:val="ReferHead"/>
        <w:spacing w:after="0"/>
        <w:jc w:val="both"/>
        <w:rPr>
          <w:rFonts w:ascii="Arial" w:hAnsi="Arial" w:cs="Arial"/>
          <w:bCs/>
        </w:rPr>
      </w:pPr>
      <w:r>
        <w:rPr>
          <w:rFonts w:ascii="Arial" w:hAnsi="Arial" w:cs="Arial"/>
          <w:bCs/>
        </w:rPr>
        <w:t xml:space="preserve">Ethical approval </w:t>
      </w:r>
    </w:p>
    <w:p w14:paraId="66C6C918" w14:textId="77777777" w:rsidR="004A39DF" w:rsidRDefault="00D9470C">
      <w:pPr>
        <w:pStyle w:val="NormalWeb"/>
        <w:jc w:val="both"/>
        <w:rPr>
          <w:rFonts w:ascii="Arial" w:hAnsi="Arial" w:cs="Arial"/>
          <w:sz w:val="20"/>
          <w:szCs w:val="20"/>
        </w:rPr>
      </w:pPr>
      <w:r>
        <w:rPr>
          <w:rFonts w:ascii="Arial" w:hAnsi="Arial" w:cs="Arial"/>
          <w:sz w:val="20"/>
          <w:szCs w:val="20"/>
        </w:rPr>
        <w:t>The researcher followed the ethical guidelines set by the school, addressing nine key considera</w:t>
      </w:r>
      <w:r>
        <w:rPr>
          <w:rFonts w:ascii="Arial" w:hAnsi="Arial" w:cs="Arial"/>
          <w:sz w:val="20"/>
          <w:szCs w:val="20"/>
        </w:rPr>
        <w:t>tions, including informed consent, privacy, safety, and justice. These measures ensured the protection of respondents’ rights and upheld a balanced relationship between the researcher and the participants.</w:t>
      </w:r>
    </w:p>
    <w:p w14:paraId="54C7F8B1" w14:textId="77777777" w:rsidR="004A39DF" w:rsidRDefault="004A39DF">
      <w:pPr>
        <w:rPr>
          <w:lang w:val="en-PH"/>
        </w:rPr>
      </w:pPr>
    </w:p>
    <w:p w14:paraId="0F2AA06C" w14:textId="77777777" w:rsidR="004A39DF" w:rsidRDefault="00D9470C">
      <w:pPr>
        <w:pStyle w:val="ReferHead"/>
        <w:spacing w:after="0"/>
        <w:jc w:val="both"/>
        <w:rPr>
          <w:rFonts w:ascii="Arial" w:hAnsi="Arial" w:cs="Arial"/>
        </w:rPr>
      </w:pPr>
      <w:r>
        <w:rPr>
          <w:rFonts w:ascii="Arial" w:hAnsi="Arial" w:cs="Arial"/>
        </w:rPr>
        <w:t>References</w:t>
      </w:r>
    </w:p>
    <w:p w14:paraId="7FFAAB14" w14:textId="77777777" w:rsidR="004A39DF" w:rsidRDefault="004A39DF">
      <w:pPr>
        <w:pStyle w:val="ReferHead"/>
        <w:spacing w:after="0"/>
        <w:jc w:val="both"/>
        <w:rPr>
          <w:rFonts w:ascii="Arial" w:hAnsi="Arial" w:cs="Arial"/>
        </w:rPr>
      </w:pPr>
    </w:p>
    <w:p w14:paraId="00F37AD7" w14:textId="77777777" w:rsidR="004A39DF" w:rsidRDefault="00D9470C">
      <w:pPr>
        <w:ind w:left="400" w:hangingChars="200" w:hanging="400"/>
        <w:jc w:val="both"/>
        <w:rPr>
          <w:rFonts w:ascii="Arial" w:hAnsi="Arial" w:cs="Arial"/>
        </w:rPr>
      </w:pPr>
      <w:r>
        <w:rPr>
          <w:rFonts w:ascii="Arial" w:hAnsi="Arial" w:cs="Arial"/>
        </w:rPr>
        <w:t>Adjei, R. B., Ceasar, B. A., &amp; Amoako</w:t>
      </w:r>
      <w:r>
        <w:rPr>
          <w:rFonts w:ascii="Arial" w:hAnsi="Arial" w:cs="Arial"/>
        </w:rPr>
        <w:t xml:space="preserve">-Attah, C. (2023). </w:t>
      </w:r>
      <w:r>
        <w:rPr>
          <w:rStyle w:val="Emphasis"/>
          <w:rFonts w:ascii="Arial" w:hAnsi="Arial" w:cs="Arial"/>
          <w:i w:val="0"/>
          <w:iCs w:val="0"/>
        </w:rPr>
        <w:t>Impact of Performance-Based Assessments on Pre-service Teachers’ Academic Performance and Self-efficacy</w:t>
      </w:r>
      <w:r>
        <w:rPr>
          <w:rFonts w:ascii="Arial" w:hAnsi="Arial" w:cs="Arial"/>
        </w:rPr>
        <w:t xml:space="preserve">. </w:t>
      </w:r>
      <w:r>
        <w:rPr>
          <w:rFonts w:ascii="Arial" w:hAnsi="Arial" w:cs="Arial"/>
          <w:i/>
          <w:iCs/>
        </w:rPr>
        <w:t>Pedagogical Research, 8(4)</w:t>
      </w:r>
      <w:r>
        <w:rPr>
          <w:rFonts w:ascii="Arial" w:hAnsi="Arial" w:cs="Arial"/>
        </w:rPr>
        <w:t>, em0168.</w:t>
      </w:r>
    </w:p>
    <w:p w14:paraId="2DF5F6D9" w14:textId="77777777" w:rsidR="004A39DF" w:rsidRDefault="004A39DF">
      <w:pPr>
        <w:ind w:left="400" w:hangingChars="200" w:hanging="400"/>
        <w:jc w:val="both"/>
        <w:rPr>
          <w:rFonts w:ascii="Arial" w:hAnsi="Arial" w:cs="Arial"/>
        </w:rPr>
      </w:pPr>
    </w:p>
    <w:p w14:paraId="728256CA" w14:textId="77777777" w:rsidR="004A39DF" w:rsidRDefault="00D9470C">
      <w:pPr>
        <w:ind w:left="400" w:hangingChars="200" w:hanging="400"/>
        <w:jc w:val="both"/>
        <w:rPr>
          <w:rFonts w:ascii="Arial" w:eastAsia="Segoe UI" w:hAnsi="Arial" w:cs="Arial"/>
          <w:shd w:val="clear" w:color="auto" w:fill="FFFFFF"/>
        </w:rPr>
      </w:pPr>
      <w:proofErr w:type="spellStart"/>
      <w:r>
        <w:rPr>
          <w:rFonts w:ascii="Arial" w:hAnsi="Arial" w:cs="Arial"/>
          <w:color w:val="222222"/>
          <w:shd w:val="clear" w:color="auto" w:fill="FFFFFF"/>
        </w:rPr>
        <w:lastRenderedPageBreak/>
        <w:t>Afalla</w:t>
      </w:r>
      <w:proofErr w:type="spellEnd"/>
      <w:r>
        <w:rPr>
          <w:rFonts w:ascii="Arial" w:hAnsi="Arial" w:cs="Arial"/>
          <w:color w:val="222222"/>
          <w:shd w:val="clear" w:color="auto" w:fill="FFFFFF"/>
        </w:rPr>
        <w:t xml:space="preserve">, B., &amp; </w:t>
      </w:r>
      <w:proofErr w:type="spellStart"/>
      <w:r>
        <w:rPr>
          <w:rFonts w:ascii="Arial" w:hAnsi="Arial" w:cs="Arial"/>
          <w:color w:val="222222"/>
          <w:shd w:val="clear" w:color="auto" w:fill="FFFFFF"/>
        </w:rPr>
        <w:t>Fabelico</w:t>
      </w:r>
      <w:proofErr w:type="spellEnd"/>
      <w:r>
        <w:rPr>
          <w:rFonts w:ascii="Arial" w:hAnsi="Arial" w:cs="Arial"/>
          <w:color w:val="222222"/>
          <w:shd w:val="clear" w:color="auto" w:fill="FFFFFF"/>
        </w:rPr>
        <w:t>, F. (2</w:t>
      </w:r>
      <w:r>
        <w:rPr>
          <w:rFonts w:ascii="Arial" w:hAnsi="Arial" w:cs="Arial"/>
          <w:shd w:val="clear" w:color="auto" w:fill="FFFFFF"/>
        </w:rPr>
        <w:t>020). Pre-service teachers' pedagogical competence and teaching ef</w:t>
      </w:r>
      <w:r>
        <w:rPr>
          <w:rFonts w:ascii="Arial" w:hAnsi="Arial" w:cs="Arial"/>
          <w:shd w:val="clear" w:color="auto" w:fill="FFFFFF"/>
        </w:rPr>
        <w:t>ficiency. </w:t>
      </w:r>
      <w:r>
        <w:rPr>
          <w:rFonts w:ascii="Arial" w:hAnsi="Arial" w:cs="Arial"/>
          <w:i/>
          <w:iCs/>
          <w:shd w:val="clear" w:color="auto" w:fill="FFFFFF"/>
        </w:rPr>
        <w:t>Journal of Critical Reviews</w:t>
      </w:r>
      <w:r>
        <w:rPr>
          <w:rFonts w:ascii="Arial" w:hAnsi="Arial" w:cs="Arial"/>
          <w:shd w:val="clear" w:color="auto" w:fill="FFFFFF"/>
        </w:rPr>
        <w:t>.</w:t>
      </w:r>
      <w:r>
        <w:rPr>
          <w:rFonts w:ascii="Arial" w:eastAsia="Segoe UI" w:hAnsi="Arial" w:cs="Arial"/>
          <w:shd w:val="clear" w:color="auto" w:fill="FFFFFF"/>
        </w:rPr>
        <w:t>10.31838/jcr.07.11.36</w:t>
      </w:r>
    </w:p>
    <w:p w14:paraId="0D12E5A9" w14:textId="77777777" w:rsidR="004A39DF" w:rsidRDefault="004A39DF">
      <w:pPr>
        <w:ind w:left="400" w:hangingChars="200" w:hanging="400"/>
        <w:jc w:val="both"/>
        <w:rPr>
          <w:rFonts w:ascii="Arial" w:eastAsia="Segoe UI" w:hAnsi="Arial" w:cs="Arial"/>
          <w:shd w:val="clear" w:color="auto" w:fill="FFFFFF"/>
        </w:rPr>
      </w:pPr>
    </w:p>
    <w:p w14:paraId="0D44A301" w14:textId="77777777" w:rsidR="004A39DF" w:rsidRDefault="00D9470C">
      <w:pPr>
        <w:ind w:left="400" w:hangingChars="200" w:hanging="400"/>
        <w:jc w:val="both"/>
        <w:rPr>
          <w:rFonts w:ascii="Arial" w:eastAsia="Segoe UI" w:hAnsi="Arial" w:cs="Arial"/>
          <w:shd w:val="clear" w:color="auto" w:fill="FFFFFF"/>
        </w:rPr>
      </w:pPr>
      <w:proofErr w:type="spellStart"/>
      <w:r>
        <w:rPr>
          <w:rFonts w:ascii="Arial" w:eastAsia="Arial" w:hAnsi="Arial" w:cs="Arial"/>
          <w:shd w:val="clear" w:color="auto" w:fill="FFFFFF"/>
        </w:rPr>
        <w:t>Albasin-Lacaba</w:t>
      </w:r>
      <w:proofErr w:type="spellEnd"/>
      <w:r>
        <w:rPr>
          <w:rFonts w:ascii="Arial" w:eastAsia="Arial" w:hAnsi="Arial" w:cs="Arial"/>
          <w:shd w:val="clear" w:color="auto" w:fill="FFFFFF"/>
        </w:rPr>
        <w:t xml:space="preserve">, I.G., </w:t>
      </w:r>
      <w:proofErr w:type="spellStart"/>
      <w:r>
        <w:rPr>
          <w:rFonts w:ascii="Arial" w:eastAsia="Arial" w:hAnsi="Arial" w:cs="Arial"/>
          <w:shd w:val="clear" w:color="auto" w:fill="FFFFFF"/>
        </w:rPr>
        <w:t>Avenir</w:t>
      </w:r>
      <w:proofErr w:type="spellEnd"/>
      <w:r>
        <w:rPr>
          <w:rFonts w:ascii="Arial" w:eastAsia="Arial" w:hAnsi="Arial" w:cs="Arial"/>
          <w:shd w:val="clear" w:color="auto" w:fill="FFFFFF"/>
        </w:rPr>
        <w:t xml:space="preserve">, M., </w:t>
      </w:r>
      <w:proofErr w:type="spellStart"/>
      <w:r>
        <w:rPr>
          <w:rFonts w:ascii="Arial" w:eastAsia="Arial" w:hAnsi="Arial" w:cs="Arial"/>
          <w:shd w:val="clear" w:color="auto" w:fill="FFFFFF"/>
        </w:rPr>
        <w:t>Permejo</w:t>
      </w:r>
      <w:proofErr w:type="spellEnd"/>
      <w:r>
        <w:rPr>
          <w:rFonts w:ascii="Arial" w:eastAsia="Arial" w:hAnsi="Arial" w:cs="Arial"/>
          <w:shd w:val="clear" w:color="auto" w:fill="FFFFFF"/>
        </w:rPr>
        <w:t xml:space="preserve">, J., &amp; </w:t>
      </w:r>
      <w:proofErr w:type="spellStart"/>
      <w:r>
        <w:rPr>
          <w:rFonts w:ascii="Arial" w:eastAsia="Arial" w:hAnsi="Arial" w:cs="Arial"/>
          <w:shd w:val="clear" w:color="auto" w:fill="FFFFFF"/>
        </w:rPr>
        <w:t>Cornillez</w:t>
      </w:r>
      <w:proofErr w:type="spellEnd"/>
      <w:r>
        <w:rPr>
          <w:rFonts w:ascii="Arial" w:eastAsia="Arial" w:hAnsi="Arial" w:cs="Arial"/>
          <w:shd w:val="clear" w:color="auto" w:fill="FFFFFF"/>
        </w:rPr>
        <w:t>, E.E. (2022). Anxiety of Practice Teachers on Final Teaching Demonstration. </w:t>
      </w:r>
      <w:r>
        <w:rPr>
          <w:rStyle w:val="Emphasis"/>
          <w:rFonts w:ascii="Arial" w:eastAsia="Arial" w:hAnsi="Arial" w:cs="Arial"/>
        </w:rPr>
        <w:t xml:space="preserve">Journal of Education, Management and Development </w:t>
      </w:r>
      <w:proofErr w:type="spellStart"/>
      <w:r>
        <w:rPr>
          <w:rStyle w:val="Emphasis"/>
          <w:rFonts w:ascii="Arial" w:eastAsia="Arial" w:hAnsi="Arial" w:cs="Arial"/>
        </w:rPr>
        <w:t>Studies</w:t>
      </w:r>
      <w:r>
        <w:rPr>
          <w:rFonts w:ascii="Arial" w:eastAsia="Arial" w:hAnsi="Arial" w:cs="Arial"/>
          <w:shd w:val="clear" w:color="auto" w:fill="FFFFFF"/>
        </w:rPr>
        <w:t>.</w:t>
      </w:r>
      <w:r>
        <w:rPr>
          <w:rFonts w:ascii="Arial" w:eastAsia="Segoe UI" w:hAnsi="Arial" w:cs="Arial"/>
          <w:shd w:val="clear" w:color="auto" w:fill="FFFFFF"/>
        </w:rPr>
        <w:t>https</w:t>
      </w:r>
      <w:proofErr w:type="spellEnd"/>
      <w:r>
        <w:rPr>
          <w:rFonts w:ascii="Arial" w:eastAsia="Segoe UI" w:hAnsi="Arial" w:cs="Arial"/>
          <w:shd w:val="clear" w:color="auto" w:fill="FFFFFF"/>
        </w:rPr>
        <w:t>://doi.org/10.52631/jemds.v2i1.76</w:t>
      </w:r>
    </w:p>
    <w:p w14:paraId="240FBF6A" w14:textId="77777777" w:rsidR="004A39DF" w:rsidRDefault="004A39DF">
      <w:pPr>
        <w:ind w:left="400" w:hangingChars="200" w:hanging="400"/>
        <w:jc w:val="both"/>
        <w:rPr>
          <w:rFonts w:ascii="Arial" w:eastAsia="Segoe UI" w:hAnsi="Arial" w:cs="Arial"/>
          <w:shd w:val="clear" w:color="auto" w:fill="FFFFFF"/>
        </w:rPr>
      </w:pPr>
    </w:p>
    <w:p w14:paraId="00AFC4F3" w14:textId="77777777" w:rsidR="004A39DF" w:rsidRDefault="00D9470C">
      <w:pPr>
        <w:pStyle w:val="NormalWeb"/>
        <w:spacing w:beforeAutospacing="0" w:afterAutospacing="0"/>
        <w:ind w:left="400" w:hangingChars="200" w:hanging="400"/>
        <w:jc w:val="both"/>
        <w:rPr>
          <w:rStyle w:val="Hyperlink"/>
          <w:rFonts w:ascii="Arial" w:eastAsia="Segoe UI" w:hAnsi="Arial" w:cs="Arial"/>
          <w:color w:val="auto"/>
          <w:sz w:val="20"/>
          <w:szCs w:val="20"/>
          <w:shd w:val="clear" w:color="auto" w:fill="FFFFFF"/>
        </w:rPr>
      </w:pPr>
      <w:proofErr w:type="spellStart"/>
      <w:r>
        <w:rPr>
          <w:rFonts w:ascii="Arial" w:eastAsia="Arial" w:hAnsi="Arial" w:cs="Arial"/>
          <w:sz w:val="20"/>
          <w:szCs w:val="20"/>
          <w:shd w:val="clear" w:color="auto" w:fill="FFFFFF"/>
        </w:rPr>
        <w:t>Aliazas</w:t>
      </w:r>
      <w:proofErr w:type="spellEnd"/>
      <w:r>
        <w:rPr>
          <w:rFonts w:ascii="Arial" w:eastAsia="Arial" w:hAnsi="Arial" w:cs="Arial"/>
          <w:sz w:val="20"/>
          <w:szCs w:val="20"/>
          <w:shd w:val="clear" w:color="auto" w:fill="FFFFFF"/>
        </w:rPr>
        <w:t>, J., Del Rosario, A.L., &amp; Andrade, R. (2023). Teaching Efficacy Structures and Influencing Factors in Promoting Success and Retention Among Pre-Service Teachers. </w:t>
      </w:r>
      <w:r>
        <w:rPr>
          <w:rStyle w:val="Emphasis"/>
          <w:rFonts w:ascii="Arial" w:eastAsia="Arial" w:hAnsi="Arial" w:cs="Arial"/>
          <w:sz w:val="20"/>
          <w:szCs w:val="20"/>
        </w:rPr>
        <w:t xml:space="preserve">International Journal of Educational </w:t>
      </w:r>
      <w:r>
        <w:rPr>
          <w:rStyle w:val="Emphasis"/>
          <w:rFonts w:ascii="Arial" w:eastAsia="Arial" w:hAnsi="Arial" w:cs="Arial"/>
          <w:sz w:val="20"/>
          <w:szCs w:val="20"/>
        </w:rPr>
        <w:t>Management and Development Studies</w:t>
      </w:r>
      <w:r>
        <w:rPr>
          <w:rFonts w:ascii="Arial" w:eastAsia="Arial" w:hAnsi="Arial" w:cs="Arial"/>
          <w:sz w:val="20"/>
          <w:szCs w:val="20"/>
          <w:shd w:val="clear" w:color="auto" w:fill="FFFFFF"/>
        </w:rPr>
        <w:t>.</w:t>
      </w:r>
      <w:r>
        <w:rPr>
          <w:rFonts w:ascii="Arial" w:eastAsia="Arial" w:hAnsi="Arial" w:cs="Arial"/>
          <w:sz w:val="20"/>
          <w:szCs w:val="20"/>
          <w:shd w:val="clear" w:color="auto" w:fill="FFFFFF"/>
          <w:lang w:val="en-PH"/>
        </w:rPr>
        <w:t xml:space="preserve"> </w:t>
      </w:r>
      <w:hyperlink r:id="rId15" w:history="1">
        <w:r>
          <w:rPr>
            <w:rStyle w:val="Hyperlink"/>
            <w:rFonts w:ascii="Arial" w:eastAsia="Segoe UI" w:hAnsi="Arial" w:cs="Arial"/>
            <w:color w:val="auto"/>
            <w:sz w:val="20"/>
            <w:szCs w:val="20"/>
            <w:shd w:val="clear" w:color="auto" w:fill="FFFFFF"/>
          </w:rPr>
          <w:t>https://doi.org/10.53378/353011</w:t>
        </w:r>
      </w:hyperlink>
    </w:p>
    <w:p w14:paraId="01E797D9" w14:textId="77777777" w:rsidR="004A39DF" w:rsidRDefault="004A39DF">
      <w:pPr>
        <w:pStyle w:val="NormalWeb"/>
        <w:spacing w:beforeAutospacing="0" w:afterAutospacing="0"/>
        <w:ind w:left="400" w:hangingChars="200" w:hanging="400"/>
        <w:jc w:val="both"/>
        <w:rPr>
          <w:rStyle w:val="Hyperlink"/>
          <w:rFonts w:ascii="Arial" w:eastAsia="Segoe UI" w:hAnsi="Arial" w:cs="Arial"/>
          <w:color w:val="auto"/>
          <w:sz w:val="20"/>
          <w:szCs w:val="20"/>
          <w:shd w:val="clear" w:color="auto" w:fill="FFFFFF"/>
        </w:rPr>
      </w:pPr>
    </w:p>
    <w:p w14:paraId="23949A7E" w14:textId="77777777" w:rsidR="004A39DF" w:rsidRDefault="00D9470C">
      <w:pPr>
        <w:ind w:left="400" w:hangingChars="200" w:hanging="400"/>
        <w:jc w:val="both"/>
        <w:rPr>
          <w:rFonts w:ascii="Arial" w:hAnsi="Arial" w:cs="Arial"/>
          <w:i/>
          <w:iCs/>
          <w:shd w:val="clear" w:color="auto" w:fill="FFFFFF"/>
        </w:rPr>
      </w:pPr>
      <w:r>
        <w:rPr>
          <w:rFonts w:ascii="Arial" w:hAnsi="Arial" w:cs="Arial"/>
          <w:shd w:val="clear" w:color="auto" w:fill="FFFFFF"/>
        </w:rPr>
        <w:t xml:space="preserve">Allen, M. (Ed.). (2017). The SAGE encyclopedia of communication research methods. </w:t>
      </w:r>
      <w:r>
        <w:rPr>
          <w:rFonts w:ascii="Arial" w:hAnsi="Arial" w:cs="Arial"/>
          <w:i/>
          <w:iCs/>
          <w:shd w:val="clear" w:color="auto" w:fill="FFFFFF"/>
        </w:rPr>
        <w:t>SAGE publications.</w:t>
      </w:r>
    </w:p>
    <w:p w14:paraId="7FD86975" w14:textId="77777777" w:rsidR="004A39DF" w:rsidRDefault="004A39DF">
      <w:pPr>
        <w:ind w:left="400" w:hangingChars="200" w:hanging="400"/>
        <w:jc w:val="both"/>
        <w:rPr>
          <w:rFonts w:ascii="Arial" w:hAnsi="Arial" w:cs="Arial"/>
          <w:i/>
          <w:iCs/>
          <w:shd w:val="clear" w:color="auto" w:fill="FFFFFF"/>
        </w:rPr>
      </w:pPr>
    </w:p>
    <w:p w14:paraId="67965FCD" w14:textId="77777777" w:rsidR="004A39DF" w:rsidRDefault="00D9470C">
      <w:pPr>
        <w:ind w:left="400" w:hangingChars="200" w:hanging="400"/>
        <w:jc w:val="both"/>
        <w:rPr>
          <w:rFonts w:ascii="Arial" w:hAnsi="Arial" w:cs="Arial"/>
        </w:rPr>
      </w:pPr>
      <w:r>
        <w:rPr>
          <w:rFonts w:ascii="Arial" w:hAnsi="Arial" w:cs="Arial"/>
        </w:rPr>
        <w:t xml:space="preserve">Andres A 2019. Development of mentoring practices scale for pre-service teachers. </w:t>
      </w:r>
      <w:r>
        <w:rPr>
          <w:rFonts w:ascii="Arial" w:hAnsi="Arial" w:cs="Arial"/>
          <w:i/>
          <w:iCs/>
        </w:rPr>
        <w:t>Asian Academic Research Journal of Social Science and Humanities, 6(6):</w:t>
      </w:r>
      <w:r>
        <w:rPr>
          <w:rFonts w:ascii="Arial" w:hAnsi="Arial" w:cs="Arial"/>
        </w:rPr>
        <w:t xml:space="preserve"> 8-15.</w:t>
      </w:r>
    </w:p>
    <w:p w14:paraId="59260922" w14:textId="77777777" w:rsidR="004A39DF" w:rsidRDefault="004A39DF">
      <w:pPr>
        <w:ind w:left="400" w:hangingChars="200" w:hanging="400"/>
        <w:jc w:val="both"/>
        <w:rPr>
          <w:rFonts w:ascii="Arial" w:hAnsi="Arial" w:cs="Arial"/>
        </w:rPr>
      </w:pPr>
    </w:p>
    <w:p w14:paraId="1F6944BE" w14:textId="77777777" w:rsidR="004A39DF" w:rsidRDefault="00D9470C">
      <w:pPr>
        <w:ind w:left="400" w:hangingChars="200" w:hanging="400"/>
        <w:jc w:val="both"/>
        <w:rPr>
          <w:rFonts w:ascii="Arial" w:eastAsia="Arial" w:hAnsi="Arial" w:cs="Arial"/>
          <w:shd w:val="clear" w:color="auto" w:fill="FFFFFF"/>
        </w:rPr>
      </w:pPr>
      <w:r>
        <w:rPr>
          <w:rFonts w:ascii="Arial" w:eastAsia="Arial" w:hAnsi="Arial" w:cs="Arial"/>
          <w:shd w:val="clear" w:color="auto" w:fill="FFFFFF"/>
        </w:rPr>
        <w:t>Ao, N., Zhang, M., &amp; Tian, G. (2024). Examining pre‐service teachers' teaching anxiety during s</w:t>
      </w:r>
      <w:r>
        <w:rPr>
          <w:rFonts w:ascii="Arial" w:eastAsia="Arial" w:hAnsi="Arial" w:cs="Arial"/>
          <w:shd w:val="clear" w:color="auto" w:fill="FFFFFF"/>
        </w:rPr>
        <w:t>tudent teaching: A Chinese perspective. </w:t>
      </w:r>
      <w:r>
        <w:rPr>
          <w:rStyle w:val="Emphasis"/>
          <w:rFonts w:ascii="Arial" w:eastAsia="Arial" w:hAnsi="Arial" w:cs="Arial"/>
        </w:rPr>
        <w:t>European Journal of Education</w:t>
      </w:r>
      <w:r>
        <w:rPr>
          <w:rFonts w:ascii="Arial" w:eastAsia="Arial" w:hAnsi="Arial" w:cs="Arial"/>
          <w:shd w:val="clear" w:color="auto" w:fill="FFFFFF"/>
        </w:rPr>
        <w:t>.</w:t>
      </w:r>
    </w:p>
    <w:p w14:paraId="1019DB32" w14:textId="77777777" w:rsidR="004A39DF" w:rsidRDefault="004A39DF">
      <w:pPr>
        <w:ind w:left="400" w:hangingChars="200" w:hanging="400"/>
        <w:jc w:val="both"/>
        <w:rPr>
          <w:rFonts w:ascii="Arial" w:eastAsia="Arial" w:hAnsi="Arial" w:cs="Arial"/>
          <w:shd w:val="clear" w:color="auto" w:fill="FFFFFF"/>
        </w:rPr>
      </w:pPr>
    </w:p>
    <w:p w14:paraId="3DC9AE12" w14:textId="77777777" w:rsidR="004A39DF" w:rsidRDefault="00D9470C">
      <w:pPr>
        <w:ind w:left="400" w:hangingChars="200" w:hanging="400"/>
        <w:jc w:val="both"/>
        <w:rPr>
          <w:rFonts w:ascii="Arial" w:eastAsia="Arial" w:hAnsi="Arial" w:cs="Arial"/>
          <w:shd w:val="clear" w:color="auto" w:fill="FFFFFF"/>
        </w:rPr>
      </w:pPr>
      <w:r>
        <w:rPr>
          <w:rFonts w:ascii="Arial" w:eastAsia="Arial" w:hAnsi="Arial" w:cs="Arial"/>
          <w:shd w:val="clear" w:color="auto" w:fill="FFFFFF"/>
        </w:rPr>
        <w:t>Arrington, N.M. (2023). Enhancing Preservice Teachers' Self-Efficacy for Teaching Diverse Learners: Capturing Young Students' Attention through a Read-a-loud and Music. </w:t>
      </w:r>
      <w:r>
        <w:rPr>
          <w:rStyle w:val="Emphasis"/>
          <w:rFonts w:ascii="Arial" w:eastAsia="Arial" w:hAnsi="Arial" w:cs="Arial"/>
        </w:rPr>
        <w:t xml:space="preserve">Journal of the </w:t>
      </w:r>
      <w:r>
        <w:rPr>
          <w:rStyle w:val="Emphasis"/>
          <w:rFonts w:ascii="Arial" w:eastAsia="Arial" w:hAnsi="Arial" w:cs="Arial"/>
        </w:rPr>
        <w:t>Scholarship of Teaching and Learning</w:t>
      </w:r>
      <w:r>
        <w:rPr>
          <w:rFonts w:ascii="Arial" w:eastAsia="Arial" w:hAnsi="Arial" w:cs="Arial"/>
          <w:shd w:val="clear" w:color="auto" w:fill="FFFFFF"/>
        </w:rPr>
        <w:t>.</w:t>
      </w:r>
    </w:p>
    <w:p w14:paraId="4184D234" w14:textId="77777777" w:rsidR="004A39DF" w:rsidRDefault="004A39DF">
      <w:pPr>
        <w:ind w:left="400" w:hangingChars="200" w:hanging="400"/>
        <w:jc w:val="both"/>
        <w:rPr>
          <w:rFonts w:ascii="Arial" w:eastAsia="Arial" w:hAnsi="Arial" w:cs="Arial"/>
          <w:shd w:val="clear" w:color="auto" w:fill="FFFFFF"/>
        </w:rPr>
      </w:pPr>
    </w:p>
    <w:p w14:paraId="5225CBE8" w14:textId="77777777" w:rsidR="004A39DF" w:rsidRDefault="00D9470C">
      <w:pPr>
        <w:ind w:left="400" w:hangingChars="200" w:hanging="400"/>
        <w:jc w:val="both"/>
        <w:rPr>
          <w:rStyle w:val="Hyperlink"/>
          <w:rFonts w:ascii="Arial" w:eastAsia="Helvetica" w:hAnsi="Arial" w:cs="Arial"/>
          <w:color w:val="auto"/>
          <w:shd w:val="clear" w:color="auto" w:fill="FFFFFF"/>
        </w:rPr>
      </w:pPr>
      <w:r>
        <w:rPr>
          <w:rFonts w:ascii="Arial" w:eastAsia="Helvetica" w:hAnsi="Arial" w:cs="Arial"/>
          <w:shd w:val="clear" w:color="auto" w:fill="FFFFFF"/>
        </w:rPr>
        <w:t>Bach, A., Hagenauer, G. Joy, anger, and anxiety during the teaching practicum: how are these emotions related to dimensions of pre-service teachers’ self-</w:t>
      </w:r>
      <w:proofErr w:type="gramStart"/>
      <w:r>
        <w:rPr>
          <w:rFonts w:ascii="Arial" w:eastAsia="Helvetica" w:hAnsi="Arial" w:cs="Arial"/>
          <w:shd w:val="clear" w:color="auto" w:fill="FFFFFF"/>
        </w:rPr>
        <w:t>efficacy?.</w:t>
      </w:r>
      <w:proofErr w:type="gramEnd"/>
      <w:r>
        <w:rPr>
          <w:rFonts w:ascii="Arial" w:eastAsia="Helvetica" w:hAnsi="Arial" w:cs="Arial"/>
          <w:shd w:val="clear" w:color="auto" w:fill="FFFFFF"/>
        </w:rPr>
        <w:t> </w:t>
      </w:r>
      <w:r>
        <w:rPr>
          <w:rFonts w:ascii="Arial" w:eastAsia="Helvetica" w:hAnsi="Arial" w:cs="Arial"/>
          <w:i/>
          <w:iCs/>
          <w:shd w:val="clear" w:color="auto" w:fill="FFFFFF"/>
        </w:rPr>
        <w:t xml:space="preserve">Z f </w:t>
      </w:r>
      <w:proofErr w:type="spellStart"/>
      <w:r>
        <w:rPr>
          <w:rFonts w:ascii="Arial" w:eastAsia="Helvetica" w:hAnsi="Arial" w:cs="Arial"/>
          <w:i/>
          <w:iCs/>
          <w:shd w:val="clear" w:color="auto" w:fill="FFFFFF"/>
        </w:rPr>
        <w:t>Bildungsforsch</w:t>
      </w:r>
      <w:proofErr w:type="spellEnd"/>
      <w:r>
        <w:rPr>
          <w:rFonts w:ascii="Arial" w:eastAsia="Helvetica" w:hAnsi="Arial" w:cs="Arial"/>
          <w:shd w:val="clear" w:color="auto" w:fill="FFFFFF"/>
        </w:rPr>
        <w:t xml:space="preserve"> 12, 295–311 (2022). </w:t>
      </w:r>
      <w:hyperlink r:id="rId16" w:history="1">
        <w:r>
          <w:rPr>
            <w:rStyle w:val="Hyperlink"/>
            <w:rFonts w:ascii="Arial" w:eastAsia="Helvetica" w:hAnsi="Arial" w:cs="Arial"/>
            <w:color w:val="auto"/>
            <w:shd w:val="clear" w:color="auto" w:fill="FFFFFF"/>
          </w:rPr>
          <w:t>https://doi.org/10.1007/s35834-022-00343-9</w:t>
        </w:r>
      </w:hyperlink>
    </w:p>
    <w:p w14:paraId="1723118B" w14:textId="77777777" w:rsidR="004A39DF" w:rsidRDefault="004A39DF">
      <w:pPr>
        <w:ind w:left="400" w:hangingChars="200" w:hanging="400"/>
        <w:jc w:val="both"/>
        <w:rPr>
          <w:rStyle w:val="Hyperlink"/>
          <w:rFonts w:ascii="Arial" w:eastAsia="Helvetica" w:hAnsi="Arial" w:cs="Arial"/>
          <w:color w:val="auto"/>
          <w:shd w:val="clear" w:color="auto" w:fill="FFFFFF"/>
        </w:rPr>
      </w:pPr>
    </w:p>
    <w:p w14:paraId="6CCFC7AE" w14:textId="77777777" w:rsidR="004A39DF" w:rsidRDefault="00D9470C">
      <w:pPr>
        <w:pStyle w:val="NormalWeb"/>
        <w:spacing w:beforeAutospacing="0" w:afterAutospacing="0"/>
        <w:ind w:left="400" w:hangingChars="200" w:hanging="400"/>
        <w:jc w:val="both"/>
        <w:rPr>
          <w:rFonts w:ascii="Arial" w:eastAsia="Segoe UI" w:hAnsi="Arial" w:cs="Arial"/>
          <w:sz w:val="20"/>
          <w:szCs w:val="20"/>
          <w:shd w:val="clear" w:color="auto" w:fill="FFFFFF"/>
        </w:rPr>
      </w:pPr>
      <w:r>
        <w:rPr>
          <w:rFonts w:ascii="Arial" w:eastAsia="Arial" w:hAnsi="Arial" w:cs="Arial"/>
          <w:sz w:val="20"/>
          <w:szCs w:val="20"/>
          <w:shd w:val="clear" w:color="auto" w:fill="FFFFFF"/>
        </w:rPr>
        <w:t xml:space="preserve">Balcı, Ö., </w:t>
      </w:r>
      <w:proofErr w:type="spellStart"/>
      <w:r>
        <w:rPr>
          <w:rFonts w:ascii="Arial" w:eastAsia="Arial" w:hAnsi="Arial" w:cs="Arial"/>
          <w:sz w:val="20"/>
          <w:szCs w:val="20"/>
          <w:shd w:val="clear" w:color="auto" w:fill="FFFFFF"/>
        </w:rPr>
        <w:t>Şanal</w:t>
      </w:r>
      <w:proofErr w:type="spellEnd"/>
      <w:r>
        <w:rPr>
          <w:rFonts w:ascii="Arial" w:eastAsia="Arial" w:hAnsi="Arial" w:cs="Arial"/>
          <w:sz w:val="20"/>
          <w:szCs w:val="20"/>
          <w:shd w:val="clear" w:color="auto" w:fill="FFFFFF"/>
        </w:rPr>
        <w:t xml:space="preserve">, F., &amp; </w:t>
      </w:r>
      <w:proofErr w:type="spellStart"/>
      <w:r>
        <w:rPr>
          <w:rFonts w:ascii="Arial" w:eastAsia="Arial" w:hAnsi="Arial" w:cs="Arial"/>
          <w:sz w:val="20"/>
          <w:szCs w:val="20"/>
          <w:shd w:val="clear" w:color="auto" w:fill="FFFFFF"/>
        </w:rPr>
        <w:t>Üğüten</w:t>
      </w:r>
      <w:proofErr w:type="spellEnd"/>
      <w:r>
        <w:rPr>
          <w:rFonts w:ascii="Arial" w:eastAsia="Arial" w:hAnsi="Arial" w:cs="Arial"/>
          <w:sz w:val="20"/>
          <w:szCs w:val="20"/>
          <w:shd w:val="clear" w:color="auto" w:fill="FFFFFF"/>
        </w:rPr>
        <w:t xml:space="preserve">, S.D. (2019). An Investigation of Pre-Service English Language Teachers’ Self-Efficacy </w:t>
      </w:r>
      <w:proofErr w:type="spellStart"/>
      <w:r>
        <w:rPr>
          <w:rFonts w:ascii="Arial" w:eastAsia="Arial" w:hAnsi="Arial" w:cs="Arial"/>
          <w:sz w:val="20"/>
          <w:szCs w:val="20"/>
          <w:shd w:val="clear" w:color="auto" w:fill="FFFFFF"/>
        </w:rPr>
        <w:t>Beliefs.</w:t>
      </w:r>
      <w:r>
        <w:rPr>
          <w:rFonts w:ascii="Arial" w:eastAsia="Segoe UI" w:hAnsi="Arial" w:cs="Arial"/>
          <w:sz w:val="20"/>
          <w:szCs w:val="20"/>
          <w:shd w:val="clear" w:color="auto" w:fill="FFFFFF"/>
        </w:rPr>
        <w:t>https</w:t>
      </w:r>
      <w:proofErr w:type="spellEnd"/>
      <w:r>
        <w:rPr>
          <w:rFonts w:ascii="Arial" w:eastAsia="Segoe UI" w:hAnsi="Arial" w:cs="Arial"/>
          <w:sz w:val="20"/>
          <w:szCs w:val="20"/>
          <w:shd w:val="clear" w:color="auto" w:fill="FFFFFF"/>
        </w:rPr>
        <w:t>://doi.org/10.51383/ijon</w:t>
      </w:r>
      <w:r>
        <w:rPr>
          <w:rFonts w:ascii="Arial" w:eastAsia="Segoe UI" w:hAnsi="Arial" w:cs="Arial"/>
          <w:sz w:val="20"/>
          <w:szCs w:val="20"/>
          <w:shd w:val="clear" w:color="auto" w:fill="FFFFFF"/>
        </w:rPr>
        <w:t>mes.2019.35</w:t>
      </w:r>
    </w:p>
    <w:p w14:paraId="6D079036" w14:textId="77777777" w:rsidR="004A39DF" w:rsidRDefault="00D9470C">
      <w:pPr>
        <w:pStyle w:val="NormalWeb"/>
        <w:spacing w:beforeAutospacing="0" w:afterAutospacing="0"/>
        <w:ind w:left="400" w:hangingChars="200" w:hanging="400"/>
        <w:jc w:val="both"/>
        <w:rPr>
          <w:rStyle w:val="Hyperlink"/>
          <w:rFonts w:ascii="Arial" w:hAnsi="Arial" w:cs="Arial"/>
          <w:color w:val="auto"/>
          <w:sz w:val="20"/>
          <w:szCs w:val="20"/>
          <w:u w:val="none"/>
        </w:rPr>
      </w:pPr>
      <w:r>
        <w:rPr>
          <w:rFonts w:ascii="Arial" w:hAnsi="Arial" w:cs="Arial"/>
          <w:sz w:val="20"/>
          <w:szCs w:val="20"/>
        </w:rPr>
        <w:t xml:space="preserve">Bandura, A. (1986). </w:t>
      </w:r>
      <w:r>
        <w:rPr>
          <w:rFonts w:ascii="Arial" w:hAnsi="Arial" w:cs="Arial"/>
          <w:i/>
          <w:iCs/>
          <w:sz w:val="20"/>
          <w:szCs w:val="20"/>
        </w:rPr>
        <w:t>Social Foundations of Thought and Action: A Social Cognitive Theory.</w:t>
      </w:r>
      <w:r>
        <w:rPr>
          <w:rFonts w:ascii="Arial" w:hAnsi="Arial" w:cs="Arial"/>
          <w:sz w:val="20"/>
          <w:szCs w:val="20"/>
        </w:rPr>
        <w:t xml:space="preserve"> Englewood Cliffs, NJ: Prentice Hall. Retrieved from </w:t>
      </w:r>
      <w:hyperlink r:id="rId17" w:history="1">
        <w:r>
          <w:rPr>
            <w:rStyle w:val="Hyperlink"/>
            <w:rFonts w:ascii="Arial" w:hAnsi="Arial" w:cs="Arial"/>
            <w:color w:val="auto"/>
            <w:sz w:val="20"/>
            <w:szCs w:val="20"/>
            <w:u w:val="none"/>
          </w:rPr>
          <w:t>https://psycnet.apa.org/record/1985-98423</w:t>
        </w:r>
        <w:r>
          <w:rPr>
            <w:rStyle w:val="Hyperlink"/>
            <w:rFonts w:ascii="Arial" w:hAnsi="Arial" w:cs="Arial"/>
            <w:color w:val="auto"/>
            <w:sz w:val="20"/>
            <w:szCs w:val="20"/>
            <w:u w:val="none"/>
          </w:rPr>
          <w:t>-000</w:t>
        </w:r>
      </w:hyperlink>
    </w:p>
    <w:p w14:paraId="1F95D3E6" w14:textId="77777777" w:rsidR="004A39DF" w:rsidRDefault="004A39DF">
      <w:pPr>
        <w:pStyle w:val="NormalWeb"/>
        <w:spacing w:beforeAutospacing="0" w:afterAutospacing="0"/>
        <w:ind w:left="400" w:hangingChars="200" w:hanging="400"/>
        <w:jc w:val="both"/>
        <w:rPr>
          <w:rStyle w:val="Hyperlink"/>
          <w:rFonts w:ascii="Arial" w:hAnsi="Arial" w:cs="Arial"/>
          <w:color w:val="auto"/>
          <w:sz w:val="20"/>
          <w:szCs w:val="20"/>
          <w:u w:val="none"/>
        </w:rPr>
      </w:pPr>
    </w:p>
    <w:p w14:paraId="61042AF2" w14:textId="77777777" w:rsidR="004A39DF" w:rsidRDefault="00D9470C">
      <w:pPr>
        <w:ind w:left="400" w:hangingChars="200" w:hanging="400"/>
        <w:jc w:val="both"/>
        <w:rPr>
          <w:rFonts w:ascii="Arial" w:hAnsi="Arial" w:cs="Arial"/>
        </w:rPr>
      </w:pPr>
      <w:r>
        <w:rPr>
          <w:rFonts w:ascii="Arial" w:hAnsi="Arial" w:cs="Arial"/>
        </w:rPr>
        <w:t xml:space="preserve">Bandura, A. (1988). </w:t>
      </w:r>
      <w:proofErr w:type="spellStart"/>
      <w:r>
        <w:rPr>
          <w:rFonts w:ascii="Arial" w:hAnsi="Arial" w:cs="Arial"/>
        </w:rPr>
        <w:t>Organisational</w:t>
      </w:r>
      <w:proofErr w:type="spellEnd"/>
      <w:r>
        <w:rPr>
          <w:rFonts w:ascii="Arial" w:hAnsi="Arial" w:cs="Arial"/>
        </w:rPr>
        <w:t xml:space="preserve"> applications of social cognitive theory. Australian Journal of Management, 13(2), 275–302. </w:t>
      </w:r>
      <w:hyperlink r:id="rId18" w:history="1">
        <w:r>
          <w:rPr>
            <w:rStyle w:val="Hyperlink"/>
            <w:rFonts w:ascii="Arial" w:hAnsi="Arial" w:cs="Arial"/>
            <w:color w:val="auto"/>
          </w:rPr>
          <w:t>https://doi.org/10.1177/031289628801300</w:t>
        </w:r>
      </w:hyperlink>
    </w:p>
    <w:p w14:paraId="2CA57DD9" w14:textId="77777777" w:rsidR="004A39DF" w:rsidRDefault="004A39DF">
      <w:pPr>
        <w:ind w:left="400" w:hangingChars="200" w:hanging="400"/>
        <w:jc w:val="both"/>
        <w:rPr>
          <w:rFonts w:ascii="Arial" w:hAnsi="Arial" w:cs="Arial"/>
        </w:rPr>
      </w:pPr>
    </w:p>
    <w:p w14:paraId="6627DC6D" w14:textId="77777777" w:rsidR="004A39DF" w:rsidRDefault="00D9470C">
      <w:pPr>
        <w:ind w:left="400" w:hangingChars="200" w:hanging="400"/>
        <w:jc w:val="both"/>
        <w:rPr>
          <w:rFonts w:ascii="Arial" w:eastAsia="Segoe UI" w:hAnsi="Arial" w:cs="Arial"/>
          <w:shd w:val="clear" w:color="auto" w:fill="FFFFFF"/>
        </w:rPr>
      </w:pPr>
      <w:proofErr w:type="spellStart"/>
      <w:r>
        <w:rPr>
          <w:rFonts w:ascii="Arial" w:eastAsia="Arial" w:hAnsi="Arial" w:cs="Arial"/>
          <w:shd w:val="clear" w:color="auto" w:fill="FFFFFF"/>
        </w:rPr>
        <w:t>Batugal</w:t>
      </w:r>
      <w:proofErr w:type="spellEnd"/>
      <w:r>
        <w:rPr>
          <w:rFonts w:ascii="Arial" w:eastAsia="Arial" w:hAnsi="Arial" w:cs="Arial"/>
          <w:shd w:val="clear" w:color="auto" w:fill="FFFFFF"/>
        </w:rPr>
        <w:t xml:space="preserve">, M.L. (2020). </w:t>
      </w:r>
      <w:r>
        <w:rPr>
          <w:rFonts w:ascii="Arial" w:eastAsia="Arial" w:hAnsi="Arial" w:cs="Arial"/>
          <w:shd w:val="clear" w:color="auto" w:fill="FFFFFF"/>
        </w:rPr>
        <w:t>Triumphs and Trials: Probing the Pre-service Teachers' Practice Teaching Experiences. </w:t>
      </w:r>
      <w:r>
        <w:rPr>
          <w:rStyle w:val="Emphasis"/>
          <w:rFonts w:ascii="Arial" w:eastAsia="Arial" w:hAnsi="Arial" w:cs="Arial"/>
        </w:rPr>
        <w:t>Universal Journal of Educational Research, 8</w:t>
      </w:r>
      <w:r>
        <w:rPr>
          <w:rFonts w:ascii="Arial" w:eastAsia="Arial" w:hAnsi="Arial" w:cs="Arial"/>
          <w:shd w:val="clear" w:color="auto" w:fill="FFFFFF"/>
        </w:rPr>
        <w:t>, 2864-2870.</w:t>
      </w:r>
      <w:r>
        <w:rPr>
          <w:rFonts w:ascii="Arial" w:eastAsia="Segoe UI" w:hAnsi="Arial" w:cs="Arial"/>
          <w:shd w:val="clear" w:color="auto" w:fill="FFFFFF"/>
        </w:rPr>
        <w:t>https://doi.org/10.13189/ujer.2020.080713</w:t>
      </w:r>
    </w:p>
    <w:p w14:paraId="7A7FF5F4" w14:textId="77777777" w:rsidR="004A39DF" w:rsidRDefault="004A39DF">
      <w:pPr>
        <w:ind w:left="400" w:hangingChars="200" w:hanging="400"/>
        <w:jc w:val="both"/>
        <w:rPr>
          <w:rFonts w:ascii="Arial" w:eastAsia="Segoe UI" w:hAnsi="Arial" w:cs="Arial"/>
          <w:shd w:val="clear" w:color="auto" w:fill="FFFFFF"/>
        </w:rPr>
      </w:pPr>
    </w:p>
    <w:p w14:paraId="01689C97" w14:textId="77777777" w:rsidR="004A39DF" w:rsidRDefault="00D9470C">
      <w:pPr>
        <w:ind w:left="400" w:hangingChars="200" w:hanging="400"/>
        <w:jc w:val="both"/>
        <w:rPr>
          <w:rFonts w:ascii="Arial" w:eastAsia="Segoe UI" w:hAnsi="Arial" w:cs="Arial"/>
          <w:shd w:val="clear" w:color="auto" w:fill="FFFFFF"/>
        </w:rPr>
      </w:pPr>
      <w:r>
        <w:rPr>
          <w:rFonts w:ascii="Arial" w:eastAsia="SimSun" w:hAnsi="Arial" w:cs="Arial"/>
          <w:shd w:val="clear" w:color="auto" w:fill="FFFFFF"/>
        </w:rPr>
        <w:t>Bautista-Quispe, J. A., Estrada-Araoz, E. G., Yana-</w:t>
      </w:r>
      <w:proofErr w:type="spellStart"/>
      <w:r>
        <w:rPr>
          <w:rFonts w:ascii="Arial" w:eastAsia="SimSun" w:hAnsi="Arial" w:cs="Arial"/>
          <w:shd w:val="clear" w:color="auto" w:fill="FFFFFF"/>
        </w:rPr>
        <w:t>Salluca</w:t>
      </w:r>
      <w:proofErr w:type="spellEnd"/>
      <w:r>
        <w:rPr>
          <w:rFonts w:ascii="Arial" w:eastAsia="SimSun" w:hAnsi="Arial" w:cs="Arial"/>
          <w:shd w:val="clear" w:color="auto" w:fill="FFFFFF"/>
        </w:rPr>
        <w:t>, M., Gallego</w:t>
      </w:r>
      <w:r>
        <w:rPr>
          <w:rFonts w:ascii="Arial" w:eastAsia="SimSun" w:hAnsi="Arial" w:cs="Arial"/>
          <w:shd w:val="clear" w:color="auto" w:fill="FFFFFF"/>
        </w:rPr>
        <w:t>s, Z. E. C., Coaquira, R. R. A., Reyes, B. V., ... &amp; Alanoca, V. R. M. (2023). Monitoring, support and inter-learning in teaching performance in basic education of the area of Mathematics. A case study in Puno (Perú). </w:t>
      </w:r>
      <w:r>
        <w:rPr>
          <w:rFonts w:ascii="Arial" w:eastAsia="SimSun" w:hAnsi="Arial" w:cs="Arial"/>
          <w:i/>
          <w:iCs/>
          <w:shd w:val="clear" w:color="auto" w:fill="FFFFFF"/>
        </w:rPr>
        <w:t>International Journal of Learning, Tea</w:t>
      </w:r>
      <w:r>
        <w:rPr>
          <w:rFonts w:ascii="Arial" w:eastAsia="SimSun" w:hAnsi="Arial" w:cs="Arial"/>
          <w:i/>
          <w:iCs/>
          <w:shd w:val="clear" w:color="auto" w:fill="FFFFFF"/>
        </w:rPr>
        <w:t>ching and Educational Research</w:t>
      </w:r>
      <w:r>
        <w:rPr>
          <w:rFonts w:ascii="Arial" w:eastAsia="SimSun" w:hAnsi="Arial" w:cs="Arial"/>
          <w:shd w:val="clear" w:color="auto" w:fill="FFFFFF"/>
        </w:rPr>
        <w:t>, </w:t>
      </w:r>
      <w:r>
        <w:rPr>
          <w:rFonts w:ascii="Arial" w:eastAsia="SimSun" w:hAnsi="Arial" w:cs="Arial"/>
          <w:i/>
          <w:iCs/>
          <w:shd w:val="clear" w:color="auto" w:fill="FFFFFF"/>
        </w:rPr>
        <w:t>22</w:t>
      </w:r>
      <w:r>
        <w:rPr>
          <w:rFonts w:ascii="Arial" w:eastAsia="SimSun" w:hAnsi="Arial" w:cs="Arial"/>
          <w:shd w:val="clear" w:color="auto" w:fill="FFFFFF"/>
        </w:rPr>
        <w:t>(5), 479-492.</w:t>
      </w:r>
      <w:r>
        <w:rPr>
          <w:rFonts w:ascii="Arial" w:eastAsia="Segoe UI" w:hAnsi="Arial" w:cs="Arial"/>
          <w:shd w:val="clear" w:color="auto" w:fill="FFFFFF"/>
        </w:rPr>
        <w:t>https://doi.org/10.26803/ijlter.22.5.24</w:t>
      </w:r>
    </w:p>
    <w:p w14:paraId="2BB43C45" w14:textId="77777777" w:rsidR="004A39DF" w:rsidRDefault="004A39DF">
      <w:pPr>
        <w:ind w:left="400" w:hangingChars="200" w:hanging="400"/>
        <w:jc w:val="both"/>
        <w:rPr>
          <w:rFonts w:ascii="Arial" w:eastAsia="Segoe UI" w:hAnsi="Arial" w:cs="Arial"/>
          <w:shd w:val="clear" w:color="auto" w:fill="FFFFFF"/>
        </w:rPr>
      </w:pPr>
    </w:p>
    <w:p w14:paraId="2854EF2E" w14:textId="77777777" w:rsidR="004A39DF" w:rsidRDefault="00D9470C">
      <w:pPr>
        <w:ind w:left="400" w:hangingChars="200" w:hanging="400"/>
        <w:jc w:val="both"/>
        <w:rPr>
          <w:rFonts w:ascii="Arial" w:eastAsia="Arial" w:hAnsi="Arial" w:cs="Arial"/>
          <w:shd w:val="clear" w:color="auto" w:fill="FFFFFF"/>
        </w:rPr>
      </w:pPr>
      <w:r>
        <w:rPr>
          <w:rFonts w:ascii="Arial" w:eastAsia="Arial" w:hAnsi="Arial" w:cs="Arial"/>
          <w:shd w:val="clear" w:color="auto" w:fill="FFFFFF"/>
        </w:rPr>
        <w:t xml:space="preserve">Boehme, J., Donnan, M., &amp; </w:t>
      </w:r>
      <w:proofErr w:type="spellStart"/>
      <w:r>
        <w:rPr>
          <w:rFonts w:ascii="Arial" w:eastAsia="Arial" w:hAnsi="Arial" w:cs="Arial"/>
          <w:shd w:val="clear" w:color="auto" w:fill="FFFFFF"/>
        </w:rPr>
        <w:t>Uleanya</w:t>
      </w:r>
      <w:proofErr w:type="spellEnd"/>
      <w:r>
        <w:rPr>
          <w:rFonts w:ascii="Arial" w:eastAsia="Arial" w:hAnsi="Arial" w:cs="Arial"/>
          <w:shd w:val="clear" w:color="auto" w:fill="FFFFFF"/>
        </w:rPr>
        <w:t>, C. (2021). Interdisciplinary Educational Studies.</w:t>
      </w:r>
    </w:p>
    <w:p w14:paraId="692BBFB9" w14:textId="77777777" w:rsidR="004A39DF" w:rsidRDefault="004A39DF">
      <w:pPr>
        <w:ind w:left="400" w:hangingChars="200" w:hanging="400"/>
        <w:jc w:val="both"/>
        <w:rPr>
          <w:rFonts w:ascii="Arial" w:eastAsia="Arial" w:hAnsi="Arial" w:cs="Arial"/>
          <w:shd w:val="clear" w:color="auto" w:fill="FFFFFF"/>
        </w:rPr>
      </w:pPr>
    </w:p>
    <w:p w14:paraId="505C367E" w14:textId="77777777" w:rsidR="004A39DF" w:rsidRDefault="00D9470C">
      <w:pPr>
        <w:ind w:left="400" w:hangingChars="200" w:hanging="400"/>
        <w:jc w:val="both"/>
        <w:rPr>
          <w:rFonts w:ascii="Arial" w:eastAsia="Segoe UI" w:hAnsi="Arial" w:cs="Arial"/>
          <w:shd w:val="clear" w:color="auto" w:fill="FFFFFF"/>
        </w:rPr>
      </w:pPr>
      <w:r>
        <w:rPr>
          <w:rFonts w:ascii="Arial" w:eastAsia="Arial" w:hAnsi="Arial" w:cs="Arial"/>
          <w:shd w:val="clear" w:color="auto" w:fill="FFFFFF"/>
        </w:rPr>
        <w:t xml:space="preserve">Brown, A., Myers, J., &amp; Collins, D. (2019). How pre-service teachers’ sense of </w:t>
      </w:r>
      <w:r>
        <w:rPr>
          <w:rFonts w:ascii="Arial" w:eastAsia="Arial" w:hAnsi="Arial" w:cs="Arial"/>
          <w:shd w:val="clear" w:color="auto" w:fill="FFFFFF"/>
        </w:rPr>
        <w:t xml:space="preserve">teaching efficacy and preparedness to teach impact performance during student </w:t>
      </w:r>
      <w:r>
        <w:rPr>
          <w:rFonts w:ascii="Arial" w:eastAsia="Arial" w:hAnsi="Arial" w:cs="Arial"/>
          <w:shd w:val="clear" w:color="auto" w:fill="FFFFFF"/>
        </w:rPr>
        <w:lastRenderedPageBreak/>
        <w:t>teaching. </w:t>
      </w:r>
      <w:r>
        <w:rPr>
          <w:rStyle w:val="Emphasis"/>
          <w:rFonts w:ascii="Arial" w:eastAsia="Arial" w:hAnsi="Arial" w:cs="Arial"/>
        </w:rPr>
        <w:t>Educational Studies, 47</w:t>
      </w:r>
      <w:r>
        <w:rPr>
          <w:rFonts w:ascii="Arial" w:eastAsia="Arial" w:hAnsi="Arial" w:cs="Arial"/>
          <w:shd w:val="clear" w:color="auto" w:fill="FFFFFF"/>
        </w:rPr>
        <w:t>, 38 - 58.</w:t>
      </w:r>
      <w:r>
        <w:rPr>
          <w:rFonts w:ascii="Arial" w:eastAsia="Segoe UI" w:hAnsi="Arial" w:cs="Arial"/>
          <w:shd w:val="clear" w:color="auto" w:fill="FFFFFF"/>
        </w:rPr>
        <w:t>https://doi.org/10.1080/03055698.2019.1651696</w:t>
      </w:r>
    </w:p>
    <w:p w14:paraId="71BCE747" w14:textId="77777777" w:rsidR="004A39DF" w:rsidRDefault="004A39DF">
      <w:pPr>
        <w:ind w:left="400" w:hangingChars="200" w:hanging="400"/>
        <w:jc w:val="both"/>
        <w:rPr>
          <w:rFonts w:ascii="Arial" w:eastAsia="Segoe UI" w:hAnsi="Arial" w:cs="Arial"/>
          <w:shd w:val="clear" w:color="auto" w:fill="FFFFFF"/>
        </w:rPr>
      </w:pPr>
    </w:p>
    <w:p w14:paraId="028A64C7" w14:textId="77777777" w:rsidR="004A39DF" w:rsidRDefault="00D9470C">
      <w:pPr>
        <w:ind w:left="400" w:hangingChars="200" w:hanging="400"/>
        <w:jc w:val="both"/>
        <w:rPr>
          <w:rFonts w:ascii="Arial" w:eastAsia="Tahoma" w:hAnsi="Arial" w:cs="Arial"/>
          <w:lang w:val="en-PH" w:bidi="ar"/>
        </w:rPr>
      </w:pPr>
      <w:r>
        <w:rPr>
          <w:rFonts w:ascii="Arial" w:eastAsia="Tahoma" w:hAnsi="Arial" w:cs="Arial"/>
          <w:lang w:bidi="ar"/>
        </w:rPr>
        <w:t xml:space="preserve">Canonizado, I.C. (2021). </w:t>
      </w:r>
      <w:r>
        <w:rPr>
          <w:rFonts w:ascii="Arial" w:eastAsia="Tahoma" w:hAnsi="Arial" w:cs="Arial"/>
          <w:i/>
          <w:iCs/>
          <w:lang w:bidi="ar"/>
        </w:rPr>
        <w:t xml:space="preserve">When to use total population sampling in a </w:t>
      </w:r>
      <w:proofErr w:type="gramStart"/>
      <w:r>
        <w:rPr>
          <w:rFonts w:ascii="Arial" w:eastAsia="Tahoma" w:hAnsi="Arial" w:cs="Arial"/>
          <w:i/>
          <w:iCs/>
          <w:lang w:bidi="ar"/>
        </w:rPr>
        <w:t>research</w:t>
      </w:r>
      <w:r>
        <w:rPr>
          <w:rFonts w:ascii="Arial" w:eastAsia="Tahoma" w:hAnsi="Arial" w:cs="Arial"/>
          <w:i/>
          <w:iCs/>
          <w:lang w:val="en-PH" w:bidi="ar"/>
        </w:rPr>
        <w:t>study.</w:t>
      </w:r>
      <w:r>
        <w:rPr>
          <w:rFonts w:ascii="Arial" w:eastAsia="Tahoma" w:hAnsi="Arial" w:cs="Arial"/>
          <w:lang w:val="en-PH" w:bidi="ar"/>
        </w:rPr>
        <w:t>HubPages.https://discover.hubpages.com/education/Whento-use-total-population-sampling-in-a-research-study</w:t>
      </w:r>
      <w:proofErr w:type="gramEnd"/>
    </w:p>
    <w:p w14:paraId="3B6234B8" w14:textId="77777777" w:rsidR="004A39DF" w:rsidRDefault="004A39DF">
      <w:pPr>
        <w:ind w:left="400" w:hangingChars="200" w:hanging="400"/>
        <w:jc w:val="both"/>
        <w:rPr>
          <w:rFonts w:ascii="Arial" w:eastAsia="Tahoma" w:hAnsi="Arial" w:cs="Arial"/>
          <w:lang w:val="en-PH" w:bidi="ar"/>
        </w:rPr>
      </w:pPr>
    </w:p>
    <w:p w14:paraId="0F6FF44F" w14:textId="77777777" w:rsidR="004A39DF" w:rsidRDefault="00D9470C">
      <w:pPr>
        <w:ind w:left="400" w:hangingChars="200" w:hanging="400"/>
        <w:jc w:val="both"/>
        <w:rPr>
          <w:rFonts w:ascii="Arial" w:hAnsi="Arial" w:cs="Arial"/>
          <w:shd w:val="clear" w:color="auto" w:fill="FFFFFF"/>
        </w:rPr>
      </w:pPr>
      <w:r>
        <w:rPr>
          <w:rFonts w:ascii="Arial" w:hAnsi="Arial" w:cs="Arial"/>
          <w:shd w:val="clear" w:color="auto" w:fill="FFFFFF"/>
        </w:rPr>
        <w:t>Capel, S. A. (1997). Changes in students’ anxieties and concerns after their first and second teaching practices. </w:t>
      </w:r>
      <w:r>
        <w:rPr>
          <w:rFonts w:ascii="Arial" w:hAnsi="Arial" w:cs="Arial"/>
          <w:i/>
          <w:iCs/>
          <w:shd w:val="clear" w:color="auto" w:fill="FFFFFF"/>
        </w:rPr>
        <w:t>Educational Research</w:t>
      </w:r>
      <w:r>
        <w:rPr>
          <w:rFonts w:ascii="Arial" w:hAnsi="Arial" w:cs="Arial"/>
          <w:shd w:val="clear" w:color="auto" w:fill="FFFFFF"/>
        </w:rPr>
        <w:t>, </w:t>
      </w:r>
      <w:r>
        <w:rPr>
          <w:rFonts w:ascii="Arial" w:hAnsi="Arial" w:cs="Arial"/>
          <w:i/>
          <w:iCs/>
          <w:shd w:val="clear" w:color="auto" w:fill="FFFFFF"/>
        </w:rPr>
        <w:t>39</w:t>
      </w:r>
      <w:r>
        <w:rPr>
          <w:rFonts w:ascii="Arial" w:hAnsi="Arial" w:cs="Arial"/>
          <w:shd w:val="clear" w:color="auto" w:fill="FFFFFF"/>
        </w:rPr>
        <w:t>(2), 211-22</w:t>
      </w:r>
      <w:r>
        <w:rPr>
          <w:rFonts w:ascii="Arial" w:hAnsi="Arial" w:cs="Arial"/>
          <w:shd w:val="clear" w:color="auto" w:fill="FFFFFF"/>
        </w:rPr>
        <w:t>8.</w:t>
      </w:r>
    </w:p>
    <w:p w14:paraId="6116DC33" w14:textId="77777777" w:rsidR="004A39DF" w:rsidRDefault="004A39DF">
      <w:pPr>
        <w:ind w:left="400" w:hangingChars="200" w:hanging="400"/>
        <w:jc w:val="both"/>
        <w:rPr>
          <w:rFonts w:ascii="Arial" w:hAnsi="Arial" w:cs="Arial"/>
          <w:shd w:val="clear" w:color="auto" w:fill="FFFFFF"/>
        </w:rPr>
      </w:pPr>
    </w:p>
    <w:p w14:paraId="6F1614AC" w14:textId="77777777" w:rsidR="004A39DF" w:rsidRDefault="00D9470C">
      <w:pPr>
        <w:ind w:left="400" w:hangingChars="200" w:hanging="400"/>
        <w:jc w:val="both"/>
        <w:rPr>
          <w:rFonts w:ascii="Arial" w:eastAsia="Segoe UI" w:hAnsi="Arial" w:cs="Arial"/>
          <w:shd w:val="clear" w:color="auto" w:fill="FFFFFF"/>
        </w:rPr>
      </w:pPr>
      <w:r>
        <w:rPr>
          <w:rFonts w:ascii="Arial" w:eastAsia="SimSun" w:hAnsi="Arial" w:cs="Arial"/>
          <w:shd w:val="clear" w:color="auto" w:fill="FFFFFF"/>
        </w:rPr>
        <w:t>Cheung, A. C. K., Wong, K. L., Wang, H. F., &amp; Dai, J. B. (2023). Effect of a student teaching internship program on the self-efficacy of pre-service teachers in rural China. </w:t>
      </w:r>
      <w:r>
        <w:rPr>
          <w:rFonts w:ascii="Arial" w:eastAsia="SimSun" w:hAnsi="Arial" w:cs="Arial"/>
          <w:i/>
          <w:iCs/>
          <w:shd w:val="clear" w:color="auto" w:fill="FFFFFF"/>
        </w:rPr>
        <w:t>International Journal of Educational Management</w:t>
      </w:r>
      <w:r>
        <w:rPr>
          <w:rFonts w:ascii="Arial" w:eastAsia="SimSun" w:hAnsi="Arial" w:cs="Arial"/>
          <w:shd w:val="clear" w:color="auto" w:fill="FFFFFF"/>
        </w:rPr>
        <w:t>, </w:t>
      </w:r>
      <w:r>
        <w:rPr>
          <w:rFonts w:ascii="Arial" w:eastAsia="SimSun" w:hAnsi="Arial" w:cs="Arial"/>
          <w:i/>
          <w:iCs/>
          <w:shd w:val="clear" w:color="auto" w:fill="FFFFFF"/>
        </w:rPr>
        <w:t>37</w:t>
      </w:r>
      <w:r>
        <w:rPr>
          <w:rFonts w:ascii="Arial" w:eastAsia="SimSun" w:hAnsi="Arial" w:cs="Arial"/>
          <w:shd w:val="clear" w:color="auto" w:fill="FFFFFF"/>
        </w:rPr>
        <w:t>(2), 373-392.</w:t>
      </w:r>
      <w:r>
        <w:rPr>
          <w:rFonts w:ascii="Arial" w:eastAsia="Segoe UI" w:hAnsi="Arial" w:cs="Arial"/>
          <w:shd w:val="clear" w:color="auto" w:fill="FFFFFF"/>
        </w:rPr>
        <w:t>https://doi.org/10.1108/ijem-03-2021-0081</w:t>
      </w:r>
    </w:p>
    <w:p w14:paraId="5A7911D3" w14:textId="77777777" w:rsidR="004A39DF" w:rsidRDefault="004A39DF">
      <w:pPr>
        <w:ind w:left="400" w:hangingChars="200" w:hanging="400"/>
        <w:jc w:val="both"/>
        <w:rPr>
          <w:rFonts w:ascii="Arial" w:eastAsia="Segoe UI" w:hAnsi="Arial" w:cs="Arial"/>
          <w:shd w:val="clear" w:color="auto" w:fill="FFFFFF"/>
        </w:rPr>
      </w:pPr>
    </w:p>
    <w:p w14:paraId="619D16DA" w14:textId="77777777" w:rsidR="004A39DF" w:rsidRDefault="00D9470C">
      <w:pPr>
        <w:ind w:left="400" w:hangingChars="200" w:hanging="400"/>
        <w:jc w:val="both"/>
        <w:rPr>
          <w:rFonts w:ascii="Arial" w:hAnsi="Arial" w:cs="Arial"/>
        </w:rPr>
      </w:pPr>
      <w:proofErr w:type="spellStart"/>
      <w:r>
        <w:rPr>
          <w:rStyle w:val="Strong"/>
          <w:rFonts w:ascii="Arial" w:hAnsi="Arial" w:cs="Arial"/>
          <w:b w:val="0"/>
          <w:bCs w:val="0"/>
        </w:rPr>
        <w:t>Çubukçu</w:t>
      </w:r>
      <w:proofErr w:type="spellEnd"/>
      <w:r>
        <w:rPr>
          <w:rStyle w:val="Strong"/>
          <w:rFonts w:ascii="Arial" w:hAnsi="Arial" w:cs="Arial"/>
          <w:b w:val="0"/>
          <w:bCs w:val="0"/>
        </w:rPr>
        <w:t>, Z., &amp; Tarhan, Ö. (2021).</w:t>
      </w:r>
      <w:r>
        <w:rPr>
          <w:rFonts w:ascii="Arial" w:hAnsi="Arial" w:cs="Arial"/>
        </w:rPr>
        <w:t xml:space="preserve"> The impact of self-efficacy beliefs on pre-service teachers' teaching anxiety. </w:t>
      </w:r>
      <w:r>
        <w:rPr>
          <w:rStyle w:val="Emphasis"/>
          <w:rFonts w:ascii="Arial" w:hAnsi="Arial" w:cs="Arial"/>
        </w:rPr>
        <w:t>Journal of Education and Training Studies</w:t>
      </w:r>
      <w:r>
        <w:rPr>
          <w:rFonts w:ascii="Arial" w:hAnsi="Arial" w:cs="Arial"/>
        </w:rPr>
        <w:t>.</w:t>
      </w:r>
    </w:p>
    <w:p w14:paraId="62910B9B" w14:textId="77777777" w:rsidR="004A39DF" w:rsidRDefault="004A39DF">
      <w:pPr>
        <w:ind w:left="400" w:hangingChars="200" w:hanging="400"/>
        <w:jc w:val="both"/>
        <w:rPr>
          <w:rFonts w:ascii="Arial" w:hAnsi="Arial" w:cs="Arial"/>
        </w:rPr>
      </w:pPr>
    </w:p>
    <w:p w14:paraId="18E39B18" w14:textId="77777777" w:rsidR="004A39DF" w:rsidRDefault="00D9470C">
      <w:pPr>
        <w:ind w:left="400" w:hangingChars="200" w:hanging="400"/>
        <w:jc w:val="both"/>
        <w:rPr>
          <w:rFonts w:ascii="Arial" w:hAnsi="Arial" w:cs="Arial"/>
          <w:shd w:val="clear" w:color="auto" w:fill="FFFFFF"/>
        </w:rPr>
      </w:pPr>
      <w:r>
        <w:rPr>
          <w:rFonts w:ascii="Arial" w:hAnsi="Arial" w:cs="Arial"/>
          <w:shd w:val="clear" w:color="auto" w:fill="FFFFFF"/>
        </w:rPr>
        <w:t xml:space="preserve">Dunst, C. J., Hamby, D. W., Howse, R. B., Wilkie, H., &amp; </w:t>
      </w:r>
      <w:r>
        <w:rPr>
          <w:rFonts w:ascii="Arial" w:hAnsi="Arial" w:cs="Arial"/>
          <w:shd w:val="clear" w:color="auto" w:fill="FFFFFF"/>
        </w:rPr>
        <w:t>Annas, K. (2020). Research synthesis of meta-Analyses of preservice teacher preparation practices in higher education. </w:t>
      </w:r>
      <w:r>
        <w:rPr>
          <w:rFonts w:ascii="Arial" w:hAnsi="Arial" w:cs="Arial"/>
          <w:i/>
          <w:iCs/>
          <w:shd w:val="clear" w:color="auto" w:fill="FFFFFF"/>
        </w:rPr>
        <w:t>Higher Education Studies</w:t>
      </w:r>
      <w:r>
        <w:rPr>
          <w:rFonts w:ascii="Arial" w:hAnsi="Arial" w:cs="Arial"/>
          <w:shd w:val="clear" w:color="auto" w:fill="FFFFFF"/>
        </w:rPr>
        <w:t>, </w:t>
      </w:r>
      <w:r>
        <w:rPr>
          <w:rFonts w:ascii="Arial" w:hAnsi="Arial" w:cs="Arial"/>
          <w:i/>
          <w:iCs/>
          <w:shd w:val="clear" w:color="auto" w:fill="FFFFFF"/>
        </w:rPr>
        <w:t>10</w:t>
      </w:r>
      <w:r>
        <w:rPr>
          <w:rFonts w:ascii="Arial" w:hAnsi="Arial" w:cs="Arial"/>
          <w:shd w:val="clear" w:color="auto" w:fill="FFFFFF"/>
        </w:rPr>
        <w:t>(1), 29-47.</w:t>
      </w:r>
    </w:p>
    <w:p w14:paraId="5EAB3F30" w14:textId="77777777" w:rsidR="004A39DF" w:rsidRDefault="00D9470C">
      <w:pPr>
        <w:ind w:left="400" w:hangingChars="200" w:hanging="400"/>
        <w:jc w:val="both"/>
        <w:rPr>
          <w:rFonts w:ascii="Arial" w:eastAsia="Segoe UI" w:hAnsi="Arial" w:cs="Arial"/>
          <w:shd w:val="clear" w:color="auto" w:fill="FFFFFF"/>
        </w:rPr>
      </w:pPr>
      <w:r>
        <w:rPr>
          <w:rFonts w:ascii="Arial" w:hAnsi="Arial" w:cs="Arial"/>
          <w:shd w:val="clear" w:color="auto" w:fill="FFFFFF"/>
        </w:rPr>
        <w:t xml:space="preserve">El-Asri, S. (2024). The role of pre-service teacher training in developing </w:t>
      </w:r>
      <w:proofErr w:type="spellStart"/>
      <w:r>
        <w:rPr>
          <w:rFonts w:ascii="Arial" w:hAnsi="Arial" w:cs="Arial"/>
          <w:shd w:val="clear" w:color="auto" w:fill="FFFFFF"/>
        </w:rPr>
        <w:t>efl</w:t>
      </w:r>
      <w:proofErr w:type="spellEnd"/>
      <w:r>
        <w:rPr>
          <w:rFonts w:ascii="Arial" w:hAnsi="Arial" w:cs="Arial"/>
          <w:shd w:val="clear" w:color="auto" w:fill="FFFFFF"/>
        </w:rPr>
        <w:t xml:space="preserve"> </w:t>
      </w:r>
      <w:proofErr w:type="spellStart"/>
      <w:r>
        <w:rPr>
          <w:rFonts w:ascii="Arial" w:hAnsi="Arial" w:cs="Arial"/>
          <w:shd w:val="clear" w:color="auto" w:fill="FFFFFF"/>
        </w:rPr>
        <w:t>teachers'classroom</w:t>
      </w:r>
      <w:proofErr w:type="spellEnd"/>
      <w:r>
        <w:rPr>
          <w:rFonts w:ascii="Arial" w:hAnsi="Arial" w:cs="Arial"/>
          <w:shd w:val="clear" w:color="auto" w:fill="FFFFFF"/>
        </w:rPr>
        <w:t xml:space="preserve"> management competency for better teaching performance. </w:t>
      </w:r>
      <w:r>
        <w:rPr>
          <w:rFonts w:ascii="Arial" w:hAnsi="Arial" w:cs="Arial"/>
          <w:i/>
          <w:iCs/>
          <w:shd w:val="clear" w:color="auto" w:fill="FFFFFF"/>
        </w:rPr>
        <w:t>European Journal of Foreign Language Teaching</w:t>
      </w:r>
      <w:r>
        <w:rPr>
          <w:rFonts w:ascii="Arial" w:hAnsi="Arial" w:cs="Arial"/>
          <w:shd w:val="clear" w:color="auto" w:fill="FFFFFF"/>
        </w:rPr>
        <w:t>, </w:t>
      </w:r>
      <w:r>
        <w:rPr>
          <w:rFonts w:ascii="Arial" w:hAnsi="Arial" w:cs="Arial"/>
          <w:i/>
          <w:iCs/>
          <w:shd w:val="clear" w:color="auto" w:fill="FFFFFF"/>
        </w:rPr>
        <w:t>8</w:t>
      </w:r>
      <w:r>
        <w:rPr>
          <w:rFonts w:ascii="Arial" w:hAnsi="Arial" w:cs="Arial"/>
          <w:shd w:val="clear" w:color="auto" w:fill="FFFFFF"/>
        </w:rPr>
        <w:t>(1</w:t>
      </w:r>
      <w:proofErr w:type="gramStart"/>
      <w:r>
        <w:rPr>
          <w:rFonts w:ascii="Arial" w:hAnsi="Arial" w:cs="Arial"/>
          <w:shd w:val="clear" w:color="auto" w:fill="FFFFFF"/>
        </w:rPr>
        <w:t>).</w:t>
      </w:r>
      <w:r>
        <w:rPr>
          <w:rFonts w:ascii="Arial" w:eastAsia="Segoe UI" w:hAnsi="Arial" w:cs="Arial"/>
          <w:shd w:val="clear" w:color="auto" w:fill="FFFFFF"/>
        </w:rPr>
        <w:t>https://doi.org/10.46827/ejfl.v8i1.5183</w:t>
      </w:r>
      <w:proofErr w:type="gramEnd"/>
    </w:p>
    <w:p w14:paraId="1D3DDCF2" w14:textId="77777777" w:rsidR="004A39DF" w:rsidRDefault="004A39DF">
      <w:pPr>
        <w:ind w:left="400" w:hangingChars="200" w:hanging="400"/>
        <w:jc w:val="both"/>
        <w:rPr>
          <w:rFonts w:ascii="Arial" w:eastAsia="Segoe UI" w:hAnsi="Arial" w:cs="Arial"/>
          <w:shd w:val="clear" w:color="auto" w:fill="FFFFFF"/>
        </w:rPr>
      </w:pPr>
    </w:p>
    <w:p w14:paraId="627E138A" w14:textId="77777777" w:rsidR="004A39DF" w:rsidRDefault="00D9470C">
      <w:pPr>
        <w:ind w:left="400" w:hangingChars="200" w:hanging="400"/>
        <w:jc w:val="both"/>
        <w:rPr>
          <w:rFonts w:ascii="Arial" w:hAnsi="Arial" w:cs="Arial"/>
          <w:shd w:val="clear" w:color="auto" w:fill="FFFFFF"/>
        </w:rPr>
      </w:pPr>
      <w:proofErr w:type="spellStart"/>
      <w:r>
        <w:rPr>
          <w:rFonts w:ascii="Arial" w:hAnsi="Arial" w:cs="Arial"/>
          <w:shd w:val="clear" w:color="auto" w:fill="FFFFFF"/>
        </w:rPr>
        <w:t>Elraiss</w:t>
      </w:r>
      <w:proofErr w:type="spellEnd"/>
      <w:r>
        <w:rPr>
          <w:rFonts w:ascii="Arial" w:hAnsi="Arial" w:cs="Arial"/>
          <w:shd w:val="clear" w:color="auto" w:fill="FFFFFF"/>
        </w:rPr>
        <w:t xml:space="preserve">, Y. A., &amp; </w:t>
      </w:r>
      <w:proofErr w:type="spellStart"/>
      <w:r>
        <w:rPr>
          <w:rFonts w:ascii="Arial" w:hAnsi="Arial" w:cs="Arial"/>
          <w:shd w:val="clear" w:color="auto" w:fill="FFFFFF"/>
        </w:rPr>
        <w:t>Alsharidah</w:t>
      </w:r>
      <w:proofErr w:type="spellEnd"/>
      <w:r>
        <w:rPr>
          <w:rFonts w:ascii="Arial" w:hAnsi="Arial" w:cs="Arial"/>
          <w:shd w:val="clear" w:color="auto" w:fill="FFFFFF"/>
        </w:rPr>
        <w:t>, M. A. (2019). The Compliance of Islamic Pre-service Teachers with the Objecti</w:t>
      </w:r>
      <w:r>
        <w:rPr>
          <w:rFonts w:ascii="Arial" w:hAnsi="Arial" w:cs="Arial"/>
          <w:shd w:val="clear" w:color="auto" w:fill="FFFFFF"/>
        </w:rPr>
        <w:t>ves of the Education College Program. </w:t>
      </w:r>
      <w:r>
        <w:rPr>
          <w:rFonts w:ascii="Arial" w:hAnsi="Arial" w:cs="Arial"/>
          <w:i/>
          <w:iCs/>
          <w:shd w:val="clear" w:color="auto" w:fill="FFFFFF"/>
        </w:rPr>
        <w:t>Journal of Educational &amp; Psychological Sciences</w:t>
      </w:r>
      <w:r>
        <w:rPr>
          <w:rFonts w:ascii="Arial" w:hAnsi="Arial" w:cs="Arial"/>
          <w:shd w:val="clear" w:color="auto" w:fill="FFFFFF"/>
        </w:rPr>
        <w:t>, </w:t>
      </w:r>
      <w:r>
        <w:rPr>
          <w:rFonts w:ascii="Arial" w:hAnsi="Arial" w:cs="Arial"/>
          <w:i/>
          <w:iCs/>
          <w:shd w:val="clear" w:color="auto" w:fill="FFFFFF"/>
        </w:rPr>
        <w:t>20</w:t>
      </w:r>
      <w:r>
        <w:rPr>
          <w:rFonts w:ascii="Arial" w:hAnsi="Arial" w:cs="Arial"/>
          <w:shd w:val="clear" w:color="auto" w:fill="FFFFFF"/>
        </w:rPr>
        <w:t>(2).</w:t>
      </w:r>
    </w:p>
    <w:p w14:paraId="56CA9CC1" w14:textId="77777777" w:rsidR="004A39DF" w:rsidRDefault="004A39DF">
      <w:pPr>
        <w:ind w:left="400" w:hangingChars="200" w:hanging="400"/>
        <w:jc w:val="both"/>
        <w:rPr>
          <w:rFonts w:ascii="Arial" w:hAnsi="Arial" w:cs="Arial"/>
          <w:shd w:val="clear" w:color="auto" w:fill="FFFFFF"/>
        </w:rPr>
      </w:pPr>
    </w:p>
    <w:p w14:paraId="068843A3" w14:textId="77777777" w:rsidR="004A39DF" w:rsidRDefault="00D9470C">
      <w:pPr>
        <w:ind w:left="400" w:hangingChars="200" w:hanging="400"/>
        <w:jc w:val="both"/>
        <w:rPr>
          <w:rFonts w:ascii="Arial" w:hAnsi="Arial" w:cs="Arial"/>
          <w:shd w:val="clear" w:color="auto" w:fill="FFFFFF"/>
        </w:rPr>
      </w:pPr>
      <w:r>
        <w:rPr>
          <w:rFonts w:ascii="Arial" w:hAnsi="Arial" w:cs="Arial"/>
          <w:shd w:val="clear" w:color="auto" w:fill="FFFFFF"/>
        </w:rPr>
        <w:t xml:space="preserve">Ene, C. U., Ugwuanyi, C. S., Okeke, C. I., </w:t>
      </w:r>
      <w:proofErr w:type="spellStart"/>
      <w:r>
        <w:rPr>
          <w:rFonts w:ascii="Arial" w:hAnsi="Arial" w:cs="Arial"/>
          <w:shd w:val="clear" w:color="auto" w:fill="FFFFFF"/>
        </w:rPr>
        <w:t>Nworgu</w:t>
      </w:r>
      <w:proofErr w:type="spellEnd"/>
      <w:r>
        <w:rPr>
          <w:rFonts w:ascii="Arial" w:hAnsi="Arial" w:cs="Arial"/>
          <w:shd w:val="clear" w:color="auto" w:fill="FFFFFF"/>
        </w:rPr>
        <w:t xml:space="preserve">, B. G., Okeke, A. O., Agah, J. </w:t>
      </w:r>
      <w:proofErr w:type="gramStart"/>
      <w:r>
        <w:rPr>
          <w:rFonts w:ascii="Arial" w:hAnsi="Arial" w:cs="Arial"/>
          <w:shd w:val="clear" w:color="auto" w:fill="FFFFFF"/>
        </w:rPr>
        <w:t>J.,&amp;</w:t>
      </w:r>
      <w:proofErr w:type="gramEnd"/>
      <w:r>
        <w:rPr>
          <w:rFonts w:ascii="Arial" w:hAnsi="Arial" w:cs="Arial"/>
          <w:shd w:val="clear" w:color="auto" w:fill="FFFFFF"/>
        </w:rPr>
        <w:t xml:space="preserve"> Ekwueme, U. H. (2021). Factorial Validation of Teachers' Self-Efficacy Scal</w:t>
      </w:r>
      <w:r>
        <w:rPr>
          <w:rFonts w:ascii="Arial" w:hAnsi="Arial" w:cs="Arial"/>
          <w:shd w:val="clear" w:color="auto" w:fill="FFFFFF"/>
        </w:rPr>
        <w:t>e Using Pre-Service Teachers: Implications for Teacher Education Curriculum. </w:t>
      </w:r>
      <w:r>
        <w:rPr>
          <w:rFonts w:ascii="Arial" w:hAnsi="Arial" w:cs="Arial"/>
          <w:i/>
          <w:iCs/>
          <w:shd w:val="clear" w:color="auto" w:fill="FFFFFF"/>
        </w:rPr>
        <w:t>International Journal of Higher Education</w:t>
      </w:r>
      <w:r>
        <w:rPr>
          <w:rFonts w:ascii="Arial" w:hAnsi="Arial" w:cs="Arial"/>
          <w:shd w:val="clear" w:color="auto" w:fill="FFFFFF"/>
        </w:rPr>
        <w:t>, </w:t>
      </w:r>
      <w:r>
        <w:rPr>
          <w:rFonts w:ascii="Arial" w:hAnsi="Arial" w:cs="Arial"/>
          <w:i/>
          <w:iCs/>
          <w:shd w:val="clear" w:color="auto" w:fill="FFFFFF"/>
        </w:rPr>
        <w:t>10</w:t>
      </w:r>
      <w:r>
        <w:rPr>
          <w:rFonts w:ascii="Arial" w:hAnsi="Arial" w:cs="Arial"/>
          <w:shd w:val="clear" w:color="auto" w:fill="FFFFFF"/>
        </w:rPr>
        <w:t>(1), 113-121.</w:t>
      </w:r>
    </w:p>
    <w:p w14:paraId="440948FE" w14:textId="77777777" w:rsidR="004A39DF" w:rsidRDefault="004A39DF">
      <w:pPr>
        <w:ind w:left="400" w:hangingChars="200" w:hanging="400"/>
        <w:jc w:val="both"/>
        <w:rPr>
          <w:rFonts w:ascii="Arial" w:hAnsi="Arial" w:cs="Arial"/>
          <w:shd w:val="clear" w:color="auto" w:fill="FFFFFF"/>
        </w:rPr>
      </w:pPr>
    </w:p>
    <w:p w14:paraId="68ABFAC6" w14:textId="77777777" w:rsidR="004A39DF" w:rsidRDefault="00D9470C">
      <w:pPr>
        <w:pStyle w:val="NormalWeb"/>
        <w:spacing w:beforeAutospacing="0" w:afterAutospacing="0"/>
        <w:ind w:left="400" w:hangingChars="200" w:hanging="400"/>
        <w:jc w:val="both"/>
        <w:rPr>
          <w:rStyle w:val="Hyperlink"/>
          <w:rFonts w:ascii="Arial" w:eastAsia="Segoe UI" w:hAnsi="Arial" w:cs="Arial"/>
          <w:color w:val="auto"/>
          <w:sz w:val="20"/>
          <w:szCs w:val="20"/>
          <w:shd w:val="clear" w:color="auto" w:fill="FFFFFF"/>
        </w:rPr>
      </w:pPr>
      <w:proofErr w:type="spellStart"/>
      <w:r>
        <w:rPr>
          <w:rFonts w:ascii="Arial" w:eastAsia="Arial" w:hAnsi="Arial" w:cs="Arial"/>
          <w:sz w:val="20"/>
          <w:szCs w:val="20"/>
          <w:shd w:val="clear" w:color="auto" w:fill="FFFFFF"/>
        </w:rPr>
        <w:t>Farhadiba</w:t>
      </w:r>
      <w:proofErr w:type="spellEnd"/>
      <w:r>
        <w:rPr>
          <w:rFonts w:ascii="Arial" w:eastAsia="Arial" w:hAnsi="Arial" w:cs="Arial"/>
          <w:sz w:val="20"/>
          <w:szCs w:val="20"/>
          <w:shd w:val="clear" w:color="auto" w:fill="FFFFFF"/>
        </w:rPr>
        <w:t xml:space="preserve">, D., &amp; </w:t>
      </w:r>
      <w:proofErr w:type="spellStart"/>
      <w:r>
        <w:rPr>
          <w:rFonts w:ascii="Arial" w:eastAsia="Arial" w:hAnsi="Arial" w:cs="Arial"/>
          <w:sz w:val="20"/>
          <w:szCs w:val="20"/>
          <w:shd w:val="clear" w:color="auto" w:fill="FFFFFF"/>
        </w:rPr>
        <w:t>Wulyani</w:t>
      </w:r>
      <w:proofErr w:type="spellEnd"/>
      <w:r>
        <w:rPr>
          <w:rFonts w:ascii="Arial" w:eastAsia="Arial" w:hAnsi="Arial" w:cs="Arial"/>
          <w:sz w:val="20"/>
          <w:szCs w:val="20"/>
          <w:shd w:val="clear" w:color="auto" w:fill="FFFFFF"/>
        </w:rPr>
        <w:t>, A.N. (2020). Investigating Preservice Teachers’ Efficacy Level and Factors Influencing It. </w:t>
      </w:r>
      <w:r>
        <w:rPr>
          <w:rStyle w:val="Emphasis"/>
          <w:rFonts w:ascii="Arial" w:eastAsia="Arial" w:hAnsi="Arial" w:cs="Arial"/>
          <w:sz w:val="20"/>
          <w:szCs w:val="20"/>
        </w:rPr>
        <w:t>KnE Social Sciences</w:t>
      </w:r>
      <w:r>
        <w:rPr>
          <w:rFonts w:ascii="Arial" w:eastAsia="Arial" w:hAnsi="Arial" w:cs="Arial"/>
          <w:sz w:val="20"/>
          <w:szCs w:val="20"/>
          <w:shd w:val="clear" w:color="auto" w:fill="FFFFFF"/>
        </w:rPr>
        <w:t>.</w:t>
      </w:r>
      <w:r>
        <w:rPr>
          <w:rFonts w:ascii="Arial" w:eastAsia="Arial" w:hAnsi="Arial" w:cs="Arial"/>
          <w:sz w:val="20"/>
          <w:szCs w:val="20"/>
          <w:shd w:val="clear" w:color="auto" w:fill="FFFFFF"/>
          <w:lang w:val="en-PH"/>
        </w:rPr>
        <w:t xml:space="preserve"> </w:t>
      </w:r>
      <w:hyperlink r:id="rId19" w:history="1">
        <w:r>
          <w:rPr>
            <w:rStyle w:val="Hyperlink"/>
            <w:rFonts w:ascii="Arial" w:eastAsia="Segoe UI" w:hAnsi="Arial" w:cs="Arial"/>
            <w:color w:val="auto"/>
            <w:sz w:val="20"/>
            <w:szCs w:val="20"/>
            <w:shd w:val="clear" w:color="auto" w:fill="FFFFFF"/>
          </w:rPr>
          <w:t>https://doi.org/10.18502/kss.v4i4.6464</w:t>
        </w:r>
      </w:hyperlink>
    </w:p>
    <w:p w14:paraId="2F79DCF8" w14:textId="77777777" w:rsidR="004A39DF" w:rsidRDefault="004A39DF">
      <w:pPr>
        <w:pStyle w:val="NormalWeb"/>
        <w:spacing w:beforeAutospacing="0" w:afterAutospacing="0"/>
        <w:ind w:left="400" w:hangingChars="200" w:hanging="400"/>
        <w:jc w:val="both"/>
        <w:rPr>
          <w:rStyle w:val="Hyperlink"/>
          <w:rFonts w:ascii="Arial" w:eastAsia="Segoe UI" w:hAnsi="Arial" w:cs="Arial"/>
          <w:color w:val="auto"/>
          <w:sz w:val="20"/>
          <w:szCs w:val="20"/>
          <w:shd w:val="clear" w:color="auto" w:fill="FFFFFF"/>
        </w:rPr>
      </w:pPr>
    </w:p>
    <w:p w14:paraId="1B3E0C91" w14:textId="77777777" w:rsidR="004A39DF" w:rsidRDefault="00D9470C">
      <w:pPr>
        <w:ind w:left="400" w:hangingChars="200" w:hanging="400"/>
        <w:jc w:val="both"/>
        <w:rPr>
          <w:rFonts w:ascii="Arial" w:eastAsia="Segoe UI" w:hAnsi="Arial" w:cs="Arial"/>
          <w:shd w:val="clear" w:color="auto" w:fill="FFFFFF"/>
        </w:rPr>
      </w:pPr>
      <w:proofErr w:type="spellStart"/>
      <w:r>
        <w:rPr>
          <w:rFonts w:ascii="Arial" w:eastAsia="SimSun" w:hAnsi="Arial" w:cs="Arial"/>
          <w:shd w:val="clear" w:color="auto" w:fill="FFFFFF"/>
        </w:rPr>
        <w:t>Frouda</w:t>
      </w:r>
      <w:proofErr w:type="spellEnd"/>
      <w:r>
        <w:rPr>
          <w:rFonts w:ascii="Arial" w:eastAsia="SimSun" w:hAnsi="Arial" w:cs="Arial"/>
          <w:shd w:val="clear" w:color="auto" w:fill="FFFFFF"/>
        </w:rPr>
        <w:t xml:space="preserve">, M., Riga, A., </w:t>
      </w:r>
      <w:proofErr w:type="spellStart"/>
      <w:r>
        <w:rPr>
          <w:rFonts w:ascii="Arial" w:eastAsia="SimSun" w:hAnsi="Arial" w:cs="Arial"/>
          <w:shd w:val="clear" w:color="auto" w:fill="FFFFFF"/>
        </w:rPr>
        <w:t>Dotsikas</w:t>
      </w:r>
      <w:proofErr w:type="spellEnd"/>
      <w:r>
        <w:rPr>
          <w:rFonts w:ascii="Arial" w:eastAsia="SimSun" w:hAnsi="Arial" w:cs="Arial"/>
          <w:shd w:val="clear" w:color="auto" w:fill="FFFFFF"/>
        </w:rPr>
        <w:t>, N., &amp; Papagianni, C. (2022). INVESTIGATING STUDENTS'-FUTURE TEACHERS'VIEWS ON THEIR INTERNSHIP: BENEFITS AND</w:t>
      </w:r>
      <w:r>
        <w:rPr>
          <w:rFonts w:ascii="Arial" w:eastAsia="SimSun" w:hAnsi="Arial" w:cs="Arial"/>
          <w:shd w:val="clear" w:color="auto" w:fill="FFFFFF"/>
        </w:rPr>
        <w:t xml:space="preserve"> CHALLENGES. </w:t>
      </w:r>
      <w:r>
        <w:rPr>
          <w:rFonts w:ascii="Arial" w:eastAsia="SimSun" w:hAnsi="Arial" w:cs="Arial"/>
          <w:i/>
          <w:iCs/>
          <w:shd w:val="clear" w:color="auto" w:fill="FFFFFF"/>
        </w:rPr>
        <w:t>European Journal of Special Education Research</w:t>
      </w:r>
      <w:r>
        <w:rPr>
          <w:rFonts w:ascii="Arial" w:eastAsia="SimSun" w:hAnsi="Arial" w:cs="Arial"/>
          <w:shd w:val="clear" w:color="auto" w:fill="FFFFFF"/>
        </w:rPr>
        <w:t>, </w:t>
      </w:r>
      <w:r>
        <w:rPr>
          <w:rFonts w:ascii="Arial" w:eastAsia="SimSun" w:hAnsi="Arial" w:cs="Arial"/>
          <w:i/>
          <w:iCs/>
          <w:shd w:val="clear" w:color="auto" w:fill="FFFFFF"/>
        </w:rPr>
        <w:t>8</w:t>
      </w:r>
      <w:r>
        <w:rPr>
          <w:rFonts w:ascii="Arial" w:eastAsia="SimSun" w:hAnsi="Arial" w:cs="Arial"/>
          <w:shd w:val="clear" w:color="auto" w:fill="FFFFFF"/>
        </w:rPr>
        <w:t>(4</w:t>
      </w:r>
      <w:proofErr w:type="gramStart"/>
      <w:r>
        <w:rPr>
          <w:rFonts w:ascii="Arial" w:eastAsia="SimSun" w:hAnsi="Arial" w:cs="Arial"/>
          <w:shd w:val="clear" w:color="auto" w:fill="FFFFFF"/>
        </w:rPr>
        <w:t>).</w:t>
      </w:r>
      <w:r>
        <w:rPr>
          <w:rFonts w:ascii="Arial" w:eastAsia="Segoe UI" w:hAnsi="Arial" w:cs="Arial"/>
          <w:shd w:val="clear" w:color="auto" w:fill="FFFFFF"/>
        </w:rPr>
        <w:t>https://doi.org/10.46827/ejse.v8i4.4377</w:t>
      </w:r>
      <w:proofErr w:type="gramEnd"/>
    </w:p>
    <w:p w14:paraId="349890C5" w14:textId="77777777" w:rsidR="004A39DF" w:rsidRDefault="004A39DF">
      <w:pPr>
        <w:ind w:left="400" w:hangingChars="200" w:hanging="400"/>
        <w:jc w:val="both"/>
        <w:rPr>
          <w:rFonts w:ascii="Arial" w:eastAsia="Segoe UI" w:hAnsi="Arial" w:cs="Arial"/>
          <w:shd w:val="clear" w:color="auto" w:fill="FFFFFF"/>
        </w:rPr>
      </w:pPr>
    </w:p>
    <w:p w14:paraId="748BF5F1" w14:textId="77777777" w:rsidR="004A39DF" w:rsidRDefault="00D9470C">
      <w:pPr>
        <w:ind w:left="400" w:hangingChars="200" w:hanging="400"/>
        <w:jc w:val="both"/>
        <w:rPr>
          <w:rStyle w:val="Hyperlink"/>
          <w:rFonts w:ascii="Arial" w:hAnsi="Arial" w:cs="Arial"/>
          <w:color w:val="auto"/>
          <w:u w:val="none"/>
        </w:rPr>
      </w:pPr>
      <w:r>
        <w:rPr>
          <w:rFonts w:ascii="Arial" w:hAnsi="Arial" w:cs="Arial"/>
        </w:rPr>
        <w:t xml:space="preserve">Gibson, S., &amp; Dembo, M. (1984). Teacher efficacy: A construct validation. </w:t>
      </w:r>
      <w:r>
        <w:rPr>
          <w:rFonts w:ascii="Arial" w:hAnsi="Arial" w:cs="Arial"/>
          <w:i/>
          <w:iCs/>
        </w:rPr>
        <w:t>Journal of Educational Psychology, 76(4)</w:t>
      </w:r>
      <w:r>
        <w:rPr>
          <w:rFonts w:ascii="Arial" w:hAnsi="Arial" w:cs="Arial"/>
        </w:rPr>
        <w:t xml:space="preserve">, 569−582. </w:t>
      </w:r>
      <w:hyperlink r:id="rId20" w:history="1">
        <w:r>
          <w:rPr>
            <w:rStyle w:val="Hyperlink"/>
            <w:rFonts w:ascii="Arial" w:hAnsi="Arial" w:cs="Arial"/>
            <w:color w:val="auto"/>
            <w:u w:val="none"/>
          </w:rPr>
          <w:t>https://doi.org/10.1037/0022-0663.76.4.569</w:t>
        </w:r>
      </w:hyperlink>
    </w:p>
    <w:p w14:paraId="7022432A" w14:textId="77777777" w:rsidR="004A39DF" w:rsidRDefault="004A39DF">
      <w:pPr>
        <w:ind w:left="400" w:hangingChars="200" w:hanging="400"/>
        <w:jc w:val="both"/>
        <w:rPr>
          <w:rStyle w:val="Hyperlink"/>
          <w:rFonts w:ascii="Arial" w:hAnsi="Arial" w:cs="Arial"/>
          <w:color w:val="auto"/>
          <w:u w:val="none"/>
        </w:rPr>
      </w:pPr>
    </w:p>
    <w:p w14:paraId="04E6B4C8" w14:textId="77777777" w:rsidR="004A39DF" w:rsidRDefault="00D9470C">
      <w:pPr>
        <w:ind w:left="400" w:hangingChars="200" w:hanging="400"/>
        <w:jc w:val="both"/>
        <w:rPr>
          <w:rFonts w:ascii="Arial" w:hAnsi="Arial" w:cs="Arial"/>
          <w:shd w:val="clear" w:color="auto" w:fill="FFFFFF"/>
        </w:rPr>
      </w:pPr>
      <w:r>
        <w:rPr>
          <w:rFonts w:ascii="Arial" w:hAnsi="Arial" w:cs="Arial"/>
          <w:shd w:val="clear" w:color="auto" w:fill="FFFFFF"/>
        </w:rPr>
        <w:t>Gorospe, J. D. (2022). Pre-Service Teachers' Teaching Anxiety, Teaching Self-Efficacy, and Problems Encountered during the Practice Teaching Course. </w:t>
      </w:r>
      <w:r>
        <w:rPr>
          <w:rFonts w:ascii="Arial" w:hAnsi="Arial" w:cs="Arial"/>
          <w:i/>
          <w:iCs/>
          <w:shd w:val="clear" w:color="auto" w:fill="FFFFFF"/>
        </w:rPr>
        <w:t>Journa</w:t>
      </w:r>
      <w:r>
        <w:rPr>
          <w:rFonts w:ascii="Arial" w:hAnsi="Arial" w:cs="Arial"/>
          <w:i/>
          <w:iCs/>
          <w:shd w:val="clear" w:color="auto" w:fill="FFFFFF"/>
        </w:rPr>
        <w:t>l of Education and Learning</w:t>
      </w:r>
      <w:r>
        <w:rPr>
          <w:rFonts w:ascii="Arial" w:hAnsi="Arial" w:cs="Arial"/>
          <w:shd w:val="clear" w:color="auto" w:fill="FFFFFF"/>
        </w:rPr>
        <w:t>, </w:t>
      </w:r>
      <w:r>
        <w:rPr>
          <w:rFonts w:ascii="Arial" w:hAnsi="Arial" w:cs="Arial"/>
          <w:i/>
          <w:iCs/>
          <w:shd w:val="clear" w:color="auto" w:fill="FFFFFF"/>
        </w:rPr>
        <w:t>11</w:t>
      </w:r>
      <w:r>
        <w:rPr>
          <w:rFonts w:ascii="Arial" w:hAnsi="Arial" w:cs="Arial"/>
          <w:shd w:val="clear" w:color="auto" w:fill="FFFFFF"/>
        </w:rPr>
        <w:t>(4), 84-91.</w:t>
      </w:r>
    </w:p>
    <w:p w14:paraId="5F17F1F8" w14:textId="77777777" w:rsidR="004A39DF" w:rsidRDefault="004A39DF">
      <w:pPr>
        <w:ind w:left="400" w:hangingChars="200" w:hanging="400"/>
        <w:jc w:val="both"/>
        <w:rPr>
          <w:rFonts w:ascii="Arial" w:hAnsi="Arial" w:cs="Arial"/>
          <w:shd w:val="clear" w:color="auto" w:fill="FFFFFF"/>
        </w:rPr>
      </w:pPr>
    </w:p>
    <w:p w14:paraId="0903BF35" w14:textId="77777777" w:rsidR="004A39DF" w:rsidRDefault="00D9470C">
      <w:pPr>
        <w:ind w:left="400" w:hangingChars="200" w:hanging="400"/>
        <w:jc w:val="both"/>
        <w:rPr>
          <w:rFonts w:ascii="Arial" w:hAnsi="Arial" w:cs="Arial"/>
          <w:shd w:val="clear" w:color="auto" w:fill="FFFFFF"/>
        </w:rPr>
      </w:pPr>
      <w:r>
        <w:rPr>
          <w:rFonts w:ascii="Arial" w:hAnsi="Arial" w:cs="Arial"/>
          <w:shd w:val="clear" w:color="auto" w:fill="FFFFFF"/>
        </w:rPr>
        <w:t xml:space="preserve">Han, T., &amp; </w:t>
      </w:r>
      <w:proofErr w:type="spellStart"/>
      <w:r>
        <w:rPr>
          <w:rFonts w:ascii="Arial" w:hAnsi="Arial" w:cs="Arial"/>
          <w:shd w:val="clear" w:color="auto" w:fill="FFFFFF"/>
        </w:rPr>
        <w:t>Tulgar</w:t>
      </w:r>
      <w:proofErr w:type="spellEnd"/>
      <w:r>
        <w:rPr>
          <w:rFonts w:ascii="Arial" w:hAnsi="Arial" w:cs="Arial"/>
          <w:shd w:val="clear" w:color="auto" w:fill="FFFFFF"/>
        </w:rPr>
        <w:t>, A. T. (2019). Analysis of the pre-service teachers’ teaching anxiety and coping strategies: A Turkish Elementary School Context. </w:t>
      </w:r>
      <w:r>
        <w:rPr>
          <w:rFonts w:ascii="Arial" w:hAnsi="Arial" w:cs="Arial"/>
          <w:i/>
          <w:iCs/>
          <w:shd w:val="clear" w:color="auto" w:fill="FFFFFF"/>
        </w:rPr>
        <w:t>Gist: Education and Learning Research Journal</w:t>
      </w:r>
      <w:r>
        <w:rPr>
          <w:rFonts w:ascii="Arial" w:hAnsi="Arial" w:cs="Arial"/>
          <w:shd w:val="clear" w:color="auto" w:fill="FFFFFF"/>
        </w:rPr>
        <w:t>, (19), 49-83.</w:t>
      </w:r>
    </w:p>
    <w:p w14:paraId="27E524DE" w14:textId="77777777" w:rsidR="004A39DF" w:rsidRDefault="004A39DF">
      <w:pPr>
        <w:ind w:left="400" w:hangingChars="200" w:hanging="400"/>
        <w:jc w:val="both"/>
        <w:rPr>
          <w:rFonts w:ascii="Arial" w:hAnsi="Arial" w:cs="Arial"/>
          <w:shd w:val="clear" w:color="auto" w:fill="FFFFFF"/>
        </w:rPr>
      </w:pPr>
    </w:p>
    <w:p w14:paraId="1D655E54" w14:textId="77777777" w:rsidR="004A39DF" w:rsidRDefault="00D9470C">
      <w:pPr>
        <w:ind w:left="400" w:hangingChars="200" w:hanging="400"/>
        <w:jc w:val="both"/>
        <w:rPr>
          <w:rFonts w:ascii="Arial" w:hAnsi="Arial" w:cs="Arial"/>
          <w:shd w:val="clear" w:color="auto" w:fill="FFFFFF"/>
        </w:rPr>
      </w:pPr>
      <w:proofErr w:type="spellStart"/>
      <w:r>
        <w:rPr>
          <w:rFonts w:ascii="Arial" w:hAnsi="Arial" w:cs="Arial"/>
          <w:shd w:val="clear" w:color="auto" w:fill="FFFFFF"/>
        </w:rPr>
        <w:t>Haresco</w:t>
      </w:r>
      <w:proofErr w:type="spellEnd"/>
      <w:r>
        <w:rPr>
          <w:rFonts w:ascii="Arial" w:hAnsi="Arial" w:cs="Arial"/>
          <w:shd w:val="clear" w:color="auto" w:fill="FFFFFF"/>
        </w:rPr>
        <w:t>, A. A., &amp; Jose, A. E. S. (2021). Communication skills and disaster preparedness of junior high school students. </w:t>
      </w:r>
      <w:r>
        <w:rPr>
          <w:rFonts w:ascii="Arial" w:hAnsi="Arial" w:cs="Arial"/>
          <w:i/>
          <w:iCs/>
          <w:shd w:val="clear" w:color="auto" w:fill="FFFFFF"/>
        </w:rPr>
        <w:t>Asian Journal of Education and Social Studies</w:t>
      </w:r>
      <w:r>
        <w:rPr>
          <w:rFonts w:ascii="Arial" w:hAnsi="Arial" w:cs="Arial"/>
          <w:shd w:val="clear" w:color="auto" w:fill="FFFFFF"/>
        </w:rPr>
        <w:t>, </w:t>
      </w:r>
      <w:r>
        <w:rPr>
          <w:rFonts w:ascii="Arial" w:hAnsi="Arial" w:cs="Arial"/>
          <w:i/>
          <w:iCs/>
          <w:shd w:val="clear" w:color="auto" w:fill="FFFFFF"/>
        </w:rPr>
        <w:t>20</w:t>
      </w:r>
      <w:r>
        <w:rPr>
          <w:rFonts w:ascii="Arial" w:hAnsi="Arial" w:cs="Arial"/>
          <w:shd w:val="clear" w:color="auto" w:fill="FFFFFF"/>
        </w:rPr>
        <w:t>(1), 21-31.</w:t>
      </w:r>
    </w:p>
    <w:p w14:paraId="546C0B01" w14:textId="77777777" w:rsidR="004A39DF" w:rsidRDefault="004A39DF">
      <w:pPr>
        <w:ind w:left="400" w:hangingChars="200" w:hanging="400"/>
        <w:jc w:val="both"/>
        <w:rPr>
          <w:rFonts w:ascii="Arial" w:hAnsi="Arial" w:cs="Arial"/>
          <w:shd w:val="clear" w:color="auto" w:fill="FFFFFF"/>
        </w:rPr>
      </w:pPr>
    </w:p>
    <w:p w14:paraId="2581FCF3" w14:textId="77777777" w:rsidR="004A39DF" w:rsidRDefault="00D9470C">
      <w:pPr>
        <w:ind w:left="400" w:hangingChars="200" w:hanging="400"/>
        <w:jc w:val="both"/>
        <w:rPr>
          <w:rStyle w:val="Hyperlink"/>
          <w:rFonts w:ascii="Arial" w:hAnsi="Arial" w:cs="Arial"/>
          <w:color w:val="auto"/>
          <w:u w:val="none"/>
        </w:rPr>
      </w:pPr>
      <w:r>
        <w:rPr>
          <w:rFonts w:ascii="Arial" w:hAnsi="Arial" w:cs="Arial"/>
        </w:rPr>
        <w:t>Hart, N. (1987). Student-teacher anxieties: Four measured factors and thei</w:t>
      </w:r>
      <w:r>
        <w:rPr>
          <w:rFonts w:ascii="Arial" w:hAnsi="Arial" w:cs="Arial"/>
        </w:rPr>
        <w:t xml:space="preserve">r relationships to pupil disruption in class. </w:t>
      </w:r>
      <w:r>
        <w:rPr>
          <w:rFonts w:ascii="Arial" w:hAnsi="Arial" w:cs="Arial"/>
          <w:i/>
          <w:iCs/>
        </w:rPr>
        <w:t>Educational Research, 29</w:t>
      </w:r>
      <w:r>
        <w:rPr>
          <w:rFonts w:ascii="Arial" w:hAnsi="Arial" w:cs="Arial"/>
        </w:rPr>
        <w:t xml:space="preserve">, 12−18. </w:t>
      </w:r>
      <w:hyperlink r:id="rId21" w:history="1">
        <w:r>
          <w:rPr>
            <w:rStyle w:val="Hyperlink"/>
            <w:rFonts w:ascii="Arial" w:hAnsi="Arial" w:cs="Arial"/>
            <w:color w:val="auto"/>
            <w:u w:val="none"/>
          </w:rPr>
          <w:t>https://doi.org/10.1080/0013188870290102</w:t>
        </w:r>
      </w:hyperlink>
    </w:p>
    <w:p w14:paraId="73ED4D29" w14:textId="77777777" w:rsidR="004A39DF" w:rsidRDefault="004A39DF">
      <w:pPr>
        <w:ind w:left="400" w:hangingChars="200" w:hanging="400"/>
        <w:jc w:val="both"/>
        <w:rPr>
          <w:rStyle w:val="Hyperlink"/>
          <w:rFonts w:ascii="Arial" w:hAnsi="Arial" w:cs="Arial"/>
          <w:color w:val="auto"/>
          <w:u w:val="none"/>
        </w:rPr>
      </w:pPr>
    </w:p>
    <w:p w14:paraId="50C9F66E" w14:textId="77777777" w:rsidR="004A39DF" w:rsidRDefault="00D9470C">
      <w:pPr>
        <w:pStyle w:val="NormalWeb"/>
        <w:spacing w:beforeAutospacing="0" w:afterAutospacing="0"/>
        <w:ind w:left="400" w:hangingChars="200" w:hanging="400"/>
        <w:jc w:val="both"/>
        <w:rPr>
          <w:rFonts w:ascii="Arial" w:eastAsia="Segoe UI" w:hAnsi="Arial" w:cs="Arial"/>
          <w:sz w:val="20"/>
          <w:szCs w:val="20"/>
          <w:shd w:val="clear" w:color="auto" w:fill="FFFFFF"/>
        </w:rPr>
      </w:pPr>
      <w:r>
        <w:rPr>
          <w:rFonts w:ascii="Arial" w:eastAsia="Arial" w:hAnsi="Arial" w:cs="Arial"/>
          <w:sz w:val="20"/>
          <w:szCs w:val="20"/>
          <w:shd w:val="clear" w:color="auto" w:fill="FFFFFF"/>
        </w:rPr>
        <w:t xml:space="preserve">Hoy, W.K., &amp; Woolfolk, A.E. (1990). Socialization of Student </w:t>
      </w:r>
      <w:proofErr w:type="spellStart"/>
      <w:r>
        <w:rPr>
          <w:rFonts w:ascii="Arial" w:eastAsia="Arial" w:hAnsi="Arial" w:cs="Arial"/>
          <w:sz w:val="20"/>
          <w:szCs w:val="20"/>
          <w:shd w:val="clear" w:color="auto" w:fill="FFFFFF"/>
        </w:rPr>
        <w:t>Teachers.</w:t>
      </w:r>
      <w:r>
        <w:rPr>
          <w:rFonts w:ascii="Arial" w:eastAsia="Segoe UI" w:hAnsi="Arial" w:cs="Arial"/>
          <w:sz w:val="20"/>
          <w:szCs w:val="20"/>
          <w:shd w:val="clear" w:color="auto" w:fill="FFFFFF"/>
        </w:rPr>
        <w:t>https</w:t>
      </w:r>
      <w:proofErr w:type="spellEnd"/>
      <w:r>
        <w:rPr>
          <w:rFonts w:ascii="Arial" w:eastAsia="Segoe UI" w:hAnsi="Arial" w:cs="Arial"/>
          <w:sz w:val="20"/>
          <w:szCs w:val="20"/>
          <w:shd w:val="clear" w:color="auto" w:fill="FFFFFF"/>
        </w:rPr>
        <w:t>://</w:t>
      </w:r>
      <w:r>
        <w:rPr>
          <w:rFonts w:ascii="Arial" w:eastAsia="Segoe UI" w:hAnsi="Arial" w:cs="Arial"/>
          <w:sz w:val="20"/>
          <w:szCs w:val="20"/>
          <w:shd w:val="clear" w:color="auto" w:fill="FFFFFF"/>
        </w:rPr>
        <w:t>doi.org/10.3102/00028312027002279</w:t>
      </w:r>
    </w:p>
    <w:p w14:paraId="61CF2578" w14:textId="77777777" w:rsidR="004A39DF" w:rsidRDefault="00D9470C">
      <w:pPr>
        <w:ind w:left="400" w:hangingChars="200" w:hanging="400"/>
        <w:jc w:val="both"/>
        <w:rPr>
          <w:rFonts w:ascii="Arial" w:eastAsia="Cambria" w:hAnsi="Arial" w:cs="Arial"/>
          <w:lang w:bidi="ar"/>
        </w:rPr>
      </w:pPr>
      <w:r>
        <w:rPr>
          <w:rFonts w:ascii="Arial" w:eastAsia="Cambria" w:hAnsi="Arial" w:cs="Arial"/>
          <w:lang w:bidi="ar"/>
        </w:rPr>
        <w:t>Ismail, S. A. A., &amp; Jarrah, A. M. (2019). Exploring Pre-Service Teachers'</w:t>
      </w:r>
      <w:r>
        <w:rPr>
          <w:rFonts w:ascii="Arial" w:eastAsia="Cambria" w:hAnsi="Arial" w:cs="Arial"/>
          <w:lang w:val="en-PH" w:bidi="ar"/>
        </w:rPr>
        <w:t xml:space="preserve"> </w:t>
      </w:r>
      <w:r>
        <w:rPr>
          <w:rFonts w:ascii="Arial" w:eastAsia="Cambria" w:hAnsi="Arial" w:cs="Arial"/>
          <w:lang w:bidi="ar"/>
        </w:rPr>
        <w:t>Perceptions of Their Pedagogical Preferences, Teaching</w:t>
      </w:r>
      <w:r>
        <w:rPr>
          <w:rFonts w:ascii="Arial" w:eastAsia="Cambria" w:hAnsi="Arial" w:cs="Arial"/>
          <w:lang w:val="en-PH" w:bidi="ar"/>
        </w:rPr>
        <w:t xml:space="preserve"> </w:t>
      </w:r>
      <w:r>
        <w:rPr>
          <w:rFonts w:ascii="Arial" w:eastAsia="Cambria" w:hAnsi="Arial" w:cs="Arial"/>
          <w:lang w:bidi="ar"/>
        </w:rPr>
        <w:t>Competence and</w:t>
      </w:r>
      <w:r>
        <w:rPr>
          <w:rFonts w:ascii="Arial" w:eastAsia="Cambria" w:hAnsi="Arial" w:cs="Arial"/>
          <w:lang w:val="en-PH" w:bidi="ar"/>
        </w:rPr>
        <w:t xml:space="preserve"> </w:t>
      </w:r>
      <w:r>
        <w:rPr>
          <w:rFonts w:ascii="Arial" w:eastAsia="Cambria" w:hAnsi="Arial" w:cs="Arial"/>
          <w:lang w:bidi="ar"/>
        </w:rPr>
        <w:t xml:space="preserve">Motivation. </w:t>
      </w:r>
      <w:r>
        <w:rPr>
          <w:rFonts w:ascii="Arial" w:eastAsia="Cambria" w:hAnsi="Arial" w:cs="Arial"/>
          <w:i/>
          <w:iCs/>
          <w:lang w:bidi="ar"/>
        </w:rPr>
        <w:t>International Journal of Instruction,</w:t>
      </w:r>
      <w:r>
        <w:rPr>
          <w:rFonts w:ascii="Arial" w:eastAsia="Cambria" w:hAnsi="Arial" w:cs="Arial"/>
          <w:lang w:bidi="ar"/>
        </w:rPr>
        <w:t xml:space="preserve"> 12(1), 493-510 </w:t>
      </w:r>
    </w:p>
    <w:p w14:paraId="449F6883" w14:textId="77777777" w:rsidR="004A39DF" w:rsidRDefault="004A39DF">
      <w:pPr>
        <w:ind w:left="400" w:hangingChars="200" w:hanging="400"/>
        <w:jc w:val="both"/>
        <w:rPr>
          <w:rFonts w:ascii="Arial" w:eastAsia="Cambria" w:hAnsi="Arial" w:cs="Arial"/>
          <w:lang w:bidi="ar"/>
        </w:rPr>
      </w:pPr>
    </w:p>
    <w:p w14:paraId="3E12CEFD" w14:textId="77777777" w:rsidR="004A39DF" w:rsidRDefault="00D9470C">
      <w:pPr>
        <w:ind w:left="400" w:hangingChars="200" w:hanging="400"/>
        <w:jc w:val="both"/>
        <w:rPr>
          <w:rFonts w:ascii="Arial" w:hAnsi="Arial" w:cs="Arial"/>
        </w:rPr>
      </w:pPr>
      <w:r>
        <w:rPr>
          <w:rFonts w:ascii="Arial" w:hAnsi="Arial" w:cs="Arial"/>
        </w:rPr>
        <w:t xml:space="preserve">Johnson, B. (2001). Toward a new classification of non-experimental quantitative research. </w:t>
      </w:r>
      <w:r>
        <w:rPr>
          <w:rFonts w:ascii="Arial" w:hAnsi="Arial" w:cs="Arial"/>
          <w:i/>
          <w:iCs/>
        </w:rPr>
        <w:t>Educational Researcher</w:t>
      </w:r>
      <w:r>
        <w:rPr>
          <w:rFonts w:ascii="Arial" w:hAnsi="Arial" w:cs="Arial"/>
        </w:rPr>
        <w:t>, 30(2), 3-13. doi:10.3102/0013189X030002003</w:t>
      </w:r>
    </w:p>
    <w:p w14:paraId="7948BD5A" w14:textId="77777777" w:rsidR="004A39DF" w:rsidRDefault="004A39DF">
      <w:pPr>
        <w:ind w:left="400" w:hangingChars="200" w:hanging="400"/>
        <w:jc w:val="both"/>
        <w:rPr>
          <w:rFonts w:ascii="Arial" w:hAnsi="Arial" w:cs="Arial"/>
        </w:rPr>
      </w:pPr>
    </w:p>
    <w:p w14:paraId="490733C9" w14:textId="77777777" w:rsidR="004A39DF" w:rsidRDefault="00D9470C">
      <w:pPr>
        <w:ind w:left="400" w:hangingChars="200" w:hanging="400"/>
        <w:jc w:val="both"/>
        <w:rPr>
          <w:rFonts w:ascii="Arial" w:eastAsia="Segoe UI" w:hAnsi="Arial" w:cs="Arial"/>
          <w:shd w:val="clear" w:color="auto" w:fill="FFFFFF"/>
        </w:rPr>
      </w:pPr>
      <w:r>
        <w:rPr>
          <w:rFonts w:ascii="Arial" w:eastAsia="SimSun" w:hAnsi="Arial" w:cs="Arial"/>
          <w:shd w:val="clear" w:color="auto" w:fill="FFFFFF"/>
        </w:rPr>
        <w:t>Karsli, V., &amp; YAĞIZ, O. (2022). Examination of the pre-service teachers' experiences and percepti</w:t>
      </w:r>
      <w:r>
        <w:rPr>
          <w:rFonts w:ascii="Arial" w:eastAsia="SimSun" w:hAnsi="Arial" w:cs="Arial"/>
          <w:shd w:val="clear" w:color="auto" w:fill="FFFFFF"/>
        </w:rPr>
        <w:t>ons on teaching practices: English language teaching case. </w:t>
      </w:r>
      <w:r>
        <w:rPr>
          <w:rFonts w:ascii="Arial" w:eastAsia="SimSun" w:hAnsi="Arial" w:cs="Arial"/>
          <w:i/>
          <w:iCs/>
          <w:shd w:val="clear" w:color="auto" w:fill="FFFFFF"/>
        </w:rPr>
        <w:t>Arab World English Journal</w:t>
      </w:r>
      <w:r>
        <w:rPr>
          <w:rFonts w:ascii="Arial" w:eastAsia="SimSun" w:hAnsi="Arial" w:cs="Arial"/>
          <w:shd w:val="clear" w:color="auto" w:fill="FFFFFF"/>
        </w:rPr>
        <w:t>, </w:t>
      </w:r>
      <w:r>
        <w:rPr>
          <w:rFonts w:ascii="Arial" w:eastAsia="SimSun" w:hAnsi="Arial" w:cs="Arial"/>
          <w:i/>
          <w:iCs/>
          <w:shd w:val="clear" w:color="auto" w:fill="FFFFFF"/>
        </w:rPr>
        <w:t>13</w:t>
      </w:r>
      <w:r>
        <w:rPr>
          <w:rFonts w:ascii="Arial" w:eastAsia="SimSun" w:hAnsi="Arial" w:cs="Arial"/>
          <w:shd w:val="clear" w:color="auto" w:fill="FFFFFF"/>
        </w:rPr>
        <w:t>(2</w:t>
      </w:r>
      <w:proofErr w:type="gramStart"/>
      <w:r>
        <w:rPr>
          <w:rFonts w:ascii="Arial" w:eastAsia="SimSun" w:hAnsi="Arial" w:cs="Arial"/>
          <w:shd w:val="clear" w:color="auto" w:fill="FFFFFF"/>
        </w:rPr>
        <w:t>).</w:t>
      </w:r>
      <w:r>
        <w:rPr>
          <w:rFonts w:ascii="Arial" w:eastAsia="Segoe UI" w:hAnsi="Arial" w:cs="Arial"/>
          <w:shd w:val="clear" w:color="auto" w:fill="FFFFFF"/>
        </w:rPr>
        <w:t>https://doi.org/10.24093/</w:t>
      </w:r>
      <w:proofErr w:type="spellStart"/>
      <w:r>
        <w:rPr>
          <w:rFonts w:ascii="Arial" w:eastAsia="Segoe UI" w:hAnsi="Arial" w:cs="Arial"/>
          <w:shd w:val="clear" w:color="auto" w:fill="FFFFFF"/>
        </w:rPr>
        <w:t>awej</w:t>
      </w:r>
      <w:proofErr w:type="spellEnd"/>
      <w:r>
        <w:rPr>
          <w:rFonts w:ascii="Arial" w:eastAsia="Segoe UI" w:hAnsi="Arial" w:cs="Arial"/>
          <w:shd w:val="clear" w:color="auto" w:fill="FFFFFF"/>
        </w:rPr>
        <w:t>/vol13no2.6</w:t>
      </w:r>
      <w:proofErr w:type="gramEnd"/>
    </w:p>
    <w:p w14:paraId="2FCAB862" w14:textId="77777777" w:rsidR="004A39DF" w:rsidRDefault="004A39DF">
      <w:pPr>
        <w:ind w:left="400" w:hangingChars="200" w:hanging="400"/>
        <w:jc w:val="both"/>
        <w:rPr>
          <w:rFonts w:ascii="Arial" w:eastAsia="Segoe UI" w:hAnsi="Arial" w:cs="Arial"/>
          <w:shd w:val="clear" w:color="auto" w:fill="FFFFFF"/>
        </w:rPr>
      </w:pPr>
    </w:p>
    <w:p w14:paraId="54632F11" w14:textId="77777777" w:rsidR="004A39DF" w:rsidRDefault="00D9470C">
      <w:pPr>
        <w:ind w:left="400" w:hangingChars="200" w:hanging="400"/>
        <w:jc w:val="both"/>
        <w:rPr>
          <w:rStyle w:val="Hyperlink"/>
          <w:rFonts w:ascii="Arial" w:eastAsia="Segoe UI" w:hAnsi="Arial" w:cs="Arial"/>
          <w:color w:val="auto"/>
          <w:shd w:val="clear" w:color="auto" w:fill="FFFFFF"/>
        </w:rPr>
      </w:pPr>
      <w:r>
        <w:rPr>
          <w:rFonts w:ascii="Arial" w:eastAsia="Arial" w:hAnsi="Arial" w:cs="Arial"/>
          <w:shd w:val="clear" w:color="auto" w:fill="FFFFFF"/>
        </w:rPr>
        <w:t xml:space="preserve">Keese, J., Waxman, H.C., &amp; Kelly, L.J. (2021). Ready and Able? Perceptions of Confidence and Teaching Support for </w:t>
      </w:r>
      <w:r>
        <w:rPr>
          <w:rFonts w:ascii="Arial" w:eastAsia="Arial" w:hAnsi="Arial" w:cs="Arial"/>
          <w:shd w:val="clear" w:color="auto" w:fill="FFFFFF"/>
        </w:rPr>
        <w:t>First-Year Alternatively Certified Teachers. </w:t>
      </w:r>
      <w:r>
        <w:rPr>
          <w:rStyle w:val="Emphasis"/>
          <w:rFonts w:ascii="Arial" w:eastAsia="Arial" w:hAnsi="Arial" w:cs="Arial"/>
        </w:rPr>
        <w:t>The Teacher Educator, 57</w:t>
      </w:r>
      <w:r>
        <w:rPr>
          <w:rFonts w:ascii="Arial" w:eastAsia="Arial" w:hAnsi="Arial" w:cs="Arial"/>
          <w:shd w:val="clear" w:color="auto" w:fill="FFFFFF"/>
        </w:rPr>
        <w:t>, 280 - 303.</w:t>
      </w:r>
      <w:r>
        <w:rPr>
          <w:rFonts w:ascii="Arial" w:eastAsia="Arial" w:hAnsi="Arial" w:cs="Arial"/>
          <w:shd w:val="clear" w:color="auto" w:fill="FFFFFF"/>
          <w:lang w:val="en-PH"/>
        </w:rPr>
        <w:t xml:space="preserve"> </w:t>
      </w:r>
      <w:hyperlink r:id="rId22" w:history="1">
        <w:r>
          <w:rPr>
            <w:rStyle w:val="Hyperlink"/>
            <w:rFonts w:ascii="Arial" w:eastAsia="Segoe UI" w:hAnsi="Arial" w:cs="Arial"/>
            <w:color w:val="auto"/>
            <w:shd w:val="clear" w:color="auto" w:fill="FFFFFF"/>
          </w:rPr>
          <w:t>https://doi.org/10.1080/08878730.2021.2003496</w:t>
        </w:r>
      </w:hyperlink>
    </w:p>
    <w:p w14:paraId="3BB99452" w14:textId="77777777" w:rsidR="004A39DF" w:rsidRDefault="004A39DF">
      <w:pPr>
        <w:ind w:left="400" w:hangingChars="200" w:hanging="400"/>
        <w:jc w:val="both"/>
        <w:rPr>
          <w:rStyle w:val="Hyperlink"/>
          <w:rFonts w:ascii="Arial" w:eastAsia="Segoe UI" w:hAnsi="Arial" w:cs="Arial"/>
          <w:color w:val="auto"/>
          <w:shd w:val="clear" w:color="auto" w:fill="FFFFFF"/>
        </w:rPr>
      </w:pPr>
    </w:p>
    <w:p w14:paraId="7F314576" w14:textId="77777777" w:rsidR="004A39DF" w:rsidRDefault="00D9470C">
      <w:pPr>
        <w:ind w:left="400" w:hangingChars="200" w:hanging="400"/>
        <w:jc w:val="both"/>
        <w:rPr>
          <w:rFonts w:ascii="Arial" w:eastAsia="Segoe UI" w:hAnsi="Arial" w:cs="Arial"/>
          <w:shd w:val="clear" w:color="auto" w:fill="FFFFFF"/>
        </w:rPr>
      </w:pPr>
      <w:r>
        <w:rPr>
          <w:rFonts w:ascii="Arial" w:eastAsia="SimSun" w:hAnsi="Arial" w:cs="Arial"/>
          <w:shd w:val="clear" w:color="auto" w:fill="FFFFFF"/>
        </w:rPr>
        <w:t>Kim, C. M., Kim, M. J., Youn, H. S., &amp; Jung, J. H. (2023). Explor</w:t>
      </w:r>
      <w:r>
        <w:rPr>
          <w:rFonts w:ascii="Arial" w:eastAsia="SimSun" w:hAnsi="Arial" w:cs="Arial"/>
          <w:shd w:val="clear" w:color="auto" w:fill="FFFFFF"/>
        </w:rPr>
        <w:t>ing skills in observing teaching competency through video evaluation of class demonstrations by pre-service physical education teachers. </w:t>
      </w:r>
      <w:r>
        <w:rPr>
          <w:rFonts w:ascii="Arial" w:eastAsia="SimSun" w:hAnsi="Arial" w:cs="Arial"/>
          <w:i/>
          <w:iCs/>
          <w:shd w:val="clear" w:color="auto" w:fill="FFFFFF"/>
        </w:rPr>
        <w:t>Sustainability</w:t>
      </w:r>
      <w:r>
        <w:rPr>
          <w:rFonts w:ascii="Arial" w:eastAsia="SimSun" w:hAnsi="Arial" w:cs="Arial"/>
          <w:shd w:val="clear" w:color="auto" w:fill="FFFFFF"/>
        </w:rPr>
        <w:t>, </w:t>
      </w:r>
      <w:r>
        <w:rPr>
          <w:rFonts w:ascii="Arial" w:eastAsia="SimSun" w:hAnsi="Arial" w:cs="Arial"/>
          <w:i/>
          <w:iCs/>
          <w:shd w:val="clear" w:color="auto" w:fill="FFFFFF"/>
        </w:rPr>
        <w:t>15</w:t>
      </w:r>
      <w:r>
        <w:rPr>
          <w:rFonts w:ascii="Arial" w:eastAsia="SimSun" w:hAnsi="Arial" w:cs="Arial"/>
          <w:shd w:val="clear" w:color="auto" w:fill="FFFFFF"/>
        </w:rPr>
        <w:t>(3), 2183.</w:t>
      </w:r>
      <w:r>
        <w:rPr>
          <w:rFonts w:ascii="Arial" w:eastAsia="Segoe UI" w:hAnsi="Arial" w:cs="Arial"/>
          <w:shd w:val="clear" w:color="auto" w:fill="FFFFFF"/>
        </w:rPr>
        <w:t>https://doi.org/10.3390/su15032183</w:t>
      </w:r>
    </w:p>
    <w:p w14:paraId="51ADA09B" w14:textId="77777777" w:rsidR="004A39DF" w:rsidRDefault="004A39DF">
      <w:pPr>
        <w:ind w:left="400" w:hangingChars="200" w:hanging="400"/>
        <w:jc w:val="both"/>
        <w:rPr>
          <w:rFonts w:ascii="Arial" w:eastAsia="Segoe UI" w:hAnsi="Arial" w:cs="Arial"/>
          <w:shd w:val="clear" w:color="auto" w:fill="FFFFFF"/>
        </w:rPr>
      </w:pPr>
    </w:p>
    <w:p w14:paraId="35D0B722" w14:textId="77777777" w:rsidR="004A39DF" w:rsidRDefault="00D9470C">
      <w:pPr>
        <w:ind w:left="400" w:hangingChars="200" w:hanging="400"/>
        <w:jc w:val="both"/>
        <w:rPr>
          <w:rFonts w:ascii="Arial" w:hAnsi="Arial" w:cs="Arial"/>
        </w:rPr>
      </w:pPr>
      <w:r>
        <w:rPr>
          <w:rFonts w:ascii="Arial" w:eastAsia="Arial" w:hAnsi="Arial" w:cs="Arial"/>
          <w:shd w:val="clear" w:color="auto" w:fill="FFFFFF"/>
        </w:rPr>
        <w:t>Kim, T., &amp; Kim, Y. (2024). The interplay of teacher res</w:t>
      </w:r>
      <w:r>
        <w:rPr>
          <w:rFonts w:ascii="Arial" w:eastAsia="Arial" w:hAnsi="Arial" w:cs="Arial"/>
          <w:shd w:val="clear" w:color="auto" w:fill="FFFFFF"/>
        </w:rPr>
        <w:t>ilience and professional development: The case of two beginning EFL teachers in South Korea. </w:t>
      </w:r>
      <w:r>
        <w:rPr>
          <w:rStyle w:val="Emphasis"/>
          <w:rFonts w:ascii="Arial" w:eastAsia="Arial" w:hAnsi="Arial" w:cs="Arial"/>
        </w:rPr>
        <w:t xml:space="preserve">Porta </w:t>
      </w:r>
      <w:proofErr w:type="spellStart"/>
      <w:r>
        <w:rPr>
          <w:rStyle w:val="Emphasis"/>
          <w:rFonts w:ascii="Arial" w:eastAsia="Arial" w:hAnsi="Arial" w:cs="Arial"/>
        </w:rPr>
        <w:t>Linguarum</w:t>
      </w:r>
      <w:proofErr w:type="spellEnd"/>
      <w:r>
        <w:rPr>
          <w:rStyle w:val="Emphasis"/>
          <w:rFonts w:ascii="Arial" w:eastAsia="Arial" w:hAnsi="Arial" w:cs="Arial"/>
        </w:rPr>
        <w:t xml:space="preserve"> </w:t>
      </w:r>
      <w:proofErr w:type="spellStart"/>
      <w:r>
        <w:rPr>
          <w:rStyle w:val="Emphasis"/>
          <w:rFonts w:ascii="Arial" w:eastAsia="Arial" w:hAnsi="Arial" w:cs="Arial"/>
        </w:rPr>
        <w:t>Revista</w:t>
      </w:r>
      <w:proofErr w:type="spellEnd"/>
      <w:r>
        <w:rPr>
          <w:rStyle w:val="Emphasis"/>
          <w:rFonts w:ascii="Arial" w:eastAsia="Arial" w:hAnsi="Arial" w:cs="Arial"/>
        </w:rPr>
        <w:t xml:space="preserve"> </w:t>
      </w:r>
      <w:proofErr w:type="spellStart"/>
      <w:r>
        <w:rPr>
          <w:rStyle w:val="Emphasis"/>
          <w:rFonts w:ascii="Arial" w:eastAsia="Arial" w:hAnsi="Arial" w:cs="Arial"/>
        </w:rPr>
        <w:t>Interuniversitaria</w:t>
      </w:r>
      <w:proofErr w:type="spellEnd"/>
      <w:r>
        <w:rPr>
          <w:rStyle w:val="Emphasis"/>
          <w:rFonts w:ascii="Arial" w:eastAsia="Arial" w:hAnsi="Arial" w:cs="Arial"/>
        </w:rPr>
        <w:t xml:space="preserve"> de </w:t>
      </w:r>
      <w:proofErr w:type="spellStart"/>
      <w:r>
        <w:rPr>
          <w:rStyle w:val="Emphasis"/>
          <w:rFonts w:ascii="Arial" w:eastAsia="Arial" w:hAnsi="Arial" w:cs="Arial"/>
        </w:rPr>
        <w:t>Didáctica</w:t>
      </w:r>
      <w:proofErr w:type="spellEnd"/>
      <w:r>
        <w:rPr>
          <w:rStyle w:val="Emphasis"/>
          <w:rFonts w:ascii="Arial" w:eastAsia="Arial" w:hAnsi="Arial" w:cs="Arial"/>
        </w:rPr>
        <w:t xml:space="preserve"> de las </w:t>
      </w:r>
      <w:proofErr w:type="spellStart"/>
      <w:r>
        <w:rPr>
          <w:rStyle w:val="Emphasis"/>
          <w:rFonts w:ascii="Arial" w:eastAsia="Arial" w:hAnsi="Arial" w:cs="Arial"/>
        </w:rPr>
        <w:t>Lenguas</w:t>
      </w:r>
      <w:proofErr w:type="spellEnd"/>
      <w:r>
        <w:rPr>
          <w:rStyle w:val="Emphasis"/>
          <w:rFonts w:ascii="Arial" w:eastAsia="Arial" w:hAnsi="Arial" w:cs="Arial"/>
        </w:rPr>
        <w:t xml:space="preserve"> Extranjeras</w:t>
      </w:r>
      <w:r>
        <w:rPr>
          <w:rFonts w:ascii="Arial" w:eastAsia="Arial" w:hAnsi="Arial" w:cs="Arial"/>
          <w:shd w:val="clear" w:color="auto" w:fill="FFFFFF"/>
        </w:rPr>
        <w:t>.</w:t>
      </w:r>
      <w:r>
        <w:rPr>
          <w:rFonts w:ascii="Arial" w:eastAsia="Segoe UI" w:hAnsi="Arial" w:cs="Arial"/>
          <w:shd w:val="clear" w:color="auto" w:fill="FFFFFF"/>
        </w:rPr>
        <w:t>10.30827/portalin.viix.29889</w:t>
      </w:r>
      <w:r>
        <w:rPr>
          <w:rFonts w:ascii="Arial" w:hAnsi="Arial" w:cs="Arial"/>
          <w:lang w:val="en-PH"/>
        </w:rPr>
        <w:t>.</w:t>
      </w:r>
      <w:r>
        <w:rPr>
          <w:rFonts w:ascii="Arial" w:hAnsi="Arial" w:cs="Arial"/>
        </w:rPr>
        <w:t xml:space="preserve"> </w:t>
      </w:r>
    </w:p>
    <w:p w14:paraId="61F537D3" w14:textId="77777777" w:rsidR="004A39DF" w:rsidRDefault="004A39DF">
      <w:pPr>
        <w:ind w:left="400" w:hangingChars="200" w:hanging="400"/>
        <w:jc w:val="both"/>
        <w:rPr>
          <w:rFonts w:ascii="Arial" w:hAnsi="Arial" w:cs="Arial"/>
        </w:rPr>
      </w:pPr>
    </w:p>
    <w:p w14:paraId="2A274109" w14:textId="77777777" w:rsidR="004A39DF" w:rsidRDefault="00D9470C">
      <w:pPr>
        <w:ind w:left="400" w:hangingChars="200" w:hanging="400"/>
        <w:jc w:val="both"/>
        <w:rPr>
          <w:rFonts w:ascii="Arial" w:eastAsia="Segoe UI" w:hAnsi="Arial" w:cs="Arial"/>
          <w:shd w:val="clear" w:color="auto" w:fill="FFFFFF"/>
        </w:rPr>
      </w:pPr>
      <w:proofErr w:type="spellStart"/>
      <w:r>
        <w:rPr>
          <w:rFonts w:ascii="Arial" w:hAnsi="Arial" w:cs="Arial"/>
          <w:shd w:val="clear" w:color="auto" w:fill="FFFFFF"/>
        </w:rPr>
        <w:t>Krepf</w:t>
      </w:r>
      <w:proofErr w:type="spellEnd"/>
      <w:r>
        <w:rPr>
          <w:rFonts w:ascii="Arial" w:hAnsi="Arial" w:cs="Arial"/>
          <w:shd w:val="clear" w:color="auto" w:fill="FFFFFF"/>
        </w:rPr>
        <w:t xml:space="preserve">, M., &amp; König, J. (2022). Structuring </w:t>
      </w:r>
      <w:r>
        <w:rPr>
          <w:rFonts w:ascii="Arial" w:hAnsi="Arial" w:cs="Arial"/>
          <w:shd w:val="clear" w:color="auto" w:fill="FFFFFF"/>
        </w:rPr>
        <w:t>lessons as an aspect of pre-service teachers’ planning competence: A scaling-up analysis. </w:t>
      </w:r>
      <w:proofErr w:type="spellStart"/>
      <w:r>
        <w:rPr>
          <w:rFonts w:ascii="Arial" w:hAnsi="Arial" w:cs="Arial"/>
          <w:i/>
          <w:iCs/>
          <w:shd w:val="clear" w:color="auto" w:fill="FFFFFF"/>
        </w:rPr>
        <w:t>Zeitschrift</w:t>
      </w:r>
      <w:proofErr w:type="spellEnd"/>
      <w:r>
        <w:rPr>
          <w:rFonts w:ascii="Arial" w:hAnsi="Arial" w:cs="Arial"/>
          <w:i/>
          <w:iCs/>
          <w:shd w:val="clear" w:color="auto" w:fill="FFFFFF"/>
        </w:rPr>
        <w:t xml:space="preserve"> </w:t>
      </w:r>
      <w:proofErr w:type="spellStart"/>
      <w:r>
        <w:rPr>
          <w:rFonts w:ascii="Arial" w:hAnsi="Arial" w:cs="Arial"/>
          <w:i/>
          <w:iCs/>
          <w:shd w:val="clear" w:color="auto" w:fill="FFFFFF"/>
        </w:rPr>
        <w:t>für</w:t>
      </w:r>
      <w:proofErr w:type="spellEnd"/>
      <w:r>
        <w:rPr>
          <w:rFonts w:ascii="Arial" w:hAnsi="Arial" w:cs="Arial"/>
          <w:i/>
          <w:iCs/>
          <w:shd w:val="clear" w:color="auto" w:fill="FFFFFF"/>
        </w:rPr>
        <w:t xml:space="preserve"> </w:t>
      </w:r>
      <w:proofErr w:type="spellStart"/>
      <w:r>
        <w:rPr>
          <w:rFonts w:ascii="Arial" w:hAnsi="Arial" w:cs="Arial"/>
          <w:i/>
          <w:iCs/>
          <w:shd w:val="clear" w:color="auto" w:fill="FFFFFF"/>
        </w:rPr>
        <w:t>Erziehungswissenschaft</w:t>
      </w:r>
      <w:proofErr w:type="spellEnd"/>
      <w:r>
        <w:rPr>
          <w:rFonts w:ascii="Arial" w:hAnsi="Arial" w:cs="Arial"/>
          <w:shd w:val="clear" w:color="auto" w:fill="FFFFFF"/>
        </w:rPr>
        <w:t>, </w:t>
      </w:r>
      <w:r>
        <w:rPr>
          <w:rFonts w:ascii="Arial" w:hAnsi="Arial" w:cs="Arial"/>
          <w:i/>
          <w:iCs/>
          <w:shd w:val="clear" w:color="auto" w:fill="FFFFFF"/>
        </w:rPr>
        <w:t>25</w:t>
      </w:r>
      <w:r>
        <w:rPr>
          <w:rFonts w:ascii="Arial" w:hAnsi="Arial" w:cs="Arial"/>
          <w:shd w:val="clear" w:color="auto" w:fill="FFFFFF"/>
        </w:rPr>
        <w:t>(4), 917-946.</w:t>
      </w:r>
      <w:r>
        <w:rPr>
          <w:rFonts w:ascii="Arial" w:eastAsia="Segoe UI" w:hAnsi="Arial" w:cs="Arial"/>
          <w:shd w:val="clear" w:color="auto" w:fill="FFFFFF"/>
        </w:rPr>
        <w:t>https://doi.org/10.1007/s11618-022-01125-9</w:t>
      </w:r>
    </w:p>
    <w:p w14:paraId="7B776D68" w14:textId="77777777" w:rsidR="004A39DF" w:rsidRDefault="004A39DF">
      <w:pPr>
        <w:ind w:left="400" w:hangingChars="200" w:hanging="400"/>
        <w:jc w:val="both"/>
        <w:rPr>
          <w:rFonts w:ascii="Arial" w:eastAsia="Segoe UI" w:hAnsi="Arial" w:cs="Arial"/>
          <w:shd w:val="clear" w:color="auto" w:fill="FFFFFF"/>
        </w:rPr>
      </w:pPr>
    </w:p>
    <w:p w14:paraId="1DF6E05B" w14:textId="77777777" w:rsidR="004A39DF" w:rsidRDefault="00D9470C">
      <w:pPr>
        <w:ind w:left="400" w:hangingChars="200" w:hanging="400"/>
        <w:jc w:val="both"/>
        <w:rPr>
          <w:rFonts w:ascii="Arial" w:eastAsia="Segoe UI" w:hAnsi="Arial" w:cs="Arial"/>
          <w:shd w:val="clear" w:color="auto" w:fill="FFFFFF"/>
        </w:rPr>
      </w:pPr>
      <w:r>
        <w:rPr>
          <w:rFonts w:ascii="Arial" w:hAnsi="Arial" w:cs="Arial"/>
          <w:shd w:val="clear" w:color="auto" w:fill="FFFFFF"/>
        </w:rPr>
        <w:t xml:space="preserve">Legaspi, J. A., &amp; </w:t>
      </w:r>
      <w:proofErr w:type="spellStart"/>
      <w:r>
        <w:rPr>
          <w:rFonts w:ascii="Arial" w:hAnsi="Arial" w:cs="Arial"/>
          <w:shd w:val="clear" w:color="auto" w:fill="FFFFFF"/>
        </w:rPr>
        <w:t>Brobo</w:t>
      </w:r>
      <w:proofErr w:type="spellEnd"/>
      <w:r>
        <w:rPr>
          <w:rFonts w:ascii="Arial" w:hAnsi="Arial" w:cs="Arial"/>
          <w:shd w:val="clear" w:color="auto" w:fill="FFFFFF"/>
        </w:rPr>
        <w:t>, M. A. (2023). Classroom Management Practic</w:t>
      </w:r>
      <w:r>
        <w:rPr>
          <w:rFonts w:ascii="Arial" w:hAnsi="Arial" w:cs="Arial"/>
          <w:shd w:val="clear" w:color="auto" w:fill="FFFFFF"/>
        </w:rPr>
        <w:t>es and Teachers’ Performances. </w:t>
      </w:r>
      <w:r>
        <w:rPr>
          <w:rFonts w:ascii="Arial" w:hAnsi="Arial" w:cs="Arial"/>
          <w:i/>
          <w:iCs/>
          <w:shd w:val="clear" w:color="auto" w:fill="FFFFFF"/>
        </w:rPr>
        <w:t>Classroom Management Practices and Teachers’ Performances</w:t>
      </w:r>
      <w:r>
        <w:rPr>
          <w:rFonts w:ascii="Arial" w:hAnsi="Arial" w:cs="Arial"/>
          <w:shd w:val="clear" w:color="auto" w:fill="FFFFFF"/>
        </w:rPr>
        <w:t>, </w:t>
      </w:r>
      <w:r>
        <w:rPr>
          <w:rFonts w:ascii="Arial" w:hAnsi="Arial" w:cs="Arial"/>
          <w:i/>
          <w:iCs/>
          <w:shd w:val="clear" w:color="auto" w:fill="FFFFFF"/>
        </w:rPr>
        <w:t>128</w:t>
      </w:r>
      <w:r>
        <w:rPr>
          <w:rFonts w:ascii="Arial" w:hAnsi="Arial" w:cs="Arial"/>
          <w:shd w:val="clear" w:color="auto" w:fill="FFFFFF"/>
        </w:rPr>
        <w:t>(1), 14-</w:t>
      </w:r>
      <w:proofErr w:type="gramStart"/>
      <w:r>
        <w:rPr>
          <w:rFonts w:ascii="Arial" w:hAnsi="Arial" w:cs="Arial"/>
          <w:shd w:val="clear" w:color="auto" w:fill="FFFFFF"/>
        </w:rPr>
        <w:t>14.</w:t>
      </w:r>
      <w:r>
        <w:rPr>
          <w:rFonts w:ascii="Arial" w:eastAsia="Segoe UI" w:hAnsi="Arial" w:cs="Arial"/>
          <w:shd w:val="clear" w:color="auto" w:fill="FFFFFF"/>
        </w:rPr>
        <w:t>https://doi.org/10.47119/ijrp1001281720235224</w:t>
      </w:r>
      <w:proofErr w:type="gramEnd"/>
    </w:p>
    <w:p w14:paraId="2A9B2D0E" w14:textId="77777777" w:rsidR="004A39DF" w:rsidRDefault="004A39DF">
      <w:pPr>
        <w:ind w:left="400" w:hangingChars="200" w:hanging="400"/>
        <w:jc w:val="both"/>
        <w:rPr>
          <w:rFonts w:ascii="Arial" w:eastAsia="Segoe UI" w:hAnsi="Arial" w:cs="Arial"/>
          <w:shd w:val="clear" w:color="auto" w:fill="FFFFFF"/>
        </w:rPr>
      </w:pPr>
    </w:p>
    <w:p w14:paraId="0EDDF097" w14:textId="77777777" w:rsidR="004A39DF" w:rsidRDefault="00D9470C">
      <w:pPr>
        <w:ind w:left="400" w:hangingChars="200" w:hanging="400"/>
        <w:jc w:val="both"/>
        <w:rPr>
          <w:rStyle w:val="Hyperlink"/>
          <w:rFonts w:ascii="Arial" w:eastAsia="Segoe UI" w:hAnsi="Arial" w:cs="Arial"/>
          <w:color w:val="auto"/>
          <w:shd w:val="clear" w:color="auto" w:fill="FFFFFF"/>
        </w:rPr>
      </w:pPr>
      <w:r>
        <w:rPr>
          <w:rFonts w:ascii="Arial" w:hAnsi="Arial" w:cs="Arial"/>
          <w:shd w:val="clear" w:color="auto" w:fill="FFFFFF"/>
        </w:rPr>
        <w:t>Li, Q., Xie, Z., &amp; Zeng, G. (2023). The influence of teaching practicum on foreign language teaching anxi</w:t>
      </w:r>
      <w:r>
        <w:rPr>
          <w:rFonts w:ascii="Arial" w:hAnsi="Arial" w:cs="Arial"/>
          <w:shd w:val="clear" w:color="auto" w:fill="FFFFFF"/>
        </w:rPr>
        <w:t>ety among pre-service EFL teachers. </w:t>
      </w:r>
      <w:r>
        <w:rPr>
          <w:rFonts w:ascii="Arial" w:hAnsi="Arial" w:cs="Arial"/>
          <w:i/>
          <w:iCs/>
          <w:shd w:val="clear" w:color="auto" w:fill="FFFFFF"/>
        </w:rPr>
        <w:t>Sage Open</w:t>
      </w:r>
      <w:r>
        <w:rPr>
          <w:rFonts w:ascii="Arial" w:hAnsi="Arial" w:cs="Arial"/>
          <w:shd w:val="clear" w:color="auto" w:fill="FFFFFF"/>
        </w:rPr>
        <w:t>, </w:t>
      </w:r>
      <w:r>
        <w:rPr>
          <w:rFonts w:ascii="Arial" w:hAnsi="Arial" w:cs="Arial"/>
          <w:i/>
          <w:iCs/>
          <w:shd w:val="clear" w:color="auto" w:fill="FFFFFF"/>
        </w:rPr>
        <w:t>13</w:t>
      </w:r>
      <w:r>
        <w:rPr>
          <w:rFonts w:ascii="Arial" w:hAnsi="Arial" w:cs="Arial"/>
          <w:shd w:val="clear" w:color="auto" w:fill="FFFFFF"/>
        </w:rPr>
        <w:t>(1),</w:t>
      </w:r>
      <w:r>
        <w:rPr>
          <w:rFonts w:ascii="Arial" w:hAnsi="Arial" w:cs="Arial"/>
          <w:shd w:val="clear" w:color="auto" w:fill="FFFFFF"/>
          <w:lang w:val="en-PH"/>
        </w:rPr>
        <w:t xml:space="preserve"> </w:t>
      </w:r>
      <w:hyperlink r:id="rId23" w:history="1">
        <w:r>
          <w:rPr>
            <w:rStyle w:val="Hyperlink"/>
            <w:rFonts w:ascii="Arial" w:eastAsia="Segoe UI" w:hAnsi="Arial" w:cs="Arial"/>
            <w:color w:val="auto"/>
            <w:shd w:val="clear" w:color="auto" w:fill="FFFFFF"/>
          </w:rPr>
          <w:t>https://doi.org/10.1177/21582440221149005</w:t>
        </w:r>
      </w:hyperlink>
    </w:p>
    <w:p w14:paraId="622DD2BE" w14:textId="77777777" w:rsidR="004A39DF" w:rsidRDefault="004A39DF">
      <w:pPr>
        <w:ind w:left="400" w:hangingChars="200" w:hanging="400"/>
        <w:jc w:val="both"/>
        <w:rPr>
          <w:rStyle w:val="Hyperlink"/>
          <w:rFonts w:ascii="Arial" w:eastAsia="Segoe UI" w:hAnsi="Arial" w:cs="Arial"/>
          <w:color w:val="auto"/>
          <w:shd w:val="clear" w:color="auto" w:fill="FFFFFF"/>
        </w:rPr>
      </w:pPr>
    </w:p>
    <w:p w14:paraId="0152CE7B" w14:textId="77777777" w:rsidR="004A39DF" w:rsidRDefault="00D9470C">
      <w:pPr>
        <w:ind w:left="400" w:hangingChars="200" w:hanging="400"/>
        <w:jc w:val="both"/>
        <w:rPr>
          <w:rFonts w:ascii="Arial" w:hAnsi="Arial" w:cs="Arial"/>
          <w:shd w:val="clear" w:color="auto" w:fill="FFFFFF"/>
        </w:rPr>
      </w:pPr>
      <w:r>
        <w:rPr>
          <w:rFonts w:ascii="Arial" w:eastAsia="Segoe UI" w:hAnsi="Arial" w:cs="Arial"/>
          <w:shd w:val="clear" w:color="auto" w:fill="FFFFFF"/>
          <w:lang w:val="en-PH"/>
        </w:rPr>
        <w:t xml:space="preserve">Ma, K., </w:t>
      </w:r>
      <w:proofErr w:type="spellStart"/>
      <w:r>
        <w:rPr>
          <w:rFonts w:ascii="Arial" w:eastAsia="Segoe UI" w:hAnsi="Arial" w:cs="Arial"/>
          <w:shd w:val="clear" w:color="auto" w:fill="FFFFFF"/>
          <w:lang w:val="en-PH"/>
        </w:rPr>
        <w:t>McMaugh</w:t>
      </w:r>
      <w:proofErr w:type="spellEnd"/>
      <w:r>
        <w:rPr>
          <w:rFonts w:ascii="Arial" w:eastAsia="Segoe UI" w:hAnsi="Arial" w:cs="Arial"/>
          <w:shd w:val="clear" w:color="auto" w:fill="FFFFFF"/>
          <w:lang w:val="en-PH"/>
        </w:rPr>
        <w:t>, A., &amp; Cavanagh, M. (2022). Changes in pre-service teacher self-efficacy for teaching</w:t>
      </w:r>
      <w:r>
        <w:rPr>
          <w:rFonts w:ascii="Arial" w:eastAsia="Segoe UI" w:hAnsi="Arial" w:cs="Arial"/>
          <w:shd w:val="clear" w:color="auto" w:fill="FFFFFF"/>
          <w:lang w:val="en-PH"/>
        </w:rPr>
        <w:t xml:space="preserve"> in relation to professional experience placements. Australian Journal of Education, 66(1), 57-72. </w:t>
      </w:r>
      <w:hyperlink r:id="rId24" w:history="1">
        <w:r>
          <w:rPr>
            <w:rStyle w:val="Hyperlink"/>
            <w:rFonts w:ascii="Arial" w:eastAsia="Segoe UI" w:hAnsi="Arial" w:cs="Arial"/>
            <w:color w:val="auto"/>
            <w:shd w:val="clear" w:color="auto" w:fill="FFFFFF"/>
            <w:lang w:val="en-PH"/>
          </w:rPr>
          <w:t>https://doi.org/10.1177/00049441211060474</w:t>
        </w:r>
      </w:hyperlink>
    </w:p>
    <w:p w14:paraId="4C3D90B3" w14:textId="77777777" w:rsidR="004A39DF" w:rsidRDefault="00D9470C">
      <w:pPr>
        <w:ind w:left="400" w:hangingChars="200" w:hanging="400"/>
        <w:jc w:val="both"/>
        <w:rPr>
          <w:rFonts w:ascii="Arial" w:eastAsia="Segoe UI" w:hAnsi="Arial" w:cs="Arial"/>
          <w:shd w:val="clear" w:color="auto" w:fill="FFFFFF"/>
        </w:rPr>
      </w:pPr>
      <w:r>
        <w:rPr>
          <w:rFonts w:ascii="Arial" w:eastAsia="Arial" w:hAnsi="Arial" w:cs="Arial"/>
          <w:shd w:val="clear" w:color="auto" w:fill="FFFFFF"/>
        </w:rPr>
        <w:t>Magno, G. (2019). Teaching Proficiency and Performance of</w:t>
      </w:r>
      <w:r>
        <w:rPr>
          <w:rFonts w:ascii="Arial" w:eastAsia="Arial" w:hAnsi="Arial" w:cs="Arial"/>
          <w:shd w:val="clear" w:color="auto" w:fill="FFFFFF"/>
        </w:rPr>
        <w:t xml:space="preserve"> Pre-Service Elementary Teachers: Implications to Teacher Education Training Program. </w:t>
      </w:r>
      <w:r>
        <w:rPr>
          <w:rStyle w:val="Emphasis"/>
          <w:rFonts w:ascii="Arial" w:eastAsia="Arial" w:hAnsi="Arial" w:cs="Arial"/>
        </w:rPr>
        <w:t xml:space="preserve">International Multidisciplinary Research </w:t>
      </w:r>
      <w:proofErr w:type="spellStart"/>
      <w:r>
        <w:rPr>
          <w:rStyle w:val="Emphasis"/>
          <w:rFonts w:ascii="Arial" w:eastAsia="Arial" w:hAnsi="Arial" w:cs="Arial"/>
        </w:rPr>
        <w:t>Journal</w:t>
      </w:r>
      <w:r>
        <w:rPr>
          <w:rFonts w:ascii="Arial" w:eastAsia="Arial" w:hAnsi="Arial" w:cs="Arial"/>
          <w:shd w:val="clear" w:color="auto" w:fill="FFFFFF"/>
        </w:rPr>
        <w:t>.</w:t>
      </w:r>
      <w:r>
        <w:rPr>
          <w:rFonts w:ascii="Arial" w:eastAsia="Segoe UI" w:hAnsi="Arial" w:cs="Arial"/>
          <w:shd w:val="clear" w:color="auto" w:fill="FFFFFF"/>
        </w:rPr>
        <w:t>https</w:t>
      </w:r>
      <w:proofErr w:type="spellEnd"/>
      <w:r>
        <w:rPr>
          <w:rFonts w:ascii="Arial" w:eastAsia="Segoe UI" w:hAnsi="Arial" w:cs="Arial"/>
          <w:shd w:val="clear" w:color="auto" w:fill="FFFFFF"/>
        </w:rPr>
        <w:t>://doi.org/10.54476/iimrj391</w:t>
      </w:r>
    </w:p>
    <w:p w14:paraId="4A14ECE7" w14:textId="77777777" w:rsidR="004A39DF" w:rsidRDefault="004A39DF">
      <w:pPr>
        <w:ind w:left="400" w:hangingChars="200" w:hanging="400"/>
        <w:jc w:val="both"/>
        <w:rPr>
          <w:rFonts w:ascii="Arial" w:eastAsia="Segoe UI" w:hAnsi="Arial" w:cs="Arial"/>
          <w:shd w:val="clear" w:color="auto" w:fill="FFFFFF"/>
        </w:rPr>
      </w:pPr>
    </w:p>
    <w:p w14:paraId="45711DD3" w14:textId="77777777" w:rsidR="004A39DF" w:rsidRDefault="00D9470C">
      <w:pPr>
        <w:pStyle w:val="ListParagraph"/>
        <w:ind w:left="400" w:hangingChars="200" w:hanging="400"/>
        <w:jc w:val="both"/>
        <w:rPr>
          <w:rFonts w:ascii="Arial" w:hAnsi="Arial" w:cs="Arial"/>
          <w:shd w:val="clear" w:color="auto" w:fill="FFFFFF"/>
        </w:rPr>
      </w:pPr>
      <w:r>
        <w:rPr>
          <w:rFonts w:ascii="Arial" w:hAnsi="Arial" w:cs="Arial"/>
          <w:shd w:val="clear" w:color="auto" w:fill="FFFFFF"/>
        </w:rPr>
        <w:t xml:space="preserve">Maison, M., </w:t>
      </w:r>
      <w:proofErr w:type="spellStart"/>
      <w:r>
        <w:rPr>
          <w:rFonts w:ascii="Arial" w:hAnsi="Arial" w:cs="Arial"/>
          <w:shd w:val="clear" w:color="auto" w:fill="FFFFFF"/>
        </w:rPr>
        <w:t>Darmaji</w:t>
      </w:r>
      <w:proofErr w:type="spellEnd"/>
      <w:r>
        <w:rPr>
          <w:rFonts w:ascii="Arial" w:hAnsi="Arial" w:cs="Arial"/>
          <w:shd w:val="clear" w:color="auto" w:fill="FFFFFF"/>
        </w:rPr>
        <w:t xml:space="preserve">, D., Kurniawan, D. A., </w:t>
      </w:r>
      <w:proofErr w:type="spellStart"/>
      <w:r>
        <w:rPr>
          <w:rFonts w:ascii="Arial" w:hAnsi="Arial" w:cs="Arial"/>
          <w:shd w:val="clear" w:color="auto" w:fill="FFFFFF"/>
        </w:rPr>
        <w:t>Astalini</w:t>
      </w:r>
      <w:proofErr w:type="spellEnd"/>
      <w:r>
        <w:rPr>
          <w:rFonts w:ascii="Arial" w:hAnsi="Arial" w:cs="Arial"/>
          <w:shd w:val="clear" w:color="auto" w:fill="FFFFFF"/>
        </w:rPr>
        <w:t xml:space="preserve">, A., </w:t>
      </w:r>
      <w:proofErr w:type="spellStart"/>
      <w:r>
        <w:rPr>
          <w:rFonts w:ascii="Arial" w:hAnsi="Arial" w:cs="Arial"/>
          <w:shd w:val="clear" w:color="auto" w:fill="FFFFFF"/>
        </w:rPr>
        <w:t>Kuswanto</w:t>
      </w:r>
      <w:proofErr w:type="spellEnd"/>
      <w:r>
        <w:rPr>
          <w:rFonts w:ascii="Arial" w:hAnsi="Arial" w:cs="Arial"/>
          <w:shd w:val="clear" w:color="auto" w:fill="FFFFFF"/>
        </w:rPr>
        <w:t xml:space="preserve">, K., &amp; </w:t>
      </w:r>
      <w:proofErr w:type="spellStart"/>
      <w:r>
        <w:rPr>
          <w:rFonts w:ascii="Arial" w:hAnsi="Arial" w:cs="Arial"/>
          <w:shd w:val="clear" w:color="auto" w:fill="FFFFFF"/>
        </w:rPr>
        <w:t>Ningsi</w:t>
      </w:r>
      <w:proofErr w:type="spellEnd"/>
      <w:r>
        <w:rPr>
          <w:rFonts w:ascii="Arial" w:hAnsi="Arial" w:cs="Arial"/>
          <w:shd w:val="clear" w:color="auto" w:fill="FFFFFF"/>
        </w:rPr>
        <w:t>, A. P.</w:t>
      </w:r>
      <w:r>
        <w:rPr>
          <w:rFonts w:ascii="Arial" w:hAnsi="Arial" w:cs="Arial"/>
          <w:shd w:val="clear" w:color="auto" w:fill="FFFFFF"/>
        </w:rPr>
        <w:t xml:space="preserve"> (2021). Correlation of science process skills on critical thinking skills in junior high school in Jambi City. </w:t>
      </w:r>
      <w:proofErr w:type="spellStart"/>
      <w:r>
        <w:rPr>
          <w:rFonts w:ascii="Arial" w:hAnsi="Arial" w:cs="Arial"/>
          <w:i/>
          <w:iCs/>
          <w:shd w:val="clear" w:color="auto" w:fill="FFFFFF"/>
        </w:rPr>
        <w:t>Jurnal</w:t>
      </w:r>
      <w:proofErr w:type="spellEnd"/>
      <w:r>
        <w:rPr>
          <w:rFonts w:ascii="Arial" w:hAnsi="Arial" w:cs="Arial"/>
          <w:i/>
          <w:iCs/>
          <w:shd w:val="clear" w:color="auto" w:fill="FFFFFF"/>
        </w:rPr>
        <w:t xml:space="preserve"> </w:t>
      </w:r>
      <w:proofErr w:type="spellStart"/>
      <w:r>
        <w:rPr>
          <w:rFonts w:ascii="Arial" w:hAnsi="Arial" w:cs="Arial"/>
          <w:i/>
          <w:iCs/>
          <w:shd w:val="clear" w:color="auto" w:fill="FFFFFF"/>
        </w:rPr>
        <w:t>Penelitian</w:t>
      </w:r>
      <w:proofErr w:type="spellEnd"/>
      <w:r>
        <w:rPr>
          <w:rFonts w:ascii="Arial" w:hAnsi="Arial" w:cs="Arial"/>
          <w:i/>
          <w:iCs/>
          <w:shd w:val="clear" w:color="auto" w:fill="FFFFFF"/>
        </w:rPr>
        <w:t xml:space="preserve"> </w:t>
      </w:r>
      <w:proofErr w:type="spellStart"/>
      <w:r>
        <w:rPr>
          <w:rFonts w:ascii="Arial" w:hAnsi="Arial" w:cs="Arial"/>
          <w:i/>
          <w:iCs/>
          <w:shd w:val="clear" w:color="auto" w:fill="FFFFFF"/>
        </w:rPr>
        <w:t>Fisika</w:t>
      </w:r>
      <w:proofErr w:type="spellEnd"/>
      <w:r>
        <w:rPr>
          <w:rFonts w:ascii="Arial" w:hAnsi="Arial" w:cs="Arial"/>
          <w:i/>
          <w:iCs/>
          <w:shd w:val="clear" w:color="auto" w:fill="FFFFFF"/>
        </w:rPr>
        <w:t xml:space="preserve"> dan </w:t>
      </w:r>
      <w:proofErr w:type="spellStart"/>
      <w:r>
        <w:rPr>
          <w:rFonts w:ascii="Arial" w:hAnsi="Arial" w:cs="Arial"/>
          <w:i/>
          <w:iCs/>
          <w:shd w:val="clear" w:color="auto" w:fill="FFFFFF"/>
        </w:rPr>
        <w:t>Aplikasinya</w:t>
      </w:r>
      <w:proofErr w:type="spellEnd"/>
      <w:r>
        <w:rPr>
          <w:rFonts w:ascii="Arial" w:hAnsi="Arial" w:cs="Arial"/>
          <w:i/>
          <w:iCs/>
          <w:shd w:val="clear" w:color="auto" w:fill="FFFFFF"/>
        </w:rPr>
        <w:t xml:space="preserve"> (JPFA)</w:t>
      </w:r>
      <w:r>
        <w:rPr>
          <w:rFonts w:ascii="Arial" w:hAnsi="Arial" w:cs="Arial"/>
          <w:shd w:val="clear" w:color="auto" w:fill="FFFFFF"/>
        </w:rPr>
        <w:t>, </w:t>
      </w:r>
      <w:r>
        <w:rPr>
          <w:rFonts w:ascii="Arial" w:hAnsi="Arial" w:cs="Arial"/>
          <w:i/>
          <w:iCs/>
          <w:shd w:val="clear" w:color="auto" w:fill="FFFFFF"/>
        </w:rPr>
        <w:t>11</w:t>
      </w:r>
      <w:r>
        <w:rPr>
          <w:rFonts w:ascii="Arial" w:hAnsi="Arial" w:cs="Arial"/>
          <w:shd w:val="clear" w:color="auto" w:fill="FFFFFF"/>
        </w:rPr>
        <w:t>(1), 29-38.</w:t>
      </w:r>
    </w:p>
    <w:p w14:paraId="0924B6DB" w14:textId="77777777" w:rsidR="004A39DF" w:rsidRDefault="004A39DF">
      <w:pPr>
        <w:pStyle w:val="ListParagraph"/>
        <w:ind w:left="400" w:hangingChars="200" w:hanging="400"/>
        <w:jc w:val="both"/>
        <w:rPr>
          <w:rFonts w:ascii="Arial" w:hAnsi="Arial" w:cs="Arial"/>
          <w:shd w:val="clear" w:color="auto" w:fill="FFFFFF"/>
        </w:rPr>
      </w:pPr>
    </w:p>
    <w:p w14:paraId="448F0868" w14:textId="77777777" w:rsidR="004A39DF" w:rsidRDefault="00D9470C">
      <w:pPr>
        <w:ind w:left="400" w:hangingChars="200" w:hanging="400"/>
        <w:jc w:val="both"/>
        <w:rPr>
          <w:rFonts w:ascii="Arial" w:hAnsi="Arial" w:cs="Arial"/>
          <w:shd w:val="clear" w:color="auto" w:fill="FFFFFF"/>
        </w:rPr>
      </w:pPr>
      <w:proofErr w:type="spellStart"/>
      <w:r>
        <w:rPr>
          <w:rFonts w:ascii="Arial" w:hAnsi="Arial" w:cs="Arial"/>
          <w:shd w:val="clear" w:color="auto" w:fill="FFFFFF"/>
        </w:rPr>
        <w:t>Mardhatillah</w:t>
      </w:r>
      <w:proofErr w:type="spellEnd"/>
      <w:r>
        <w:rPr>
          <w:rFonts w:ascii="Arial" w:hAnsi="Arial" w:cs="Arial"/>
          <w:shd w:val="clear" w:color="auto" w:fill="FFFFFF"/>
        </w:rPr>
        <w:t xml:space="preserve">, M., </w:t>
      </w:r>
      <w:proofErr w:type="spellStart"/>
      <w:r>
        <w:rPr>
          <w:rFonts w:ascii="Arial" w:hAnsi="Arial" w:cs="Arial"/>
          <w:shd w:val="clear" w:color="auto" w:fill="FFFFFF"/>
        </w:rPr>
        <w:t>Widiati</w:t>
      </w:r>
      <w:proofErr w:type="spellEnd"/>
      <w:r>
        <w:rPr>
          <w:rFonts w:ascii="Arial" w:hAnsi="Arial" w:cs="Arial"/>
          <w:shd w:val="clear" w:color="auto" w:fill="FFFFFF"/>
        </w:rPr>
        <w:t xml:space="preserve">, U., &amp; </w:t>
      </w:r>
      <w:proofErr w:type="spellStart"/>
      <w:r>
        <w:rPr>
          <w:rFonts w:ascii="Arial" w:hAnsi="Arial" w:cs="Arial"/>
          <w:shd w:val="clear" w:color="auto" w:fill="FFFFFF"/>
        </w:rPr>
        <w:t>Sujiatmoko</w:t>
      </w:r>
      <w:proofErr w:type="spellEnd"/>
      <w:r>
        <w:rPr>
          <w:rFonts w:ascii="Arial" w:hAnsi="Arial" w:cs="Arial"/>
          <w:shd w:val="clear" w:color="auto" w:fill="FFFFFF"/>
        </w:rPr>
        <w:t xml:space="preserve">, A. H. (2024). Transitioning into a </w:t>
      </w:r>
      <w:r>
        <w:rPr>
          <w:rFonts w:ascii="Arial" w:hAnsi="Arial" w:cs="Arial"/>
          <w:shd w:val="clear" w:color="auto" w:fill="FFFFFF"/>
        </w:rPr>
        <w:t>professional teacher: EFL preservice teachers' anxiety in teaching practicum. </w:t>
      </w:r>
      <w:r>
        <w:rPr>
          <w:rFonts w:ascii="Arial" w:hAnsi="Arial" w:cs="Arial"/>
          <w:i/>
          <w:iCs/>
          <w:shd w:val="clear" w:color="auto" w:fill="FFFFFF"/>
        </w:rPr>
        <w:t>ETERNAL (English Teaching Journal)</w:t>
      </w:r>
      <w:r>
        <w:rPr>
          <w:rFonts w:ascii="Arial" w:hAnsi="Arial" w:cs="Arial"/>
          <w:shd w:val="clear" w:color="auto" w:fill="FFFFFF"/>
        </w:rPr>
        <w:t>, </w:t>
      </w:r>
      <w:r>
        <w:rPr>
          <w:rFonts w:ascii="Arial" w:hAnsi="Arial" w:cs="Arial"/>
          <w:i/>
          <w:iCs/>
          <w:shd w:val="clear" w:color="auto" w:fill="FFFFFF"/>
        </w:rPr>
        <w:t>15</w:t>
      </w:r>
      <w:r>
        <w:rPr>
          <w:rFonts w:ascii="Arial" w:hAnsi="Arial" w:cs="Arial"/>
          <w:shd w:val="clear" w:color="auto" w:fill="FFFFFF"/>
        </w:rPr>
        <w:t>(1), 11-23.</w:t>
      </w:r>
    </w:p>
    <w:p w14:paraId="3661F8F4" w14:textId="77777777" w:rsidR="004A39DF" w:rsidRDefault="004A39DF">
      <w:pPr>
        <w:ind w:left="400" w:hangingChars="200" w:hanging="400"/>
        <w:jc w:val="both"/>
        <w:rPr>
          <w:rFonts w:ascii="Arial" w:hAnsi="Arial" w:cs="Arial"/>
          <w:shd w:val="clear" w:color="auto" w:fill="FFFFFF"/>
        </w:rPr>
      </w:pPr>
    </w:p>
    <w:p w14:paraId="42EA87E4" w14:textId="77777777" w:rsidR="004A39DF" w:rsidRDefault="00D9470C">
      <w:pPr>
        <w:ind w:left="400" w:hangingChars="200" w:hanging="400"/>
        <w:jc w:val="both"/>
        <w:rPr>
          <w:rStyle w:val="Hyperlink"/>
          <w:rFonts w:ascii="Arial" w:eastAsia="Segoe UI" w:hAnsi="Arial" w:cs="Arial"/>
          <w:color w:val="auto"/>
          <w:u w:val="none"/>
          <w:shd w:val="clear" w:color="auto" w:fill="FFFFFF"/>
        </w:rPr>
      </w:pPr>
      <w:r>
        <w:rPr>
          <w:rFonts w:ascii="Arial" w:eastAsia="Segoe UI" w:hAnsi="Arial" w:cs="Arial"/>
          <w:shd w:val="clear" w:color="auto" w:fill="FFFFFF"/>
        </w:rPr>
        <w:t>Matsko, K. K., Ronfeldt, M., Nolan, H. G., Klugman, J., Reininger, M., &amp; Brockman, S. L. (2020). Cooperating Teacher as Model a</w:t>
      </w:r>
      <w:r>
        <w:rPr>
          <w:rFonts w:ascii="Arial" w:eastAsia="Segoe UI" w:hAnsi="Arial" w:cs="Arial"/>
          <w:shd w:val="clear" w:color="auto" w:fill="FFFFFF"/>
        </w:rPr>
        <w:t xml:space="preserve">nd Coach: What Leads to Student Teachers’ Perceptions of Preparedness? Journal of Teacher Education, 71(1), 41-62. </w:t>
      </w:r>
      <w:hyperlink r:id="rId25" w:history="1">
        <w:r>
          <w:rPr>
            <w:rStyle w:val="Hyperlink"/>
            <w:rFonts w:ascii="Arial" w:eastAsia="Segoe UI" w:hAnsi="Arial" w:cs="Arial"/>
            <w:color w:val="auto"/>
            <w:u w:val="none"/>
            <w:shd w:val="clear" w:color="auto" w:fill="FFFFFF"/>
          </w:rPr>
          <w:t>https://doi.org/10.1177/0022487118791992https</w:t>
        </w:r>
        <w:r>
          <w:rPr>
            <w:rStyle w:val="Hyperlink"/>
            <w:rFonts w:ascii="Arial" w:eastAsia="Segoe UI" w:hAnsi="Arial" w:cs="Arial"/>
            <w:color w:val="auto"/>
            <w:u w:val="none"/>
            <w:shd w:val="clear" w:color="auto" w:fill="FFFFFF"/>
          </w:rPr>
          <w:t>://doi.org/10.1177/0022487118791992</w:t>
        </w:r>
      </w:hyperlink>
    </w:p>
    <w:p w14:paraId="5035697D" w14:textId="77777777" w:rsidR="004A39DF" w:rsidRDefault="004A39DF">
      <w:pPr>
        <w:ind w:left="400" w:hangingChars="200" w:hanging="400"/>
        <w:jc w:val="both"/>
        <w:rPr>
          <w:rStyle w:val="Hyperlink"/>
          <w:rFonts w:ascii="Arial" w:eastAsia="Segoe UI" w:hAnsi="Arial" w:cs="Arial"/>
          <w:color w:val="auto"/>
          <w:u w:val="none"/>
          <w:shd w:val="clear" w:color="auto" w:fill="FFFFFF"/>
        </w:rPr>
      </w:pPr>
    </w:p>
    <w:p w14:paraId="60C35F05" w14:textId="77777777" w:rsidR="004A39DF" w:rsidRDefault="00D9470C">
      <w:pPr>
        <w:ind w:left="400" w:hangingChars="200" w:hanging="400"/>
        <w:jc w:val="both"/>
        <w:rPr>
          <w:rFonts w:ascii="Arial" w:hAnsi="Arial" w:cs="Arial"/>
        </w:rPr>
      </w:pPr>
      <w:r>
        <w:rPr>
          <w:rFonts w:ascii="Arial" w:hAnsi="Arial" w:cs="Arial"/>
        </w:rPr>
        <w:t xml:space="preserve">Morton, L. L., Vesco, R., Williams, N. H., &amp; Awender, M. A. (1997). Student teacher anxieties related to class management, pedagogy, evaluation, and staff relations, </w:t>
      </w:r>
      <w:r>
        <w:rPr>
          <w:rFonts w:ascii="Arial" w:hAnsi="Arial" w:cs="Arial"/>
          <w:i/>
          <w:iCs/>
        </w:rPr>
        <w:t>British Journal of Educational Psychology, 67,</w:t>
      </w:r>
      <w:r>
        <w:rPr>
          <w:rFonts w:ascii="Arial" w:hAnsi="Arial" w:cs="Arial"/>
        </w:rPr>
        <w:t xml:space="preserve"> 69-89</w:t>
      </w:r>
    </w:p>
    <w:p w14:paraId="5DF2C24F" w14:textId="77777777" w:rsidR="004A39DF" w:rsidRDefault="004A39DF">
      <w:pPr>
        <w:ind w:left="400" w:hangingChars="200" w:hanging="400"/>
        <w:jc w:val="both"/>
        <w:rPr>
          <w:rFonts w:ascii="Arial" w:hAnsi="Arial" w:cs="Arial"/>
        </w:rPr>
      </w:pPr>
    </w:p>
    <w:p w14:paraId="32E81C52" w14:textId="77777777" w:rsidR="004A39DF" w:rsidRDefault="00D9470C">
      <w:pPr>
        <w:ind w:left="400" w:hangingChars="200" w:hanging="400"/>
        <w:jc w:val="both"/>
        <w:rPr>
          <w:rFonts w:ascii="Arial" w:hAnsi="Arial" w:cs="Arial"/>
          <w:shd w:val="clear" w:color="auto" w:fill="FFFFFF"/>
        </w:rPr>
      </w:pPr>
      <w:proofErr w:type="spellStart"/>
      <w:r>
        <w:rPr>
          <w:rFonts w:ascii="Arial" w:hAnsi="Arial" w:cs="Arial"/>
          <w:shd w:val="clear" w:color="auto" w:fill="FFFFFF"/>
        </w:rPr>
        <w:t>Mpate</w:t>
      </w:r>
      <w:proofErr w:type="spellEnd"/>
      <w:r>
        <w:rPr>
          <w:rFonts w:ascii="Arial" w:hAnsi="Arial" w:cs="Arial"/>
          <w:shd w:val="clear" w:color="auto" w:fill="FFFFFF"/>
        </w:rPr>
        <w:t>, H., Campbell-Evans, G., &amp; Gray, J. (2023). Pre-service Teachers’ Preparedness to Teach during Teaching Practice in Tanzania. </w:t>
      </w:r>
      <w:r>
        <w:rPr>
          <w:rFonts w:ascii="Arial" w:hAnsi="Arial" w:cs="Arial"/>
          <w:i/>
          <w:iCs/>
          <w:shd w:val="clear" w:color="auto" w:fill="FFFFFF"/>
        </w:rPr>
        <w:t>African Journal of Teacher Education</w:t>
      </w:r>
      <w:r>
        <w:rPr>
          <w:rFonts w:ascii="Arial" w:hAnsi="Arial" w:cs="Arial"/>
          <w:shd w:val="clear" w:color="auto" w:fill="FFFFFF"/>
        </w:rPr>
        <w:t>, </w:t>
      </w:r>
      <w:r>
        <w:rPr>
          <w:rFonts w:ascii="Arial" w:hAnsi="Arial" w:cs="Arial"/>
          <w:i/>
          <w:iCs/>
          <w:shd w:val="clear" w:color="auto" w:fill="FFFFFF"/>
        </w:rPr>
        <w:t>12</w:t>
      </w:r>
      <w:r>
        <w:rPr>
          <w:rFonts w:ascii="Arial" w:hAnsi="Arial" w:cs="Arial"/>
          <w:shd w:val="clear" w:color="auto" w:fill="FFFFFF"/>
        </w:rPr>
        <w:t>(1), 95-120.</w:t>
      </w:r>
    </w:p>
    <w:p w14:paraId="34929AAE" w14:textId="77777777" w:rsidR="004A39DF" w:rsidRDefault="004A39DF">
      <w:pPr>
        <w:ind w:left="400" w:hangingChars="200" w:hanging="400"/>
        <w:jc w:val="both"/>
        <w:rPr>
          <w:rFonts w:ascii="Arial" w:hAnsi="Arial" w:cs="Arial"/>
          <w:shd w:val="clear" w:color="auto" w:fill="FFFFFF"/>
        </w:rPr>
      </w:pPr>
    </w:p>
    <w:p w14:paraId="5D061B5A" w14:textId="77777777" w:rsidR="004A39DF" w:rsidRDefault="00D9470C">
      <w:pPr>
        <w:ind w:left="400" w:hangingChars="200" w:hanging="400"/>
        <w:jc w:val="both"/>
        <w:rPr>
          <w:rFonts w:ascii="Arial" w:eastAsia="Segoe UI" w:hAnsi="Arial" w:cs="Arial"/>
          <w:shd w:val="clear" w:color="auto" w:fill="FFFFFF"/>
        </w:rPr>
      </w:pPr>
      <w:r>
        <w:rPr>
          <w:rFonts w:ascii="Arial" w:hAnsi="Arial" w:cs="Arial"/>
          <w:shd w:val="clear" w:color="auto" w:fill="FFFFFF"/>
        </w:rPr>
        <w:t>Mustafa, M. N., &amp; Hidayat, R. (2024). Classroom management in improvi</w:t>
      </w:r>
      <w:r>
        <w:rPr>
          <w:rFonts w:ascii="Arial" w:hAnsi="Arial" w:cs="Arial"/>
          <w:shd w:val="clear" w:color="auto" w:fill="FFFFFF"/>
        </w:rPr>
        <w:t>ng the quality of learning in the education units. </w:t>
      </w:r>
      <w:r>
        <w:rPr>
          <w:rFonts w:ascii="Arial" w:hAnsi="Arial" w:cs="Arial"/>
          <w:i/>
          <w:iCs/>
          <w:shd w:val="clear" w:color="auto" w:fill="FFFFFF"/>
        </w:rPr>
        <w:t>Journal of Higher Education Theory and Practice</w:t>
      </w:r>
      <w:r>
        <w:rPr>
          <w:rFonts w:ascii="Arial" w:hAnsi="Arial" w:cs="Arial"/>
          <w:shd w:val="clear" w:color="auto" w:fill="FFFFFF"/>
        </w:rPr>
        <w:t>, </w:t>
      </w:r>
      <w:r>
        <w:rPr>
          <w:rFonts w:ascii="Arial" w:hAnsi="Arial" w:cs="Arial"/>
          <w:i/>
          <w:iCs/>
          <w:shd w:val="clear" w:color="auto" w:fill="FFFFFF"/>
        </w:rPr>
        <w:t>24</w:t>
      </w:r>
      <w:r>
        <w:rPr>
          <w:rFonts w:ascii="Arial" w:hAnsi="Arial" w:cs="Arial"/>
          <w:shd w:val="clear" w:color="auto" w:fill="FFFFFF"/>
        </w:rPr>
        <w:t>(5), 56-</w:t>
      </w:r>
      <w:proofErr w:type="gramStart"/>
      <w:r>
        <w:rPr>
          <w:rFonts w:ascii="Arial" w:hAnsi="Arial" w:cs="Arial"/>
          <w:shd w:val="clear" w:color="auto" w:fill="FFFFFF"/>
        </w:rPr>
        <w:t>69.</w:t>
      </w:r>
      <w:r>
        <w:rPr>
          <w:rFonts w:ascii="Arial" w:eastAsia="Segoe UI" w:hAnsi="Arial" w:cs="Arial"/>
          <w:shd w:val="clear" w:color="auto" w:fill="FFFFFF"/>
        </w:rPr>
        <w:t>https://doi.org/10.33423/jhetp.v24i5.7003</w:t>
      </w:r>
      <w:proofErr w:type="gramEnd"/>
    </w:p>
    <w:p w14:paraId="0ED8F363" w14:textId="77777777" w:rsidR="004A39DF" w:rsidRDefault="004A39DF">
      <w:pPr>
        <w:ind w:left="400" w:hangingChars="200" w:hanging="400"/>
        <w:jc w:val="both"/>
        <w:rPr>
          <w:rFonts w:ascii="Arial" w:eastAsia="Segoe UI" w:hAnsi="Arial" w:cs="Arial"/>
          <w:shd w:val="clear" w:color="auto" w:fill="FFFFFF"/>
        </w:rPr>
      </w:pPr>
    </w:p>
    <w:p w14:paraId="426DD14F" w14:textId="77777777" w:rsidR="004A39DF" w:rsidRDefault="00D9470C">
      <w:pPr>
        <w:ind w:left="400" w:hangingChars="200" w:hanging="400"/>
        <w:jc w:val="both"/>
        <w:rPr>
          <w:rFonts w:ascii="Arial" w:eastAsia="Segoe UI" w:hAnsi="Arial" w:cs="Arial"/>
          <w:shd w:val="clear" w:color="auto" w:fill="FFFFFF"/>
        </w:rPr>
      </w:pPr>
      <w:proofErr w:type="spellStart"/>
      <w:r>
        <w:rPr>
          <w:rFonts w:ascii="Arial" w:eastAsia="SimSun" w:hAnsi="Arial" w:cs="Arial"/>
          <w:shd w:val="clear" w:color="auto" w:fill="FFFFFF"/>
        </w:rPr>
        <w:t>Niyibizi</w:t>
      </w:r>
      <w:proofErr w:type="spellEnd"/>
      <w:r>
        <w:rPr>
          <w:rFonts w:ascii="Arial" w:eastAsia="SimSun" w:hAnsi="Arial" w:cs="Arial"/>
          <w:shd w:val="clear" w:color="auto" w:fill="FFFFFF"/>
        </w:rPr>
        <w:t xml:space="preserve">, E., Sibomana, E., Manirakiza, V., </w:t>
      </w:r>
      <w:proofErr w:type="spellStart"/>
      <w:r>
        <w:rPr>
          <w:rFonts w:ascii="Arial" w:eastAsia="SimSun" w:hAnsi="Arial" w:cs="Arial"/>
          <w:shd w:val="clear" w:color="auto" w:fill="FFFFFF"/>
        </w:rPr>
        <w:t>Ndayambaje</w:t>
      </w:r>
      <w:proofErr w:type="spellEnd"/>
      <w:r>
        <w:rPr>
          <w:rFonts w:ascii="Arial" w:eastAsia="SimSun" w:hAnsi="Arial" w:cs="Arial"/>
          <w:shd w:val="clear" w:color="auto" w:fill="FFFFFF"/>
        </w:rPr>
        <w:t xml:space="preserve">, I., </w:t>
      </w:r>
      <w:proofErr w:type="spellStart"/>
      <w:r>
        <w:rPr>
          <w:rFonts w:ascii="Arial" w:eastAsia="SimSun" w:hAnsi="Arial" w:cs="Arial"/>
          <w:shd w:val="clear" w:color="auto" w:fill="FFFFFF"/>
        </w:rPr>
        <w:t>Twahirwa</w:t>
      </w:r>
      <w:proofErr w:type="spellEnd"/>
      <w:r>
        <w:rPr>
          <w:rFonts w:ascii="Arial" w:eastAsia="SimSun" w:hAnsi="Arial" w:cs="Arial"/>
          <w:shd w:val="clear" w:color="auto" w:fill="FFFFFF"/>
        </w:rPr>
        <w:t xml:space="preserve">, J. B., &amp; </w:t>
      </w:r>
      <w:proofErr w:type="spellStart"/>
      <w:r>
        <w:rPr>
          <w:rFonts w:ascii="Arial" w:eastAsia="SimSun" w:hAnsi="Arial" w:cs="Arial"/>
          <w:shd w:val="clear" w:color="auto" w:fill="FFFFFF"/>
        </w:rPr>
        <w:t>Ntabajyana</w:t>
      </w:r>
      <w:proofErr w:type="spellEnd"/>
      <w:r>
        <w:rPr>
          <w:rFonts w:ascii="Arial" w:eastAsia="SimSun" w:hAnsi="Arial" w:cs="Arial"/>
          <w:shd w:val="clear" w:color="auto" w:fill="FFFFFF"/>
        </w:rPr>
        <w:t>, S. (2021)</w:t>
      </w:r>
      <w:r>
        <w:rPr>
          <w:rFonts w:ascii="Arial" w:eastAsia="SimSun" w:hAnsi="Arial" w:cs="Arial"/>
          <w:shd w:val="clear" w:color="auto" w:fill="FFFFFF"/>
        </w:rPr>
        <w:t>. Quality internship for pre-service teachers: A quest for subject-curricular-pedagogic knowledge among education student-teachers at the University of Rwanda. In </w:t>
      </w:r>
      <w:r>
        <w:rPr>
          <w:rFonts w:ascii="Arial" w:eastAsia="SimSun" w:hAnsi="Arial" w:cs="Arial"/>
          <w:i/>
          <w:iCs/>
          <w:shd w:val="clear" w:color="auto" w:fill="FFFFFF"/>
        </w:rPr>
        <w:t>Quality Assurance in Higher Education in Eastern and Southern Africa</w:t>
      </w:r>
      <w:r>
        <w:rPr>
          <w:rFonts w:ascii="Arial" w:eastAsia="SimSun" w:hAnsi="Arial" w:cs="Arial"/>
          <w:shd w:val="clear" w:color="auto" w:fill="FFFFFF"/>
        </w:rPr>
        <w:t xml:space="preserve"> (pp. 89-101). </w:t>
      </w:r>
      <w:proofErr w:type="spellStart"/>
      <w:r>
        <w:rPr>
          <w:rFonts w:ascii="Arial" w:eastAsia="SimSun" w:hAnsi="Arial" w:cs="Arial"/>
          <w:shd w:val="clear" w:color="auto" w:fill="FFFFFF"/>
        </w:rPr>
        <w:t>Routledge.</w:t>
      </w:r>
      <w:r>
        <w:rPr>
          <w:rFonts w:ascii="Arial" w:eastAsia="Segoe UI" w:hAnsi="Arial" w:cs="Arial"/>
          <w:shd w:val="clear" w:color="auto" w:fill="FFFFFF"/>
        </w:rPr>
        <w:t>https</w:t>
      </w:r>
      <w:proofErr w:type="spellEnd"/>
      <w:r>
        <w:rPr>
          <w:rFonts w:ascii="Arial" w:eastAsia="Segoe UI" w:hAnsi="Arial" w:cs="Arial"/>
          <w:shd w:val="clear" w:color="auto" w:fill="FFFFFF"/>
        </w:rPr>
        <w:t>://doi.org/10.4324/9781003141235-11</w:t>
      </w:r>
    </w:p>
    <w:p w14:paraId="13CC6135" w14:textId="77777777" w:rsidR="004A39DF" w:rsidRDefault="004A39DF">
      <w:pPr>
        <w:ind w:left="400" w:hangingChars="200" w:hanging="400"/>
        <w:jc w:val="both"/>
        <w:rPr>
          <w:rFonts w:ascii="Arial" w:eastAsia="Segoe UI" w:hAnsi="Arial" w:cs="Arial"/>
          <w:shd w:val="clear" w:color="auto" w:fill="FFFFFF"/>
        </w:rPr>
      </w:pPr>
    </w:p>
    <w:p w14:paraId="243FD983" w14:textId="77777777" w:rsidR="004A39DF" w:rsidRDefault="00D9470C">
      <w:pPr>
        <w:ind w:left="400" w:hangingChars="200" w:hanging="400"/>
        <w:jc w:val="both"/>
        <w:rPr>
          <w:rFonts w:ascii="Arial" w:eastAsia="Segoe UI" w:hAnsi="Arial" w:cs="Arial"/>
          <w:shd w:val="clear" w:color="auto" w:fill="FFFFFF"/>
        </w:rPr>
      </w:pPr>
      <w:proofErr w:type="spellStart"/>
      <w:r>
        <w:rPr>
          <w:rFonts w:ascii="Arial" w:eastAsia="Arial" w:hAnsi="Arial" w:cs="Arial"/>
          <w:shd w:val="clear" w:color="auto" w:fill="FFFFFF"/>
        </w:rPr>
        <w:t>Octoria</w:t>
      </w:r>
      <w:proofErr w:type="spellEnd"/>
      <w:r>
        <w:rPr>
          <w:rFonts w:ascii="Arial" w:eastAsia="Arial" w:hAnsi="Arial" w:cs="Arial"/>
          <w:shd w:val="clear" w:color="auto" w:fill="FFFFFF"/>
        </w:rPr>
        <w:t xml:space="preserve">, D., </w:t>
      </w:r>
      <w:proofErr w:type="spellStart"/>
      <w:r>
        <w:rPr>
          <w:rFonts w:ascii="Arial" w:eastAsia="Arial" w:hAnsi="Arial" w:cs="Arial"/>
          <w:shd w:val="clear" w:color="auto" w:fill="FFFFFF"/>
        </w:rPr>
        <w:t>Harahap</w:t>
      </w:r>
      <w:proofErr w:type="spellEnd"/>
      <w:r>
        <w:rPr>
          <w:rFonts w:ascii="Arial" w:eastAsia="Arial" w:hAnsi="Arial" w:cs="Arial"/>
          <w:shd w:val="clear" w:color="auto" w:fill="FFFFFF"/>
        </w:rPr>
        <w:t>, D.H., &amp; Sari, P.R. (2024). The effect of teachers' self-efficacy and teaching commitment on pre-service teachers' performance. </w:t>
      </w:r>
      <w:r>
        <w:rPr>
          <w:rStyle w:val="Emphasis"/>
          <w:rFonts w:ascii="Arial" w:eastAsia="Arial" w:hAnsi="Arial" w:cs="Arial"/>
        </w:rPr>
        <w:t xml:space="preserve">Multidisciplinary Science </w:t>
      </w:r>
      <w:proofErr w:type="spellStart"/>
      <w:r>
        <w:rPr>
          <w:rStyle w:val="Emphasis"/>
          <w:rFonts w:ascii="Arial" w:eastAsia="Arial" w:hAnsi="Arial" w:cs="Arial"/>
        </w:rPr>
        <w:t>Journal</w:t>
      </w:r>
      <w:r>
        <w:rPr>
          <w:rFonts w:ascii="Arial" w:eastAsia="Arial" w:hAnsi="Arial" w:cs="Arial"/>
          <w:shd w:val="clear" w:color="auto" w:fill="FFFFFF"/>
        </w:rPr>
        <w:t>.</w:t>
      </w:r>
      <w:r>
        <w:rPr>
          <w:rFonts w:ascii="Arial" w:eastAsia="Segoe UI" w:hAnsi="Arial" w:cs="Arial"/>
          <w:shd w:val="clear" w:color="auto" w:fill="FFFFFF"/>
        </w:rPr>
        <w:t>https</w:t>
      </w:r>
      <w:proofErr w:type="spellEnd"/>
      <w:r>
        <w:rPr>
          <w:rFonts w:ascii="Arial" w:eastAsia="Segoe UI" w:hAnsi="Arial" w:cs="Arial"/>
          <w:shd w:val="clear" w:color="auto" w:fill="FFFFFF"/>
        </w:rPr>
        <w:t>://doi.org/10.31893/multis</w:t>
      </w:r>
      <w:r>
        <w:rPr>
          <w:rFonts w:ascii="Arial" w:eastAsia="Segoe UI" w:hAnsi="Arial" w:cs="Arial"/>
          <w:shd w:val="clear" w:color="auto" w:fill="FFFFFF"/>
        </w:rPr>
        <w:t>cience.2025181</w:t>
      </w:r>
    </w:p>
    <w:p w14:paraId="61182812" w14:textId="77777777" w:rsidR="004A39DF" w:rsidRDefault="00D9470C">
      <w:pPr>
        <w:ind w:left="400" w:hangingChars="200" w:hanging="400"/>
        <w:jc w:val="both"/>
        <w:rPr>
          <w:rStyle w:val="Hyperlink"/>
          <w:rFonts w:ascii="Arial" w:eastAsia="Segoe UI" w:hAnsi="Arial" w:cs="Arial"/>
          <w:color w:val="auto"/>
          <w:shd w:val="clear" w:color="auto" w:fill="FFFFFF"/>
        </w:rPr>
      </w:pPr>
      <w:r>
        <w:rPr>
          <w:rFonts w:ascii="Arial" w:hAnsi="Arial" w:cs="Arial"/>
          <w:shd w:val="clear" w:color="auto" w:fill="FFFFFF"/>
        </w:rPr>
        <w:t>Patterson, T. T., &amp; Farmer, A. (2018). Classroom management self-efficacy of pre-service teachers. </w:t>
      </w:r>
      <w:r>
        <w:rPr>
          <w:rFonts w:ascii="Arial" w:hAnsi="Arial" w:cs="Arial"/>
          <w:i/>
          <w:iCs/>
          <w:shd w:val="clear" w:color="auto" w:fill="FFFFFF"/>
        </w:rPr>
        <w:t>World Journal of Educational Research</w:t>
      </w:r>
      <w:r>
        <w:rPr>
          <w:rFonts w:ascii="Arial" w:hAnsi="Arial" w:cs="Arial"/>
          <w:shd w:val="clear" w:color="auto" w:fill="FFFFFF"/>
        </w:rPr>
        <w:t>, </w:t>
      </w:r>
      <w:r>
        <w:rPr>
          <w:rFonts w:ascii="Arial" w:hAnsi="Arial" w:cs="Arial"/>
          <w:i/>
          <w:iCs/>
          <w:shd w:val="clear" w:color="auto" w:fill="FFFFFF"/>
        </w:rPr>
        <w:t>5</w:t>
      </w:r>
      <w:r>
        <w:rPr>
          <w:rFonts w:ascii="Arial" w:hAnsi="Arial" w:cs="Arial"/>
          <w:shd w:val="clear" w:color="auto" w:fill="FFFFFF"/>
        </w:rPr>
        <w:t>(2), 134-143.</w:t>
      </w:r>
      <w:hyperlink r:id="rId26" w:history="1">
        <w:r>
          <w:rPr>
            <w:rStyle w:val="Hyperlink"/>
            <w:rFonts w:ascii="Arial" w:eastAsia="Segoe UI" w:hAnsi="Arial" w:cs="Arial"/>
            <w:color w:val="auto"/>
            <w:shd w:val="clear" w:color="auto" w:fill="FFFFFF"/>
          </w:rPr>
          <w:t>https://doi.org/10.22158/wjer.v5n2</w:t>
        </w:r>
        <w:r>
          <w:rPr>
            <w:rStyle w:val="Hyperlink"/>
            <w:rFonts w:ascii="Arial" w:eastAsia="Segoe UI" w:hAnsi="Arial" w:cs="Arial"/>
            <w:color w:val="auto"/>
            <w:shd w:val="clear" w:color="auto" w:fill="FFFFFF"/>
          </w:rPr>
          <w:t>p134</w:t>
        </w:r>
      </w:hyperlink>
    </w:p>
    <w:p w14:paraId="4FC82150" w14:textId="77777777" w:rsidR="004A39DF" w:rsidRDefault="004A39DF">
      <w:pPr>
        <w:ind w:left="400" w:hangingChars="200" w:hanging="400"/>
        <w:jc w:val="both"/>
        <w:rPr>
          <w:rStyle w:val="Hyperlink"/>
          <w:rFonts w:ascii="Arial" w:eastAsia="Segoe UI" w:hAnsi="Arial" w:cs="Arial"/>
          <w:color w:val="auto"/>
          <w:shd w:val="clear" w:color="auto" w:fill="FFFFFF"/>
        </w:rPr>
      </w:pPr>
    </w:p>
    <w:p w14:paraId="27141F46" w14:textId="77777777" w:rsidR="004A39DF" w:rsidRDefault="00D9470C">
      <w:pPr>
        <w:ind w:left="400" w:hangingChars="200" w:hanging="400"/>
        <w:jc w:val="both"/>
        <w:rPr>
          <w:rStyle w:val="Hyperlink"/>
          <w:rFonts w:ascii="Arial" w:eastAsia="Segoe UI" w:hAnsi="Arial" w:cs="Arial"/>
          <w:color w:val="auto"/>
          <w:shd w:val="clear" w:color="auto" w:fill="FFFFFF"/>
        </w:rPr>
      </w:pPr>
      <w:proofErr w:type="spellStart"/>
      <w:r>
        <w:rPr>
          <w:rFonts w:ascii="Arial" w:hAnsi="Arial" w:cs="Arial"/>
          <w:shd w:val="clear" w:color="auto" w:fill="FFFFFF"/>
        </w:rPr>
        <w:t>Pitkäniemi</w:t>
      </w:r>
      <w:proofErr w:type="spellEnd"/>
      <w:r>
        <w:rPr>
          <w:rFonts w:ascii="Arial" w:hAnsi="Arial" w:cs="Arial"/>
          <w:shd w:val="clear" w:color="auto" w:fill="FFFFFF"/>
        </w:rPr>
        <w:t>, H., &amp; Martikainen, T. (2022). Sources and variation of self-efficacy in cases of student teaching practicum. </w:t>
      </w:r>
      <w:r>
        <w:rPr>
          <w:rFonts w:ascii="Arial" w:hAnsi="Arial" w:cs="Arial"/>
          <w:i/>
          <w:iCs/>
          <w:shd w:val="clear" w:color="auto" w:fill="FFFFFF"/>
        </w:rPr>
        <w:t xml:space="preserve">Nordisk </w:t>
      </w:r>
      <w:proofErr w:type="spellStart"/>
      <w:r>
        <w:rPr>
          <w:rFonts w:ascii="Arial" w:hAnsi="Arial" w:cs="Arial"/>
          <w:i/>
          <w:iCs/>
          <w:shd w:val="clear" w:color="auto" w:fill="FFFFFF"/>
        </w:rPr>
        <w:t>Tidskrift</w:t>
      </w:r>
      <w:proofErr w:type="spellEnd"/>
      <w:r>
        <w:rPr>
          <w:rFonts w:ascii="Arial" w:hAnsi="Arial" w:cs="Arial"/>
          <w:i/>
          <w:iCs/>
          <w:shd w:val="clear" w:color="auto" w:fill="FFFFFF"/>
        </w:rPr>
        <w:t xml:space="preserve"> </w:t>
      </w:r>
      <w:proofErr w:type="spellStart"/>
      <w:r>
        <w:rPr>
          <w:rFonts w:ascii="Arial" w:hAnsi="Arial" w:cs="Arial"/>
          <w:i/>
          <w:iCs/>
          <w:shd w:val="clear" w:color="auto" w:fill="FFFFFF"/>
        </w:rPr>
        <w:t>för</w:t>
      </w:r>
      <w:proofErr w:type="spellEnd"/>
      <w:r>
        <w:rPr>
          <w:rFonts w:ascii="Arial" w:hAnsi="Arial" w:cs="Arial"/>
          <w:i/>
          <w:iCs/>
          <w:shd w:val="clear" w:color="auto" w:fill="FFFFFF"/>
        </w:rPr>
        <w:t xml:space="preserve"> </w:t>
      </w:r>
      <w:proofErr w:type="spellStart"/>
      <w:r>
        <w:rPr>
          <w:rFonts w:ascii="Arial" w:hAnsi="Arial" w:cs="Arial"/>
          <w:i/>
          <w:iCs/>
          <w:shd w:val="clear" w:color="auto" w:fill="FFFFFF"/>
        </w:rPr>
        <w:t>Allmän</w:t>
      </w:r>
      <w:proofErr w:type="spellEnd"/>
      <w:r>
        <w:rPr>
          <w:rFonts w:ascii="Arial" w:hAnsi="Arial" w:cs="Arial"/>
          <w:i/>
          <w:iCs/>
          <w:shd w:val="clear" w:color="auto" w:fill="FFFFFF"/>
        </w:rPr>
        <w:t xml:space="preserve"> </w:t>
      </w:r>
      <w:proofErr w:type="spellStart"/>
      <w:r>
        <w:rPr>
          <w:rFonts w:ascii="Arial" w:hAnsi="Arial" w:cs="Arial"/>
          <w:i/>
          <w:iCs/>
          <w:shd w:val="clear" w:color="auto" w:fill="FFFFFF"/>
        </w:rPr>
        <w:t>Didaktik</w:t>
      </w:r>
      <w:proofErr w:type="spellEnd"/>
      <w:r>
        <w:rPr>
          <w:rFonts w:ascii="Arial" w:hAnsi="Arial" w:cs="Arial"/>
          <w:shd w:val="clear" w:color="auto" w:fill="FFFFFF"/>
        </w:rPr>
        <w:t>, </w:t>
      </w:r>
      <w:r>
        <w:rPr>
          <w:rFonts w:ascii="Arial" w:hAnsi="Arial" w:cs="Arial"/>
          <w:i/>
          <w:iCs/>
          <w:shd w:val="clear" w:color="auto" w:fill="FFFFFF"/>
        </w:rPr>
        <w:t>8</w:t>
      </w:r>
      <w:r>
        <w:rPr>
          <w:rFonts w:ascii="Arial" w:hAnsi="Arial" w:cs="Arial"/>
          <w:shd w:val="clear" w:color="auto" w:fill="FFFFFF"/>
        </w:rPr>
        <w:t>(1), 35-52.</w:t>
      </w:r>
      <w:r>
        <w:rPr>
          <w:rFonts w:ascii="Arial" w:hAnsi="Arial" w:cs="Arial"/>
          <w:shd w:val="clear" w:color="auto" w:fill="FFFFFF"/>
          <w:lang w:val="en-PH"/>
        </w:rPr>
        <w:t xml:space="preserve"> </w:t>
      </w:r>
      <w:hyperlink r:id="rId27" w:history="1">
        <w:r>
          <w:rPr>
            <w:rStyle w:val="Hyperlink"/>
            <w:rFonts w:ascii="Arial" w:eastAsia="Segoe UI" w:hAnsi="Arial" w:cs="Arial"/>
            <w:color w:val="auto"/>
            <w:shd w:val="clear" w:color="auto" w:fill="FFFFFF"/>
          </w:rPr>
          <w:t>https://doi.org/10.57</w:t>
        </w:r>
        <w:r>
          <w:rPr>
            <w:rStyle w:val="Hyperlink"/>
            <w:rFonts w:ascii="Arial" w:eastAsia="Segoe UI" w:hAnsi="Arial" w:cs="Arial"/>
            <w:color w:val="auto"/>
            <w:shd w:val="clear" w:color="auto" w:fill="FFFFFF"/>
          </w:rPr>
          <w:t>126/noad.v8i1.8683</w:t>
        </w:r>
      </w:hyperlink>
    </w:p>
    <w:p w14:paraId="09AECCF4" w14:textId="77777777" w:rsidR="004A39DF" w:rsidRDefault="004A39DF">
      <w:pPr>
        <w:ind w:left="400" w:hangingChars="200" w:hanging="400"/>
        <w:jc w:val="both"/>
        <w:rPr>
          <w:rStyle w:val="Hyperlink"/>
          <w:rFonts w:ascii="Arial" w:eastAsia="Segoe UI" w:hAnsi="Arial" w:cs="Arial"/>
          <w:color w:val="auto"/>
          <w:shd w:val="clear" w:color="auto" w:fill="FFFFFF"/>
        </w:rPr>
      </w:pPr>
    </w:p>
    <w:p w14:paraId="6EC3B9F1" w14:textId="77777777" w:rsidR="004A39DF" w:rsidRDefault="00D9470C">
      <w:pPr>
        <w:ind w:left="400" w:hangingChars="200" w:hanging="400"/>
        <w:jc w:val="both"/>
        <w:rPr>
          <w:rFonts w:ascii="Arial" w:eastAsia="Segoe UI" w:hAnsi="Arial" w:cs="Arial"/>
          <w:shd w:val="clear" w:color="auto" w:fill="FFFFFF"/>
        </w:rPr>
      </w:pPr>
      <w:proofErr w:type="spellStart"/>
      <w:r>
        <w:rPr>
          <w:rFonts w:ascii="Arial" w:hAnsi="Arial" w:cs="Arial"/>
          <w:shd w:val="clear" w:color="auto" w:fill="FFFFFF"/>
        </w:rPr>
        <w:t>Purwanti</w:t>
      </w:r>
      <w:proofErr w:type="spellEnd"/>
      <w:r>
        <w:rPr>
          <w:rFonts w:ascii="Arial" w:hAnsi="Arial" w:cs="Arial"/>
          <w:shd w:val="clear" w:color="auto" w:fill="FFFFFF"/>
        </w:rPr>
        <w:t>, E., &amp; Vania, G. (2021). Classroom management: Applying appropriate strategies to enhance effective teaching. </w:t>
      </w:r>
      <w:r>
        <w:rPr>
          <w:rFonts w:ascii="Arial" w:hAnsi="Arial" w:cs="Arial"/>
          <w:i/>
          <w:iCs/>
          <w:shd w:val="clear" w:color="auto" w:fill="FFFFFF"/>
        </w:rPr>
        <w:t>Journal of Foreign Language Teaching and Learning</w:t>
      </w:r>
      <w:r>
        <w:rPr>
          <w:rFonts w:ascii="Arial" w:hAnsi="Arial" w:cs="Arial"/>
          <w:shd w:val="clear" w:color="auto" w:fill="FFFFFF"/>
        </w:rPr>
        <w:t>, </w:t>
      </w:r>
      <w:r>
        <w:rPr>
          <w:rFonts w:ascii="Arial" w:hAnsi="Arial" w:cs="Arial"/>
          <w:i/>
          <w:iCs/>
          <w:shd w:val="clear" w:color="auto" w:fill="FFFFFF"/>
        </w:rPr>
        <w:t>6</w:t>
      </w:r>
      <w:r>
        <w:rPr>
          <w:rFonts w:ascii="Arial" w:hAnsi="Arial" w:cs="Arial"/>
          <w:shd w:val="clear" w:color="auto" w:fill="FFFFFF"/>
        </w:rPr>
        <w:t>(1), 78-</w:t>
      </w:r>
      <w:proofErr w:type="gramStart"/>
      <w:r>
        <w:rPr>
          <w:rFonts w:ascii="Arial" w:hAnsi="Arial" w:cs="Arial"/>
          <w:shd w:val="clear" w:color="auto" w:fill="FFFFFF"/>
        </w:rPr>
        <w:t>93.</w:t>
      </w:r>
      <w:r>
        <w:rPr>
          <w:rFonts w:ascii="Arial" w:eastAsia="Segoe UI" w:hAnsi="Arial" w:cs="Arial"/>
          <w:shd w:val="clear" w:color="auto" w:fill="FFFFFF"/>
        </w:rPr>
        <w:t>https://doi.org/10.18196/FTL.V6I1.10638</w:t>
      </w:r>
      <w:proofErr w:type="gramEnd"/>
    </w:p>
    <w:p w14:paraId="7DE97D65" w14:textId="77777777" w:rsidR="004A39DF" w:rsidRDefault="004A39DF">
      <w:pPr>
        <w:ind w:left="400" w:hangingChars="200" w:hanging="400"/>
        <w:jc w:val="both"/>
        <w:rPr>
          <w:rFonts w:ascii="Arial" w:eastAsia="Segoe UI" w:hAnsi="Arial" w:cs="Arial"/>
          <w:shd w:val="clear" w:color="auto" w:fill="FFFFFF"/>
        </w:rPr>
      </w:pPr>
    </w:p>
    <w:p w14:paraId="6742F9A7" w14:textId="77777777" w:rsidR="004A39DF" w:rsidRDefault="00D9470C">
      <w:pPr>
        <w:ind w:left="400" w:hangingChars="200" w:hanging="400"/>
        <w:jc w:val="both"/>
        <w:rPr>
          <w:rFonts w:ascii="Arial" w:eastAsia="Segoe UI" w:hAnsi="Arial" w:cs="Arial"/>
          <w:shd w:val="clear" w:color="auto" w:fill="FFFFFF"/>
        </w:rPr>
      </w:pPr>
      <w:proofErr w:type="spellStart"/>
      <w:r>
        <w:rPr>
          <w:rFonts w:ascii="Arial" w:eastAsia="Arial" w:hAnsi="Arial" w:cs="Arial"/>
          <w:shd w:val="clear" w:color="auto" w:fill="FFFFFF"/>
        </w:rPr>
        <w:t>Robiños</w:t>
      </w:r>
      <w:proofErr w:type="spellEnd"/>
      <w:r>
        <w:rPr>
          <w:rFonts w:ascii="Arial" w:eastAsia="Arial" w:hAnsi="Arial" w:cs="Arial"/>
          <w:shd w:val="clear" w:color="auto" w:fill="FFFFFF"/>
        </w:rPr>
        <w:t xml:space="preserve">, J.R., </w:t>
      </w:r>
      <w:proofErr w:type="spellStart"/>
      <w:r>
        <w:rPr>
          <w:rFonts w:ascii="Arial" w:eastAsia="Arial" w:hAnsi="Arial" w:cs="Arial"/>
          <w:shd w:val="clear" w:color="auto" w:fill="FFFFFF"/>
        </w:rPr>
        <w:t>Daque</w:t>
      </w:r>
      <w:proofErr w:type="spellEnd"/>
      <w:r>
        <w:rPr>
          <w:rFonts w:ascii="Arial" w:eastAsia="Arial" w:hAnsi="Arial" w:cs="Arial"/>
          <w:shd w:val="clear" w:color="auto" w:fill="FFFFFF"/>
        </w:rPr>
        <w:t xml:space="preserve">, C., </w:t>
      </w:r>
      <w:proofErr w:type="spellStart"/>
      <w:r>
        <w:rPr>
          <w:rFonts w:ascii="Arial" w:eastAsia="Arial" w:hAnsi="Arial" w:cs="Arial"/>
          <w:shd w:val="clear" w:color="auto" w:fill="FFFFFF"/>
        </w:rPr>
        <w:t>Dipad</w:t>
      </w:r>
      <w:proofErr w:type="spellEnd"/>
      <w:r>
        <w:rPr>
          <w:rFonts w:ascii="Arial" w:eastAsia="Arial" w:hAnsi="Arial" w:cs="Arial"/>
          <w:shd w:val="clear" w:color="auto" w:fill="FFFFFF"/>
        </w:rPr>
        <w:t xml:space="preserve">, V.C., </w:t>
      </w:r>
      <w:proofErr w:type="spellStart"/>
      <w:r>
        <w:rPr>
          <w:rFonts w:ascii="Arial" w:eastAsia="Arial" w:hAnsi="Arial" w:cs="Arial"/>
          <w:shd w:val="clear" w:color="auto" w:fill="FFFFFF"/>
        </w:rPr>
        <w:t>Gunda</w:t>
      </w:r>
      <w:proofErr w:type="spellEnd"/>
      <w:r>
        <w:rPr>
          <w:rFonts w:ascii="Arial" w:eastAsia="Arial" w:hAnsi="Arial" w:cs="Arial"/>
          <w:shd w:val="clear" w:color="auto" w:fill="FFFFFF"/>
        </w:rPr>
        <w:t xml:space="preserve">, K.J., </w:t>
      </w:r>
      <w:proofErr w:type="spellStart"/>
      <w:r>
        <w:rPr>
          <w:rFonts w:ascii="Arial" w:eastAsia="Arial" w:hAnsi="Arial" w:cs="Arial"/>
          <w:shd w:val="clear" w:color="auto" w:fill="FFFFFF"/>
        </w:rPr>
        <w:t>Salaysay</w:t>
      </w:r>
      <w:proofErr w:type="spellEnd"/>
      <w:r>
        <w:rPr>
          <w:rFonts w:ascii="Arial" w:eastAsia="Arial" w:hAnsi="Arial" w:cs="Arial"/>
          <w:shd w:val="clear" w:color="auto" w:fill="FFFFFF"/>
        </w:rPr>
        <w:t>, J., &amp; Sevilla, M. (2024). Exploring the Influence of Field-Based Learning Experiences on the Professional Development of Pre-Service Teachers. </w:t>
      </w:r>
      <w:r>
        <w:rPr>
          <w:rStyle w:val="Emphasis"/>
          <w:rFonts w:ascii="Arial" w:eastAsia="Arial" w:hAnsi="Arial" w:cs="Arial"/>
        </w:rPr>
        <w:t xml:space="preserve">Journal of Interdisciplinary </w:t>
      </w:r>
      <w:proofErr w:type="spellStart"/>
      <w:r>
        <w:rPr>
          <w:rStyle w:val="Emphasis"/>
          <w:rFonts w:ascii="Arial" w:eastAsia="Arial" w:hAnsi="Arial" w:cs="Arial"/>
        </w:rPr>
        <w:t>Perspectives</w:t>
      </w:r>
      <w:r>
        <w:rPr>
          <w:rFonts w:ascii="Arial" w:eastAsia="Arial" w:hAnsi="Arial" w:cs="Arial"/>
          <w:shd w:val="clear" w:color="auto" w:fill="FFFFFF"/>
        </w:rPr>
        <w:t>.</w:t>
      </w:r>
      <w:r>
        <w:rPr>
          <w:rFonts w:ascii="Arial" w:eastAsia="Segoe UI" w:hAnsi="Arial" w:cs="Arial"/>
          <w:shd w:val="clear" w:color="auto" w:fill="FFFFFF"/>
        </w:rPr>
        <w:t>https</w:t>
      </w:r>
      <w:proofErr w:type="spellEnd"/>
      <w:r>
        <w:rPr>
          <w:rFonts w:ascii="Arial" w:eastAsia="Segoe UI" w:hAnsi="Arial" w:cs="Arial"/>
          <w:shd w:val="clear" w:color="auto" w:fill="FFFFFF"/>
        </w:rPr>
        <w:t>://doi.org/</w:t>
      </w:r>
      <w:r>
        <w:rPr>
          <w:rFonts w:ascii="Arial" w:eastAsia="Segoe UI" w:hAnsi="Arial" w:cs="Arial"/>
          <w:shd w:val="clear" w:color="auto" w:fill="FFFFFF"/>
        </w:rPr>
        <w:t>10.69569/jip.2024.0592</w:t>
      </w:r>
    </w:p>
    <w:p w14:paraId="642CBA68" w14:textId="77777777" w:rsidR="004A39DF" w:rsidRDefault="004A39DF">
      <w:pPr>
        <w:ind w:left="400" w:hangingChars="200" w:hanging="400"/>
        <w:jc w:val="both"/>
        <w:rPr>
          <w:rFonts w:ascii="Arial" w:eastAsia="Segoe UI" w:hAnsi="Arial" w:cs="Arial"/>
          <w:shd w:val="clear" w:color="auto" w:fill="FFFFFF"/>
        </w:rPr>
      </w:pPr>
    </w:p>
    <w:p w14:paraId="0C12CD6D" w14:textId="77777777" w:rsidR="004A39DF" w:rsidRDefault="00D9470C">
      <w:pPr>
        <w:ind w:left="400" w:hangingChars="200" w:hanging="400"/>
        <w:jc w:val="both"/>
        <w:rPr>
          <w:rFonts w:ascii="Arial" w:eastAsia="Segoe UI" w:hAnsi="Arial" w:cs="Arial"/>
          <w:shd w:val="clear" w:color="auto" w:fill="FFFFFF"/>
        </w:rPr>
      </w:pPr>
      <w:r>
        <w:rPr>
          <w:rFonts w:ascii="Arial" w:eastAsia="SimSun" w:hAnsi="Arial" w:cs="Arial"/>
          <w:shd w:val="clear" w:color="auto" w:fill="FFFFFF"/>
        </w:rPr>
        <w:lastRenderedPageBreak/>
        <w:t xml:space="preserve">Sanjaya, M. M., </w:t>
      </w:r>
      <w:proofErr w:type="spellStart"/>
      <w:r>
        <w:rPr>
          <w:rFonts w:ascii="Arial" w:eastAsia="SimSun" w:hAnsi="Arial" w:cs="Arial"/>
          <w:shd w:val="clear" w:color="auto" w:fill="FFFFFF"/>
        </w:rPr>
        <w:t>Nurkamto</w:t>
      </w:r>
      <w:proofErr w:type="spellEnd"/>
      <w:r>
        <w:rPr>
          <w:rFonts w:ascii="Arial" w:eastAsia="SimSun" w:hAnsi="Arial" w:cs="Arial"/>
          <w:shd w:val="clear" w:color="auto" w:fill="FFFFFF"/>
        </w:rPr>
        <w:t>, J., &amp; Sumardi, S. (2024). Navigating Foreign Language Teaching Anxiety: Insights from Pre-Service Teachers during Teacher Professional Education Practicum. </w:t>
      </w:r>
      <w:r>
        <w:rPr>
          <w:rFonts w:ascii="Arial" w:eastAsia="SimSun" w:hAnsi="Arial" w:cs="Arial"/>
          <w:i/>
          <w:iCs/>
          <w:shd w:val="clear" w:color="auto" w:fill="FFFFFF"/>
        </w:rPr>
        <w:t>Indonesian Journal of EFL and Linguistics</w:t>
      </w:r>
      <w:r>
        <w:rPr>
          <w:rFonts w:ascii="Arial" w:eastAsia="SimSun" w:hAnsi="Arial" w:cs="Arial"/>
          <w:shd w:val="clear" w:color="auto" w:fill="FFFFFF"/>
        </w:rPr>
        <w:t>, 115-131</w:t>
      </w:r>
      <w:r>
        <w:rPr>
          <w:rFonts w:ascii="Arial" w:eastAsia="SimSun" w:hAnsi="Arial" w:cs="Arial"/>
          <w:shd w:val="clear" w:color="auto" w:fill="FFFFFF"/>
        </w:rPr>
        <w:t>.</w:t>
      </w:r>
      <w:r>
        <w:rPr>
          <w:rFonts w:ascii="Arial" w:eastAsia="Segoe UI" w:hAnsi="Arial" w:cs="Arial"/>
          <w:shd w:val="clear" w:color="auto" w:fill="FFFFFF"/>
        </w:rPr>
        <w:t>https://doi.org/10.21462/ijefl.v9i1.761</w:t>
      </w:r>
    </w:p>
    <w:p w14:paraId="06F68E11" w14:textId="77777777" w:rsidR="004A39DF" w:rsidRDefault="004A39DF">
      <w:pPr>
        <w:ind w:left="400" w:hangingChars="200" w:hanging="400"/>
        <w:jc w:val="both"/>
        <w:rPr>
          <w:rFonts w:ascii="Arial" w:eastAsia="Segoe UI" w:hAnsi="Arial" w:cs="Arial"/>
          <w:shd w:val="clear" w:color="auto" w:fill="FFFFFF"/>
        </w:rPr>
      </w:pPr>
    </w:p>
    <w:p w14:paraId="475B4664" w14:textId="77777777" w:rsidR="004A39DF" w:rsidRDefault="00D9470C">
      <w:pPr>
        <w:ind w:left="400" w:hangingChars="200" w:hanging="400"/>
        <w:jc w:val="both"/>
        <w:rPr>
          <w:rFonts w:ascii="Arial" w:hAnsi="Arial" w:cs="Arial"/>
          <w:shd w:val="clear" w:color="auto" w:fill="FFFFFF"/>
        </w:rPr>
      </w:pPr>
      <w:r>
        <w:rPr>
          <w:rFonts w:ascii="Arial" w:hAnsi="Arial" w:cs="Arial"/>
          <w:shd w:val="clear" w:color="auto" w:fill="FFFFFF"/>
        </w:rPr>
        <w:t>Sathasivam, R. V., Abdullah, M. N. S., &amp; Abd Rauf, R. A. (2024). Theory-Practice Divide: Pre-service Teachers' Application of Pedagogical Knowledge During Teaching Practicum. </w:t>
      </w:r>
      <w:proofErr w:type="spellStart"/>
      <w:r>
        <w:rPr>
          <w:rFonts w:ascii="Arial" w:hAnsi="Arial" w:cs="Arial"/>
          <w:i/>
          <w:iCs/>
          <w:shd w:val="clear" w:color="auto" w:fill="FFFFFF"/>
        </w:rPr>
        <w:t>Pertanika</w:t>
      </w:r>
      <w:proofErr w:type="spellEnd"/>
      <w:r>
        <w:rPr>
          <w:rFonts w:ascii="Arial" w:hAnsi="Arial" w:cs="Arial"/>
          <w:i/>
          <w:iCs/>
          <w:shd w:val="clear" w:color="auto" w:fill="FFFFFF"/>
        </w:rPr>
        <w:t xml:space="preserve"> Journal of Social Sciences &amp; Humanities</w:t>
      </w:r>
      <w:r>
        <w:rPr>
          <w:rFonts w:ascii="Arial" w:hAnsi="Arial" w:cs="Arial"/>
          <w:shd w:val="clear" w:color="auto" w:fill="FFFFFF"/>
        </w:rPr>
        <w:t>, </w:t>
      </w:r>
      <w:r>
        <w:rPr>
          <w:rFonts w:ascii="Arial" w:hAnsi="Arial" w:cs="Arial"/>
          <w:i/>
          <w:iCs/>
          <w:shd w:val="clear" w:color="auto" w:fill="FFFFFF"/>
        </w:rPr>
        <w:t>32</w:t>
      </w:r>
      <w:r>
        <w:rPr>
          <w:rFonts w:ascii="Arial" w:hAnsi="Arial" w:cs="Arial"/>
          <w:shd w:val="clear" w:color="auto" w:fill="FFFFFF"/>
        </w:rPr>
        <w:t>(1).</w:t>
      </w:r>
    </w:p>
    <w:p w14:paraId="78AD4099" w14:textId="77777777" w:rsidR="004A39DF" w:rsidRDefault="004A39DF">
      <w:pPr>
        <w:ind w:left="400" w:hangingChars="200" w:hanging="400"/>
        <w:jc w:val="both"/>
        <w:rPr>
          <w:rFonts w:ascii="Arial" w:hAnsi="Arial" w:cs="Arial"/>
          <w:shd w:val="clear" w:color="auto" w:fill="FFFFFF"/>
        </w:rPr>
      </w:pPr>
    </w:p>
    <w:p w14:paraId="7AB71F58" w14:textId="77777777" w:rsidR="004A39DF" w:rsidRDefault="00D9470C">
      <w:pPr>
        <w:ind w:left="400" w:hangingChars="200" w:hanging="400"/>
        <w:jc w:val="both"/>
        <w:rPr>
          <w:rFonts w:ascii="Arial" w:eastAsia="Segoe UI" w:hAnsi="Arial" w:cs="Arial"/>
          <w:shd w:val="clear" w:color="auto" w:fill="FFFFFF"/>
        </w:rPr>
      </w:pPr>
      <w:proofErr w:type="spellStart"/>
      <w:r>
        <w:rPr>
          <w:rFonts w:ascii="Arial" w:eastAsia="Arial" w:hAnsi="Arial" w:cs="Arial"/>
          <w:shd w:val="clear" w:color="auto" w:fill="FFFFFF"/>
        </w:rPr>
        <w:t>Senler</w:t>
      </w:r>
      <w:proofErr w:type="spellEnd"/>
      <w:r>
        <w:rPr>
          <w:rFonts w:ascii="Arial" w:eastAsia="Arial" w:hAnsi="Arial" w:cs="Arial"/>
          <w:shd w:val="clear" w:color="auto" w:fill="FFFFFF"/>
        </w:rPr>
        <w:t>, B. (2016). Pre-service science teachers’ self-efficacy: The role of attitude, anxiety and locus of control. </w:t>
      </w:r>
      <w:r>
        <w:rPr>
          <w:rStyle w:val="Emphasis"/>
          <w:rFonts w:ascii="Arial" w:eastAsia="Arial" w:hAnsi="Arial" w:cs="Arial"/>
        </w:rPr>
        <w:t>Australian Journal of Education, 60</w:t>
      </w:r>
      <w:r>
        <w:rPr>
          <w:rFonts w:ascii="Arial" w:eastAsia="Arial" w:hAnsi="Arial" w:cs="Arial"/>
          <w:shd w:val="clear" w:color="auto" w:fill="FFFFFF"/>
        </w:rPr>
        <w:t>, 26 - 41.</w:t>
      </w:r>
      <w:r>
        <w:rPr>
          <w:rFonts w:ascii="Arial" w:eastAsia="Segoe UI" w:hAnsi="Arial" w:cs="Arial"/>
          <w:shd w:val="clear" w:color="auto" w:fill="FFFFFF"/>
        </w:rPr>
        <w:t>https://doi.org/10.1177/0004944116629807</w:t>
      </w:r>
    </w:p>
    <w:p w14:paraId="6D50F887" w14:textId="77777777" w:rsidR="004A39DF" w:rsidRDefault="004A39DF">
      <w:pPr>
        <w:ind w:left="400" w:hangingChars="200" w:hanging="400"/>
        <w:jc w:val="both"/>
        <w:rPr>
          <w:rFonts w:ascii="Arial" w:eastAsia="Segoe UI" w:hAnsi="Arial" w:cs="Arial"/>
          <w:shd w:val="clear" w:color="auto" w:fill="FFFFFF"/>
        </w:rPr>
      </w:pPr>
    </w:p>
    <w:p w14:paraId="3F77754D" w14:textId="77777777" w:rsidR="004A39DF" w:rsidRDefault="00D9470C">
      <w:pPr>
        <w:ind w:left="400" w:hangingChars="200" w:hanging="400"/>
        <w:jc w:val="both"/>
        <w:rPr>
          <w:rFonts w:ascii="Arial" w:eastAsia="Segoe UI" w:hAnsi="Arial" w:cs="Arial"/>
          <w:shd w:val="clear" w:color="auto" w:fill="FFFFFF"/>
        </w:rPr>
      </w:pPr>
      <w:proofErr w:type="spellStart"/>
      <w:r>
        <w:rPr>
          <w:rFonts w:ascii="Arial" w:eastAsia="Arial" w:hAnsi="Arial" w:cs="Arial"/>
          <w:shd w:val="clear" w:color="auto" w:fill="FFFFFF"/>
        </w:rPr>
        <w:t>Sol</w:t>
      </w:r>
      <w:r>
        <w:rPr>
          <w:rFonts w:ascii="Arial" w:eastAsia="Arial" w:hAnsi="Arial" w:cs="Arial"/>
          <w:shd w:val="clear" w:color="auto" w:fill="FFFFFF"/>
        </w:rPr>
        <w:t>eas</w:t>
      </w:r>
      <w:proofErr w:type="spellEnd"/>
      <w:r>
        <w:rPr>
          <w:rFonts w:ascii="Arial" w:eastAsia="Arial" w:hAnsi="Arial" w:cs="Arial"/>
          <w:shd w:val="clear" w:color="auto" w:fill="FFFFFF"/>
        </w:rPr>
        <w:t>, E.K., &amp; Hong, J.Y. (2020). The school of hard knocks: Pre-service teachers’ mindset and motivational changes during their practicum. </w:t>
      </w:r>
      <w:proofErr w:type="spellStart"/>
      <w:r>
        <w:rPr>
          <w:rStyle w:val="Emphasis"/>
          <w:rFonts w:ascii="Arial" w:eastAsia="Arial" w:hAnsi="Arial" w:cs="Arial"/>
        </w:rPr>
        <w:t>Foro</w:t>
      </w:r>
      <w:proofErr w:type="spellEnd"/>
      <w:r>
        <w:rPr>
          <w:rStyle w:val="Emphasis"/>
          <w:rFonts w:ascii="Arial" w:eastAsia="Arial" w:hAnsi="Arial" w:cs="Arial"/>
        </w:rPr>
        <w:t xml:space="preserve"> de </w:t>
      </w:r>
      <w:proofErr w:type="spellStart"/>
      <w:r>
        <w:rPr>
          <w:rStyle w:val="Emphasis"/>
          <w:rFonts w:ascii="Arial" w:eastAsia="Arial" w:hAnsi="Arial" w:cs="Arial"/>
        </w:rPr>
        <w:t>Educación</w:t>
      </w:r>
      <w:proofErr w:type="spellEnd"/>
      <w:r>
        <w:rPr>
          <w:rStyle w:val="Emphasis"/>
          <w:rFonts w:ascii="Arial" w:eastAsia="Arial" w:hAnsi="Arial" w:cs="Arial"/>
        </w:rPr>
        <w:t>, 18</w:t>
      </w:r>
      <w:r>
        <w:rPr>
          <w:rFonts w:ascii="Arial" w:eastAsia="Arial" w:hAnsi="Arial" w:cs="Arial"/>
          <w:shd w:val="clear" w:color="auto" w:fill="FFFFFF"/>
        </w:rPr>
        <w:t>, 237-257.</w:t>
      </w:r>
      <w:r>
        <w:rPr>
          <w:rFonts w:ascii="Arial" w:eastAsia="Segoe UI" w:hAnsi="Arial" w:cs="Arial"/>
          <w:shd w:val="clear" w:color="auto" w:fill="FFFFFF"/>
        </w:rPr>
        <w:t>https://doi.org/10.14516/fde.726</w:t>
      </w:r>
    </w:p>
    <w:p w14:paraId="4929108D" w14:textId="77777777" w:rsidR="004A39DF" w:rsidRDefault="004A39DF">
      <w:pPr>
        <w:ind w:left="400" w:hangingChars="200" w:hanging="400"/>
        <w:jc w:val="both"/>
        <w:rPr>
          <w:rFonts w:ascii="Arial" w:eastAsia="Segoe UI" w:hAnsi="Arial" w:cs="Arial"/>
          <w:shd w:val="clear" w:color="auto" w:fill="FFFFFF"/>
        </w:rPr>
      </w:pPr>
    </w:p>
    <w:p w14:paraId="467DAB83" w14:textId="77777777" w:rsidR="004A39DF" w:rsidRDefault="00D9470C">
      <w:pPr>
        <w:ind w:left="400" w:hangingChars="200" w:hanging="400"/>
        <w:jc w:val="both"/>
        <w:rPr>
          <w:rFonts w:ascii="Arial" w:hAnsi="Arial" w:cs="Arial"/>
        </w:rPr>
      </w:pPr>
      <w:r>
        <w:rPr>
          <w:rFonts w:ascii="Arial" w:eastAsia="SimSun" w:hAnsi="Arial" w:cs="Arial"/>
          <w:shd w:val="clear" w:color="auto" w:fill="FFFFFF"/>
        </w:rPr>
        <w:t xml:space="preserve">Toe, D. M., &amp; </w:t>
      </w:r>
      <w:proofErr w:type="spellStart"/>
      <w:r>
        <w:rPr>
          <w:rFonts w:ascii="Arial" w:eastAsia="SimSun" w:hAnsi="Arial" w:cs="Arial"/>
          <w:shd w:val="clear" w:color="auto" w:fill="FFFFFF"/>
        </w:rPr>
        <w:t>Longaretti</w:t>
      </w:r>
      <w:proofErr w:type="spellEnd"/>
      <w:r>
        <w:rPr>
          <w:rFonts w:ascii="Arial" w:eastAsia="SimSun" w:hAnsi="Arial" w:cs="Arial"/>
          <w:shd w:val="clear" w:color="auto" w:fill="FFFFFF"/>
        </w:rPr>
        <w:t>, L. (2022). Teacher efficacy</w:t>
      </w:r>
      <w:r>
        <w:rPr>
          <w:rFonts w:ascii="Arial" w:eastAsia="SimSun" w:hAnsi="Arial" w:cs="Arial"/>
          <w:shd w:val="clear" w:color="auto" w:fill="FFFFFF"/>
        </w:rPr>
        <w:t xml:space="preserve"> in high performing teachers: Barriers and enablers for new graduates. </w:t>
      </w:r>
      <w:r>
        <w:rPr>
          <w:rFonts w:ascii="Arial" w:eastAsia="SimSun" w:hAnsi="Arial" w:cs="Arial"/>
          <w:i/>
          <w:iCs/>
          <w:shd w:val="clear" w:color="auto" w:fill="FFFFFF"/>
        </w:rPr>
        <w:t>Australian Journal of Teacher Education (Online)</w:t>
      </w:r>
      <w:r>
        <w:rPr>
          <w:rFonts w:ascii="Arial" w:eastAsia="SimSun" w:hAnsi="Arial" w:cs="Arial"/>
          <w:shd w:val="clear" w:color="auto" w:fill="FFFFFF"/>
        </w:rPr>
        <w:t>, </w:t>
      </w:r>
      <w:r>
        <w:rPr>
          <w:rFonts w:ascii="Arial" w:eastAsia="SimSun" w:hAnsi="Arial" w:cs="Arial"/>
          <w:i/>
          <w:iCs/>
          <w:shd w:val="clear" w:color="auto" w:fill="FFFFFF"/>
        </w:rPr>
        <w:t>47</w:t>
      </w:r>
      <w:r>
        <w:rPr>
          <w:rFonts w:ascii="Arial" w:eastAsia="SimSun" w:hAnsi="Arial" w:cs="Arial"/>
          <w:shd w:val="clear" w:color="auto" w:fill="FFFFFF"/>
        </w:rPr>
        <w:t>(4), 1-</w:t>
      </w:r>
      <w:proofErr w:type="gramStart"/>
      <w:r>
        <w:rPr>
          <w:rFonts w:ascii="Arial" w:eastAsia="SimSun" w:hAnsi="Arial" w:cs="Arial"/>
          <w:shd w:val="clear" w:color="auto" w:fill="FFFFFF"/>
        </w:rPr>
        <w:t>20.</w:t>
      </w:r>
      <w:r>
        <w:rPr>
          <w:rFonts w:ascii="Arial" w:eastAsia="Segoe UI" w:hAnsi="Arial" w:cs="Arial"/>
          <w:shd w:val="clear" w:color="auto" w:fill="FFFFFF"/>
        </w:rPr>
        <w:t>https://doi.org/10.14221/ajte.2022v47n4.1</w:t>
      </w:r>
      <w:proofErr w:type="gramEnd"/>
    </w:p>
    <w:p w14:paraId="45002055" w14:textId="77777777" w:rsidR="004A39DF" w:rsidRDefault="004A39DF">
      <w:pPr>
        <w:pStyle w:val="Appendix"/>
        <w:spacing w:after="0"/>
        <w:jc w:val="both"/>
        <w:rPr>
          <w:rFonts w:ascii="Arial" w:hAnsi="Arial" w:cs="Arial"/>
          <w:b w:val="0"/>
          <w:sz w:val="20"/>
        </w:rPr>
        <w:sectPr w:rsidR="004A39DF" w:rsidSect="004E565F">
          <w:headerReference w:type="even" r:id="rId28"/>
          <w:headerReference w:type="default" r:id="rId29"/>
          <w:footerReference w:type="default" r:id="rId30"/>
          <w:headerReference w:type="first" r:id="rId31"/>
          <w:type w:val="continuous"/>
          <w:pgSz w:w="12240" w:h="15840"/>
          <w:pgMar w:top="1440" w:right="2016" w:bottom="2016" w:left="2016" w:header="720" w:footer="1123" w:gutter="0"/>
          <w:cols w:space="720"/>
          <w:docGrid w:linePitch="272"/>
        </w:sectPr>
      </w:pPr>
    </w:p>
    <w:p w14:paraId="346B7D75" w14:textId="77777777" w:rsidR="004A39DF" w:rsidRDefault="004A39DF">
      <w:pPr>
        <w:pStyle w:val="Appendix"/>
        <w:spacing w:after="0"/>
        <w:jc w:val="both"/>
        <w:rPr>
          <w:rFonts w:ascii="Arial" w:hAnsi="Arial" w:cs="Arial"/>
          <w:b w:val="0"/>
          <w:sz w:val="20"/>
        </w:rPr>
      </w:pPr>
    </w:p>
    <w:sectPr w:rsidR="004A39DF" w:rsidSect="004E565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86362" w14:textId="77777777" w:rsidR="00D9470C" w:rsidRDefault="00D9470C">
      <w:r>
        <w:separator/>
      </w:r>
    </w:p>
  </w:endnote>
  <w:endnote w:type="continuationSeparator" w:id="0">
    <w:p w14:paraId="77CB95C9" w14:textId="77777777" w:rsidR="00D9470C" w:rsidRDefault="00D94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Symbol">
    <w:panose1 w:val="05050102010706020507"/>
    <w:charset w:val="02"/>
    <w:family w:val="roman"/>
    <w:pitch w:val="variable"/>
    <w:sig w:usb0="00000000" w:usb1="10000000" w:usb2="00000000" w:usb3="00000000" w:csb0="80000000" w:csb1="00000000"/>
  </w:font>
  <w:font w:name="serif">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58A97" w14:textId="77777777" w:rsidR="004E565F" w:rsidRDefault="004E56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68" w14:textId="77777777" w:rsidR="004E565F" w:rsidRDefault="004E56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31D6C" w14:textId="77777777" w:rsidR="004A39DF" w:rsidRDefault="004A39DF">
    <w:pPr>
      <w:pStyle w:val="Footer"/>
      <w:rPr>
        <w:rFonts w:ascii="Arial" w:hAnsi="Arial" w:cs="Arial"/>
        <w:sz w:val="16"/>
      </w:rPr>
    </w:pPr>
  </w:p>
  <w:p w14:paraId="17347AFE" w14:textId="77777777" w:rsidR="004A39DF" w:rsidRDefault="00D9470C">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39E1023B" w14:textId="77777777" w:rsidR="004A39DF" w:rsidRDefault="004A39DF">
    <w:pPr>
      <w:pStyle w:val="Footer"/>
      <w:rPr>
        <w:rFonts w:ascii="Arial" w:hAnsi="Arial" w:cs="Arial"/>
        <w:sz w:val="16"/>
      </w:rPr>
    </w:pPr>
  </w:p>
  <w:p w14:paraId="2581AA7D" w14:textId="77777777" w:rsidR="004A39DF" w:rsidRDefault="00D9470C">
    <w:pPr>
      <w:pStyle w:val="Footer"/>
      <w:rPr>
        <w:rFonts w:ascii="Arial" w:hAnsi="Arial" w:cs="Arial"/>
        <w:i/>
        <w:sz w:val="16"/>
      </w:rPr>
    </w:pPr>
    <w:r>
      <w:rPr>
        <w:rFonts w:ascii="Arial" w:hAnsi="Arial" w:cs="Arial"/>
        <w:i/>
        <w:sz w:val="16"/>
      </w:rPr>
      <w:t xml:space="preserve">*Corresponding author: Email: </w:t>
    </w:r>
    <w:r>
      <w:rPr>
        <w:rFonts w:ascii="Arial" w:hAnsi="Arial" w:cs="Arial"/>
        <w:i/>
        <w:sz w:val="16"/>
      </w:rPr>
      <w:t>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4B2AB" w14:textId="77777777" w:rsidR="004A39DF" w:rsidRDefault="004A3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78B70" w14:textId="77777777" w:rsidR="00D9470C" w:rsidRDefault="00D9470C">
      <w:r>
        <w:separator/>
      </w:r>
    </w:p>
  </w:footnote>
  <w:footnote w:type="continuationSeparator" w:id="0">
    <w:p w14:paraId="6F38D8F9" w14:textId="77777777" w:rsidR="00D9470C" w:rsidRDefault="00D94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42238" w14:textId="2C534DF7" w:rsidR="004E565F" w:rsidRDefault="004E565F">
    <w:pPr>
      <w:pStyle w:val="Header"/>
    </w:pPr>
    <w:r>
      <w:rPr>
        <w:noProof/>
      </w:rPr>
      <w:pict w14:anchorId="372F4A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380938"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214B0" w14:textId="0EF7D218" w:rsidR="004E565F" w:rsidRDefault="004E565F">
    <w:pPr>
      <w:pStyle w:val="Header"/>
    </w:pPr>
    <w:r>
      <w:rPr>
        <w:noProof/>
      </w:rPr>
      <w:pict w14:anchorId="13A3D3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380939"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C1E75" w14:textId="162197FD" w:rsidR="004A39DF" w:rsidRDefault="004E565F">
    <w:pPr>
      <w:ind w:left="2160"/>
      <w:jc w:val="center"/>
      <w:rPr>
        <w:rFonts w:ascii="Times New Roman" w:eastAsia="Calibri" w:hAnsi="Times New Roman"/>
        <w:i/>
        <w:sz w:val="18"/>
        <w:szCs w:val="22"/>
      </w:rPr>
    </w:pPr>
    <w:r>
      <w:rPr>
        <w:noProof/>
      </w:rPr>
      <w:pict w14:anchorId="7BE834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380937"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B09CD04" w14:textId="77777777" w:rsidR="004A39DF" w:rsidRDefault="00D9470C">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ACB0196" w14:textId="77777777" w:rsidR="004A39DF" w:rsidRDefault="00D9470C">
    <w:pPr>
      <w:jc w:val="center"/>
      <w:rPr>
        <w:rFonts w:ascii="Times New Roman" w:eastAsia="Calibri" w:hAnsi="Times New Roman"/>
        <w:i/>
        <w:sz w:val="18"/>
        <w:szCs w:val="22"/>
      </w:rPr>
    </w:pPr>
    <w:r>
      <w:rPr>
        <w:rFonts w:ascii="Times New Roman" w:eastAsia="Calibri" w:hAnsi="Times New Roman"/>
        <w:i/>
        <w:sz w:val="18"/>
        <w:szCs w:val="22"/>
      </w:rPr>
      <w:t>.</w:t>
    </w:r>
  </w:p>
  <w:p w14:paraId="3622A3C7" w14:textId="77777777" w:rsidR="004A39DF" w:rsidRDefault="00D9470C">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62AB42D1" w14:textId="77777777" w:rsidR="004A39DF" w:rsidRDefault="00D9470C">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6FC9A7F7" w14:textId="77777777" w:rsidR="004A39DF" w:rsidRDefault="00D9470C">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1C273C5" w14:textId="77777777" w:rsidR="004A39DF" w:rsidRDefault="00D9470C">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6897A" w14:textId="4DCA6A5E" w:rsidR="004E565F" w:rsidRDefault="004E565F">
    <w:pPr>
      <w:pStyle w:val="Header"/>
    </w:pPr>
    <w:r>
      <w:rPr>
        <w:noProof/>
      </w:rPr>
      <w:pict w14:anchorId="4F3560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380941"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66315" w14:textId="30909969" w:rsidR="004E565F" w:rsidRDefault="004E565F">
    <w:pPr>
      <w:pStyle w:val="Header"/>
    </w:pPr>
    <w:r>
      <w:rPr>
        <w:noProof/>
      </w:rPr>
      <w:pict w14:anchorId="565907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380942"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7BF5A" w14:textId="4E623A3A" w:rsidR="004E565F" w:rsidRDefault="004E565F">
    <w:pPr>
      <w:pStyle w:val="Header"/>
    </w:pPr>
    <w:r>
      <w:rPr>
        <w:noProof/>
      </w:rPr>
      <w:pict w14:anchorId="614FD3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380940"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BD05980"/>
    <w:multiLevelType w:val="multilevel"/>
    <w:tmpl w:val="EBD05980"/>
    <w:lvl w:ilvl="0">
      <w:start w:val="2"/>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82315F8"/>
    <w:multiLevelType w:val="multilevel"/>
    <w:tmpl w:val="082315F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2930CD26"/>
    <w:multiLevelType w:val="singleLevel"/>
    <w:tmpl w:val="2930CD26"/>
    <w:lvl w:ilvl="0">
      <w:start w:val="1"/>
      <w:numFmt w:val="decimal"/>
      <w:suff w:val="space"/>
      <w:lvlText w:val="%1."/>
      <w:lvlJc w:val="left"/>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C350D"/>
    <w:rsid w:val="001C62AC"/>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A39DF"/>
    <w:rsid w:val="004C178B"/>
    <w:rsid w:val="004D305E"/>
    <w:rsid w:val="004D4277"/>
    <w:rsid w:val="004E565F"/>
    <w:rsid w:val="00502516"/>
    <w:rsid w:val="00505F06"/>
    <w:rsid w:val="00506828"/>
    <w:rsid w:val="0053056E"/>
    <w:rsid w:val="00554FDA"/>
    <w:rsid w:val="005A0F47"/>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3BAE"/>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C7BB4"/>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70E3B"/>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9470C"/>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 w:val="013A1150"/>
    <w:rsid w:val="02C55317"/>
    <w:rsid w:val="0498535F"/>
    <w:rsid w:val="050126C3"/>
    <w:rsid w:val="051416E4"/>
    <w:rsid w:val="057F0D93"/>
    <w:rsid w:val="05A92A4C"/>
    <w:rsid w:val="06C605F1"/>
    <w:rsid w:val="081D74C9"/>
    <w:rsid w:val="082D0EE7"/>
    <w:rsid w:val="086B4197"/>
    <w:rsid w:val="09477B81"/>
    <w:rsid w:val="095E2CD0"/>
    <w:rsid w:val="09EC0632"/>
    <w:rsid w:val="0BA13F4A"/>
    <w:rsid w:val="0CF12DCE"/>
    <w:rsid w:val="0F1616A9"/>
    <w:rsid w:val="0F493E89"/>
    <w:rsid w:val="0F61774B"/>
    <w:rsid w:val="1122192A"/>
    <w:rsid w:val="12EB221A"/>
    <w:rsid w:val="14DE3B0C"/>
    <w:rsid w:val="15AA0A99"/>
    <w:rsid w:val="168B140C"/>
    <w:rsid w:val="169961A3"/>
    <w:rsid w:val="16AB3EBF"/>
    <w:rsid w:val="171E7C59"/>
    <w:rsid w:val="174165D4"/>
    <w:rsid w:val="176973D8"/>
    <w:rsid w:val="195E21AF"/>
    <w:rsid w:val="19737D97"/>
    <w:rsid w:val="1B1B235E"/>
    <w:rsid w:val="1C037E84"/>
    <w:rsid w:val="1CA4563B"/>
    <w:rsid w:val="1D1979CC"/>
    <w:rsid w:val="1DB5000E"/>
    <w:rsid w:val="1EB5581B"/>
    <w:rsid w:val="208C2876"/>
    <w:rsid w:val="227F2CA6"/>
    <w:rsid w:val="22A52EE6"/>
    <w:rsid w:val="22F66168"/>
    <w:rsid w:val="23DA77E2"/>
    <w:rsid w:val="25FF6294"/>
    <w:rsid w:val="263A3D46"/>
    <w:rsid w:val="2651396B"/>
    <w:rsid w:val="28DB09E4"/>
    <w:rsid w:val="2B3808F6"/>
    <w:rsid w:val="2B69382C"/>
    <w:rsid w:val="2BEC5050"/>
    <w:rsid w:val="2CA3348B"/>
    <w:rsid w:val="2CB646DF"/>
    <w:rsid w:val="2F6B035B"/>
    <w:rsid w:val="301D017F"/>
    <w:rsid w:val="31961F6A"/>
    <w:rsid w:val="31D23601"/>
    <w:rsid w:val="320633C0"/>
    <w:rsid w:val="3262376A"/>
    <w:rsid w:val="34E27153"/>
    <w:rsid w:val="34F82673"/>
    <w:rsid w:val="34FC447A"/>
    <w:rsid w:val="362B296D"/>
    <w:rsid w:val="371A77CF"/>
    <w:rsid w:val="386A0C9E"/>
    <w:rsid w:val="38D25839"/>
    <w:rsid w:val="39DB7E02"/>
    <w:rsid w:val="3A312F92"/>
    <w:rsid w:val="3B0E02F8"/>
    <w:rsid w:val="3DC34C62"/>
    <w:rsid w:val="3EB562F9"/>
    <w:rsid w:val="3F2A54AE"/>
    <w:rsid w:val="3F2F3A36"/>
    <w:rsid w:val="4012019D"/>
    <w:rsid w:val="40633793"/>
    <w:rsid w:val="424B1289"/>
    <w:rsid w:val="43507DFC"/>
    <w:rsid w:val="45282CB4"/>
    <w:rsid w:val="48C72BD1"/>
    <w:rsid w:val="495770CD"/>
    <w:rsid w:val="49734B0E"/>
    <w:rsid w:val="4A287AB5"/>
    <w:rsid w:val="50A05F11"/>
    <w:rsid w:val="539A4C6D"/>
    <w:rsid w:val="5438153A"/>
    <w:rsid w:val="55BF217F"/>
    <w:rsid w:val="56C36665"/>
    <w:rsid w:val="57096DD9"/>
    <w:rsid w:val="580D3184"/>
    <w:rsid w:val="5A203AE8"/>
    <w:rsid w:val="5ACE4F06"/>
    <w:rsid w:val="5AFC3CC2"/>
    <w:rsid w:val="5B661F87"/>
    <w:rsid w:val="5C60569C"/>
    <w:rsid w:val="5C88775A"/>
    <w:rsid w:val="5DC54217"/>
    <w:rsid w:val="5E17116A"/>
    <w:rsid w:val="5F0D6ABF"/>
    <w:rsid w:val="6040446F"/>
    <w:rsid w:val="61061D24"/>
    <w:rsid w:val="62C76849"/>
    <w:rsid w:val="63035AB9"/>
    <w:rsid w:val="630A5BB9"/>
    <w:rsid w:val="630F60CD"/>
    <w:rsid w:val="64680F4A"/>
    <w:rsid w:val="658B078D"/>
    <w:rsid w:val="66090676"/>
    <w:rsid w:val="67EA4979"/>
    <w:rsid w:val="69231B8D"/>
    <w:rsid w:val="6A111E64"/>
    <w:rsid w:val="6ACE004E"/>
    <w:rsid w:val="6B5B2582"/>
    <w:rsid w:val="6B861377"/>
    <w:rsid w:val="6BFB1A23"/>
    <w:rsid w:val="6C353CDA"/>
    <w:rsid w:val="6CCE2713"/>
    <w:rsid w:val="6DA203ED"/>
    <w:rsid w:val="6E1F57B8"/>
    <w:rsid w:val="6E6510F1"/>
    <w:rsid w:val="6EB32A1B"/>
    <w:rsid w:val="6FEE7863"/>
    <w:rsid w:val="70041375"/>
    <w:rsid w:val="71071DC8"/>
    <w:rsid w:val="71715E5E"/>
    <w:rsid w:val="72C806E0"/>
    <w:rsid w:val="77FF1DDB"/>
    <w:rsid w:val="78B64C80"/>
    <w:rsid w:val="7A2A55D6"/>
    <w:rsid w:val="7A40469E"/>
    <w:rsid w:val="7AD21826"/>
    <w:rsid w:val="7BD36D61"/>
    <w:rsid w:val="7C607F1C"/>
    <w:rsid w:val="7CE61294"/>
    <w:rsid w:val="7CE64CD8"/>
    <w:rsid w:val="7E6F4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rules v:ext="edit">
        <o:r id="V:Rule1" type="connector" idref="#_x0000_s1026"/>
      </o:rules>
    </o:shapelayout>
  </w:shapeDefaults>
  <w:decimalSymbol w:val="."/>
  <w:listSeparator w:val=","/>
  <w14:docId w14:val="16759E51"/>
  <w15:docId w15:val="{865B999B-E923-44C9-9CD4-35EE850A1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qFormat/>
    <w:pPr>
      <w:spacing w:beforeAutospacing="1" w:afterAutospacing="1"/>
    </w:pPr>
    <w:rPr>
      <w:sz w:val="24"/>
      <w:szCs w:val="24"/>
      <w:lang w:val="en-US" w:eastAsia="zh-CN"/>
    </w:rPr>
  </w:style>
  <w:style w:type="paragraph" w:styleId="Signature">
    <w:name w:val="Signature"/>
    <w:basedOn w:val="Normal"/>
    <w:qFormat/>
    <w:pPr>
      <w:ind w:left="4320"/>
    </w:pPr>
  </w:style>
  <w:style w:type="character" w:styleId="Strong">
    <w:name w:val="Strong"/>
    <w:basedOn w:val="DefaultParagraphFont"/>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uiPriority w:val="1"/>
    <w:qFormat/>
    <w:rPr>
      <w:rFonts w:ascii="Calibri" w:eastAsia="Calibri" w:hAnsi="Calibri"/>
      <w:sz w:val="22"/>
      <w:szCs w:val="22"/>
      <w:lang w:val="en-US" w:eastAsia="en-US"/>
    </w:rPr>
  </w:style>
  <w:style w:type="paragraph" w:styleId="ListParagraph">
    <w:name w:val="List Paragraph"/>
    <w:basedOn w:val="Normal"/>
    <w:uiPriority w:val="99"/>
    <w:unhideWhenUsed/>
    <w:qFormat/>
    <w:pPr>
      <w:ind w:left="720"/>
      <w:contextualSpacing/>
    </w:pPr>
  </w:style>
  <w:style w:type="character" w:styleId="UnresolvedMention">
    <w:name w:val="Unresolved Mention"/>
    <w:basedOn w:val="DefaultParagraphFont"/>
    <w:uiPriority w:val="99"/>
    <w:semiHidden/>
    <w:unhideWhenUsed/>
    <w:rsid w:val="001C6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doi.org/10.1177/031289628801300" TargetMode="External"/><Relationship Id="rId26" Type="http://schemas.openxmlformats.org/officeDocument/2006/relationships/hyperlink" Target="https://doi.org/10.22158/wjer.v5n2p134" TargetMode="External"/><Relationship Id="rId3" Type="http://schemas.openxmlformats.org/officeDocument/2006/relationships/numbering" Target="numbering.xml"/><Relationship Id="rId21" Type="http://schemas.openxmlformats.org/officeDocument/2006/relationships/hyperlink" Target="https://doi.org/10.1080/0013188870290102"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psycnet.apa.org/record/1985-98423-000" TargetMode="External"/><Relationship Id="rId25" Type="http://schemas.openxmlformats.org/officeDocument/2006/relationships/hyperlink" Target="https://doi.org/10.1177/0022487118791992https:/doi.org/10.1177/0022487118791992"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i.org/10.1007/s35834-022-00343-9" TargetMode="External"/><Relationship Id="rId20" Type="http://schemas.openxmlformats.org/officeDocument/2006/relationships/hyperlink" Target="https://doi.org/10.1037/0022-0663.76.4.569"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doi.org/10.1177/00049441211060474"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i.org/10.53378/353011" TargetMode="External"/><Relationship Id="rId23" Type="http://schemas.openxmlformats.org/officeDocument/2006/relationships/hyperlink" Target="https://doi.org/10.1177/21582440221149005" TargetMode="External"/><Relationship Id="rId28"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s://doi.org/10.18502/kss.v4i4.6464" TargetMode="External"/><Relationship Id="rId31"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1080/08878730.2021.2003496" TargetMode="External"/><Relationship Id="rId27" Type="http://schemas.openxmlformats.org/officeDocument/2006/relationships/hyperlink" Target="https://doi.org/10.57126/noad.v8i1.8683" TargetMode="External"/><Relationship Id="rId30" Type="http://schemas.openxmlformats.org/officeDocument/2006/relationships/footer" Target="footer4.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99D1BB-48C6-4316-B27B-04598A7EA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TotalTime>
  <Pages>14</Pages>
  <Words>6778</Words>
  <Characters>38638</Characters>
  <Application>Microsoft Office Word</Application>
  <DocSecurity>0</DocSecurity>
  <Lines>321</Lines>
  <Paragraphs>90</Paragraphs>
  <ScaleCrop>false</ScaleCrop>
  <Company>aaaa</Company>
  <LinksUpToDate>false</LinksUpToDate>
  <CharactersWithSpaces>45326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8</cp:revision>
  <cp:lastPrinted>1999-07-06T11:00:00Z</cp:lastPrinted>
  <dcterms:created xsi:type="dcterms:W3CDTF">2014-10-25T14:34:00Z</dcterms:created>
  <dcterms:modified xsi:type="dcterms:W3CDTF">2025-04-19T14:22:00Z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07BCA11FCC65406AB399C1CF95CBB757_12</vt:lpwstr>
  </property>
</Properties>
</file>