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C1496D" w:rsidRDefault="000763D2" w:rsidP="000763D2">
      <w:pPr>
        <w:pStyle w:val="Author"/>
        <w:spacing w:line="240" w:lineRule="auto"/>
        <w:jc w:val="left"/>
        <w:rPr>
          <w:rFonts w:ascii="Arial" w:hAnsi="Arial" w:cs="Arial"/>
          <w:bCs/>
          <w:i/>
          <w:kern w:val="28"/>
          <w:szCs w:val="24"/>
          <w:u w:val="single"/>
        </w:rPr>
      </w:pPr>
      <w:r w:rsidRPr="00C1496D">
        <w:rPr>
          <w:rFonts w:ascii="Arial" w:hAnsi="Arial" w:cs="Arial"/>
          <w:bCs/>
          <w:i/>
          <w:kern w:val="28"/>
          <w:szCs w:val="24"/>
          <w:u w:val="single"/>
        </w:rPr>
        <w:t>Original Research Article</w:t>
      </w:r>
    </w:p>
    <w:p w14:paraId="2F171CEA" w14:textId="77777777" w:rsidR="00717F2E" w:rsidRDefault="00717F2E">
      <w:pPr>
        <w:pStyle w:val="Author"/>
        <w:spacing w:line="240" w:lineRule="auto"/>
        <w:jc w:val="left"/>
        <w:rPr>
          <w:rFonts w:ascii="Arial" w:hAnsi="Arial" w:cs="Arial"/>
          <w:bCs/>
          <w:iCs/>
          <w:kern w:val="28"/>
          <w:sz w:val="20"/>
        </w:rPr>
      </w:pPr>
    </w:p>
    <w:p w14:paraId="24BD0C5C" w14:textId="77777777" w:rsidR="00717F2E" w:rsidRDefault="00717F2E">
      <w:pPr>
        <w:pStyle w:val="Author"/>
        <w:spacing w:line="240" w:lineRule="auto"/>
        <w:jc w:val="left"/>
        <w:rPr>
          <w:rFonts w:ascii="Arial" w:hAnsi="Arial" w:cs="Arial"/>
          <w:bCs/>
          <w:iCs/>
          <w:kern w:val="28"/>
          <w:sz w:val="20"/>
        </w:rPr>
      </w:pPr>
    </w:p>
    <w:p w14:paraId="67BD09F6" w14:textId="77777777" w:rsidR="00B54AB6" w:rsidRDefault="00B54AB6" w:rsidP="00B54AB6">
      <w:pPr>
        <w:pStyle w:val="Author"/>
        <w:rPr>
          <w:rFonts w:ascii="Arial" w:hAnsi="Arial" w:cs="Arial"/>
          <w:noProof/>
          <w:sz w:val="28"/>
          <w:szCs w:val="28"/>
          <w:lang w:val="en-PH" w:eastAsia="en-PH"/>
        </w:rPr>
      </w:pPr>
      <w:r w:rsidRPr="00B54AB6">
        <w:rPr>
          <w:rFonts w:ascii="Arial" w:hAnsi="Arial" w:cs="Arial"/>
          <w:noProof/>
          <w:sz w:val="28"/>
          <w:szCs w:val="28"/>
          <w:lang w:val="en-PH" w:eastAsia="en-PH"/>
        </w:rPr>
        <w:t xml:space="preserve">TEACHERS’ MOTIVATION AND CONCEPTUAL UNDERSTANDING FOR STUDENTS IN </w:t>
      </w:r>
    </w:p>
    <w:p w14:paraId="3F4D9238" w14:textId="74C5EA5E" w:rsidR="00B54AB6" w:rsidRDefault="00B54AB6" w:rsidP="00B54AB6">
      <w:pPr>
        <w:pStyle w:val="Author"/>
        <w:rPr>
          <w:rFonts w:ascii="Arial" w:hAnsi="Arial" w:cs="Arial"/>
          <w:noProof/>
          <w:sz w:val="28"/>
          <w:szCs w:val="28"/>
          <w:lang w:val="en-PH" w:eastAsia="en-PH"/>
        </w:rPr>
      </w:pPr>
      <w:r w:rsidRPr="00B54AB6">
        <w:rPr>
          <w:rFonts w:ascii="Arial" w:hAnsi="Arial" w:cs="Arial"/>
          <w:noProof/>
          <w:sz w:val="28"/>
          <w:szCs w:val="28"/>
          <w:lang w:val="en-PH" w:eastAsia="en-PH"/>
        </w:rPr>
        <w:t>PUBLIC ELEMENTARY SCHOOLS</w:t>
      </w:r>
    </w:p>
    <w:p w14:paraId="60415DAF" w14:textId="2C9A025D" w:rsidR="00717F2E" w:rsidRDefault="009C211B" w:rsidP="00E44FAD">
      <w:pPr>
        <w:pStyle w:val="Author"/>
        <w:spacing w:line="240" w:lineRule="auto"/>
        <w:ind w:left="2880"/>
        <w:jc w:val="both"/>
        <w:rPr>
          <w:rFonts w:ascii="Arial" w:hAnsi="Arial" w:cs="Arial"/>
          <w:sz w:val="20"/>
        </w:rPr>
      </w:pPr>
      <w:r>
        <w:rPr>
          <w:rFonts w:ascii="Arial" w:hAnsi="Arial" w:cs="Arial"/>
          <w:sz w:val="20"/>
        </w:rPr>
        <w:t xml:space="preserve">             </w:t>
      </w:r>
      <w:r w:rsidR="0004787B">
        <w:rPr>
          <w:rFonts w:ascii="Arial" w:hAnsi="Arial" w:cs="Arial"/>
          <w:sz w:val="20"/>
        </w:rPr>
        <w:t xml:space="preserve">            </w:t>
      </w:r>
    </w:p>
    <w:p w14:paraId="2B597BC2" w14:textId="77777777" w:rsidR="00E44FAD" w:rsidRDefault="00E44FAD" w:rsidP="00E44FAD">
      <w:pPr>
        <w:pStyle w:val="Author"/>
        <w:spacing w:line="240" w:lineRule="auto"/>
        <w:ind w:left="2880"/>
        <w:jc w:val="both"/>
        <w:rPr>
          <w:rFonts w:ascii="Arial" w:hAnsi="Arial" w:cs="Arial"/>
          <w:i/>
        </w:rPr>
      </w:pPr>
    </w:p>
    <w:p w14:paraId="46B3DCDD" w14:textId="77777777" w:rsidR="00717F2E" w:rsidRDefault="006965E4">
      <w:pPr>
        <w:pStyle w:val="Affiliation"/>
        <w:spacing w:line="240" w:lineRule="auto"/>
        <w:jc w:val="left"/>
        <w:rPr>
          <w:rFonts w:ascii="Arial" w:hAnsi="Arial" w:cs="Arial"/>
          <w:i/>
        </w:rPr>
        <w:sectPr w:rsidR="00717F2E" w:rsidSect="00E44FAD">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6965E4">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3738D9C7" w:rsidR="00717F2E" w:rsidRPr="000763D2" w:rsidRDefault="0004787B">
            <w:pPr>
              <w:jc w:val="both"/>
              <w:rPr>
                <w:rFonts w:ascii="Arial" w:hAnsi="Arial" w:cs="Arial"/>
                <w:iCs/>
              </w:rPr>
            </w:pPr>
            <w:r w:rsidRPr="0004787B">
              <w:rPr>
                <w:rFonts w:ascii="Arial" w:hAnsi="Arial" w:cs="Arial"/>
                <w:iCs/>
              </w:rPr>
              <w:t xml:space="preserve">This study aimed to determine the teacher’s motivation and conceptual understanding for students in public elementary schools. This study used the non-experimental quantitative research design utilizing correlational method. The respondents of this study were composed of 135 teachers in public elementary school using the universal sampling. The data analysis utilized the mean, </w:t>
            </w:r>
            <w:proofErr w:type="spellStart"/>
            <w:r w:rsidRPr="0004787B">
              <w:rPr>
                <w:rFonts w:ascii="Arial" w:hAnsi="Arial" w:cs="Arial"/>
                <w:iCs/>
              </w:rPr>
              <w:t>pearson</w:t>
            </w:r>
            <w:proofErr w:type="spellEnd"/>
            <w:r w:rsidRPr="0004787B">
              <w:rPr>
                <w:rFonts w:ascii="Arial" w:hAnsi="Arial" w:cs="Arial"/>
                <w:iCs/>
              </w:rPr>
              <w:t>-r and regression analysis. The findings revealed that the teacher’s motivation for students in public elementary schools in terms of self-efficacy, active understanding strategies, understanding value, performance goal and understanding environment were manifested oftentimes by the teachers. Moreover, their teacher’s conceptual understanding for students in terms of objective response and analysis and reasoning were manifested oftentimes by the teachers. It was found out that there was a significant relationship between the teacher’s motivation and conceptual understanding for students in public elementary schools. It showed further that the domains of teacher’s motivation are significantly influence with conceptual understanding for students in public elementary school. Based on the findings the recommendations shown, that public school teachers may help the students to put the information in a logical order such that one can learn and understand the new concepts by relating them to the concepts they already know. This way they better grasp why a conceptual understanding is significant and how it can be applied in real situations.</w:t>
            </w:r>
          </w:p>
        </w:tc>
      </w:tr>
    </w:tbl>
    <w:p w14:paraId="175A3F79" w14:textId="77777777" w:rsidR="00717F2E" w:rsidRDefault="00717F2E">
      <w:pPr>
        <w:pStyle w:val="Body"/>
        <w:spacing w:after="0"/>
        <w:rPr>
          <w:rFonts w:ascii="Arial" w:hAnsi="Arial" w:cs="Arial"/>
          <w:i/>
        </w:rPr>
      </w:pPr>
    </w:p>
    <w:p w14:paraId="405B1E2E" w14:textId="1F978CD2" w:rsidR="00717F2E" w:rsidRPr="0004787B" w:rsidRDefault="006965E4" w:rsidP="0004787B">
      <w:pPr>
        <w:jc w:val="both"/>
        <w:rPr>
          <w:rFonts w:ascii="Arial" w:hAnsi="Arial" w:cs="Arial"/>
          <w:iCs/>
        </w:rPr>
      </w:pPr>
      <w:r w:rsidRPr="000763D2">
        <w:rPr>
          <w:rFonts w:ascii="Arial" w:hAnsi="Arial" w:cs="Arial"/>
          <w:i/>
          <w:iCs/>
        </w:rPr>
        <w:t>Keywords</w:t>
      </w:r>
      <w:r>
        <w:rPr>
          <w:rFonts w:ascii="Arial" w:hAnsi="Arial" w:cs="Arial"/>
        </w:rPr>
        <w:t xml:space="preserve">: </w:t>
      </w:r>
      <w:r w:rsidR="0004787B" w:rsidRPr="0004787B">
        <w:rPr>
          <w:rFonts w:ascii="Arial" w:hAnsi="Arial" w:cs="Arial"/>
          <w:iCs/>
        </w:rPr>
        <w:t>Teachers’ motivation, Conceptual Understanding, Public Elementary</w:t>
      </w:r>
      <w:r w:rsidR="0004787B">
        <w:rPr>
          <w:rFonts w:ascii="Arial" w:hAnsi="Arial" w:cs="Arial"/>
          <w:iCs/>
        </w:rPr>
        <w:t xml:space="preserve"> </w:t>
      </w:r>
      <w:r w:rsidR="0004787B" w:rsidRPr="0004787B">
        <w:rPr>
          <w:rFonts w:ascii="Arial" w:hAnsi="Arial" w:cs="Arial"/>
          <w:iCs/>
        </w:rPr>
        <w:t>Schools, Philippines</w:t>
      </w:r>
    </w:p>
    <w:p w14:paraId="02A1992A" w14:textId="77777777" w:rsidR="00717F2E" w:rsidRDefault="00717F2E">
      <w:pPr>
        <w:pStyle w:val="AbstHead"/>
        <w:spacing w:after="0"/>
        <w:jc w:val="both"/>
        <w:rPr>
          <w:rFonts w:ascii="Arial" w:hAnsi="Arial" w:cs="Arial"/>
          <w:sz w:val="20"/>
        </w:rPr>
      </w:pPr>
    </w:p>
    <w:p w14:paraId="0C7D9A8E" w14:textId="77777777" w:rsidR="00717F2E" w:rsidRDefault="006965E4">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2667159" w14:textId="08FA8316" w:rsidR="009555B0" w:rsidRPr="009555B0" w:rsidRDefault="009555B0" w:rsidP="009555B0">
      <w:pPr>
        <w:jc w:val="both"/>
        <w:rPr>
          <w:rFonts w:ascii="Arial" w:hAnsi="Arial"/>
        </w:rPr>
      </w:pPr>
      <w:r w:rsidRPr="009555B0">
        <w:rPr>
          <w:rFonts w:ascii="Arial" w:hAnsi="Arial"/>
        </w:rPr>
        <w:t>Fostering student motivation is a challenging yet essential aspect of teaching that educators must carefully consider. Teachers often lead classes where students are engaged, motivated, and eager to learn, while in other cases, students may appear distracted, disinterested, and reluctant to participate</w:t>
      </w:r>
      <w:r w:rsidR="00912CD0">
        <w:rPr>
          <w:rFonts w:ascii="Arial" w:hAnsi="Arial"/>
        </w:rPr>
        <w:t xml:space="preserve"> (</w:t>
      </w:r>
      <w:proofErr w:type="spellStart"/>
      <w:r w:rsidR="00912CD0" w:rsidRPr="00912CD0">
        <w:rPr>
          <w:rFonts w:ascii="Arial" w:hAnsi="Arial"/>
        </w:rPr>
        <w:t>Mastul</w:t>
      </w:r>
      <w:proofErr w:type="spellEnd"/>
      <w:r w:rsidR="00912CD0">
        <w:rPr>
          <w:rFonts w:ascii="Arial" w:hAnsi="Arial"/>
        </w:rPr>
        <w:t>, 2024).</w:t>
      </w:r>
      <w:r w:rsidRPr="009555B0">
        <w:rPr>
          <w:rFonts w:ascii="Arial" w:hAnsi="Arial"/>
        </w:rPr>
        <w:t xml:space="preserve"> Motivation varies from student to student, but established models provide useful frameworks for understanding and enhancing motivation in the classroom</w:t>
      </w:r>
      <w:r w:rsidR="00912CD0">
        <w:rPr>
          <w:rFonts w:ascii="Arial" w:hAnsi="Arial"/>
        </w:rPr>
        <w:t xml:space="preserve"> (</w:t>
      </w:r>
      <w:r w:rsidR="00912CD0" w:rsidRPr="00912CD0">
        <w:rPr>
          <w:rFonts w:ascii="Arial" w:hAnsi="Arial"/>
        </w:rPr>
        <w:t>Bower</w:t>
      </w:r>
      <w:r w:rsidR="00912CD0">
        <w:rPr>
          <w:rFonts w:ascii="Arial" w:hAnsi="Arial"/>
        </w:rPr>
        <w:t>, 2019).</w:t>
      </w:r>
    </w:p>
    <w:p w14:paraId="7F171D40" w14:textId="77777777" w:rsidR="009555B0" w:rsidRPr="009555B0" w:rsidRDefault="009555B0" w:rsidP="009555B0">
      <w:pPr>
        <w:jc w:val="both"/>
        <w:rPr>
          <w:rFonts w:ascii="Arial" w:hAnsi="Arial"/>
        </w:rPr>
      </w:pPr>
    </w:p>
    <w:p w14:paraId="34CA09C0" w14:textId="54037737" w:rsidR="009555B0" w:rsidRPr="009555B0" w:rsidRDefault="009555B0" w:rsidP="009555B0">
      <w:pPr>
        <w:jc w:val="both"/>
        <w:rPr>
          <w:rFonts w:ascii="Arial" w:hAnsi="Arial"/>
        </w:rPr>
      </w:pPr>
      <w:r w:rsidRPr="009555B0">
        <w:rPr>
          <w:rFonts w:ascii="Arial" w:hAnsi="Arial"/>
        </w:rPr>
        <w:t>In Washington, D.C., in connection with students' academic performance, a researcher aimed to determine the levels of motivation and conceptual understanding among students enrolled in an education course. The findings were used to develop an instructional design tailored for online learning in higher education. This researcher-made instructional design was intended to improve student motivation and academic performance in education-related subjects (</w:t>
      </w:r>
      <w:proofErr w:type="spellStart"/>
      <w:r w:rsidR="00912CD0" w:rsidRPr="00912CD0">
        <w:rPr>
          <w:rFonts w:ascii="Arial" w:hAnsi="Arial"/>
        </w:rPr>
        <w:t>Almulla</w:t>
      </w:r>
      <w:proofErr w:type="spellEnd"/>
      <w:r w:rsidR="00912CD0">
        <w:rPr>
          <w:rFonts w:ascii="Arial" w:hAnsi="Arial"/>
        </w:rPr>
        <w:t xml:space="preserve"> </w:t>
      </w:r>
      <w:r w:rsidR="00912CD0" w:rsidRPr="00912CD0">
        <w:rPr>
          <w:rFonts w:ascii="Arial" w:hAnsi="Arial"/>
        </w:rPr>
        <w:t xml:space="preserve">&amp; </w:t>
      </w:r>
      <w:proofErr w:type="spellStart"/>
      <w:r w:rsidR="00912CD0" w:rsidRPr="00912CD0">
        <w:rPr>
          <w:rFonts w:ascii="Arial" w:hAnsi="Arial"/>
        </w:rPr>
        <w:t>Alamri</w:t>
      </w:r>
      <w:proofErr w:type="spellEnd"/>
      <w:r w:rsidR="00912CD0">
        <w:rPr>
          <w:rFonts w:ascii="Arial" w:hAnsi="Arial"/>
        </w:rPr>
        <w:t>, 2021).</w:t>
      </w:r>
    </w:p>
    <w:p w14:paraId="45E4DB00" w14:textId="77777777" w:rsidR="009555B0" w:rsidRPr="009555B0" w:rsidRDefault="009555B0" w:rsidP="009555B0">
      <w:pPr>
        <w:jc w:val="both"/>
        <w:rPr>
          <w:rFonts w:ascii="Arial" w:hAnsi="Arial"/>
        </w:rPr>
      </w:pPr>
    </w:p>
    <w:p w14:paraId="77B25714" w14:textId="2C0B735F" w:rsidR="009555B0" w:rsidRPr="009555B0" w:rsidRDefault="00635592" w:rsidP="009555B0">
      <w:pPr>
        <w:jc w:val="both"/>
        <w:rPr>
          <w:rFonts w:ascii="Arial" w:hAnsi="Arial"/>
        </w:rPr>
      </w:pPr>
      <w:r w:rsidRPr="00635592">
        <w:rPr>
          <w:rFonts w:ascii="Arial" w:hAnsi="Arial"/>
        </w:rPr>
        <w:t>Wardani</w:t>
      </w:r>
      <w:r>
        <w:rPr>
          <w:rFonts w:ascii="Arial" w:hAnsi="Arial"/>
        </w:rPr>
        <w:t xml:space="preserve"> et al.</w:t>
      </w:r>
      <w:r w:rsidR="009555B0" w:rsidRPr="009555B0">
        <w:rPr>
          <w:rFonts w:ascii="Arial" w:hAnsi="Arial"/>
        </w:rPr>
        <w:t xml:space="preserve"> (202</w:t>
      </w:r>
      <w:r>
        <w:rPr>
          <w:rFonts w:ascii="Arial" w:hAnsi="Arial"/>
        </w:rPr>
        <w:t>0</w:t>
      </w:r>
      <w:r w:rsidR="009555B0" w:rsidRPr="009555B0">
        <w:rPr>
          <w:rFonts w:ascii="Arial" w:hAnsi="Arial"/>
        </w:rPr>
        <w:t xml:space="preserve">) emphasized the crucial role of student motivation in education, highlighting its significance in promoting conceptual understanding. Several factors influence </w:t>
      </w:r>
      <w:r w:rsidR="009555B0" w:rsidRPr="009555B0">
        <w:rPr>
          <w:rFonts w:ascii="Arial" w:hAnsi="Arial"/>
        </w:rPr>
        <w:lastRenderedPageBreak/>
        <w:t>students' academic performance, including their backgrounds and school environments (</w:t>
      </w:r>
      <w:r w:rsidRPr="00635592">
        <w:rPr>
          <w:rFonts w:ascii="Arial" w:hAnsi="Arial"/>
        </w:rPr>
        <w:t>Rafiq</w:t>
      </w:r>
      <w:r>
        <w:rPr>
          <w:rFonts w:ascii="Arial" w:hAnsi="Arial"/>
        </w:rPr>
        <w:t xml:space="preserve"> et al.</w:t>
      </w:r>
      <w:r w:rsidR="009555B0" w:rsidRPr="009555B0">
        <w:rPr>
          <w:rFonts w:ascii="Arial" w:hAnsi="Arial"/>
        </w:rPr>
        <w:t>, 20</w:t>
      </w:r>
      <w:r>
        <w:rPr>
          <w:rFonts w:ascii="Arial" w:hAnsi="Arial"/>
        </w:rPr>
        <w:t>20</w:t>
      </w:r>
      <w:r w:rsidR="009555B0" w:rsidRPr="009555B0">
        <w:rPr>
          <w:rFonts w:ascii="Arial" w:hAnsi="Arial"/>
        </w:rPr>
        <w:t>). Additionally, prior conceptual understanding has been found to significantly impact students' future academic achievements (</w:t>
      </w:r>
      <w:r w:rsidRPr="00635592">
        <w:rPr>
          <w:rFonts w:ascii="Arial" w:hAnsi="Arial"/>
        </w:rPr>
        <w:t>Jacob</w:t>
      </w:r>
      <w:r>
        <w:rPr>
          <w:rFonts w:ascii="Arial" w:hAnsi="Arial"/>
        </w:rPr>
        <w:t xml:space="preserve"> et al.</w:t>
      </w:r>
      <w:r w:rsidR="009555B0" w:rsidRPr="009555B0">
        <w:rPr>
          <w:rFonts w:ascii="Arial" w:hAnsi="Arial"/>
        </w:rPr>
        <w:t>, 2022).</w:t>
      </w:r>
    </w:p>
    <w:p w14:paraId="0FC3906E" w14:textId="77777777" w:rsidR="009555B0" w:rsidRPr="009555B0" w:rsidRDefault="009555B0" w:rsidP="009555B0">
      <w:pPr>
        <w:jc w:val="both"/>
        <w:rPr>
          <w:rFonts w:ascii="Arial" w:hAnsi="Arial"/>
        </w:rPr>
      </w:pPr>
    </w:p>
    <w:p w14:paraId="5C8890AB" w14:textId="0FFB51B6" w:rsidR="009555B0" w:rsidRPr="009555B0" w:rsidRDefault="009555B0" w:rsidP="009555B0">
      <w:pPr>
        <w:jc w:val="both"/>
        <w:rPr>
          <w:rFonts w:ascii="Arial" w:hAnsi="Arial"/>
        </w:rPr>
      </w:pPr>
      <w:r w:rsidRPr="009555B0">
        <w:rPr>
          <w:rFonts w:ascii="Arial" w:hAnsi="Arial"/>
        </w:rPr>
        <w:t xml:space="preserve">In </w:t>
      </w:r>
      <w:r w:rsidR="006E744F">
        <w:rPr>
          <w:rFonts w:ascii="Arial" w:hAnsi="Arial"/>
        </w:rPr>
        <w:t>Malaysia</w:t>
      </w:r>
      <w:r w:rsidRPr="009555B0">
        <w:rPr>
          <w:rFonts w:ascii="Arial" w:hAnsi="Arial"/>
        </w:rPr>
        <w:t xml:space="preserve">, various teaching strategies and instructional designs have been developed by researchers to enhance conceptual understanding. </w:t>
      </w:r>
      <w:r w:rsidR="006E744F" w:rsidRPr="006E744F">
        <w:rPr>
          <w:rFonts w:ascii="Arial" w:hAnsi="Arial"/>
        </w:rPr>
        <w:t xml:space="preserve">Zain </w:t>
      </w:r>
      <w:r w:rsidR="006E744F">
        <w:rPr>
          <w:rFonts w:ascii="Arial" w:hAnsi="Arial"/>
        </w:rPr>
        <w:t xml:space="preserve">et al. </w:t>
      </w:r>
      <w:r w:rsidRPr="009555B0">
        <w:rPr>
          <w:rFonts w:ascii="Arial" w:hAnsi="Arial"/>
        </w:rPr>
        <w:t>(20</w:t>
      </w:r>
      <w:r w:rsidR="006E744F">
        <w:rPr>
          <w:rFonts w:ascii="Arial" w:hAnsi="Arial"/>
        </w:rPr>
        <w:t>22</w:t>
      </w:r>
      <w:r w:rsidRPr="009555B0">
        <w:rPr>
          <w:rFonts w:ascii="Arial" w:hAnsi="Arial"/>
        </w:rPr>
        <w:t>) found that class discussions incorporating higher-order thinking and guiding questions encouraged student participation. The use of models to aid students in conceptualizing the physical and chemical properties of substances has also been widely adopted in education (</w:t>
      </w:r>
      <w:r w:rsidR="003B12FC" w:rsidRPr="003B12FC">
        <w:rPr>
          <w:rFonts w:ascii="Arial" w:hAnsi="Arial"/>
        </w:rPr>
        <w:t>Lazenby</w:t>
      </w:r>
      <w:r w:rsidR="003B12FC">
        <w:rPr>
          <w:rFonts w:ascii="Arial" w:hAnsi="Arial"/>
        </w:rPr>
        <w:t xml:space="preserve"> et al.</w:t>
      </w:r>
      <w:r w:rsidRPr="009555B0">
        <w:rPr>
          <w:rFonts w:ascii="Arial" w:hAnsi="Arial"/>
        </w:rPr>
        <w:t>, 201</w:t>
      </w:r>
      <w:r w:rsidR="003B12FC">
        <w:rPr>
          <w:rFonts w:ascii="Arial" w:hAnsi="Arial"/>
        </w:rPr>
        <w:t>9</w:t>
      </w:r>
      <w:r w:rsidRPr="009555B0">
        <w:rPr>
          <w:rFonts w:ascii="Arial" w:hAnsi="Arial"/>
        </w:rPr>
        <w:t>).</w:t>
      </w:r>
    </w:p>
    <w:p w14:paraId="7E22DF9C" w14:textId="77777777" w:rsidR="009555B0" w:rsidRPr="009555B0" w:rsidRDefault="009555B0" w:rsidP="009555B0">
      <w:pPr>
        <w:jc w:val="both"/>
        <w:rPr>
          <w:rFonts w:ascii="Arial" w:hAnsi="Arial"/>
        </w:rPr>
      </w:pPr>
    </w:p>
    <w:p w14:paraId="1AE96EAB" w14:textId="26257D67" w:rsidR="009555B0" w:rsidRPr="009555B0" w:rsidRDefault="009555B0" w:rsidP="009555B0">
      <w:pPr>
        <w:jc w:val="both"/>
        <w:rPr>
          <w:rFonts w:ascii="Arial" w:hAnsi="Arial"/>
        </w:rPr>
      </w:pPr>
      <w:r w:rsidRPr="009555B0">
        <w:rPr>
          <w:rFonts w:ascii="Arial" w:hAnsi="Arial"/>
        </w:rPr>
        <w:t>In the Philippines, motivation plays a vital role in helping students maintain focus on their academic goals. Motivated students are less likely to be distracted and are better able to sustain attention over extended periods. They exhibit goal-oriented behaviors, take initiative, demonstrate resilience, harness their curiosity, and show respect for their work. Ultimately, they become more self-directed learners (</w:t>
      </w:r>
      <w:proofErr w:type="spellStart"/>
      <w:r w:rsidR="00EC7E42" w:rsidRPr="00EC7E42">
        <w:rPr>
          <w:rFonts w:ascii="Arial" w:hAnsi="Arial"/>
        </w:rPr>
        <w:t>Gumasing</w:t>
      </w:r>
      <w:proofErr w:type="spellEnd"/>
      <w:r w:rsidR="00EC7E42">
        <w:rPr>
          <w:rFonts w:ascii="Arial" w:hAnsi="Arial"/>
        </w:rPr>
        <w:t xml:space="preserve"> </w:t>
      </w:r>
      <w:r w:rsidR="00EC7E42" w:rsidRPr="00EC7E42">
        <w:rPr>
          <w:rFonts w:ascii="Arial" w:hAnsi="Arial"/>
        </w:rPr>
        <w:t>&amp; Castro</w:t>
      </w:r>
      <w:r w:rsidR="00EC7E42">
        <w:rPr>
          <w:rFonts w:ascii="Arial" w:hAnsi="Arial"/>
        </w:rPr>
        <w:t xml:space="preserve">, </w:t>
      </w:r>
      <w:r w:rsidRPr="009555B0">
        <w:rPr>
          <w:rFonts w:ascii="Arial" w:hAnsi="Arial"/>
        </w:rPr>
        <w:t>20</w:t>
      </w:r>
      <w:r w:rsidR="00EC7E42">
        <w:rPr>
          <w:rFonts w:ascii="Arial" w:hAnsi="Arial"/>
        </w:rPr>
        <w:t>23</w:t>
      </w:r>
      <w:r w:rsidRPr="009555B0">
        <w:rPr>
          <w:rFonts w:ascii="Arial" w:hAnsi="Arial"/>
        </w:rPr>
        <w:t>).</w:t>
      </w:r>
    </w:p>
    <w:p w14:paraId="08474781" w14:textId="77777777" w:rsidR="009555B0" w:rsidRPr="009555B0" w:rsidRDefault="009555B0" w:rsidP="009555B0">
      <w:pPr>
        <w:jc w:val="both"/>
        <w:rPr>
          <w:rFonts w:ascii="Arial" w:hAnsi="Arial"/>
        </w:rPr>
      </w:pPr>
    </w:p>
    <w:p w14:paraId="318EC7E0" w14:textId="5CE70D87" w:rsidR="009555B0" w:rsidRPr="009555B0" w:rsidRDefault="009555B0" w:rsidP="009555B0">
      <w:pPr>
        <w:jc w:val="both"/>
        <w:rPr>
          <w:rFonts w:ascii="Arial" w:hAnsi="Arial"/>
        </w:rPr>
      </w:pPr>
      <w:r w:rsidRPr="009555B0">
        <w:rPr>
          <w:rFonts w:ascii="Arial" w:hAnsi="Arial"/>
        </w:rPr>
        <w:t>In Region XI, the constructivist approach is commonly used to encourage students to become active participants in the learning process. This approach enables learners to acquire new knowledge by building on their prior experiences (</w:t>
      </w:r>
      <w:r w:rsidR="00866DD1" w:rsidRPr="00866DD1">
        <w:rPr>
          <w:rFonts w:ascii="Arial" w:hAnsi="Arial"/>
        </w:rPr>
        <w:t>Lagrimas</w:t>
      </w:r>
      <w:r w:rsidR="00866DD1">
        <w:rPr>
          <w:rFonts w:ascii="Arial" w:hAnsi="Arial"/>
        </w:rPr>
        <w:t xml:space="preserve"> </w:t>
      </w:r>
      <w:r w:rsidR="00866DD1" w:rsidRPr="00866DD1">
        <w:rPr>
          <w:rFonts w:ascii="Arial" w:hAnsi="Arial"/>
        </w:rPr>
        <w:t>&amp; Buenaventura</w:t>
      </w:r>
      <w:r w:rsidRPr="009555B0">
        <w:rPr>
          <w:rFonts w:ascii="Arial" w:hAnsi="Arial"/>
        </w:rPr>
        <w:t>, 20</w:t>
      </w:r>
      <w:r w:rsidR="00866DD1">
        <w:rPr>
          <w:rFonts w:ascii="Arial" w:hAnsi="Arial"/>
        </w:rPr>
        <w:t>23</w:t>
      </w:r>
      <w:r w:rsidRPr="009555B0">
        <w:rPr>
          <w:rFonts w:ascii="Arial" w:hAnsi="Arial"/>
        </w:rPr>
        <w:t>). While intrinsic motivation is the ideal outcome, achieving this across all educational settings may not always be practical. Many required tasks are not inherently interesting or enjoyable for students. Instead, teachers can implement strategies that fulfill students’ basic psychological needs, helping to shift their motivation along the continuum toward more self-determined forms of learning. This approach leads to better academic outcomes (</w:t>
      </w:r>
      <w:r w:rsidR="00866DD1" w:rsidRPr="00866DD1">
        <w:rPr>
          <w:rFonts w:ascii="Arial" w:hAnsi="Arial"/>
        </w:rPr>
        <w:t>Alamri</w:t>
      </w:r>
      <w:r w:rsidR="00866DD1">
        <w:rPr>
          <w:rFonts w:ascii="Arial" w:hAnsi="Arial"/>
        </w:rPr>
        <w:t xml:space="preserve"> et al.</w:t>
      </w:r>
      <w:r w:rsidRPr="009555B0">
        <w:rPr>
          <w:rFonts w:ascii="Arial" w:hAnsi="Arial"/>
        </w:rPr>
        <w:t>, 20</w:t>
      </w:r>
      <w:r w:rsidR="00866DD1">
        <w:rPr>
          <w:rFonts w:ascii="Arial" w:hAnsi="Arial"/>
        </w:rPr>
        <w:t>20</w:t>
      </w:r>
      <w:r w:rsidRPr="009555B0">
        <w:rPr>
          <w:rFonts w:ascii="Arial" w:hAnsi="Arial"/>
        </w:rPr>
        <w:t>).</w:t>
      </w:r>
      <w:r w:rsidR="00822E31">
        <w:rPr>
          <w:rFonts w:ascii="Arial" w:hAnsi="Arial"/>
        </w:rPr>
        <w:t xml:space="preserve"> </w:t>
      </w:r>
      <w:r w:rsidR="00822E31" w:rsidRPr="00822E31">
        <w:rPr>
          <w:rFonts w:ascii="Arial" w:hAnsi="Arial"/>
        </w:rPr>
        <w:t>This study aimed to determine the teachers’ motivation and conceptual understanding for students in public elementary schools.</w:t>
      </w:r>
    </w:p>
    <w:p w14:paraId="3B4E48D7" w14:textId="77777777" w:rsidR="00B71C11" w:rsidRDefault="00B71C11">
      <w:pPr>
        <w:jc w:val="center"/>
        <w:rPr>
          <w:rFonts w:ascii="Arial" w:eastAsia="MS Mincho" w:hAnsi="Arial" w:cs="Arial"/>
          <w:b/>
          <w:bCs/>
          <w:lang w:eastAsia="ja-JP"/>
        </w:rPr>
      </w:pPr>
    </w:p>
    <w:p w14:paraId="4E203E42" w14:textId="77777777" w:rsidR="00866DD1" w:rsidRDefault="00866DD1">
      <w:pPr>
        <w:jc w:val="center"/>
        <w:rPr>
          <w:rFonts w:ascii="Arial" w:eastAsia="MS Mincho" w:hAnsi="Arial" w:cs="Arial"/>
          <w:b/>
          <w:bCs/>
          <w:lang w:eastAsia="ja-JP"/>
        </w:rPr>
      </w:pPr>
    </w:p>
    <w:p w14:paraId="43325AFF" w14:textId="39F3E7B7" w:rsidR="00866DD1" w:rsidRDefault="00866DD1">
      <w:pPr>
        <w:jc w:val="center"/>
        <w:rPr>
          <w:rFonts w:ascii="Arial" w:eastAsia="MS Mincho" w:hAnsi="Arial" w:cs="Arial"/>
          <w:b/>
          <w:bCs/>
          <w:lang w:eastAsia="ja-JP"/>
        </w:rPr>
      </w:pPr>
      <w:r>
        <w:rPr>
          <w:noProof/>
        </w:rPr>
        <w:drawing>
          <wp:inline distT="0" distB="0" distL="0" distR="0" wp14:anchorId="5D0D354A" wp14:editId="2FE96FFF">
            <wp:extent cx="3288827" cy="2552700"/>
            <wp:effectExtent l="0" t="0" r="6985" b="0"/>
            <wp:docPr id="195251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19472" name=""/>
                    <pic:cNvPicPr/>
                  </pic:nvPicPr>
                  <pic:blipFill rotWithShape="1">
                    <a:blip r:embed="rId15"/>
                    <a:srcRect l="32310" t="24431" r="27193" b="19688"/>
                    <a:stretch/>
                  </pic:blipFill>
                  <pic:spPr bwMode="auto">
                    <a:xfrm>
                      <a:off x="0" y="0"/>
                      <a:ext cx="3293171" cy="2556072"/>
                    </a:xfrm>
                    <a:prstGeom prst="rect">
                      <a:avLst/>
                    </a:prstGeom>
                    <a:ln>
                      <a:noFill/>
                    </a:ln>
                    <a:extLst>
                      <a:ext uri="{53640926-AAD7-44D8-BBD7-CCE9431645EC}">
                        <a14:shadowObscured xmlns:a14="http://schemas.microsoft.com/office/drawing/2010/main"/>
                      </a:ext>
                    </a:extLst>
                  </pic:spPr>
                </pic:pic>
              </a:graphicData>
            </a:graphic>
          </wp:inline>
        </w:drawing>
      </w:r>
    </w:p>
    <w:p w14:paraId="55F3F65E" w14:textId="77777777" w:rsidR="00866DD1" w:rsidRDefault="00866DD1" w:rsidP="00866DD1">
      <w:pPr>
        <w:rPr>
          <w:rFonts w:ascii="Arial" w:eastAsia="MS Mincho" w:hAnsi="Arial" w:cs="Arial"/>
          <w:b/>
          <w:bCs/>
          <w:lang w:eastAsia="ja-JP"/>
        </w:rPr>
      </w:pPr>
    </w:p>
    <w:p w14:paraId="45607481" w14:textId="77777777" w:rsidR="00B71C11" w:rsidRDefault="00B71C11" w:rsidP="00866DD1">
      <w:pPr>
        <w:rPr>
          <w:rFonts w:ascii="Arial" w:eastAsia="MS Mincho" w:hAnsi="Arial" w:cs="Arial"/>
          <w:b/>
          <w:bCs/>
          <w:lang w:eastAsia="ja-JP"/>
        </w:rPr>
      </w:pPr>
    </w:p>
    <w:p w14:paraId="388A769A" w14:textId="52453DCB" w:rsidR="00717F2E" w:rsidRDefault="006965E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w:t>
      </w:r>
      <w:r>
        <w:rPr>
          <w:rFonts w:ascii="Arial" w:eastAsia="MS Mincho" w:hAnsi="Arial" w:cs="Arial"/>
          <w:lang w:eastAsia="ja-JP"/>
        </w:rPr>
        <w:t xml:space="preserv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012EB897" w14:textId="77777777" w:rsidR="00717F2E" w:rsidRDefault="006965E4">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6965E4">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944540B" w14:textId="0D04216F" w:rsidR="00B71C11" w:rsidRPr="00B71C11" w:rsidRDefault="00B71C11" w:rsidP="00B71C11">
      <w:pPr>
        <w:jc w:val="both"/>
        <w:rPr>
          <w:rFonts w:ascii="Arial" w:hAnsi="Arial" w:cs="Arial"/>
        </w:rPr>
      </w:pPr>
      <w:r w:rsidRPr="00B71C11">
        <w:rPr>
          <w:rFonts w:ascii="Arial" w:hAnsi="Arial" w:cs="Arial"/>
        </w:rPr>
        <w:t>This study employed the non-experimental quantitative research design utilizing correlational method. This is appropriate since the objective of the study is to quantitatively determine the effects of the instructional design, anchored on the levels of teachers’ motivation and conceptual understanding for students in public elementary schools. Quantitative research design is defined as a research method used in various disciplines, including social sciences, psychology, economics, and market research. It aims to collect and analyze numerical data to answer research questions and test hypotheses</w:t>
      </w:r>
      <w:r w:rsidR="00866DD1">
        <w:rPr>
          <w:rFonts w:ascii="Arial" w:hAnsi="Arial" w:cs="Arial"/>
        </w:rPr>
        <w:t xml:space="preserve"> (</w:t>
      </w:r>
      <w:proofErr w:type="spellStart"/>
      <w:r w:rsidR="00866DD1">
        <w:rPr>
          <w:rFonts w:ascii="Arial" w:hAnsi="Arial" w:cs="Arial"/>
        </w:rPr>
        <w:t>Pregoner</w:t>
      </w:r>
      <w:proofErr w:type="spellEnd"/>
      <w:r w:rsidR="00866DD1">
        <w:rPr>
          <w:rFonts w:ascii="Arial" w:hAnsi="Arial" w:cs="Arial"/>
        </w:rPr>
        <w:t>, 2024)</w:t>
      </w:r>
    </w:p>
    <w:p w14:paraId="63A67612" w14:textId="77777777" w:rsidR="00B71C11" w:rsidRDefault="00B71C11" w:rsidP="00B71C11">
      <w:pPr>
        <w:jc w:val="both"/>
        <w:rPr>
          <w:rFonts w:ascii="Arial" w:hAnsi="Arial" w:cs="Arial"/>
        </w:rPr>
      </w:pPr>
    </w:p>
    <w:p w14:paraId="3894EBBB" w14:textId="11B6C3B5" w:rsidR="00415D76" w:rsidRDefault="00B71C11" w:rsidP="00B71C11">
      <w:pPr>
        <w:jc w:val="both"/>
        <w:rPr>
          <w:rFonts w:ascii="Arial" w:hAnsi="Arial" w:cs="Arial"/>
          <w:b/>
          <w:bCs/>
        </w:rPr>
      </w:pPr>
      <w:r w:rsidRPr="00B71C11">
        <w:rPr>
          <w:rFonts w:ascii="Arial" w:hAnsi="Arial" w:cs="Arial"/>
        </w:rPr>
        <w:t>Quantitative research design offers several advantages, including the ability to generalize findings to larger populations, the potential for statistical analysis and hypothesis testing, and the capacity to uncover patterns and relationships among variables. The correlational method investigates the association between two or more variables without engaging in their manipulation</w:t>
      </w:r>
      <w:r w:rsidR="00866DD1">
        <w:rPr>
          <w:rFonts w:ascii="Arial" w:hAnsi="Arial" w:cs="Arial"/>
        </w:rPr>
        <w:t xml:space="preserve"> (Baguio &amp; Baguio, 2025).</w:t>
      </w:r>
    </w:p>
    <w:p w14:paraId="667CC126" w14:textId="77777777" w:rsidR="00B23383" w:rsidRDefault="00B23383" w:rsidP="00B23383">
      <w:pPr>
        <w:jc w:val="both"/>
        <w:rPr>
          <w:rFonts w:ascii="Arial" w:hAnsi="Arial" w:cs="Arial"/>
          <w:b/>
          <w:bCs/>
        </w:rPr>
      </w:pPr>
    </w:p>
    <w:p w14:paraId="318F0781" w14:textId="77777777" w:rsidR="00717F2E" w:rsidRDefault="006965E4">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A929B" w14:textId="6F2EF160" w:rsidR="00951100" w:rsidRDefault="00A366FA">
      <w:pPr>
        <w:rPr>
          <w:rFonts w:ascii="Arial" w:hAnsi="Arial" w:cs="Arial"/>
        </w:rPr>
      </w:pPr>
      <w:r w:rsidRPr="00A366FA">
        <w:rPr>
          <w:rFonts w:ascii="Arial" w:hAnsi="Arial" w:cs="Arial"/>
        </w:rPr>
        <w:t>The respondents of the study were the teachers in in public elementary schools. There were 135 respondents in public elementary schools. They were selected by using the universal sampling which means all the population of the study was considered as respondents to get the reliable data. This study was conducted in the school year 2023-2024.</w:t>
      </w:r>
    </w:p>
    <w:p w14:paraId="1EEBA515" w14:textId="77777777" w:rsidR="00951100" w:rsidRDefault="00951100">
      <w:pPr>
        <w:rPr>
          <w:rFonts w:ascii="Arial" w:hAnsi="Arial" w:cs="Arial"/>
          <w:b/>
          <w:bCs/>
        </w:rPr>
      </w:pPr>
    </w:p>
    <w:p w14:paraId="6BE2C45C" w14:textId="77777777" w:rsidR="00717F2E" w:rsidRDefault="006965E4">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6E830EB" w14:textId="77777777" w:rsidR="00A366FA" w:rsidRDefault="00A366FA" w:rsidP="00A366FA">
      <w:pPr>
        <w:jc w:val="both"/>
        <w:rPr>
          <w:rFonts w:ascii="Arial" w:hAnsi="Arial" w:cs="Arial"/>
        </w:rPr>
      </w:pPr>
      <w:r w:rsidRPr="00A366FA">
        <w:rPr>
          <w:rFonts w:ascii="Arial" w:hAnsi="Arial" w:cs="Arial"/>
        </w:rPr>
        <w:t xml:space="preserve">The instruments that used in this study were the survey questionnaire on teachers’ motivation and conceptual understanding for students in public elementary schools. This instrument was constructed based from relevant studies and literature reviewed. Prior to the administration, the draft of this instrument was tested for face and content validity by the panel of experts in the field of Doctor of Educational Management. Based on their future comments and suggestions, revisions were made. </w:t>
      </w:r>
    </w:p>
    <w:p w14:paraId="6F2B9B97" w14:textId="77777777" w:rsidR="00A366FA" w:rsidRPr="00A366FA" w:rsidRDefault="00A366FA" w:rsidP="00A366FA">
      <w:pPr>
        <w:jc w:val="both"/>
        <w:rPr>
          <w:rFonts w:ascii="Arial" w:hAnsi="Arial" w:cs="Arial"/>
        </w:rPr>
      </w:pPr>
    </w:p>
    <w:p w14:paraId="04603F07" w14:textId="64A977C4" w:rsidR="007969E9" w:rsidRDefault="00A366FA" w:rsidP="00A366FA">
      <w:pPr>
        <w:jc w:val="both"/>
        <w:rPr>
          <w:rFonts w:ascii="Arial" w:hAnsi="Arial" w:cs="Arial"/>
        </w:rPr>
      </w:pPr>
      <w:r w:rsidRPr="00A366FA">
        <w:rPr>
          <w:rFonts w:ascii="Arial" w:hAnsi="Arial" w:cs="Arial"/>
        </w:rPr>
        <w:t>To test for reliability and validity, the instrument was tried out among school teachers in one separate school in the same district. Pilot testing was done in 30 teachers in one separate school. The instrument was found to be highly reliable with a Cronbach’s Alpha result of .795. The respondents answered the 45 items questionnaire in a 5 subscales.  The scoring was implemented in the following subscales.</w:t>
      </w:r>
    </w:p>
    <w:p w14:paraId="17B74902" w14:textId="63BF0CDE" w:rsidR="00A366FA" w:rsidRDefault="00A366FA">
      <w:pPr>
        <w:rPr>
          <w:rFonts w:ascii="Arial" w:hAnsi="Arial" w:cs="Arial"/>
          <w:b/>
          <w:bCs/>
        </w:rPr>
      </w:pPr>
    </w:p>
    <w:p w14:paraId="542B2B7B" w14:textId="77777777" w:rsidR="00A366FA" w:rsidRDefault="00A366FA">
      <w:pPr>
        <w:rPr>
          <w:rFonts w:ascii="Arial" w:hAnsi="Arial" w:cs="Arial"/>
          <w:b/>
          <w:bCs/>
        </w:rPr>
      </w:pPr>
    </w:p>
    <w:p w14:paraId="7821138E" w14:textId="77777777" w:rsidR="00717F2E" w:rsidRDefault="006965E4">
      <w:pPr>
        <w:rPr>
          <w:rFonts w:ascii="Arial" w:hAnsi="Arial" w:cs="Arial"/>
          <w:b/>
          <w:bCs/>
        </w:rPr>
      </w:pPr>
      <w:r>
        <w:rPr>
          <w:rFonts w:ascii="Arial" w:hAnsi="Arial" w:cs="Arial"/>
          <w:b/>
          <w:bCs/>
        </w:rPr>
        <w:t>2.4 Data Gathering Procedure</w:t>
      </w:r>
    </w:p>
    <w:p w14:paraId="596F5691" w14:textId="77777777" w:rsidR="00A366FA" w:rsidRPr="00A366FA" w:rsidRDefault="00A366FA" w:rsidP="00A366FA">
      <w:pPr>
        <w:pStyle w:val="Heading1"/>
        <w:rPr>
          <w:rFonts w:cs="Arial"/>
          <w:b w:val="0"/>
          <w:kern w:val="0"/>
          <w:sz w:val="20"/>
        </w:rPr>
      </w:pPr>
      <w:r w:rsidRPr="00A366FA">
        <w:rPr>
          <w:rFonts w:cs="Arial"/>
          <w:b w:val="0"/>
          <w:kern w:val="0"/>
          <w:sz w:val="20"/>
        </w:rPr>
        <w:t>The data was gathered through the following procedure: The researcher asked permission and endorsement from the Dean of the Graduate school of Rizal Memorial Colleges for the Superintendent approval. After the approval of the Dean, a request letter was submitted to the office of the Schools Division Superintendent. After the approval of the superintendent an endorsement letter was submitted to the School Heads. A letter asking permission form the school heads was attached.</w:t>
      </w:r>
    </w:p>
    <w:p w14:paraId="1F58DD75" w14:textId="77777777" w:rsidR="00A366FA" w:rsidRPr="00A366FA" w:rsidRDefault="00A366FA" w:rsidP="00A366FA">
      <w:pPr>
        <w:pStyle w:val="Heading1"/>
        <w:rPr>
          <w:rFonts w:cs="Arial"/>
          <w:b w:val="0"/>
          <w:kern w:val="0"/>
          <w:sz w:val="20"/>
        </w:rPr>
      </w:pPr>
      <w:r w:rsidRPr="00A366FA">
        <w:rPr>
          <w:rFonts w:cs="Arial"/>
          <w:b w:val="0"/>
          <w:kern w:val="0"/>
          <w:sz w:val="20"/>
        </w:rPr>
        <w:t xml:space="preserve">After such, a schedule was made for the distribution of the test questionnaires for the pilot testing to find out the reliability and validity of the questionnaire. Hence, the explanation </w:t>
      </w:r>
      <w:r w:rsidRPr="00A366FA">
        <w:rPr>
          <w:rFonts w:cs="Arial"/>
          <w:b w:val="0"/>
          <w:kern w:val="0"/>
          <w:sz w:val="20"/>
        </w:rPr>
        <w:lastRenderedPageBreak/>
        <w:t xml:space="preserve">about the study and instruction for the tests was incorporated in the questionnaires. After the result of the pilot testing, the survey to all respondents was follow. </w:t>
      </w:r>
    </w:p>
    <w:p w14:paraId="7F3EDF31" w14:textId="77777777" w:rsidR="00A366FA" w:rsidRDefault="00A366FA" w:rsidP="00A366FA">
      <w:pPr>
        <w:pStyle w:val="Heading1"/>
        <w:rPr>
          <w:rFonts w:cs="Arial"/>
          <w:b w:val="0"/>
          <w:kern w:val="0"/>
          <w:sz w:val="20"/>
        </w:rPr>
      </w:pPr>
      <w:r w:rsidRPr="00A366FA">
        <w:rPr>
          <w:rFonts w:cs="Arial"/>
          <w:b w:val="0"/>
          <w:kern w:val="0"/>
          <w:sz w:val="20"/>
        </w:rPr>
        <w:t xml:space="preserve">After which the researcher went to retrieve all the questionnaire and ready for statistical treatment. After retrieving all the questionnaires, the data were tallied, tabulated, analyzed and interpreted based on the purpose of the study. </w:t>
      </w:r>
    </w:p>
    <w:p w14:paraId="48F5E74A" w14:textId="77777777" w:rsidR="00A366FA" w:rsidRDefault="00A366FA" w:rsidP="00A366FA">
      <w:pPr>
        <w:pStyle w:val="Heading1"/>
        <w:rPr>
          <w:rFonts w:cs="Arial"/>
          <w:b w:val="0"/>
          <w:kern w:val="0"/>
          <w:sz w:val="20"/>
        </w:rPr>
      </w:pPr>
    </w:p>
    <w:p w14:paraId="0B281753" w14:textId="4DB58D2D" w:rsidR="00717F2E" w:rsidRDefault="006965E4" w:rsidP="00A366FA">
      <w:pPr>
        <w:pStyle w:val="Heading1"/>
        <w:rPr>
          <w:rFonts w:cs="Arial"/>
          <w:sz w:val="20"/>
        </w:rPr>
      </w:pPr>
      <w:r>
        <w:rPr>
          <w:rFonts w:cs="Arial"/>
          <w:sz w:val="20"/>
        </w:rPr>
        <w:t>2.5 Data Analysi</w:t>
      </w:r>
      <w:r>
        <w:rPr>
          <w:rFonts w:cs="Arial"/>
          <w:sz w:val="20"/>
        </w:rPr>
        <w:t>s</w:t>
      </w:r>
    </w:p>
    <w:p w14:paraId="1C13872C" w14:textId="77777777" w:rsidR="00717F2E" w:rsidRDefault="00717F2E">
      <w:pPr>
        <w:rPr>
          <w:rFonts w:ascii="Arial" w:hAnsi="Arial" w:cs="Arial"/>
        </w:rPr>
      </w:pPr>
    </w:p>
    <w:p w14:paraId="00977D08" w14:textId="096C669F" w:rsidR="00A366FA" w:rsidRPr="00A366FA" w:rsidRDefault="00A366FA" w:rsidP="00A366FA">
      <w:pPr>
        <w:pStyle w:val="Head1"/>
        <w:jc w:val="both"/>
        <w:rPr>
          <w:rFonts w:ascii="Arial" w:hAnsi="Arial" w:cs="Arial"/>
          <w:b w:val="0"/>
          <w:caps w:val="0"/>
          <w:sz w:val="20"/>
        </w:rPr>
      </w:pPr>
      <w:r w:rsidRPr="00A366FA">
        <w:rPr>
          <w:rFonts w:ascii="Arial" w:hAnsi="Arial" w:cs="Arial"/>
          <w:b w:val="0"/>
          <w:caps w:val="0"/>
          <w:sz w:val="20"/>
        </w:rPr>
        <w:t xml:space="preserve">The gathered data were classified, analyzed and interpreted by using the following statistical tools: </w:t>
      </w:r>
    </w:p>
    <w:p w14:paraId="4EA44484" w14:textId="77777777" w:rsidR="00A366FA" w:rsidRPr="00A366FA" w:rsidRDefault="00A366FA" w:rsidP="00A366FA">
      <w:pPr>
        <w:pStyle w:val="Head1"/>
        <w:jc w:val="both"/>
        <w:rPr>
          <w:rFonts w:ascii="Arial" w:hAnsi="Arial" w:cs="Arial"/>
          <w:b w:val="0"/>
          <w:caps w:val="0"/>
          <w:sz w:val="20"/>
        </w:rPr>
      </w:pPr>
      <w:r w:rsidRPr="00A366FA">
        <w:rPr>
          <w:rFonts w:ascii="Arial" w:hAnsi="Arial" w:cs="Arial"/>
          <w:b w:val="0"/>
          <w:i/>
          <w:iCs/>
          <w:caps w:val="0"/>
          <w:sz w:val="20"/>
        </w:rPr>
        <w:t>Mean.</w:t>
      </w:r>
      <w:r w:rsidRPr="00A366FA">
        <w:rPr>
          <w:rFonts w:ascii="Arial" w:hAnsi="Arial" w:cs="Arial"/>
          <w:b w:val="0"/>
          <w:caps w:val="0"/>
          <w:sz w:val="20"/>
        </w:rPr>
        <w:t xml:space="preserve"> This was used to measure the level of teachers’ motivation and conceptual understanding for students in public elementary schools.</w:t>
      </w:r>
    </w:p>
    <w:p w14:paraId="0EE56708" w14:textId="77777777" w:rsidR="00A366FA" w:rsidRPr="00A366FA" w:rsidRDefault="00A366FA" w:rsidP="00A366FA">
      <w:pPr>
        <w:pStyle w:val="Head1"/>
        <w:jc w:val="both"/>
        <w:rPr>
          <w:rFonts w:ascii="Arial" w:hAnsi="Arial" w:cs="Arial"/>
          <w:b w:val="0"/>
          <w:caps w:val="0"/>
          <w:sz w:val="20"/>
        </w:rPr>
      </w:pPr>
      <w:r w:rsidRPr="00A366FA">
        <w:rPr>
          <w:rFonts w:ascii="Arial" w:hAnsi="Arial" w:cs="Arial"/>
          <w:b w:val="0"/>
          <w:i/>
          <w:iCs/>
          <w:caps w:val="0"/>
          <w:sz w:val="20"/>
        </w:rPr>
        <w:t>Pearson-r.</w:t>
      </w:r>
      <w:r w:rsidRPr="00A366FA">
        <w:rPr>
          <w:rFonts w:ascii="Arial" w:hAnsi="Arial" w:cs="Arial"/>
          <w:b w:val="0"/>
          <w:caps w:val="0"/>
          <w:sz w:val="20"/>
        </w:rPr>
        <w:t xml:space="preserve"> This was used to determine the significant relationship on the level of teachers’ motivation and conceptual understanding for students in public elementary schools.</w:t>
      </w:r>
    </w:p>
    <w:p w14:paraId="11AE4C24" w14:textId="77777777" w:rsidR="00A366FA" w:rsidRPr="00A366FA" w:rsidRDefault="00A366FA" w:rsidP="00A366FA">
      <w:pPr>
        <w:pStyle w:val="Head1"/>
        <w:jc w:val="both"/>
        <w:rPr>
          <w:rFonts w:ascii="Arial" w:hAnsi="Arial" w:cs="Arial"/>
          <w:b w:val="0"/>
          <w:caps w:val="0"/>
          <w:sz w:val="20"/>
        </w:rPr>
      </w:pPr>
      <w:r w:rsidRPr="00A366FA">
        <w:rPr>
          <w:rFonts w:ascii="Arial" w:hAnsi="Arial" w:cs="Arial"/>
          <w:b w:val="0"/>
          <w:i/>
          <w:iCs/>
          <w:caps w:val="0"/>
          <w:sz w:val="20"/>
        </w:rPr>
        <w:t>Regression Analysis</w:t>
      </w:r>
      <w:r w:rsidRPr="00A366FA">
        <w:rPr>
          <w:rFonts w:ascii="Arial" w:hAnsi="Arial" w:cs="Arial"/>
          <w:b w:val="0"/>
          <w:caps w:val="0"/>
          <w:sz w:val="20"/>
        </w:rPr>
        <w:t>. This was used to determine the significant influence on the level of teachers’ motivation and conceptual understanding for students in public elementary schools.</w:t>
      </w:r>
    </w:p>
    <w:p w14:paraId="66ABB753" w14:textId="77777777" w:rsidR="00A366FA" w:rsidRPr="00A366FA" w:rsidRDefault="00A366FA" w:rsidP="00A366FA">
      <w:pPr>
        <w:pStyle w:val="Head1"/>
        <w:jc w:val="both"/>
        <w:rPr>
          <w:rFonts w:ascii="Arial" w:hAnsi="Arial" w:cs="Arial"/>
          <w:b w:val="0"/>
          <w:caps w:val="0"/>
          <w:sz w:val="20"/>
        </w:rPr>
      </w:pPr>
    </w:p>
    <w:p w14:paraId="38E59B2C" w14:textId="77777777" w:rsidR="00D453B9" w:rsidRDefault="00D453B9">
      <w:pPr>
        <w:pStyle w:val="Head1"/>
        <w:spacing w:after="0"/>
        <w:jc w:val="both"/>
        <w:rPr>
          <w:rFonts w:ascii="Arial" w:hAnsi="Arial" w:cs="Arial"/>
          <w:sz w:val="20"/>
        </w:rPr>
      </w:pPr>
    </w:p>
    <w:p w14:paraId="54D02440" w14:textId="77777777" w:rsidR="00717F2E" w:rsidRDefault="006965E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028B9449" w:rsidR="00717F2E" w:rsidRDefault="006965E4">
      <w:pPr>
        <w:suppressAutoHyphens/>
        <w:jc w:val="both"/>
        <w:rPr>
          <w:rFonts w:ascii="Arial" w:hAnsi="Arial" w:cs="Arial"/>
          <w:b/>
        </w:rPr>
      </w:pPr>
      <w:r>
        <w:rPr>
          <w:rFonts w:ascii="Arial" w:hAnsi="Arial" w:cs="Arial"/>
          <w:b/>
        </w:rPr>
        <w:t xml:space="preserve">3.1 </w:t>
      </w:r>
      <w:r w:rsidR="00A366FA" w:rsidRPr="00A366FA">
        <w:rPr>
          <w:rFonts w:ascii="Arial" w:hAnsi="Arial" w:cs="Arial"/>
          <w:b/>
        </w:rPr>
        <w:t>Teachers’ Motivation in Public Elementary Schools</w:t>
      </w:r>
    </w:p>
    <w:p w14:paraId="332B053A" w14:textId="77777777" w:rsidR="00A366FA" w:rsidRDefault="00A366FA">
      <w:pPr>
        <w:suppressAutoHyphens/>
        <w:jc w:val="both"/>
        <w:rPr>
          <w:rFonts w:ascii="Arial" w:hAnsi="Arial" w:cs="Arial"/>
          <w:i/>
        </w:rPr>
      </w:pPr>
    </w:p>
    <w:p w14:paraId="78FC7248" w14:textId="09B7E3B7" w:rsidR="00717F2E" w:rsidRDefault="006965E4">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sidR="00A366FA" w:rsidRPr="00A366FA">
        <w:rPr>
          <w:rFonts w:ascii="Arial" w:hAnsi="Arial" w:cs="Arial"/>
          <w:i/>
        </w:rPr>
        <w:t xml:space="preserve"> Level of Teachers’ Motivation in Public Elementary Schools</w:t>
      </w:r>
    </w:p>
    <w:p w14:paraId="1ED70019" w14:textId="77777777" w:rsidR="00D453B9" w:rsidRDefault="00D453B9">
      <w:pPr>
        <w:suppressAutoHyphens/>
        <w:jc w:val="both"/>
        <w:rPr>
          <w:rFonts w:ascii="Arial" w:hAnsi="Arial" w:cs="Arial"/>
          <w:i/>
        </w:rPr>
      </w:pPr>
    </w:p>
    <w:tbl>
      <w:tblPr>
        <w:tblW w:w="0" w:type="auto"/>
        <w:tblInd w:w="198" w:type="dxa"/>
        <w:tblLook w:val="0000" w:firstRow="0" w:lastRow="0" w:firstColumn="0" w:lastColumn="0" w:noHBand="0" w:noVBand="0"/>
      </w:tblPr>
      <w:tblGrid>
        <w:gridCol w:w="763"/>
        <w:gridCol w:w="4569"/>
        <w:gridCol w:w="947"/>
        <w:gridCol w:w="1731"/>
      </w:tblGrid>
      <w:tr w:rsidR="00A366FA" w14:paraId="3F716A2F" w14:textId="77777777" w:rsidTr="00A40ADB">
        <w:trPr>
          <w:trHeight w:val="357"/>
        </w:trPr>
        <w:tc>
          <w:tcPr>
            <w:tcW w:w="801" w:type="dxa"/>
            <w:tcBorders>
              <w:top w:val="double" w:sz="4" w:space="0" w:color="auto"/>
              <w:bottom w:val="single" w:sz="4" w:space="0" w:color="auto"/>
            </w:tcBorders>
          </w:tcPr>
          <w:p w14:paraId="6E113365" w14:textId="77777777" w:rsidR="00A366FA" w:rsidRPr="00A366FA" w:rsidRDefault="00A366FA" w:rsidP="00A40ADB">
            <w:pPr>
              <w:jc w:val="center"/>
              <w:rPr>
                <w:rFonts w:ascii="Arial" w:hAnsi="Arial" w:cs="Arial"/>
              </w:rPr>
            </w:pPr>
            <w:r w:rsidRPr="00A366FA">
              <w:rPr>
                <w:rFonts w:ascii="Arial" w:hAnsi="Arial" w:cs="Arial"/>
              </w:rPr>
              <w:t>No.</w:t>
            </w:r>
          </w:p>
          <w:p w14:paraId="24EDA7A6" w14:textId="77777777" w:rsidR="00A366FA" w:rsidRPr="00A366FA" w:rsidRDefault="00A366FA" w:rsidP="00A40ADB">
            <w:pPr>
              <w:jc w:val="center"/>
              <w:rPr>
                <w:rFonts w:ascii="Arial" w:hAnsi="Arial" w:cs="Arial"/>
              </w:rPr>
            </w:pPr>
          </w:p>
        </w:tc>
        <w:tc>
          <w:tcPr>
            <w:tcW w:w="5059" w:type="dxa"/>
            <w:tcBorders>
              <w:top w:val="double" w:sz="4" w:space="0" w:color="auto"/>
              <w:bottom w:val="single" w:sz="4" w:space="0" w:color="auto"/>
            </w:tcBorders>
          </w:tcPr>
          <w:p w14:paraId="4C454BD1" w14:textId="3157BFD8" w:rsidR="00A366FA" w:rsidRPr="00A366FA" w:rsidRDefault="00A366FA" w:rsidP="00A40ADB">
            <w:pPr>
              <w:jc w:val="center"/>
              <w:rPr>
                <w:rFonts w:ascii="Arial" w:hAnsi="Arial" w:cs="Arial"/>
              </w:rPr>
            </w:pPr>
            <w:r>
              <w:rPr>
                <w:rFonts w:ascii="Arial" w:hAnsi="Arial" w:cs="Arial"/>
              </w:rPr>
              <w:t>Indicators</w:t>
            </w:r>
          </w:p>
        </w:tc>
        <w:tc>
          <w:tcPr>
            <w:tcW w:w="984" w:type="dxa"/>
            <w:tcBorders>
              <w:top w:val="double" w:sz="4" w:space="0" w:color="auto"/>
              <w:bottom w:val="single" w:sz="4" w:space="0" w:color="auto"/>
            </w:tcBorders>
          </w:tcPr>
          <w:p w14:paraId="197A79D4" w14:textId="77777777" w:rsidR="00A366FA" w:rsidRPr="00A366FA" w:rsidRDefault="00A366FA" w:rsidP="00A40ADB">
            <w:pPr>
              <w:contextualSpacing/>
              <w:jc w:val="center"/>
              <w:rPr>
                <w:rFonts w:ascii="Arial" w:hAnsi="Arial" w:cs="Arial"/>
                <w:lang w:eastAsia="en-PH"/>
              </w:rPr>
            </w:pPr>
            <w:r w:rsidRPr="00A366FA">
              <w:rPr>
                <w:rFonts w:ascii="Arial" w:hAnsi="Arial" w:cs="Arial"/>
                <w:lang w:eastAsia="en-PH"/>
              </w:rPr>
              <w:t>Mean</w:t>
            </w:r>
          </w:p>
          <w:p w14:paraId="0AA078E2" w14:textId="77777777" w:rsidR="00A366FA" w:rsidRPr="00A366FA" w:rsidRDefault="00A366FA" w:rsidP="00A40ADB">
            <w:pPr>
              <w:contextualSpacing/>
              <w:jc w:val="center"/>
              <w:rPr>
                <w:rFonts w:ascii="Arial" w:hAnsi="Arial" w:cs="Arial"/>
              </w:rPr>
            </w:pPr>
            <w:r w:rsidRPr="00A366FA">
              <w:rPr>
                <w:rFonts w:ascii="Arial" w:hAnsi="Arial" w:cs="Arial"/>
                <w:lang w:eastAsia="en-PH"/>
              </w:rPr>
              <w:t>(</w:t>
            </w:r>
            <w:r w:rsidRPr="00A366FA">
              <w:rPr>
                <w:rFonts w:ascii="Arial" w:hAnsi="Arial" w:cs="Arial"/>
                <w:lang w:eastAsia="en-PH"/>
              </w:rPr>
              <w:fldChar w:fldCharType="begin"/>
            </w:r>
            <w:r w:rsidRPr="00A366FA">
              <w:rPr>
                <w:rFonts w:ascii="Arial" w:hAnsi="Arial" w:cs="Arial"/>
                <w:lang w:eastAsia="en-PH"/>
              </w:rPr>
              <w:instrText xml:space="preserve"> QUOTE </w:instrText>
            </w:r>
            <w:r w:rsidR="00E44FAD">
              <w:rPr>
                <w:rFonts w:ascii="Arial" w:hAnsi="Arial" w:cs="Arial"/>
                <w:position w:val="-9"/>
              </w:rPr>
              <w:pict w14:anchorId="5A665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5.7pt;height:16.05pt;mso-position-horizontal-relative:page;mso-position-vertical-relative:page" equationxml="&lt;">
                  <v:imagedata r:id="rId16" o:title="" chromakey="white"/>
                </v:shape>
              </w:pict>
            </w:r>
            <w:r w:rsidRPr="00A366FA">
              <w:rPr>
                <w:rFonts w:ascii="Arial" w:hAnsi="Arial" w:cs="Arial"/>
                <w:lang w:eastAsia="en-PH"/>
              </w:rPr>
              <w:fldChar w:fldCharType="separate"/>
            </w:r>
            <w:r w:rsidR="00E44FAD">
              <w:rPr>
                <w:rFonts w:ascii="Arial" w:hAnsi="Arial" w:cs="Arial"/>
                <w:position w:val="-9"/>
              </w:rPr>
              <w:pict w14:anchorId="221A829B">
                <v:shape id="Picture 12" o:spid="_x0000_i1026" type="#_x0000_t75" style="width:5.7pt;height:16.05pt;mso-position-horizontal-relative:page;mso-position-vertical-relative:page" equationxml="&lt;">
                  <v:imagedata r:id="rId16" o:title="" chromakey="white"/>
                </v:shape>
              </w:pict>
            </w:r>
            <w:r w:rsidRPr="00A366FA">
              <w:rPr>
                <w:rFonts w:ascii="Arial" w:hAnsi="Arial" w:cs="Arial"/>
                <w:lang w:eastAsia="en-PH"/>
              </w:rPr>
              <w:fldChar w:fldCharType="end"/>
            </w:r>
            <w:r w:rsidRPr="00A366FA">
              <w:rPr>
                <w:rFonts w:ascii="Arial" w:hAnsi="Arial" w:cs="Arial"/>
                <w:lang w:eastAsia="en-PH"/>
              </w:rPr>
              <w:t>)</w:t>
            </w:r>
          </w:p>
        </w:tc>
        <w:tc>
          <w:tcPr>
            <w:tcW w:w="1814" w:type="dxa"/>
            <w:tcBorders>
              <w:top w:val="double" w:sz="4" w:space="0" w:color="auto"/>
              <w:bottom w:val="single" w:sz="4" w:space="0" w:color="auto"/>
            </w:tcBorders>
          </w:tcPr>
          <w:p w14:paraId="494A38CA" w14:textId="77777777" w:rsidR="00A366FA" w:rsidRPr="00A366FA" w:rsidRDefault="00A366FA" w:rsidP="00A40ADB">
            <w:pPr>
              <w:jc w:val="center"/>
              <w:rPr>
                <w:rFonts w:ascii="Arial" w:hAnsi="Arial" w:cs="Arial"/>
              </w:rPr>
            </w:pPr>
            <w:r w:rsidRPr="00A366FA">
              <w:rPr>
                <w:rFonts w:ascii="Arial" w:hAnsi="Arial" w:cs="Arial"/>
              </w:rPr>
              <w:t>Descriptive Equivalent</w:t>
            </w:r>
          </w:p>
        </w:tc>
      </w:tr>
      <w:tr w:rsidR="00A366FA" w14:paraId="277820F2" w14:textId="77777777" w:rsidTr="00A40ADB">
        <w:trPr>
          <w:trHeight w:val="242"/>
        </w:trPr>
        <w:tc>
          <w:tcPr>
            <w:tcW w:w="801" w:type="dxa"/>
            <w:tcBorders>
              <w:top w:val="single" w:sz="4" w:space="0" w:color="auto"/>
              <w:bottom w:val="nil"/>
            </w:tcBorders>
          </w:tcPr>
          <w:p w14:paraId="7D036DE1" w14:textId="77777777" w:rsidR="00A366FA" w:rsidRPr="00A366FA" w:rsidRDefault="00A366FA" w:rsidP="00A40ADB">
            <w:pPr>
              <w:jc w:val="center"/>
              <w:rPr>
                <w:rFonts w:ascii="Arial" w:hAnsi="Arial" w:cs="Arial"/>
              </w:rPr>
            </w:pPr>
            <w:r w:rsidRPr="00A366FA">
              <w:rPr>
                <w:rFonts w:ascii="Arial" w:hAnsi="Arial" w:cs="Arial"/>
              </w:rPr>
              <w:t>1</w:t>
            </w:r>
          </w:p>
        </w:tc>
        <w:tc>
          <w:tcPr>
            <w:tcW w:w="5059" w:type="dxa"/>
            <w:tcBorders>
              <w:top w:val="single" w:sz="4" w:space="0" w:color="auto"/>
              <w:bottom w:val="nil"/>
            </w:tcBorders>
          </w:tcPr>
          <w:p w14:paraId="079B44A8" w14:textId="77777777" w:rsidR="00A366FA" w:rsidRPr="00A366FA" w:rsidRDefault="00A366FA" w:rsidP="00A40ADB">
            <w:pPr>
              <w:rPr>
                <w:rFonts w:ascii="Arial" w:hAnsi="Arial" w:cs="Arial"/>
              </w:rPr>
            </w:pPr>
            <w:r w:rsidRPr="00A366FA">
              <w:rPr>
                <w:rFonts w:ascii="Arial" w:hAnsi="Arial" w:cs="Arial"/>
              </w:rPr>
              <w:t>self-efficacy</w:t>
            </w:r>
          </w:p>
        </w:tc>
        <w:tc>
          <w:tcPr>
            <w:tcW w:w="984" w:type="dxa"/>
            <w:tcBorders>
              <w:top w:val="single" w:sz="4" w:space="0" w:color="auto"/>
              <w:bottom w:val="nil"/>
            </w:tcBorders>
            <w:vAlign w:val="center"/>
          </w:tcPr>
          <w:p w14:paraId="6AA59481"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3.26</w:t>
            </w:r>
          </w:p>
        </w:tc>
        <w:tc>
          <w:tcPr>
            <w:tcW w:w="1814" w:type="dxa"/>
            <w:tcBorders>
              <w:top w:val="single" w:sz="4" w:space="0" w:color="auto"/>
              <w:bottom w:val="nil"/>
            </w:tcBorders>
          </w:tcPr>
          <w:p w14:paraId="6D3F10E5" w14:textId="77777777" w:rsidR="00A366FA" w:rsidRPr="00A366FA" w:rsidRDefault="00A366FA" w:rsidP="00A40ADB">
            <w:pPr>
              <w:jc w:val="center"/>
            </w:pPr>
            <w:r w:rsidRPr="00A366FA">
              <w:rPr>
                <w:rFonts w:ascii="Arial" w:hAnsi="Arial" w:cs="Arial"/>
              </w:rPr>
              <w:t>Moderate</w:t>
            </w:r>
          </w:p>
        </w:tc>
      </w:tr>
      <w:tr w:rsidR="00A366FA" w14:paraId="4BFA5170" w14:textId="77777777" w:rsidTr="00A40ADB">
        <w:trPr>
          <w:trHeight w:val="278"/>
        </w:trPr>
        <w:tc>
          <w:tcPr>
            <w:tcW w:w="801" w:type="dxa"/>
          </w:tcPr>
          <w:p w14:paraId="4694B237" w14:textId="77777777" w:rsidR="00A366FA" w:rsidRPr="00A366FA" w:rsidRDefault="00A366FA" w:rsidP="00A40ADB">
            <w:pPr>
              <w:jc w:val="center"/>
              <w:rPr>
                <w:rFonts w:ascii="Arial" w:hAnsi="Arial" w:cs="Arial"/>
              </w:rPr>
            </w:pPr>
            <w:r w:rsidRPr="00A366FA">
              <w:rPr>
                <w:rFonts w:ascii="Arial" w:hAnsi="Arial" w:cs="Arial"/>
              </w:rPr>
              <w:t>2</w:t>
            </w:r>
          </w:p>
        </w:tc>
        <w:tc>
          <w:tcPr>
            <w:tcW w:w="5059" w:type="dxa"/>
          </w:tcPr>
          <w:p w14:paraId="5185BAB3" w14:textId="77777777" w:rsidR="00A366FA" w:rsidRPr="00A366FA" w:rsidRDefault="00A366FA" w:rsidP="00A40ADB">
            <w:pPr>
              <w:rPr>
                <w:rFonts w:ascii="Arial" w:hAnsi="Arial" w:cs="Arial"/>
              </w:rPr>
            </w:pPr>
            <w:r w:rsidRPr="00A366FA">
              <w:rPr>
                <w:rFonts w:ascii="Arial" w:hAnsi="Arial" w:cs="Arial"/>
              </w:rPr>
              <w:t xml:space="preserve">active understanding strategies </w:t>
            </w:r>
          </w:p>
        </w:tc>
        <w:tc>
          <w:tcPr>
            <w:tcW w:w="984" w:type="dxa"/>
            <w:vAlign w:val="center"/>
          </w:tcPr>
          <w:p w14:paraId="12585340"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3.10</w:t>
            </w:r>
          </w:p>
        </w:tc>
        <w:tc>
          <w:tcPr>
            <w:tcW w:w="1814" w:type="dxa"/>
          </w:tcPr>
          <w:p w14:paraId="617E7924" w14:textId="77777777" w:rsidR="00A366FA" w:rsidRPr="00A366FA" w:rsidRDefault="00A366FA" w:rsidP="00A40ADB">
            <w:pPr>
              <w:jc w:val="center"/>
            </w:pPr>
            <w:r w:rsidRPr="00A366FA">
              <w:rPr>
                <w:rFonts w:ascii="Arial" w:hAnsi="Arial" w:cs="Arial"/>
              </w:rPr>
              <w:t>Moderate</w:t>
            </w:r>
          </w:p>
        </w:tc>
      </w:tr>
      <w:tr w:rsidR="00A366FA" w14:paraId="543B92B3" w14:textId="77777777" w:rsidTr="00A40ADB">
        <w:trPr>
          <w:trHeight w:val="242"/>
        </w:trPr>
        <w:tc>
          <w:tcPr>
            <w:tcW w:w="801" w:type="dxa"/>
          </w:tcPr>
          <w:p w14:paraId="5D131D16" w14:textId="77777777" w:rsidR="00A366FA" w:rsidRPr="00A366FA" w:rsidRDefault="00A366FA" w:rsidP="00A40ADB">
            <w:pPr>
              <w:jc w:val="center"/>
              <w:rPr>
                <w:rFonts w:ascii="Arial" w:hAnsi="Arial" w:cs="Arial"/>
              </w:rPr>
            </w:pPr>
            <w:r w:rsidRPr="00A366FA">
              <w:rPr>
                <w:rFonts w:ascii="Arial" w:hAnsi="Arial" w:cs="Arial"/>
              </w:rPr>
              <w:t>3</w:t>
            </w:r>
          </w:p>
        </w:tc>
        <w:tc>
          <w:tcPr>
            <w:tcW w:w="5059" w:type="dxa"/>
          </w:tcPr>
          <w:p w14:paraId="414FC84F" w14:textId="77777777" w:rsidR="00A366FA" w:rsidRPr="00A366FA" w:rsidRDefault="00A366FA" w:rsidP="00A40ADB">
            <w:pPr>
              <w:rPr>
                <w:rFonts w:ascii="Arial" w:hAnsi="Arial" w:cs="Arial"/>
              </w:rPr>
            </w:pPr>
            <w:r w:rsidRPr="00A366FA">
              <w:rPr>
                <w:rFonts w:ascii="Arial" w:hAnsi="Arial" w:cs="Arial"/>
              </w:rPr>
              <w:t>understanding value</w:t>
            </w:r>
          </w:p>
        </w:tc>
        <w:tc>
          <w:tcPr>
            <w:tcW w:w="984" w:type="dxa"/>
            <w:vAlign w:val="center"/>
          </w:tcPr>
          <w:p w14:paraId="2CC44715"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4.10</w:t>
            </w:r>
          </w:p>
        </w:tc>
        <w:tc>
          <w:tcPr>
            <w:tcW w:w="1814" w:type="dxa"/>
            <w:vAlign w:val="center"/>
          </w:tcPr>
          <w:p w14:paraId="00E7B5F1"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High</w:t>
            </w:r>
          </w:p>
        </w:tc>
      </w:tr>
      <w:tr w:rsidR="00A366FA" w14:paraId="23B592AB" w14:textId="77777777" w:rsidTr="00A40ADB">
        <w:tc>
          <w:tcPr>
            <w:tcW w:w="801" w:type="dxa"/>
          </w:tcPr>
          <w:p w14:paraId="0C77C70E" w14:textId="77777777" w:rsidR="00A366FA" w:rsidRPr="00A366FA" w:rsidRDefault="00A366FA" w:rsidP="00A40ADB">
            <w:pPr>
              <w:jc w:val="center"/>
              <w:rPr>
                <w:rFonts w:ascii="Arial" w:hAnsi="Arial" w:cs="Arial"/>
              </w:rPr>
            </w:pPr>
            <w:r w:rsidRPr="00A366FA">
              <w:rPr>
                <w:rFonts w:ascii="Arial" w:hAnsi="Arial" w:cs="Arial"/>
              </w:rPr>
              <w:t>4</w:t>
            </w:r>
          </w:p>
        </w:tc>
        <w:tc>
          <w:tcPr>
            <w:tcW w:w="5059" w:type="dxa"/>
          </w:tcPr>
          <w:p w14:paraId="6A1C23D9" w14:textId="77777777" w:rsidR="00A366FA" w:rsidRPr="00A366FA" w:rsidRDefault="00A366FA" w:rsidP="00A40ADB">
            <w:pPr>
              <w:rPr>
                <w:rFonts w:ascii="Arial" w:hAnsi="Arial" w:cs="Arial"/>
              </w:rPr>
            </w:pPr>
            <w:r w:rsidRPr="00A366FA">
              <w:rPr>
                <w:rFonts w:ascii="Arial" w:hAnsi="Arial" w:cs="Arial"/>
              </w:rPr>
              <w:t xml:space="preserve">performance goal </w:t>
            </w:r>
          </w:p>
        </w:tc>
        <w:tc>
          <w:tcPr>
            <w:tcW w:w="984" w:type="dxa"/>
            <w:vAlign w:val="center"/>
          </w:tcPr>
          <w:p w14:paraId="54982BC6"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3.38</w:t>
            </w:r>
          </w:p>
        </w:tc>
        <w:tc>
          <w:tcPr>
            <w:tcW w:w="1814" w:type="dxa"/>
            <w:vAlign w:val="center"/>
          </w:tcPr>
          <w:p w14:paraId="6CD43301"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Moderate</w:t>
            </w:r>
          </w:p>
        </w:tc>
      </w:tr>
      <w:tr w:rsidR="00A366FA" w14:paraId="1A2A4CD5" w14:textId="77777777" w:rsidTr="00A40ADB">
        <w:tc>
          <w:tcPr>
            <w:tcW w:w="801" w:type="dxa"/>
          </w:tcPr>
          <w:p w14:paraId="07C873C8" w14:textId="77777777" w:rsidR="00A366FA" w:rsidRPr="00A366FA" w:rsidRDefault="00A366FA" w:rsidP="00A40ADB">
            <w:pPr>
              <w:jc w:val="center"/>
              <w:rPr>
                <w:rFonts w:ascii="Arial" w:hAnsi="Arial" w:cs="Arial"/>
              </w:rPr>
            </w:pPr>
            <w:r w:rsidRPr="00A366FA">
              <w:rPr>
                <w:rFonts w:ascii="Arial" w:hAnsi="Arial" w:cs="Arial"/>
              </w:rPr>
              <w:t>5</w:t>
            </w:r>
          </w:p>
        </w:tc>
        <w:tc>
          <w:tcPr>
            <w:tcW w:w="5059" w:type="dxa"/>
          </w:tcPr>
          <w:p w14:paraId="300E61FA" w14:textId="77777777" w:rsidR="00A366FA" w:rsidRPr="00A366FA" w:rsidRDefault="00A366FA" w:rsidP="00A40ADB">
            <w:pPr>
              <w:rPr>
                <w:rFonts w:ascii="Arial" w:hAnsi="Arial" w:cs="Arial"/>
              </w:rPr>
            </w:pPr>
            <w:r w:rsidRPr="00A366FA">
              <w:rPr>
                <w:rFonts w:ascii="Arial" w:hAnsi="Arial" w:cs="Arial"/>
              </w:rPr>
              <w:t>understanding environment</w:t>
            </w:r>
          </w:p>
        </w:tc>
        <w:tc>
          <w:tcPr>
            <w:tcW w:w="984" w:type="dxa"/>
            <w:vAlign w:val="center"/>
          </w:tcPr>
          <w:p w14:paraId="32D16EA4"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3.45</w:t>
            </w:r>
          </w:p>
        </w:tc>
        <w:tc>
          <w:tcPr>
            <w:tcW w:w="1814" w:type="dxa"/>
            <w:vAlign w:val="center"/>
          </w:tcPr>
          <w:p w14:paraId="278E539C"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High</w:t>
            </w:r>
          </w:p>
        </w:tc>
      </w:tr>
      <w:tr w:rsidR="00A366FA" w14:paraId="1EA16DCE" w14:textId="77777777" w:rsidTr="00A40ADB">
        <w:trPr>
          <w:trHeight w:val="193"/>
        </w:trPr>
        <w:tc>
          <w:tcPr>
            <w:tcW w:w="5860" w:type="dxa"/>
            <w:gridSpan w:val="2"/>
            <w:tcBorders>
              <w:bottom w:val="double" w:sz="4" w:space="0" w:color="auto"/>
            </w:tcBorders>
          </w:tcPr>
          <w:p w14:paraId="63D253F4" w14:textId="77777777" w:rsidR="00A366FA" w:rsidRPr="00A366FA" w:rsidRDefault="00A366FA" w:rsidP="00A40ADB">
            <w:pPr>
              <w:jc w:val="center"/>
              <w:rPr>
                <w:rFonts w:ascii="Arial" w:hAnsi="Arial" w:cs="Arial"/>
              </w:rPr>
            </w:pPr>
            <w:r w:rsidRPr="00A366FA">
              <w:rPr>
                <w:rFonts w:ascii="Arial" w:hAnsi="Arial" w:cs="Arial"/>
              </w:rPr>
              <w:t>Overall Mean</w:t>
            </w:r>
          </w:p>
        </w:tc>
        <w:tc>
          <w:tcPr>
            <w:tcW w:w="984" w:type="dxa"/>
            <w:tcBorders>
              <w:bottom w:val="double" w:sz="4" w:space="0" w:color="auto"/>
            </w:tcBorders>
            <w:vAlign w:val="center"/>
          </w:tcPr>
          <w:p w14:paraId="16EBA9E9" w14:textId="77777777" w:rsidR="00A366FA" w:rsidRPr="00A366FA" w:rsidRDefault="00A366FA" w:rsidP="00A40ADB">
            <w:pPr>
              <w:pStyle w:val="TableContents"/>
              <w:snapToGrid w:val="0"/>
              <w:jc w:val="center"/>
              <w:rPr>
                <w:rFonts w:ascii="Arial" w:hAnsi="Arial" w:cs="Arial"/>
                <w:b/>
                <w:sz w:val="20"/>
                <w:szCs w:val="20"/>
              </w:rPr>
            </w:pPr>
            <w:r w:rsidRPr="00A366FA">
              <w:rPr>
                <w:rFonts w:ascii="Arial" w:hAnsi="Arial" w:cs="Arial"/>
                <w:b/>
                <w:sz w:val="20"/>
                <w:szCs w:val="20"/>
              </w:rPr>
              <w:t>3.46</w:t>
            </w:r>
          </w:p>
        </w:tc>
        <w:tc>
          <w:tcPr>
            <w:tcW w:w="1814" w:type="dxa"/>
            <w:tcBorders>
              <w:bottom w:val="double" w:sz="4" w:space="0" w:color="auto"/>
            </w:tcBorders>
            <w:vAlign w:val="center"/>
          </w:tcPr>
          <w:p w14:paraId="69E20331"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 xml:space="preserve">High  </w:t>
            </w:r>
          </w:p>
        </w:tc>
      </w:tr>
      <w:tr w:rsidR="00A366FA" w14:paraId="245BDF9D" w14:textId="77777777" w:rsidTr="00A40ADB">
        <w:trPr>
          <w:trHeight w:val="115"/>
        </w:trPr>
        <w:tc>
          <w:tcPr>
            <w:tcW w:w="5860" w:type="dxa"/>
            <w:gridSpan w:val="2"/>
            <w:tcBorders>
              <w:top w:val="double" w:sz="4" w:space="0" w:color="auto"/>
            </w:tcBorders>
          </w:tcPr>
          <w:p w14:paraId="31FE4D1B" w14:textId="77777777" w:rsidR="00A366FA" w:rsidRPr="00A366FA" w:rsidRDefault="00A366FA" w:rsidP="00A40ADB">
            <w:pPr>
              <w:jc w:val="center"/>
              <w:rPr>
                <w:rFonts w:ascii="Arial" w:hAnsi="Arial" w:cs="Arial"/>
              </w:rPr>
            </w:pPr>
          </w:p>
        </w:tc>
        <w:tc>
          <w:tcPr>
            <w:tcW w:w="984" w:type="dxa"/>
            <w:tcBorders>
              <w:top w:val="double" w:sz="4" w:space="0" w:color="auto"/>
            </w:tcBorders>
          </w:tcPr>
          <w:p w14:paraId="03E0D36A" w14:textId="77777777" w:rsidR="00A366FA" w:rsidRPr="00A366FA" w:rsidRDefault="00A366FA" w:rsidP="00A40ADB">
            <w:pPr>
              <w:jc w:val="center"/>
              <w:rPr>
                <w:rFonts w:ascii="Arial" w:hAnsi="Arial" w:cs="Arial"/>
              </w:rPr>
            </w:pPr>
          </w:p>
        </w:tc>
        <w:tc>
          <w:tcPr>
            <w:tcW w:w="1814" w:type="dxa"/>
            <w:tcBorders>
              <w:top w:val="double" w:sz="4" w:space="0" w:color="auto"/>
            </w:tcBorders>
          </w:tcPr>
          <w:p w14:paraId="631B2B60" w14:textId="77777777" w:rsidR="00A366FA" w:rsidRPr="00A366FA" w:rsidRDefault="00A366FA" w:rsidP="00A40ADB">
            <w:pPr>
              <w:jc w:val="center"/>
              <w:rPr>
                <w:rFonts w:ascii="Arial" w:hAnsi="Arial" w:cs="Arial"/>
              </w:rPr>
            </w:pPr>
          </w:p>
        </w:tc>
      </w:tr>
    </w:tbl>
    <w:p w14:paraId="20CF6BE0" w14:textId="77777777" w:rsidR="00D453B9" w:rsidRDefault="00D453B9" w:rsidP="003248E3">
      <w:pPr>
        <w:jc w:val="both"/>
        <w:rPr>
          <w:rFonts w:ascii="Arial" w:hAnsi="Arial" w:cs="Arial"/>
        </w:rPr>
      </w:pPr>
    </w:p>
    <w:p w14:paraId="1276FEAE" w14:textId="77777777" w:rsidR="00DC6178" w:rsidRDefault="00A366FA" w:rsidP="00A366FA">
      <w:pPr>
        <w:jc w:val="both"/>
        <w:rPr>
          <w:rFonts w:ascii="Arial" w:hAnsi="Arial" w:cs="Arial"/>
        </w:rPr>
      </w:pPr>
      <w:r w:rsidRPr="00A366FA">
        <w:rPr>
          <w:rFonts w:ascii="Arial" w:hAnsi="Arial" w:cs="Arial"/>
        </w:rPr>
        <w:t xml:space="preserve">Table </w:t>
      </w:r>
      <w:r>
        <w:rPr>
          <w:rFonts w:ascii="Arial" w:hAnsi="Arial" w:cs="Arial"/>
        </w:rPr>
        <w:t>1</w:t>
      </w:r>
      <w:r w:rsidRPr="00A366FA">
        <w:rPr>
          <w:rFonts w:ascii="Arial" w:hAnsi="Arial" w:cs="Arial"/>
        </w:rPr>
        <w:t xml:space="preserve"> </w:t>
      </w:r>
      <w:r>
        <w:rPr>
          <w:rFonts w:ascii="Arial" w:hAnsi="Arial" w:cs="Arial"/>
        </w:rPr>
        <w:t>shows</w:t>
      </w:r>
      <w:r w:rsidRPr="00A366FA">
        <w:rPr>
          <w:rFonts w:ascii="Arial" w:hAnsi="Arial" w:cs="Arial"/>
        </w:rPr>
        <w:t xml:space="preserve"> the level of teachers’ motivation for students in public elementary schools in terms of self-efficacy, active understanding strategies, understanding value, performance goal and understanding environment. The mean ratings of this indicator are as follows: self-efficacy 3.26 or moderate; active understanding strategies 3.10 or moderate; understanding value 4.10 or high performance goal 3.38 or moderate and understanding environment 3.45 or high. The overall mean rating of teachers’ motivation for students in public elementary schools in terms of self-efficacy, active understanding strategies, understanding value, performance goal and understanding environment is 3.46 or high. </w:t>
      </w:r>
    </w:p>
    <w:p w14:paraId="4CA24592" w14:textId="77777777" w:rsidR="00DC6178" w:rsidRDefault="00DC6178" w:rsidP="00A366FA">
      <w:pPr>
        <w:jc w:val="both"/>
        <w:rPr>
          <w:rFonts w:ascii="Arial" w:hAnsi="Arial" w:cs="Arial"/>
        </w:rPr>
      </w:pPr>
    </w:p>
    <w:p w14:paraId="1924484C" w14:textId="5E8FC5C0" w:rsidR="00A366FA" w:rsidRDefault="00A366FA" w:rsidP="00A366FA">
      <w:pPr>
        <w:jc w:val="both"/>
        <w:rPr>
          <w:rFonts w:ascii="Arial" w:hAnsi="Arial" w:cs="Arial"/>
        </w:rPr>
      </w:pPr>
      <w:r w:rsidRPr="00A366FA">
        <w:rPr>
          <w:rFonts w:ascii="Arial" w:hAnsi="Arial" w:cs="Arial"/>
        </w:rPr>
        <w:lastRenderedPageBreak/>
        <w:t xml:space="preserve">This means that the level of teachers’ motivation for students in public elementary schools in terms of self-efficacy, active understanding strategies, understanding value, performance goal and understanding environment is manifested oftentimes by the teachers. </w:t>
      </w:r>
    </w:p>
    <w:p w14:paraId="19790DD4" w14:textId="77777777" w:rsidR="00A366FA" w:rsidRPr="00A366FA" w:rsidRDefault="00A366FA" w:rsidP="00A366FA">
      <w:pPr>
        <w:jc w:val="both"/>
        <w:rPr>
          <w:rFonts w:ascii="Arial" w:hAnsi="Arial" w:cs="Arial"/>
        </w:rPr>
      </w:pPr>
    </w:p>
    <w:p w14:paraId="11042001" w14:textId="1FF64A07" w:rsidR="003248E3" w:rsidRDefault="00A366FA" w:rsidP="00A366FA">
      <w:pPr>
        <w:jc w:val="both"/>
        <w:rPr>
          <w:rFonts w:ascii="Arial" w:hAnsi="Arial" w:cs="Arial"/>
        </w:rPr>
      </w:pPr>
      <w:r w:rsidRPr="00A366FA">
        <w:rPr>
          <w:rFonts w:ascii="Arial" w:hAnsi="Arial" w:cs="Arial"/>
        </w:rPr>
        <w:t>This indicates that the teachers’ motivation for students in public elementary schools in terms of self-efficacy, active understanding strategies, understanding value, performance goal and understanding environment shapes how students approach their studies, influences their academic success, and prepares them for the challenges of tomorrow. By fostering a motivated learning environment, teachers are not just teaching subjects; they are nurturing future thinkers, innovators, and leaders.</w:t>
      </w:r>
    </w:p>
    <w:p w14:paraId="5AB68113" w14:textId="77777777" w:rsidR="00A366FA" w:rsidRDefault="00A366FA" w:rsidP="00A366FA">
      <w:pPr>
        <w:jc w:val="both"/>
        <w:rPr>
          <w:rFonts w:ascii="Arial" w:hAnsi="Arial" w:cs="Arial"/>
        </w:rPr>
      </w:pPr>
    </w:p>
    <w:p w14:paraId="19838AFC" w14:textId="64AB4771" w:rsidR="00652FDB" w:rsidRDefault="00652FDB" w:rsidP="00652FDB">
      <w:pPr>
        <w:jc w:val="both"/>
        <w:rPr>
          <w:rFonts w:ascii="Arial" w:hAnsi="Arial" w:cs="Arial"/>
        </w:rPr>
      </w:pPr>
      <w:r w:rsidRPr="00652FDB">
        <w:rPr>
          <w:rFonts w:ascii="Arial" w:hAnsi="Arial" w:cs="Arial"/>
        </w:rPr>
        <w:t xml:space="preserve">This finding aligns with </w:t>
      </w:r>
      <w:r w:rsidR="007F2EEE" w:rsidRPr="007F2EEE">
        <w:rPr>
          <w:rFonts w:ascii="Arial" w:hAnsi="Arial" w:cs="Arial"/>
        </w:rPr>
        <w:t>Barkley</w:t>
      </w:r>
      <w:r w:rsidR="007F2EEE">
        <w:rPr>
          <w:rFonts w:ascii="Arial" w:hAnsi="Arial" w:cs="Arial"/>
        </w:rPr>
        <w:t xml:space="preserve"> and </w:t>
      </w:r>
      <w:r w:rsidR="007F2EEE" w:rsidRPr="007F2EEE">
        <w:rPr>
          <w:rFonts w:ascii="Arial" w:hAnsi="Arial" w:cs="Arial"/>
        </w:rPr>
        <w:t xml:space="preserve">Major </w:t>
      </w:r>
      <w:r w:rsidRPr="00652FDB">
        <w:rPr>
          <w:rFonts w:ascii="Arial" w:hAnsi="Arial" w:cs="Arial"/>
        </w:rPr>
        <w:t>(20</w:t>
      </w:r>
      <w:r w:rsidR="007F2EEE">
        <w:rPr>
          <w:rFonts w:ascii="Arial" w:hAnsi="Arial" w:cs="Arial"/>
        </w:rPr>
        <w:t>20</w:t>
      </w:r>
      <w:r w:rsidRPr="00652FDB">
        <w:rPr>
          <w:rFonts w:ascii="Arial" w:hAnsi="Arial" w:cs="Arial"/>
        </w:rPr>
        <w:t xml:space="preserve">), who emphasized that a motivated teacher is fundamental to a successful classroom. A highly engaged teacher fosters an environment where students are not merely present but actively involved—curious, eager, and inspired to learn. According to </w:t>
      </w:r>
      <w:r w:rsidR="007F033D" w:rsidRPr="007F033D">
        <w:rPr>
          <w:rFonts w:ascii="Arial" w:hAnsi="Arial" w:cs="Arial"/>
        </w:rPr>
        <w:t>Nahid</w:t>
      </w:r>
      <w:r w:rsidR="007F033D">
        <w:rPr>
          <w:rFonts w:ascii="Arial" w:hAnsi="Arial" w:cs="Arial"/>
        </w:rPr>
        <w:t xml:space="preserve"> et al.</w:t>
      </w:r>
      <w:r w:rsidRPr="00652FDB">
        <w:rPr>
          <w:rFonts w:ascii="Arial" w:hAnsi="Arial" w:cs="Arial"/>
        </w:rPr>
        <w:t xml:space="preserve"> (20</w:t>
      </w:r>
      <w:r w:rsidR="007F033D">
        <w:rPr>
          <w:rFonts w:ascii="Arial" w:hAnsi="Arial" w:cs="Arial"/>
        </w:rPr>
        <w:t>23</w:t>
      </w:r>
      <w:r w:rsidRPr="00652FDB">
        <w:rPr>
          <w:rFonts w:ascii="Arial" w:hAnsi="Arial" w:cs="Arial"/>
        </w:rPr>
        <w:t>), motivation plays a critical role in education, serving as the driving force that energizes, directs, and sustains both teaching and learning. When teachers are motivated, they do more than deliver lessons; they ignite a passion for knowledge that can shape students’ lifelong learning journeys.</w:t>
      </w:r>
      <w:r>
        <w:rPr>
          <w:rFonts w:ascii="Arial" w:hAnsi="Arial" w:cs="Arial"/>
        </w:rPr>
        <w:t xml:space="preserve"> </w:t>
      </w:r>
      <w:r w:rsidRPr="00652FDB">
        <w:rPr>
          <w:rFonts w:ascii="Arial" w:hAnsi="Arial" w:cs="Arial"/>
        </w:rPr>
        <w:t xml:space="preserve">Furthermore, motivation extends beyond individual effort. As </w:t>
      </w:r>
      <w:r w:rsidR="00866DD1">
        <w:rPr>
          <w:rFonts w:ascii="Arial" w:hAnsi="Arial" w:cs="Arial"/>
        </w:rPr>
        <w:t>Alipio</w:t>
      </w:r>
      <w:r w:rsidRPr="00652FDB">
        <w:rPr>
          <w:rFonts w:ascii="Arial" w:hAnsi="Arial" w:cs="Arial"/>
        </w:rPr>
        <w:t xml:space="preserve"> (20</w:t>
      </w:r>
      <w:r w:rsidR="00866DD1">
        <w:rPr>
          <w:rFonts w:ascii="Arial" w:hAnsi="Arial" w:cs="Arial"/>
        </w:rPr>
        <w:t>20</w:t>
      </w:r>
      <w:r w:rsidRPr="00652FDB">
        <w:rPr>
          <w:rFonts w:ascii="Arial" w:hAnsi="Arial" w:cs="Arial"/>
        </w:rPr>
        <w:t>) noted, in an ever-evolving world where new challenges and opportunities constantly emerge, the ability to learn and adapt is essential. Motivated learners are better equipped to navigate these changes, fueled by an intrinsic desire for growth and resilience in the face of setbacks. Consequently, fostering teacher motivation not only enhances classroom engagement but also contributes to the broader development of adaptable and determined learners.</w:t>
      </w:r>
    </w:p>
    <w:p w14:paraId="6025C581" w14:textId="77777777" w:rsidR="00652FDB" w:rsidRDefault="00652FDB" w:rsidP="00652FDB">
      <w:pPr>
        <w:jc w:val="both"/>
        <w:rPr>
          <w:rFonts w:ascii="Arial" w:hAnsi="Arial" w:cs="Arial"/>
        </w:rPr>
      </w:pPr>
    </w:p>
    <w:p w14:paraId="73523F39" w14:textId="045586EC" w:rsidR="00717F2E" w:rsidRDefault="006965E4" w:rsidP="00652FDB">
      <w:pPr>
        <w:jc w:val="both"/>
        <w:rPr>
          <w:rFonts w:ascii="Arial" w:hAnsi="Arial" w:cs="Arial"/>
          <w:b/>
        </w:rPr>
      </w:pPr>
      <w:r>
        <w:rPr>
          <w:rFonts w:ascii="Arial" w:hAnsi="Arial" w:cs="Arial"/>
          <w:b/>
        </w:rPr>
        <w:t xml:space="preserve">3.2 </w:t>
      </w:r>
      <w:r w:rsidR="00990672" w:rsidRPr="00990672">
        <w:rPr>
          <w:rFonts w:ascii="Arial" w:hAnsi="Arial" w:cs="Arial"/>
          <w:b/>
        </w:rPr>
        <w:t>Teachers’ Conceptual Understanding for Students in Public Elementary Schools</w:t>
      </w:r>
    </w:p>
    <w:p w14:paraId="55F82C25" w14:textId="77777777" w:rsidR="0073677C" w:rsidRDefault="0073677C" w:rsidP="00781D5E">
      <w:pPr>
        <w:jc w:val="both"/>
        <w:rPr>
          <w:rFonts w:ascii="Arial" w:hAnsi="Arial" w:cs="Arial"/>
        </w:rPr>
      </w:pPr>
    </w:p>
    <w:p w14:paraId="2745F126" w14:textId="7EC92D6D" w:rsidR="00781D5E" w:rsidRDefault="006965E4">
      <w:pPr>
        <w:jc w:val="both"/>
        <w:rPr>
          <w:rFonts w:ascii="Arial" w:hAnsi="Arial" w:cs="Arial"/>
          <w:iCs/>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of </w:t>
      </w:r>
      <w:r w:rsidR="00990672" w:rsidRPr="00990672">
        <w:rPr>
          <w:rFonts w:ascii="Arial" w:hAnsi="Arial" w:cs="Arial"/>
          <w:i/>
        </w:rPr>
        <w:t>Teachers’ Conceptual Understanding for Students in Public Elementary Schools</w:t>
      </w:r>
    </w:p>
    <w:p w14:paraId="58FA531C" w14:textId="77777777" w:rsidR="00781D5E" w:rsidRDefault="00781D5E" w:rsidP="0073677C">
      <w:pPr>
        <w:jc w:val="both"/>
        <w:rPr>
          <w:rFonts w:ascii="Arial" w:hAnsi="Arial" w:cs="Arial"/>
        </w:rPr>
      </w:pPr>
    </w:p>
    <w:tbl>
      <w:tblPr>
        <w:tblW w:w="0" w:type="auto"/>
        <w:tblInd w:w="198" w:type="dxa"/>
        <w:tblLook w:val="0000" w:firstRow="0" w:lastRow="0" w:firstColumn="0" w:lastColumn="0" w:noHBand="0" w:noVBand="0"/>
      </w:tblPr>
      <w:tblGrid>
        <w:gridCol w:w="766"/>
        <w:gridCol w:w="4557"/>
        <w:gridCol w:w="950"/>
        <w:gridCol w:w="1737"/>
      </w:tblGrid>
      <w:tr w:rsidR="00990672" w14:paraId="11A3C766" w14:textId="77777777" w:rsidTr="00A40ADB">
        <w:trPr>
          <w:trHeight w:val="357"/>
        </w:trPr>
        <w:tc>
          <w:tcPr>
            <w:tcW w:w="801" w:type="dxa"/>
            <w:tcBorders>
              <w:top w:val="double" w:sz="4" w:space="0" w:color="auto"/>
              <w:bottom w:val="single" w:sz="4" w:space="0" w:color="auto"/>
            </w:tcBorders>
          </w:tcPr>
          <w:p w14:paraId="2B810136" w14:textId="77777777" w:rsidR="00990672" w:rsidRPr="00990672" w:rsidRDefault="00990672" w:rsidP="00990672">
            <w:pPr>
              <w:jc w:val="center"/>
              <w:rPr>
                <w:rFonts w:ascii="Arial" w:hAnsi="Arial" w:cs="Arial"/>
              </w:rPr>
            </w:pPr>
            <w:r w:rsidRPr="00990672">
              <w:rPr>
                <w:rFonts w:ascii="Arial" w:hAnsi="Arial" w:cs="Arial"/>
              </w:rPr>
              <w:t>No.</w:t>
            </w:r>
          </w:p>
          <w:p w14:paraId="0F182D91" w14:textId="77777777" w:rsidR="00990672" w:rsidRPr="00990672" w:rsidRDefault="00990672" w:rsidP="00990672">
            <w:pPr>
              <w:jc w:val="center"/>
              <w:rPr>
                <w:rFonts w:ascii="Arial" w:hAnsi="Arial" w:cs="Arial"/>
              </w:rPr>
            </w:pPr>
          </w:p>
        </w:tc>
        <w:tc>
          <w:tcPr>
            <w:tcW w:w="5059" w:type="dxa"/>
            <w:tcBorders>
              <w:top w:val="double" w:sz="4" w:space="0" w:color="auto"/>
              <w:bottom w:val="single" w:sz="4" w:space="0" w:color="auto"/>
            </w:tcBorders>
          </w:tcPr>
          <w:p w14:paraId="2D98C8F4" w14:textId="48F9A31D" w:rsidR="00990672" w:rsidRPr="00990672" w:rsidRDefault="00990672" w:rsidP="00990672">
            <w:pPr>
              <w:jc w:val="center"/>
              <w:rPr>
                <w:rFonts w:ascii="Arial" w:hAnsi="Arial" w:cs="Arial"/>
              </w:rPr>
            </w:pPr>
            <w:r>
              <w:rPr>
                <w:rFonts w:ascii="Arial" w:hAnsi="Arial" w:cs="Arial"/>
              </w:rPr>
              <w:t>Indicators</w:t>
            </w:r>
          </w:p>
        </w:tc>
        <w:tc>
          <w:tcPr>
            <w:tcW w:w="984" w:type="dxa"/>
            <w:tcBorders>
              <w:top w:val="double" w:sz="4" w:space="0" w:color="auto"/>
              <w:bottom w:val="single" w:sz="4" w:space="0" w:color="auto"/>
            </w:tcBorders>
          </w:tcPr>
          <w:p w14:paraId="5961F1BC" w14:textId="77777777" w:rsidR="00990672" w:rsidRPr="00990672" w:rsidRDefault="00990672" w:rsidP="00990672">
            <w:pPr>
              <w:contextualSpacing/>
              <w:jc w:val="center"/>
              <w:rPr>
                <w:rFonts w:ascii="Arial" w:hAnsi="Arial" w:cs="Arial"/>
                <w:lang w:eastAsia="en-PH"/>
              </w:rPr>
            </w:pPr>
            <w:r w:rsidRPr="00990672">
              <w:rPr>
                <w:rFonts w:ascii="Arial" w:hAnsi="Arial" w:cs="Arial"/>
                <w:lang w:eastAsia="en-PH"/>
              </w:rPr>
              <w:t>Mean</w:t>
            </w:r>
          </w:p>
          <w:p w14:paraId="1D83A2E0" w14:textId="77777777" w:rsidR="00990672" w:rsidRPr="00990672" w:rsidRDefault="00990672" w:rsidP="00990672">
            <w:pPr>
              <w:contextualSpacing/>
              <w:jc w:val="center"/>
              <w:rPr>
                <w:rFonts w:ascii="Arial" w:hAnsi="Arial" w:cs="Arial"/>
              </w:rPr>
            </w:pPr>
            <w:r w:rsidRPr="00990672">
              <w:rPr>
                <w:rFonts w:ascii="Arial" w:hAnsi="Arial" w:cs="Arial"/>
                <w:lang w:eastAsia="en-PH"/>
              </w:rPr>
              <w:t>(</w:t>
            </w:r>
            <w:r w:rsidRPr="00990672">
              <w:rPr>
                <w:rFonts w:ascii="Arial" w:hAnsi="Arial" w:cs="Arial"/>
                <w:lang w:eastAsia="en-PH"/>
              </w:rPr>
              <w:fldChar w:fldCharType="begin"/>
            </w:r>
            <w:r w:rsidRPr="00990672">
              <w:rPr>
                <w:rFonts w:ascii="Arial" w:hAnsi="Arial" w:cs="Arial"/>
                <w:lang w:eastAsia="en-PH"/>
              </w:rPr>
              <w:instrText xml:space="preserve"> QUOTE </w:instrText>
            </w:r>
            <w:r w:rsidR="00E44FAD">
              <w:rPr>
                <w:rFonts w:ascii="Arial" w:hAnsi="Arial" w:cs="Arial"/>
                <w:position w:val="-9"/>
              </w:rPr>
              <w:pict w14:anchorId="160D557B">
                <v:shape id="Picture 17" o:spid="_x0000_i1027" type="#_x0000_t75" style="width:5.7pt;height:16.05pt;mso-position-horizontal-relative:page;mso-position-vertical-relative:page" equationxml="&lt;">
                  <v:imagedata r:id="rId16" o:title="" chromakey="white"/>
                </v:shape>
              </w:pict>
            </w:r>
            <w:r w:rsidRPr="00990672">
              <w:rPr>
                <w:rFonts w:ascii="Arial" w:hAnsi="Arial" w:cs="Arial"/>
                <w:lang w:eastAsia="en-PH"/>
              </w:rPr>
              <w:fldChar w:fldCharType="separate"/>
            </w:r>
            <w:r w:rsidR="00E44FAD">
              <w:rPr>
                <w:rFonts w:ascii="Arial" w:hAnsi="Arial" w:cs="Arial"/>
                <w:position w:val="-9"/>
              </w:rPr>
              <w:pict w14:anchorId="18951CDD">
                <v:shape id="Picture 18" o:spid="_x0000_i1028" type="#_x0000_t75" style="width:5.7pt;height:16.05pt;mso-position-horizontal-relative:page;mso-position-vertical-relative:page" equationxml="&lt;">
                  <v:imagedata r:id="rId16" o:title="" chromakey="white"/>
                </v:shape>
              </w:pict>
            </w:r>
            <w:r w:rsidRPr="00990672">
              <w:rPr>
                <w:rFonts w:ascii="Arial" w:hAnsi="Arial" w:cs="Arial"/>
                <w:lang w:eastAsia="en-PH"/>
              </w:rPr>
              <w:fldChar w:fldCharType="end"/>
            </w:r>
            <w:r w:rsidRPr="00990672">
              <w:rPr>
                <w:rFonts w:ascii="Arial" w:hAnsi="Arial" w:cs="Arial"/>
                <w:lang w:eastAsia="en-PH"/>
              </w:rPr>
              <w:t>)</w:t>
            </w:r>
          </w:p>
        </w:tc>
        <w:tc>
          <w:tcPr>
            <w:tcW w:w="1814" w:type="dxa"/>
            <w:tcBorders>
              <w:top w:val="double" w:sz="4" w:space="0" w:color="auto"/>
              <w:bottom w:val="single" w:sz="4" w:space="0" w:color="auto"/>
            </w:tcBorders>
          </w:tcPr>
          <w:p w14:paraId="5E0C1C3A" w14:textId="77777777" w:rsidR="00990672" w:rsidRPr="00990672" w:rsidRDefault="00990672" w:rsidP="00990672">
            <w:pPr>
              <w:jc w:val="center"/>
              <w:rPr>
                <w:rFonts w:ascii="Arial" w:hAnsi="Arial" w:cs="Arial"/>
              </w:rPr>
            </w:pPr>
            <w:r w:rsidRPr="00990672">
              <w:rPr>
                <w:rFonts w:ascii="Arial" w:hAnsi="Arial" w:cs="Arial"/>
              </w:rPr>
              <w:t>Descriptive Equivalent</w:t>
            </w:r>
          </w:p>
        </w:tc>
      </w:tr>
      <w:tr w:rsidR="00990672" w14:paraId="1F7EE622" w14:textId="77777777" w:rsidTr="00A40ADB">
        <w:trPr>
          <w:trHeight w:val="143"/>
        </w:trPr>
        <w:tc>
          <w:tcPr>
            <w:tcW w:w="801" w:type="dxa"/>
            <w:tcBorders>
              <w:top w:val="single" w:sz="4" w:space="0" w:color="auto"/>
              <w:bottom w:val="nil"/>
            </w:tcBorders>
          </w:tcPr>
          <w:p w14:paraId="53253DDD" w14:textId="77777777" w:rsidR="00990672" w:rsidRPr="00990672" w:rsidRDefault="00990672" w:rsidP="00990672">
            <w:pPr>
              <w:jc w:val="center"/>
              <w:rPr>
                <w:rFonts w:ascii="Arial" w:hAnsi="Arial" w:cs="Arial"/>
              </w:rPr>
            </w:pPr>
            <w:r w:rsidRPr="00990672">
              <w:rPr>
                <w:rFonts w:ascii="Arial" w:hAnsi="Arial" w:cs="Arial"/>
              </w:rPr>
              <w:t>1</w:t>
            </w:r>
          </w:p>
        </w:tc>
        <w:tc>
          <w:tcPr>
            <w:tcW w:w="5059" w:type="dxa"/>
            <w:tcBorders>
              <w:top w:val="single" w:sz="4" w:space="0" w:color="auto"/>
              <w:bottom w:val="nil"/>
            </w:tcBorders>
          </w:tcPr>
          <w:p w14:paraId="56C32EC3" w14:textId="77777777" w:rsidR="00990672" w:rsidRPr="00990672" w:rsidRDefault="00990672" w:rsidP="00990672">
            <w:pPr>
              <w:rPr>
                <w:rFonts w:ascii="Arial" w:hAnsi="Arial" w:cs="Arial"/>
              </w:rPr>
            </w:pPr>
            <w:r w:rsidRPr="00990672">
              <w:rPr>
                <w:rFonts w:ascii="Arial" w:hAnsi="Arial" w:cs="Arial"/>
              </w:rPr>
              <w:t xml:space="preserve">objective response </w:t>
            </w:r>
          </w:p>
        </w:tc>
        <w:tc>
          <w:tcPr>
            <w:tcW w:w="984" w:type="dxa"/>
            <w:tcBorders>
              <w:top w:val="single" w:sz="4" w:space="0" w:color="auto"/>
              <w:bottom w:val="nil"/>
            </w:tcBorders>
            <w:vAlign w:val="center"/>
          </w:tcPr>
          <w:p w14:paraId="18E5C2C3" w14:textId="77777777" w:rsidR="00990672" w:rsidRPr="00990672" w:rsidRDefault="00990672" w:rsidP="00990672">
            <w:pPr>
              <w:pStyle w:val="TableContents"/>
              <w:snapToGrid w:val="0"/>
              <w:jc w:val="center"/>
              <w:rPr>
                <w:rFonts w:ascii="Arial" w:hAnsi="Arial" w:cs="Arial"/>
                <w:sz w:val="20"/>
                <w:szCs w:val="20"/>
              </w:rPr>
            </w:pPr>
            <w:r w:rsidRPr="00990672">
              <w:rPr>
                <w:rFonts w:ascii="Arial" w:hAnsi="Arial" w:cs="Arial"/>
                <w:sz w:val="20"/>
                <w:szCs w:val="20"/>
              </w:rPr>
              <w:t>4.07</w:t>
            </w:r>
          </w:p>
        </w:tc>
        <w:tc>
          <w:tcPr>
            <w:tcW w:w="1814" w:type="dxa"/>
            <w:tcBorders>
              <w:top w:val="single" w:sz="4" w:space="0" w:color="auto"/>
              <w:bottom w:val="nil"/>
            </w:tcBorders>
            <w:vAlign w:val="center"/>
          </w:tcPr>
          <w:p w14:paraId="416D771A" w14:textId="77777777" w:rsidR="00990672" w:rsidRPr="00990672" w:rsidRDefault="00990672" w:rsidP="00990672">
            <w:pPr>
              <w:pStyle w:val="TableContents"/>
              <w:snapToGrid w:val="0"/>
              <w:jc w:val="center"/>
              <w:rPr>
                <w:rFonts w:ascii="Arial" w:hAnsi="Arial" w:cs="Arial"/>
                <w:sz w:val="20"/>
                <w:szCs w:val="20"/>
              </w:rPr>
            </w:pPr>
            <w:r w:rsidRPr="00990672">
              <w:rPr>
                <w:rFonts w:ascii="Arial" w:hAnsi="Arial" w:cs="Arial"/>
                <w:sz w:val="20"/>
                <w:szCs w:val="20"/>
              </w:rPr>
              <w:t>High</w:t>
            </w:r>
          </w:p>
        </w:tc>
      </w:tr>
      <w:tr w:rsidR="00990672" w14:paraId="58E0F8C1" w14:textId="77777777" w:rsidTr="00A40ADB">
        <w:trPr>
          <w:trHeight w:val="252"/>
        </w:trPr>
        <w:tc>
          <w:tcPr>
            <w:tcW w:w="801" w:type="dxa"/>
          </w:tcPr>
          <w:p w14:paraId="624F56FA" w14:textId="77777777" w:rsidR="00990672" w:rsidRPr="00990672" w:rsidRDefault="00990672" w:rsidP="00990672">
            <w:pPr>
              <w:jc w:val="center"/>
              <w:rPr>
                <w:rFonts w:ascii="Arial" w:hAnsi="Arial" w:cs="Arial"/>
              </w:rPr>
            </w:pPr>
            <w:r w:rsidRPr="00990672">
              <w:rPr>
                <w:rFonts w:ascii="Arial" w:hAnsi="Arial" w:cs="Arial"/>
              </w:rPr>
              <w:t>2</w:t>
            </w:r>
          </w:p>
        </w:tc>
        <w:tc>
          <w:tcPr>
            <w:tcW w:w="5059" w:type="dxa"/>
          </w:tcPr>
          <w:p w14:paraId="18C8B09B" w14:textId="77777777" w:rsidR="00990672" w:rsidRPr="00990672" w:rsidRDefault="00990672" w:rsidP="00990672">
            <w:pPr>
              <w:rPr>
                <w:rFonts w:ascii="Arial" w:hAnsi="Arial" w:cs="Arial"/>
              </w:rPr>
            </w:pPr>
            <w:r w:rsidRPr="00990672">
              <w:rPr>
                <w:rFonts w:ascii="Arial" w:hAnsi="Arial" w:cs="Arial"/>
              </w:rPr>
              <w:t>analysis and reasoning</w:t>
            </w:r>
          </w:p>
        </w:tc>
        <w:tc>
          <w:tcPr>
            <w:tcW w:w="984" w:type="dxa"/>
            <w:vAlign w:val="center"/>
          </w:tcPr>
          <w:p w14:paraId="662BE07B" w14:textId="77777777" w:rsidR="00990672" w:rsidRPr="00990672" w:rsidRDefault="00990672" w:rsidP="00990672">
            <w:pPr>
              <w:pStyle w:val="TableContents"/>
              <w:snapToGrid w:val="0"/>
              <w:jc w:val="center"/>
              <w:rPr>
                <w:rFonts w:ascii="Arial" w:hAnsi="Arial" w:cs="Arial"/>
                <w:sz w:val="20"/>
                <w:szCs w:val="20"/>
              </w:rPr>
            </w:pPr>
            <w:r w:rsidRPr="00990672">
              <w:rPr>
                <w:rFonts w:ascii="Arial" w:hAnsi="Arial" w:cs="Arial"/>
                <w:sz w:val="20"/>
                <w:szCs w:val="20"/>
              </w:rPr>
              <w:t>4.19</w:t>
            </w:r>
          </w:p>
        </w:tc>
        <w:tc>
          <w:tcPr>
            <w:tcW w:w="1814" w:type="dxa"/>
          </w:tcPr>
          <w:p w14:paraId="3C4FB509" w14:textId="77777777" w:rsidR="00990672" w:rsidRPr="00990672" w:rsidRDefault="00990672" w:rsidP="00990672">
            <w:pPr>
              <w:jc w:val="center"/>
            </w:pPr>
            <w:r w:rsidRPr="00990672">
              <w:rPr>
                <w:rFonts w:ascii="Arial" w:hAnsi="Arial" w:cs="Arial"/>
              </w:rPr>
              <w:t>High</w:t>
            </w:r>
          </w:p>
        </w:tc>
      </w:tr>
      <w:tr w:rsidR="00990672" w14:paraId="7EA7066E" w14:textId="77777777" w:rsidTr="00A40ADB">
        <w:trPr>
          <w:trHeight w:val="193"/>
        </w:trPr>
        <w:tc>
          <w:tcPr>
            <w:tcW w:w="5860" w:type="dxa"/>
            <w:gridSpan w:val="2"/>
            <w:tcBorders>
              <w:bottom w:val="double" w:sz="4" w:space="0" w:color="auto"/>
            </w:tcBorders>
          </w:tcPr>
          <w:p w14:paraId="49B3DFD3" w14:textId="77777777" w:rsidR="00990672" w:rsidRPr="00990672" w:rsidRDefault="00990672" w:rsidP="00990672">
            <w:pPr>
              <w:jc w:val="center"/>
              <w:rPr>
                <w:rFonts w:ascii="Arial" w:hAnsi="Arial" w:cs="Arial"/>
              </w:rPr>
            </w:pPr>
            <w:r w:rsidRPr="00990672">
              <w:rPr>
                <w:rFonts w:ascii="Arial" w:hAnsi="Arial" w:cs="Arial"/>
              </w:rPr>
              <w:t>Overall Mean</w:t>
            </w:r>
          </w:p>
        </w:tc>
        <w:tc>
          <w:tcPr>
            <w:tcW w:w="984" w:type="dxa"/>
            <w:tcBorders>
              <w:bottom w:val="double" w:sz="4" w:space="0" w:color="auto"/>
            </w:tcBorders>
          </w:tcPr>
          <w:p w14:paraId="149E8815" w14:textId="77777777" w:rsidR="00990672" w:rsidRPr="00990672" w:rsidRDefault="00990672" w:rsidP="00990672">
            <w:pPr>
              <w:jc w:val="center"/>
              <w:rPr>
                <w:rFonts w:ascii="Arial" w:hAnsi="Arial" w:cs="Arial"/>
              </w:rPr>
            </w:pPr>
            <w:r w:rsidRPr="00990672">
              <w:rPr>
                <w:rFonts w:ascii="Arial" w:hAnsi="Arial" w:cs="Arial"/>
              </w:rPr>
              <w:t>4.14</w:t>
            </w:r>
          </w:p>
        </w:tc>
        <w:tc>
          <w:tcPr>
            <w:tcW w:w="1814" w:type="dxa"/>
            <w:tcBorders>
              <w:bottom w:val="double" w:sz="4" w:space="0" w:color="auto"/>
            </w:tcBorders>
            <w:vAlign w:val="center"/>
          </w:tcPr>
          <w:p w14:paraId="20D74CB9" w14:textId="77777777" w:rsidR="00990672" w:rsidRPr="00990672" w:rsidRDefault="00990672" w:rsidP="00990672">
            <w:pPr>
              <w:pStyle w:val="TableContents"/>
              <w:snapToGrid w:val="0"/>
              <w:jc w:val="center"/>
              <w:rPr>
                <w:rFonts w:ascii="Arial" w:hAnsi="Arial" w:cs="Arial"/>
                <w:sz w:val="20"/>
                <w:szCs w:val="20"/>
              </w:rPr>
            </w:pPr>
            <w:r w:rsidRPr="00990672">
              <w:rPr>
                <w:rFonts w:ascii="Arial" w:hAnsi="Arial" w:cs="Arial"/>
                <w:sz w:val="20"/>
                <w:szCs w:val="20"/>
              </w:rPr>
              <w:t>High</w:t>
            </w:r>
          </w:p>
        </w:tc>
      </w:tr>
      <w:tr w:rsidR="00990672" w14:paraId="49B79180" w14:textId="77777777" w:rsidTr="00A40ADB">
        <w:trPr>
          <w:trHeight w:val="115"/>
        </w:trPr>
        <w:tc>
          <w:tcPr>
            <w:tcW w:w="5860" w:type="dxa"/>
            <w:gridSpan w:val="2"/>
            <w:tcBorders>
              <w:top w:val="double" w:sz="4" w:space="0" w:color="auto"/>
            </w:tcBorders>
          </w:tcPr>
          <w:p w14:paraId="68AEB720" w14:textId="77777777" w:rsidR="00990672" w:rsidRDefault="00990672" w:rsidP="00A40ADB">
            <w:pPr>
              <w:jc w:val="center"/>
              <w:rPr>
                <w:rFonts w:ascii="Arial" w:hAnsi="Arial" w:cs="Arial"/>
              </w:rPr>
            </w:pPr>
          </w:p>
        </w:tc>
        <w:tc>
          <w:tcPr>
            <w:tcW w:w="984" w:type="dxa"/>
            <w:tcBorders>
              <w:top w:val="double" w:sz="4" w:space="0" w:color="auto"/>
            </w:tcBorders>
          </w:tcPr>
          <w:p w14:paraId="11B4288F" w14:textId="77777777" w:rsidR="00990672" w:rsidRDefault="00990672" w:rsidP="00A40ADB">
            <w:pPr>
              <w:jc w:val="center"/>
              <w:rPr>
                <w:rFonts w:ascii="Arial" w:hAnsi="Arial" w:cs="Arial"/>
              </w:rPr>
            </w:pPr>
          </w:p>
        </w:tc>
        <w:tc>
          <w:tcPr>
            <w:tcW w:w="1814" w:type="dxa"/>
            <w:tcBorders>
              <w:top w:val="double" w:sz="4" w:space="0" w:color="auto"/>
            </w:tcBorders>
          </w:tcPr>
          <w:p w14:paraId="4784B8EF" w14:textId="77777777" w:rsidR="00990672" w:rsidRDefault="00990672" w:rsidP="00A40ADB">
            <w:pPr>
              <w:jc w:val="center"/>
              <w:rPr>
                <w:rFonts w:ascii="Arial" w:hAnsi="Arial" w:cs="Arial"/>
              </w:rPr>
            </w:pPr>
          </w:p>
        </w:tc>
      </w:tr>
    </w:tbl>
    <w:p w14:paraId="21ED3F61" w14:textId="77777777" w:rsidR="0073677C" w:rsidRDefault="0073677C" w:rsidP="0073677C">
      <w:pPr>
        <w:jc w:val="both"/>
        <w:rPr>
          <w:rFonts w:ascii="Arial" w:hAnsi="Arial" w:cs="Arial"/>
        </w:rPr>
      </w:pPr>
    </w:p>
    <w:p w14:paraId="3E314ADC" w14:textId="2AFFBD29" w:rsidR="0073677C" w:rsidRDefault="00DC6178" w:rsidP="0073677C">
      <w:pPr>
        <w:jc w:val="both"/>
        <w:rPr>
          <w:rFonts w:ascii="Arial" w:hAnsi="Arial" w:cs="Arial"/>
        </w:rPr>
      </w:pPr>
      <w:r w:rsidRPr="00DC6178">
        <w:rPr>
          <w:rFonts w:ascii="Arial" w:hAnsi="Arial" w:cs="Arial"/>
        </w:rPr>
        <w:t xml:space="preserve">Table </w:t>
      </w:r>
      <w:r>
        <w:rPr>
          <w:rFonts w:ascii="Arial" w:hAnsi="Arial" w:cs="Arial"/>
        </w:rPr>
        <w:t>2</w:t>
      </w:r>
      <w:r w:rsidRPr="00DC6178">
        <w:rPr>
          <w:rFonts w:ascii="Arial" w:hAnsi="Arial" w:cs="Arial"/>
        </w:rPr>
        <w:t xml:space="preserve"> </w:t>
      </w:r>
      <w:r>
        <w:rPr>
          <w:rFonts w:ascii="Arial" w:hAnsi="Arial" w:cs="Arial"/>
        </w:rPr>
        <w:t>presents the</w:t>
      </w:r>
      <w:r w:rsidRPr="00DC6178">
        <w:rPr>
          <w:rFonts w:ascii="Arial" w:hAnsi="Arial" w:cs="Arial"/>
        </w:rPr>
        <w:t xml:space="preserve"> level of teachers’ conceptual understanding for students in public elementary school in terms of objective response and analysis and reasoning. The mean ratings of these indicators are as follows: physical and emotional well-being obtained the mean rating of 4.07 or high; and social and spiritual well-being gained the mean rating of 4.91 or high.</w:t>
      </w:r>
    </w:p>
    <w:p w14:paraId="357F9EE5" w14:textId="77777777" w:rsidR="0073677C" w:rsidRDefault="0073677C" w:rsidP="0073677C">
      <w:pPr>
        <w:jc w:val="both"/>
        <w:rPr>
          <w:rFonts w:ascii="Arial" w:hAnsi="Arial" w:cs="Arial"/>
        </w:rPr>
      </w:pPr>
    </w:p>
    <w:p w14:paraId="34F6EC04" w14:textId="77777777" w:rsidR="00DC6178" w:rsidRDefault="00DC6178" w:rsidP="00DC6178">
      <w:pPr>
        <w:jc w:val="both"/>
        <w:rPr>
          <w:rFonts w:ascii="Arial" w:hAnsi="Arial" w:cs="Arial"/>
        </w:rPr>
      </w:pPr>
      <w:r w:rsidRPr="00DC6178">
        <w:rPr>
          <w:rFonts w:ascii="Arial" w:hAnsi="Arial" w:cs="Arial"/>
        </w:rPr>
        <w:t xml:space="preserve">The overall mean rating of teachers’ conceptual understanding for students in public elementary school in terms of objective response and analysis and reasoning is 4.14 or high. This means that the level of teachers’ conceptual understanding for students in public elementary school in terms of objective response and analysis and reasoning is manifested by the teachers oftentimes. </w:t>
      </w:r>
    </w:p>
    <w:p w14:paraId="7DBD0949" w14:textId="77777777" w:rsidR="00DC6178" w:rsidRPr="00DC6178" w:rsidRDefault="00DC6178" w:rsidP="00DC6178">
      <w:pPr>
        <w:jc w:val="both"/>
        <w:rPr>
          <w:rFonts w:ascii="Arial" w:hAnsi="Arial" w:cs="Arial"/>
        </w:rPr>
      </w:pPr>
    </w:p>
    <w:p w14:paraId="7FC92074" w14:textId="77777777" w:rsidR="00DC6178" w:rsidRPr="00DC6178" w:rsidRDefault="00DC6178" w:rsidP="00DC6178">
      <w:pPr>
        <w:jc w:val="both"/>
        <w:rPr>
          <w:rFonts w:ascii="Arial" w:hAnsi="Arial" w:cs="Arial"/>
        </w:rPr>
      </w:pPr>
      <w:r w:rsidRPr="00DC6178">
        <w:rPr>
          <w:rFonts w:ascii="Arial" w:hAnsi="Arial" w:cs="Arial"/>
        </w:rPr>
        <w:t>This indicates that teachers’ conceptual understanding for students in public elementary school in terms of objective response and analysis and reasoning is essentially about learning more than isolated facts; it is about understanding the relationships between those facts and having them arranged correctly.</w:t>
      </w:r>
    </w:p>
    <w:p w14:paraId="194D76E3" w14:textId="77777777" w:rsidR="00DC6178" w:rsidRDefault="00DC6178" w:rsidP="00DC6178">
      <w:pPr>
        <w:jc w:val="both"/>
        <w:rPr>
          <w:rFonts w:ascii="Arial" w:hAnsi="Arial" w:cs="Arial"/>
        </w:rPr>
      </w:pPr>
    </w:p>
    <w:p w14:paraId="370CE5F5" w14:textId="342C36BF" w:rsidR="00652FDB" w:rsidRPr="00652FDB" w:rsidRDefault="00652FDB" w:rsidP="00652FDB">
      <w:pPr>
        <w:jc w:val="both"/>
        <w:rPr>
          <w:rFonts w:ascii="Arial" w:hAnsi="Arial" w:cs="Arial"/>
        </w:rPr>
      </w:pPr>
      <w:r w:rsidRPr="00652FDB">
        <w:rPr>
          <w:rFonts w:ascii="Arial" w:hAnsi="Arial" w:cs="Arial"/>
        </w:rPr>
        <w:t xml:space="preserve">This finding aligns with </w:t>
      </w:r>
      <w:r w:rsidR="00E74241" w:rsidRPr="00E74241">
        <w:rPr>
          <w:rFonts w:ascii="Arial" w:hAnsi="Arial" w:cs="Arial"/>
        </w:rPr>
        <w:t>Hansen</w:t>
      </w:r>
      <w:r w:rsidRPr="00652FDB">
        <w:rPr>
          <w:rFonts w:ascii="Arial" w:hAnsi="Arial" w:cs="Arial"/>
        </w:rPr>
        <w:t xml:space="preserve"> (20</w:t>
      </w:r>
      <w:r w:rsidR="00E74241">
        <w:rPr>
          <w:rFonts w:ascii="Arial" w:hAnsi="Arial" w:cs="Arial"/>
        </w:rPr>
        <w:t>23</w:t>
      </w:r>
      <w:r w:rsidRPr="00652FDB">
        <w:rPr>
          <w:rFonts w:ascii="Arial" w:hAnsi="Arial" w:cs="Arial"/>
        </w:rPr>
        <w:t xml:space="preserve">), who emphasized that conceptual understanding enables students to grasp the underlying principles of a subject rather than merely memorizing isolated facts. When students develop conceptual understanding, they recognize the significance of issues and their applications in various contexts. According to </w:t>
      </w:r>
      <w:r w:rsidR="0016632E" w:rsidRPr="0016632E">
        <w:rPr>
          <w:rFonts w:ascii="Arial" w:hAnsi="Arial" w:cs="Arial"/>
        </w:rPr>
        <w:t>Wu</w:t>
      </w:r>
      <w:r w:rsidR="0016632E">
        <w:rPr>
          <w:rFonts w:ascii="Arial" w:hAnsi="Arial" w:cs="Arial"/>
        </w:rPr>
        <w:t xml:space="preserve"> et al.</w:t>
      </w:r>
      <w:r w:rsidRPr="00652FDB">
        <w:rPr>
          <w:rFonts w:ascii="Arial" w:hAnsi="Arial" w:cs="Arial"/>
        </w:rPr>
        <w:t xml:space="preserve"> (202</w:t>
      </w:r>
      <w:r w:rsidR="0016632E">
        <w:rPr>
          <w:rFonts w:ascii="Arial" w:hAnsi="Arial" w:cs="Arial"/>
        </w:rPr>
        <w:t>1</w:t>
      </w:r>
      <w:r w:rsidRPr="00652FDB">
        <w:rPr>
          <w:rFonts w:ascii="Arial" w:hAnsi="Arial" w:cs="Arial"/>
        </w:rPr>
        <w:t>), one effective way to foster conceptual understanding is through active exploration, such as drawing and measuring. After obtaining their answers, students can be encouraged to estimate dimensions to assess the accuracy of their predictions. This hands-on approach is just one of many strategies that promote deeper conceptual learning.</w:t>
      </w:r>
    </w:p>
    <w:p w14:paraId="356E28B0" w14:textId="77777777" w:rsidR="00DC6178" w:rsidRDefault="00DC6178" w:rsidP="00DC6178">
      <w:pPr>
        <w:jc w:val="both"/>
        <w:rPr>
          <w:rFonts w:ascii="Arial" w:hAnsi="Arial" w:cs="Arial"/>
        </w:rPr>
      </w:pPr>
    </w:p>
    <w:p w14:paraId="59320546" w14:textId="3E5DC15D" w:rsidR="00717F2E" w:rsidRDefault="00781D5E">
      <w:pPr>
        <w:rPr>
          <w:rFonts w:ascii="Arial" w:hAnsi="Arial" w:cs="Arial"/>
          <w:b/>
          <w:bCs/>
          <w:iCs/>
        </w:rPr>
      </w:pPr>
      <w:r>
        <w:rPr>
          <w:rFonts w:ascii="Arial" w:hAnsi="Arial" w:cs="Arial"/>
          <w:b/>
          <w:bCs/>
          <w:iCs/>
        </w:rPr>
        <w:t xml:space="preserve">3.3 </w:t>
      </w:r>
      <w:r w:rsidR="008204D0" w:rsidRPr="008204D0">
        <w:rPr>
          <w:rFonts w:ascii="Arial" w:hAnsi="Arial" w:cs="Arial"/>
          <w:b/>
          <w:bCs/>
          <w:iCs/>
        </w:rPr>
        <w:t>Significant Relationship Between Shared Justice Leadership and Digital Access in a New Normal among Public Elementary School Teachers</w:t>
      </w:r>
    </w:p>
    <w:p w14:paraId="1295EBEE" w14:textId="77777777" w:rsidR="008204D0" w:rsidRDefault="008204D0">
      <w:pPr>
        <w:rPr>
          <w:rFonts w:ascii="Arial" w:hAnsi="Arial" w:cs="Arial"/>
          <w:iCs/>
        </w:rPr>
      </w:pPr>
    </w:p>
    <w:p w14:paraId="6F013CCC" w14:textId="3D2D53C2" w:rsidR="00717F2E" w:rsidRDefault="006965E4">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204D0" w:rsidRPr="008204D0">
        <w:rPr>
          <w:rFonts w:ascii="Arial" w:hAnsi="Arial" w:cs="Arial"/>
          <w:i/>
        </w:rPr>
        <w:t>Significant Relationship Between Shared Justice Leadership and Digital Access in a New Normal among Public Elementary School Teachers</w:t>
      </w:r>
    </w:p>
    <w:p w14:paraId="7E2C54BF" w14:textId="77777777" w:rsidR="00781D5E" w:rsidRDefault="00781D5E">
      <w:pPr>
        <w:rPr>
          <w:rFonts w:ascii="Arial" w:hAnsi="Arial" w:cs="Arial"/>
          <w:iCs/>
        </w:rPr>
      </w:pPr>
    </w:p>
    <w:tbl>
      <w:tblPr>
        <w:tblW w:w="8227"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43"/>
        <w:gridCol w:w="857"/>
        <w:gridCol w:w="771"/>
        <w:gridCol w:w="665"/>
        <w:gridCol w:w="782"/>
        <w:gridCol w:w="1638"/>
        <w:gridCol w:w="812"/>
        <w:gridCol w:w="1159"/>
      </w:tblGrid>
      <w:tr w:rsidR="008204D0" w14:paraId="042738AE" w14:textId="77777777" w:rsidTr="008204D0">
        <w:trPr>
          <w:trHeight w:val="678"/>
        </w:trPr>
        <w:tc>
          <w:tcPr>
            <w:tcW w:w="1543" w:type="dxa"/>
            <w:tcBorders>
              <w:top w:val="single" w:sz="4" w:space="0" w:color="000000"/>
              <w:bottom w:val="single" w:sz="4" w:space="0" w:color="000000"/>
            </w:tcBorders>
          </w:tcPr>
          <w:p w14:paraId="7B938FD7" w14:textId="77777777" w:rsidR="008204D0" w:rsidRPr="008204D0" w:rsidRDefault="008204D0" w:rsidP="00BD199B">
            <w:pPr>
              <w:widowControl w:val="0"/>
              <w:jc w:val="center"/>
              <w:rPr>
                <w:rFonts w:ascii="Arial" w:eastAsia="Arial" w:hAnsi="Arial"/>
                <w:b/>
              </w:rPr>
            </w:pPr>
            <w:r w:rsidRPr="008204D0">
              <w:rPr>
                <w:rFonts w:ascii="Arial" w:eastAsia="Arial" w:hAnsi="Arial"/>
                <w:b/>
              </w:rPr>
              <w:t>Variables</w:t>
            </w:r>
          </w:p>
        </w:tc>
        <w:tc>
          <w:tcPr>
            <w:tcW w:w="857" w:type="dxa"/>
            <w:tcBorders>
              <w:top w:val="single" w:sz="4" w:space="0" w:color="000000"/>
              <w:bottom w:val="single" w:sz="4" w:space="0" w:color="000000"/>
            </w:tcBorders>
          </w:tcPr>
          <w:p w14:paraId="67022310" w14:textId="77777777" w:rsidR="008204D0" w:rsidRPr="008204D0" w:rsidRDefault="008204D0" w:rsidP="00BD199B">
            <w:pPr>
              <w:widowControl w:val="0"/>
              <w:jc w:val="center"/>
              <w:rPr>
                <w:rFonts w:ascii="Arial" w:eastAsia="Arial" w:hAnsi="Arial"/>
                <w:b/>
              </w:rPr>
            </w:pPr>
            <w:r w:rsidRPr="008204D0">
              <w:rPr>
                <w:rFonts w:ascii="Arial" w:eastAsia="Arial" w:hAnsi="Arial"/>
                <w:b/>
              </w:rPr>
              <w:t>Mean</w:t>
            </w:r>
          </w:p>
        </w:tc>
        <w:tc>
          <w:tcPr>
            <w:tcW w:w="771" w:type="dxa"/>
            <w:tcBorders>
              <w:top w:val="single" w:sz="4" w:space="0" w:color="000000"/>
              <w:bottom w:val="single" w:sz="4" w:space="0" w:color="000000"/>
            </w:tcBorders>
          </w:tcPr>
          <w:p w14:paraId="580815AC" w14:textId="77777777" w:rsidR="008204D0" w:rsidRPr="008204D0" w:rsidRDefault="008204D0" w:rsidP="00BD199B">
            <w:pPr>
              <w:widowControl w:val="0"/>
              <w:jc w:val="center"/>
              <w:rPr>
                <w:rFonts w:ascii="Arial" w:eastAsia="Arial" w:hAnsi="Arial"/>
                <w:b/>
              </w:rPr>
            </w:pPr>
            <w:r w:rsidRPr="008204D0">
              <w:rPr>
                <w:rFonts w:ascii="Arial" w:eastAsia="Arial" w:hAnsi="Arial"/>
                <w:b/>
              </w:rPr>
              <w:t>SD</w:t>
            </w:r>
          </w:p>
        </w:tc>
        <w:tc>
          <w:tcPr>
            <w:tcW w:w="665" w:type="dxa"/>
            <w:tcBorders>
              <w:top w:val="single" w:sz="4" w:space="0" w:color="000000"/>
              <w:bottom w:val="single" w:sz="4" w:space="0" w:color="000000"/>
            </w:tcBorders>
          </w:tcPr>
          <w:p w14:paraId="493440CC" w14:textId="77777777" w:rsidR="008204D0" w:rsidRPr="008204D0" w:rsidRDefault="008204D0" w:rsidP="00BD199B">
            <w:pPr>
              <w:widowControl w:val="0"/>
              <w:jc w:val="center"/>
              <w:rPr>
                <w:rFonts w:ascii="Arial" w:eastAsia="Arial" w:hAnsi="Arial"/>
                <w:b/>
              </w:rPr>
            </w:pPr>
            <w:r w:rsidRPr="008204D0">
              <w:rPr>
                <w:rFonts w:ascii="Arial" w:eastAsia="Arial" w:hAnsi="Arial"/>
                <w:b/>
              </w:rPr>
              <w:t>R</w:t>
            </w:r>
          </w:p>
        </w:tc>
        <w:tc>
          <w:tcPr>
            <w:tcW w:w="782" w:type="dxa"/>
            <w:tcBorders>
              <w:top w:val="single" w:sz="4" w:space="0" w:color="000000"/>
              <w:bottom w:val="single" w:sz="4" w:space="0" w:color="000000"/>
            </w:tcBorders>
          </w:tcPr>
          <w:p w14:paraId="74A6BFBA" w14:textId="77777777" w:rsidR="008204D0" w:rsidRPr="008204D0" w:rsidRDefault="008204D0" w:rsidP="00BD199B">
            <w:pPr>
              <w:shd w:val="clear" w:color="auto" w:fill="FFFFFF"/>
              <w:spacing w:after="120"/>
              <w:jc w:val="center"/>
              <w:rPr>
                <w:rFonts w:ascii="Arial" w:eastAsia="Arial" w:hAnsi="Arial"/>
                <w:b/>
              </w:rPr>
            </w:pPr>
            <w:r w:rsidRPr="008204D0">
              <w:rPr>
                <w:rFonts w:ascii="Arial" w:eastAsia="Arial" w:hAnsi="Arial"/>
                <w:b/>
              </w:rPr>
              <w:t>R²</w:t>
            </w:r>
          </w:p>
          <w:p w14:paraId="3C1638CF" w14:textId="77777777" w:rsidR="008204D0" w:rsidRPr="008204D0" w:rsidRDefault="008204D0" w:rsidP="00BD199B">
            <w:pPr>
              <w:widowControl w:val="0"/>
              <w:jc w:val="center"/>
              <w:rPr>
                <w:rFonts w:ascii="Arial" w:eastAsia="Arial" w:hAnsi="Arial"/>
                <w:b/>
              </w:rPr>
            </w:pPr>
          </w:p>
        </w:tc>
        <w:tc>
          <w:tcPr>
            <w:tcW w:w="1638" w:type="dxa"/>
            <w:tcBorders>
              <w:top w:val="single" w:sz="4" w:space="0" w:color="000000"/>
              <w:bottom w:val="single" w:sz="4" w:space="0" w:color="000000"/>
            </w:tcBorders>
          </w:tcPr>
          <w:p w14:paraId="3B8E28F4" w14:textId="77777777" w:rsidR="008204D0" w:rsidRPr="008204D0" w:rsidRDefault="008204D0" w:rsidP="00BD199B">
            <w:pPr>
              <w:widowControl w:val="0"/>
              <w:jc w:val="center"/>
              <w:rPr>
                <w:rFonts w:ascii="Arial" w:eastAsia="Arial" w:hAnsi="Arial"/>
                <w:b/>
              </w:rPr>
            </w:pPr>
            <w:r w:rsidRPr="008204D0">
              <w:rPr>
                <w:rFonts w:ascii="Arial" w:eastAsia="Arial" w:hAnsi="Arial"/>
                <w:b/>
              </w:rPr>
              <w:t>Degree of Relationship</w:t>
            </w:r>
          </w:p>
        </w:tc>
        <w:tc>
          <w:tcPr>
            <w:tcW w:w="812" w:type="dxa"/>
            <w:tcBorders>
              <w:top w:val="single" w:sz="4" w:space="0" w:color="000000"/>
              <w:bottom w:val="single" w:sz="4" w:space="0" w:color="000000"/>
            </w:tcBorders>
          </w:tcPr>
          <w:p w14:paraId="57C5E49E" w14:textId="77777777" w:rsidR="008204D0" w:rsidRPr="008204D0" w:rsidRDefault="008204D0" w:rsidP="00BD199B">
            <w:pPr>
              <w:widowControl w:val="0"/>
              <w:jc w:val="center"/>
              <w:rPr>
                <w:rFonts w:ascii="Arial" w:eastAsia="Arial" w:hAnsi="Arial"/>
                <w:b/>
              </w:rPr>
            </w:pPr>
            <w:r w:rsidRPr="008204D0">
              <w:rPr>
                <w:rFonts w:ascii="Arial" w:eastAsia="Arial" w:hAnsi="Arial"/>
                <w:b/>
              </w:rPr>
              <w:t>p-value</w:t>
            </w:r>
          </w:p>
        </w:tc>
        <w:tc>
          <w:tcPr>
            <w:tcW w:w="1159" w:type="dxa"/>
            <w:tcBorders>
              <w:top w:val="single" w:sz="4" w:space="0" w:color="000000"/>
              <w:bottom w:val="single" w:sz="4" w:space="0" w:color="000000"/>
            </w:tcBorders>
          </w:tcPr>
          <w:p w14:paraId="5DE06247" w14:textId="77777777" w:rsidR="008204D0" w:rsidRPr="008204D0" w:rsidRDefault="008204D0" w:rsidP="00BD199B">
            <w:pPr>
              <w:widowControl w:val="0"/>
              <w:jc w:val="center"/>
              <w:rPr>
                <w:rFonts w:ascii="Arial" w:eastAsia="Arial" w:hAnsi="Arial"/>
                <w:b/>
              </w:rPr>
            </w:pPr>
            <w:r w:rsidRPr="008204D0">
              <w:rPr>
                <w:rFonts w:ascii="Arial" w:eastAsia="Arial" w:hAnsi="Arial"/>
                <w:b/>
              </w:rPr>
              <w:t>Decision</w:t>
            </w:r>
          </w:p>
        </w:tc>
      </w:tr>
      <w:tr w:rsidR="008204D0" w14:paraId="767FCCBD" w14:textId="77777777" w:rsidTr="008204D0">
        <w:trPr>
          <w:trHeight w:val="835"/>
        </w:trPr>
        <w:tc>
          <w:tcPr>
            <w:tcW w:w="1543" w:type="dxa"/>
            <w:tcBorders>
              <w:top w:val="single" w:sz="4" w:space="0" w:color="000000"/>
            </w:tcBorders>
          </w:tcPr>
          <w:p w14:paraId="6FB61A7D" w14:textId="77777777" w:rsidR="008204D0" w:rsidRPr="008204D0" w:rsidRDefault="008204D0" w:rsidP="00BD199B">
            <w:pPr>
              <w:widowControl w:val="0"/>
              <w:jc w:val="center"/>
              <w:rPr>
                <w:rFonts w:ascii="Arial" w:eastAsia="Arial" w:hAnsi="Arial"/>
              </w:rPr>
            </w:pPr>
            <w:r w:rsidRPr="008204D0">
              <w:rPr>
                <w:rFonts w:ascii="Arial" w:eastAsia="Arial" w:hAnsi="Arial"/>
              </w:rPr>
              <w:t>Shared Justice Leadership</w:t>
            </w:r>
          </w:p>
        </w:tc>
        <w:tc>
          <w:tcPr>
            <w:tcW w:w="857" w:type="dxa"/>
            <w:tcBorders>
              <w:top w:val="single" w:sz="4" w:space="0" w:color="000000"/>
            </w:tcBorders>
          </w:tcPr>
          <w:p w14:paraId="38231EDA"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4.17</w:t>
            </w:r>
          </w:p>
        </w:tc>
        <w:tc>
          <w:tcPr>
            <w:tcW w:w="771" w:type="dxa"/>
            <w:tcBorders>
              <w:top w:val="single" w:sz="4" w:space="0" w:color="000000"/>
            </w:tcBorders>
          </w:tcPr>
          <w:p w14:paraId="36636B56"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0.70</w:t>
            </w:r>
          </w:p>
        </w:tc>
        <w:tc>
          <w:tcPr>
            <w:tcW w:w="665" w:type="dxa"/>
            <w:tcBorders>
              <w:top w:val="single" w:sz="4" w:space="0" w:color="000000"/>
            </w:tcBorders>
          </w:tcPr>
          <w:p w14:paraId="1F19896D" w14:textId="77777777" w:rsidR="008204D0" w:rsidRPr="008204D0" w:rsidRDefault="008204D0" w:rsidP="00BD199B">
            <w:pPr>
              <w:widowControl w:val="0"/>
              <w:spacing w:line="480" w:lineRule="auto"/>
              <w:jc w:val="center"/>
              <w:rPr>
                <w:rFonts w:ascii="Arial" w:eastAsia="Arial" w:hAnsi="Arial"/>
              </w:rPr>
            </w:pPr>
          </w:p>
        </w:tc>
        <w:tc>
          <w:tcPr>
            <w:tcW w:w="782" w:type="dxa"/>
            <w:tcBorders>
              <w:top w:val="single" w:sz="4" w:space="0" w:color="000000"/>
            </w:tcBorders>
          </w:tcPr>
          <w:p w14:paraId="31B9E381" w14:textId="77777777" w:rsidR="008204D0" w:rsidRPr="008204D0" w:rsidRDefault="008204D0" w:rsidP="00BD199B">
            <w:pPr>
              <w:widowControl w:val="0"/>
              <w:spacing w:line="480" w:lineRule="auto"/>
              <w:jc w:val="center"/>
              <w:rPr>
                <w:rFonts w:ascii="Arial" w:eastAsia="Arial" w:hAnsi="Arial"/>
              </w:rPr>
            </w:pPr>
          </w:p>
        </w:tc>
        <w:tc>
          <w:tcPr>
            <w:tcW w:w="1638" w:type="dxa"/>
            <w:tcBorders>
              <w:top w:val="single" w:sz="4" w:space="0" w:color="000000"/>
            </w:tcBorders>
          </w:tcPr>
          <w:p w14:paraId="43599B96" w14:textId="77777777" w:rsidR="008204D0" w:rsidRPr="008204D0" w:rsidRDefault="008204D0" w:rsidP="00BD199B">
            <w:pPr>
              <w:widowControl w:val="0"/>
              <w:spacing w:line="480" w:lineRule="auto"/>
              <w:jc w:val="center"/>
              <w:rPr>
                <w:rFonts w:ascii="Arial" w:eastAsia="Arial" w:hAnsi="Arial"/>
              </w:rPr>
            </w:pPr>
          </w:p>
        </w:tc>
        <w:tc>
          <w:tcPr>
            <w:tcW w:w="812" w:type="dxa"/>
            <w:tcBorders>
              <w:top w:val="single" w:sz="4" w:space="0" w:color="000000"/>
            </w:tcBorders>
          </w:tcPr>
          <w:p w14:paraId="5FB2AD85" w14:textId="77777777" w:rsidR="008204D0" w:rsidRPr="008204D0" w:rsidRDefault="008204D0" w:rsidP="00BD199B">
            <w:pPr>
              <w:widowControl w:val="0"/>
              <w:spacing w:line="480" w:lineRule="auto"/>
              <w:jc w:val="center"/>
              <w:rPr>
                <w:rFonts w:ascii="Arial" w:eastAsia="Arial" w:hAnsi="Arial"/>
              </w:rPr>
            </w:pPr>
          </w:p>
        </w:tc>
        <w:tc>
          <w:tcPr>
            <w:tcW w:w="1159" w:type="dxa"/>
            <w:tcBorders>
              <w:top w:val="single" w:sz="4" w:space="0" w:color="000000"/>
            </w:tcBorders>
          </w:tcPr>
          <w:p w14:paraId="64B7B3F6" w14:textId="77777777" w:rsidR="008204D0" w:rsidRPr="008204D0" w:rsidRDefault="008204D0" w:rsidP="00BD199B">
            <w:pPr>
              <w:widowControl w:val="0"/>
              <w:spacing w:line="480" w:lineRule="auto"/>
              <w:jc w:val="center"/>
              <w:rPr>
                <w:rFonts w:ascii="Arial" w:eastAsia="Arial" w:hAnsi="Arial"/>
              </w:rPr>
            </w:pPr>
          </w:p>
        </w:tc>
      </w:tr>
      <w:tr w:rsidR="008204D0" w14:paraId="1F4C0AD4" w14:textId="77777777" w:rsidTr="008204D0">
        <w:trPr>
          <w:trHeight w:val="557"/>
        </w:trPr>
        <w:tc>
          <w:tcPr>
            <w:tcW w:w="1543" w:type="dxa"/>
          </w:tcPr>
          <w:p w14:paraId="1FDE6FD7" w14:textId="77777777" w:rsidR="008204D0" w:rsidRPr="008204D0" w:rsidRDefault="008204D0" w:rsidP="00BD199B">
            <w:pPr>
              <w:widowControl w:val="0"/>
              <w:jc w:val="center"/>
              <w:rPr>
                <w:rFonts w:ascii="Arial" w:eastAsia="Arial" w:hAnsi="Arial"/>
              </w:rPr>
            </w:pPr>
          </w:p>
        </w:tc>
        <w:tc>
          <w:tcPr>
            <w:tcW w:w="857" w:type="dxa"/>
          </w:tcPr>
          <w:p w14:paraId="33754447" w14:textId="77777777" w:rsidR="008204D0" w:rsidRPr="008204D0" w:rsidRDefault="008204D0" w:rsidP="00BD199B">
            <w:pPr>
              <w:widowControl w:val="0"/>
              <w:spacing w:line="480" w:lineRule="auto"/>
              <w:jc w:val="center"/>
              <w:rPr>
                <w:rFonts w:ascii="Arial" w:eastAsia="Arial" w:hAnsi="Arial"/>
              </w:rPr>
            </w:pPr>
          </w:p>
        </w:tc>
        <w:tc>
          <w:tcPr>
            <w:tcW w:w="771" w:type="dxa"/>
          </w:tcPr>
          <w:p w14:paraId="34C921F9" w14:textId="77777777" w:rsidR="008204D0" w:rsidRPr="008204D0" w:rsidRDefault="008204D0" w:rsidP="00BD199B">
            <w:pPr>
              <w:widowControl w:val="0"/>
              <w:spacing w:line="480" w:lineRule="auto"/>
              <w:jc w:val="center"/>
              <w:rPr>
                <w:rFonts w:ascii="Arial" w:eastAsia="Arial" w:hAnsi="Arial"/>
              </w:rPr>
            </w:pPr>
          </w:p>
        </w:tc>
        <w:tc>
          <w:tcPr>
            <w:tcW w:w="665" w:type="dxa"/>
          </w:tcPr>
          <w:p w14:paraId="2329208E"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0.52</w:t>
            </w:r>
          </w:p>
        </w:tc>
        <w:tc>
          <w:tcPr>
            <w:tcW w:w="782" w:type="dxa"/>
          </w:tcPr>
          <w:p w14:paraId="7BD2ABEB"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0.27</w:t>
            </w:r>
          </w:p>
        </w:tc>
        <w:tc>
          <w:tcPr>
            <w:tcW w:w="1638" w:type="dxa"/>
          </w:tcPr>
          <w:p w14:paraId="5C1A4962"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Moderate</w:t>
            </w:r>
          </w:p>
        </w:tc>
        <w:tc>
          <w:tcPr>
            <w:tcW w:w="812" w:type="dxa"/>
          </w:tcPr>
          <w:p w14:paraId="777E2DE8"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0.000</w:t>
            </w:r>
          </w:p>
        </w:tc>
        <w:tc>
          <w:tcPr>
            <w:tcW w:w="1159" w:type="dxa"/>
          </w:tcPr>
          <w:p w14:paraId="3EB42068" w14:textId="77777777" w:rsidR="008204D0" w:rsidRPr="008204D0" w:rsidRDefault="008204D0" w:rsidP="00BD199B">
            <w:pPr>
              <w:widowControl w:val="0"/>
              <w:jc w:val="center"/>
              <w:rPr>
                <w:rFonts w:ascii="Arial" w:eastAsia="Arial" w:hAnsi="Arial"/>
              </w:rPr>
            </w:pPr>
            <w:r w:rsidRPr="008204D0">
              <w:rPr>
                <w:rFonts w:ascii="Arial" w:eastAsia="Arial" w:hAnsi="Arial"/>
              </w:rPr>
              <w:t>Reject Ho1</w:t>
            </w:r>
          </w:p>
        </w:tc>
      </w:tr>
      <w:tr w:rsidR="008204D0" w14:paraId="72AA3EE2" w14:textId="77777777" w:rsidTr="008204D0">
        <w:trPr>
          <w:trHeight w:val="544"/>
        </w:trPr>
        <w:tc>
          <w:tcPr>
            <w:tcW w:w="1543" w:type="dxa"/>
          </w:tcPr>
          <w:p w14:paraId="434820B6" w14:textId="77777777" w:rsidR="008204D0" w:rsidRPr="008204D0" w:rsidRDefault="008204D0" w:rsidP="00BD199B">
            <w:pPr>
              <w:widowControl w:val="0"/>
              <w:jc w:val="center"/>
              <w:rPr>
                <w:rFonts w:ascii="Arial" w:eastAsia="Arial" w:hAnsi="Arial"/>
              </w:rPr>
            </w:pPr>
            <w:r w:rsidRPr="008204D0">
              <w:rPr>
                <w:rFonts w:ascii="Arial" w:eastAsia="Arial" w:hAnsi="Arial"/>
              </w:rPr>
              <w:t>Digital Access</w:t>
            </w:r>
          </w:p>
        </w:tc>
        <w:tc>
          <w:tcPr>
            <w:tcW w:w="857" w:type="dxa"/>
          </w:tcPr>
          <w:p w14:paraId="411BBAB6"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4.19</w:t>
            </w:r>
          </w:p>
        </w:tc>
        <w:tc>
          <w:tcPr>
            <w:tcW w:w="771" w:type="dxa"/>
          </w:tcPr>
          <w:p w14:paraId="5FD6B4BA"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0.72</w:t>
            </w:r>
          </w:p>
        </w:tc>
        <w:tc>
          <w:tcPr>
            <w:tcW w:w="665" w:type="dxa"/>
          </w:tcPr>
          <w:p w14:paraId="4AE030E4" w14:textId="77777777" w:rsidR="008204D0" w:rsidRPr="008204D0" w:rsidRDefault="008204D0" w:rsidP="00BD199B">
            <w:pPr>
              <w:widowControl w:val="0"/>
              <w:spacing w:line="480" w:lineRule="auto"/>
              <w:jc w:val="center"/>
              <w:rPr>
                <w:rFonts w:ascii="Arial" w:eastAsia="Arial" w:hAnsi="Arial"/>
              </w:rPr>
            </w:pPr>
          </w:p>
        </w:tc>
        <w:tc>
          <w:tcPr>
            <w:tcW w:w="782" w:type="dxa"/>
          </w:tcPr>
          <w:p w14:paraId="15C07532" w14:textId="77777777" w:rsidR="008204D0" w:rsidRPr="008204D0" w:rsidRDefault="008204D0" w:rsidP="00BD199B">
            <w:pPr>
              <w:widowControl w:val="0"/>
              <w:spacing w:line="480" w:lineRule="auto"/>
              <w:jc w:val="center"/>
              <w:rPr>
                <w:rFonts w:ascii="Arial" w:eastAsia="Arial" w:hAnsi="Arial"/>
              </w:rPr>
            </w:pPr>
          </w:p>
        </w:tc>
        <w:tc>
          <w:tcPr>
            <w:tcW w:w="1638" w:type="dxa"/>
          </w:tcPr>
          <w:p w14:paraId="135CB4E4" w14:textId="77777777" w:rsidR="008204D0" w:rsidRPr="008204D0" w:rsidRDefault="008204D0" w:rsidP="00BD199B">
            <w:pPr>
              <w:widowControl w:val="0"/>
              <w:spacing w:line="480" w:lineRule="auto"/>
              <w:jc w:val="center"/>
              <w:rPr>
                <w:rFonts w:ascii="Arial" w:eastAsia="Arial" w:hAnsi="Arial"/>
              </w:rPr>
            </w:pPr>
          </w:p>
        </w:tc>
        <w:tc>
          <w:tcPr>
            <w:tcW w:w="812" w:type="dxa"/>
          </w:tcPr>
          <w:p w14:paraId="66944B5E" w14:textId="77777777" w:rsidR="008204D0" w:rsidRPr="008204D0" w:rsidRDefault="008204D0" w:rsidP="00BD199B">
            <w:pPr>
              <w:widowControl w:val="0"/>
              <w:spacing w:line="480" w:lineRule="auto"/>
              <w:jc w:val="center"/>
              <w:rPr>
                <w:rFonts w:ascii="Arial" w:eastAsia="Arial" w:hAnsi="Arial"/>
              </w:rPr>
            </w:pPr>
          </w:p>
        </w:tc>
        <w:tc>
          <w:tcPr>
            <w:tcW w:w="1159" w:type="dxa"/>
          </w:tcPr>
          <w:p w14:paraId="621C4C5C" w14:textId="77777777" w:rsidR="008204D0" w:rsidRPr="008204D0" w:rsidRDefault="008204D0" w:rsidP="00BD199B">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7EACECA6" w14:textId="56360555" w:rsidR="00DC6178" w:rsidRDefault="003938CA" w:rsidP="008204D0">
      <w:pPr>
        <w:jc w:val="both"/>
        <w:rPr>
          <w:rFonts w:ascii="Arial" w:hAnsi="Arial" w:cs="Arial"/>
        </w:rPr>
      </w:pPr>
      <w:r w:rsidRPr="003938CA">
        <w:rPr>
          <w:rFonts w:ascii="Arial" w:hAnsi="Arial" w:cs="Arial"/>
        </w:rPr>
        <w:t xml:space="preserve">Table </w:t>
      </w:r>
      <w:r>
        <w:rPr>
          <w:rFonts w:ascii="Arial" w:hAnsi="Arial" w:cs="Arial"/>
        </w:rPr>
        <w:t>3</w:t>
      </w:r>
      <w:r w:rsidRPr="003938CA">
        <w:rPr>
          <w:rFonts w:ascii="Arial" w:hAnsi="Arial" w:cs="Arial"/>
        </w:rPr>
        <w:t xml:space="preserve"> </w:t>
      </w:r>
      <w:r>
        <w:rPr>
          <w:rFonts w:ascii="Arial" w:hAnsi="Arial" w:cs="Arial"/>
        </w:rPr>
        <w:t xml:space="preserve">presents </w:t>
      </w:r>
      <w:r w:rsidRPr="003938CA">
        <w:rPr>
          <w:rFonts w:ascii="Arial" w:hAnsi="Arial" w:cs="Arial"/>
        </w:rPr>
        <w:t xml:space="preserve">the significant relationship teachers’ motivation and conceptual understanding for students in public elementary schools with an overall computed </w:t>
      </w:r>
      <w:proofErr w:type="spellStart"/>
      <w:r w:rsidRPr="003938CA">
        <w:rPr>
          <w:rFonts w:ascii="Arial" w:hAnsi="Arial" w:cs="Arial"/>
        </w:rPr>
        <w:t>r-value</w:t>
      </w:r>
      <w:proofErr w:type="spellEnd"/>
      <w:r w:rsidRPr="003938CA">
        <w:rPr>
          <w:rFonts w:ascii="Arial" w:hAnsi="Arial" w:cs="Arial"/>
        </w:rPr>
        <w:t xml:space="preserve"> of .063, with equivalent tabular value 0.059 at α 0.05 of high correlation significance set in this study. Since the overall computed value is very much higher than the tabular value. This indicates that the null hypothesis is hereby rejected and it could be stated therefore, that there is a significant relationship between teachers’ motivation and conceptual understanding for students in public elementary school. This implies that the higher the result teachers’ motivation for students in public elementary schools, the better conceptual understanding for students in public elementary school.</w:t>
      </w:r>
    </w:p>
    <w:p w14:paraId="166C9AB0" w14:textId="77777777" w:rsidR="003938CA" w:rsidRDefault="003938CA" w:rsidP="008204D0">
      <w:pPr>
        <w:jc w:val="both"/>
        <w:rPr>
          <w:rFonts w:ascii="Arial" w:hAnsi="Arial" w:cs="Arial"/>
        </w:rPr>
      </w:pPr>
    </w:p>
    <w:p w14:paraId="0BC2EB0D" w14:textId="1263329F" w:rsidR="008204D0" w:rsidRDefault="005430C4" w:rsidP="00652FDB">
      <w:pPr>
        <w:jc w:val="both"/>
        <w:rPr>
          <w:rFonts w:ascii="Arial" w:hAnsi="Arial" w:cs="Arial"/>
        </w:rPr>
      </w:pPr>
      <w:r w:rsidRPr="005430C4">
        <w:rPr>
          <w:rFonts w:ascii="Arial" w:hAnsi="Arial" w:cs="Arial"/>
        </w:rPr>
        <w:t xml:space="preserve">However, the finding of the study is supported by the concepts of </w:t>
      </w:r>
      <w:proofErr w:type="spellStart"/>
      <w:r w:rsidR="00774E95" w:rsidRPr="00774E95">
        <w:rPr>
          <w:rFonts w:ascii="Arial" w:hAnsi="Arial" w:cs="Arial"/>
        </w:rPr>
        <w:t>Bonghawan</w:t>
      </w:r>
      <w:proofErr w:type="spellEnd"/>
      <w:r w:rsidR="00774E95">
        <w:rPr>
          <w:rFonts w:ascii="Arial" w:hAnsi="Arial" w:cs="Arial"/>
        </w:rPr>
        <w:t xml:space="preserve"> and </w:t>
      </w:r>
      <w:proofErr w:type="spellStart"/>
      <w:r w:rsidR="00774E95" w:rsidRPr="00774E95">
        <w:rPr>
          <w:rFonts w:ascii="Arial" w:hAnsi="Arial" w:cs="Arial"/>
        </w:rPr>
        <w:t>Macalisang</w:t>
      </w:r>
      <w:proofErr w:type="spellEnd"/>
      <w:r w:rsidRPr="005430C4">
        <w:rPr>
          <w:rFonts w:ascii="Arial" w:hAnsi="Arial" w:cs="Arial"/>
        </w:rPr>
        <w:t xml:space="preserve"> (20</w:t>
      </w:r>
      <w:r w:rsidR="00774E95">
        <w:rPr>
          <w:rFonts w:ascii="Arial" w:hAnsi="Arial" w:cs="Arial"/>
        </w:rPr>
        <w:t>24</w:t>
      </w:r>
      <w:r w:rsidRPr="005430C4">
        <w:rPr>
          <w:rFonts w:ascii="Arial" w:hAnsi="Arial" w:cs="Arial"/>
        </w:rPr>
        <w:t xml:space="preserve">) stated that teachers’ motivation for students beyond the classroom, motivation empowers children to set and pursue their goals, build resilience, and develop a strong sense of self-efficacy. </w:t>
      </w:r>
      <w:r w:rsidR="00774E95">
        <w:rPr>
          <w:rFonts w:ascii="Arial" w:hAnsi="Arial" w:cs="Arial"/>
        </w:rPr>
        <w:t xml:space="preserve"> </w:t>
      </w:r>
      <w:r w:rsidR="00652FDB" w:rsidRPr="00652FDB">
        <w:rPr>
          <w:rFonts w:ascii="Arial" w:hAnsi="Arial" w:cs="Arial"/>
        </w:rPr>
        <w:t xml:space="preserve">This finding </w:t>
      </w:r>
      <w:r w:rsidR="00774E95">
        <w:rPr>
          <w:rFonts w:ascii="Arial" w:hAnsi="Arial" w:cs="Arial"/>
        </w:rPr>
        <w:t>also aligns</w:t>
      </w:r>
      <w:r w:rsidR="00652FDB" w:rsidRPr="00652FDB">
        <w:rPr>
          <w:rFonts w:ascii="Arial" w:hAnsi="Arial" w:cs="Arial"/>
        </w:rPr>
        <w:t xml:space="preserve"> the study of </w:t>
      </w:r>
      <w:r w:rsidR="00443FAD" w:rsidRPr="00443FAD">
        <w:rPr>
          <w:rFonts w:ascii="Arial" w:hAnsi="Arial" w:cs="Arial"/>
        </w:rPr>
        <w:t xml:space="preserve">Petersen </w:t>
      </w:r>
      <w:r w:rsidR="00443FAD">
        <w:rPr>
          <w:rFonts w:ascii="Arial" w:hAnsi="Arial" w:cs="Arial"/>
        </w:rPr>
        <w:t xml:space="preserve">et al. </w:t>
      </w:r>
      <w:r w:rsidR="00652FDB" w:rsidRPr="00652FDB">
        <w:rPr>
          <w:rFonts w:ascii="Arial" w:hAnsi="Arial" w:cs="Arial"/>
        </w:rPr>
        <w:t>(20</w:t>
      </w:r>
      <w:r w:rsidR="00443FAD">
        <w:rPr>
          <w:rFonts w:ascii="Arial" w:hAnsi="Arial" w:cs="Arial"/>
        </w:rPr>
        <w:t>20</w:t>
      </w:r>
      <w:r w:rsidR="00652FDB" w:rsidRPr="00652FDB">
        <w:rPr>
          <w:rFonts w:ascii="Arial" w:hAnsi="Arial" w:cs="Arial"/>
        </w:rPr>
        <w:t>), who emphasized that achieving conceptual understanding requires active learner participation. When conceptual understanding is not prioritized, teachers often focus on explaining and demonstrating methods while emphasizing facts and procedures. In such cases, students must pay close attention, rigorously practice the techniques, and seek clarification when concepts remain unclear.</w:t>
      </w:r>
      <w:r w:rsidR="00652FDB">
        <w:rPr>
          <w:rFonts w:ascii="Arial" w:hAnsi="Arial" w:cs="Arial"/>
        </w:rPr>
        <w:t xml:space="preserve"> </w:t>
      </w:r>
      <w:r w:rsidR="00652FDB" w:rsidRPr="00652FDB">
        <w:rPr>
          <w:rFonts w:ascii="Arial" w:hAnsi="Arial" w:cs="Arial"/>
        </w:rPr>
        <w:t xml:space="preserve">Similarly, </w:t>
      </w:r>
      <w:r w:rsidR="00032E57" w:rsidRPr="00032E57">
        <w:rPr>
          <w:rFonts w:ascii="Arial" w:hAnsi="Arial" w:cs="Arial"/>
        </w:rPr>
        <w:t xml:space="preserve">Chiles </w:t>
      </w:r>
      <w:r w:rsidR="00652FDB" w:rsidRPr="00652FDB">
        <w:rPr>
          <w:rFonts w:ascii="Arial" w:hAnsi="Arial" w:cs="Arial"/>
        </w:rPr>
        <w:t>(20</w:t>
      </w:r>
      <w:r w:rsidR="00032E57">
        <w:rPr>
          <w:rFonts w:ascii="Arial" w:hAnsi="Arial" w:cs="Arial"/>
        </w:rPr>
        <w:t>23</w:t>
      </w:r>
      <w:r w:rsidR="00652FDB" w:rsidRPr="00652FDB">
        <w:rPr>
          <w:rFonts w:ascii="Arial" w:hAnsi="Arial" w:cs="Arial"/>
        </w:rPr>
        <w:t>) highlighted that the roles of teachers and students shift significantly when the focus is on conceptual understanding. Instead of simply delivering information, teachers should pose thought-provoking questions and assign tasks that encourage students to grasp the deeper meaning behind concepts. As a result, students are challenged to navigate the cognitive struggle of understanding and applying these concepts across different contexts.</w:t>
      </w:r>
    </w:p>
    <w:p w14:paraId="2B83DD7E" w14:textId="77777777" w:rsidR="00652FDB" w:rsidRDefault="00652FDB" w:rsidP="00652FDB">
      <w:pPr>
        <w:jc w:val="both"/>
        <w:rPr>
          <w:rFonts w:ascii="Arial" w:hAnsi="Arial" w:cs="Arial"/>
        </w:rPr>
      </w:pPr>
    </w:p>
    <w:p w14:paraId="25C2B563" w14:textId="77777777" w:rsidR="00652FDB" w:rsidRDefault="00652FDB" w:rsidP="00652FDB">
      <w:pPr>
        <w:jc w:val="both"/>
        <w:rPr>
          <w:rFonts w:ascii="Arial" w:hAnsi="Arial" w:cs="Arial"/>
        </w:rPr>
      </w:pPr>
    </w:p>
    <w:p w14:paraId="5314F880" w14:textId="6A991AF3" w:rsidR="00B364F1" w:rsidRDefault="00665D1C" w:rsidP="00665D1C">
      <w:pPr>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5430C4" w:rsidRPr="005430C4">
        <w:rPr>
          <w:rFonts w:ascii="Arial" w:hAnsi="Arial" w:cs="Arial"/>
          <w:b/>
          <w:bCs/>
          <w:iCs/>
        </w:rPr>
        <w:t>Domains of Shared Justice Leadership that Significantly Influence Digital Access in a New Normal among Public Elementary School Teachers</w:t>
      </w:r>
    </w:p>
    <w:p w14:paraId="5F1D3FA1" w14:textId="77777777" w:rsidR="005430C4" w:rsidRDefault="005430C4" w:rsidP="00665D1C">
      <w:pPr>
        <w:rPr>
          <w:rFonts w:ascii="Arial" w:hAnsi="Arial" w:cs="Arial"/>
          <w:b/>
          <w:bCs/>
          <w:iCs/>
        </w:rPr>
      </w:pPr>
    </w:p>
    <w:p w14:paraId="5F4D2CD3" w14:textId="77BA663E" w:rsidR="00B364F1" w:rsidRDefault="00B364F1" w:rsidP="00B364F1">
      <w:pPr>
        <w:jc w:val="both"/>
        <w:rPr>
          <w:rFonts w:ascii="Arial" w:eastAsia="Arial" w:hAnsi="Arial"/>
        </w:rPr>
      </w:pPr>
      <w:r w:rsidRPr="00B364F1">
        <w:rPr>
          <w:rFonts w:ascii="Arial" w:eastAsia="Arial" w:hAnsi="Arial"/>
          <w:b/>
        </w:rPr>
        <w:t xml:space="preserve">Table 4. </w:t>
      </w:r>
      <w:r w:rsidR="005430C4" w:rsidRPr="005430C4">
        <w:rPr>
          <w:rFonts w:ascii="Arial" w:eastAsia="Arial" w:hAnsi="Arial"/>
        </w:rPr>
        <w:t>Domains of Shared Justice Leadership that Significantly Influence Digital Access in a New Normal among Public Elementary School Teachers</w:t>
      </w:r>
    </w:p>
    <w:p w14:paraId="43E64342" w14:textId="77777777" w:rsidR="005430C4" w:rsidRPr="00B364F1" w:rsidRDefault="005430C4" w:rsidP="00B364F1">
      <w:pPr>
        <w:jc w:val="both"/>
        <w:rPr>
          <w:rFonts w:ascii="Arial" w:eastAsia="Arial" w:hAnsi="Arial"/>
          <w:i/>
        </w:rPr>
      </w:pPr>
    </w:p>
    <w:p w14:paraId="15CD23E9" w14:textId="77777777" w:rsidR="005430C4" w:rsidRDefault="005430C4" w:rsidP="005430C4">
      <w:pPr>
        <w:rPr>
          <w:rFonts w:ascii="Arial" w:hAnsi="Arial" w:cs="Arial"/>
        </w:rPr>
      </w:pPr>
    </w:p>
    <w:tbl>
      <w:tblPr>
        <w:tblW w:w="8162" w:type="dxa"/>
        <w:tblInd w:w="108" w:type="dxa"/>
        <w:tblLayout w:type="fixed"/>
        <w:tblLook w:val="0000" w:firstRow="0" w:lastRow="0" w:firstColumn="0" w:lastColumn="0" w:noHBand="0" w:noVBand="0"/>
      </w:tblPr>
      <w:tblGrid>
        <w:gridCol w:w="1590"/>
        <w:gridCol w:w="1091"/>
        <w:gridCol w:w="1394"/>
        <w:gridCol w:w="1394"/>
        <w:gridCol w:w="1394"/>
        <w:gridCol w:w="1299"/>
      </w:tblGrid>
      <w:tr w:rsidR="005430C4" w:rsidRPr="00057FD2" w14:paraId="1F7EBAAD" w14:textId="77777777" w:rsidTr="005430C4">
        <w:trPr>
          <w:trHeight w:val="446"/>
        </w:trPr>
        <w:tc>
          <w:tcPr>
            <w:tcW w:w="1590" w:type="dxa"/>
            <w:tcBorders>
              <w:top w:val="double" w:sz="4" w:space="0" w:color="auto"/>
              <w:bottom w:val="single" w:sz="4" w:space="0" w:color="auto"/>
            </w:tcBorders>
            <w:vAlign w:val="center"/>
          </w:tcPr>
          <w:p w14:paraId="79E7623B" w14:textId="77777777" w:rsidR="005430C4" w:rsidRPr="00057FD2" w:rsidRDefault="005430C4" w:rsidP="00A40ADB">
            <w:pPr>
              <w:snapToGrid w:val="0"/>
              <w:jc w:val="center"/>
              <w:rPr>
                <w:rFonts w:ascii="Arial" w:hAnsi="Arial" w:cs="Arial"/>
              </w:rPr>
            </w:pPr>
            <w:r w:rsidRPr="00057FD2">
              <w:rPr>
                <w:rFonts w:ascii="Arial" w:hAnsi="Arial" w:cs="Arial"/>
              </w:rPr>
              <w:t>Model</w:t>
            </w:r>
          </w:p>
        </w:tc>
        <w:tc>
          <w:tcPr>
            <w:tcW w:w="1091" w:type="dxa"/>
            <w:tcBorders>
              <w:top w:val="double" w:sz="4" w:space="0" w:color="auto"/>
              <w:bottom w:val="single" w:sz="4" w:space="0" w:color="auto"/>
            </w:tcBorders>
            <w:vAlign w:val="center"/>
          </w:tcPr>
          <w:p w14:paraId="3CB0614D" w14:textId="77777777" w:rsidR="005430C4" w:rsidRPr="00057FD2" w:rsidRDefault="005430C4" w:rsidP="00A40ADB">
            <w:pPr>
              <w:snapToGrid w:val="0"/>
              <w:jc w:val="center"/>
              <w:rPr>
                <w:rFonts w:ascii="Arial" w:hAnsi="Arial" w:cs="Arial"/>
              </w:rPr>
            </w:pPr>
            <w:r w:rsidRPr="00057FD2">
              <w:rPr>
                <w:rFonts w:ascii="Arial" w:hAnsi="Arial" w:cs="Arial"/>
              </w:rPr>
              <w:t>Sum of Squares</w:t>
            </w:r>
          </w:p>
        </w:tc>
        <w:tc>
          <w:tcPr>
            <w:tcW w:w="1394" w:type="dxa"/>
            <w:tcBorders>
              <w:top w:val="double" w:sz="4" w:space="0" w:color="auto"/>
              <w:bottom w:val="single" w:sz="4" w:space="0" w:color="auto"/>
            </w:tcBorders>
            <w:vAlign w:val="center"/>
          </w:tcPr>
          <w:p w14:paraId="5591A827" w14:textId="77777777" w:rsidR="005430C4" w:rsidRPr="00057FD2" w:rsidRDefault="005430C4" w:rsidP="00A40ADB">
            <w:pPr>
              <w:snapToGrid w:val="0"/>
              <w:jc w:val="center"/>
              <w:rPr>
                <w:rFonts w:ascii="Arial" w:hAnsi="Arial" w:cs="Arial"/>
              </w:rPr>
            </w:pPr>
            <w:r w:rsidRPr="00057FD2">
              <w:rPr>
                <w:rFonts w:ascii="Arial" w:hAnsi="Arial" w:cs="Arial"/>
              </w:rPr>
              <w:t>Degrees of Freedom</w:t>
            </w:r>
          </w:p>
        </w:tc>
        <w:tc>
          <w:tcPr>
            <w:tcW w:w="1394" w:type="dxa"/>
            <w:tcBorders>
              <w:top w:val="double" w:sz="4" w:space="0" w:color="auto"/>
              <w:bottom w:val="single" w:sz="4" w:space="0" w:color="auto"/>
            </w:tcBorders>
            <w:vAlign w:val="center"/>
          </w:tcPr>
          <w:p w14:paraId="4FECD08F" w14:textId="77777777" w:rsidR="005430C4" w:rsidRPr="00057FD2" w:rsidRDefault="005430C4" w:rsidP="00A40ADB">
            <w:pPr>
              <w:snapToGrid w:val="0"/>
              <w:jc w:val="center"/>
              <w:rPr>
                <w:rFonts w:ascii="Arial" w:hAnsi="Arial" w:cs="Arial"/>
              </w:rPr>
            </w:pPr>
            <w:r w:rsidRPr="00057FD2">
              <w:rPr>
                <w:rFonts w:ascii="Arial" w:hAnsi="Arial" w:cs="Arial"/>
              </w:rPr>
              <w:t>Mean Square</w:t>
            </w:r>
          </w:p>
        </w:tc>
        <w:tc>
          <w:tcPr>
            <w:tcW w:w="1394" w:type="dxa"/>
            <w:tcBorders>
              <w:top w:val="double" w:sz="4" w:space="0" w:color="auto"/>
              <w:bottom w:val="single" w:sz="4" w:space="0" w:color="auto"/>
            </w:tcBorders>
            <w:vAlign w:val="center"/>
          </w:tcPr>
          <w:p w14:paraId="4B09E979" w14:textId="77777777" w:rsidR="005430C4" w:rsidRPr="00057FD2" w:rsidRDefault="005430C4" w:rsidP="00A40ADB">
            <w:pPr>
              <w:snapToGrid w:val="0"/>
              <w:jc w:val="center"/>
              <w:rPr>
                <w:rFonts w:ascii="Arial" w:hAnsi="Arial" w:cs="Arial"/>
              </w:rPr>
            </w:pPr>
            <w:r w:rsidRPr="00057FD2">
              <w:rPr>
                <w:rFonts w:ascii="Arial" w:hAnsi="Arial" w:cs="Arial"/>
              </w:rPr>
              <w:t>F</w:t>
            </w:r>
          </w:p>
        </w:tc>
        <w:tc>
          <w:tcPr>
            <w:tcW w:w="1297" w:type="dxa"/>
            <w:tcBorders>
              <w:top w:val="double" w:sz="4" w:space="0" w:color="auto"/>
              <w:bottom w:val="single" w:sz="4" w:space="0" w:color="auto"/>
            </w:tcBorders>
            <w:vAlign w:val="center"/>
          </w:tcPr>
          <w:p w14:paraId="564E9388" w14:textId="77777777" w:rsidR="005430C4" w:rsidRPr="00057FD2" w:rsidRDefault="005430C4" w:rsidP="00A40ADB">
            <w:pPr>
              <w:snapToGrid w:val="0"/>
              <w:jc w:val="center"/>
              <w:rPr>
                <w:rFonts w:ascii="Arial" w:hAnsi="Arial" w:cs="Arial"/>
              </w:rPr>
            </w:pPr>
            <w:r w:rsidRPr="00057FD2">
              <w:rPr>
                <w:rFonts w:ascii="Arial" w:hAnsi="Arial" w:cs="Arial"/>
              </w:rPr>
              <w:t>Sig</w:t>
            </w:r>
          </w:p>
        </w:tc>
      </w:tr>
      <w:tr w:rsidR="005430C4" w:rsidRPr="00057FD2" w14:paraId="1984D783" w14:textId="77777777" w:rsidTr="005430C4">
        <w:trPr>
          <w:trHeight w:val="669"/>
        </w:trPr>
        <w:tc>
          <w:tcPr>
            <w:tcW w:w="1590" w:type="dxa"/>
            <w:tcBorders>
              <w:top w:val="single" w:sz="4" w:space="0" w:color="auto"/>
            </w:tcBorders>
            <w:vAlign w:val="center"/>
          </w:tcPr>
          <w:p w14:paraId="5BCC3266" w14:textId="77777777" w:rsidR="005430C4" w:rsidRPr="00057FD2" w:rsidRDefault="005430C4" w:rsidP="00A40ADB">
            <w:pPr>
              <w:snapToGrid w:val="0"/>
              <w:jc w:val="center"/>
              <w:rPr>
                <w:rFonts w:ascii="Arial" w:hAnsi="Arial" w:cs="Arial"/>
              </w:rPr>
            </w:pPr>
          </w:p>
          <w:p w14:paraId="43B64BB2" w14:textId="77777777" w:rsidR="005430C4" w:rsidRPr="00057FD2" w:rsidRDefault="005430C4" w:rsidP="00A40ADB">
            <w:pPr>
              <w:snapToGrid w:val="0"/>
              <w:jc w:val="center"/>
              <w:rPr>
                <w:rFonts w:ascii="Arial" w:hAnsi="Arial" w:cs="Arial"/>
              </w:rPr>
            </w:pPr>
            <w:r w:rsidRPr="00057FD2">
              <w:rPr>
                <w:rFonts w:ascii="Arial" w:hAnsi="Arial" w:cs="Arial"/>
              </w:rPr>
              <w:t>Regression Residual Total</w:t>
            </w:r>
          </w:p>
        </w:tc>
        <w:tc>
          <w:tcPr>
            <w:tcW w:w="1091" w:type="dxa"/>
            <w:tcBorders>
              <w:top w:val="single" w:sz="4" w:space="0" w:color="auto"/>
            </w:tcBorders>
            <w:vAlign w:val="center"/>
          </w:tcPr>
          <w:p w14:paraId="4382C0EF" w14:textId="77777777" w:rsidR="005430C4" w:rsidRPr="00057FD2" w:rsidRDefault="005430C4" w:rsidP="00A40ADB">
            <w:pPr>
              <w:snapToGrid w:val="0"/>
              <w:jc w:val="center"/>
              <w:rPr>
                <w:rFonts w:ascii="Arial" w:hAnsi="Arial" w:cs="Arial"/>
              </w:rPr>
            </w:pPr>
          </w:p>
          <w:p w14:paraId="0A305F6D" w14:textId="77777777" w:rsidR="005430C4" w:rsidRPr="00057FD2" w:rsidRDefault="005430C4" w:rsidP="00A40ADB">
            <w:pPr>
              <w:snapToGrid w:val="0"/>
              <w:jc w:val="center"/>
              <w:rPr>
                <w:rFonts w:ascii="Arial" w:hAnsi="Arial" w:cs="Arial"/>
              </w:rPr>
            </w:pPr>
            <w:r w:rsidRPr="00057FD2">
              <w:rPr>
                <w:rFonts w:ascii="Arial" w:hAnsi="Arial" w:cs="Arial"/>
              </w:rPr>
              <w:t>56.3797</w:t>
            </w:r>
          </w:p>
          <w:p w14:paraId="7CC9A0D3" w14:textId="77777777" w:rsidR="005430C4" w:rsidRPr="00057FD2" w:rsidRDefault="005430C4" w:rsidP="00A40ADB">
            <w:pPr>
              <w:jc w:val="center"/>
              <w:rPr>
                <w:rFonts w:ascii="Arial" w:hAnsi="Arial" w:cs="Arial"/>
              </w:rPr>
            </w:pPr>
            <w:r w:rsidRPr="00057FD2">
              <w:rPr>
                <w:rFonts w:ascii="Arial" w:hAnsi="Arial" w:cs="Arial"/>
              </w:rPr>
              <w:t>513.311</w:t>
            </w:r>
          </w:p>
          <w:p w14:paraId="5E2BC2C0" w14:textId="77777777" w:rsidR="005430C4" w:rsidRPr="00057FD2" w:rsidRDefault="005430C4" w:rsidP="00A40ADB">
            <w:pPr>
              <w:jc w:val="center"/>
              <w:rPr>
                <w:rFonts w:ascii="Arial" w:hAnsi="Arial" w:cs="Arial"/>
              </w:rPr>
            </w:pPr>
            <w:r w:rsidRPr="00057FD2">
              <w:rPr>
                <w:rFonts w:ascii="Arial" w:hAnsi="Arial" w:cs="Arial"/>
              </w:rPr>
              <w:t>545.111</w:t>
            </w:r>
          </w:p>
        </w:tc>
        <w:tc>
          <w:tcPr>
            <w:tcW w:w="1394" w:type="dxa"/>
            <w:tcBorders>
              <w:top w:val="single" w:sz="4" w:space="0" w:color="auto"/>
            </w:tcBorders>
            <w:vAlign w:val="center"/>
          </w:tcPr>
          <w:p w14:paraId="4FDB2294" w14:textId="77777777" w:rsidR="005430C4" w:rsidRPr="00057FD2" w:rsidRDefault="005430C4" w:rsidP="00A40ADB">
            <w:pPr>
              <w:snapToGrid w:val="0"/>
              <w:jc w:val="right"/>
              <w:rPr>
                <w:rFonts w:ascii="Arial" w:hAnsi="Arial" w:cs="Arial"/>
              </w:rPr>
            </w:pPr>
          </w:p>
          <w:p w14:paraId="24CA7803" w14:textId="77777777" w:rsidR="005430C4" w:rsidRPr="00057FD2" w:rsidRDefault="005430C4" w:rsidP="00A40ADB">
            <w:pPr>
              <w:snapToGrid w:val="0"/>
              <w:jc w:val="center"/>
              <w:rPr>
                <w:rFonts w:ascii="Arial" w:hAnsi="Arial" w:cs="Arial"/>
              </w:rPr>
            </w:pPr>
            <w:r w:rsidRPr="00057FD2">
              <w:rPr>
                <w:rFonts w:ascii="Arial" w:hAnsi="Arial" w:cs="Arial"/>
              </w:rPr>
              <w:t>3</w:t>
            </w:r>
          </w:p>
          <w:p w14:paraId="066AC251" w14:textId="77777777" w:rsidR="005430C4" w:rsidRPr="00057FD2" w:rsidRDefault="005430C4" w:rsidP="00A40ADB">
            <w:pPr>
              <w:jc w:val="center"/>
              <w:rPr>
                <w:rFonts w:ascii="Arial" w:hAnsi="Arial" w:cs="Arial"/>
              </w:rPr>
            </w:pPr>
            <w:r w:rsidRPr="00057FD2">
              <w:rPr>
                <w:rFonts w:ascii="Arial" w:hAnsi="Arial" w:cs="Arial"/>
              </w:rPr>
              <w:t>132</w:t>
            </w:r>
          </w:p>
          <w:p w14:paraId="48AD4BE2" w14:textId="77777777" w:rsidR="005430C4" w:rsidRPr="00057FD2" w:rsidRDefault="005430C4" w:rsidP="00A40ADB">
            <w:pPr>
              <w:jc w:val="center"/>
              <w:rPr>
                <w:rFonts w:ascii="Arial" w:hAnsi="Arial" w:cs="Arial"/>
              </w:rPr>
            </w:pPr>
            <w:r w:rsidRPr="00057FD2">
              <w:rPr>
                <w:rFonts w:ascii="Arial" w:hAnsi="Arial" w:cs="Arial"/>
              </w:rPr>
              <w:t>135</w:t>
            </w:r>
          </w:p>
        </w:tc>
        <w:tc>
          <w:tcPr>
            <w:tcW w:w="1394" w:type="dxa"/>
            <w:tcBorders>
              <w:top w:val="single" w:sz="4" w:space="0" w:color="auto"/>
            </w:tcBorders>
            <w:vAlign w:val="center"/>
          </w:tcPr>
          <w:p w14:paraId="3B44E841" w14:textId="77777777" w:rsidR="005430C4" w:rsidRPr="00057FD2" w:rsidRDefault="005430C4" w:rsidP="00A40ADB">
            <w:pPr>
              <w:snapToGrid w:val="0"/>
              <w:jc w:val="center"/>
              <w:rPr>
                <w:rFonts w:ascii="Arial" w:hAnsi="Arial" w:cs="Arial"/>
              </w:rPr>
            </w:pPr>
          </w:p>
          <w:p w14:paraId="5D8EE692" w14:textId="77777777" w:rsidR="005430C4" w:rsidRPr="00057FD2" w:rsidRDefault="005430C4" w:rsidP="00A40ADB">
            <w:pPr>
              <w:snapToGrid w:val="0"/>
              <w:jc w:val="center"/>
              <w:rPr>
                <w:rFonts w:ascii="Arial" w:hAnsi="Arial" w:cs="Arial"/>
              </w:rPr>
            </w:pPr>
            <w:r w:rsidRPr="00057FD2">
              <w:rPr>
                <w:rFonts w:ascii="Arial" w:hAnsi="Arial" w:cs="Arial"/>
              </w:rPr>
              <w:t>56.009</w:t>
            </w:r>
          </w:p>
          <w:p w14:paraId="4E304A87" w14:textId="77777777" w:rsidR="005430C4" w:rsidRPr="00057FD2" w:rsidRDefault="005430C4" w:rsidP="00A40ADB">
            <w:pPr>
              <w:jc w:val="center"/>
              <w:rPr>
                <w:rFonts w:ascii="Arial" w:hAnsi="Arial" w:cs="Arial"/>
              </w:rPr>
            </w:pPr>
            <w:r w:rsidRPr="00057FD2">
              <w:rPr>
                <w:rFonts w:ascii="Arial" w:hAnsi="Arial" w:cs="Arial"/>
              </w:rPr>
              <w:t>11.5847</w:t>
            </w:r>
          </w:p>
          <w:p w14:paraId="2DA7EE91" w14:textId="77777777" w:rsidR="005430C4" w:rsidRPr="00057FD2" w:rsidRDefault="005430C4" w:rsidP="00A40ADB">
            <w:pPr>
              <w:jc w:val="center"/>
              <w:rPr>
                <w:rFonts w:ascii="Arial" w:hAnsi="Arial" w:cs="Arial"/>
              </w:rPr>
            </w:pPr>
          </w:p>
        </w:tc>
        <w:tc>
          <w:tcPr>
            <w:tcW w:w="1394" w:type="dxa"/>
            <w:tcBorders>
              <w:top w:val="single" w:sz="4" w:space="0" w:color="auto"/>
            </w:tcBorders>
            <w:vAlign w:val="center"/>
          </w:tcPr>
          <w:p w14:paraId="1E77FC22" w14:textId="77777777" w:rsidR="005430C4" w:rsidRPr="00057FD2" w:rsidRDefault="005430C4" w:rsidP="00A40ADB">
            <w:pPr>
              <w:snapToGrid w:val="0"/>
              <w:jc w:val="center"/>
              <w:rPr>
                <w:rFonts w:ascii="Arial" w:hAnsi="Arial" w:cs="Arial"/>
              </w:rPr>
            </w:pPr>
            <w:r w:rsidRPr="00057FD2">
              <w:rPr>
                <w:rFonts w:ascii="Arial" w:hAnsi="Arial" w:cs="Arial"/>
              </w:rPr>
              <w:t>.598</w:t>
            </w:r>
          </w:p>
        </w:tc>
        <w:tc>
          <w:tcPr>
            <w:tcW w:w="1297" w:type="dxa"/>
            <w:tcBorders>
              <w:top w:val="single" w:sz="4" w:space="0" w:color="auto"/>
            </w:tcBorders>
            <w:vAlign w:val="center"/>
          </w:tcPr>
          <w:p w14:paraId="7C105474" w14:textId="25413BA0" w:rsidR="005430C4" w:rsidRPr="00057FD2" w:rsidRDefault="005430C4" w:rsidP="00A40ADB">
            <w:pPr>
              <w:snapToGrid w:val="0"/>
              <w:jc w:val="center"/>
              <w:rPr>
                <w:rFonts w:ascii="Arial" w:hAnsi="Arial" w:cs="Arial"/>
              </w:rPr>
            </w:pPr>
            <w:r w:rsidRPr="00057FD2">
              <w:rPr>
                <w:rFonts w:ascii="Arial" w:hAnsi="Arial" w:cs="Arial"/>
              </w:rPr>
              <w:t>0.</w:t>
            </w:r>
            <w:r w:rsidR="00652FDB">
              <w:rPr>
                <w:rFonts w:ascii="Arial" w:hAnsi="Arial" w:cs="Arial"/>
              </w:rPr>
              <w:t>003</w:t>
            </w:r>
          </w:p>
        </w:tc>
      </w:tr>
      <w:tr w:rsidR="005430C4" w:rsidRPr="00057FD2" w14:paraId="4671597D" w14:textId="77777777" w:rsidTr="005430C4">
        <w:tblPrEx>
          <w:tblBorders>
            <w:top w:val="double" w:sz="4" w:space="0" w:color="auto"/>
          </w:tblBorders>
        </w:tblPrEx>
        <w:trPr>
          <w:trHeight w:val="82"/>
        </w:trPr>
        <w:tc>
          <w:tcPr>
            <w:tcW w:w="8162" w:type="dxa"/>
            <w:gridSpan w:val="6"/>
            <w:tcBorders>
              <w:bottom w:val="double" w:sz="4" w:space="0" w:color="auto"/>
            </w:tcBorders>
          </w:tcPr>
          <w:p w14:paraId="184C6953" w14:textId="77777777" w:rsidR="005430C4" w:rsidRPr="00057FD2" w:rsidRDefault="005430C4" w:rsidP="00A40ADB">
            <w:pPr>
              <w:overflowPunct w:val="0"/>
              <w:autoSpaceDE w:val="0"/>
              <w:textAlignment w:val="baseline"/>
              <w:rPr>
                <w:rFonts w:ascii="Arial" w:hAnsi="Arial" w:cs="Arial"/>
                <w:kern w:val="1"/>
              </w:rPr>
            </w:pPr>
          </w:p>
        </w:tc>
      </w:tr>
    </w:tbl>
    <w:p w14:paraId="0582DD11" w14:textId="71619891" w:rsidR="005430C4" w:rsidRPr="005430C4" w:rsidRDefault="005430C4" w:rsidP="005430C4">
      <w:pPr>
        <w:pStyle w:val="NoSpacing"/>
        <w:rPr>
          <w:rFonts w:ascii="Arial" w:hAnsi="Arial" w:cs="Arial"/>
          <w:sz w:val="20"/>
          <w:szCs w:val="20"/>
        </w:rPr>
      </w:pPr>
      <w:r>
        <w:rPr>
          <w:rFonts w:ascii="Arial" w:hAnsi="Arial" w:cs="Arial"/>
          <w:sz w:val="20"/>
          <w:szCs w:val="20"/>
        </w:rPr>
        <w:t xml:space="preserve">  </w:t>
      </w:r>
      <w:r w:rsidRPr="005430C4">
        <w:rPr>
          <w:rFonts w:ascii="Arial" w:hAnsi="Arial" w:cs="Arial"/>
          <w:sz w:val="20"/>
          <w:szCs w:val="20"/>
        </w:rPr>
        <w:t>Note: Significance when P &lt; 0.05 (2T)</w:t>
      </w:r>
    </w:p>
    <w:p w14:paraId="086781B0" w14:textId="77777777" w:rsidR="005430C4" w:rsidRDefault="005430C4" w:rsidP="005430C4">
      <w:pPr>
        <w:rPr>
          <w:rFonts w:ascii="Arial" w:hAnsi="Arial" w:cs="Arial"/>
          <w:i/>
        </w:rPr>
      </w:pPr>
    </w:p>
    <w:p w14:paraId="54F78531" w14:textId="77777777" w:rsidR="00AA6948" w:rsidRDefault="00AA6948" w:rsidP="005430C4">
      <w:pPr>
        <w:rPr>
          <w:rFonts w:ascii="Arial" w:hAnsi="Arial" w:cs="Arial"/>
          <w:i/>
        </w:rPr>
      </w:pPr>
    </w:p>
    <w:p w14:paraId="08F1F749" w14:textId="0EEE0648" w:rsidR="00AA6948" w:rsidRDefault="00AA6948" w:rsidP="005430C4">
      <w:pPr>
        <w:rPr>
          <w:rFonts w:ascii="Arial" w:hAnsi="Arial" w:cs="Arial"/>
          <w:i/>
        </w:rPr>
      </w:pPr>
      <w:r w:rsidRPr="00AA6948">
        <w:rPr>
          <w:rFonts w:ascii="Arial" w:hAnsi="Arial" w:cs="Arial"/>
          <w:b/>
          <w:bCs/>
          <w:i/>
        </w:rPr>
        <w:t>Table 5.</w:t>
      </w:r>
      <w:r>
        <w:rPr>
          <w:rFonts w:ascii="Arial" w:hAnsi="Arial" w:cs="Arial"/>
          <w:i/>
        </w:rPr>
        <w:t xml:space="preserve"> </w:t>
      </w:r>
      <w:r w:rsidRPr="00AA6948">
        <w:rPr>
          <w:rFonts w:ascii="Arial" w:hAnsi="Arial" w:cs="Arial"/>
          <w:i/>
        </w:rPr>
        <w:t>Teachers’ Motivation</w:t>
      </w:r>
    </w:p>
    <w:p w14:paraId="2B09DB54" w14:textId="77777777" w:rsidR="00AA6948" w:rsidRPr="00F978FF" w:rsidRDefault="00AA6948" w:rsidP="005430C4">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1672"/>
        <w:gridCol w:w="1240"/>
        <w:gridCol w:w="1219"/>
        <w:gridCol w:w="1239"/>
        <w:gridCol w:w="1270"/>
      </w:tblGrid>
      <w:tr w:rsidR="005430C4" w:rsidRPr="00057FD2" w14:paraId="0706AB2B" w14:textId="77777777" w:rsidTr="00A40ADB">
        <w:trPr>
          <w:trHeight w:val="581"/>
        </w:trPr>
        <w:tc>
          <w:tcPr>
            <w:tcW w:w="8676" w:type="dxa"/>
            <w:gridSpan w:val="6"/>
            <w:vAlign w:val="center"/>
          </w:tcPr>
          <w:p w14:paraId="05E6EC5F" w14:textId="77777777" w:rsidR="005430C4" w:rsidRPr="00057FD2" w:rsidRDefault="005430C4" w:rsidP="00A40ADB">
            <w:pPr>
              <w:jc w:val="center"/>
              <w:rPr>
                <w:rFonts w:ascii="Arial" w:eastAsia="Calibri" w:hAnsi="Arial" w:cs="Arial"/>
              </w:rPr>
            </w:pPr>
            <w:r w:rsidRPr="00057FD2">
              <w:rPr>
                <w:rFonts w:ascii="Arial" w:hAnsi="Arial" w:cs="Arial"/>
              </w:rPr>
              <w:t>Teachers</w:t>
            </w:r>
            <w:r>
              <w:rPr>
                <w:rFonts w:ascii="Arial" w:hAnsi="Arial" w:cs="Arial"/>
              </w:rPr>
              <w:t>’</w:t>
            </w:r>
            <w:r w:rsidRPr="00057FD2">
              <w:rPr>
                <w:rFonts w:ascii="Arial" w:hAnsi="Arial" w:cs="Arial"/>
              </w:rPr>
              <w:t xml:space="preserve"> Motivation</w:t>
            </w:r>
          </w:p>
        </w:tc>
      </w:tr>
      <w:tr w:rsidR="005430C4" w:rsidRPr="00057FD2" w14:paraId="4A97F0CD" w14:textId="77777777" w:rsidTr="00A40ADB">
        <w:trPr>
          <w:trHeight w:val="581"/>
        </w:trPr>
        <w:tc>
          <w:tcPr>
            <w:tcW w:w="3335" w:type="dxa"/>
            <w:gridSpan w:val="2"/>
            <w:vAlign w:val="center"/>
          </w:tcPr>
          <w:p w14:paraId="25E13C02" w14:textId="77777777" w:rsidR="005430C4" w:rsidRPr="00057FD2" w:rsidRDefault="005430C4" w:rsidP="00A40ADB">
            <w:pPr>
              <w:rPr>
                <w:rFonts w:ascii="Arial" w:hAnsi="Arial" w:cs="Arial"/>
              </w:rPr>
            </w:pPr>
            <w:r w:rsidRPr="00057FD2">
              <w:rPr>
                <w:rFonts w:ascii="Arial" w:hAnsi="Arial" w:cs="Arial"/>
              </w:rPr>
              <w:t xml:space="preserve">Conceptual </w:t>
            </w:r>
          </w:p>
          <w:p w14:paraId="4CC7D2B8" w14:textId="77777777" w:rsidR="005430C4" w:rsidRPr="00057FD2" w:rsidRDefault="005430C4" w:rsidP="00A40ADB">
            <w:pPr>
              <w:rPr>
                <w:rFonts w:ascii="Arial" w:eastAsia="Calibri" w:hAnsi="Arial" w:cs="Arial"/>
              </w:rPr>
            </w:pPr>
            <w:r w:rsidRPr="00057FD2">
              <w:rPr>
                <w:rFonts w:ascii="Arial" w:hAnsi="Arial" w:cs="Arial"/>
              </w:rPr>
              <w:t>Understanding</w:t>
            </w:r>
            <w:r w:rsidRPr="00057FD2">
              <w:rPr>
                <w:rFonts w:ascii="Arial" w:eastAsia="Calibri" w:hAnsi="Arial" w:cs="Arial"/>
              </w:rPr>
              <w:t xml:space="preserve"> </w:t>
            </w:r>
          </w:p>
          <w:p w14:paraId="28EBCD50" w14:textId="77777777" w:rsidR="005430C4" w:rsidRPr="00057FD2" w:rsidRDefault="005430C4" w:rsidP="00A40ADB">
            <w:pPr>
              <w:rPr>
                <w:rFonts w:ascii="Arial" w:eastAsia="Calibri" w:hAnsi="Arial" w:cs="Arial"/>
              </w:rPr>
            </w:pPr>
            <w:r w:rsidRPr="00057FD2">
              <w:rPr>
                <w:rFonts w:ascii="Arial" w:eastAsia="Calibri" w:hAnsi="Arial" w:cs="Arial"/>
              </w:rPr>
              <w:t xml:space="preserve">                   (Indicators)</w:t>
            </w:r>
          </w:p>
        </w:tc>
        <w:tc>
          <w:tcPr>
            <w:tcW w:w="1342" w:type="dxa"/>
            <w:vAlign w:val="center"/>
          </w:tcPr>
          <w:p w14:paraId="79304230" w14:textId="77777777" w:rsidR="005430C4" w:rsidRPr="00057FD2" w:rsidRDefault="005430C4" w:rsidP="00A40ADB">
            <w:pPr>
              <w:jc w:val="center"/>
              <w:rPr>
                <w:rFonts w:ascii="Arial" w:eastAsia="Calibri" w:hAnsi="Arial" w:cs="Arial"/>
                <w:i/>
              </w:rPr>
            </w:pPr>
            <w:r w:rsidRPr="00057FD2">
              <w:rPr>
                <w:rFonts w:ascii="Arial" w:eastAsia="Calibri" w:hAnsi="Arial" w:cs="Arial"/>
                <w:i/>
              </w:rPr>
              <w:t>B</w:t>
            </w:r>
          </w:p>
        </w:tc>
        <w:tc>
          <w:tcPr>
            <w:tcW w:w="1317" w:type="dxa"/>
            <w:vAlign w:val="center"/>
          </w:tcPr>
          <w:p w14:paraId="4B681A42" w14:textId="77777777" w:rsidR="005430C4" w:rsidRPr="00057FD2" w:rsidRDefault="005430C4" w:rsidP="00A40ADB">
            <w:pPr>
              <w:jc w:val="center"/>
              <w:rPr>
                <w:rFonts w:ascii="Arial" w:eastAsia="Calibri" w:hAnsi="Arial" w:cs="Arial"/>
              </w:rPr>
            </w:pPr>
            <w:r w:rsidRPr="00057FD2">
              <w:rPr>
                <w:rFonts w:ascii="Arial" w:eastAsia="Calibri" w:hAnsi="Arial" w:cs="Arial"/>
              </w:rPr>
              <w:t>β</w:t>
            </w:r>
          </w:p>
        </w:tc>
        <w:tc>
          <w:tcPr>
            <w:tcW w:w="1323" w:type="dxa"/>
            <w:vAlign w:val="center"/>
          </w:tcPr>
          <w:p w14:paraId="73C42253" w14:textId="77777777" w:rsidR="005430C4" w:rsidRPr="00057FD2" w:rsidRDefault="005430C4" w:rsidP="00A40ADB">
            <w:pPr>
              <w:jc w:val="center"/>
              <w:rPr>
                <w:rFonts w:ascii="Arial" w:eastAsia="Calibri" w:hAnsi="Arial" w:cs="Arial"/>
                <w:i/>
              </w:rPr>
            </w:pPr>
            <w:r w:rsidRPr="00057FD2">
              <w:rPr>
                <w:rFonts w:ascii="Arial" w:eastAsia="Calibri" w:hAnsi="Arial" w:cs="Arial"/>
                <w:i/>
              </w:rPr>
              <w:t>t</w:t>
            </w:r>
          </w:p>
        </w:tc>
        <w:tc>
          <w:tcPr>
            <w:tcW w:w="1356" w:type="dxa"/>
            <w:vAlign w:val="center"/>
          </w:tcPr>
          <w:p w14:paraId="4665CDE0" w14:textId="77777777" w:rsidR="005430C4" w:rsidRPr="00057FD2" w:rsidRDefault="005430C4" w:rsidP="00A40ADB">
            <w:pPr>
              <w:jc w:val="center"/>
              <w:rPr>
                <w:rFonts w:ascii="Arial" w:eastAsia="Calibri" w:hAnsi="Arial" w:cs="Arial"/>
                <w:i/>
              </w:rPr>
            </w:pPr>
            <w:r w:rsidRPr="00057FD2">
              <w:rPr>
                <w:rFonts w:ascii="Arial" w:eastAsia="Calibri" w:hAnsi="Arial" w:cs="Arial"/>
                <w:i/>
              </w:rPr>
              <w:t>Sig.</w:t>
            </w:r>
          </w:p>
        </w:tc>
      </w:tr>
      <w:tr w:rsidR="005430C4" w:rsidRPr="00057FD2" w14:paraId="049C5A01" w14:textId="77777777" w:rsidTr="00A40ADB">
        <w:trPr>
          <w:trHeight w:val="436"/>
        </w:trPr>
        <w:tc>
          <w:tcPr>
            <w:tcW w:w="1633" w:type="dxa"/>
          </w:tcPr>
          <w:p w14:paraId="41FDCDED" w14:textId="77777777" w:rsidR="005430C4" w:rsidRPr="00057FD2" w:rsidRDefault="005430C4" w:rsidP="00A40ADB">
            <w:pPr>
              <w:rPr>
                <w:rFonts w:ascii="Arial" w:hAnsi="Arial" w:cs="Arial"/>
              </w:rPr>
            </w:pPr>
            <w:r w:rsidRPr="00057FD2">
              <w:rPr>
                <w:rFonts w:ascii="Arial" w:hAnsi="Arial" w:cs="Arial"/>
              </w:rPr>
              <w:t xml:space="preserve">objective response </w:t>
            </w:r>
          </w:p>
        </w:tc>
        <w:tc>
          <w:tcPr>
            <w:tcW w:w="1702" w:type="dxa"/>
          </w:tcPr>
          <w:p w14:paraId="40D1D4B0" w14:textId="77777777" w:rsidR="005430C4" w:rsidRPr="00057FD2" w:rsidRDefault="005430C4" w:rsidP="00A40ADB">
            <w:pPr>
              <w:rPr>
                <w:rFonts w:ascii="Arial" w:hAnsi="Arial" w:cs="Arial"/>
              </w:rPr>
            </w:pPr>
            <w:r w:rsidRPr="00057FD2">
              <w:rPr>
                <w:rFonts w:ascii="Arial" w:hAnsi="Arial" w:cs="Arial"/>
              </w:rPr>
              <w:t>self-efficacy</w:t>
            </w:r>
          </w:p>
        </w:tc>
        <w:tc>
          <w:tcPr>
            <w:tcW w:w="1342" w:type="dxa"/>
            <w:vAlign w:val="center"/>
          </w:tcPr>
          <w:p w14:paraId="4CD94ABD" w14:textId="6996340F" w:rsidR="005430C4" w:rsidRPr="00057FD2" w:rsidRDefault="005430C4" w:rsidP="00A40ADB">
            <w:pPr>
              <w:jc w:val="center"/>
              <w:rPr>
                <w:rFonts w:ascii="Arial" w:eastAsia="Calibri" w:hAnsi="Arial" w:cs="Arial"/>
              </w:rPr>
            </w:pPr>
            <w:r w:rsidRPr="00057FD2">
              <w:rPr>
                <w:rFonts w:ascii="Arial" w:eastAsia="Calibri" w:hAnsi="Arial" w:cs="Arial"/>
              </w:rPr>
              <w:t>078</w:t>
            </w:r>
          </w:p>
        </w:tc>
        <w:tc>
          <w:tcPr>
            <w:tcW w:w="1317" w:type="dxa"/>
            <w:vAlign w:val="center"/>
          </w:tcPr>
          <w:p w14:paraId="47151697" w14:textId="4634C061" w:rsidR="005430C4" w:rsidRPr="00057FD2" w:rsidRDefault="005430C4" w:rsidP="00A40ADB">
            <w:pPr>
              <w:jc w:val="center"/>
              <w:rPr>
                <w:rFonts w:ascii="Arial" w:eastAsia="Calibri" w:hAnsi="Arial" w:cs="Arial"/>
              </w:rPr>
            </w:pPr>
            <w:r w:rsidRPr="00057FD2">
              <w:rPr>
                <w:rFonts w:ascii="Arial" w:eastAsia="Calibri" w:hAnsi="Arial" w:cs="Arial"/>
              </w:rPr>
              <w:t>-059</w:t>
            </w:r>
          </w:p>
        </w:tc>
        <w:tc>
          <w:tcPr>
            <w:tcW w:w="1323" w:type="dxa"/>
            <w:vAlign w:val="center"/>
          </w:tcPr>
          <w:p w14:paraId="0F108835" w14:textId="77777777" w:rsidR="005430C4" w:rsidRPr="00057FD2" w:rsidRDefault="005430C4" w:rsidP="00A40ADB">
            <w:pPr>
              <w:jc w:val="center"/>
              <w:rPr>
                <w:rFonts w:ascii="Arial" w:eastAsia="Calibri" w:hAnsi="Arial" w:cs="Arial"/>
              </w:rPr>
            </w:pPr>
            <w:r w:rsidRPr="00057FD2">
              <w:rPr>
                <w:rFonts w:ascii="Arial" w:eastAsia="Calibri" w:hAnsi="Arial" w:cs="Arial"/>
              </w:rPr>
              <w:t>-.506</w:t>
            </w:r>
          </w:p>
        </w:tc>
        <w:tc>
          <w:tcPr>
            <w:tcW w:w="1356" w:type="dxa"/>
            <w:vAlign w:val="center"/>
          </w:tcPr>
          <w:p w14:paraId="08461B92" w14:textId="5957075C" w:rsidR="005430C4" w:rsidRPr="00057FD2" w:rsidRDefault="00652FDB" w:rsidP="00A40ADB">
            <w:pPr>
              <w:jc w:val="center"/>
              <w:rPr>
                <w:rFonts w:ascii="Arial" w:eastAsia="Calibri" w:hAnsi="Arial" w:cs="Arial"/>
              </w:rPr>
            </w:pPr>
            <w:r>
              <w:rPr>
                <w:rFonts w:ascii="Arial" w:eastAsia="Calibri" w:hAnsi="Arial" w:cs="Arial"/>
              </w:rPr>
              <w:t>0.002</w:t>
            </w:r>
          </w:p>
        </w:tc>
      </w:tr>
      <w:tr w:rsidR="005430C4" w:rsidRPr="00057FD2" w14:paraId="33F4F8BD" w14:textId="77777777" w:rsidTr="00A40ADB">
        <w:trPr>
          <w:trHeight w:val="436"/>
        </w:trPr>
        <w:tc>
          <w:tcPr>
            <w:tcW w:w="1633" w:type="dxa"/>
          </w:tcPr>
          <w:p w14:paraId="7D35810C" w14:textId="77777777" w:rsidR="005430C4" w:rsidRPr="00057FD2" w:rsidRDefault="005430C4" w:rsidP="00A40ADB">
            <w:pPr>
              <w:rPr>
                <w:rFonts w:ascii="Arial" w:hAnsi="Arial" w:cs="Arial"/>
              </w:rPr>
            </w:pPr>
            <w:r w:rsidRPr="00057FD2">
              <w:rPr>
                <w:rFonts w:ascii="Arial" w:hAnsi="Arial" w:cs="Arial"/>
              </w:rPr>
              <w:t>analysis and reasoning</w:t>
            </w:r>
          </w:p>
        </w:tc>
        <w:tc>
          <w:tcPr>
            <w:tcW w:w="1702" w:type="dxa"/>
          </w:tcPr>
          <w:p w14:paraId="08A49B67" w14:textId="77777777" w:rsidR="005430C4" w:rsidRPr="00057FD2" w:rsidRDefault="005430C4" w:rsidP="00A40ADB">
            <w:pPr>
              <w:rPr>
                <w:rFonts w:ascii="Arial" w:hAnsi="Arial" w:cs="Arial"/>
              </w:rPr>
            </w:pPr>
            <w:r w:rsidRPr="00057FD2">
              <w:rPr>
                <w:rFonts w:ascii="Arial" w:hAnsi="Arial" w:cs="Arial"/>
              </w:rPr>
              <w:t xml:space="preserve">active understanding strategies </w:t>
            </w:r>
          </w:p>
        </w:tc>
        <w:tc>
          <w:tcPr>
            <w:tcW w:w="1342" w:type="dxa"/>
            <w:vAlign w:val="center"/>
          </w:tcPr>
          <w:p w14:paraId="2DEA8394" w14:textId="77777777" w:rsidR="005430C4" w:rsidRPr="00057FD2" w:rsidRDefault="005430C4" w:rsidP="00A40ADB">
            <w:pPr>
              <w:jc w:val="center"/>
              <w:rPr>
                <w:rFonts w:ascii="Arial" w:eastAsia="Calibri" w:hAnsi="Arial" w:cs="Arial"/>
              </w:rPr>
            </w:pPr>
            <w:r w:rsidRPr="00057FD2">
              <w:rPr>
                <w:rFonts w:ascii="Arial" w:eastAsia="Calibri" w:hAnsi="Arial" w:cs="Arial"/>
              </w:rPr>
              <w:t>.017</w:t>
            </w:r>
          </w:p>
        </w:tc>
        <w:tc>
          <w:tcPr>
            <w:tcW w:w="1317" w:type="dxa"/>
            <w:vAlign w:val="center"/>
          </w:tcPr>
          <w:p w14:paraId="18C69158" w14:textId="77777777" w:rsidR="005430C4" w:rsidRPr="00057FD2" w:rsidRDefault="005430C4" w:rsidP="00A40ADB">
            <w:pPr>
              <w:jc w:val="center"/>
              <w:rPr>
                <w:rFonts w:ascii="Arial" w:eastAsia="Calibri" w:hAnsi="Arial" w:cs="Arial"/>
              </w:rPr>
            </w:pPr>
            <w:r w:rsidRPr="00057FD2">
              <w:rPr>
                <w:rFonts w:ascii="Arial" w:eastAsia="Calibri" w:hAnsi="Arial" w:cs="Arial"/>
              </w:rPr>
              <w:t>.015</w:t>
            </w:r>
          </w:p>
        </w:tc>
        <w:tc>
          <w:tcPr>
            <w:tcW w:w="1323" w:type="dxa"/>
            <w:vAlign w:val="center"/>
          </w:tcPr>
          <w:p w14:paraId="14C2A8E0" w14:textId="77777777" w:rsidR="005430C4" w:rsidRPr="00057FD2" w:rsidRDefault="005430C4" w:rsidP="00A40ADB">
            <w:pPr>
              <w:jc w:val="center"/>
              <w:rPr>
                <w:rFonts w:ascii="Arial" w:eastAsia="Calibri" w:hAnsi="Arial" w:cs="Arial"/>
              </w:rPr>
            </w:pPr>
            <w:r w:rsidRPr="00057FD2">
              <w:rPr>
                <w:rFonts w:ascii="Arial" w:eastAsia="Calibri" w:hAnsi="Arial" w:cs="Arial"/>
              </w:rPr>
              <w:t>.128</w:t>
            </w:r>
          </w:p>
        </w:tc>
        <w:tc>
          <w:tcPr>
            <w:tcW w:w="1356" w:type="dxa"/>
            <w:vAlign w:val="center"/>
          </w:tcPr>
          <w:p w14:paraId="0AD54CEE" w14:textId="29B875C3" w:rsidR="005430C4" w:rsidRPr="00057FD2" w:rsidRDefault="00652FDB" w:rsidP="00A40ADB">
            <w:pPr>
              <w:jc w:val="center"/>
              <w:rPr>
                <w:rFonts w:ascii="Arial" w:eastAsia="Calibri" w:hAnsi="Arial" w:cs="Arial"/>
              </w:rPr>
            </w:pPr>
            <w:r>
              <w:rPr>
                <w:rFonts w:ascii="Arial" w:eastAsia="Calibri" w:hAnsi="Arial" w:cs="Arial"/>
              </w:rPr>
              <w:t>0.014</w:t>
            </w:r>
          </w:p>
        </w:tc>
      </w:tr>
      <w:tr w:rsidR="005430C4" w:rsidRPr="00057FD2" w14:paraId="6D2EEF52" w14:textId="77777777" w:rsidTr="00A40ADB">
        <w:trPr>
          <w:trHeight w:val="436"/>
        </w:trPr>
        <w:tc>
          <w:tcPr>
            <w:tcW w:w="1633" w:type="dxa"/>
            <w:vAlign w:val="center"/>
          </w:tcPr>
          <w:p w14:paraId="57F73FED" w14:textId="77777777" w:rsidR="005430C4" w:rsidRPr="00057FD2" w:rsidRDefault="005430C4" w:rsidP="00A40ADB">
            <w:pPr>
              <w:pStyle w:val="ListParagraph"/>
              <w:ind w:hanging="685"/>
              <w:rPr>
                <w:rFonts w:ascii="Arial" w:eastAsia="Calibri" w:hAnsi="Arial" w:cs="Arial"/>
              </w:rPr>
            </w:pPr>
          </w:p>
        </w:tc>
        <w:tc>
          <w:tcPr>
            <w:tcW w:w="1702" w:type="dxa"/>
          </w:tcPr>
          <w:p w14:paraId="435C5C10" w14:textId="77777777" w:rsidR="005430C4" w:rsidRPr="00057FD2" w:rsidRDefault="005430C4" w:rsidP="00A40ADB">
            <w:pPr>
              <w:rPr>
                <w:rFonts w:ascii="Arial" w:hAnsi="Arial" w:cs="Arial"/>
              </w:rPr>
            </w:pPr>
            <w:r w:rsidRPr="00057FD2">
              <w:rPr>
                <w:rFonts w:ascii="Arial" w:hAnsi="Arial" w:cs="Arial"/>
              </w:rPr>
              <w:t>understanding value</w:t>
            </w:r>
          </w:p>
        </w:tc>
        <w:tc>
          <w:tcPr>
            <w:tcW w:w="1342" w:type="dxa"/>
            <w:vAlign w:val="center"/>
          </w:tcPr>
          <w:p w14:paraId="49449A0B" w14:textId="68F041B9" w:rsidR="005430C4" w:rsidRPr="00057FD2" w:rsidRDefault="00173CDE" w:rsidP="00A40ADB">
            <w:pPr>
              <w:jc w:val="center"/>
              <w:rPr>
                <w:rFonts w:ascii="Arial" w:eastAsia="Calibri" w:hAnsi="Arial" w:cs="Arial"/>
              </w:rPr>
            </w:pPr>
            <w:r>
              <w:rPr>
                <w:rFonts w:ascii="Arial" w:eastAsia="Calibri" w:hAnsi="Arial" w:cs="Arial"/>
              </w:rPr>
              <w:t>.</w:t>
            </w:r>
            <w:r w:rsidR="005430C4" w:rsidRPr="00057FD2">
              <w:rPr>
                <w:rFonts w:ascii="Arial" w:eastAsia="Calibri" w:hAnsi="Arial" w:cs="Arial"/>
              </w:rPr>
              <w:t>219</w:t>
            </w:r>
          </w:p>
        </w:tc>
        <w:tc>
          <w:tcPr>
            <w:tcW w:w="1317" w:type="dxa"/>
            <w:vAlign w:val="center"/>
          </w:tcPr>
          <w:p w14:paraId="67D675BB" w14:textId="0F0F55D4" w:rsidR="005430C4" w:rsidRPr="00057FD2" w:rsidRDefault="00173CDE" w:rsidP="00A40ADB">
            <w:pPr>
              <w:jc w:val="center"/>
              <w:rPr>
                <w:rFonts w:ascii="Arial" w:eastAsia="Calibri" w:hAnsi="Arial" w:cs="Arial"/>
              </w:rPr>
            </w:pPr>
            <w:r>
              <w:rPr>
                <w:rFonts w:ascii="Arial" w:eastAsia="Calibri" w:hAnsi="Arial" w:cs="Arial"/>
              </w:rPr>
              <w:t>.</w:t>
            </w:r>
            <w:r w:rsidR="005430C4" w:rsidRPr="00057FD2">
              <w:rPr>
                <w:rFonts w:ascii="Arial" w:eastAsia="Calibri" w:hAnsi="Arial" w:cs="Arial"/>
              </w:rPr>
              <w:t>207</w:t>
            </w:r>
          </w:p>
        </w:tc>
        <w:tc>
          <w:tcPr>
            <w:tcW w:w="1323" w:type="dxa"/>
            <w:vAlign w:val="center"/>
          </w:tcPr>
          <w:p w14:paraId="296F69B1" w14:textId="77777777" w:rsidR="005430C4" w:rsidRPr="00057FD2" w:rsidRDefault="005430C4" w:rsidP="00A40ADB">
            <w:pPr>
              <w:jc w:val="center"/>
              <w:rPr>
                <w:rFonts w:ascii="Arial" w:eastAsia="Calibri" w:hAnsi="Arial" w:cs="Arial"/>
              </w:rPr>
            </w:pPr>
            <w:r w:rsidRPr="00057FD2">
              <w:rPr>
                <w:rFonts w:ascii="Arial" w:eastAsia="Calibri" w:hAnsi="Arial" w:cs="Arial"/>
              </w:rPr>
              <w:t>-1.810</w:t>
            </w:r>
          </w:p>
        </w:tc>
        <w:tc>
          <w:tcPr>
            <w:tcW w:w="1356" w:type="dxa"/>
            <w:vAlign w:val="center"/>
          </w:tcPr>
          <w:p w14:paraId="32366E37" w14:textId="49F1B180" w:rsidR="005430C4" w:rsidRPr="00057FD2" w:rsidRDefault="00652FDB" w:rsidP="00A40ADB">
            <w:pPr>
              <w:jc w:val="center"/>
              <w:rPr>
                <w:rFonts w:ascii="Arial" w:eastAsia="Calibri" w:hAnsi="Arial" w:cs="Arial"/>
              </w:rPr>
            </w:pPr>
            <w:r>
              <w:rPr>
                <w:rFonts w:ascii="Arial" w:eastAsia="Calibri" w:hAnsi="Arial" w:cs="Arial"/>
              </w:rPr>
              <w:t>0.004</w:t>
            </w:r>
          </w:p>
        </w:tc>
      </w:tr>
      <w:tr w:rsidR="005430C4" w:rsidRPr="00057FD2" w14:paraId="518A74D6" w14:textId="77777777" w:rsidTr="00A40ADB">
        <w:trPr>
          <w:trHeight w:val="436"/>
        </w:trPr>
        <w:tc>
          <w:tcPr>
            <w:tcW w:w="1633" w:type="dxa"/>
            <w:vAlign w:val="center"/>
          </w:tcPr>
          <w:p w14:paraId="3CA01799" w14:textId="77777777" w:rsidR="005430C4" w:rsidRPr="00057FD2" w:rsidRDefault="005430C4" w:rsidP="00A40ADB">
            <w:pPr>
              <w:pStyle w:val="ListParagraph"/>
              <w:ind w:hanging="685"/>
              <w:rPr>
                <w:rFonts w:ascii="Arial" w:eastAsia="Calibri" w:hAnsi="Arial" w:cs="Arial"/>
              </w:rPr>
            </w:pPr>
          </w:p>
        </w:tc>
        <w:tc>
          <w:tcPr>
            <w:tcW w:w="1702" w:type="dxa"/>
          </w:tcPr>
          <w:p w14:paraId="64B61754" w14:textId="77777777" w:rsidR="005430C4" w:rsidRPr="00057FD2" w:rsidRDefault="005430C4" w:rsidP="00A40ADB">
            <w:pPr>
              <w:rPr>
                <w:rFonts w:ascii="Arial" w:hAnsi="Arial" w:cs="Arial"/>
              </w:rPr>
            </w:pPr>
            <w:r w:rsidRPr="00057FD2">
              <w:rPr>
                <w:rFonts w:ascii="Arial" w:hAnsi="Arial" w:cs="Arial"/>
              </w:rPr>
              <w:t xml:space="preserve">performance goal </w:t>
            </w:r>
          </w:p>
        </w:tc>
        <w:tc>
          <w:tcPr>
            <w:tcW w:w="1342" w:type="dxa"/>
            <w:vAlign w:val="center"/>
          </w:tcPr>
          <w:p w14:paraId="38A9EE0C" w14:textId="77777777" w:rsidR="005430C4" w:rsidRPr="00057FD2" w:rsidRDefault="005430C4" w:rsidP="00A40ADB">
            <w:pPr>
              <w:jc w:val="center"/>
              <w:rPr>
                <w:rFonts w:ascii="Arial" w:eastAsia="Calibri" w:hAnsi="Arial" w:cs="Arial"/>
              </w:rPr>
            </w:pPr>
            <w:r w:rsidRPr="00057FD2">
              <w:rPr>
                <w:rFonts w:ascii="Arial" w:eastAsia="Calibri" w:hAnsi="Arial" w:cs="Arial"/>
              </w:rPr>
              <w:t>.165</w:t>
            </w:r>
          </w:p>
        </w:tc>
        <w:tc>
          <w:tcPr>
            <w:tcW w:w="1317" w:type="dxa"/>
            <w:vAlign w:val="center"/>
          </w:tcPr>
          <w:p w14:paraId="6A1E17DA" w14:textId="77777777" w:rsidR="005430C4" w:rsidRPr="00057FD2" w:rsidRDefault="005430C4" w:rsidP="00A40ADB">
            <w:pPr>
              <w:jc w:val="center"/>
              <w:rPr>
                <w:rFonts w:ascii="Arial" w:eastAsia="Calibri" w:hAnsi="Arial" w:cs="Arial"/>
              </w:rPr>
            </w:pPr>
            <w:r w:rsidRPr="00057FD2">
              <w:rPr>
                <w:rFonts w:ascii="Arial" w:eastAsia="Calibri" w:hAnsi="Arial" w:cs="Arial"/>
              </w:rPr>
              <w:t>.188</w:t>
            </w:r>
          </w:p>
        </w:tc>
        <w:tc>
          <w:tcPr>
            <w:tcW w:w="1323" w:type="dxa"/>
            <w:vAlign w:val="center"/>
          </w:tcPr>
          <w:p w14:paraId="1F85E9B4" w14:textId="77777777" w:rsidR="005430C4" w:rsidRPr="00057FD2" w:rsidRDefault="005430C4" w:rsidP="00A40ADB">
            <w:pPr>
              <w:jc w:val="center"/>
              <w:rPr>
                <w:rFonts w:ascii="Arial" w:eastAsia="Calibri" w:hAnsi="Arial" w:cs="Arial"/>
              </w:rPr>
            </w:pPr>
            <w:r w:rsidRPr="00057FD2">
              <w:rPr>
                <w:rFonts w:ascii="Arial" w:eastAsia="Calibri" w:hAnsi="Arial" w:cs="Arial"/>
              </w:rPr>
              <w:t>1.573</w:t>
            </w:r>
          </w:p>
        </w:tc>
        <w:tc>
          <w:tcPr>
            <w:tcW w:w="1356" w:type="dxa"/>
            <w:vAlign w:val="center"/>
          </w:tcPr>
          <w:p w14:paraId="6F635A41" w14:textId="7E590580" w:rsidR="005430C4" w:rsidRPr="00057FD2" w:rsidRDefault="00652FDB" w:rsidP="00A40ADB">
            <w:pPr>
              <w:jc w:val="center"/>
              <w:rPr>
                <w:rFonts w:ascii="Arial" w:eastAsia="Calibri" w:hAnsi="Arial" w:cs="Arial"/>
              </w:rPr>
            </w:pPr>
            <w:r>
              <w:rPr>
                <w:rFonts w:ascii="Arial" w:eastAsia="Calibri" w:hAnsi="Arial" w:cs="Arial"/>
              </w:rPr>
              <w:t>0</w:t>
            </w:r>
            <w:r w:rsidR="005430C4" w:rsidRPr="00057FD2">
              <w:rPr>
                <w:rFonts w:ascii="Arial" w:eastAsia="Calibri" w:hAnsi="Arial" w:cs="Arial"/>
              </w:rPr>
              <w:t>.</w:t>
            </w:r>
            <w:r>
              <w:rPr>
                <w:rFonts w:ascii="Arial" w:eastAsia="Calibri" w:hAnsi="Arial" w:cs="Arial"/>
              </w:rPr>
              <w:t>002</w:t>
            </w:r>
          </w:p>
        </w:tc>
      </w:tr>
      <w:tr w:rsidR="005430C4" w:rsidRPr="00057FD2" w14:paraId="42DCEAE9" w14:textId="77777777" w:rsidTr="00A40ADB">
        <w:trPr>
          <w:trHeight w:val="436"/>
        </w:trPr>
        <w:tc>
          <w:tcPr>
            <w:tcW w:w="1633" w:type="dxa"/>
            <w:vAlign w:val="center"/>
          </w:tcPr>
          <w:p w14:paraId="47B10E15" w14:textId="77777777" w:rsidR="005430C4" w:rsidRPr="00057FD2" w:rsidRDefault="005430C4" w:rsidP="00A40ADB">
            <w:pPr>
              <w:pStyle w:val="ListParagraph"/>
              <w:ind w:hanging="685"/>
              <w:rPr>
                <w:rFonts w:ascii="Arial" w:eastAsia="Calibri" w:hAnsi="Arial" w:cs="Arial"/>
              </w:rPr>
            </w:pPr>
          </w:p>
        </w:tc>
        <w:tc>
          <w:tcPr>
            <w:tcW w:w="1702" w:type="dxa"/>
          </w:tcPr>
          <w:p w14:paraId="6E761B62" w14:textId="77777777" w:rsidR="005430C4" w:rsidRPr="00057FD2" w:rsidRDefault="005430C4" w:rsidP="00A40ADB">
            <w:pPr>
              <w:rPr>
                <w:rFonts w:ascii="Arial" w:hAnsi="Arial" w:cs="Arial"/>
              </w:rPr>
            </w:pPr>
            <w:r w:rsidRPr="00057FD2">
              <w:rPr>
                <w:rFonts w:ascii="Arial" w:hAnsi="Arial" w:cs="Arial"/>
              </w:rPr>
              <w:t>understanding environment</w:t>
            </w:r>
          </w:p>
        </w:tc>
        <w:tc>
          <w:tcPr>
            <w:tcW w:w="1342" w:type="dxa"/>
            <w:vAlign w:val="center"/>
          </w:tcPr>
          <w:p w14:paraId="4405840D" w14:textId="64164A7E" w:rsidR="005430C4" w:rsidRPr="00057FD2" w:rsidRDefault="005430C4" w:rsidP="00A40ADB">
            <w:pPr>
              <w:jc w:val="center"/>
              <w:rPr>
                <w:rFonts w:ascii="Arial" w:eastAsia="Calibri" w:hAnsi="Arial" w:cs="Arial"/>
              </w:rPr>
            </w:pPr>
            <w:r w:rsidRPr="00057FD2">
              <w:rPr>
                <w:rFonts w:ascii="Arial" w:eastAsia="Calibri" w:hAnsi="Arial" w:cs="Arial"/>
              </w:rPr>
              <w:t>.077</w:t>
            </w:r>
          </w:p>
        </w:tc>
        <w:tc>
          <w:tcPr>
            <w:tcW w:w="1317" w:type="dxa"/>
            <w:vAlign w:val="center"/>
          </w:tcPr>
          <w:p w14:paraId="22A7AD88" w14:textId="5A5C61F5" w:rsidR="005430C4" w:rsidRPr="00057FD2" w:rsidRDefault="005430C4" w:rsidP="00A40ADB">
            <w:pPr>
              <w:jc w:val="center"/>
              <w:rPr>
                <w:rFonts w:ascii="Arial" w:eastAsia="Calibri" w:hAnsi="Arial" w:cs="Arial"/>
              </w:rPr>
            </w:pPr>
            <w:r w:rsidRPr="00057FD2">
              <w:rPr>
                <w:rFonts w:ascii="Arial" w:eastAsia="Calibri" w:hAnsi="Arial" w:cs="Arial"/>
              </w:rPr>
              <w:t>.058</w:t>
            </w:r>
          </w:p>
        </w:tc>
        <w:tc>
          <w:tcPr>
            <w:tcW w:w="1323" w:type="dxa"/>
            <w:vAlign w:val="center"/>
          </w:tcPr>
          <w:p w14:paraId="15B906D6" w14:textId="77777777" w:rsidR="005430C4" w:rsidRPr="00057FD2" w:rsidRDefault="005430C4" w:rsidP="00A40ADB">
            <w:pPr>
              <w:jc w:val="center"/>
              <w:rPr>
                <w:rFonts w:ascii="Arial" w:eastAsia="Calibri" w:hAnsi="Arial" w:cs="Arial"/>
              </w:rPr>
            </w:pPr>
            <w:r w:rsidRPr="00057FD2">
              <w:rPr>
                <w:rFonts w:ascii="Arial" w:eastAsia="Calibri" w:hAnsi="Arial" w:cs="Arial"/>
              </w:rPr>
              <w:t>-.506</w:t>
            </w:r>
          </w:p>
        </w:tc>
        <w:tc>
          <w:tcPr>
            <w:tcW w:w="1356" w:type="dxa"/>
            <w:vAlign w:val="center"/>
          </w:tcPr>
          <w:p w14:paraId="7647FDB4" w14:textId="0A690D0D" w:rsidR="005430C4" w:rsidRPr="00057FD2" w:rsidRDefault="00652FDB" w:rsidP="00A40ADB">
            <w:pPr>
              <w:jc w:val="center"/>
              <w:rPr>
                <w:rFonts w:ascii="Arial" w:eastAsia="Calibri" w:hAnsi="Arial" w:cs="Arial"/>
              </w:rPr>
            </w:pPr>
            <w:r>
              <w:rPr>
                <w:rFonts w:ascii="Arial" w:eastAsia="Calibri" w:hAnsi="Arial" w:cs="Arial"/>
              </w:rPr>
              <w:t>0.000</w:t>
            </w:r>
          </w:p>
        </w:tc>
      </w:tr>
      <w:tr w:rsidR="005430C4" w:rsidRPr="00057FD2" w14:paraId="25F126A6" w14:textId="77777777" w:rsidTr="00A40ADB">
        <w:trPr>
          <w:trHeight w:val="436"/>
        </w:trPr>
        <w:tc>
          <w:tcPr>
            <w:tcW w:w="1633" w:type="dxa"/>
            <w:vAlign w:val="center"/>
          </w:tcPr>
          <w:p w14:paraId="302CC4B0" w14:textId="77777777" w:rsidR="005430C4" w:rsidRPr="00057FD2" w:rsidRDefault="005430C4" w:rsidP="00A40ADB">
            <w:pPr>
              <w:jc w:val="center"/>
              <w:rPr>
                <w:rFonts w:ascii="Arial" w:eastAsia="Calibri" w:hAnsi="Arial" w:cs="Arial"/>
              </w:rPr>
            </w:pPr>
            <w:r w:rsidRPr="00057FD2">
              <w:rPr>
                <w:rFonts w:ascii="Arial" w:eastAsia="Calibri" w:hAnsi="Arial" w:cs="Arial"/>
              </w:rPr>
              <w:t>R</w:t>
            </w:r>
          </w:p>
        </w:tc>
        <w:tc>
          <w:tcPr>
            <w:tcW w:w="1702" w:type="dxa"/>
            <w:vAlign w:val="center"/>
          </w:tcPr>
          <w:p w14:paraId="408257D3" w14:textId="48E77CD5" w:rsidR="005430C4" w:rsidRPr="00057FD2" w:rsidRDefault="005430C4" w:rsidP="00A40ADB">
            <w:pPr>
              <w:jc w:val="center"/>
              <w:rPr>
                <w:rFonts w:ascii="Arial" w:eastAsia="Calibri" w:hAnsi="Arial" w:cs="Arial"/>
              </w:rPr>
            </w:pPr>
            <w:r w:rsidRPr="00057FD2">
              <w:rPr>
                <w:rFonts w:ascii="Arial" w:eastAsia="Calibri" w:hAnsi="Arial" w:cs="Arial"/>
              </w:rPr>
              <w:t>.</w:t>
            </w:r>
            <w:r w:rsidR="00DE14B0">
              <w:rPr>
                <w:rFonts w:ascii="Arial" w:eastAsia="Calibri" w:hAnsi="Arial" w:cs="Arial"/>
              </w:rPr>
              <w:t>602</w:t>
            </w:r>
          </w:p>
        </w:tc>
        <w:tc>
          <w:tcPr>
            <w:tcW w:w="1342" w:type="dxa"/>
            <w:vAlign w:val="center"/>
          </w:tcPr>
          <w:p w14:paraId="637002DB" w14:textId="77777777" w:rsidR="005430C4" w:rsidRPr="00057FD2" w:rsidRDefault="005430C4" w:rsidP="00A40ADB">
            <w:pPr>
              <w:jc w:val="center"/>
              <w:rPr>
                <w:rFonts w:ascii="Arial" w:eastAsia="Calibri" w:hAnsi="Arial" w:cs="Arial"/>
              </w:rPr>
            </w:pPr>
          </w:p>
        </w:tc>
        <w:tc>
          <w:tcPr>
            <w:tcW w:w="1317" w:type="dxa"/>
          </w:tcPr>
          <w:p w14:paraId="5B2A7727" w14:textId="77777777" w:rsidR="005430C4" w:rsidRPr="00057FD2" w:rsidRDefault="005430C4" w:rsidP="00A40ADB">
            <w:pPr>
              <w:jc w:val="center"/>
              <w:rPr>
                <w:rFonts w:ascii="Arial" w:eastAsia="Calibri" w:hAnsi="Arial" w:cs="Arial"/>
              </w:rPr>
            </w:pPr>
          </w:p>
        </w:tc>
        <w:tc>
          <w:tcPr>
            <w:tcW w:w="1323" w:type="dxa"/>
          </w:tcPr>
          <w:p w14:paraId="072A0D15" w14:textId="77777777" w:rsidR="005430C4" w:rsidRPr="00057FD2" w:rsidRDefault="005430C4" w:rsidP="00A40ADB">
            <w:pPr>
              <w:jc w:val="center"/>
              <w:rPr>
                <w:rFonts w:ascii="Arial" w:eastAsia="Calibri" w:hAnsi="Arial" w:cs="Arial"/>
              </w:rPr>
            </w:pPr>
          </w:p>
        </w:tc>
        <w:tc>
          <w:tcPr>
            <w:tcW w:w="1356" w:type="dxa"/>
          </w:tcPr>
          <w:p w14:paraId="7344800B" w14:textId="474E2D12" w:rsidR="005430C4" w:rsidRPr="00057FD2" w:rsidRDefault="005430C4" w:rsidP="00A40ADB">
            <w:pPr>
              <w:jc w:val="center"/>
              <w:rPr>
                <w:rFonts w:ascii="Arial" w:eastAsia="Calibri" w:hAnsi="Arial" w:cs="Arial"/>
              </w:rPr>
            </w:pPr>
            <w:r w:rsidRPr="00057FD2">
              <w:rPr>
                <w:rFonts w:ascii="Arial" w:eastAsia="Calibri" w:hAnsi="Arial" w:cs="Arial"/>
              </w:rPr>
              <w:t>0.</w:t>
            </w:r>
            <w:r w:rsidR="00652FDB">
              <w:rPr>
                <w:rFonts w:ascii="Arial" w:eastAsia="Calibri" w:hAnsi="Arial" w:cs="Arial"/>
              </w:rPr>
              <w:t>01</w:t>
            </w:r>
            <w:r w:rsidR="00CA4B41">
              <w:rPr>
                <w:rFonts w:ascii="Arial" w:eastAsia="Calibri" w:hAnsi="Arial" w:cs="Arial"/>
              </w:rPr>
              <w:t>0</w:t>
            </w:r>
          </w:p>
        </w:tc>
      </w:tr>
      <w:tr w:rsidR="005430C4" w:rsidRPr="00057FD2" w14:paraId="6377BA27" w14:textId="77777777" w:rsidTr="00A40ADB">
        <w:trPr>
          <w:trHeight w:val="436"/>
        </w:trPr>
        <w:tc>
          <w:tcPr>
            <w:tcW w:w="1633" w:type="dxa"/>
            <w:vAlign w:val="center"/>
          </w:tcPr>
          <w:p w14:paraId="2F648380" w14:textId="77777777" w:rsidR="005430C4" w:rsidRPr="00057FD2" w:rsidRDefault="005430C4" w:rsidP="00A40ADB">
            <w:pPr>
              <w:jc w:val="center"/>
              <w:rPr>
                <w:rFonts w:ascii="Arial" w:eastAsia="Calibri" w:hAnsi="Arial" w:cs="Arial"/>
                <w:vertAlign w:val="superscript"/>
              </w:rPr>
            </w:pPr>
            <w:r w:rsidRPr="00057FD2">
              <w:rPr>
                <w:rFonts w:ascii="Arial" w:eastAsia="Calibri" w:hAnsi="Arial" w:cs="Arial"/>
              </w:rPr>
              <w:t>R</w:t>
            </w:r>
            <w:r w:rsidRPr="00057FD2">
              <w:rPr>
                <w:rFonts w:ascii="Arial" w:eastAsia="Calibri" w:hAnsi="Arial" w:cs="Arial"/>
                <w:vertAlign w:val="superscript"/>
              </w:rPr>
              <w:t>2</w:t>
            </w:r>
          </w:p>
        </w:tc>
        <w:tc>
          <w:tcPr>
            <w:tcW w:w="1702" w:type="dxa"/>
            <w:vAlign w:val="center"/>
          </w:tcPr>
          <w:p w14:paraId="3E158D22" w14:textId="701933A8" w:rsidR="005430C4" w:rsidRPr="00057FD2" w:rsidRDefault="005430C4" w:rsidP="00A40ADB">
            <w:pPr>
              <w:jc w:val="center"/>
              <w:rPr>
                <w:rFonts w:ascii="Arial" w:eastAsia="Calibri" w:hAnsi="Arial" w:cs="Arial"/>
              </w:rPr>
            </w:pPr>
            <w:r w:rsidRPr="00057FD2">
              <w:rPr>
                <w:rFonts w:ascii="Arial" w:eastAsia="Calibri" w:hAnsi="Arial" w:cs="Arial"/>
              </w:rPr>
              <w:t>.</w:t>
            </w:r>
            <w:r w:rsidR="00DE14B0">
              <w:rPr>
                <w:rFonts w:ascii="Arial" w:eastAsia="Calibri" w:hAnsi="Arial" w:cs="Arial"/>
              </w:rPr>
              <w:t>362</w:t>
            </w:r>
          </w:p>
        </w:tc>
        <w:tc>
          <w:tcPr>
            <w:tcW w:w="1342" w:type="dxa"/>
            <w:vAlign w:val="center"/>
          </w:tcPr>
          <w:p w14:paraId="5BD41DB4" w14:textId="77777777" w:rsidR="005430C4" w:rsidRPr="00057FD2" w:rsidRDefault="005430C4" w:rsidP="00A40ADB">
            <w:pPr>
              <w:jc w:val="center"/>
              <w:rPr>
                <w:rFonts w:ascii="Arial" w:eastAsia="Calibri" w:hAnsi="Arial" w:cs="Arial"/>
              </w:rPr>
            </w:pPr>
          </w:p>
        </w:tc>
        <w:tc>
          <w:tcPr>
            <w:tcW w:w="1317" w:type="dxa"/>
          </w:tcPr>
          <w:p w14:paraId="73845FC0" w14:textId="77777777" w:rsidR="005430C4" w:rsidRPr="00057FD2" w:rsidRDefault="005430C4" w:rsidP="00A40ADB">
            <w:pPr>
              <w:jc w:val="center"/>
              <w:rPr>
                <w:rFonts w:ascii="Arial" w:eastAsia="Calibri" w:hAnsi="Arial" w:cs="Arial"/>
              </w:rPr>
            </w:pPr>
          </w:p>
        </w:tc>
        <w:tc>
          <w:tcPr>
            <w:tcW w:w="1323" w:type="dxa"/>
          </w:tcPr>
          <w:p w14:paraId="385A2F07" w14:textId="77777777" w:rsidR="005430C4" w:rsidRPr="00057FD2" w:rsidRDefault="005430C4" w:rsidP="00A40ADB">
            <w:pPr>
              <w:jc w:val="center"/>
              <w:rPr>
                <w:rFonts w:ascii="Arial" w:eastAsia="Calibri" w:hAnsi="Arial" w:cs="Arial"/>
              </w:rPr>
            </w:pPr>
          </w:p>
        </w:tc>
        <w:tc>
          <w:tcPr>
            <w:tcW w:w="1356" w:type="dxa"/>
          </w:tcPr>
          <w:p w14:paraId="76CAF722" w14:textId="77777777" w:rsidR="005430C4" w:rsidRPr="00057FD2" w:rsidRDefault="005430C4" w:rsidP="00A40ADB">
            <w:pPr>
              <w:jc w:val="center"/>
              <w:rPr>
                <w:rFonts w:ascii="Arial" w:eastAsia="Calibri" w:hAnsi="Arial" w:cs="Arial"/>
              </w:rPr>
            </w:pPr>
          </w:p>
        </w:tc>
      </w:tr>
      <w:tr w:rsidR="005430C4" w:rsidRPr="00057FD2" w14:paraId="10CF8B73" w14:textId="77777777" w:rsidTr="00A40ADB">
        <w:trPr>
          <w:trHeight w:val="436"/>
        </w:trPr>
        <w:tc>
          <w:tcPr>
            <w:tcW w:w="1633" w:type="dxa"/>
            <w:vAlign w:val="center"/>
          </w:tcPr>
          <w:p w14:paraId="032D4C1A" w14:textId="77777777" w:rsidR="005430C4" w:rsidRPr="00057FD2" w:rsidRDefault="005430C4" w:rsidP="00A40ADB">
            <w:pPr>
              <w:jc w:val="center"/>
              <w:rPr>
                <w:rFonts w:ascii="Arial" w:eastAsia="Calibri" w:hAnsi="Arial" w:cs="Arial"/>
              </w:rPr>
            </w:pPr>
            <w:r w:rsidRPr="00057FD2">
              <w:rPr>
                <w:rFonts w:ascii="Arial" w:eastAsia="Calibri" w:hAnsi="Arial" w:cs="Arial"/>
              </w:rPr>
              <w:t>F</w:t>
            </w:r>
          </w:p>
        </w:tc>
        <w:tc>
          <w:tcPr>
            <w:tcW w:w="1702" w:type="dxa"/>
            <w:vAlign w:val="center"/>
          </w:tcPr>
          <w:p w14:paraId="7BCD446E" w14:textId="77777777" w:rsidR="005430C4" w:rsidRPr="00057FD2" w:rsidRDefault="005430C4" w:rsidP="00A40ADB">
            <w:pPr>
              <w:jc w:val="center"/>
              <w:rPr>
                <w:rFonts w:ascii="Arial" w:eastAsia="Calibri" w:hAnsi="Arial" w:cs="Arial"/>
              </w:rPr>
            </w:pPr>
            <w:r w:rsidRPr="00057FD2">
              <w:rPr>
                <w:rFonts w:ascii="Arial" w:eastAsia="Calibri" w:hAnsi="Arial" w:cs="Arial"/>
              </w:rPr>
              <w:t>.598</w:t>
            </w:r>
          </w:p>
        </w:tc>
        <w:tc>
          <w:tcPr>
            <w:tcW w:w="1342" w:type="dxa"/>
            <w:vAlign w:val="center"/>
          </w:tcPr>
          <w:p w14:paraId="0CC718A4" w14:textId="77777777" w:rsidR="005430C4" w:rsidRPr="00057FD2" w:rsidRDefault="005430C4" w:rsidP="00A40ADB">
            <w:pPr>
              <w:jc w:val="center"/>
              <w:rPr>
                <w:rFonts w:ascii="Arial" w:eastAsia="Calibri" w:hAnsi="Arial" w:cs="Arial"/>
              </w:rPr>
            </w:pPr>
          </w:p>
        </w:tc>
        <w:tc>
          <w:tcPr>
            <w:tcW w:w="1317" w:type="dxa"/>
          </w:tcPr>
          <w:p w14:paraId="4D090C8A" w14:textId="77777777" w:rsidR="005430C4" w:rsidRPr="00057FD2" w:rsidRDefault="005430C4" w:rsidP="00A40ADB">
            <w:pPr>
              <w:jc w:val="center"/>
              <w:rPr>
                <w:rFonts w:ascii="Arial" w:eastAsia="Calibri" w:hAnsi="Arial" w:cs="Arial"/>
              </w:rPr>
            </w:pPr>
          </w:p>
        </w:tc>
        <w:tc>
          <w:tcPr>
            <w:tcW w:w="1323" w:type="dxa"/>
          </w:tcPr>
          <w:p w14:paraId="6F32F67A" w14:textId="77777777" w:rsidR="005430C4" w:rsidRPr="00057FD2" w:rsidRDefault="005430C4" w:rsidP="00A40ADB">
            <w:pPr>
              <w:jc w:val="center"/>
              <w:rPr>
                <w:rFonts w:ascii="Arial" w:eastAsia="Calibri" w:hAnsi="Arial" w:cs="Arial"/>
              </w:rPr>
            </w:pPr>
          </w:p>
        </w:tc>
        <w:tc>
          <w:tcPr>
            <w:tcW w:w="1356" w:type="dxa"/>
          </w:tcPr>
          <w:p w14:paraId="11269930" w14:textId="77777777" w:rsidR="005430C4" w:rsidRPr="00057FD2" w:rsidRDefault="005430C4" w:rsidP="00A40ADB">
            <w:pPr>
              <w:jc w:val="center"/>
              <w:rPr>
                <w:rFonts w:ascii="Arial" w:eastAsia="Calibri" w:hAnsi="Arial" w:cs="Arial"/>
              </w:rPr>
            </w:pPr>
          </w:p>
        </w:tc>
      </w:tr>
      <w:tr w:rsidR="005430C4" w:rsidRPr="00057FD2" w14:paraId="4CE8739B" w14:textId="77777777" w:rsidTr="00A40ADB">
        <w:trPr>
          <w:trHeight w:val="436"/>
        </w:trPr>
        <w:tc>
          <w:tcPr>
            <w:tcW w:w="1633" w:type="dxa"/>
            <w:vAlign w:val="center"/>
          </w:tcPr>
          <w:p w14:paraId="0525796C" w14:textId="77777777" w:rsidR="005430C4" w:rsidRPr="00057FD2" w:rsidRDefault="005430C4" w:rsidP="00A40ADB">
            <w:pPr>
              <w:jc w:val="center"/>
              <w:rPr>
                <w:rFonts w:ascii="Arial" w:eastAsia="Calibri" w:hAnsi="Arial" w:cs="Arial"/>
              </w:rPr>
            </w:pPr>
            <w:r w:rsidRPr="00057FD2">
              <w:rPr>
                <w:rFonts w:ascii="Arial" w:eastAsia="Calibri" w:hAnsi="Arial" w:cs="Arial"/>
              </w:rPr>
              <w:t>Ρ</w:t>
            </w:r>
          </w:p>
        </w:tc>
        <w:tc>
          <w:tcPr>
            <w:tcW w:w="1702" w:type="dxa"/>
            <w:vAlign w:val="center"/>
          </w:tcPr>
          <w:p w14:paraId="09AFD205" w14:textId="277A39D8" w:rsidR="005430C4" w:rsidRPr="00057FD2" w:rsidRDefault="005430C4" w:rsidP="00A40ADB">
            <w:pPr>
              <w:jc w:val="center"/>
              <w:rPr>
                <w:rFonts w:ascii="Arial" w:eastAsia="Calibri" w:hAnsi="Arial" w:cs="Arial"/>
              </w:rPr>
            </w:pPr>
            <w:r w:rsidRPr="00057FD2">
              <w:rPr>
                <w:rFonts w:ascii="Arial" w:eastAsia="Calibri" w:hAnsi="Arial" w:cs="Arial"/>
              </w:rPr>
              <w:t>.</w:t>
            </w:r>
            <w:r w:rsidR="00B631AD">
              <w:rPr>
                <w:rFonts w:ascii="Arial" w:eastAsia="Calibri" w:hAnsi="Arial" w:cs="Arial"/>
              </w:rPr>
              <w:t>002</w:t>
            </w:r>
          </w:p>
        </w:tc>
        <w:tc>
          <w:tcPr>
            <w:tcW w:w="1342" w:type="dxa"/>
            <w:vAlign w:val="center"/>
          </w:tcPr>
          <w:p w14:paraId="3918BC9E" w14:textId="77777777" w:rsidR="005430C4" w:rsidRPr="00057FD2" w:rsidRDefault="005430C4" w:rsidP="00A40ADB">
            <w:pPr>
              <w:jc w:val="center"/>
              <w:rPr>
                <w:rFonts w:ascii="Arial" w:eastAsia="Calibri" w:hAnsi="Arial" w:cs="Arial"/>
              </w:rPr>
            </w:pPr>
          </w:p>
        </w:tc>
        <w:tc>
          <w:tcPr>
            <w:tcW w:w="1317" w:type="dxa"/>
          </w:tcPr>
          <w:p w14:paraId="0508D916" w14:textId="77777777" w:rsidR="005430C4" w:rsidRPr="00057FD2" w:rsidRDefault="005430C4" w:rsidP="00A40ADB">
            <w:pPr>
              <w:jc w:val="center"/>
              <w:rPr>
                <w:rFonts w:ascii="Arial" w:eastAsia="Calibri" w:hAnsi="Arial" w:cs="Arial"/>
              </w:rPr>
            </w:pPr>
          </w:p>
        </w:tc>
        <w:tc>
          <w:tcPr>
            <w:tcW w:w="1323" w:type="dxa"/>
          </w:tcPr>
          <w:p w14:paraId="3F7CD2BF" w14:textId="77777777" w:rsidR="005430C4" w:rsidRPr="00057FD2" w:rsidRDefault="005430C4" w:rsidP="00A40ADB">
            <w:pPr>
              <w:jc w:val="center"/>
              <w:rPr>
                <w:rFonts w:ascii="Arial" w:eastAsia="Calibri" w:hAnsi="Arial" w:cs="Arial"/>
              </w:rPr>
            </w:pPr>
          </w:p>
        </w:tc>
        <w:tc>
          <w:tcPr>
            <w:tcW w:w="1356" w:type="dxa"/>
          </w:tcPr>
          <w:p w14:paraId="32ADB43E" w14:textId="77777777" w:rsidR="005430C4" w:rsidRPr="00057FD2" w:rsidRDefault="005430C4" w:rsidP="00A40ADB">
            <w:pPr>
              <w:jc w:val="center"/>
              <w:rPr>
                <w:rFonts w:ascii="Arial" w:eastAsia="Calibri" w:hAnsi="Arial" w:cs="Arial"/>
              </w:rPr>
            </w:pP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0632E142" w14:textId="3F6A4901" w:rsidR="00DE14B0" w:rsidRPr="00DE14B0" w:rsidRDefault="00DE14B0" w:rsidP="00DE14B0">
      <w:pPr>
        <w:pStyle w:val="ConcHead"/>
        <w:jc w:val="both"/>
        <w:rPr>
          <w:rFonts w:ascii="Arial" w:hAnsi="Arial" w:cs="Arial"/>
          <w:b w:val="0"/>
          <w:caps w:val="0"/>
          <w:sz w:val="20"/>
        </w:rPr>
      </w:pPr>
      <w:r w:rsidRPr="00DE14B0">
        <w:rPr>
          <w:rFonts w:ascii="Arial" w:hAnsi="Arial" w:cs="Arial"/>
          <w:b w:val="0"/>
          <w:caps w:val="0"/>
          <w:sz w:val="20"/>
        </w:rPr>
        <w:t xml:space="preserve">Table 4 presents the regression analysis examining how different domains of shared justice leadership—self-efficacy, active understanding strategies, understanding value, performance goal, and understanding environment—significantly influence digital access in the new normal among public elementary school teachers. The regression model demonstrates that these five domains positively contribute to digital access, explaining 36.2% of the variance (R² = 0.362) </w:t>
      </w:r>
      <w:r w:rsidRPr="00DE14B0">
        <w:rPr>
          <w:rFonts w:ascii="Arial" w:hAnsi="Arial" w:cs="Arial"/>
          <w:b w:val="0"/>
          <w:caps w:val="0"/>
          <w:sz w:val="20"/>
        </w:rPr>
        <w:lastRenderedPageBreak/>
        <w:t>with a correlation coefficient of R = 0.602, indicating a moderate to strong relationship between shared justice leadership and digital access.</w:t>
      </w:r>
    </w:p>
    <w:p w14:paraId="07D12910" w14:textId="68F8592C" w:rsidR="005430C4" w:rsidRDefault="00DE14B0" w:rsidP="00DE14B0">
      <w:pPr>
        <w:pStyle w:val="ConcHead"/>
        <w:spacing w:after="0"/>
        <w:jc w:val="both"/>
        <w:rPr>
          <w:rFonts w:ascii="Arial" w:hAnsi="Arial" w:cs="Arial"/>
          <w:b w:val="0"/>
          <w:caps w:val="0"/>
          <w:sz w:val="20"/>
        </w:rPr>
      </w:pPr>
      <w:r w:rsidRPr="00DE14B0">
        <w:rPr>
          <w:rFonts w:ascii="Arial" w:hAnsi="Arial" w:cs="Arial"/>
          <w:b w:val="0"/>
          <w:caps w:val="0"/>
          <w:sz w:val="20"/>
        </w:rPr>
        <w:t>Among the predictors, understanding value (B = 0.219) has the strongest influence, suggesting that when teachers recognize the importance and benefits of technology in education, they are more motivated to integrate digital tools into their teaching practices. Performance goal (B = 0.165) follows, highlighting that teachers who set clear objectives for digital learning are more likely to seek professional development and utilize technology effectively. Self-efficacy (B = 0.078) also plays a significant role, indicating that teachers who feel confident in their technological abilities are more inclined to adopt digital tools in their instruction. Similarly, understanding environment (B = 0.077) reinforces the importance of a supportive school setting in facilitating digital access. Lastly, active understanding strategies (B = 0.017), while contributing to digital access, shows the least influence among the five domains.</w:t>
      </w:r>
    </w:p>
    <w:p w14:paraId="02F04AC9" w14:textId="77777777" w:rsidR="00DE14B0" w:rsidRDefault="00DE14B0" w:rsidP="00DE14B0">
      <w:pPr>
        <w:pStyle w:val="ConcHead"/>
        <w:spacing w:after="0"/>
        <w:jc w:val="both"/>
        <w:rPr>
          <w:rFonts w:ascii="Arial" w:hAnsi="Arial" w:cs="Arial"/>
          <w:b w:val="0"/>
          <w:caps w:val="0"/>
          <w:sz w:val="20"/>
        </w:rPr>
      </w:pPr>
    </w:p>
    <w:p w14:paraId="127DD915" w14:textId="0026847C" w:rsidR="00DE14B0" w:rsidRDefault="00DE14B0" w:rsidP="00DE14B0">
      <w:pPr>
        <w:pStyle w:val="ConcHead"/>
        <w:spacing w:after="0"/>
        <w:jc w:val="both"/>
        <w:rPr>
          <w:rFonts w:ascii="Arial" w:hAnsi="Arial" w:cs="Arial"/>
          <w:b w:val="0"/>
          <w:caps w:val="0"/>
          <w:sz w:val="20"/>
        </w:rPr>
      </w:pPr>
      <w:r w:rsidRPr="00DE14B0">
        <w:rPr>
          <w:rFonts w:ascii="Arial" w:hAnsi="Arial" w:cs="Arial"/>
          <w:b w:val="0"/>
          <w:caps w:val="0"/>
          <w:sz w:val="20"/>
        </w:rPr>
        <w:t xml:space="preserve">This finding aligns with the research of </w:t>
      </w:r>
      <w:r w:rsidR="008F0EB7" w:rsidRPr="008F0EB7">
        <w:rPr>
          <w:rFonts w:ascii="Arial" w:hAnsi="Arial" w:cs="Arial"/>
          <w:b w:val="0"/>
          <w:caps w:val="0"/>
          <w:sz w:val="20"/>
        </w:rPr>
        <w:t>Gündüz</w:t>
      </w:r>
      <w:r w:rsidRPr="00DE14B0">
        <w:rPr>
          <w:rFonts w:ascii="Arial" w:hAnsi="Arial" w:cs="Arial"/>
          <w:b w:val="0"/>
          <w:caps w:val="0"/>
          <w:sz w:val="20"/>
        </w:rPr>
        <w:t xml:space="preserve"> (202</w:t>
      </w:r>
      <w:r w:rsidR="008F0EB7">
        <w:rPr>
          <w:rFonts w:ascii="Arial" w:hAnsi="Arial" w:cs="Arial"/>
          <w:b w:val="0"/>
          <w:caps w:val="0"/>
          <w:sz w:val="20"/>
        </w:rPr>
        <w:t>4</w:t>
      </w:r>
      <w:r w:rsidRPr="00DE14B0">
        <w:rPr>
          <w:rFonts w:ascii="Arial" w:hAnsi="Arial" w:cs="Arial"/>
          <w:b w:val="0"/>
          <w:caps w:val="0"/>
          <w:sz w:val="20"/>
        </w:rPr>
        <w:t xml:space="preserve">), who emphasized that shared justice leadership fosters equitable digital access by empowering teachers to integrate technology effectively into their instructional practices. Similarly, </w:t>
      </w:r>
      <w:proofErr w:type="spellStart"/>
      <w:r w:rsidR="00DC1A01" w:rsidRPr="00DC1A01">
        <w:rPr>
          <w:rFonts w:ascii="Arial" w:hAnsi="Arial" w:cs="Arial"/>
          <w:b w:val="0"/>
          <w:caps w:val="0"/>
          <w:sz w:val="20"/>
        </w:rPr>
        <w:t>Ngqunguza</w:t>
      </w:r>
      <w:proofErr w:type="spellEnd"/>
      <w:r w:rsidRPr="00DE14B0">
        <w:rPr>
          <w:rFonts w:ascii="Arial" w:hAnsi="Arial" w:cs="Arial"/>
          <w:b w:val="0"/>
          <w:caps w:val="0"/>
          <w:sz w:val="20"/>
        </w:rPr>
        <w:t xml:space="preserve"> et al. (202</w:t>
      </w:r>
      <w:r w:rsidR="00DC1A01">
        <w:rPr>
          <w:rFonts w:ascii="Arial" w:hAnsi="Arial" w:cs="Arial"/>
          <w:b w:val="0"/>
          <w:caps w:val="0"/>
          <w:sz w:val="20"/>
        </w:rPr>
        <w:t>4</w:t>
      </w:r>
      <w:r w:rsidRPr="00DE14B0">
        <w:rPr>
          <w:rFonts w:ascii="Arial" w:hAnsi="Arial" w:cs="Arial"/>
          <w:b w:val="0"/>
          <w:caps w:val="0"/>
          <w:sz w:val="20"/>
        </w:rPr>
        <w:t xml:space="preserve">) highlighted that leadership approaches grounded in fairness and inclusivity enhance teachers’ willingness to adopt digital tools by providing institutional support, training, and resources. Their study further revealed that when school leaders actively address digital disparities, educators feel more confident in using technology for teaching, learning, and professional development. Additionally, </w:t>
      </w:r>
      <w:r w:rsidR="00994271" w:rsidRPr="00994271">
        <w:rPr>
          <w:rFonts w:ascii="Arial" w:hAnsi="Arial" w:cs="Arial"/>
          <w:b w:val="0"/>
          <w:caps w:val="0"/>
          <w:sz w:val="20"/>
        </w:rPr>
        <w:t xml:space="preserve">Theoharis </w:t>
      </w:r>
      <w:r w:rsidRPr="00DE14B0">
        <w:rPr>
          <w:rFonts w:ascii="Arial" w:hAnsi="Arial" w:cs="Arial"/>
          <w:b w:val="0"/>
          <w:caps w:val="0"/>
          <w:sz w:val="20"/>
        </w:rPr>
        <w:t>(202</w:t>
      </w:r>
      <w:r w:rsidR="00994271">
        <w:rPr>
          <w:rFonts w:ascii="Arial" w:hAnsi="Arial" w:cs="Arial"/>
          <w:b w:val="0"/>
          <w:caps w:val="0"/>
          <w:sz w:val="20"/>
        </w:rPr>
        <w:t>4</w:t>
      </w:r>
      <w:r w:rsidRPr="00DE14B0">
        <w:rPr>
          <w:rFonts w:ascii="Arial" w:hAnsi="Arial" w:cs="Arial"/>
          <w:b w:val="0"/>
          <w:caps w:val="0"/>
          <w:sz w:val="20"/>
        </w:rPr>
        <w:t>) found that schools that prioritize shared justice leadership ensure the fair distribution of digital resources, preventing technological gaps that could hinder instructional effectiveness.</w:t>
      </w:r>
    </w:p>
    <w:p w14:paraId="360C7766" w14:textId="77777777" w:rsidR="00DE14B0" w:rsidRDefault="00DE14B0" w:rsidP="00DE14B0">
      <w:pPr>
        <w:pStyle w:val="ConcHead"/>
        <w:spacing w:after="0"/>
        <w:jc w:val="both"/>
        <w:rPr>
          <w:rFonts w:ascii="Arial" w:hAnsi="Arial" w:cs="Arial"/>
          <w:b w:val="0"/>
          <w:caps w:val="0"/>
          <w:sz w:val="20"/>
        </w:rPr>
      </w:pPr>
    </w:p>
    <w:p w14:paraId="0574F44B" w14:textId="77777777" w:rsidR="005430C4" w:rsidRDefault="005430C4" w:rsidP="005430C4">
      <w:pPr>
        <w:pStyle w:val="ConcHead"/>
        <w:spacing w:after="0"/>
        <w:jc w:val="both"/>
        <w:rPr>
          <w:rFonts w:ascii="Arial" w:hAnsi="Arial" w:cs="Arial"/>
          <w:b w:val="0"/>
          <w:caps w:val="0"/>
          <w:sz w:val="20"/>
        </w:rPr>
      </w:pPr>
    </w:p>
    <w:p w14:paraId="371DD412" w14:textId="2EE03B6D" w:rsidR="00717F2E" w:rsidRDefault="006965E4"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73E6B35B" w14:textId="77777777" w:rsidR="005430C4" w:rsidRPr="005430C4" w:rsidRDefault="005430C4" w:rsidP="005430C4">
      <w:pPr>
        <w:pStyle w:val="Body"/>
        <w:rPr>
          <w:rFonts w:ascii="Arial" w:hAnsi="Arial" w:cs="Arial"/>
        </w:rPr>
      </w:pPr>
      <w:r w:rsidRPr="005430C4">
        <w:rPr>
          <w:rFonts w:ascii="Arial" w:hAnsi="Arial" w:cs="Arial"/>
        </w:rPr>
        <w:t>This chapter presents the summary, conclusions and recommendations based from the findings of this study.</w:t>
      </w:r>
    </w:p>
    <w:p w14:paraId="747BB114" w14:textId="77777777" w:rsidR="005430C4" w:rsidRPr="005430C4" w:rsidRDefault="005430C4" w:rsidP="005430C4">
      <w:pPr>
        <w:pStyle w:val="Body"/>
        <w:rPr>
          <w:rFonts w:ascii="Arial" w:hAnsi="Arial" w:cs="Arial"/>
        </w:rPr>
      </w:pPr>
      <w:r w:rsidRPr="005430C4">
        <w:rPr>
          <w:rFonts w:ascii="Arial" w:hAnsi="Arial" w:cs="Arial"/>
        </w:rPr>
        <w:t>The following are the summarized findings of this study.</w:t>
      </w:r>
    </w:p>
    <w:p w14:paraId="48453265" w14:textId="77777777" w:rsidR="005430C4" w:rsidRPr="005430C4" w:rsidRDefault="005430C4" w:rsidP="005430C4">
      <w:pPr>
        <w:pStyle w:val="Body"/>
        <w:rPr>
          <w:rFonts w:ascii="Arial" w:hAnsi="Arial" w:cs="Arial"/>
        </w:rPr>
      </w:pPr>
      <w:r w:rsidRPr="005430C4">
        <w:rPr>
          <w:rFonts w:ascii="Arial" w:hAnsi="Arial" w:cs="Arial"/>
        </w:rPr>
        <w:t xml:space="preserve">The level of teachers’ motivation for students in public elementary schools in terms of self-efficacy, active understanding strategies, understanding value, performance goal and understanding environment is 3.46 or high. This means that the level of teachers’ motivation for students in public elementary schools in terms of self-efficacy, active understanding strategies, understanding value, performance goal and understanding environment is manifested oftentimes by the teachers. </w:t>
      </w:r>
    </w:p>
    <w:p w14:paraId="21AB1659" w14:textId="77777777" w:rsidR="005430C4" w:rsidRPr="005430C4" w:rsidRDefault="005430C4" w:rsidP="005430C4">
      <w:pPr>
        <w:pStyle w:val="Body"/>
        <w:rPr>
          <w:rFonts w:ascii="Arial" w:hAnsi="Arial" w:cs="Arial"/>
        </w:rPr>
      </w:pPr>
      <w:r w:rsidRPr="005430C4">
        <w:rPr>
          <w:rFonts w:ascii="Arial" w:hAnsi="Arial" w:cs="Arial"/>
        </w:rPr>
        <w:t xml:space="preserve">The level of teachers’ conceptual understanding for students in public elementary school in terms of objective response and analysis and reasoning is 4.14 or high. This means that the level of teachers’ conceptual understanding for students in public elementary school in terms of objective response and analysis and reasoning is manifested by the teachers oftentimes. </w:t>
      </w:r>
    </w:p>
    <w:p w14:paraId="3B851D03" w14:textId="77777777" w:rsidR="005430C4" w:rsidRPr="005430C4" w:rsidRDefault="005430C4" w:rsidP="005430C4">
      <w:pPr>
        <w:pStyle w:val="Body"/>
        <w:rPr>
          <w:rFonts w:ascii="Arial" w:hAnsi="Arial" w:cs="Arial"/>
        </w:rPr>
      </w:pPr>
      <w:r w:rsidRPr="005430C4">
        <w:rPr>
          <w:rFonts w:ascii="Arial" w:hAnsi="Arial" w:cs="Arial"/>
        </w:rPr>
        <w:t>Since the overall computed value is very much higher than the tabular value. This indicates that the null hypothesis is hereby rejected and it could be stated therefore, that there is a significant relationship between teachers’ motivation and conceptual understanding for students in public elementary school. This implies that the higher the result teachers’ motivation for students in public elementary schools, the better conceptual understanding for students in public elementary schools.</w:t>
      </w:r>
    </w:p>
    <w:p w14:paraId="70E67B75" w14:textId="275540B0" w:rsidR="006A0F34" w:rsidRDefault="005430C4" w:rsidP="00B364F1">
      <w:pPr>
        <w:pStyle w:val="Body"/>
        <w:rPr>
          <w:rFonts w:ascii="Arial" w:hAnsi="Arial" w:cs="Arial"/>
        </w:rPr>
      </w:pPr>
      <w:r w:rsidRPr="005430C4">
        <w:rPr>
          <w:rFonts w:ascii="Arial" w:hAnsi="Arial" w:cs="Arial"/>
        </w:rPr>
        <w:lastRenderedPageBreak/>
        <w:t>Moreover, the overall computed value is very much higher than the tabular value. This indicates that the null hypothesis is rejected and it could be stated therefore, that the domains of teachers’ motivation is significantly influence with conceptual understanding for students in public elementary school. This implies that the higher the result of teachers’ motivation for students in public elementary schools, the improved conceptual understanding for students in public elementary schools.</w:t>
      </w:r>
    </w:p>
    <w:p w14:paraId="743DF230" w14:textId="77777777" w:rsidR="006A0F34" w:rsidRDefault="006A0F34" w:rsidP="00B364F1">
      <w:pPr>
        <w:pStyle w:val="Body"/>
        <w:rPr>
          <w:rFonts w:ascii="Arial" w:hAnsi="Arial" w:cs="Arial"/>
        </w:rPr>
      </w:pPr>
    </w:p>
    <w:p w14:paraId="016D2A79" w14:textId="25BDC1A2" w:rsidR="00717F2E" w:rsidRDefault="006965E4"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10C50F33" w14:textId="32500366"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 xml:space="preserve">Based on the findings obtained in this study, the following conclusions </w:t>
      </w:r>
      <w:r w:rsidR="0053216B">
        <w:rPr>
          <w:rFonts w:ascii="Arial" w:hAnsi="Arial" w:cs="Arial"/>
          <w:b w:val="0"/>
          <w:caps w:val="0"/>
          <w:sz w:val="20"/>
        </w:rPr>
        <w:t>were</w:t>
      </w:r>
      <w:r w:rsidRPr="009B3A25">
        <w:rPr>
          <w:rFonts w:ascii="Arial" w:hAnsi="Arial" w:cs="Arial"/>
          <w:b w:val="0"/>
          <w:caps w:val="0"/>
          <w:sz w:val="20"/>
        </w:rPr>
        <w:t xml:space="preserve"> drawn:</w:t>
      </w:r>
    </w:p>
    <w:p w14:paraId="72E4E47A" w14:textId="3E80B89D"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 xml:space="preserve">It is concluded in this study that, the level of teachers’ motivation for students in public elementary schools in terms of self-efficacy, active understanding strategies, understanding value, performance goal and understanding environment is manifested oftentimes by the teachers. </w:t>
      </w:r>
    </w:p>
    <w:p w14:paraId="521E0B10" w14:textId="77777777"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 xml:space="preserve">It is clinched in this study that, the level of teachers’ conceptual understanding for students in public elementary school in terms of objective response and analysis and reasoning is manifested by the teachers oftentimes. </w:t>
      </w:r>
    </w:p>
    <w:p w14:paraId="659B50A2" w14:textId="77777777"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It is established in this study that, there is a significant relationship between teachers’ motivation and conceptual understanding for students in public elementary schools. This implies that the higher the result teachers’ motivation for students in public elementary schools, the better conceptual understanding for students in public elementary schools.</w:t>
      </w:r>
    </w:p>
    <w:p w14:paraId="12713F4E" w14:textId="77777777"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It is determined in this study that, the overall computed value is the domains of teachers’ motivation is significantly influence with conceptual understanding for students in public elementary school. This implies that the higher the result of teachers’ motivation for students in public elementary schools, the improved conceptual understanding for students in public elementary schools.</w:t>
      </w:r>
    </w:p>
    <w:p w14:paraId="1D964EC2" w14:textId="77777777"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The findings of this study, which assess the significant influence of teachers’ motivation on their conceptual understanding, align with motivation theory and its key principles. Motivation theory identifies self-efficacy, active understanding strategies, the value of education, individual understanding goals, performance goals, and the learning environment as essential factors that influence motivation. These elements shape an individual's drive to achieve specific outcomes and play a crucial role in the teaching-learning process. Understanding these motivational factors can help educators enhance their conceptual understanding and improve their instructional practices.</w:t>
      </w:r>
    </w:p>
    <w:p w14:paraId="2A581D87" w14:textId="77777777"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Moreover, Bandura (1997) defined perceived self-efficacy as an individual’s belief in their ability to organize and execute the actions necessary to achieve desired goals. This confidence affects cognitive, motivational, and emotional processes, influencing the strategies teachers use in their classrooms. Teachers with high self-efficacy are more likely to implement effective teaching strategies, adapt to new educational challenges, and continuously refine their conceptual understanding to improve student learning outcomes. Conversely, low self-efficacy may limit a teachers’ ability to engage with new instructional approaches and deepen their subject knowledge.</w:t>
      </w:r>
    </w:p>
    <w:p w14:paraId="11718E9A" w14:textId="77777777"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 xml:space="preserve">Furthermore, research suggests that a lack of awareness of one’s own cognitive capacities can hinder the ability to adopt new understanding strategies. Teachers who are highly </w:t>
      </w:r>
      <w:r w:rsidRPr="009B3A25">
        <w:rPr>
          <w:rFonts w:ascii="Arial" w:hAnsi="Arial" w:cs="Arial"/>
          <w:b w:val="0"/>
          <w:caps w:val="0"/>
          <w:sz w:val="20"/>
        </w:rPr>
        <w:lastRenderedPageBreak/>
        <w:t>motivated and confident in their abilities are more likely to engage in continuous learning, explore innovative teaching methods, and refine their conceptual understanding over time. To enhance teachers’ conceptual understanding, it is essential to foster an open and problem-oriented approach to professional development, allowing educators to actively engage with new pedagogical theories and practices.</w:t>
      </w:r>
    </w:p>
    <w:p w14:paraId="7EBAB201" w14:textId="4C785328" w:rsidR="005430C4" w:rsidRDefault="009B3A25" w:rsidP="009B3A25">
      <w:pPr>
        <w:pStyle w:val="ReferHead"/>
        <w:spacing w:after="0"/>
        <w:jc w:val="both"/>
        <w:rPr>
          <w:rFonts w:ascii="Arial" w:hAnsi="Arial" w:cs="Arial"/>
          <w:b w:val="0"/>
          <w:caps w:val="0"/>
          <w:sz w:val="20"/>
        </w:rPr>
      </w:pPr>
      <w:r w:rsidRPr="009B3A25">
        <w:rPr>
          <w:rFonts w:ascii="Arial" w:hAnsi="Arial" w:cs="Arial"/>
          <w:b w:val="0"/>
          <w:caps w:val="0"/>
          <w:sz w:val="20"/>
        </w:rPr>
        <w:t>The concept of active understanding has been explored in various ways depending on the context, but it generally refers to the thought processes teachers engage in when interacting with educational content, peers, or professional development activities. When teachers actively seek to understand and apply new knowledge, they strengthen their conceptual foundations, leading to more effective instruction. By integrating motivation-driven professional learning strategies, schools can create supportive environments that encourage teachers to deepen their conceptual understanding and enhance their teaching effectiveness.</w:t>
      </w:r>
    </w:p>
    <w:p w14:paraId="4AA2D50E" w14:textId="77777777" w:rsidR="009B3A25" w:rsidRDefault="009B3A25" w:rsidP="009B3A25">
      <w:pPr>
        <w:pStyle w:val="ReferHead"/>
        <w:spacing w:after="0"/>
        <w:jc w:val="both"/>
        <w:rPr>
          <w:rFonts w:ascii="Arial" w:hAnsi="Arial" w:cs="Arial"/>
          <w:b w:val="0"/>
          <w:caps w:val="0"/>
          <w:sz w:val="20"/>
        </w:rPr>
      </w:pPr>
    </w:p>
    <w:p w14:paraId="278EC9AA" w14:textId="77777777" w:rsidR="005430C4" w:rsidRDefault="005430C4" w:rsidP="005430C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2F31FBA" w14:textId="77777777" w:rsidR="00E05E14" w:rsidRPr="00E05E14" w:rsidRDefault="00E05E14" w:rsidP="00E05E14">
      <w:pPr>
        <w:pStyle w:val="ReferHead"/>
        <w:jc w:val="both"/>
        <w:rPr>
          <w:rFonts w:ascii="Arial" w:hAnsi="Arial" w:cs="Arial"/>
          <w:b w:val="0"/>
          <w:caps w:val="0"/>
          <w:sz w:val="20"/>
        </w:rPr>
      </w:pPr>
      <w:r w:rsidRPr="00E05E14">
        <w:rPr>
          <w:rFonts w:ascii="Arial" w:hAnsi="Arial" w:cs="Arial"/>
          <w:b w:val="0"/>
          <w:caps w:val="0"/>
          <w:sz w:val="20"/>
        </w:rPr>
        <w:t xml:space="preserve">The author of this study would like to recommend the following: </w:t>
      </w:r>
    </w:p>
    <w:p w14:paraId="5414FCB5" w14:textId="77777777" w:rsidR="00E05E14" w:rsidRPr="00E05E14" w:rsidRDefault="00E05E14" w:rsidP="00E05E14">
      <w:pPr>
        <w:pStyle w:val="ReferHead"/>
        <w:jc w:val="both"/>
        <w:rPr>
          <w:rFonts w:ascii="Arial" w:hAnsi="Arial" w:cs="Arial"/>
          <w:b w:val="0"/>
          <w:caps w:val="0"/>
          <w:sz w:val="20"/>
        </w:rPr>
      </w:pPr>
      <w:r w:rsidRPr="00E05E14">
        <w:rPr>
          <w:rFonts w:ascii="Arial" w:hAnsi="Arial" w:cs="Arial"/>
          <w:b w:val="0"/>
          <w:caps w:val="0"/>
          <w:sz w:val="20"/>
        </w:rPr>
        <w:t>It is recommended in this study that the teachers may encourage students and teach them the responsibility to get them involved in the classroom. Make participating fun by giving each student a job to do. Give students the responsibility of tidying up or decorating the classroom. Assign a student to erase the blackboard or pass out materials. To improve these gray areas results on the reliability and generalizability of the results in teachers’ motivation and conceptual understanding for students in public elementary schools.</w:t>
      </w:r>
    </w:p>
    <w:p w14:paraId="442F994D" w14:textId="77777777" w:rsidR="00E05E14" w:rsidRPr="00E05E14" w:rsidRDefault="00E05E14" w:rsidP="00E05E14">
      <w:pPr>
        <w:pStyle w:val="ReferHead"/>
        <w:jc w:val="both"/>
        <w:rPr>
          <w:rFonts w:ascii="Arial" w:hAnsi="Arial" w:cs="Arial"/>
          <w:b w:val="0"/>
          <w:caps w:val="0"/>
          <w:sz w:val="20"/>
        </w:rPr>
      </w:pPr>
      <w:r w:rsidRPr="00E05E14">
        <w:rPr>
          <w:rFonts w:ascii="Arial" w:hAnsi="Arial" w:cs="Arial"/>
          <w:b w:val="0"/>
          <w:caps w:val="0"/>
          <w:sz w:val="20"/>
        </w:rPr>
        <w:t>It is recommended in this study that the teachers should help the students to put the information in a logical order such that one can learn and understand the new concepts by relating them to the concepts they already know. This way they better grasp why a teachers’ motivation and conceptual understanding for students in public elementary schools is significant and how it can be applied in real situations.</w:t>
      </w:r>
    </w:p>
    <w:p w14:paraId="7118E7E0" w14:textId="77777777" w:rsidR="00E05E14" w:rsidRPr="00E05E14" w:rsidRDefault="00E05E14" w:rsidP="00E05E14">
      <w:pPr>
        <w:pStyle w:val="ReferHead"/>
        <w:jc w:val="both"/>
        <w:rPr>
          <w:rFonts w:ascii="Arial" w:hAnsi="Arial" w:cs="Arial"/>
          <w:b w:val="0"/>
          <w:caps w:val="0"/>
          <w:sz w:val="20"/>
        </w:rPr>
      </w:pPr>
      <w:r w:rsidRPr="00E05E14">
        <w:rPr>
          <w:rFonts w:ascii="Arial" w:hAnsi="Arial" w:cs="Arial"/>
          <w:b w:val="0"/>
          <w:caps w:val="0"/>
          <w:sz w:val="20"/>
        </w:rPr>
        <w:t xml:space="preserve">It is suggested in this study that the teachers may explain teachers’ motivation and conceptual understanding for students in public elementary schools can be explained as an integrated understanding of important concepts. That is, when one learns and focuses on understanding vital concepts instead of just understanding facts, the method is called conceptual understanding. It involves students engaging in quality understanding experiences with key concepts and ideas rather than using the traditional methods of understanding topics.  </w:t>
      </w:r>
    </w:p>
    <w:p w14:paraId="5EA6A761" w14:textId="63847276" w:rsidR="00B364F1" w:rsidRDefault="00E05E14" w:rsidP="00E05E14">
      <w:pPr>
        <w:pStyle w:val="ReferHead"/>
        <w:spacing w:after="0"/>
        <w:jc w:val="both"/>
        <w:rPr>
          <w:rFonts w:ascii="Arial" w:hAnsi="Arial" w:cs="Arial"/>
          <w:b w:val="0"/>
          <w:caps w:val="0"/>
          <w:sz w:val="20"/>
        </w:rPr>
      </w:pPr>
      <w:r w:rsidRPr="00E05E14">
        <w:rPr>
          <w:rFonts w:ascii="Arial" w:hAnsi="Arial" w:cs="Arial"/>
          <w:b w:val="0"/>
          <w:caps w:val="0"/>
          <w:sz w:val="20"/>
        </w:rPr>
        <w:t>Further study may be conducted to verify the association of teachers’ motivation and conceptual understanding for students in public elementary schools to the academic performance of students which encourages understanding rather than memorization, which would retain for longer.</w:t>
      </w:r>
    </w:p>
    <w:p w14:paraId="6E19A6D9" w14:textId="77777777" w:rsidR="00E05E14" w:rsidRDefault="00E05E14" w:rsidP="00E05E14">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6965E4">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10E53C2B" w14:textId="77777777" w:rsidR="0064672C"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w:t>
      </w:r>
      <w:r w:rsidRPr="006543BB">
        <w:rPr>
          <w:rFonts w:ascii="Arial" w:hAnsi="Arial" w:cs="Arial"/>
          <w:b w:val="0"/>
          <w:caps w:val="0"/>
          <w:sz w:val="20"/>
        </w:rPr>
        <w:lastRenderedPageBreak/>
        <w:t>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76B42CEC" w14:textId="77777777" w:rsidR="0064672C" w:rsidRDefault="0064672C">
      <w:pPr>
        <w:pStyle w:val="ReferHead"/>
        <w:spacing w:after="0"/>
        <w:jc w:val="both"/>
        <w:rPr>
          <w:rFonts w:ascii="Arial" w:hAnsi="Arial" w:cs="Arial"/>
          <w:b w:val="0"/>
          <w:caps w:val="0"/>
          <w:sz w:val="20"/>
        </w:rPr>
      </w:pPr>
    </w:p>
    <w:p w14:paraId="6F735E70" w14:textId="77777777" w:rsidR="0064672C" w:rsidRDefault="0064672C">
      <w:pPr>
        <w:pStyle w:val="ReferHead"/>
        <w:spacing w:after="0"/>
        <w:jc w:val="both"/>
        <w:rPr>
          <w:rFonts w:ascii="Arial" w:hAnsi="Arial" w:cs="Arial"/>
          <w:b w:val="0"/>
          <w:caps w:val="0"/>
          <w:sz w:val="20"/>
        </w:rPr>
      </w:pPr>
    </w:p>
    <w:p w14:paraId="74928EB5" w14:textId="77777777" w:rsidR="0064672C" w:rsidRPr="0064672C" w:rsidRDefault="0064672C" w:rsidP="0064672C">
      <w:pPr>
        <w:pStyle w:val="ReferHead"/>
        <w:jc w:val="both"/>
        <w:rPr>
          <w:rFonts w:ascii="Arial" w:hAnsi="Arial" w:cs="Arial"/>
          <w:bCs/>
          <w:caps w:val="0"/>
          <w:sz w:val="20"/>
        </w:rPr>
      </w:pPr>
      <w:r w:rsidRPr="0064672C">
        <w:rPr>
          <w:rFonts w:ascii="Arial" w:hAnsi="Arial" w:cs="Arial"/>
          <w:bCs/>
          <w:caps w:val="0"/>
          <w:sz w:val="20"/>
        </w:rPr>
        <w:t>COMPETING INTERESTS DISCLAIMER:</w:t>
      </w:r>
    </w:p>
    <w:p w14:paraId="4470E0C4" w14:textId="3579BAFA" w:rsidR="006543BB" w:rsidRDefault="0064672C" w:rsidP="0064672C">
      <w:pPr>
        <w:pStyle w:val="ReferHead"/>
        <w:spacing w:after="0"/>
        <w:jc w:val="both"/>
        <w:rPr>
          <w:rFonts w:ascii="Arial" w:hAnsi="Arial" w:cs="Arial"/>
          <w:b w:val="0"/>
          <w:caps w:val="0"/>
          <w:sz w:val="20"/>
        </w:rPr>
      </w:pPr>
      <w:r w:rsidRPr="0064672C">
        <w:rPr>
          <w:rFonts w:ascii="Arial" w:hAnsi="Arial" w:cs="Arial"/>
          <w:b w:val="0"/>
          <w:caps w:val="0"/>
          <w:sz w:val="20"/>
        </w:rPr>
        <w:t xml:space="preserve">Authors have declared that they have no known competing financial interests OR non-financial interests OR personal relationships that could have appeared to influence the work reported in this </w:t>
      </w:r>
      <w:proofErr w:type="gramStart"/>
      <w:r w:rsidRPr="0064672C">
        <w:rPr>
          <w:rFonts w:ascii="Arial" w:hAnsi="Arial" w:cs="Arial"/>
          <w:b w:val="0"/>
          <w:caps w:val="0"/>
          <w:sz w:val="20"/>
        </w:rPr>
        <w:t>paper.</w:t>
      </w:r>
      <w:r w:rsidR="006543BB" w:rsidRPr="006543BB">
        <w:rPr>
          <w:rFonts w:ascii="Arial" w:hAnsi="Arial" w:cs="Arial"/>
          <w:b w:val="0"/>
          <w:caps w:val="0"/>
          <w:sz w:val="20"/>
        </w:rPr>
        <w:t>.</w:t>
      </w:r>
      <w:proofErr w:type="gramEnd"/>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6965E4"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30385F8D" w14:textId="77777777" w:rsidR="00DC09E0" w:rsidRPr="00B4610A" w:rsidRDefault="00DC09E0" w:rsidP="00DC09E0">
      <w:pPr>
        <w:tabs>
          <w:tab w:val="left" w:pos="270"/>
        </w:tabs>
        <w:ind w:left="720" w:hanging="720"/>
      </w:pPr>
    </w:p>
    <w:p w14:paraId="24372590" w14:textId="77777777" w:rsidR="00B631AD" w:rsidRDefault="00B631AD" w:rsidP="00B631AD"/>
    <w:p w14:paraId="72A8C693"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Alamri, H., Lowell, V., Watson, W., &amp; Watson, S. L. (2020). Using personalized learning as an instructional approach to motivate learners in online higher education: Learner self-determination and intrinsic motivation. </w:t>
      </w:r>
      <w:r>
        <w:rPr>
          <w:rFonts w:ascii="Arial" w:hAnsi="Arial" w:cs="Arial"/>
          <w:i/>
          <w:iCs/>
          <w:color w:val="222222"/>
          <w:shd w:val="clear" w:color="auto" w:fill="FFFFFF"/>
        </w:rPr>
        <w:t>Journal of Research on Technology in Education</w:t>
      </w:r>
      <w:r>
        <w:rPr>
          <w:rFonts w:ascii="Arial" w:hAnsi="Arial" w:cs="Arial"/>
          <w:color w:val="222222"/>
          <w:shd w:val="clear" w:color="auto" w:fill="FFFFFF"/>
        </w:rPr>
        <w:t>, </w:t>
      </w:r>
      <w:r>
        <w:rPr>
          <w:rFonts w:ascii="Arial" w:hAnsi="Arial" w:cs="Arial"/>
          <w:i/>
          <w:iCs/>
          <w:color w:val="222222"/>
          <w:shd w:val="clear" w:color="auto" w:fill="FFFFFF"/>
        </w:rPr>
        <w:t>52</w:t>
      </w:r>
      <w:r>
        <w:rPr>
          <w:rFonts w:ascii="Arial" w:hAnsi="Arial" w:cs="Arial"/>
          <w:color w:val="222222"/>
          <w:shd w:val="clear" w:color="auto" w:fill="FFFFFF"/>
        </w:rPr>
        <w:t>(3), 322-352.</w:t>
      </w:r>
    </w:p>
    <w:p w14:paraId="4FD6D742"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Alipio, M. (2020). </w:t>
      </w:r>
      <w:r>
        <w:rPr>
          <w:rFonts w:ascii="Arial" w:hAnsi="Arial" w:cs="Arial"/>
          <w:i/>
          <w:iCs/>
          <w:color w:val="222222"/>
          <w:shd w:val="clear" w:color="auto" w:fill="FFFFFF"/>
        </w:rPr>
        <w:t>Education during COVID-19 era: Are learners in a less-economically developed country ready for e-learning?</w:t>
      </w:r>
      <w:r>
        <w:rPr>
          <w:rFonts w:ascii="Arial" w:hAnsi="Arial" w:cs="Arial"/>
          <w:color w:val="222222"/>
          <w:shd w:val="clear" w:color="auto" w:fill="FFFFFF"/>
        </w:rPr>
        <w:t>. ZBW-Leibniz Information Centre for Economics.</w:t>
      </w:r>
    </w:p>
    <w:p w14:paraId="000CE183"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Almulla</w:t>
      </w:r>
      <w:proofErr w:type="spellEnd"/>
      <w:r>
        <w:rPr>
          <w:rFonts w:ascii="Arial" w:hAnsi="Arial" w:cs="Arial"/>
          <w:color w:val="222222"/>
          <w:shd w:val="clear" w:color="auto" w:fill="FFFFFF"/>
        </w:rPr>
        <w:t>, M. A., &amp; Alamri, M. M. (2021). Using conceptual mapping for learning to affect students’ motivation and academic achievement.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(7), 4029.</w:t>
      </w:r>
    </w:p>
    <w:p w14:paraId="09340C99"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p>
    <w:p w14:paraId="2CD4114B"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Barkley, E. F., &amp; Major, C. H. (2020). </w:t>
      </w:r>
      <w:r>
        <w:rPr>
          <w:rFonts w:ascii="Arial" w:hAnsi="Arial" w:cs="Arial"/>
          <w:i/>
          <w:iCs/>
          <w:color w:val="222222"/>
          <w:shd w:val="clear" w:color="auto" w:fill="FFFFFF"/>
        </w:rPr>
        <w:t>Student engagement techniques: A handbook for college faculty</w:t>
      </w:r>
      <w:r>
        <w:rPr>
          <w:rFonts w:ascii="Arial" w:hAnsi="Arial" w:cs="Arial"/>
          <w:color w:val="222222"/>
          <w:shd w:val="clear" w:color="auto" w:fill="FFFFFF"/>
        </w:rPr>
        <w:t>. John Wiley &amp; Sons.</w:t>
      </w:r>
    </w:p>
    <w:p w14:paraId="5EA824DB"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Bonghawan</w:t>
      </w:r>
      <w:proofErr w:type="spellEnd"/>
      <w:r>
        <w:rPr>
          <w:rFonts w:ascii="Arial" w:hAnsi="Arial" w:cs="Arial"/>
          <w:color w:val="222222"/>
          <w:shd w:val="clear" w:color="auto" w:fill="FFFFFF"/>
        </w:rPr>
        <w:t>, R. G. G., &amp; MACALISANG, D. (2024). Teachers’ Learning Reinforcement: Effects on Students’ Motivation, Self Efficacy and Academic Performance. </w:t>
      </w:r>
      <w:r>
        <w:rPr>
          <w:rFonts w:ascii="Arial" w:hAnsi="Arial" w:cs="Arial"/>
          <w:i/>
          <w:iCs/>
          <w:color w:val="222222"/>
          <w:shd w:val="clear" w:color="auto" w:fill="FFFFFF"/>
        </w:rPr>
        <w:t>International Journal of Scientific Research and Management (IJSRM)</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(02).</w:t>
      </w:r>
    </w:p>
    <w:p w14:paraId="739ADF8A"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Bower, K. (2019). Explaining motivation in language learning: a framework for evaluation and research. </w:t>
      </w:r>
      <w:r>
        <w:rPr>
          <w:rFonts w:ascii="Arial" w:hAnsi="Arial" w:cs="Arial"/>
          <w:i/>
          <w:iCs/>
          <w:color w:val="222222"/>
          <w:shd w:val="clear" w:color="auto" w:fill="FFFFFF"/>
        </w:rPr>
        <w:t>The Language Learning Journal</w:t>
      </w:r>
      <w:r>
        <w:rPr>
          <w:rFonts w:ascii="Arial" w:hAnsi="Arial" w:cs="Arial"/>
          <w:color w:val="222222"/>
          <w:shd w:val="clear" w:color="auto" w:fill="FFFFFF"/>
        </w:rPr>
        <w:t>, </w:t>
      </w:r>
      <w:r>
        <w:rPr>
          <w:rFonts w:ascii="Arial" w:hAnsi="Arial" w:cs="Arial"/>
          <w:i/>
          <w:iCs/>
          <w:color w:val="222222"/>
          <w:shd w:val="clear" w:color="auto" w:fill="FFFFFF"/>
        </w:rPr>
        <w:t>47</w:t>
      </w:r>
      <w:r>
        <w:rPr>
          <w:rFonts w:ascii="Arial" w:hAnsi="Arial" w:cs="Arial"/>
          <w:color w:val="222222"/>
          <w:shd w:val="clear" w:color="auto" w:fill="FFFFFF"/>
        </w:rPr>
        <w:t>(5), 558-574.</w:t>
      </w:r>
    </w:p>
    <w:p w14:paraId="177EA640"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Chiles, M. (2023). </w:t>
      </w:r>
      <w:r>
        <w:rPr>
          <w:rFonts w:ascii="Arial" w:hAnsi="Arial" w:cs="Arial"/>
          <w:i/>
          <w:iCs/>
          <w:color w:val="222222"/>
          <w:shd w:val="clear" w:color="auto" w:fill="FFFFFF"/>
        </w:rPr>
        <w:t>Powerful Questioning: Strategies for improving learning and retention in the classroom</w:t>
      </w:r>
      <w:r>
        <w:rPr>
          <w:rFonts w:ascii="Arial" w:hAnsi="Arial" w:cs="Arial"/>
          <w:color w:val="222222"/>
          <w:shd w:val="clear" w:color="auto" w:fill="FFFFFF"/>
        </w:rPr>
        <w:t>. Crown House Publishing Ltd.</w:t>
      </w:r>
    </w:p>
    <w:p w14:paraId="70BC9520"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Gumasing</w:t>
      </w:r>
      <w:proofErr w:type="spellEnd"/>
      <w:r>
        <w:rPr>
          <w:rFonts w:ascii="Arial" w:hAnsi="Arial" w:cs="Arial"/>
          <w:color w:val="222222"/>
          <w:shd w:val="clear" w:color="auto" w:fill="FFFFFF"/>
        </w:rPr>
        <w:t>, M. J. J., &amp; Castro, F. M. F. (2023). Determining ergonomic appraisal factors affecting the learning motivation and academic performance of students during online classes.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(3), 1970.</w:t>
      </w:r>
    </w:p>
    <w:p w14:paraId="0DB1EF74"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Gündüz, A. Y. (2024). Technology Leadership in Schools after COVID-19: A Guide to Equity, Innovation, and Collaboration. In </w:t>
      </w:r>
      <w:r>
        <w:rPr>
          <w:rFonts w:ascii="Arial" w:hAnsi="Arial" w:cs="Arial"/>
          <w:i/>
          <w:iCs/>
          <w:color w:val="222222"/>
          <w:shd w:val="clear" w:color="auto" w:fill="FFFFFF"/>
        </w:rPr>
        <w:t>New Perspectives for Leadership after the COVID-19 Pandemic</w:t>
      </w:r>
      <w:r>
        <w:rPr>
          <w:rFonts w:ascii="Arial" w:hAnsi="Arial" w:cs="Arial"/>
          <w:color w:val="222222"/>
          <w:shd w:val="clear" w:color="auto" w:fill="FFFFFF"/>
        </w:rPr>
        <w:t> (pp. 249-263). Apple Academic Press.</w:t>
      </w:r>
    </w:p>
    <w:p w14:paraId="7E3BEE4F"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Hansen, E. J. (2023). </w:t>
      </w:r>
      <w:r>
        <w:rPr>
          <w:rFonts w:ascii="Arial" w:hAnsi="Arial" w:cs="Arial"/>
          <w:i/>
          <w:iCs/>
          <w:color w:val="222222"/>
          <w:shd w:val="clear" w:color="auto" w:fill="FFFFFF"/>
        </w:rPr>
        <w:t>Idea-based learning: A course design process to promote conceptual understanding</w:t>
      </w:r>
      <w:r>
        <w:rPr>
          <w:rFonts w:ascii="Arial" w:hAnsi="Arial" w:cs="Arial"/>
          <w:color w:val="222222"/>
          <w:shd w:val="clear" w:color="auto" w:fill="FFFFFF"/>
        </w:rPr>
        <w:t>. Routledge.</w:t>
      </w:r>
    </w:p>
    <w:p w14:paraId="5C323D3D"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Jacob, L., Lachner, A., &amp; Scheiter, K. (2022). Do school students’ academic self-concept and prior knowledge constrain the effectiveness of generating technology-mediated explanations?. </w:t>
      </w:r>
      <w:r>
        <w:rPr>
          <w:rFonts w:ascii="Arial" w:hAnsi="Arial" w:cs="Arial"/>
          <w:i/>
          <w:iCs/>
          <w:color w:val="222222"/>
          <w:shd w:val="clear" w:color="auto" w:fill="FFFFFF"/>
        </w:rPr>
        <w:t>Computers &amp; Education</w:t>
      </w:r>
      <w:r>
        <w:rPr>
          <w:rFonts w:ascii="Arial" w:hAnsi="Arial" w:cs="Arial"/>
          <w:color w:val="222222"/>
          <w:shd w:val="clear" w:color="auto" w:fill="FFFFFF"/>
        </w:rPr>
        <w:t>, </w:t>
      </w:r>
      <w:r>
        <w:rPr>
          <w:rFonts w:ascii="Arial" w:hAnsi="Arial" w:cs="Arial"/>
          <w:i/>
          <w:iCs/>
          <w:color w:val="222222"/>
          <w:shd w:val="clear" w:color="auto" w:fill="FFFFFF"/>
        </w:rPr>
        <w:t>182</w:t>
      </w:r>
      <w:r>
        <w:rPr>
          <w:rFonts w:ascii="Arial" w:hAnsi="Arial" w:cs="Arial"/>
          <w:color w:val="222222"/>
          <w:shd w:val="clear" w:color="auto" w:fill="FFFFFF"/>
        </w:rPr>
        <w:t>, 104469.</w:t>
      </w:r>
    </w:p>
    <w:p w14:paraId="0E6446C6"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 xml:space="preserve">Lagrimas, E. L. M., &amp; Buenaventura, V. P. (2023). The mediating effect of constructivist learning environment on the relationship between school culture and student </w:t>
      </w:r>
      <w:r>
        <w:rPr>
          <w:rFonts w:ascii="Arial" w:hAnsi="Arial" w:cs="Arial"/>
          <w:color w:val="222222"/>
          <w:shd w:val="clear" w:color="auto" w:fill="FFFFFF"/>
        </w:rPr>
        <w:lastRenderedPageBreak/>
        <w:t>engagement in technology and livelihood education. </w:t>
      </w:r>
      <w:r>
        <w:rPr>
          <w:rFonts w:ascii="Arial" w:hAnsi="Arial" w:cs="Arial"/>
          <w:i/>
          <w:iCs/>
          <w:color w:val="222222"/>
          <w:shd w:val="clear" w:color="auto" w:fill="FFFFFF"/>
        </w:rPr>
        <w:t>European Journal of Education Studies</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(1).</w:t>
      </w:r>
    </w:p>
    <w:p w14:paraId="37FBC5D7"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 xml:space="preserve">Lazenby, K., Rupp, C. A., </w:t>
      </w:r>
      <w:proofErr w:type="spellStart"/>
      <w:r>
        <w:rPr>
          <w:rFonts w:ascii="Arial" w:hAnsi="Arial" w:cs="Arial"/>
          <w:color w:val="222222"/>
          <w:shd w:val="clear" w:color="auto" w:fill="FFFFFF"/>
        </w:rPr>
        <w:t>Brandriet</w:t>
      </w:r>
      <w:proofErr w:type="spellEnd"/>
      <w:r>
        <w:rPr>
          <w:rFonts w:ascii="Arial" w:hAnsi="Arial" w:cs="Arial"/>
          <w:color w:val="222222"/>
          <w:shd w:val="clear" w:color="auto" w:fill="FFFFFF"/>
        </w:rPr>
        <w:t>, A., Mauger-Sonnek, K., &amp; Becker, N. M. (2019). Undergraduate chemistry students’ conceptualization of models in general chemistry. </w:t>
      </w:r>
      <w:r>
        <w:rPr>
          <w:rFonts w:ascii="Arial" w:hAnsi="Arial" w:cs="Arial"/>
          <w:i/>
          <w:iCs/>
          <w:color w:val="222222"/>
          <w:shd w:val="clear" w:color="auto" w:fill="FFFFFF"/>
        </w:rPr>
        <w:t>Journal of chemical education</w:t>
      </w:r>
      <w:r>
        <w:rPr>
          <w:rFonts w:ascii="Arial" w:hAnsi="Arial" w:cs="Arial"/>
          <w:color w:val="222222"/>
          <w:shd w:val="clear" w:color="auto" w:fill="FFFFFF"/>
        </w:rPr>
        <w:t>, </w:t>
      </w:r>
      <w:r>
        <w:rPr>
          <w:rFonts w:ascii="Arial" w:hAnsi="Arial" w:cs="Arial"/>
          <w:i/>
          <w:iCs/>
          <w:color w:val="222222"/>
          <w:shd w:val="clear" w:color="auto" w:fill="FFFFFF"/>
        </w:rPr>
        <w:t>96</w:t>
      </w:r>
      <w:r>
        <w:rPr>
          <w:rFonts w:ascii="Arial" w:hAnsi="Arial" w:cs="Arial"/>
          <w:color w:val="222222"/>
          <w:shd w:val="clear" w:color="auto" w:fill="FFFFFF"/>
        </w:rPr>
        <w:t>(3), 455-468.</w:t>
      </w:r>
    </w:p>
    <w:p w14:paraId="50E18D84"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Mastul</w:t>
      </w:r>
      <w:proofErr w:type="spellEnd"/>
      <w:r>
        <w:rPr>
          <w:rFonts w:ascii="Arial" w:hAnsi="Arial" w:cs="Arial"/>
          <w:color w:val="222222"/>
          <w:shd w:val="clear" w:color="auto" w:fill="FFFFFF"/>
        </w:rPr>
        <w:t>, A. R. H. (2024). The Crucial Role of Teachers in Fostering Creativity, Critical Thinking, and Motivation in Students. </w:t>
      </w:r>
      <w:proofErr w:type="spellStart"/>
      <w:r>
        <w:rPr>
          <w:rFonts w:ascii="Arial" w:hAnsi="Arial" w:cs="Arial"/>
          <w:i/>
          <w:iCs/>
          <w:color w:val="222222"/>
          <w:shd w:val="clear" w:color="auto" w:fill="FFFFFF"/>
        </w:rPr>
        <w:t>Jurnal</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Praktik</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Baik</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Pembelajaran</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Sekolah</w:t>
      </w:r>
      <w:proofErr w:type="spellEnd"/>
      <w:r>
        <w:rPr>
          <w:rFonts w:ascii="Arial" w:hAnsi="Arial" w:cs="Arial"/>
          <w:i/>
          <w:iCs/>
          <w:color w:val="222222"/>
          <w:shd w:val="clear" w:color="auto" w:fill="FFFFFF"/>
        </w:rPr>
        <w:t xml:space="preserve"> dan </w:t>
      </w:r>
      <w:proofErr w:type="spellStart"/>
      <w:r>
        <w:rPr>
          <w:rFonts w:ascii="Arial" w:hAnsi="Arial" w:cs="Arial"/>
          <w:i/>
          <w:iCs/>
          <w:color w:val="222222"/>
          <w:shd w:val="clear" w:color="auto" w:fill="FFFFFF"/>
        </w:rPr>
        <w:t>Pesantren</w:t>
      </w:r>
      <w:proofErr w:type="spellEnd"/>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(02), 54-59.</w:t>
      </w:r>
    </w:p>
    <w:p w14:paraId="77FED492"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Nahid, S., Muzaffar, N., &amp; Abbas, M. (2023). Impact of teachers' motivation on students' performance. </w:t>
      </w:r>
      <w:r>
        <w:rPr>
          <w:rFonts w:ascii="Arial" w:hAnsi="Arial" w:cs="Arial"/>
          <w:i/>
          <w:iCs/>
          <w:color w:val="222222"/>
          <w:shd w:val="clear" w:color="auto" w:fill="FFFFFF"/>
        </w:rPr>
        <w:t>Global Educational Studies Review</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(2), 444-453.</w:t>
      </w:r>
    </w:p>
    <w:p w14:paraId="062DDA28"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Ngqunguza</w:t>
      </w:r>
      <w:proofErr w:type="spellEnd"/>
      <w:r>
        <w:rPr>
          <w:rFonts w:ascii="Arial" w:hAnsi="Arial" w:cs="Arial"/>
          <w:color w:val="222222"/>
          <w:shd w:val="clear" w:color="auto" w:fill="FFFFFF"/>
        </w:rPr>
        <w:t>, A., Seleke, Z., &amp; Makhoba, T. I. (2024). Digital Transformation in Higher Education: Leadership Strategies for Ensuring Equity and Inclusion in Digital Learning Environments. </w:t>
      </w:r>
      <w:r>
        <w:rPr>
          <w:rFonts w:ascii="Arial" w:hAnsi="Arial" w:cs="Arial"/>
          <w:i/>
          <w:iCs/>
          <w:color w:val="222222"/>
          <w:shd w:val="clear" w:color="auto" w:fill="FFFFFF"/>
        </w:rPr>
        <w:t>Journal of Public Administration and Development Alternatives (JPADA)</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(2), 101-114.</w:t>
      </w:r>
    </w:p>
    <w:p w14:paraId="2816E06A"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 xml:space="preserve">Petersen, C. I., </w:t>
      </w:r>
      <w:proofErr w:type="spellStart"/>
      <w:r>
        <w:rPr>
          <w:rFonts w:ascii="Arial" w:hAnsi="Arial" w:cs="Arial"/>
          <w:color w:val="222222"/>
          <w:shd w:val="clear" w:color="auto" w:fill="FFFFFF"/>
        </w:rPr>
        <w:t>Baepler</w:t>
      </w:r>
      <w:proofErr w:type="spellEnd"/>
      <w:r>
        <w:rPr>
          <w:rFonts w:ascii="Arial" w:hAnsi="Arial" w:cs="Arial"/>
          <w:color w:val="222222"/>
          <w:shd w:val="clear" w:color="auto" w:fill="FFFFFF"/>
        </w:rPr>
        <w:t xml:space="preserve">, P., Beitz, A., Ching, P., Gorman, K. S., Neudauer, C. L., ... &amp; Wingert, D. (2020). The tyranny of </w:t>
      </w:r>
      <w:proofErr w:type="spellStart"/>
      <w:r>
        <w:rPr>
          <w:rFonts w:ascii="Arial" w:hAnsi="Arial" w:cs="Arial"/>
          <w:color w:val="222222"/>
          <w:shd w:val="clear" w:color="auto" w:fill="FFFFFF"/>
        </w:rPr>
        <w:t>content:“Content</w:t>
      </w:r>
      <w:proofErr w:type="spellEnd"/>
      <w:r>
        <w:rPr>
          <w:rFonts w:ascii="Arial" w:hAnsi="Arial" w:cs="Arial"/>
          <w:color w:val="222222"/>
          <w:shd w:val="clear" w:color="auto" w:fill="FFFFFF"/>
        </w:rPr>
        <w:t xml:space="preserve"> coverage” as a barrier to evidence-based teaching approaches and ways to overcome it. </w:t>
      </w:r>
      <w:r>
        <w:rPr>
          <w:rFonts w:ascii="Arial" w:hAnsi="Arial" w:cs="Arial"/>
          <w:i/>
          <w:iCs/>
          <w:color w:val="222222"/>
          <w:shd w:val="clear" w:color="auto" w:fill="FFFFFF"/>
        </w:rPr>
        <w:t>CBE—Life Sciences Education</w:t>
      </w:r>
      <w:r>
        <w:rPr>
          <w:rFonts w:ascii="Arial" w:hAnsi="Arial" w:cs="Arial"/>
          <w:color w:val="222222"/>
          <w:shd w:val="clear" w:color="auto" w:fill="FFFFFF"/>
        </w:rPr>
        <w:t>, </w:t>
      </w:r>
      <w:r>
        <w:rPr>
          <w:rFonts w:ascii="Arial" w:hAnsi="Arial" w:cs="Arial"/>
          <w:i/>
          <w:iCs/>
          <w:color w:val="222222"/>
          <w:shd w:val="clear" w:color="auto" w:fill="FFFFFF"/>
        </w:rPr>
        <w:t>19</w:t>
      </w:r>
      <w:r>
        <w:rPr>
          <w:rFonts w:ascii="Arial" w:hAnsi="Arial" w:cs="Arial"/>
          <w:color w:val="222222"/>
          <w:shd w:val="clear" w:color="auto" w:fill="FFFFFF"/>
        </w:rPr>
        <w:t>(2), ar17.</w:t>
      </w:r>
    </w:p>
    <w:p w14:paraId="10ABF89C"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306D31B2"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Rafiq, S., Afzal, A., &amp; Kamran, F. (2022). Impact of school environment on students’ academic achievements at the university level. </w:t>
      </w:r>
      <w:r>
        <w:rPr>
          <w:rFonts w:ascii="Arial" w:hAnsi="Arial" w:cs="Arial"/>
          <w:i/>
          <w:iCs/>
          <w:color w:val="222222"/>
          <w:shd w:val="clear" w:color="auto" w:fill="FFFFFF"/>
        </w:rPr>
        <w:t>VFAST Transactions on Education and Social Sciences</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(4), 19-30.</w:t>
      </w:r>
    </w:p>
    <w:p w14:paraId="681835E7"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Theoharis, G. (2024). </w:t>
      </w:r>
      <w:r>
        <w:rPr>
          <w:rFonts w:ascii="Arial" w:hAnsi="Arial" w:cs="Arial"/>
          <w:i/>
          <w:iCs/>
          <w:color w:val="222222"/>
          <w:shd w:val="clear" w:color="auto" w:fill="FFFFFF"/>
        </w:rPr>
        <w:t>The school leaders our children deserve: Seven keys to equity, social justice, and school reform</w:t>
      </w:r>
      <w:r>
        <w:rPr>
          <w:rFonts w:ascii="Arial" w:hAnsi="Arial" w:cs="Arial"/>
          <w:color w:val="222222"/>
          <w:shd w:val="clear" w:color="auto" w:fill="FFFFFF"/>
        </w:rPr>
        <w:t>. Teachers College Press.</w:t>
      </w:r>
    </w:p>
    <w:p w14:paraId="03D8E09F"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 xml:space="preserve">Wardani, A. D., Gunawan, I., </w:t>
      </w:r>
      <w:proofErr w:type="spellStart"/>
      <w:r>
        <w:rPr>
          <w:rFonts w:ascii="Arial" w:hAnsi="Arial" w:cs="Arial"/>
          <w:color w:val="222222"/>
          <w:shd w:val="clear" w:color="auto" w:fill="FFFFFF"/>
        </w:rPr>
        <w:t>Kusumaningrum</w:t>
      </w:r>
      <w:proofErr w:type="spellEnd"/>
      <w:r>
        <w:rPr>
          <w:rFonts w:ascii="Arial" w:hAnsi="Arial" w:cs="Arial"/>
          <w:color w:val="222222"/>
          <w:shd w:val="clear" w:color="auto" w:fill="FFFFFF"/>
        </w:rPr>
        <w:t xml:space="preserve">, D. E., Benty, D. D. N., </w:t>
      </w:r>
      <w:proofErr w:type="spellStart"/>
      <w:r>
        <w:rPr>
          <w:rFonts w:ascii="Arial" w:hAnsi="Arial" w:cs="Arial"/>
          <w:color w:val="222222"/>
          <w:shd w:val="clear" w:color="auto" w:fill="FFFFFF"/>
        </w:rPr>
        <w:t>Sumarsono</w:t>
      </w:r>
      <w:proofErr w:type="spellEnd"/>
      <w:r>
        <w:rPr>
          <w:rFonts w:ascii="Arial" w:hAnsi="Arial" w:cs="Arial"/>
          <w:color w:val="222222"/>
          <w:shd w:val="clear" w:color="auto" w:fill="FFFFFF"/>
        </w:rPr>
        <w:t xml:space="preserve">, R. B., </w:t>
      </w:r>
      <w:proofErr w:type="spellStart"/>
      <w:r>
        <w:rPr>
          <w:rFonts w:ascii="Arial" w:hAnsi="Arial" w:cs="Arial"/>
          <w:color w:val="222222"/>
          <w:shd w:val="clear" w:color="auto" w:fill="FFFFFF"/>
        </w:rPr>
        <w:t>Nurabadi</w:t>
      </w:r>
      <w:proofErr w:type="spellEnd"/>
      <w:r>
        <w:rPr>
          <w:rFonts w:ascii="Arial" w:hAnsi="Arial" w:cs="Arial"/>
          <w:color w:val="222222"/>
          <w:shd w:val="clear" w:color="auto" w:fill="FFFFFF"/>
        </w:rPr>
        <w:t xml:space="preserve">, A., &amp; </w:t>
      </w:r>
      <w:proofErr w:type="spellStart"/>
      <w:r>
        <w:rPr>
          <w:rFonts w:ascii="Arial" w:hAnsi="Arial" w:cs="Arial"/>
          <w:color w:val="222222"/>
          <w:shd w:val="clear" w:color="auto" w:fill="FFFFFF"/>
        </w:rPr>
        <w:t>Handayani</w:t>
      </w:r>
      <w:proofErr w:type="spellEnd"/>
      <w:r>
        <w:rPr>
          <w:rFonts w:ascii="Arial" w:hAnsi="Arial" w:cs="Arial"/>
          <w:color w:val="222222"/>
          <w:shd w:val="clear" w:color="auto" w:fill="FFFFFF"/>
        </w:rPr>
        <w:t>, L. (2020, November). Student learning motivation: a conceptual paper. In </w:t>
      </w:r>
      <w:r>
        <w:rPr>
          <w:rFonts w:ascii="Arial" w:hAnsi="Arial" w:cs="Arial"/>
          <w:i/>
          <w:iCs/>
          <w:color w:val="222222"/>
          <w:shd w:val="clear" w:color="auto" w:fill="FFFFFF"/>
        </w:rPr>
        <w:t>2nd Early Childhood and Primary Childhood Education (ECPE 2020)</w:t>
      </w:r>
      <w:r>
        <w:rPr>
          <w:rFonts w:ascii="Arial" w:hAnsi="Arial" w:cs="Arial"/>
          <w:color w:val="222222"/>
          <w:shd w:val="clear" w:color="auto" w:fill="FFFFFF"/>
        </w:rPr>
        <w:t> (pp. 275-278). Atlantis Press.</w:t>
      </w:r>
    </w:p>
    <w:p w14:paraId="322DF759"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Wu, S. P., Van Veen, B., &amp; Rau, M. A. (2020). How drawing prompts can increase cognitive engagement in an active learning engineering course. </w:t>
      </w:r>
      <w:r>
        <w:rPr>
          <w:rFonts w:ascii="Arial" w:hAnsi="Arial" w:cs="Arial"/>
          <w:i/>
          <w:iCs/>
          <w:color w:val="222222"/>
          <w:shd w:val="clear" w:color="auto" w:fill="FFFFFF"/>
        </w:rPr>
        <w:t>Journal of Engineering Education</w:t>
      </w:r>
      <w:r>
        <w:rPr>
          <w:rFonts w:ascii="Arial" w:hAnsi="Arial" w:cs="Arial"/>
          <w:color w:val="222222"/>
          <w:shd w:val="clear" w:color="auto" w:fill="FFFFFF"/>
        </w:rPr>
        <w:t>, </w:t>
      </w:r>
      <w:r>
        <w:rPr>
          <w:rFonts w:ascii="Arial" w:hAnsi="Arial" w:cs="Arial"/>
          <w:i/>
          <w:iCs/>
          <w:color w:val="222222"/>
          <w:shd w:val="clear" w:color="auto" w:fill="FFFFFF"/>
        </w:rPr>
        <w:t>109</w:t>
      </w:r>
      <w:r>
        <w:rPr>
          <w:rFonts w:ascii="Arial" w:hAnsi="Arial" w:cs="Arial"/>
          <w:color w:val="222222"/>
          <w:shd w:val="clear" w:color="auto" w:fill="FFFFFF"/>
        </w:rPr>
        <w:t>(4), 723-742.</w:t>
      </w:r>
    </w:p>
    <w:p w14:paraId="2876E507"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 xml:space="preserve">Zain, F. M., </w:t>
      </w:r>
      <w:proofErr w:type="spellStart"/>
      <w:r>
        <w:rPr>
          <w:rFonts w:ascii="Arial" w:hAnsi="Arial" w:cs="Arial"/>
          <w:color w:val="222222"/>
          <w:shd w:val="clear" w:color="auto" w:fill="FFFFFF"/>
        </w:rPr>
        <w:t>Sailin</w:t>
      </w:r>
      <w:proofErr w:type="spellEnd"/>
      <w:r>
        <w:rPr>
          <w:rFonts w:ascii="Arial" w:hAnsi="Arial" w:cs="Arial"/>
          <w:color w:val="222222"/>
          <w:shd w:val="clear" w:color="auto" w:fill="FFFFFF"/>
        </w:rPr>
        <w:t xml:space="preserve">, S. N., &amp; </w:t>
      </w:r>
      <w:proofErr w:type="spellStart"/>
      <w:r>
        <w:rPr>
          <w:rFonts w:ascii="Arial" w:hAnsi="Arial" w:cs="Arial"/>
          <w:color w:val="222222"/>
          <w:shd w:val="clear" w:color="auto" w:fill="FFFFFF"/>
        </w:rPr>
        <w:t>Mahmor</w:t>
      </w:r>
      <w:proofErr w:type="spellEnd"/>
      <w:r>
        <w:rPr>
          <w:rFonts w:ascii="Arial" w:hAnsi="Arial" w:cs="Arial"/>
          <w:color w:val="222222"/>
          <w:shd w:val="clear" w:color="auto" w:fill="FFFFFF"/>
        </w:rPr>
        <w:t>, N. A. (2022). Promoting higher order thinking skills among pre-service teachers through group-based flipped learning. </w:t>
      </w:r>
      <w:r>
        <w:rPr>
          <w:rFonts w:ascii="Arial" w:hAnsi="Arial" w:cs="Arial"/>
          <w:i/>
          <w:iCs/>
          <w:color w:val="222222"/>
          <w:shd w:val="clear" w:color="auto" w:fill="FFFFFF"/>
        </w:rPr>
        <w:t>International Journal of Instruction</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(3), 519-542.</w:t>
      </w:r>
    </w:p>
    <w:p w14:paraId="06226349" w14:textId="77777777" w:rsidR="00717F2E" w:rsidRDefault="00717F2E" w:rsidP="00DC09E0">
      <w:pPr>
        <w:tabs>
          <w:tab w:val="left" w:pos="270"/>
        </w:tabs>
        <w:ind w:left="720" w:hanging="720"/>
        <w:rPr>
          <w:rFonts w:ascii="Arial" w:hAnsi="Arial" w:cs="Arial"/>
          <w:b/>
        </w:rPr>
      </w:pPr>
    </w:p>
    <w:sectPr w:rsidR="00717F2E" w:rsidSect="00E44FAD">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A9CFB" w14:textId="77777777" w:rsidR="006965E4" w:rsidRDefault="006965E4">
      <w:r>
        <w:separator/>
      </w:r>
    </w:p>
  </w:endnote>
  <w:endnote w:type="continuationSeparator" w:id="0">
    <w:p w14:paraId="2B145903" w14:textId="77777777" w:rsidR="006965E4" w:rsidRDefault="0069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ADA8C" w14:textId="77777777" w:rsidR="00E44FAD" w:rsidRDefault="00E4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4BEA" w14:textId="77777777" w:rsidR="00E44FAD" w:rsidRDefault="00E44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6EC75742" w:rsidR="00717F2E" w:rsidRPr="00E44FAD" w:rsidRDefault="00717F2E" w:rsidP="00E44FA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8EA6B" w14:textId="77777777" w:rsidR="006965E4" w:rsidRDefault="006965E4">
      <w:r>
        <w:separator/>
      </w:r>
    </w:p>
  </w:footnote>
  <w:footnote w:type="continuationSeparator" w:id="0">
    <w:p w14:paraId="30891432" w14:textId="77777777" w:rsidR="006965E4" w:rsidRDefault="0069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5CF3" w14:textId="507580D8" w:rsidR="00E44FAD" w:rsidRDefault="00E44FAD">
    <w:pPr>
      <w:pStyle w:val="Header"/>
    </w:pPr>
    <w:r>
      <w:rPr>
        <w:noProof/>
      </w:rPr>
      <w:pict w14:anchorId="255BD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2BD2" w14:textId="4A70926C" w:rsidR="00E44FAD" w:rsidRDefault="00E44FAD">
    <w:pPr>
      <w:pStyle w:val="Header"/>
    </w:pPr>
    <w:r>
      <w:rPr>
        <w:noProof/>
      </w:rPr>
      <w:pict w14:anchorId="43F5D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D33215F" w:rsidR="00717F2E" w:rsidRDefault="00E44FAD">
    <w:pPr>
      <w:ind w:left="2160"/>
      <w:jc w:val="center"/>
      <w:rPr>
        <w:rFonts w:ascii="Times New Roman" w:eastAsia="Calibri" w:hAnsi="Times New Roman"/>
        <w:i/>
        <w:sz w:val="18"/>
        <w:szCs w:val="22"/>
      </w:rPr>
    </w:pPr>
    <w:r>
      <w:rPr>
        <w:noProof/>
      </w:rPr>
      <w:pict w14:anchorId="19DCF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6965E4">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6965E4">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6965E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6965E4">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6965E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6965E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5681" w14:textId="0B973F42" w:rsidR="00E44FAD" w:rsidRDefault="00E44FAD">
    <w:pPr>
      <w:pStyle w:val="Header"/>
    </w:pPr>
    <w:r>
      <w:rPr>
        <w:noProof/>
      </w:rPr>
      <w:pict w14:anchorId="18EB0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0129" w14:textId="0DBAE802" w:rsidR="00E44FAD" w:rsidRDefault="00E44FAD">
    <w:pPr>
      <w:pStyle w:val="Header"/>
    </w:pPr>
    <w:r>
      <w:rPr>
        <w:noProof/>
      </w:rPr>
      <w:pict w14:anchorId="0442B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09C2" w14:textId="538063D5" w:rsidR="00E44FAD" w:rsidRDefault="00E44FAD">
    <w:pPr>
      <w:pStyle w:val="Header"/>
    </w:pPr>
    <w:r>
      <w:rPr>
        <w:noProof/>
      </w:rPr>
      <w:pict w14:anchorId="1961A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gFAKJKw+ktAAAA"/>
  </w:docVars>
  <w:rsids>
    <w:rsidRoot w:val="00AA6219"/>
    <w:rsid w:val="00000F8F"/>
    <w:rsid w:val="00004CD1"/>
    <w:rsid w:val="00005BE3"/>
    <w:rsid w:val="000077E4"/>
    <w:rsid w:val="00007978"/>
    <w:rsid w:val="000110B5"/>
    <w:rsid w:val="00011EA8"/>
    <w:rsid w:val="00014095"/>
    <w:rsid w:val="0001554C"/>
    <w:rsid w:val="00015C44"/>
    <w:rsid w:val="00021967"/>
    <w:rsid w:val="00021FDF"/>
    <w:rsid w:val="00024B4F"/>
    <w:rsid w:val="000254BB"/>
    <w:rsid w:val="00025BD1"/>
    <w:rsid w:val="00030174"/>
    <w:rsid w:val="00032E57"/>
    <w:rsid w:val="00037406"/>
    <w:rsid w:val="00037475"/>
    <w:rsid w:val="00043453"/>
    <w:rsid w:val="0004445B"/>
    <w:rsid w:val="0004512C"/>
    <w:rsid w:val="0004579C"/>
    <w:rsid w:val="00045CD6"/>
    <w:rsid w:val="00046AE8"/>
    <w:rsid w:val="0004787B"/>
    <w:rsid w:val="00052710"/>
    <w:rsid w:val="000531C9"/>
    <w:rsid w:val="00054B24"/>
    <w:rsid w:val="00054B91"/>
    <w:rsid w:val="0005727A"/>
    <w:rsid w:val="00057C65"/>
    <w:rsid w:val="000603D4"/>
    <w:rsid w:val="00061339"/>
    <w:rsid w:val="000647E2"/>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6632E"/>
    <w:rsid w:val="00173CDE"/>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AF9"/>
    <w:rsid w:val="00204835"/>
    <w:rsid w:val="002074B8"/>
    <w:rsid w:val="002103DA"/>
    <w:rsid w:val="00210C28"/>
    <w:rsid w:val="002170C0"/>
    <w:rsid w:val="002274C1"/>
    <w:rsid w:val="00231920"/>
    <w:rsid w:val="0023195C"/>
    <w:rsid w:val="00240CE3"/>
    <w:rsid w:val="00241741"/>
    <w:rsid w:val="0024282C"/>
    <w:rsid w:val="002445E6"/>
    <w:rsid w:val="00245CB7"/>
    <w:rsid w:val="002460DC"/>
    <w:rsid w:val="00246DC7"/>
    <w:rsid w:val="00250985"/>
    <w:rsid w:val="00251946"/>
    <w:rsid w:val="002556F6"/>
    <w:rsid w:val="00255FFB"/>
    <w:rsid w:val="00256882"/>
    <w:rsid w:val="002622D4"/>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0E67"/>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5127"/>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38CA"/>
    <w:rsid w:val="00394EAF"/>
    <w:rsid w:val="00395884"/>
    <w:rsid w:val="003A1837"/>
    <w:rsid w:val="003A43A4"/>
    <w:rsid w:val="003A4D6B"/>
    <w:rsid w:val="003A539B"/>
    <w:rsid w:val="003A67AC"/>
    <w:rsid w:val="003A6DA1"/>
    <w:rsid w:val="003A7E18"/>
    <w:rsid w:val="003B103B"/>
    <w:rsid w:val="003B12FC"/>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3FAD"/>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FB0"/>
    <w:rsid w:val="004C23DD"/>
    <w:rsid w:val="004C482A"/>
    <w:rsid w:val="004C6530"/>
    <w:rsid w:val="004D07E8"/>
    <w:rsid w:val="004D0C87"/>
    <w:rsid w:val="004D305E"/>
    <w:rsid w:val="004D427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216B"/>
    <w:rsid w:val="0053558A"/>
    <w:rsid w:val="00535C8B"/>
    <w:rsid w:val="00535CBD"/>
    <w:rsid w:val="005404AD"/>
    <w:rsid w:val="005428F9"/>
    <w:rsid w:val="005430C4"/>
    <w:rsid w:val="005435C6"/>
    <w:rsid w:val="00550463"/>
    <w:rsid w:val="00553354"/>
    <w:rsid w:val="0055379E"/>
    <w:rsid w:val="00554C2B"/>
    <w:rsid w:val="00554EEE"/>
    <w:rsid w:val="00554FDA"/>
    <w:rsid w:val="00555A79"/>
    <w:rsid w:val="00557ED8"/>
    <w:rsid w:val="005602BC"/>
    <w:rsid w:val="00567306"/>
    <w:rsid w:val="0057110B"/>
    <w:rsid w:val="00572250"/>
    <w:rsid w:val="00574C91"/>
    <w:rsid w:val="00575E98"/>
    <w:rsid w:val="005811D6"/>
    <w:rsid w:val="00582069"/>
    <w:rsid w:val="00586CB8"/>
    <w:rsid w:val="00587F26"/>
    <w:rsid w:val="00590BF3"/>
    <w:rsid w:val="00591549"/>
    <w:rsid w:val="00593BB8"/>
    <w:rsid w:val="005A463E"/>
    <w:rsid w:val="005A4C3F"/>
    <w:rsid w:val="005A6625"/>
    <w:rsid w:val="005B222E"/>
    <w:rsid w:val="005B3F31"/>
    <w:rsid w:val="005B5EA4"/>
    <w:rsid w:val="005C2662"/>
    <w:rsid w:val="005C2AB0"/>
    <w:rsid w:val="005C3039"/>
    <w:rsid w:val="005C540B"/>
    <w:rsid w:val="005C6F1A"/>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4014"/>
    <w:rsid w:val="006273A5"/>
    <w:rsid w:val="00633614"/>
    <w:rsid w:val="00633F68"/>
    <w:rsid w:val="00635592"/>
    <w:rsid w:val="00635BF6"/>
    <w:rsid w:val="00636EB2"/>
    <w:rsid w:val="006375B8"/>
    <w:rsid w:val="00641362"/>
    <w:rsid w:val="00641364"/>
    <w:rsid w:val="00641370"/>
    <w:rsid w:val="00641BF9"/>
    <w:rsid w:val="00642019"/>
    <w:rsid w:val="00642BE9"/>
    <w:rsid w:val="0064672C"/>
    <w:rsid w:val="0065144C"/>
    <w:rsid w:val="00651627"/>
    <w:rsid w:val="00652FDB"/>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5E4"/>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988"/>
    <w:rsid w:val="006D30FF"/>
    <w:rsid w:val="006D6940"/>
    <w:rsid w:val="006E0AD9"/>
    <w:rsid w:val="006E38F4"/>
    <w:rsid w:val="006E67C9"/>
    <w:rsid w:val="006E6A7D"/>
    <w:rsid w:val="006E744F"/>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99A"/>
    <w:rsid w:val="00756181"/>
    <w:rsid w:val="00756316"/>
    <w:rsid w:val="00756864"/>
    <w:rsid w:val="00757F7F"/>
    <w:rsid w:val="00761D52"/>
    <w:rsid w:val="00766500"/>
    <w:rsid w:val="00766599"/>
    <w:rsid w:val="0076770C"/>
    <w:rsid w:val="007701E3"/>
    <w:rsid w:val="00771EA9"/>
    <w:rsid w:val="00774E95"/>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033D"/>
    <w:rsid w:val="007F2720"/>
    <w:rsid w:val="007F2EEE"/>
    <w:rsid w:val="007F6C64"/>
    <w:rsid w:val="007F6D8D"/>
    <w:rsid w:val="007F7B32"/>
    <w:rsid w:val="007F7FDC"/>
    <w:rsid w:val="00804067"/>
    <w:rsid w:val="00804BC2"/>
    <w:rsid w:val="00810B02"/>
    <w:rsid w:val="0081431A"/>
    <w:rsid w:val="00814943"/>
    <w:rsid w:val="008157DD"/>
    <w:rsid w:val="008204D0"/>
    <w:rsid w:val="008216D2"/>
    <w:rsid w:val="00822E31"/>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6DD1"/>
    <w:rsid w:val="008671C6"/>
    <w:rsid w:val="00872099"/>
    <w:rsid w:val="00872C97"/>
    <w:rsid w:val="00875803"/>
    <w:rsid w:val="00877D36"/>
    <w:rsid w:val="0088785F"/>
    <w:rsid w:val="008945A3"/>
    <w:rsid w:val="00896524"/>
    <w:rsid w:val="00897FB9"/>
    <w:rsid w:val="008A09AF"/>
    <w:rsid w:val="008A1807"/>
    <w:rsid w:val="008A7E29"/>
    <w:rsid w:val="008B459E"/>
    <w:rsid w:val="008B6AE3"/>
    <w:rsid w:val="008C2330"/>
    <w:rsid w:val="008C65DE"/>
    <w:rsid w:val="008D1544"/>
    <w:rsid w:val="008D4CC6"/>
    <w:rsid w:val="008D5531"/>
    <w:rsid w:val="008E13AE"/>
    <w:rsid w:val="008E1506"/>
    <w:rsid w:val="008E1D48"/>
    <w:rsid w:val="008E710C"/>
    <w:rsid w:val="008F0221"/>
    <w:rsid w:val="008F0EB7"/>
    <w:rsid w:val="008F2E29"/>
    <w:rsid w:val="008F446C"/>
    <w:rsid w:val="008F5B17"/>
    <w:rsid w:val="008F69D6"/>
    <w:rsid w:val="00902823"/>
    <w:rsid w:val="00907A49"/>
    <w:rsid w:val="00912783"/>
    <w:rsid w:val="00912CD0"/>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55B0"/>
    <w:rsid w:val="00957C18"/>
    <w:rsid w:val="00957C4C"/>
    <w:rsid w:val="00962B44"/>
    <w:rsid w:val="00962C41"/>
    <w:rsid w:val="009648BB"/>
    <w:rsid w:val="009659BA"/>
    <w:rsid w:val="00966016"/>
    <w:rsid w:val="0096663E"/>
    <w:rsid w:val="0096697A"/>
    <w:rsid w:val="00966B8A"/>
    <w:rsid w:val="00970217"/>
    <w:rsid w:val="00973D3A"/>
    <w:rsid w:val="0097678A"/>
    <w:rsid w:val="00976CB2"/>
    <w:rsid w:val="00982E47"/>
    <w:rsid w:val="00983040"/>
    <w:rsid w:val="0098668C"/>
    <w:rsid w:val="00990672"/>
    <w:rsid w:val="009913C6"/>
    <w:rsid w:val="00991ABC"/>
    <w:rsid w:val="00994271"/>
    <w:rsid w:val="009950D9"/>
    <w:rsid w:val="00995521"/>
    <w:rsid w:val="009A4B52"/>
    <w:rsid w:val="009A5463"/>
    <w:rsid w:val="009A5ABF"/>
    <w:rsid w:val="009B02B2"/>
    <w:rsid w:val="009B2A64"/>
    <w:rsid w:val="009B3A25"/>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3938"/>
    <w:rsid w:val="00A347C0"/>
    <w:rsid w:val="00A366FA"/>
    <w:rsid w:val="00A44B85"/>
    <w:rsid w:val="00A45370"/>
    <w:rsid w:val="00A46357"/>
    <w:rsid w:val="00A47DC3"/>
    <w:rsid w:val="00A51431"/>
    <w:rsid w:val="00A52A80"/>
    <w:rsid w:val="00A539AD"/>
    <w:rsid w:val="00A54DF9"/>
    <w:rsid w:val="00A561C5"/>
    <w:rsid w:val="00A577B9"/>
    <w:rsid w:val="00A61C0B"/>
    <w:rsid w:val="00A73CD6"/>
    <w:rsid w:val="00A74632"/>
    <w:rsid w:val="00A9100D"/>
    <w:rsid w:val="00A94063"/>
    <w:rsid w:val="00A97CA7"/>
    <w:rsid w:val="00AA021D"/>
    <w:rsid w:val="00AA046F"/>
    <w:rsid w:val="00AA1319"/>
    <w:rsid w:val="00AA39D0"/>
    <w:rsid w:val="00AA619C"/>
    <w:rsid w:val="00AA6219"/>
    <w:rsid w:val="00AA6948"/>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2415"/>
    <w:rsid w:val="00B346C5"/>
    <w:rsid w:val="00B35A5F"/>
    <w:rsid w:val="00B364F1"/>
    <w:rsid w:val="00B37CEB"/>
    <w:rsid w:val="00B44933"/>
    <w:rsid w:val="00B52896"/>
    <w:rsid w:val="00B549CE"/>
    <w:rsid w:val="00B54AB6"/>
    <w:rsid w:val="00B55B85"/>
    <w:rsid w:val="00B55D37"/>
    <w:rsid w:val="00B55FCC"/>
    <w:rsid w:val="00B60155"/>
    <w:rsid w:val="00B62947"/>
    <w:rsid w:val="00B631AD"/>
    <w:rsid w:val="00B64177"/>
    <w:rsid w:val="00B66AB4"/>
    <w:rsid w:val="00B71C11"/>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496D"/>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4B4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8295D"/>
    <w:rsid w:val="00D83D9C"/>
    <w:rsid w:val="00D927CC"/>
    <w:rsid w:val="00D92CBE"/>
    <w:rsid w:val="00D95C45"/>
    <w:rsid w:val="00DA28B7"/>
    <w:rsid w:val="00DA3D24"/>
    <w:rsid w:val="00DB03BF"/>
    <w:rsid w:val="00DB0B12"/>
    <w:rsid w:val="00DB0B8E"/>
    <w:rsid w:val="00DB27EE"/>
    <w:rsid w:val="00DC09E0"/>
    <w:rsid w:val="00DC0BFC"/>
    <w:rsid w:val="00DC1A01"/>
    <w:rsid w:val="00DC2A65"/>
    <w:rsid w:val="00DC6178"/>
    <w:rsid w:val="00DD0B2B"/>
    <w:rsid w:val="00DD1370"/>
    <w:rsid w:val="00DD1EA9"/>
    <w:rsid w:val="00DD5EA2"/>
    <w:rsid w:val="00DD6431"/>
    <w:rsid w:val="00DD68C1"/>
    <w:rsid w:val="00DD733B"/>
    <w:rsid w:val="00DE14B0"/>
    <w:rsid w:val="00DE15F0"/>
    <w:rsid w:val="00DE32FA"/>
    <w:rsid w:val="00DE5663"/>
    <w:rsid w:val="00DE7644"/>
    <w:rsid w:val="00DE78AA"/>
    <w:rsid w:val="00DF4C95"/>
    <w:rsid w:val="00E009EA"/>
    <w:rsid w:val="00E053D0"/>
    <w:rsid w:val="00E05D72"/>
    <w:rsid w:val="00E05E14"/>
    <w:rsid w:val="00E100D0"/>
    <w:rsid w:val="00E103CF"/>
    <w:rsid w:val="00E112E6"/>
    <w:rsid w:val="00E12CED"/>
    <w:rsid w:val="00E146D8"/>
    <w:rsid w:val="00E15994"/>
    <w:rsid w:val="00E22B41"/>
    <w:rsid w:val="00E2395E"/>
    <w:rsid w:val="00E263A0"/>
    <w:rsid w:val="00E3114E"/>
    <w:rsid w:val="00E31319"/>
    <w:rsid w:val="00E31A70"/>
    <w:rsid w:val="00E31B40"/>
    <w:rsid w:val="00E335C2"/>
    <w:rsid w:val="00E33747"/>
    <w:rsid w:val="00E3444C"/>
    <w:rsid w:val="00E35B02"/>
    <w:rsid w:val="00E37919"/>
    <w:rsid w:val="00E41EEF"/>
    <w:rsid w:val="00E43AF9"/>
    <w:rsid w:val="00E43BA2"/>
    <w:rsid w:val="00E44FAD"/>
    <w:rsid w:val="00E479C2"/>
    <w:rsid w:val="00E50424"/>
    <w:rsid w:val="00E508C3"/>
    <w:rsid w:val="00E55050"/>
    <w:rsid w:val="00E557DA"/>
    <w:rsid w:val="00E61952"/>
    <w:rsid w:val="00E64B1B"/>
    <w:rsid w:val="00E66496"/>
    <w:rsid w:val="00E66A3C"/>
    <w:rsid w:val="00E66B35"/>
    <w:rsid w:val="00E66E10"/>
    <w:rsid w:val="00E70CB4"/>
    <w:rsid w:val="00E71A6B"/>
    <w:rsid w:val="00E74241"/>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3636"/>
    <w:rsid w:val="00EC7E42"/>
    <w:rsid w:val="00ED0288"/>
    <w:rsid w:val="00ED2411"/>
    <w:rsid w:val="00ED54F5"/>
    <w:rsid w:val="00ED755D"/>
    <w:rsid w:val="00EE3755"/>
    <w:rsid w:val="00EE52CB"/>
    <w:rsid w:val="00EE6106"/>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6ABC"/>
    <w:rsid w:val="00F36B02"/>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C0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1CDF2-1C92-47F7-A2C7-D229A9FC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107</TotalTime>
  <Pages>12</Pages>
  <Words>5033</Words>
  <Characters>28690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168</cp:revision>
  <cp:lastPrinted>2025-04-01T13:25:00Z</cp:lastPrinted>
  <dcterms:created xsi:type="dcterms:W3CDTF">2025-04-01T13:27:00Z</dcterms:created>
  <dcterms:modified xsi:type="dcterms:W3CDTF">2025-04-02T14:01:00Z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