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05FB0" w14:textId="27339809" w:rsidR="00A93CA7" w:rsidRPr="00A93CA7" w:rsidRDefault="00A93CA7" w:rsidP="00A93CA7">
      <w:pPr>
        <w:spacing w:line="480" w:lineRule="auto"/>
        <w:rPr>
          <w:rFonts w:ascii="Times New Roman" w:hAnsi="Times New Roman" w:cs="Times New Roman"/>
          <w:b/>
          <w:bCs/>
          <w:i/>
          <w:iCs/>
          <w:u w:val="single"/>
        </w:rPr>
      </w:pPr>
      <w:r w:rsidRPr="00A93CA7">
        <w:rPr>
          <w:rFonts w:ascii="Times New Roman" w:hAnsi="Times New Roman" w:cs="Times New Roman"/>
          <w:b/>
          <w:bCs/>
          <w:i/>
          <w:iCs/>
          <w:u w:val="single"/>
        </w:rPr>
        <w:t>Review Article</w:t>
      </w:r>
    </w:p>
    <w:p w14:paraId="5D81B0D9" w14:textId="40E3E430" w:rsidR="00FB297D" w:rsidRPr="00EC7FBA" w:rsidRDefault="00EC7FBA" w:rsidP="00A93CA7">
      <w:pPr>
        <w:spacing w:line="480" w:lineRule="auto"/>
        <w:rPr>
          <w:rFonts w:ascii="Times New Roman" w:hAnsi="Times New Roman" w:cs="Times New Roman"/>
          <w:b/>
          <w:bCs/>
        </w:rPr>
      </w:pPr>
      <w:r w:rsidRPr="00EC7FBA">
        <w:rPr>
          <w:rFonts w:ascii="Times New Roman" w:hAnsi="Times New Roman" w:cs="Times New Roman"/>
          <w:b/>
          <w:bCs/>
        </w:rPr>
        <w:t>STRATEGIES FOR ENHANCING THE RESILIENCE OF COMMUNITY BANKS IN THE USA</w:t>
      </w:r>
    </w:p>
    <w:p w14:paraId="77559973" w14:textId="77777777" w:rsidR="008463CB" w:rsidRDefault="008463CB" w:rsidP="00FB297D">
      <w:pPr>
        <w:spacing w:line="480" w:lineRule="auto"/>
        <w:jc w:val="center"/>
        <w:rPr>
          <w:rFonts w:ascii="Times New Roman" w:hAnsi="Times New Roman" w:cs="Times New Roman"/>
          <w:b/>
          <w:bCs/>
        </w:rPr>
      </w:pPr>
    </w:p>
    <w:p w14:paraId="335A0E04" w14:textId="77777777" w:rsidR="001C1534" w:rsidRDefault="001C1534" w:rsidP="001C2AF3">
      <w:pPr>
        <w:spacing w:line="480" w:lineRule="auto"/>
        <w:jc w:val="both"/>
        <w:rPr>
          <w:rFonts w:ascii="Times New Roman" w:hAnsi="Times New Roman" w:cs="Times New Roman"/>
          <w:b/>
          <w:bCs/>
        </w:rPr>
      </w:pPr>
    </w:p>
    <w:p w14:paraId="46DE7C0E" w14:textId="77777777" w:rsidR="00564600" w:rsidRDefault="00564600" w:rsidP="001C2AF3">
      <w:pPr>
        <w:spacing w:line="480" w:lineRule="auto"/>
        <w:jc w:val="both"/>
        <w:rPr>
          <w:rFonts w:ascii="Arial" w:hAnsi="Arial" w:cs="Arial"/>
          <w:b/>
          <w:bCs/>
          <w:sz w:val="22"/>
          <w:szCs w:val="22"/>
        </w:rPr>
      </w:pPr>
    </w:p>
    <w:p w14:paraId="12C58744" w14:textId="77777777" w:rsidR="00564600" w:rsidRDefault="00564600" w:rsidP="001C2AF3">
      <w:pPr>
        <w:spacing w:line="480" w:lineRule="auto"/>
        <w:jc w:val="both"/>
        <w:rPr>
          <w:rFonts w:ascii="Arial" w:hAnsi="Arial" w:cs="Arial"/>
          <w:b/>
          <w:bCs/>
          <w:sz w:val="22"/>
          <w:szCs w:val="22"/>
        </w:rPr>
      </w:pPr>
    </w:p>
    <w:p w14:paraId="170A8D45" w14:textId="604A0598" w:rsidR="00AD6573" w:rsidRPr="001C2AF3" w:rsidRDefault="00AD6573" w:rsidP="001C2AF3">
      <w:pPr>
        <w:spacing w:line="480" w:lineRule="auto"/>
        <w:jc w:val="both"/>
        <w:rPr>
          <w:rFonts w:ascii="Arial" w:hAnsi="Arial" w:cs="Arial"/>
          <w:b/>
          <w:bCs/>
          <w:sz w:val="22"/>
          <w:szCs w:val="22"/>
        </w:rPr>
      </w:pPr>
      <w:r w:rsidRPr="001C2AF3">
        <w:rPr>
          <w:rFonts w:ascii="Arial" w:hAnsi="Arial" w:cs="Arial"/>
          <w:b/>
          <w:bCs/>
          <w:sz w:val="22"/>
          <w:szCs w:val="22"/>
        </w:rPr>
        <w:t>A</w:t>
      </w:r>
      <w:r w:rsidR="001C2AF3" w:rsidRPr="001C2AF3">
        <w:rPr>
          <w:rFonts w:ascii="Arial" w:hAnsi="Arial" w:cs="Arial"/>
          <w:b/>
          <w:bCs/>
          <w:sz w:val="22"/>
          <w:szCs w:val="22"/>
        </w:rPr>
        <w:t>BSTRACT</w:t>
      </w:r>
    </w:p>
    <w:p w14:paraId="0ADA5F0B" w14:textId="31900530" w:rsidR="00AD6573" w:rsidRDefault="000D3A57" w:rsidP="00AD6573">
      <w:pPr>
        <w:spacing w:line="240" w:lineRule="auto"/>
        <w:jc w:val="both"/>
        <w:rPr>
          <w:rFonts w:ascii="Times New Roman" w:hAnsi="Times New Roman" w:cs="Times New Roman"/>
          <w:b/>
          <w:bCs/>
        </w:rPr>
      </w:pPr>
      <w:r w:rsidRPr="000D3A57">
        <w:rPr>
          <w:rFonts w:ascii="Times New Roman" w:hAnsi="Times New Roman" w:cs="Times New Roman"/>
        </w:rPr>
        <w:t xml:space="preserve">Community banks are vital to local economies, particularly in underserved and rural areas, as they give small businesses and individuals access to loans and other necessary financial services. The long-term survival of these organizations has been questioned, nevertheless, due to the growing trend of financial consolidation, regulatory changes, technology disruptions, and economic uncertainties. With an emphasis on digital transformation, regulatory compliance, strategic alliances, and important risk mitigation techniques, this study looks at ways to improve the resilience of community banks in the US. The impact of developing financial technologies, such as blockchain, digital banking, and artificial intelligence (AI), on the sustainability and operational efficiency of community banks is highlighted by this study through an analysis of case studies and current literature. </w:t>
      </w:r>
      <w:r w:rsidR="00AD6573" w:rsidRPr="00AD6573">
        <w:rPr>
          <w:rFonts w:ascii="Times New Roman" w:hAnsi="Times New Roman" w:cs="Times New Roman"/>
        </w:rPr>
        <w:t>While technological advancements present opportunities for cost reduction and service enhancement, they also introduce cybersecurity threats and regulatory complexities that must be managed effectively. The study further evaluates the effectiveness of resilience strategies such as capital adequacy measures, enterprise risk management (ERM), and diversified revenue models in mitigating financial risks. Case studies of successful community banks demonstrate how institutions leveraging technology and sound financial practices have sustained operations despite industry challenges. The findings emphasize the need for continuous adaptation to technological and economic shifts, proactive regulatory compliance, and strong financial governance to ensure the long-term stability of community banks. Ultimately, strengthening community banks' resilience is not only vital for their survival but also for the broader financial stability and economic inclusion of local communities in the United States</w:t>
      </w:r>
      <w:r w:rsidR="00AD6573" w:rsidRPr="00AD6573">
        <w:rPr>
          <w:rFonts w:ascii="Times New Roman" w:hAnsi="Times New Roman" w:cs="Times New Roman"/>
          <w:b/>
          <w:bCs/>
        </w:rPr>
        <w:t>.</w:t>
      </w:r>
    </w:p>
    <w:p w14:paraId="72CB73EF" w14:textId="77777777" w:rsidR="00C03071" w:rsidRPr="00AD6573" w:rsidRDefault="00C03071" w:rsidP="00AD6573">
      <w:pPr>
        <w:spacing w:line="240" w:lineRule="auto"/>
        <w:jc w:val="both"/>
        <w:rPr>
          <w:rFonts w:ascii="Times New Roman" w:hAnsi="Times New Roman" w:cs="Times New Roman"/>
        </w:rPr>
      </w:pPr>
    </w:p>
    <w:p w14:paraId="6E5DCABF" w14:textId="2113E645" w:rsidR="00E96F1E" w:rsidRPr="00E96F1E" w:rsidRDefault="00E96F1E" w:rsidP="00E96F1E">
      <w:pPr>
        <w:spacing w:line="480" w:lineRule="auto"/>
        <w:rPr>
          <w:rFonts w:ascii="Times New Roman" w:hAnsi="Times New Roman" w:cs="Times New Roman"/>
          <w:b/>
          <w:bCs/>
        </w:rPr>
      </w:pPr>
      <w:r>
        <w:rPr>
          <w:rFonts w:ascii="Times New Roman" w:hAnsi="Times New Roman" w:cs="Times New Roman"/>
          <w:b/>
          <w:bCs/>
        </w:rPr>
        <w:t xml:space="preserve">Keywords: </w:t>
      </w:r>
      <w:r w:rsidRPr="00E96F1E">
        <w:rPr>
          <w:rFonts w:ascii="Times New Roman" w:hAnsi="Times New Roman" w:cs="Times New Roman"/>
          <w:i/>
          <w:iCs/>
        </w:rPr>
        <w:t>Community Banks, Financial Resilience, Digital Transformation, Risk Management</w:t>
      </w:r>
    </w:p>
    <w:p w14:paraId="528BB940" w14:textId="213C2E8A" w:rsidR="00183F6D" w:rsidRPr="00F0724A" w:rsidRDefault="00F0724A" w:rsidP="00BF2C8C">
      <w:pPr>
        <w:pStyle w:val="Heading1"/>
        <w:numPr>
          <w:ilvl w:val="0"/>
          <w:numId w:val="4"/>
        </w:numPr>
        <w:spacing w:before="0" w:line="480" w:lineRule="auto"/>
        <w:jc w:val="both"/>
        <w:rPr>
          <w:rFonts w:ascii="Times New Roman" w:hAnsi="Times New Roman" w:cs="Times New Roman"/>
          <w:b/>
          <w:bCs/>
          <w:color w:val="auto"/>
          <w:sz w:val="24"/>
          <w:szCs w:val="24"/>
        </w:rPr>
      </w:pPr>
      <w:r w:rsidRPr="00F0724A">
        <w:rPr>
          <w:rFonts w:ascii="Times New Roman" w:hAnsi="Times New Roman" w:cs="Times New Roman"/>
          <w:b/>
          <w:bCs/>
          <w:color w:val="auto"/>
          <w:sz w:val="24"/>
          <w:szCs w:val="24"/>
        </w:rPr>
        <w:lastRenderedPageBreak/>
        <w:t>Introduction</w:t>
      </w:r>
    </w:p>
    <w:p w14:paraId="23FC6B1D" w14:textId="192C68D5" w:rsidR="002C23A7" w:rsidRDefault="00950283" w:rsidP="002C23A7">
      <w:pPr>
        <w:spacing w:line="480" w:lineRule="auto"/>
        <w:jc w:val="both"/>
        <w:rPr>
          <w:rFonts w:ascii="Times New Roman" w:hAnsi="Times New Roman" w:cs="Times New Roman"/>
        </w:rPr>
      </w:pPr>
      <w:r w:rsidRPr="00950283">
        <w:rPr>
          <w:rFonts w:ascii="Times New Roman" w:hAnsi="Times New Roman" w:cs="Times New Roman"/>
        </w:rPr>
        <w:t xml:space="preserve">Community banks' future has </w:t>
      </w:r>
      <w:r w:rsidR="00C31B75">
        <w:rPr>
          <w:rFonts w:ascii="Times New Roman" w:hAnsi="Times New Roman" w:cs="Times New Roman"/>
        </w:rPr>
        <w:t>been scrutinized</w:t>
      </w:r>
      <w:r w:rsidRPr="00950283">
        <w:rPr>
          <w:rFonts w:ascii="Times New Roman" w:hAnsi="Times New Roman" w:cs="Times New Roman"/>
        </w:rPr>
        <w:t xml:space="preserve"> due to the banking industry's ongoing consolidation. The number of community banks in the US has </w:t>
      </w:r>
      <w:r w:rsidR="00C31B75">
        <w:rPr>
          <w:rFonts w:ascii="Times New Roman" w:hAnsi="Times New Roman" w:cs="Times New Roman"/>
        </w:rPr>
        <w:t xml:space="preserve">rapidly declined over the last few decades </w:t>
      </w:r>
      <w:r w:rsidR="00391474">
        <w:rPr>
          <w:rFonts w:ascii="Times New Roman" w:hAnsi="Times New Roman" w:cs="Times New Roman"/>
        </w:rPr>
        <w:fldChar w:fldCharType="begin" w:fldLock="1"/>
      </w:r>
      <w:r w:rsidR="00343AA3">
        <w:rPr>
          <w:rFonts w:ascii="Times New Roman" w:hAnsi="Times New Roman" w:cs="Times New Roman"/>
        </w:rPr>
        <w:instrText>ADDIN CSL_CITATION {"citationItems":[{"id":"ITEM-1","itemData":{"DOI":"10.18651/er/v106n2hanauerlytlesummersziadeh","ISSN":"01612387","abstract":"In recent decades, both the number of community banks and their share of U.S. banking assets have steadily declined, raising questions about the future of community banking. In addition to competitive pressures from larger banking organizations, community banks face growing challenges from broader economic consolidation, changing demographics, and rapidly advancing financial technologies. Matt Hanauer, Brent Lytle, Chris Summers, and Stephanie Ziadeh explore the role of community banks in the U.S. economy, the challenges they face, and their outlook for the future. They find that despite their declining market share, community banks remain crucial financial services providers and are the predominant providers of banking services in rural communities across the country. In addition, they find that community banks are outsized providers of credit to agricultural and commercial borrowers, including during periods of economic stress. The authors argue that community banks will continue to play an important role in their local communities and the broader economy. [ABSTRACT FROM AUTHOR]","author":[{"dropping-particle":"","family":"Hanauer","given":"Matt","non-dropping-particle":"","parse-names":false,"suffix":""},{"dropping-particle":"","family":"Lytle","given":"Brent","non-dropping-particle":"","parse-names":false,"suffix":""},{"dropping-particle":"","family":"Summers","given":"Chris","non-dropping-particle":"","parse-names":false,"suffix":""},{"dropping-particle":"","family":"Ziadeh","given":"Stephanie","non-dropping-particle":"","parse-names":false,"suffix":""}],"container-title":"The Federal Reserve Bank of Kansas City Economic Review","id":"ITEM-1","issued":{"date-parts":[["2021"]]},"page":"37-81","title":"Community Banks' Ongoing Role in the U.S. Economy","type":"article-journal"},"uris":["http://www.mendeley.com/documents/?uuid=6a21fc18-e549-41de-9211-a719684edf1c"]}],"mendeley":{"formattedCitation":"(Hanauer et al., 2021)","plainTextFormattedCitation":"(Hanauer et al., 2021)","previouslyFormattedCitation":"(Hanauer et al., 2021)"},"properties":{"noteIndex":0},"schema":"https://github.com/citation-style-language/schema/raw/master/csl-citation.json"}</w:instrText>
      </w:r>
      <w:r w:rsidR="00391474">
        <w:rPr>
          <w:rFonts w:ascii="Times New Roman" w:hAnsi="Times New Roman" w:cs="Times New Roman"/>
        </w:rPr>
        <w:fldChar w:fldCharType="separate"/>
      </w:r>
      <w:r w:rsidR="00391474" w:rsidRPr="00391474">
        <w:rPr>
          <w:rFonts w:ascii="Times New Roman" w:hAnsi="Times New Roman" w:cs="Times New Roman"/>
          <w:noProof/>
        </w:rPr>
        <w:t>(Hanauer et al., 2021)</w:t>
      </w:r>
      <w:r w:rsidR="00391474">
        <w:rPr>
          <w:rFonts w:ascii="Times New Roman" w:hAnsi="Times New Roman" w:cs="Times New Roman"/>
        </w:rPr>
        <w:fldChar w:fldCharType="end"/>
      </w:r>
      <w:r w:rsidRPr="00950283">
        <w:rPr>
          <w:rFonts w:ascii="Times New Roman" w:hAnsi="Times New Roman" w:cs="Times New Roman"/>
        </w:rPr>
        <w:t xml:space="preserve">. </w:t>
      </w:r>
      <w:r w:rsidR="00343AA3">
        <w:rPr>
          <w:rFonts w:ascii="Times New Roman" w:hAnsi="Times New Roman" w:cs="Times New Roman"/>
        </w:rPr>
        <w:fldChar w:fldCharType="begin" w:fldLock="1"/>
      </w:r>
      <w:r w:rsidR="00A6475E">
        <w:rPr>
          <w:rFonts w:ascii="Times New Roman" w:hAnsi="Times New Roman" w:cs="Times New Roman"/>
        </w:rPr>
        <w:instrText>ADDIN CSL_CITATION {"citationItems":[{"id":"ITEM-1","itemData":{"DOI":"10.1093/ser/mwaa039","ISSN":"1475147X","abstract":"How might the structure of banking affect economic resilience? We address this question by analyzing how the organizational structures of banks and banking markets were associated with unemployment trajectories in local economies during the Great Recession. Two county-level analyses yield convergent results. Increasing branch densities of giant derivative holding banks within local economies were associated with greater surges in unemployment, weaker employment recoveries and stronger recession effects on unemployment from 2007 through 2016. Increasing branch densities of community banks and credit unions and localism in banking were associated with lower unemployment spikes, stronger recoveries and dampened crisis effects. These findings advance sociological studies of finance by providing new quantitative evidence for links between the social structures of banking and economic performance. They also confound arguments that decentralized systems of small, locally based financial institutions are inherently fragile by design, suggesting instead that alternatives to 'too-big-to-fail' banking can enhance local economies' capacities to adapt proactively, withstand crisis and sustain employment during recessions.","author":[{"dropping-particle":"","family":"Schneiberg","given":"Marc","non-dropping-particle":"","parse-names":false,"suffix":""},{"dropping-particle":"","family":"Parmentier","given":"Eleanor","non-dropping-particle":"","parse-names":false,"suffix":""}],"container-title":"Socio-Economic Review","id":"ITEM-1","issue":"1","issued":{"date-parts":[["2022"]]},"page":"85-139","title":"Banking structure, economic resilience and unemployment trajectories in US counties during the great recession","type":"article-journal","volume":"20"},"uris":["http://www.mendeley.com/documents/?uuid=156324de-a1c5-4405-9e36-68d276b4e9d1"]}],"mendeley":{"formattedCitation":"(Schneiberg &amp; Parmentier, 2022)","manualFormatting":"Schneiberg &amp; Parmentier, (2022)","plainTextFormattedCitation":"(Schneiberg &amp; Parmentier, 2022)","previouslyFormattedCitation":"(Schneiberg &amp; Parmentier, 2022)"},"properties":{"noteIndex":0},"schema":"https://github.com/citation-style-language/schema/raw/master/csl-citation.json"}</w:instrText>
      </w:r>
      <w:r w:rsidR="00343AA3">
        <w:rPr>
          <w:rFonts w:ascii="Times New Roman" w:hAnsi="Times New Roman" w:cs="Times New Roman"/>
        </w:rPr>
        <w:fldChar w:fldCharType="separate"/>
      </w:r>
      <w:r w:rsidR="00343AA3" w:rsidRPr="00343AA3">
        <w:rPr>
          <w:rFonts w:ascii="Times New Roman" w:hAnsi="Times New Roman" w:cs="Times New Roman"/>
          <w:noProof/>
        </w:rPr>
        <w:t xml:space="preserve">Schneiberg &amp; Parmentier, </w:t>
      </w:r>
      <w:r w:rsidR="00343AA3">
        <w:rPr>
          <w:rFonts w:ascii="Times New Roman" w:hAnsi="Times New Roman" w:cs="Times New Roman"/>
          <w:noProof/>
        </w:rPr>
        <w:t>(</w:t>
      </w:r>
      <w:r w:rsidR="00343AA3" w:rsidRPr="00343AA3">
        <w:rPr>
          <w:rFonts w:ascii="Times New Roman" w:hAnsi="Times New Roman" w:cs="Times New Roman"/>
          <w:noProof/>
        </w:rPr>
        <w:t>2022)</w:t>
      </w:r>
      <w:r w:rsidR="00343AA3">
        <w:rPr>
          <w:rFonts w:ascii="Times New Roman" w:hAnsi="Times New Roman" w:cs="Times New Roman"/>
        </w:rPr>
        <w:fldChar w:fldCharType="end"/>
      </w:r>
      <w:r w:rsidRPr="00950283">
        <w:rPr>
          <w:rFonts w:ascii="Times New Roman" w:hAnsi="Times New Roman" w:cs="Times New Roman"/>
        </w:rPr>
        <w:t xml:space="preserve"> claim that during the 1970s, American finance </w:t>
      </w:r>
      <w:r w:rsidR="00A6475E">
        <w:rPr>
          <w:rFonts w:ascii="Times New Roman" w:hAnsi="Times New Roman" w:cs="Times New Roman"/>
        </w:rPr>
        <w:t>saw</w:t>
      </w:r>
      <w:r w:rsidRPr="00950283">
        <w:rPr>
          <w:rFonts w:ascii="Times New Roman" w:hAnsi="Times New Roman" w:cs="Times New Roman"/>
        </w:rPr>
        <w:t xml:space="preserve"> significant transformation, which has had disastrous effects on jobs and the overall economy. The size and significance of finance </w:t>
      </w:r>
      <w:r w:rsidR="00A6475E">
        <w:rPr>
          <w:rFonts w:ascii="Times New Roman" w:hAnsi="Times New Roman" w:cs="Times New Roman"/>
        </w:rPr>
        <w:t>concerning</w:t>
      </w:r>
      <w:r w:rsidRPr="00950283">
        <w:rPr>
          <w:rFonts w:ascii="Times New Roman" w:hAnsi="Times New Roman" w:cs="Times New Roman"/>
        </w:rPr>
        <w:t xml:space="preserve"> the rest of the economy increased as officials deregulated the industry. The bulk of banks and savings organizations in the majority of developed nations are still small, neighborhood-based businesses </w:t>
      </w:r>
      <w:r w:rsidR="00A6475E">
        <w:rPr>
          <w:rFonts w:ascii="Times New Roman" w:hAnsi="Times New Roman" w:cs="Times New Roman"/>
        </w:rPr>
        <w:fldChar w:fldCharType="begin" w:fldLock="1"/>
      </w:r>
      <w:r w:rsidR="00C013CA">
        <w:rPr>
          <w:rFonts w:ascii="Times New Roman" w:hAnsi="Times New Roman" w:cs="Times New Roman"/>
        </w:rPr>
        <w:instrText>ADDIN CSL_CITATION {"citationItems":[{"id":"ITEM-1","itemData":{"DOI":"10.1023/b:fina.0000020656.65653.79","ISSN":"09208550","abstract":"We review how deregulation, technological advance, and increased competitive rivalry have affected the size and health of the United States community banking sector and the quality and availability of banking products and services. We then develop a simple theoretical framework for analyzing how these changes have affected the competitive viability of community banks. Empirical evidence presented in this paper is consistent with the model's prediction that regulatory and technological change has exposed community banks to intensified competition on the one hand, but on the other hand has left well-managed community banks with a potentially exploitable strategic position in the industry. We also offer an analysis of how the number and distribution of community banks may change in the future.","author":[{"dropping-particle":"","family":"Deyoung","given":"Robert","non-dropping-particle":"","parse-names":false,"suffix":""},{"dropping-particle":"","family":"Hunter","given":"William C.","non-dropping-particle":"","parse-names":false,"suffix":""},{"dropping-particle":"","family":"Udell","given":"Gregory F.","non-dropping-particle":"","parse-names":false,"suffix":""}],"container-title":"Journal of Financial Services Research","id":"ITEM-1","issue":"2-3","issued":{"date-parts":[["2004"]]},"page":"85-133","title":"The past, present, and probable future for community banks","type":"article-journal","volume":"25"},"uris":["http://www.mendeley.com/documents/?uuid=c239a22c-f4af-4b8e-b137-1425c01db70a"]}],"mendeley":{"formattedCitation":"(Deyoung et al., 2004)","plainTextFormattedCitation":"(Deyoung et al., 2004)","previouslyFormattedCitation":"(Deyoung et al., 2004)"},"properties":{"noteIndex":0},"schema":"https://github.com/citation-style-language/schema/raw/master/csl-citation.json"}</w:instrText>
      </w:r>
      <w:r w:rsidR="00A6475E">
        <w:rPr>
          <w:rFonts w:ascii="Times New Roman" w:hAnsi="Times New Roman" w:cs="Times New Roman"/>
        </w:rPr>
        <w:fldChar w:fldCharType="separate"/>
      </w:r>
      <w:r w:rsidR="00A6475E" w:rsidRPr="00A6475E">
        <w:rPr>
          <w:rFonts w:ascii="Times New Roman" w:hAnsi="Times New Roman" w:cs="Times New Roman"/>
          <w:noProof/>
        </w:rPr>
        <w:t>(Deyoung et al., 2004)</w:t>
      </w:r>
      <w:r w:rsidR="00A6475E">
        <w:rPr>
          <w:rFonts w:ascii="Times New Roman" w:hAnsi="Times New Roman" w:cs="Times New Roman"/>
        </w:rPr>
        <w:fldChar w:fldCharType="end"/>
      </w:r>
      <w:r w:rsidRPr="00950283">
        <w:rPr>
          <w:rFonts w:ascii="Times New Roman" w:hAnsi="Times New Roman" w:cs="Times New Roman"/>
        </w:rPr>
        <w:t>.</w:t>
      </w:r>
      <w:r w:rsidR="00A6475E">
        <w:rPr>
          <w:rFonts w:ascii="Times New Roman" w:hAnsi="Times New Roman" w:cs="Times New Roman"/>
        </w:rPr>
        <w:t xml:space="preserve"> </w:t>
      </w:r>
      <w:r w:rsidRPr="00950283">
        <w:rPr>
          <w:rFonts w:ascii="Times New Roman" w:hAnsi="Times New Roman" w:cs="Times New Roman"/>
        </w:rPr>
        <w:t>However, the environment has become less friendly for community banks due to deregulation, greater competition, new financial instruments, information technology advancements, and innovations in bank production processes. In the majority of nations, the number of community banks is declining along with their market shares for deposits and loans. For instance, according to some metrics, community banks' market share and number have roughly decreased by half since 1980. It is reasonable to question whether the community bank business model will remain sustainable in light of these trends.</w:t>
      </w:r>
      <w:r w:rsidR="00CF0671">
        <w:rPr>
          <w:rFonts w:ascii="Times New Roman" w:hAnsi="Times New Roman" w:cs="Times New Roman"/>
        </w:rPr>
        <w:t xml:space="preserve"> </w:t>
      </w:r>
      <w:r w:rsidRPr="00950283">
        <w:rPr>
          <w:rFonts w:ascii="Times New Roman" w:hAnsi="Times New Roman" w:cs="Times New Roman"/>
        </w:rPr>
        <w:t>The community bank is a uniquely American business, with more of them than almost anywhere else in the world</w:t>
      </w:r>
      <w:r w:rsidR="00C013CA">
        <w:rPr>
          <w:rFonts w:ascii="Times New Roman" w:hAnsi="Times New Roman" w:cs="Times New Roman"/>
        </w:rPr>
        <w:t xml:space="preserve"> </w:t>
      </w:r>
      <w:r w:rsidR="00C013CA">
        <w:rPr>
          <w:rFonts w:ascii="Times New Roman" w:hAnsi="Times New Roman" w:cs="Times New Roman"/>
        </w:rPr>
        <w:fldChar w:fldCharType="begin" w:fldLock="1"/>
      </w:r>
      <w:r w:rsidR="00C013CA">
        <w:rPr>
          <w:rFonts w:ascii="Times New Roman" w:hAnsi="Times New Roman" w:cs="Times New Roman"/>
        </w:rPr>
        <w:instrText>ADDIN CSL_CITATION {"citationItems":[{"id":"ITEM-1","itemData":{"DOI":"10.1111/jofi.12235","ISSN":"15406261","abstract":"The largest commercial bank stocks, ranked by total size of the balance sheet, have significantly lower risk-adjusted returns than small- and medium-sized bank stocks, even though large banks are significantly more levered. We uncover a size factor in the component of bank returns that is orthogonal to the standard risk factors, including small minus big, which has the right covariance with bank returns to explain the average risk-adjusted returns. This factor measures size-dependent exposure to bank-specific tail risk. These findings are consistent with government guarantees that protect shareholders of large banks, but not small banks, in disaster states.","author":[{"dropping-particle":"","family":"Gandhi","given":"Priyank","non-dropping-particle":"","parse-names":false,"suffix":""},{"dropping-particle":"","family":"Lustig","given":"Hanno","non-dropping-particle":"","parse-names":false,"suffix":""}],"container-title":"Journal of Finance","id":"ITEM-1","issue":"2","issued":{"date-parts":[["2015"]]},"page":"733-768","title":"Size Anomalies in U.S. Bank Stock Returns","type":"article-journal","volume":"70"},"uris":["http://www.mendeley.com/documents/?uuid=91c0b6ef-9c9c-46d7-b5b9-ddbfa17705fe"]},{"id":"ITEM-2","itemData":{"DOI":"10.1023/b:fina.0000020656.65653.79","ISSN":"09208550","abstract":"We review how deregulation, technological advance, and increased competitive rivalry have affected the size and health of the United States community banking sector and the quality and availability of banking products and services. We then develop a simple theoretical framework for analyzing how these changes have affected the competitive viability of community banks. Empirical evidence presented in this paper is consistent with the model's prediction that regulatory and technological change has exposed community banks to intensified competition on the one hand, but on the other hand has left well-managed community banks with a potentially exploitable strategic position in the industry. We also offer an analysis of how the number and distribution of community banks may change in the future.","author":[{"dropping-particle":"","family":"Deyoung","given":"Robert","non-dropping-particle":"","parse-names":false,"suffix":""},{"dropping-particle":"","family":"Hunter","given":"William C.","non-dropping-particle":"","parse-names":false,"suffix":""},{"dropping-particle":"","family":"Udell","given":"Gregory F.","non-dropping-particle":"","parse-names":false,"suffix":""}],"container-title":"Journal of Financial Services Research","id":"ITEM-2","issue":"2-3","issued":{"date-parts":[["2004"]]},"page":"85-133","title":"The past, present, and probable future for community banks","type":"article-journal","volume":"25"},"uris":["http://www.mendeley.com/documents/?uuid=c239a22c-f4af-4b8e-b137-1425c01db70a"]}],"mendeley":{"formattedCitation":"(Deyoung et al., 2004; Gandhi &amp; Lustig, 2015)","plainTextFormattedCitation":"(Deyoung et al., 2004; Gandhi &amp; Lustig, 2015)","previouslyFormattedCitation":"(Deyoung et al., 2004; Gandhi &amp; Lustig, 2015)"},"properties":{"noteIndex":0},"schema":"https://github.com/citation-style-language/schema/raw/master/csl-citation.json"}</w:instrText>
      </w:r>
      <w:r w:rsidR="00C013CA">
        <w:rPr>
          <w:rFonts w:ascii="Times New Roman" w:hAnsi="Times New Roman" w:cs="Times New Roman"/>
        </w:rPr>
        <w:fldChar w:fldCharType="separate"/>
      </w:r>
      <w:r w:rsidR="00C013CA" w:rsidRPr="00C013CA">
        <w:rPr>
          <w:rFonts w:ascii="Times New Roman" w:hAnsi="Times New Roman" w:cs="Times New Roman"/>
          <w:noProof/>
        </w:rPr>
        <w:t>(Deyoung et al., 2004; Gandhi &amp; Lustig, 2015)</w:t>
      </w:r>
      <w:r w:rsidR="00C013CA">
        <w:rPr>
          <w:rFonts w:ascii="Times New Roman" w:hAnsi="Times New Roman" w:cs="Times New Roman"/>
        </w:rPr>
        <w:fldChar w:fldCharType="end"/>
      </w:r>
      <w:r w:rsidRPr="00950283">
        <w:rPr>
          <w:rFonts w:ascii="Times New Roman" w:hAnsi="Times New Roman" w:cs="Times New Roman"/>
        </w:rPr>
        <w:t>. According to Mark Roe of Harvard Law School, it is a type of financial institution that has been influenced by the political trends in the United States toward local control and decentralization</w:t>
      </w:r>
      <w:r w:rsidR="00C013CA">
        <w:rPr>
          <w:rFonts w:ascii="Times New Roman" w:hAnsi="Times New Roman" w:cs="Times New Roman"/>
        </w:rPr>
        <w:t xml:space="preserve"> </w:t>
      </w:r>
      <w:r w:rsidR="00C013CA">
        <w:rPr>
          <w:rFonts w:ascii="Times New Roman" w:hAnsi="Times New Roman" w:cs="Times New Roman"/>
        </w:rPr>
        <w:fldChar w:fldCharType="begin" w:fldLock="1"/>
      </w:r>
      <w:r w:rsidR="00656FFF">
        <w:rPr>
          <w:rFonts w:ascii="Times New Roman" w:hAnsi="Times New Roman" w:cs="Times New Roman"/>
        </w:rPr>
        <w:instrText>ADDIN CSL_CITATION {"citationItems":[{"id":"ITEM-1","itemData":{"abstract":"This working paper focuses on the plight of community banks in the United States. It begins by examining different definitions of what constitutes a community bank, and goes on to review what makes these institutions unique and distinguishes them from larger regional or national peers. Our assessment of Federal Deposit Insurance Corporation data finds that community banks service a disproportionately large amount of key segments of the U.S. commercial bank lending market-specifically, agricultural, residential mortgage, and small business loans. However, community banks' share of U.S. banking assets and lending markets has fallen from over 40 percent in 1994 to around 20 percent today. Interestingly, we find that community banks emerged from the financial crisis with a market share 6 percent lower, but since the second quarter of 2010-around the time of the passage of the Dodd-Frank Act-their share of U.S. commercial banking assets has declined at a rate almost double that between the second quarters of 2006 and 2010. Particularly troubling is community banks' declining market share in several key lending markets, their decline in small business lending volume, and the disproportionate losses being realized by particularly small community banks. We review studies on the impact of regulation, consumer trends and other factors on community banks, and examine the consequences of consolidation on U.S. lending markets. We conclude with a discussion of policies that could promote a more competitive and robust banking sector. JEL Codes: G21, G28, K23 Acknowledgements We deeply thank Robert Glauber for the critical role he played in guiding and improving our research. We also gratefully acknowledge the support and helpful insights of","author":[{"dropping-particle":"","family":"Lux Robert Greene","given":"Marshall","non-dropping-particle":"","parse-names":false,"suffix":""},{"dropping-particle":"","family":"Lux","given":"Marshall","non-dropping-particle":"","parse-names":false,"suffix":""},{"dropping-particle":"","family":"Greene","given":"Robert","non-dropping-particle":"","parse-names":false,"suffix":""},{"dropping-particle":"","family":"Bair","given":"Sheila","non-dropping-particle":"","parse-names":false,"suffix":""},{"dropping-particle":"","family":"Fondiller","given":"Dave","non-dropping-particle":"","parse-names":false,"suffix":""},{"dropping-particle":"","family":"Getter","given":"Darryl","non-dropping-particle":"","parse-names":false,"suffix":""},{"dropping-particle":"","family":"Hadley","given":"Ryan","non-dropping-particle":"","parse-names":false,"suffix":""},{"dropping-particle":"","family":"Haigh","given":"John","non-dropping-particle":"","parse-names":false,"suffix":""},{"dropping-particle":"","family":"Harris-Gibson","given":"Caroline","non-dropping-particle":"","parse-names":false,"suffix":""},{"dropping-particle":"","family":"Jorde","given":"Terry","non-dropping-particle":"","parse-names":false,"suffix":""},{"dropping-particle":"","family":"Leland","given":"Scott","non-dropping-particle":"","parse-names":false,"suffix":""},{"dropping-particle":"","family":"Mills","given":"Karen","non-dropping-particle":"","parse-names":false,"suffix":""},{"dropping-particle":"","family":"Nash","given":"Jennifer","non-dropping-particle":"","parse-names":false,"suffix":""},{"dropping-particle":"","family":"Peirce","given":"Hester","non-dropping-particle":"","parse-names":false,"suffix":""},{"dropping-particle":"","family":"Perdue","given":"Pam","non-dropping-particle":"","parse-names":false,"suffix":""},{"dropping-particle":"","family":"Scott","given":"Hal","non-dropping-particle":"","parse-names":false,"suffix":""},{"dropping-particle":"","family":"Segel","given":"James","non-dropping-particle":"","parse-names":false,"suffix":""},{"dropping-particle":"","family":"Zeckhauser","given":"Richard","non-dropping-particle":"","parse-names":false,"suffix":""}],"id":"ITEM-1","issue":"37","issued":{"date-parts":[["2015"]]},"title":"M-RCBG Associate Working Paper Series | No. 37 The State and Fate of Community Banking The State and Fate of Community Banking","type":"article-journal"},"uris":["http://www.mendeley.com/documents/?uuid=b945909a-d6f5-4242-bfce-26caeb2806a9"]}],"mendeley":{"formattedCitation":"(Lux Robert Greene et al., 2015)","plainTextFormattedCitation":"(Lux Robert Greene et al., 2015)","previouslyFormattedCitation":"(Lux Robert Greene et al., 2015)"},"properties":{"noteIndex":0},"schema":"https://github.com/citation-style-language/schema/raw/master/csl-citation.json"}</w:instrText>
      </w:r>
      <w:r w:rsidR="00C013CA">
        <w:rPr>
          <w:rFonts w:ascii="Times New Roman" w:hAnsi="Times New Roman" w:cs="Times New Roman"/>
        </w:rPr>
        <w:fldChar w:fldCharType="separate"/>
      </w:r>
      <w:r w:rsidR="00C013CA" w:rsidRPr="00C013CA">
        <w:rPr>
          <w:rFonts w:ascii="Times New Roman" w:hAnsi="Times New Roman" w:cs="Times New Roman"/>
          <w:noProof/>
        </w:rPr>
        <w:t>(Lux Robert Greene et al., 2015)</w:t>
      </w:r>
      <w:r w:rsidR="00C013CA">
        <w:rPr>
          <w:rFonts w:ascii="Times New Roman" w:hAnsi="Times New Roman" w:cs="Times New Roman"/>
        </w:rPr>
        <w:fldChar w:fldCharType="end"/>
      </w:r>
      <w:r w:rsidRPr="00950283">
        <w:rPr>
          <w:rFonts w:ascii="Times New Roman" w:hAnsi="Times New Roman" w:cs="Times New Roman"/>
        </w:rPr>
        <w:t xml:space="preserve">. However, for more than 40 years, the prominence of these small, locally held lenders to local consumers and businesses has decreased, first as a result of the 1980s savings and loan crisis, then as a result of the removal of obstacles to bank consolidation, and finally as a result of economic downturns. At the same time, community banks' proportion of U.S. banking assets has significantly decreased as the nation's biggest banks have grown more dominant, helped by </w:t>
      </w:r>
      <w:r w:rsidRPr="00950283">
        <w:rPr>
          <w:rFonts w:ascii="Times New Roman" w:hAnsi="Times New Roman" w:cs="Times New Roman"/>
        </w:rPr>
        <w:lastRenderedPageBreak/>
        <w:t>economies of scale and a broad geographic reach.</w:t>
      </w:r>
      <w:r w:rsidR="00C32559">
        <w:rPr>
          <w:rFonts w:ascii="Times New Roman" w:hAnsi="Times New Roman" w:cs="Times New Roman"/>
        </w:rPr>
        <w:t xml:space="preserve"> </w:t>
      </w:r>
      <w:r w:rsidRPr="00950283">
        <w:rPr>
          <w:rFonts w:ascii="Times New Roman" w:hAnsi="Times New Roman" w:cs="Times New Roman"/>
        </w:rPr>
        <w:t>Changing demographics, quickly evolving financial technologies, and greater economic consolidation present community banks with increasing problems in addition to competition from larger banking institutions. In spite of their diminishing market share, community banks continue to be essential suppliers of financial services and credit in the US. Community banks are essential to maintaining local economies and are the main suppliers of banking services in rural areas of the nation. Community banks are particularly large lenders to commercial and agricultural borrowers, even in times of economic strain, as evidenced by the comparatively stable business lending provided by small banks during the global financial crisis (GFC) and the important role they played in emergency lending</w:t>
      </w:r>
      <w:r w:rsidR="00D62C55">
        <w:rPr>
          <w:rFonts w:ascii="Times New Roman" w:hAnsi="Times New Roman" w:cs="Times New Roman"/>
        </w:rPr>
        <w:t xml:space="preserve">  </w:t>
      </w:r>
      <w:r>
        <w:rPr>
          <w:rFonts w:ascii="Times New Roman" w:hAnsi="Times New Roman" w:cs="Times New Roman"/>
        </w:rPr>
        <w:fldChar w:fldCharType="begin" w:fldLock="1"/>
      </w:r>
      <w:r w:rsidR="00391474">
        <w:rPr>
          <w:rFonts w:ascii="Times New Roman" w:hAnsi="Times New Roman" w:cs="Times New Roman"/>
        </w:rPr>
        <w:instrText>ADDIN CSL_CITATION {"citationItems":[{"id":"ITEM-1","itemData":{"DOI":"10.18651/er/v106n2hanauerlytlesummersziadeh","ISSN":"01612387","abstract":"In recent decades, both the number of community banks and their share of U.S. banking assets have steadily declined, raising questions about the future of community banking. In addition to competitive pressures from larger banking organizations, community banks face growing challenges from broader economic consolidation, changing demographics, and rapidly advancing financial technologies. Matt Hanauer, Brent Lytle, Chris Summers, and Stephanie Ziadeh explore the role of community banks in the U.S. economy, the challenges they face, and their outlook for the future. They find that despite their declining market share, community banks remain crucial financial services providers and are the predominant providers of banking services in rural communities across the country. In addition, they find that community banks are outsized providers of credit to agricultural and commercial borrowers, including during periods of economic stress. The authors argue that community banks will continue to play an important role in their local communities and the broader economy. [ABSTRACT FROM AUTHOR]","author":[{"dropping-particle":"","family":"Hanauer","given":"Matt","non-dropping-particle":"","parse-names":false,"suffix":""},{"dropping-particle":"","family":"Lytle","given":"Brent","non-dropping-particle":"","parse-names":false,"suffix":""},{"dropping-particle":"","family":"Summers","given":"Chris","non-dropping-particle":"","parse-names":false,"suffix":""},{"dropping-particle":"","family":"Ziadeh","given":"Stephanie","non-dropping-particle":"","parse-names":false,"suffix":""}],"container-title":"The Federal Reserve Bank of Kansas City Economic Review","id":"ITEM-1","issued":{"date-parts":[["2021"]]},"page":"37-81","title":"Community Banks' Ongoing Role in the U.S. Economy","type":"article-journal"},"uris":["http://www.mendeley.com/documents/?uuid=6a21fc18-e549-41de-9211-a719684edf1c"]}],"mendeley":{"formattedCitation":"(Hanauer et al., 2021)","plainTextFormattedCitation":"(Hanauer et al., 2021)","previouslyFormattedCitation":"(Hanauer et al., 2021)"},"properties":{"noteIndex":0},"schema":"https://github.com/citation-style-language/schema/raw/master/csl-citation.json"}</w:instrText>
      </w:r>
      <w:r>
        <w:rPr>
          <w:rFonts w:ascii="Times New Roman" w:hAnsi="Times New Roman" w:cs="Times New Roman"/>
        </w:rPr>
        <w:fldChar w:fldCharType="separate"/>
      </w:r>
      <w:r w:rsidRPr="00950283">
        <w:rPr>
          <w:rFonts w:ascii="Times New Roman" w:hAnsi="Times New Roman" w:cs="Times New Roman"/>
          <w:noProof/>
        </w:rPr>
        <w:t>(Hanauer et al., 2021)</w:t>
      </w:r>
      <w:r>
        <w:rPr>
          <w:rFonts w:ascii="Times New Roman" w:hAnsi="Times New Roman" w:cs="Times New Roman"/>
        </w:rPr>
        <w:fldChar w:fldCharType="end"/>
      </w:r>
      <w:r w:rsidR="00C32559">
        <w:rPr>
          <w:rFonts w:ascii="Times New Roman" w:hAnsi="Times New Roman" w:cs="Times New Roman"/>
        </w:rPr>
        <w:t>. However, c</w:t>
      </w:r>
      <w:r w:rsidR="00C32559" w:rsidRPr="00C32559">
        <w:rPr>
          <w:rFonts w:ascii="Times New Roman" w:hAnsi="Times New Roman" w:cs="Times New Roman"/>
        </w:rPr>
        <w:t xml:space="preserve">onsumer demands for digital banking have made things more difficult to operate, necessitating large expenditures in digital transformation that many smaller banks find too expensive. Additionally, continuing concerns </w:t>
      </w:r>
      <w:r w:rsidR="00087AA0">
        <w:rPr>
          <w:rFonts w:ascii="Times New Roman" w:hAnsi="Times New Roman" w:cs="Times New Roman"/>
        </w:rPr>
        <w:t>about</w:t>
      </w:r>
      <w:r w:rsidR="00C32559" w:rsidRPr="00C32559">
        <w:rPr>
          <w:rFonts w:ascii="Times New Roman" w:hAnsi="Times New Roman" w:cs="Times New Roman"/>
        </w:rPr>
        <w:t xml:space="preserve"> their financial stability include interest rate changes, cybersecurity attacks, and economic downturns</w:t>
      </w:r>
      <w:r w:rsidR="00656FFF">
        <w:rPr>
          <w:rFonts w:ascii="Times New Roman" w:hAnsi="Times New Roman" w:cs="Times New Roman"/>
        </w:rPr>
        <w:t xml:space="preserve"> </w:t>
      </w:r>
      <w:r w:rsidR="00656FFF">
        <w:rPr>
          <w:rFonts w:ascii="Times New Roman" w:hAnsi="Times New Roman" w:cs="Times New Roman"/>
        </w:rPr>
        <w:fldChar w:fldCharType="begin" w:fldLock="1"/>
      </w:r>
      <w:r w:rsidR="007F7FD5">
        <w:rPr>
          <w:rFonts w:ascii="Times New Roman" w:hAnsi="Times New Roman" w:cs="Times New Roman"/>
        </w:rPr>
        <w:instrText>ADDIN CSL_CITATION {"citationItems":[{"id":"ITEM-1","itemData":{"DOI":"10.5958/2249-6270.2019.00019.9","abstract":"This review surveys technological disruption in banking, examining its impact on competition and its potential to increase efficiency and customer welfare. It analyzes the possible strategies of the players involved—incumbents and FinTech and BigTech firms—and the role of regulation. The industry is facing radical transformation and restructuring, as well as a move toward a customer-centric platform-based model. Competition will increase as new players enter the industry, but the long-term impact is more open. Regulation will decisively influence to what extent BigTech will enter the industry and who the dominant players will be. The challenge for regulators will be to keep a level playing field that strikes the right balance between fostering innovation and preserving financial stability. Consumer protection concerns rise to the forefront.","author":[{"dropping-particle":"","family":"Shashikala","given":"K","non-dropping-particle":"","parse-names":false,"suffix":""}],"container-title":"International Journal of Social and Economic Research","id":"ITEM-1","issue":"3","issued":{"date-parts":[["2019"]]},"page":"56","title":"Digital disruption in banking industry","type":"article-journal","volume":"9"},"uris":["http://www.mendeley.com/documents/?uuid=31e21fa7-8985-4274-b047-ed1819b26c00"]},{"id":"ITEM-2","itemData":{"DOI":"10.1111/jofi.12235","ISSN":"15406261","abstract":"The largest commercial bank stocks, ranked by total size of the balance sheet, have significantly lower risk-adjusted returns than small- and medium-sized bank stocks, even though large banks are significantly more levered. We uncover a size factor in the component of bank returns that is orthogonal to the standard risk factors, including small minus big, which has the right covariance with bank returns to explain the average risk-adjusted returns. This factor measures size-dependent exposure to bank-specific tail risk. These findings are consistent with government guarantees that protect shareholders of large banks, but not small banks, in disaster states.","author":[{"dropping-particle":"","family":"Gandhi","given":"Priyank","non-dropping-particle":"","parse-names":false,"suffix":""},{"dropping-particle":"","family":"Lustig","given":"Hanno","non-dropping-particle":"","parse-names":false,"suffix":""}],"container-title":"Journal of Finance","id":"ITEM-2","issue":"2","issued":{"date-parts":[["2015"]]},"page":"733-768","title":"Size Anomalies in U.S. Bank Stock Returns","type":"article-journal","volume":"70"},"uris":["http://www.mendeley.com/documents/?uuid=91c0b6ef-9c9c-46d7-b5b9-ddbfa17705fe"]}],"mendeley":{"formattedCitation":"(Gandhi &amp; Lustig, 2015; Shashikala, 2019)","plainTextFormattedCitation":"(Gandhi &amp; Lustig, 2015; Shashikala, 2019)","previouslyFormattedCitation":"(Gandhi &amp; Lustig, 2015; Shashikala, 2019)"},"properties":{"noteIndex":0},"schema":"https://github.com/citation-style-language/schema/raw/master/csl-citation.json"}</w:instrText>
      </w:r>
      <w:r w:rsidR="00656FFF">
        <w:rPr>
          <w:rFonts w:ascii="Times New Roman" w:hAnsi="Times New Roman" w:cs="Times New Roman"/>
        </w:rPr>
        <w:fldChar w:fldCharType="separate"/>
      </w:r>
      <w:r w:rsidR="00656FFF" w:rsidRPr="00656FFF">
        <w:rPr>
          <w:rFonts w:ascii="Times New Roman" w:hAnsi="Times New Roman" w:cs="Times New Roman"/>
          <w:noProof/>
        </w:rPr>
        <w:t>(Gandhi &amp; Lustig, 2015; Shashikala, 2019)</w:t>
      </w:r>
      <w:r w:rsidR="00656FFF">
        <w:rPr>
          <w:rFonts w:ascii="Times New Roman" w:hAnsi="Times New Roman" w:cs="Times New Roman"/>
        </w:rPr>
        <w:fldChar w:fldCharType="end"/>
      </w:r>
      <w:r w:rsidR="00C32559" w:rsidRPr="00C32559">
        <w:rPr>
          <w:rFonts w:ascii="Times New Roman" w:hAnsi="Times New Roman" w:cs="Times New Roman"/>
        </w:rPr>
        <w:t xml:space="preserve">. The goal of this study is to investigate methods that can strengthen community banks' resilience in light of these difficulties, guaranteeing their long-term viability and ongoing support of regional economies. </w:t>
      </w:r>
      <w:r w:rsidR="00DF6FD9">
        <w:rPr>
          <w:rFonts w:ascii="Times New Roman" w:hAnsi="Times New Roman" w:cs="Times New Roman"/>
        </w:rPr>
        <w:t xml:space="preserve"> </w:t>
      </w:r>
      <w:r w:rsidR="002C23A7" w:rsidRPr="002C23A7">
        <w:rPr>
          <w:rFonts w:ascii="Times New Roman" w:hAnsi="Times New Roman" w:cs="Times New Roman"/>
        </w:rPr>
        <w:t xml:space="preserve">Key resilience solutions, such as capital sufficiency measures, risk management frameworks, digital transformation initiatives, regulatory compliance adjustments, and strategic collaborations, are the focus of this research article. Through an analysis of extant literature and case studies, this research will offer valuable perspectives on how community banks might adjust to evolving financial environments while upholding their fundamental objective of assisting local communities. This study's importance stems from its capacity to educate financial regulators, banking executives, and policymakers on the measures required to protect and fortify community banks against changing technical and economic obstacles. Enhancing community </w:t>
      </w:r>
      <w:r w:rsidR="002C23A7" w:rsidRPr="002C23A7">
        <w:rPr>
          <w:rFonts w:ascii="Times New Roman" w:hAnsi="Times New Roman" w:cs="Times New Roman"/>
        </w:rPr>
        <w:lastRenderedPageBreak/>
        <w:t xml:space="preserve">banks helps not only their immediate stakeholders but also promotes sustained local growth, economic inclusion, and wider financial stability. </w:t>
      </w:r>
    </w:p>
    <w:p w14:paraId="09A94C49" w14:textId="10CE35BD" w:rsidR="007F7FD5" w:rsidRPr="007F7FD5" w:rsidRDefault="007F7FD5" w:rsidP="00BF2C8C">
      <w:pPr>
        <w:pStyle w:val="Heading1"/>
        <w:numPr>
          <w:ilvl w:val="0"/>
          <w:numId w:val="4"/>
        </w:numPr>
        <w:spacing w:line="480" w:lineRule="auto"/>
        <w:jc w:val="both"/>
        <w:rPr>
          <w:rFonts w:ascii="Times New Roman" w:hAnsi="Times New Roman" w:cs="Times New Roman"/>
          <w:b/>
          <w:bCs/>
          <w:color w:val="auto"/>
          <w:sz w:val="24"/>
          <w:szCs w:val="24"/>
        </w:rPr>
      </w:pPr>
      <w:r w:rsidRPr="007F7FD5">
        <w:rPr>
          <w:rFonts w:ascii="Times New Roman" w:hAnsi="Times New Roman" w:cs="Times New Roman"/>
          <w:b/>
          <w:bCs/>
          <w:color w:val="auto"/>
          <w:sz w:val="24"/>
          <w:szCs w:val="24"/>
        </w:rPr>
        <w:t>Community Banks' Role in Financial System and Consolidation</w:t>
      </w:r>
    </w:p>
    <w:p w14:paraId="4AD25DBE" w14:textId="7390E535" w:rsidR="00E4570E" w:rsidRDefault="001C3ADE" w:rsidP="00E4570E">
      <w:pPr>
        <w:spacing w:line="480" w:lineRule="auto"/>
        <w:jc w:val="both"/>
        <w:rPr>
          <w:rFonts w:ascii="Times New Roman" w:hAnsi="Times New Roman" w:cs="Times New Roman"/>
        </w:rPr>
      </w:pPr>
      <w:r w:rsidRPr="001C3ADE">
        <w:rPr>
          <w:rFonts w:ascii="Times New Roman" w:hAnsi="Times New Roman" w:cs="Times New Roman"/>
        </w:rPr>
        <w:t xml:space="preserve">According to </w:t>
      </w:r>
      <w:r w:rsidR="00475AE1">
        <w:rPr>
          <w:rFonts w:ascii="Times New Roman" w:hAnsi="Times New Roman" w:cs="Times New Roman"/>
        </w:rPr>
        <w:fldChar w:fldCharType="begin" w:fldLock="1"/>
      </w:r>
      <w:r w:rsidR="00CF3D2D">
        <w:rPr>
          <w:rFonts w:ascii="Times New Roman" w:hAnsi="Times New Roman" w:cs="Times New Roman"/>
        </w:rPr>
        <w:instrText>ADDIN CSL_CITATION {"citationItems":[{"id":"ITEM-1","itemData":{"DOI":"10.18651/er/v106n2hanauerlytlesummersziadeh","ISSN":"01612387","abstract":"In recent decades, both the number of community banks and their share of U.S. banking assets have steadily declined, raising questions about the future of community banking. In addition to competitive pressures from larger banking organizations, community banks face growing challenges from broader economic consolidation, changing demographics, and rapidly advancing financial technologies. Matt Hanauer, Brent Lytle, Chris Summers, and Stephanie Ziadeh explore the role of community banks in the U.S. economy, the challenges they face, and their outlook for the future. They find that despite their declining market share, community banks remain crucial financial services providers and are the predominant providers of banking services in rural communities across the country. In addition, they find that community banks are outsized providers of credit to agricultural and commercial borrowers, including during periods of economic stress. The authors argue that community banks will continue to play an important role in their local communities and the broader economy. [ABSTRACT FROM AUTHOR]","author":[{"dropping-particle":"","family":"Hanauer","given":"Matt","non-dropping-particle":"","parse-names":false,"suffix":""},{"dropping-particle":"","family":"Lytle","given":"Brent","non-dropping-particle":"","parse-names":false,"suffix":""},{"dropping-particle":"","family":"Summers","given":"Chris","non-dropping-particle":"","parse-names":false,"suffix":""},{"dropping-particle":"","family":"Ziadeh","given":"Stephanie","non-dropping-particle":"","parse-names":false,"suffix":""}],"container-title":"The Federal Reserve Bank of Kansas City Economic Review","id":"ITEM-1","issued":{"date-parts":[["2021"]]},"page":"37-81","title":"Community Banks' Ongoing Role in the U.S. Economy","type":"article-journal"},"uris":["http://www.mendeley.com/documents/?uuid=6a21fc18-e549-41de-9211-a719684edf1c"]}],"mendeley":{"formattedCitation":"(Hanauer et al., 2021)","manualFormatting":"Hanauer et al., (2021)","plainTextFormattedCitation":"(Hanauer et al., 2021)","previouslyFormattedCitation":"(Hanauer et al., 2021)"},"properties":{"noteIndex":0},"schema":"https://github.com/citation-style-language/schema/raw/master/csl-citation.json"}</w:instrText>
      </w:r>
      <w:r w:rsidR="00475AE1">
        <w:rPr>
          <w:rFonts w:ascii="Times New Roman" w:hAnsi="Times New Roman" w:cs="Times New Roman"/>
        </w:rPr>
        <w:fldChar w:fldCharType="separate"/>
      </w:r>
      <w:r w:rsidR="00475AE1" w:rsidRPr="00475AE1">
        <w:rPr>
          <w:rFonts w:ascii="Times New Roman" w:hAnsi="Times New Roman" w:cs="Times New Roman"/>
          <w:noProof/>
        </w:rPr>
        <w:t xml:space="preserve">Hanauer et al., </w:t>
      </w:r>
      <w:r w:rsidR="00475AE1">
        <w:rPr>
          <w:rFonts w:ascii="Times New Roman" w:hAnsi="Times New Roman" w:cs="Times New Roman"/>
          <w:noProof/>
        </w:rPr>
        <w:t>(</w:t>
      </w:r>
      <w:r w:rsidR="00475AE1" w:rsidRPr="00475AE1">
        <w:rPr>
          <w:rFonts w:ascii="Times New Roman" w:hAnsi="Times New Roman" w:cs="Times New Roman"/>
          <w:noProof/>
        </w:rPr>
        <w:t>2021)</w:t>
      </w:r>
      <w:r w:rsidR="00475AE1">
        <w:rPr>
          <w:rFonts w:ascii="Times New Roman" w:hAnsi="Times New Roman" w:cs="Times New Roman"/>
        </w:rPr>
        <w:fldChar w:fldCharType="end"/>
      </w:r>
      <w:r w:rsidRPr="001C3ADE">
        <w:rPr>
          <w:rFonts w:ascii="Times New Roman" w:hAnsi="Times New Roman" w:cs="Times New Roman"/>
        </w:rPr>
        <w:t xml:space="preserve">, community banks are often categorized based on the size of their assets; those with less than $10 billion are classified as such, while those with $10 billion or more are classified as noncommunity banks. Community banks, sometimes known as "Main Street banks," are comparatively small organizations that are primarily concerned with offering basic financial services to local communities, according to </w:t>
      </w:r>
      <w:r w:rsidR="00CF3D2D">
        <w:rPr>
          <w:rFonts w:ascii="Times New Roman" w:hAnsi="Times New Roman" w:cs="Times New Roman"/>
        </w:rPr>
        <w:fldChar w:fldCharType="begin" w:fldLock="1"/>
      </w:r>
      <w:r w:rsidR="00FF3319">
        <w:rPr>
          <w:rFonts w:ascii="Times New Roman" w:hAnsi="Times New Roman" w:cs="Times New Roman"/>
        </w:rPr>
        <w:instrText>ADDIN CSL_CITATION {"citationItems":[{"id":"ITEM-1","itemData":{"abstract":"This working paper focuses on the plight of community banks in the United States. It begins by examining different definitions of what constitutes a community bank, and goes on to review what makes these institutions unique and distinguishes them from larger regional or national peers. Our assessment of Federal Deposit Insurance Corporation data finds that community banks service a disproportionately large amount of key segments of the U.S. commercial bank lending market-specifically, agricultural, residential mortgage, and small business loans. However, community banks' share of U.S. banking assets and lending markets has fallen from over 40 percent in 1994 to around 20 percent today. Interestingly, we find that community banks emerged from the financial crisis with a market share 6 percent lower, but since the second quarter of 2010-around the time of the passage of the Dodd-Frank Act-their share of U.S. commercial banking assets has declined at a rate almost double that between the second quarters of 2006 and 2010. Particularly troubling is community banks' declining market share in several key lending markets, their decline in small business lending volume, and the disproportionate losses being realized by particularly small community banks. We review studies on the impact of regulation, consumer trends and other factors on community banks, and examine the consequences of consolidation on U.S. lending markets. We conclude with a discussion of policies that could promote a more competitive and robust banking sector. JEL Codes: G21, G28, K23 Acknowledgements We deeply thank Robert Glauber for the critical role he played in guiding and improving our research. We also gratefully acknowledge the support and helpful insights of","author":[{"dropping-particle":"","family":"Lux Robert Greene","given":"Marshall","non-dropping-particle":"","parse-names":false,"suffix":""},{"dropping-particle":"","family":"Lux","given":"Marshall","non-dropping-particle":"","parse-names":false,"suffix":""},{"dropping-particle":"","family":"Greene","given":"Robert","non-dropping-particle":"","parse-names":false,"suffix":""},{"dropping-particle":"","family":"Bair","given":"Sheila","non-dropping-particle":"","parse-names":false,"suffix":""},{"dropping-particle":"","family":"Fondiller","given":"Dave","non-dropping-particle":"","parse-names":false,"suffix":""},{"dropping-particle":"","family":"Getter","given":"Darryl","non-dropping-particle":"","parse-names":false,"suffix":""},{"dropping-particle":"","family":"Hadley","given":"Ryan","non-dropping-particle":"","parse-names":false,"suffix":""},{"dropping-particle":"","family":"Haigh","given":"John","non-dropping-particle":"","parse-names":false,"suffix":""},{"dropping-particle":"","family":"Harris-Gibson","given":"Caroline","non-dropping-particle":"","parse-names":false,"suffix":""},{"dropping-particle":"","family":"Jorde","given":"Terry","non-dropping-particle":"","parse-names":false,"suffix":""},{"dropping-particle":"","family":"Leland","given":"Scott","non-dropping-particle":"","parse-names":false,"suffix":""},{"dropping-particle":"","family":"Mills","given":"Karen","non-dropping-particle":"","parse-names":false,"suffix":""},{"dropping-particle":"","family":"Nash","given":"Jennifer","non-dropping-particle":"","parse-names":false,"suffix":""},{"dropping-particle":"","family":"Peirce","given":"Hester","non-dropping-particle":"","parse-names":false,"suffix":""},{"dropping-particle":"","family":"Perdue","given":"Pam","non-dropping-particle":"","parse-names":false,"suffix":""},{"dropping-particle":"","family":"Scott","given":"Hal","non-dropping-particle":"","parse-names":false,"suffix":""},{"dropping-particle":"","family":"Segel","given":"James","non-dropping-particle":"","parse-names":false,"suffix":""},{"dropping-particle":"","family":"Zeckhauser","given":"Richard","non-dropping-particle":"","parse-names":false,"suffix":""}],"id":"ITEM-1","issue":"37","issued":{"date-parts":[["2015"]]},"title":"M-RCBG Associate Working Paper Series | No. 37 The State and Fate of Community Banking The State and Fate of Community Banking","type":"article-journal"},"uris":["http://www.mendeley.com/documents/?uuid=b945909a-d6f5-4242-bfce-26caeb2806a9"]}],"mendeley":{"formattedCitation":"(Lux Robert Greene et al., 2015)","manualFormatting":"Lux Robert Greene et al., (2015)","plainTextFormattedCitation":"(Lux Robert Greene et al., 2015)","previouslyFormattedCitation":"(Lux Robert Greene et al., 2015)"},"properties":{"noteIndex":0},"schema":"https://github.com/citation-style-language/schema/raw/master/csl-citation.json"}</w:instrText>
      </w:r>
      <w:r w:rsidR="00CF3D2D">
        <w:rPr>
          <w:rFonts w:ascii="Times New Roman" w:hAnsi="Times New Roman" w:cs="Times New Roman"/>
        </w:rPr>
        <w:fldChar w:fldCharType="separate"/>
      </w:r>
      <w:r w:rsidR="00CF3D2D" w:rsidRPr="00CF3D2D">
        <w:rPr>
          <w:rFonts w:ascii="Times New Roman" w:hAnsi="Times New Roman" w:cs="Times New Roman"/>
          <w:noProof/>
        </w:rPr>
        <w:t xml:space="preserve">Lux Robert Greene et al., </w:t>
      </w:r>
      <w:r w:rsidR="00CF3D2D">
        <w:rPr>
          <w:rFonts w:ascii="Times New Roman" w:hAnsi="Times New Roman" w:cs="Times New Roman"/>
          <w:noProof/>
        </w:rPr>
        <w:t>(</w:t>
      </w:r>
      <w:r w:rsidR="00CF3D2D" w:rsidRPr="00CF3D2D">
        <w:rPr>
          <w:rFonts w:ascii="Times New Roman" w:hAnsi="Times New Roman" w:cs="Times New Roman"/>
          <w:noProof/>
        </w:rPr>
        <w:t>2015)</w:t>
      </w:r>
      <w:r w:rsidR="00CF3D2D">
        <w:rPr>
          <w:rFonts w:ascii="Times New Roman" w:hAnsi="Times New Roman" w:cs="Times New Roman"/>
        </w:rPr>
        <w:fldChar w:fldCharType="end"/>
      </w:r>
      <w:r w:rsidRPr="001C3ADE">
        <w:rPr>
          <w:rFonts w:ascii="Times New Roman" w:hAnsi="Times New Roman" w:cs="Times New Roman"/>
        </w:rPr>
        <w:t>. They differ greatly in their operations and architecture, nevertheless. Many community banks run branches or ATMs to broaden their reach, but some are stand-alone businesses. They might also be affiliated with other community banks or have locations in neighboring towns. Community banks were historically run and operated locally by boards that personally approved loans based on their familiarity with the company's clientele. However, external investors and board members, including financial and legal experts, are frequently included in contemporary community banks. As a reflection of their varied operations, community banks also have a wide range of assets.</w:t>
      </w:r>
      <w:r w:rsidR="00E4570E">
        <w:rPr>
          <w:rFonts w:ascii="Times New Roman" w:hAnsi="Times New Roman" w:cs="Times New Roman"/>
        </w:rPr>
        <w:t xml:space="preserve"> </w:t>
      </w:r>
      <w:r w:rsidR="00E4570E" w:rsidRPr="00E4570E">
        <w:rPr>
          <w:rFonts w:ascii="Times New Roman" w:hAnsi="Times New Roman" w:cs="Times New Roman"/>
        </w:rPr>
        <w:t>Over the past four decades, the U.S. banking sector has experienced significant transformation, particularly in the number of commercial and community banks. Between 1984 and 2020, the total number of commercial banks declined by nearly 70%, from 14,376 to 4,404, with the most substantial decrease occurring between 2000 and 2020. During this period, community banks also saw a sharp decline, decreasing from over 8,300 to 4,277 by June 2020. While community banks still make up 97% of all banking charters, their share of total banking assets, deposits, and loans has diminished considerably</w:t>
      </w:r>
      <w:r w:rsidR="004073F1">
        <w:rPr>
          <w:rFonts w:ascii="Times New Roman" w:hAnsi="Times New Roman" w:cs="Times New Roman"/>
        </w:rPr>
        <w:t xml:space="preserve"> as shown </w:t>
      </w:r>
      <w:r w:rsidR="00F133D0">
        <w:rPr>
          <w:rFonts w:ascii="Times New Roman" w:hAnsi="Times New Roman" w:cs="Times New Roman"/>
        </w:rPr>
        <w:t xml:space="preserve">in </w:t>
      </w:r>
      <w:r w:rsidR="004073F1">
        <w:rPr>
          <w:rFonts w:ascii="Times New Roman" w:hAnsi="Times New Roman" w:cs="Times New Roman"/>
        </w:rPr>
        <w:t>Table 1</w:t>
      </w:r>
      <w:r w:rsidR="00E4570E" w:rsidRPr="00E4570E">
        <w:rPr>
          <w:rFonts w:ascii="Times New Roman" w:hAnsi="Times New Roman" w:cs="Times New Roman"/>
        </w:rPr>
        <w:t>. Currently, they account for only 40% of bank branches, 14% of deposits, 18% of loans, and just over 13% of total banking assets.</w:t>
      </w:r>
    </w:p>
    <w:p w14:paraId="07861D6A" w14:textId="4577220E" w:rsidR="00FF3319" w:rsidRPr="00FF3319" w:rsidRDefault="00FF3319" w:rsidP="00FF3319">
      <w:pPr>
        <w:spacing w:line="240" w:lineRule="auto"/>
        <w:jc w:val="both"/>
        <w:rPr>
          <w:rFonts w:ascii="Times New Roman" w:hAnsi="Times New Roman" w:cs="Times New Roman"/>
          <w:b/>
          <w:bCs/>
        </w:rPr>
      </w:pPr>
      <w:r w:rsidRPr="00FF3319">
        <w:rPr>
          <w:rFonts w:ascii="Times New Roman" w:hAnsi="Times New Roman" w:cs="Times New Roman"/>
          <w:b/>
          <w:bCs/>
        </w:rPr>
        <w:lastRenderedPageBreak/>
        <w:t xml:space="preserve">Table 1: Community and Noncommunity Banks' Share of All Banking Activity in the United States </w:t>
      </w:r>
      <w:r w:rsidRPr="00FF3319">
        <w:rPr>
          <w:rFonts w:ascii="Times New Roman" w:hAnsi="Times New Roman" w:cs="Times New Roman"/>
          <w:b/>
          <w:bCs/>
        </w:rPr>
        <w:fldChar w:fldCharType="begin" w:fldLock="1"/>
      </w:r>
      <w:r w:rsidR="003C5C97">
        <w:rPr>
          <w:rFonts w:ascii="Times New Roman" w:hAnsi="Times New Roman" w:cs="Times New Roman"/>
          <w:b/>
          <w:bCs/>
        </w:rPr>
        <w:instrText>ADDIN CSL_CITATION {"citationItems":[{"id":"ITEM-1","itemData":{"DOI":"10.18651/er/v106n2hanauerlytlesummersziadeh","ISSN":"01612387","abstract":"In recent decades, both the number of community banks and their share of U.S. banking assets have steadily declined, raising questions about the future of community banking. In addition to competitive pressures from larger banking organizations, community banks face growing challenges from broader economic consolidation, changing demographics, and rapidly advancing financial technologies. Matt Hanauer, Brent Lytle, Chris Summers, and Stephanie Ziadeh explore the role of community banks in the U.S. economy, the challenges they face, and their outlook for the future. They find that despite their declining market share, community banks remain crucial financial services providers and are the predominant providers of banking services in rural communities across the country. In addition, they find that community banks are outsized providers of credit to agricultural and commercial borrowers, including during periods of economic stress. The authors argue that community banks will continue to play an important role in their local communities and the broader economy. [ABSTRACT FROM AUTHOR]","author":[{"dropping-particle":"","family":"Hanauer","given":"Matt","non-dropping-particle":"","parse-names":false,"suffix":""},{"dropping-particle":"","family":"Lytle","given":"Brent","non-dropping-particle":"","parse-names":false,"suffix":""},{"dropping-particle":"","family":"Summers","given":"Chris","non-dropping-particle":"","parse-names":false,"suffix":""},{"dropping-particle":"","family":"Ziadeh","given":"Stephanie","non-dropping-particle":"","parse-names":false,"suffix":""}],"container-title":"The Federal Reserve Bank of Kansas City Economic Review","id":"ITEM-1","issued":{"date-parts":[["2021"]]},"page":"37-81","title":"Community Banks' Ongoing Role in the U.S. Economy","type":"article-journal"},"uris":["http://www.mendeley.com/documents/?uuid=6a21fc18-e549-41de-9211-a719684edf1c"]}],"mendeley":{"formattedCitation":"(Hanauer et al., 2021)","plainTextFormattedCitation":"(Hanauer et al., 2021)","previouslyFormattedCitation":"(Hanauer et al., 2021)"},"properties":{"noteIndex":0},"schema":"https://github.com/citation-style-language/schema/raw/master/csl-citation.json"}</w:instrText>
      </w:r>
      <w:r w:rsidRPr="00FF3319">
        <w:rPr>
          <w:rFonts w:ascii="Times New Roman" w:hAnsi="Times New Roman" w:cs="Times New Roman"/>
          <w:b/>
          <w:bCs/>
        </w:rPr>
        <w:fldChar w:fldCharType="separate"/>
      </w:r>
      <w:r w:rsidRPr="00FF3319">
        <w:rPr>
          <w:rFonts w:ascii="Times New Roman" w:hAnsi="Times New Roman" w:cs="Times New Roman"/>
          <w:b/>
          <w:bCs/>
          <w:noProof/>
        </w:rPr>
        <w:t>(Hanauer et al., 2021)</w:t>
      </w:r>
      <w:r w:rsidRPr="00FF3319">
        <w:rPr>
          <w:rFonts w:ascii="Times New Roman" w:hAnsi="Times New Roman" w:cs="Times New Roman"/>
          <w:b/>
          <w:bCs/>
        </w:rPr>
        <w:fldChar w:fldCharType="end"/>
      </w:r>
    </w:p>
    <w:p w14:paraId="167399FE" w14:textId="26884522" w:rsidR="004073F1" w:rsidRPr="00E4570E" w:rsidRDefault="00E22DFA" w:rsidP="00E4570E">
      <w:pPr>
        <w:spacing w:line="480" w:lineRule="auto"/>
        <w:jc w:val="both"/>
        <w:rPr>
          <w:rFonts w:ascii="Times New Roman" w:hAnsi="Times New Roman" w:cs="Times New Roman"/>
        </w:rPr>
      </w:pPr>
      <w:r w:rsidRPr="000574E0">
        <w:rPr>
          <w:noProof/>
        </w:rPr>
        <w:drawing>
          <wp:inline distT="0" distB="0" distL="0" distR="0" wp14:anchorId="54D0F63A" wp14:editId="7F84E5AC">
            <wp:extent cx="5943600" cy="4871720"/>
            <wp:effectExtent l="0" t="0" r="0" b="5080"/>
            <wp:docPr id="1262972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972661" name=""/>
                    <pic:cNvPicPr/>
                  </pic:nvPicPr>
                  <pic:blipFill>
                    <a:blip r:embed="rId8"/>
                    <a:stretch>
                      <a:fillRect/>
                    </a:stretch>
                  </pic:blipFill>
                  <pic:spPr>
                    <a:xfrm>
                      <a:off x="0" y="0"/>
                      <a:ext cx="5943600" cy="4871720"/>
                    </a:xfrm>
                    <a:prstGeom prst="rect">
                      <a:avLst/>
                    </a:prstGeom>
                  </pic:spPr>
                </pic:pic>
              </a:graphicData>
            </a:graphic>
          </wp:inline>
        </w:drawing>
      </w:r>
    </w:p>
    <w:p w14:paraId="0AEBF90A" w14:textId="4111B985" w:rsidR="00E4570E" w:rsidRDefault="00E4570E" w:rsidP="00E4570E">
      <w:pPr>
        <w:spacing w:line="480" w:lineRule="auto"/>
        <w:jc w:val="both"/>
        <w:rPr>
          <w:rFonts w:ascii="Times New Roman" w:hAnsi="Times New Roman" w:cs="Times New Roman"/>
        </w:rPr>
      </w:pPr>
      <w:r w:rsidRPr="00E4570E">
        <w:rPr>
          <w:rFonts w:ascii="Times New Roman" w:hAnsi="Times New Roman" w:cs="Times New Roman"/>
        </w:rPr>
        <w:t>This decline has been driven by increased consolidation in the banking sector</w:t>
      </w:r>
      <w:r w:rsidR="000C0E7B">
        <w:rPr>
          <w:rFonts w:ascii="Times New Roman" w:hAnsi="Times New Roman" w:cs="Times New Roman"/>
        </w:rPr>
        <w:t xml:space="preserve"> as shown in Table 2</w:t>
      </w:r>
      <w:r w:rsidRPr="00E4570E">
        <w:rPr>
          <w:rFonts w:ascii="Times New Roman" w:hAnsi="Times New Roman" w:cs="Times New Roman"/>
        </w:rPr>
        <w:t>, leading to a concentration of financial assets among larger institutions. While in 2000, nearly half of all community banks had assets below $100 million, that number has now dropped to 21%. Meanwhile, those with assets between $1 billion and $5 billion—though making up just 12% of community banks—account for 35% of branches and 40% of assets. Despite these shifts, community banks continue to play an essential role in providing financial services to individuals, small businesses, and rural communities that lack access to larger commercial banks.</w:t>
      </w:r>
      <w:r w:rsidR="00F37901">
        <w:rPr>
          <w:rFonts w:ascii="Times New Roman" w:hAnsi="Times New Roman" w:cs="Times New Roman"/>
        </w:rPr>
        <w:t xml:space="preserve"> </w:t>
      </w:r>
      <w:r w:rsidRPr="00E4570E">
        <w:rPr>
          <w:rFonts w:ascii="Times New Roman" w:hAnsi="Times New Roman" w:cs="Times New Roman"/>
        </w:rPr>
        <w:t xml:space="preserve">Community </w:t>
      </w:r>
      <w:r w:rsidRPr="00E4570E">
        <w:rPr>
          <w:rFonts w:ascii="Times New Roman" w:hAnsi="Times New Roman" w:cs="Times New Roman"/>
        </w:rPr>
        <w:lastRenderedPageBreak/>
        <w:t>banks differ from their larger counterparts through their emphasis on relationship-based banking, which allows them to offer personalized financial solutions tailored to the needs of local economies. They are instrumental in supporting small and medium-sized enterprises (SMEs), agriculture, and first-time homebuyers by providing flexible and customized lending. Unlike large banks, which often rely on automated credit assessments, community banks develop in-depth knowledge of their customers, enabling them to lend to those who may not meet the rigid criteria of bigger institutions. This direct lending approach fosters economic development and stability, particularly in underserved regions.</w:t>
      </w:r>
    </w:p>
    <w:p w14:paraId="0B168137" w14:textId="7E07C41F" w:rsidR="003C5C97" w:rsidRPr="003C5C97" w:rsidRDefault="003C5C97" w:rsidP="002C71DA">
      <w:pPr>
        <w:spacing w:after="0" w:line="480" w:lineRule="auto"/>
        <w:jc w:val="both"/>
        <w:rPr>
          <w:rFonts w:ascii="Times New Roman" w:hAnsi="Times New Roman" w:cs="Times New Roman"/>
          <w:b/>
          <w:bCs/>
        </w:rPr>
      </w:pPr>
      <w:r w:rsidRPr="003C5C97">
        <w:rPr>
          <w:rFonts w:ascii="Times New Roman" w:hAnsi="Times New Roman" w:cs="Times New Roman"/>
          <w:b/>
          <w:bCs/>
        </w:rPr>
        <w:t xml:space="preserve">Table 2: Community Bank Distribution by Organization Size </w:t>
      </w:r>
      <w:r w:rsidRPr="003C5C97">
        <w:rPr>
          <w:rFonts w:ascii="Times New Roman" w:hAnsi="Times New Roman" w:cs="Times New Roman"/>
          <w:b/>
          <w:bCs/>
        </w:rPr>
        <w:fldChar w:fldCharType="begin" w:fldLock="1"/>
      </w:r>
      <w:r w:rsidR="00C1739D">
        <w:rPr>
          <w:rFonts w:ascii="Times New Roman" w:hAnsi="Times New Roman" w:cs="Times New Roman"/>
          <w:b/>
          <w:bCs/>
        </w:rPr>
        <w:instrText>ADDIN CSL_CITATION {"citationItems":[{"id":"ITEM-1","itemData":{"DOI":"10.18651/er/v106n2hanauerlytlesummersziadeh","ISSN":"01612387","abstract":"In recent decades, both the number of community banks and their share of U.S. banking assets have steadily declined, raising questions about the future of community banking. In addition to competitive pressures from larger banking organizations, community banks face growing challenges from broader economic consolidation, changing demographics, and rapidly advancing financial technologies. Matt Hanauer, Brent Lytle, Chris Summers, and Stephanie Ziadeh explore the role of community banks in the U.S. economy, the challenges they face, and their outlook for the future. They find that despite their declining market share, community banks remain crucial financial services providers and are the predominant providers of banking services in rural communities across the country. In addition, they find that community banks are outsized providers of credit to agricultural and commercial borrowers, including during periods of economic stress. The authors argue that community banks will continue to play an important role in their local communities and the broader economy. [ABSTRACT FROM AUTHOR]","author":[{"dropping-particle":"","family":"Hanauer","given":"Matt","non-dropping-particle":"","parse-names":false,"suffix":""},{"dropping-particle":"","family":"Lytle","given":"Brent","non-dropping-particle":"","parse-names":false,"suffix":""},{"dropping-particle":"","family":"Summers","given":"Chris","non-dropping-particle":"","parse-names":false,"suffix":""},{"dropping-particle":"","family":"Ziadeh","given":"Stephanie","non-dropping-particle":"","parse-names":false,"suffix":""}],"container-title":"The Federal Reserve Bank of Kansas City Economic Review","id":"ITEM-1","issued":{"date-parts":[["2021"]]},"page":"37-81","title":"Community Banks' Ongoing Role in the U.S. Economy","type":"article-journal"},"uris":["http://www.mendeley.com/documents/?uuid=6a21fc18-e549-41de-9211-a719684edf1c"]}],"mendeley":{"formattedCitation":"(Hanauer et al., 2021)","plainTextFormattedCitation":"(Hanauer et al., 2021)","previouslyFormattedCitation":"(Hanauer et al., 2021)"},"properties":{"noteIndex":0},"schema":"https://github.com/citation-style-language/schema/raw/master/csl-citation.json"}</w:instrText>
      </w:r>
      <w:r w:rsidRPr="003C5C97">
        <w:rPr>
          <w:rFonts w:ascii="Times New Roman" w:hAnsi="Times New Roman" w:cs="Times New Roman"/>
          <w:b/>
          <w:bCs/>
        </w:rPr>
        <w:fldChar w:fldCharType="separate"/>
      </w:r>
      <w:r w:rsidRPr="003C5C97">
        <w:rPr>
          <w:rFonts w:ascii="Times New Roman" w:hAnsi="Times New Roman" w:cs="Times New Roman"/>
          <w:b/>
          <w:bCs/>
          <w:noProof/>
        </w:rPr>
        <w:t>(Hanauer et al., 2021)</w:t>
      </w:r>
      <w:r w:rsidRPr="003C5C97">
        <w:rPr>
          <w:rFonts w:ascii="Times New Roman" w:hAnsi="Times New Roman" w:cs="Times New Roman"/>
          <w:b/>
          <w:bCs/>
        </w:rPr>
        <w:fldChar w:fldCharType="end"/>
      </w:r>
    </w:p>
    <w:p w14:paraId="5D6B96FC" w14:textId="038C1BC4" w:rsidR="003C5C97" w:rsidRPr="00E4570E" w:rsidRDefault="003C5C97" w:rsidP="00E4570E">
      <w:pPr>
        <w:spacing w:line="480" w:lineRule="auto"/>
        <w:jc w:val="both"/>
        <w:rPr>
          <w:rFonts w:ascii="Times New Roman" w:hAnsi="Times New Roman" w:cs="Times New Roman"/>
        </w:rPr>
      </w:pPr>
      <w:r w:rsidRPr="00A93193">
        <w:rPr>
          <w:noProof/>
        </w:rPr>
        <w:drawing>
          <wp:inline distT="0" distB="0" distL="0" distR="0" wp14:anchorId="3111D5FE" wp14:editId="6CEB95AF">
            <wp:extent cx="5943600" cy="4544060"/>
            <wp:effectExtent l="0" t="0" r="0" b="8890"/>
            <wp:docPr id="1368490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490137" name=""/>
                    <pic:cNvPicPr/>
                  </pic:nvPicPr>
                  <pic:blipFill>
                    <a:blip r:embed="rId9"/>
                    <a:stretch>
                      <a:fillRect/>
                    </a:stretch>
                  </pic:blipFill>
                  <pic:spPr>
                    <a:xfrm>
                      <a:off x="0" y="0"/>
                      <a:ext cx="5943600" cy="4544060"/>
                    </a:xfrm>
                    <a:prstGeom prst="rect">
                      <a:avLst/>
                    </a:prstGeom>
                  </pic:spPr>
                </pic:pic>
              </a:graphicData>
            </a:graphic>
          </wp:inline>
        </w:drawing>
      </w:r>
    </w:p>
    <w:p w14:paraId="7230D773" w14:textId="4E3B2068" w:rsidR="00E4570E" w:rsidRDefault="00E4570E" w:rsidP="00E4570E">
      <w:pPr>
        <w:spacing w:line="480" w:lineRule="auto"/>
        <w:jc w:val="both"/>
        <w:rPr>
          <w:rFonts w:ascii="Times New Roman" w:hAnsi="Times New Roman" w:cs="Times New Roman"/>
        </w:rPr>
      </w:pPr>
      <w:r w:rsidRPr="00E4570E">
        <w:rPr>
          <w:rFonts w:ascii="Times New Roman" w:hAnsi="Times New Roman" w:cs="Times New Roman"/>
        </w:rPr>
        <w:lastRenderedPageBreak/>
        <w:t>In addition to financial inclusion, community banks serve as economic stabilizers during financial crises. During the 2008 financial crisis, many large banks reduced lending due to capital constraints and regulatory pressures, whereas community banks continued to provide credit, helping sustain local economies. This resilience underscores their importance in maintaining financial stability, particularly during periods of economic uncertainty.</w:t>
      </w:r>
      <w:r w:rsidR="008A4316">
        <w:rPr>
          <w:rFonts w:ascii="Times New Roman" w:hAnsi="Times New Roman" w:cs="Times New Roman"/>
        </w:rPr>
        <w:t xml:space="preserve"> </w:t>
      </w:r>
      <w:r w:rsidRPr="00E4570E">
        <w:rPr>
          <w:rFonts w:ascii="Times New Roman" w:hAnsi="Times New Roman" w:cs="Times New Roman"/>
        </w:rPr>
        <w:t>However, community banks face mounting challenges that threaten their long-term viability. Regulatory burdens, technological advancements, and competition from large financial institutions and fintech firms have contributed to an ongoing trend of consolidation. The Dodd-Frank Act of 2010 introduced stricter compliance requirements, disproportionately impacting smaller banks with fewer resources. As a result, many community banks have merged or been acquired by larger institutions to reduce costs and improve efficiency. Between 2000 and 2020, community banks in the U.S. declined by nearly 50% due to mergers, acquisitions, and closures.</w:t>
      </w:r>
      <w:r w:rsidR="00D52C77">
        <w:rPr>
          <w:rFonts w:ascii="Times New Roman" w:hAnsi="Times New Roman" w:cs="Times New Roman"/>
        </w:rPr>
        <w:t xml:space="preserve"> </w:t>
      </w:r>
      <w:r w:rsidRPr="00E4570E">
        <w:rPr>
          <w:rFonts w:ascii="Times New Roman" w:hAnsi="Times New Roman" w:cs="Times New Roman"/>
        </w:rPr>
        <w:t>While consolidation can lead to operational efficiency and better access to technology, it also raises concerns about reduced competition and decreased access to banking services in rural and underserved areas. The decline of locally owned banks has led to credit shortages for small businesses and farmers, as larger institutions may not prioritize relationship-based lending. Additionally, consolidation often results in job losses, branch closures, and reduced community engagement, which can negatively impact local economies.</w:t>
      </w:r>
    </w:p>
    <w:p w14:paraId="528E2CE5" w14:textId="213DC0CF" w:rsidR="00BF2C8C" w:rsidRPr="008D55C8" w:rsidRDefault="00085380" w:rsidP="008D55C8">
      <w:pPr>
        <w:pStyle w:val="Heading1"/>
        <w:spacing w:line="48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2.1 </w:t>
      </w:r>
      <w:r w:rsidR="00BF2C8C" w:rsidRPr="008D55C8">
        <w:rPr>
          <w:rFonts w:ascii="Times New Roman" w:hAnsi="Times New Roman" w:cs="Times New Roman"/>
          <w:b/>
          <w:bCs/>
          <w:color w:val="auto"/>
          <w:sz w:val="24"/>
          <w:szCs w:val="24"/>
        </w:rPr>
        <w:t>Importance</w:t>
      </w:r>
      <w:r w:rsidR="00AB6A41" w:rsidRPr="008D55C8">
        <w:rPr>
          <w:rFonts w:ascii="Times New Roman" w:hAnsi="Times New Roman" w:cs="Times New Roman"/>
          <w:b/>
          <w:bCs/>
          <w:color w:val="auto"/>
          <w:sz w:val="24"/>
          <w:szCs w:val="24"/>
        </w:rPr>
        <w:t xml:space="preserve"> </w:t>
      </w:r>
      <w:r w:rsidR="00BF2C8C" w:rsidRPr="008D55C8">
        <w:rPr>
          <w:rFonts w:ascii="Times New Roman" w:hAnsi="Times New Roman" w:cs="Times New Roman"/>
          <w:b/>
          <w:bCs/>
          <w:color w:val="auto"/>
          <w:sz w:val="24"/>
          <w:szCs w:val="24"/>
        </w:rPr>
        <w:t>and Key Risk Factors Affecting Community Bank Resilience</w:t>
      </w:r>
    </w:p>
    <w:p w14:paraId="0D382288" w14:textId="1F714453" w:rsidR="00AB32C3" w:rsidRDefault="00C1739D" w:rsidP="00A77ECF">
      <w:pPr>
        <w:spacing w:line="480" w:lineRule="auto"/>
        <w:jc w:val="both"/>
        <w:rPr>
          <w:rFonts w:ascii="Times New Roman" w:hAnsi="Times New Roman" w:cs="Times New Roman"/>
        </w:rPr>
      </w:pPr>
      <w:r w:rsidRPr="00C1739D">
        <w:rPr>
          <w:rFonts w:ascii="Times New Roman" w:hAnsi="Times New Roman" w:cs="Times New Roman"/>
        </w:rPr>
        <w:t>Local economies are supported by community banks, but they are subject to risks such as credit, liquidity, cybersecurity, regulatory changes, market volatility, and economic downturns.</w:t>
      </w:r>
      <w:r>
        <w:rPr>
          <w:rFonts w:ascii="Times New Roman" w:hAnsi="Times New Roman" w:cs="Times New Roman"/>
        </w:rPr>
        <w:t xml:space="preserve"> </w:t>
      </w:r>
      <w:r w:rsidR="00A77ECF" w:rsidRPr="00A77ECF">
        <w:rPr>
          <w:rFonts w:ascii="Times New Roman" w:hAnsi="Times New Roman" w:cs="Times New Roman"/>
        </w:rPr>
        <w:t>Community banks play a crucial role in supporting local economies by providing essential financial services, fostering small business growth, and maintaining financial inclusion in underserved areas</w:t>
      </w:r>
      <w:r>
        <w:rPr>
          <w:rFonts w:ascii="Times New Roman" w:hAnsi="Times New Roman" w:cs="Times New Roman"/>
        </w:rPr>
        <w:t xml:space="preserve"> </w:t>
      </w:r>
      <w:r>
        <w:rPr>
          <w:rFonts w:ascii="Times New Roman" w:hAnsi="Times New Roman" w:cs="Times New Roman"/>
        </w:rPr>
        <w:fldChar w:fldCharType="begin" w:fldLock="1"/>
      </w:r>
      <w:r w:rsidR="000C6E06">
        <w:rPr>
          <w:rFonts w:ascii="Times New Roman" w:hAnsi="Times New Roman" w:cs="Times New Roman"/>
        </w:rPr>
        <w:instrText>ADDIN CSL_CITATION {"citationItems":[{"id":"ITEM-1","itemData":{"DOI":"10.18651/er/v106n2hanauerlytlesummersziadeh","ISSN":"01612387","abstract":"In recent decades, both the number of community banks and their share of U.S. banking assets have steadily declined, raising questions about the future of community banking. In addition to competitive pressures from larger banking organizations, community banks face growing challenges from broader economic consolidation, changing demographics, and rapidly advancing financial technologies. Matt Hanauer, Brent Lytle, Chris Summers, and Stephanie Ziadeh explore the role of community banks in the U.S. economy, the challenges they face, and their outlook for the future. They find that despite their declining market share, community banks remain crucial financial services providers and are the predominant providers of banking services in rural communities across the country. In addition, they find that community banks are outsized providers of credit to agricultural and commercial borrowers, including during periods of economic stress. The authors argue that community banks will continue to play an important role in their local communities and the broader economy. [ABSTRACT FROM AUTHOR]","author":[{"dropping-particle":"","family":"Hanauer","given":"Matt","non-dropping-particle":"","parse-names":false,"suffix":""},{"dropping-particle":"","family":"Lytle","given":"Brent","non-dropping-particle":"","parse-names":false,"suffix":""},{"dropping-particle":"","family":"Summers","given":"Chris","non-dropping-particle":"","parse-names":false,"suffix":""},{"dropping-particle":"","family":"Ziadeh","given":"Stephanie","non-dropping-particle":"","parse-names":false,"suffix":""}],"container-title":"The Federal Reserve Bank of Kansas City Economic Review","id":"ITEM-1","issued":{"date-parts":[["2021"]]},"page":"37-81","title":"Community Banks' Ongoing Role in the U.S. Economy","type":"article-journal"},"uris":["http://www.mendeley.com/documents/?uuid=6a21fc18-e549-41de-9211-a719684edf1c"]}],"mendeley":{"formattedCitation":"(Hanauer et al., 2021)","plainTextFormattedCitation":"(Hanauer et al., 2021)","previouslyFormattedCitation":"(Hanauer et al., 2021)"},"properties":{"noteIndex":0},"schema":"https://github.com/citation-style-language/schema/raw/master/csl-citation.json"}</w:instrText>
      </w:r>
      <w:r>
        <w:rPr>
          <w:rFonts w:ascii="Times New Roman" w:hAnsi="Times New Roman" w:cs="Times New Roman"/>
        </w:rPr>
        <w:fldChar w:fldCharType="separate"/>
      </w:r>
      <w:r w:rsidRPr="00C1739D">
        <w:rPr>
          <w:rFonts w:ascii="Times New Roman" w:hAnsi="Times New Roman" w:cs="Times New Roman"/>
          <w:noProof/>
        </w:rPr>
        <w:t>(Hanauer et al., 2021)</w:t>
      </w:r>
      <w:r>
        <w:rPr>
          <w:rFonts w:ascii="Times New Roman" w:hAnsi="Times New Roman" w:cs="Times New Roman"/>
        </w:rPr>
        <w:fldChar w:fldCharType="end"/>
      </w:r>
      <w:r w:rsidR="00A77ECF" w:rsidRPr="00A77ECF">
        <w:rPr>
          <w:rFonts w:ascii="Times New Roman" w:hAnsi="Times New Roman" w:cs="Times New Roman"/>
        </w:rPr>
        <w:t xml:space="preserve">. </w:t>
      </w:r>
      <w:r w:rsidR="00313130" w:rsidRPr="00313130">
        <w:rPr>
          <w:rFonts w:ascii="Times New Roman" w:hAnsi="Times New Roman" w:cs="Times New Roman"/>
        </w:rPr>
        <w:t xml:space="preserve">Rural towns in the United States have historically relied </w:t>
      </w:r>
      <w:r w:rsidR="00313130" w:rsidRPr="00313130">
        <w:rPr>
          <w:rFonts w:ascii="Times New Roman" w:hAnsi="Times New Roman" w:cs="Times New Roman"/>
        </w:rPr>
        <w:lastRenderedPageBreak/>
        <w:t xml:space="preserve">mostly on community banks for financial services, and this is still the case today. According to Table 3, as of June 30, 2020, community bank branches owned nearly two-thirds of rural deposits and accounted for over 71% of all bank branches in rural areas. </w:t>
      </w:r>
    </w:p>
    <w:p w14:paraId="00CB6EF3" w14:textId="639BF935" w:rsidR="00AB32C3" w:rsidRPr="000C6E06" w:rsidRDefault="00AB32C3" w:rsidP="000C6E06">
      <w:pPr>
        <w:spacing w:line="240" w:lineRule="auto"/>
        <w:jc w:val="both"/>
        <w:rPr>
          <w:rFonts w:ascii="Times New Roman" w:hAnsi="Times New Roman" w:cs="Times New Roman"/>
          <w:b/>
          <w:bCs/>
        </w:rPr>
      </w:pPr>
      <w:r w:rsidRPr="000C6E06">
        <w:rPr>
          <w:rFonts w:ascii="Times New Roman" w:hAnsi="Times New Roman" w:cs="Times New Roman"/>
          <w:b/>
          <w:bCs/>
        </w:rPr>
        <w:t xml:space="preserve">Table 3: </w:t>
      </w:r>
      <w:r w:rsidR="000C6E06" w:rsidRPr="000C6E06">
        <w:rPr>
          <w:rFonts w:ascii="Times New Roman" w:hAnsi="Times New Roman" w:cs="Times New Roman"/>
          <w:b/>
          <w:bCs/>
        </w:rPr>
        <w:t xml:space="preserve">Distribution and Financial Significance of Community Banks in Rural and Urban Communities </w:t>
      </w:r>
      <w:r w:rsidR="000C6E06" w:rsidRPr="000C6E06">
        <w:rPr>
          <w:rFonts w:ascii="Times New Roman" w:hAnsi="Times New Roman" w:cs="Times New Roman"/>
          <w:b/>
          <w:bCs/>
        </w:rPr>
        <w:fldChar w:fldCharType="begin" w:fldLock="1"/>
      </w:r>
      <w:r w:rsidR="00C57948">
        <w:rPr>
          <w:rFonts w:ascii="Times New Roman" w:hAnsi="Times New Roman" w:cs="Times New Roman"/>
          <w:b/>
          <w:bCs/>
        </w:rPr>
        <w:instrText>ADDIN CSL_CITATION {"citationItems":[{"id":"ITEM-1","itemData":{"DOI":"10.18651/er/v106n2hanauerlytlesummersziadeh","ISSN":"01612387","abstract":"In recent decades, both the number of community banks and their share of U.S. banking assets have steadily declined, raising questions about the future of community banking. In addition to competitive pressures from larger banking organizations, community banks face growing challenges from broader economic consolidation, changing demographics, and rapidly advancing financial technologies. Matt Hanauer, Brent Lytle, Chris Summers, and Stephanie Ziadeh explore the role of community banks in the U.S. economy, the challenges they face, and their outlook for the future. They find that despite their declining market share, community banks remain crucial financial services providers and are the predominant providers of banking services in rural communities across the country. In addition, they find that community banks are outsized providers of credit to agricultural and commercial borrowers, including during periods of economic stress. The authors argue that community banks will continue to play an important role in their local communities and the broader economy. [ABSTRACT FROM AUTHOR]","author":[{"dropping-particle":"","family":"Hanauer","given":"Matt","non-dropping-particle":"","parse-names":false,"suffix":""},{"dropping-particle":"","family":"Lytle","given":"Brent","non-dropping-particle":"","parse-names":false,"suffix":""},{"dropping-particle":"","family":"Summers","given":"Chris","non-dropping-particle":"","parse-names":false,"suffix":""},{"dropping-particle":"","family":"Ziadeh","given":"Stephanie","non-dropping-particle":"","parse-names":false,"suffix":""}],"container-title":"The Federal Reserve Bank of Kansas City Economic Review","id":"ITEM-1","issued":{"date-parts":[["2021"]]},"page":"37-81","title":"Community Banks' Ongoing Role in the U.S. Economy","type":"article-journal"},"uris":["http://www.mendeley.com/documents/?uuid=6a21fc18-e549-41de-9211-a719684edf1c"]}],"mendeley":{"formattedCitation":"(Hanauer et al., 2021)","plainTextFormattedCitation":"(Hanauer et al., 2021)","previouslyFormattedCitation":"(Hanauer et al., 2021)"},"properties":{"noteIndex":0},"schema":"https://github.com/citation-style-language/schema/raw/master/csl-citation.json"}</w:instrText>
      </w:r>
      <w:r w:rsidR="000C6E06" w:rsidRPr="000C6E06">
        <w:rPr>
          <w:rFonts w:ascii="Times New Roman" w:hAnsi="Times New Roman" w:cs="Times New Roman"/>
          <w:b/>
          <w:bCs/>
        </w:rPr>
        <w:fldChar w:fldCharType="separate"/>
      </w:r>
      <w:r w:rsidR="000C6E06" w:rsidRPr="000C6E06">
        <w:rPr>
          <w:rFonts w:ascii="Times New Roman" w:hAnsi="Times New Roman" w:cs="Times New Roman"/>
          <w:b/>
          <w:bCs/>
          <w:noProof/>
        </w:rPr>
        <w:t>(Hanauer et al., 2021)</w:t>
      </w:r>
      <w:r w:rsidR="000C6E06" w:rsidRPr="000C6E06">
        <w:rPr>
          <w:rFonts w:ascii="Times New Roman" w:hAnsi="Times New Roman" w:cs="Times New Roman"/>
          <w:b/>
          <w:bCs/>
        </w:rPr>
        <w:fldChar w:fldCharType="end"/>
      </w:r>
    </w:p>
    <w:tbl>
      <w:tblPr>
        <w:tblStyle w:val="TableGrid"/>
        <w:tblW w:w="0" w:type="auto"/>
        <w:tblLook w:val="04A0" w:firstRow="1" w:lastRow="0" w:firstColumn="1" w:lastColumn="0" w:noHBand="0" w:noVBand="1"/>
      </w:tblPr>
      <w:tblGrid>
        <w:gridCol w:w="1016"/>
        <w:gridCol w:w="2019"/>
        <w:gridCol w:w="2248"/>
        <w:gridCol w:w="2025"/>
        <w:gridCol w:w="2042"/>
      </w:tblGrid>
      <w:tr w:rsidR="00AB32C3" w:rsidRPr="00AB32C3" w14:paraId="36728195" w14:textId="77777777" w:rsidTr="00AB32C3">
        <w:tc>
          <w:tcPr>
            <w:tcW w:w="0" w:type="auto"/>
            <w:hideMark/>
          </w:tcPr>
          <w:p w14:paraId="19ECDF11" w14:textId="77777777" w:rsidR="00AB32C3" w:rsidRPr="00AB32C3" w:rsidRDefault="00AB32C3" w:rsidP="00AB32C3">
            <w:pPr>
              <w:spacing w:after="160" w:line="480" w:lineRule="auto"/>
              <w:jc w:val="both"/>
              <w:rPr>
                <w:rFonts w:ascii="Times New Roman" w:hAnsi="Times New Roman" w:cs="Times New Roman"/>
                <w:b/>
                <w:bCs/>
              </w:rPr>
            </w:pPr>
            <w:r w:rsidRPr="00AB32C3">
              <w:rPr>
                <w:rFonts w:ascii="Times New Roman" w:hAnsi="Times New Roman" w:cs="Times New Roman"/>
                <w:b/>
                <w:bCs/>
              </w:rPr>
              <w:t>Community Type</w:t>
            </w:r>
          </w:p>
        </w:tc>
        <w:tc>
          <w:tcPr>
            <w:tcW w:w="0" w:type="auto"/>
            <w:hideMark/>
          </w:tcPr>
          <w:p w14:paraId="2F365982" w14:textId="77777777" w:rsidR="00AB32C3" w:rsidRPr="00AB32C3" w:rsidRDefault="00AB32C3" w:rsidP="00AB32C3">
            <w:pPr>
              <w:spacing w:after="160" w:line="480" w:lineRule="auto"/>
              <w:jc w:val="both"/>
              <w:rPr>
                <w:rFonts w:ascii="Times New Roman" w:hAnsi="Times New Roman" w:cs="Times New Roman"/>
                <w:b/>
                <w:bCs/>
              </w:rPr>
            </w:pPr>
            <w:r w:rsidRPr="00AB32C3">
              <w:rPr>
                <w:rFonts w:ascii="Times New Roman" w:hAnsi="Times New Roman" w:cs="Times New Roman"/>
                <w:b/>
                <w:bCs/>
              </w:rPr>
              <w:t>Number of Community Bank Branches</w:t>
            </w:r>
          </w:p>
        </w:tc>
        <w:tc>
          <w:tcPr>
            <w:tcW w:w="0" w:type="auto"/>
            <w:hideMark/>
          </w:tcPr>
          <w:p w14:paraId="53148AE5" w14:textId="77777777" w:rsidR="00AB32C3" w:rsidRPr="00AB32C3" w:rsidRDefault="00AB32C3" w:rsidP="00AB32C3">
            <w:pPr>
              <w:spacing w:after="160" w:line="480" w:lineRule="auto"/>
              <w:jc w:val="both"/>
              <w:rPr>
                <w:rFonts w:ascii="Times New Roman" w:hAnsi="Times New Roman" w:cs="Times New Roman"/>
                <w:b/>
                <w:bCs/>
              </w:rPr>
            </w:pPr>
            <w:r w:rsidRPr="00AB32C3">
              <w:rPr>
                <w:rFonts w:ascii="Times New Roman" w:hAnsi="Times New Roman" w:cs="Times New Roman"/>
                <w:b/>
                <w:bCs/>
              </w:rPr>
              <w:t>Percent of All Branches in Community Type</w:t>
            </w:r>
          </w:p>
        </w:tc>
        <w:tc>
          <w:tcPr>
            <w:tcW w:w="0" w:type="auto"/>
            <w:hideMark/>
          </w:tcPr>
          <w:p w14:paraId="562155A5" w14:textId="77777777" w:rsidR="00AB32C3" w:rsidRPr="00AB32C3" w:rsidRDefault="00AB32C3" w:rsidP="00AB32C3">
            <w:pPr>
              <w:spacing w:after="160" w:line="480" w:lineRule="auto"/>
              <w:jc w:val="both"/>
              <w:rPr>
                <w:rFonts w:ascii="Times New Roman" w:hAnsi="Times New Roman" w:cs="Times New Roman"/>
                <w:b/>
                <w:bCs/>
              </w:rPr>
            </w:pPr>
            <w:r w:rsidRPr="00AB32C3">
              <w:rPr>
                <w:rFonts w:ascii="Times New Roman" w:hAnsi="Times New Roman" w:cs="Times New Roman"/>
                <w:b/>
                <w:bCs/>
              </w:rPr>
              <w:t>Deposits at Community Bank Branches</w:t>
            </w:r>
          </w:p>
        </w:tc>
        <w:tc>
          <w:tcPr>
            <w:tcW w:w="0" w:type="auto"/>
            <w:hideMark/>
          </w:tcPr>
          <w:p w14:paraId="57DF8EB4" w14:textId="77777777" w:rsidR="00AB32C3" w:rsidRPr="00AB32C3" w:rsidRDefault="00AB32C3" w:rsidP="00AB32C3">
            <w:pPr>
              <w:spacing w:after="160" w:line="480" w:lineRule="auto"/>
              <w:jc w:val="both"/>
              <w:rPr>
                <w:rFonts w:ascii="Times New Roman" w:hAnsi="Times New Roman" w:cs="Times New Roman"/>
                <w:b/>
                <w:bCs/>
              </w:rPr>
            </w:pPr>
            <w:r w:rsidRPr="00AB32C3">
              <w:rPr>
                <w:rFonts w:ascii="Times New Roman" w:hAnsi="Times New Roman" w:cs="Times New Roman"/>
                <w:b/>
                <w:bCs/>
              </w:rPr>
              <w:t>Percent of Deposits in Community Type</w:t>
            </w:r>
          </w:p>
        </w:tc>
      </w:tr>
      <w:tr w:rsidR="00AB32C3" w:rsidRPr="00AB32C3" w14:paraId="637E3134" w14:textId="77777777" w:rsidTr="00AB32C3">
        <w:tc>
          <w:tcPr>
            <w:tcW w:w="0" w:type="auto"/>
            <w:hideMark/>
          </w:tcPr>
          <w:p w14:paraId="61E20413" w14:textId="77777777" w:rsidR="00AB32C3" w:rsidRPr="00AB32C3" w:rsidRDefault="00AB32C3" w:rsidP="00AB32C3">
            <w:pPr>
              <w:spacing w:after="160" w:line="480" w:lineRule="auto"/>
              <w:jc w:val="both"/>
              <w:rPr>
                <w:rFonts w:ascii="Times New Roman" w:hAnsi="Times New Roman" w:cs="Times New Roman"/>
              </w:rPr>
            </w:pPr>
            <w:r w:rsidRPr="00AB32C3">
              <w:rPr>
                <w:rFonts w:ascii="Times New Roman" w:hAnsi="Times New Roman" w:cs="Times New Roman"/>
              </w:rPr>
              <w:t>Rural</w:t>
            </w:r>
          </w:p>
        </w:tc>
        <w:tc>
          <w:tcPr>
            <w:tcW w:w="0" w:type="auto"/>
            <w:hideMark/>
          </w:tcPr>
          <w:p w14:paraId="36C329AA" w14:textId="77777777" w:rsidR="00AB32C3" w:rsidRPr="00AB32C3" w:rsidRDefault="00AB32C3" w:rsidP="00AB32C3">
            <w:pPr>
              <w:spacing w:after="160" w:line="480" w:lineRule="auto"/>
              <w:jc w:val="both"/>
              <w:rPr>
                <w:rFonts w:ascii="Times New Roman" w:hAnsi="Times New Roman" w:cs="Times New Roman"/>
              </w:rPr>
            </w:pPr>
            <w:r w:rsidRPr="00AB32C3">
              <w:rPr>
                <w:rFonts w:ascii="Times New Roman" w:hAnsi="Times New Roman" w:cs="Times New Roman"/>
              </w:rPr>
              <w:t>12,062</w:t>
            </w:r>
          </w:p>
        </w:tc>
        <w:tc>
          <w:tcPr>
            <w:tcW w:w="0" w:type="auto"/>
            <w:hideMark/>
          </w:tcPr>
          <w:p w14:paraId="782233A6" w14:textId="77777777" w:rsidR="00AB32C3" w:rsidRPr="00AB32C3" w:rsidRDefault="00AB32C3" w:rsidP="00AB32C3">
            <w:pPr>
              <w:spacing w:after="160" w:line="480" w:lineRule="auto"/>
              <w:jc w:val="both"/>
              <w:rPr>
                <w:rFonts w:ascii="Times New Roman" w:hAnsi="Times New Roman" w:cs="Times New Roman"/>
              </w:rPr>
            </w:pPr>
            <w:r w:rsidRPr="00AB32C3">
              <w:rPr>
                <w:rFonts w:ascii="Times New Roman" w:hAnsi="Times New Roman" w:cs="Times New Roman"/>
              </w:rPr>
              <w:t>71.8%</w:t>
            </w:r>
          </w:p>
        </w:tc>
        <w:tc>
          <w:tcPr>
            <w:tcW w:w="0" w:type="auto"/>
            <w:hideMark/>
          </w:tcPr>
          <w:p w14:paraId="53245FCA" w14:textId="77777777" w:rsidR="00AB32C3" w:rsidRPr="00AB32C3" w:rsidRDefault="00AB32C3" w:rsidP="00AB32C3">
            <w:pPr>
              <w:spacing w:after="160" w:line="480" w:lineRule="auto"/>
              <w:jc w:val="both"/>
              <w:rPr>
                <w:rFonts w:ascii="Times New Roman" w:hAnsi="Times New Roman" w:cs="Times New Roman"/>
              </w:rPr>
            </w:pPr>
            <w:r w:rsidRPr="00AB32C3">
              <w:rPr>
                <w:rFonts w:ascii="Times New Roman" w:hAnsi="Times New Roman" w:cs="Times New Roman"/>
              </w:rPr>
              <w:t>$628.5</w:t>
            </w:r>
          </w:p>
        </w:tc>
        <w:tc>
          <w:tcPr>
            <w:tcW w:w="0" w:type="auto"/>
            <w:hideMark/>
          </w:tcPr>
          <w:p w14:paraId="357BA538" w14:textId="77777777" w:rsidR="00AB32C3" w:rsidRPr="00AB32C3" w:rsidRDefault="00AB32C3" w:rsidP="00AB32C3">
            <w:pPr>
              <w:spacing w:after="160" w:line="480" w:lineRule="auto"/>
              <w:jc w:val="both"/>
              <w:rPr>
                <w:rFonts w:ascii="Times New Roman" w:hAnsi="Times New Roman" w:cs="Times New Roman"/>
              </w:rPr>
            </w:pPr>
            <w:r w:rsidRPr="00AB32C3">
              <w:rPr>
                <w:rFonts w:ascii="Times New Roman" w:hAnsi="Times New Roman" w:cs="Times New Roman"/>
              </w:rPr>
              <w:t>65.9%</w:t>
            </w:r>
          </w:p>
        </w:tc>
      </w:tr>
      <w:tr w:rsidR="00AB32C3" w:rsidRPr="00AB32C3" w14:paraId="5C171801" w14:textId="77777777" w:rsidTr="00AB32C3">
        <w:tc>
          <w:tcPr>
            <w:tcW w:w="0" w:type="auto"/>
            <w:hideMark/>
          </w:tcPr>
          <w:p w14:paraId="7B328C40" w14:textId="77777777" w:rsidR="00AB32C3" w:rsidRPr="00AB32C3" w:rsidRDefault="00AB32C3" w:rsidP="00AB32C3">
            <w:pPr>
              <w:spacing w:after="160" w:line="480" w:lineRule="auto"/>
              <w:jc w:val="both"/>
              <w:rPr>
                <w:rFonts w:ascii="Times New Roman" w:hAnsi="Times New Roman" w:cs="Times New Roman"/>
              </w:rPr>
            </w:pPr>
            <w:r w:rsidRPr="00AB32C3">
              <w:rPr>
                <w:rFonts w:ascii="Times New Roman" w:hAnsi="Times New Roman" w:cs="Times New Roman"/>
              </w:rPr>
              <w:t>Urban</w:t>
            </w:r>
          </w:p>
        </w:tc>
        <w:tc>
          <w:tcPr>
            <w:tcW w:w="0" w:type="auto"/>
            <w:hideMark/>
          </w:tcPr>
          <w:p w14:paraId="5D3B76D3" w14:textId="77777777" w:rsidR="00AB32C3" w:rsidRPr="00AB32C3" w:rsidRDefault="00AB32C3" w:rsidP="00AB32C3">
            <w:pPr>
              <w:spacing w:after="160" w:line="480" w:lineRule="auto"/>
              <w:jc w:val="both"/>
              <w:rPr>
                <w:rFonts w:ascii="Times New Roman" w:hAnsi="Times New Roman" w:cs="Times New Roman"/>
              </w:rPr>
            </w:pPr>
            <w:r w:rsidRPr="00AB32C3">
              <w:rPr>
                <w:rFonts w:ascii="Times New Roman" w:hAnsi="Times New Roman" w:cs="Times New Roman"/>
              </w:rPr>
              <w:t>19,290</w:t>
            </w:r>
          </w:p>
        </w:tc>
        <w:tc>
          <w:tcPr>
            <w:tcW w:w="0" w:type="auto"/>
            <w:hideMark/>
          </w:tcPr>
          <w:p w14:paraId="4D4A54FE" w14:textId="77777777" w:rsidR="00AB32C3" w:rsidRPr="00AB32C3" w:rsidRDefault="00AB32C3" w:rsidP="00AB32C3">
            <w:pPr>
              <w:spacing w:after="160" w:line="480" w:lineRule="auto"/>
              <w:jc w:val="both"/>
              <w:rPr>
                <w:rFonts w:ascii="Times New Roman" w:hAnsi="Times New Roman" w:cs="Times New Roman"/>
              </w:rPr>
            </w:pPr>
            <w:r w:rsidRPr="00AB32C3">
              <w:rPr>
                <w:rFonts w:ascii="Times New Roman" w:hAnsi="Times New Roman" w:cs="Times New Roman"/>
              </w:rPr>
              <w:t>30.8%</w:t>
            </w:r>
          </w:p>
        </w:tc>
        <w:tc>
          <w:tcPr>
            <w:tcW w:w="0" w:type="auto"/>
            <w:hideMark/>
          </w:tcPr>
          <w:p w14:paraId="37AB7408" w14:textId="77777777" w:rsidR="00AB32C3" w:rsidRPr="00AB32C3" w:rsidRDefault="00AB32C3" w:rsidP="00AB32C3">
            <w:pPr>
              <w:spacing w:after="160" w:line="480" w:lineRule="auto"/>
              <w:jc w:val="both"/>
              <w:rPr>
                <w:rFonts w:ascii="Times New Roman" w:hAnsi="Times New Roman" w:cs="Times New Roman"/>
              </w:rPr>
            </w:pPr>
            <w:r w:rsidRPr="00AB32C3">
              <w:rPr>
                <w:rFonts w:ascii="Times New Roman" w:hAnsi="Times New Roman" w:cs="Times New Roman"/>
              </w:rPr>
              <w:t>$1,561.0</w:t>
            </w:r>
          </w:p>
        </w:tc>
        <w:tc>
          <w:tcPr>
            <w:tcW w:w="0" w:type="auto"/>
            <w:hideMark/>
          </w:tcPr>
          <w:p w14:paraId="478F35FD" w14:textId="77777777" w:rsidR="00AB32C3" w:rsidRPr="00AB32C3" w:rsidRDefault="00AB32C3" w:rsidP="00AB32C3">
            <w:pPr>
              <w:spacing w:after="160" w:line="480" w:lineRule="auto"/>
              <w:jc w:val="both"/>
              <w:rPr>
                <w:rFonts w:ascii="Times New Roman" w:hAnsi="Times New Roman" w:cs="Times New Roman"/>
              </w:rPr>
            </w:pPr>
            <w:r w:rsidRPr="00AB32C3">
              <w:rPr>
                <w:rFonts w:ascii="Times New Roman" w:hAnsi="Times New Roman" w:cs="Times New Roman"/>
              </w:rPr>
              <w:t>11.6%</w:t>
            </w:r>
          </w:p>
        </w:tc>
      </w:tr>
    </w:tbl>
    <w:p w14:paraId="6995741E" w14:textId="77777777" w:rsidR="00AB32C3" w:rsidRDefault="00AB32C3" w:rsidP="00A77ECF">
      <w:pPr>
        <w:spacing w:line="480" w:lineRule="auto"/>
        <w:jc w:val="both"/>
        <w:rPr>
          <w:rFonts w:ascii="Times New Roman" w:hAnsi="Times New Roman" w:cs="Times New Roman"/>
        </w:rPr>
      </w:pPr>
    </w:p>
    <w:p w14:paraId="4F8363DD" w14:textId="239C33C4" w:rsidR="009966CB" w:rsidRDefault="00313130" w:rsidP="00A77ECF">
      <w:pPr>
        <w:spacing w:line="480" w:lineRule="auto"/>
        <w:jc w:val="both"/>
        <w:rPr>
          <w:rFonts w:ascii="Times New Roman" w:hAnsi="Times New Roman" w:cs="Times New Roman"/>
        </w:rPr>
      </w:pPr>
      <w:r w:rsidRPr="00313130">
        <w:rPr>
          <w:rFonts w:ascii="Times New Roman" w:hAnsi="Times New Roman" w:cs="Times New Roman"/>
        </w:rPr>
        <w:t>Furthermore,</w:t>
      </w:r>
      <w:r w:rsidR="00A31AFB">
        <w:rPr>
          <w:rFonts w:ascii="Times New Roman" w:hAnsi="Times New Roman" w:cs="Times New Roman"/>
        </w:rPr>
        <w:t xml:space="preserve"> m</w:t>
      </w:r>
      <w:r w:rsidR="00F61DE5" w:rsidRPr="00F61DE5">
        <w:rPr>
          <w:rFonts w:ascii="Times New Roman" w:hAnsi="Times New Roman" w:cs="Times New Roman"/>
        </w:rPr>
        <w:t>ore than half of bank branches in 22 U.S. states are community banks. The predominance of community banks by state as of June 30, 2020, is displayed in Table 4. In states where a larger proportion of the population resides outside of metropolitan areas, community banks are especially important providers of financial services. An average of 56 percent of all commercial bank branches are community bank branches in the 25 states with the largest rural population shares, while only 28 percent are in the 25 states with the lowest rural population shares</w:t>
      </w:r>
      <w:r w:rsidR="00C57948">
        <w:rPr>
          <w:rFonts w:ascii="Times New Roman" w:hAnsi="Times New Roman" w:cs="Times New Roman"/>
        </w:rPr>
        <w:t xml:space="preserve"> </w:t>
      </w:r>
      <w:r w:rsidR="00C57948">
        <w:rPr>
          <w:rFonts w:ascii="Times New Roman" w:hAnsi="Times New Roman" w:cs="Times New Roman"/>
        </w:rPr>
        <w:fldChar w:fldCharType="begin" w:fldLock="1"/>
      </w:r>
      <w:r w:rsidR="00EF1F33">
        <w:rPr>
          <w:rFonts w:ascii="Times New Roman" w:hAnsi="Times New Roman" w:cs="Times New Roman"/>
        </w:rPr>
        <w:instrText>ADDIN CSL_CITATION {"citationItems":[{"id":"ITEM-1","itemData":{"DOI":"10.18651/er/v106n2hanauerlytlesummersziadeh","ISSN":"01612387","abstract":"In recent decades, both the number of community banks and their share of U.S. banking assets have steadily declined, raising questions about the future of community banking. In addition to competitive pressures from larger banking organizations, community banks face growing challenges from broader economic consolidation, changing demographics, and rapidly advancing financial technologies. Matt Hanauer, Brent Lytle, Chris Summers, and Stephanie Ziadeh explore the role of community banks in the U.S. economy, the challenges they face, and their outlook for the future. They find that despite their declining market share, community banks remain crucial financial services providers and are the predominant providers of banking services in rural communities across the country. In addition, they find that community banks are outsized providers of credit to agricultural and commercial borrowers, including during periods of economic stress. The authors argue that community banks will continue to play an important role in their local communities and the broader economy. [ABSTRACT FROM AUTHOR]","author":[{"dropping-particle":"","family":"Hanauer","given":"Matt","non-dropping-particle":"","parse-names":false,"suffix":""},{"dropping-particle":"","family":"Lytle","given":"Brent","non-dropping-particle":"","parse-names":false,"suffix":""},{"dropping-particle":"","family":"Summers","given":"Chris","non-dropping-particle":"","parse-names":false,"suffix":""},{"dropping-particle":"","family":"Ziadeh","given":"Stephanie","non-dropping-particle":"","parse-names":false,"suffix":""}],"container-title":"The Federal Reserve Bank of Kansas City Economic Review","id":"ITEM-1","issued":{"date-parts":[["2021"]]},"page":"37-81","title":"Community Banks' Ongoing Role in the U.S. Economy","type":"article-journal"},"uris":["http://www.mendeley.com/documents/?uuid=6a21fc18-e549-41de-9211-a719684edf1c"]}],"mendeley":{"formattedCitation":"(Hanauer et al., 2021)","plainTextFormattedCitation":"(Hanauer et al., 2021)","previouslyFormattedCitation":"(Hanauer et al., 2021)"},"properties":{"noteIndex":0},"schema":"https://github.com/citation-style-language/schema/raw/master/csl-citation.json"}</w:instrText>
      </w:r>
      <w:r w:rsidR="00C57948">
        <w:rPr>
          <w:rFonts w:ascii="Times New Roman" w:hAnsi="Times New Roman" w:cs="Times New Roman"/>
        </w:rPr>
        <w:fldChar w:fldCharType="separate"/>
      </w:r>
      <w:r w:rsidR="00C57948" w:rsidRPr="00C57948">
        <w:rPr>
          <w:rFonts w:ascii="Times New Roman" w:hAnsi="Times New Roman" w:cs="Times New Roman"/>
          <w:noProof/>
        </w:rPr>
        <w:t>(Hanauer et al., 2021)</w:t>
      </w:r>
      <w:r w:rsidR="00C57948">
        <w:rPr>
          <w:rFonts w:ascii="Times New Roman" w:hAnsi="Times New Roman" w:cs="Times New Roman"/>
        </w:rPr>
        <w:fldChar w:fldCharType="end"/>
      </w:r>
      <w:r w:rsidR="00F61DE5" w:rsidRPr="00F61DE5">
        <w:rPr>
          <w:rFonts w:ascii="Times New Roman" w:hAnsi="Times New Roman" w:cs="Times New Roman"/>
        </w:rPr>
        <w:t>.</w:t>
      </w:r>
      <w:r w:rsidR="00F61DE5">
        <w:rPr>
          <w:rFonts w:ascii="Times New Roman" w:hAnsi="Times New Roman" w:cs="Times New Roman"/>
        </w:rPr>
        <w:t xml:space="preserve"> </w:t>
      </w:r>
    </w:p>
    <w:p w14:paraId="5A62C208" w14:textId="530B39C2" w:rsidR="0097511C" w:rsidRDefault="0097511C" w:rsidP="00A77ECF">
      <w:pPr>
        <w:spacing w:line="480" w:lineRule="auto"/>
        <w:jc w:val="both"/>
        <w:rPr>
          <w:rFonts w:ascii="Times New Roman" w:hAnsi="Times New Roman" w:cs="Times New Roman"/>
        </w:rPr>
      </w:pPr>
      <w:r w:rsidRPr="0097511C">
        <w:rPr>
          <w:rFonts w:ascii="Times New Roman" w:hAnsi="Times New Roman" w:cs="Times New Roman"/>
        </w:rPr>
        <w:t>T</w:t>
      </w:r>
      <w:r w:rsidRPr="00414F75">
        <w:rPr>
          <w:rFonts w:ascii="Times New Roman" w:hAnsi="Times New Roman" w:cs="Times New Roman"/>
          <w:highlight w:val="yellow"/>
        </w:rPr>
        <w:t xml:space="preserve">able 4. </w:t>
      </w:r>
      <w:r w:rsidR="0046495D" w:rsidRPr="00414F75">
        <w:rPr>
          <w:rFonts w:ascii="Times New Roman" w:hAnsi="Times New Roman" w:cs="Times New Roman"/>
          <w:highlight w:val="yellow"/>
        </w:rPr>
        <w:t>Predominance of community banks by state as of June 30, 2020</w:t>
      </w:r>
    </w:p>
    <w:tbl>
      <w:tblPr>
        <w:tblStyle w:val="TableGrid"/>
        <w:tblW w:w="0" w:type="auto"/>
        <w:tblLayout w:type="fixed"/>
        <w:tblLook w:val="04A0" w:firstRow="1" w:lastRow="0" w:firstColumn="1" w:lastColumn="0" w:noHBand="0" w:noVBand="1"/>
      </w:tblPr>
      <w:tblGrid>
        <w:gridCol w:w="1558"/>
        <w:gridCol w:w="1558"/>
        <w:gridCol w:w="1559"/>
        <w:gridCol w:w="1558"/>
        <w:gridCol w:w="1558"/>
        <w:gridCol w:w="1559"/>
      </w:tblGrid>
      <w:tr w:rsidR="009966CB" w:rsidRPr="009966CB" w14:paraId="4571D513" w14:textId="77777777" w:rsidTr="009966CB">
        <w:tc>
          <w:tcPr>
            <w:tcW w:w="1558" w:type="dxa"/>
            <w:hideMark/>
          </w:tcPr>
          <w:p w14:paraId="44C2BC89" w14:textId="77777777" w:rsidR="009966CB" w:rsidRPr="009966CB" w:rsidRDefault="009966CB" w:rsidP="009966CB">
            <w:pPr>
              <w:spacing w:after="160"/>
              <w:jc w:val="both"/>
              <w:rPr>
                <w:rFonts w:ascii="Times New Roman" w:hAnsi="Times New Roman" w:cs="Times New Roman"/>
                <w:b/>
                <w:bCs/>
              </w:rPr>
            </w:pPr>
            <w:r w:rsidRPr="009966CB">
              <w:rPr>
                <w:rFonts w:ascii="Times New Roman" w:hAnsi="Times New Roman" w:cs="Times New Roman"/>
                <w:b/>
                <w:bCs/>
              </w:rPr>
              <w:t>State</w:t>
            </w:r>
          </w:p>
        </w:tc>
        <w:tc>
          <w:tcPr>
            <w:tcW w:w="1558" w:type="dxa"/>
            <w:hideMark/>
          </w:tcPr>
          <w:p w14:paraId="7DC7B912" w14:textId="77777777" w:rsidR="009966CB" w:rsidRPr="009966CB" w:rsidRDefault="009966CB" w:rsidP="009966CB">
            <w:pPr>
              <w:spacing w:after="160"/>
              <w:jc w:val="both"/>
              <w:rPr>
                <w:rFonts w:ascii="Times New Roman" w:hAnsi="Times New Roman" w:cs="Times New Roman"/>
                <w:b/>
                <w:bCs/>
              </w:rPr>
            </w:pPr>
            <w:r w:rsidRPr="009966CB">
              <w:rPr>
                <w:rFonts w:ascii="Times New Roman" w:hAnsi="Times New Roman" w:cs="Times New Roman"/>
                <w:b/>
                <w:bCs/>
              </w:rPr>
              <w:t>Share of Population in Rural Areas (percent)</w:t>
            </w:r>
          </w:p>
        </w:tc>
        <w:tc>
          <w:tcPr>
            <w:tcW w:w="1559" w:type="dxa"/>
            <w:hideMark/>
          </w:tcPr>
          <w:p w14:paraId="7213D78E" w14:textId="77777777" w:rsidR="009966CB" w:rsidRPr="009966CB" w:rsidRDefault="009966CB" w:rsidP="009966CB">
            <w:pPr>
              <w:spacing w:after="160"/>
              <w:jc w:val="both"/>
              <w:rPr>
                <w:rFonts w:ascii="Times New Roman" w:hAnsi="Times New Roman" w:cs="Times New Roman"/>
                <w:b/>
                <w:bCs/>
              </w:rPr>
            </w:pPr>
            <w:r w:rsidRPr="009966CB">
              <w:rPr>
                <w:rFonts w:ascii="Times New Roman" w:hAnsi="Times New Roman" w:cs="Times New Roman"/>
                <w:b/>
                <w:bCs/>
              </w:rPr>
              <w:t>Number of Community Bank Branches</w:t>
            </w:r>
          </w:p>
        </w:tc>
        <w:tc>
          <w:tcPr>
            <w:tcW w:w="1558" w:type="dxa"/>
            <w:hideMark/>
          </w:tcPr>
          <w:p w14:paraId="7E4151B3" w14:textId="77777777" w:rsidR="009966CB" w:rsidRPr="009966CB" w:rsidRDefault="009966CB" w:rsidP="009966CB">
            <w:pPr>
              <w:spacing w:after="160"/>
              <w:jc w:val="both"/>
              <w:rPr>
                <w:rFonts w:ascii="Times New Roman" w:hAnsi="Times New Roman" w:cs="Times New Roman"/>
                <w:b/>
                <w:bCs/>
              </w:rPr>
            </w:pPr>
            <w:r w:rsidRPr="009966CB">
              <w:rPr>
                <w:rFonts w:ascii="Times New Roman" w:hAnsi="Times New Roman" w:cs="Times New Roman"/>
                <w:b/>
                <w:bCs/>
              </w:rPr>
              <w:t>Percent of All Bank Branches</w:t>
            </w:r>
          </w:p>
        </w:tc>
        <w:tc>
          <w:tcPr>
            <w:tcW w:w="1558" w:type="dxa"/>
            <w:hideMark/>
          </w:tcPr>
          <w:p w14:paraId="2AE84E9E" w14:textId="77777777" w:rsidR="009966CB" w:rsidRPr="009966CB" w:rsidRDefault="009966CB" w:rsidP="009966CB">
            <w:pPr>
              <w:spacing w:after="160"/>
              <w:jc w:val="both"/>
              <w:rPr>
                <w:rFonts w:ascii="Times New Roman" w:hAnsi="Times New Roman" w:cs="Times New Roman"/>
                <w:b/>
                <w:bCs/>
              </w:rPr>
            </w:pPr>
            <w:r w:rsidRPr="009966CB">
              <w:rPr>
                <w:rFonts w:ascii="Times New Roman" w:hAnsi="Times New Roman" w:cs="Times New Roman"/>
                <w:b/>
                <w:bCs/>
              </w:rPr>
              <w:t>Deposits at Community Bank Branches (in billions)</w:t>
            </w:r>
          </w:p>
        </w:tc>
        <w:tc>
          <w:tcPr>
            <w:tcW w:w="1559" w:type="dxa"/>
            <w:hideMark/>
          </w:tcPr>
          <w:p w14:paraId="2D1CD05A" w14:textId="77777777" w:rsidR="009966CB" w:rsidRPr="009966CB" w:rsidRDefault="009966CB" w:rsidP="009966CB">
            <w:pPr>
              <w:spacing w:after="160"/>
              <w:jc w:val="both"/>
              <w:rPr>
                <w:rFonts w:ascii="Times New Roman" w:hAnsi="Times New Roman" w:cs="Times New Roman"/>
                <w:b/>
                <w:bCs/>
              </w:rPr>
            </w:pPr>
            <w:r w:rsidRPr="009966CB">
              <w:rPr>
                <w:rFonts w:ascii="Times New Roman" w:hAnsi="Times New Roman" w:cs="Times New Roman"/>
                <w:b/>
                <w:bCs/>
              </w:rPr>
              <w:t>Percent of Deposits at All Bank Branches</w:t>
            </w:r>
          </w:p>
        </w:tc>
      </w:tr>
      <w:tr w:rsidR="009966CB" w:rsidRPr="009966CB" w14:paraId="16A7FA90" w14:textId="77777777" w:rsidTr="009966CB">
        <w:tc>
          <w:tcPr>
            <w:tcW w:w="1558" w:type="dxa"/>
            <w:hideMark/>
          </w:tcPr>
          <w:p w14:paraId="3B082593"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lastRenderedPageBreak/>
              <w:t>Maine</w:t>
            </w:r>
          </w:p>
        </w:tc>
        <w:tc>
          <w:tcPr>
            <w:tcW w:w="1558" w:type="dxa"/>
            <w:hideMark/>
          </w:tcPr>
          <w:p w14:paraId="429652EA"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61.3%</w:t>
            </w:r>
          </w:p>
        </w:tc>
        <w:tc>
          <w:tcPr>
            <w:tcW w:w="1559" w:type="dxa"/>
            <w:hideMark/>
          </w:tcPr>
          <w:p w14:paraId="1BF7C509"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131</w:t>
            </w:r>
          </w:p>
        </w:tc>
        <w:tc>
          <w:tcPr>
            <w:tcW w:w="1558" w:type="dxa"/>
            <w:hideMark/>
          </w:tcPr>
          <w:p w14:paraId="0B4E9E93"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53.3%</w:t>
            </w:r>
          </w:p>
        </w:tc>
        <w:tc>
          <w:tcPr>
            <w:tcW w:w="1558" w:type="dxa"/>
            <w:hideMark/>
          </w:tcPr>
          <w:p w14:paraId="622618A2"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$9.3</w:t>
            </w:r>
          </w:p>
        </w:tc>
        <w:tc>
          <w:tcPr>
            <w:tcW w:w="1559" w:type="dxa"/>
            <w:hideMark/>
          </w:tcPr>
          <w:p w14:paraId="6A8BF7A2"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43.5%</w:t>
            </w:r>
          </w:p>
        </w:tc>
      </w:tr>
      <w:tr w:rsidR="009966CB" w:rsidRPr="009966CB" w14:paraId="013B1E40" w14:textId="77777777" w:rsidTr="009966CB">
        <w:tc>
          <w:tcPr>
            <w:tcW w:w="1558" w:type="dxa"/>
            <w:hideMark/>
          </w:tcPr>
          <w:p w14:paraId="454431B1"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Vermont</w:t>
            </w:r>
          </w:p>
        </w:tc>
        <w:tc>
          <w:tcPr>
            <w:tcW w:w="1558" w:type="dxa"/>
            <w:hideMark/>
          </w:tcPr>
          <w:p w14:paraId="643322CC"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61.1%</w:t>
            </w:r>
          </w:p>
        </w:tc>
        <w:tc>
          <w:tcPr>
            <w:tcW w:w="1559" w:type="dxa"/>
            <w:hideMark/>
          </w:tcPr>
          <w:p w14:paraId="18CAE19A"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54</w:t>
            </w:r>
          </w:p>
        </w:tc>
        <w:tc>
          <w:tcPr>
            <w:tcW w:w="1558" w:type="dxa"/>
            <w:hideMark/>
          </w:tcPr>
          <w:p w14:paraId="3A3D7D3B"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30.2%</w:t>
            </w:r>
          </w:p>
        </w:tc>
        <w:tc>
          <w:tcPr>
            <w:tcW w:w="1558" w:type="dxa"/>
            <w:hideMark/>
          </w:tcPr>
          <w:p w14:paraId="63FA0152"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$2.6</w:t>
            </w:r>
          </w:p>
        </w:tc>
        <w:tc>
          <w:tcPr>
            <w:tcW w:w="1559" w:type="dxa"/>
            <w:hideMark/>
          </w:tcPr>
          <w:p w14:paraId="09118C2C"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18.0%</w:t>
            </w:r>
          </w:p>
        </w:tc>
      </w:tr>
      <w:tr w:rsidR="009966CB" w:rsidRPr="009966CB" w14:paraId="3B907600" w14:textId="77777777" w:rsidTr="009966CB">
        <w:tc>
          <w:tcPr>
            <w:tcW w:w="1558" w:type="dxa"/>
            <w:hideMark/>
          </w:tcPr>
          <w:p w14:paraId="54041B72"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West Virginia</w:t>
            </w:r>
          </w:p>
        </w:tc>
        <w:tc>
          <w:tcPr>
            <w:tcW w:w="1558" w:type="dxa"/>
            <w:hideMark/>
          </w:tcPr>
          <w:p w14:paraId="3C9DC5F9"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51.3%</w:t>
            </w:r>
          </w:p>
        </w:tc>
        <w:tc>
          <w:tcPr>
            <w:tcW w:w="1559" w:type="dxa"/>
            <w:hideMark/>
          </w:tcPr>
          <w:p w14:paraId="0BC0B36F"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370</w:t>
            </w:r>
          </w:p>
        </w:tc>
        <w:tc>
          <w:tcPr>
            <w:tcW w:w="1558" w:type="dxa"/>
            <w:hideMark/>
          </w:tcPr>
          <w:p w14:paraId="7AB051DB"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63.1%</w:t>
            </w:r>
          </w:p>
        </w:tc>
        <w:tc>
          <w:tcPr>
            <w:tcW w:w="1558" w:type="dxa"/>
            <w:hideMark/>
          </w:tcPr>
          <w:p w14:paraId="59414906"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$18.2</w:t>
            </w:r>
          </w:p>
        </w:tc>
        <w:tc>
          <w:tcPr>
            <w:tcW w:w="1559" w:type="dxa"/>
            <w:hideMark/>
          </w:tcPr>
          <w:p w14:paraId="389B5ECB"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47.7%</w:t>
            </w:r>
          </w:p>
        </w:tc>
      </w:tr>
      <w:tr w:rsidR="009966CB" w:rsidRPr="009966CB" w14:paraId="607F2F05" w14:textId="77777777" w:rsidTr="009966CB">
        <w:tc>
          <w:tcPr>
            <w:tcW w:w="1558" w:type="dxa"/>
            <w:hideMark/>
          </w:tcPr>
          <w:p w14:paraId="300BB930"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Mississippi</w:t>
            </w:r>
          </w:p>
        </w:tc>
        <w:tc>
          <w:tcPr>
            <w:tcW w:w="1558" w:type="dxa"/>
            <w:hideMark/>
          </w:tcPr>
          <w:p w14:paraId="4CCC4273"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50.6%</w:t>
            </w:r>
          </w:p>
        </w:tc>
        <w:tc>
          <w:tcPr>
            <w:tcW w:w="1559" w:type="dxa"/>
            <w:hideMark/>
          </w:tcPr>
          <w:p w14:paraId="531E11B7"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636</w:t>
            </w:r>
          </w:p>
        </w:tc>
        <w:tc>
          <w:tcPr>
            <w:tcW w:w="1558" w:type="dxa"/>
            <w:hideMark/>
          </w:tcPr>
          <w:p w14:paraId="439A6E73"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57.5%</w:t>
            </w:r>
          </w:p>
        </w:tc>
        <w:tc>
          <w:tcPr>
            <w:tcW w:w="1558" w:type="dxa"/>
            <w:hideMark/>
          </w:tcPr>
          <w:p w14:paraId="168C0ADF"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$28.9</w:t>
            </w:r>
          </w:p>
        </w:tc>
        <w:tc>
          <w:tcPr>
            <w:tcW w:w="1559" w:type="dxa"/>
            <w:hideMark/>
          </w:tcPr>
          <w:p w14:paraId="1589BF5E"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45.0%</w:t>
            </w:r>
          </w:p>
        </w:tc>
      </w:tr>
      <w:tr w:rsidR="009966CB" w:rsidRPr="009966CB" w14:paraId="5519D412" w14:textId="77777777" w:rsidTr="009966CB">
        <w:tc>
          <w:tcPr>
            <w:tcW w:w="1558" w:type="dxa"/>
            <w:hideMark/>
          </w:tcPr>
          <w:p w14:paraId="0A3BC3A9"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Montana</w:t>
            </w:r>
          </w:p>
        </w:tc>
        <w:tc>
          <w:tcPr>
            <w:tcW w:w="1558" w:type="dxa"/>
            <w:hideMark/>
          </w:tcPr>
          <w:p w14:paraId="31CDF300"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44.1%</w:t>
            </w:r>
          </w:p>
        </w:tc>
        <w:tc>
          <w:tcPr>
            <w:tcW w:w="1559" w:type="dxa"/>
            <w:hideMark/>
          </w:tcPr>
          <w:p w14:paraId="44F02137"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207</w:t>
            </w:r>
          </w:p>
        </w:tc>
        <w:tc>
          <w:tcPr>
            <w:tcW w:w="1558" w:type="dxa"/>
            <w:hideMark/>
          </w:tcPr>
          <w:p w14:paraId="4B370921"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55.2%</w:t>
            </w:r>
          </w:p>
        </w:tc>
        <w:tc>
          <w:tcPr>
            <w:tcW w:w="1558" w:type="dxa"/>
            <w:hideMark/>
          </w:tcPr>
          <w:p w14:paraId="19662223"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$12.1</w:t>
            </w:r>
          </w:p>
        </w:tc>
        <w:tc>
          <w:tcPr>
            <w:tcW w:w="1559" w:type="dxa"/>
            <w:hideMark/>
          </w:tcPr>
          <w:p w14:paraId="7E3868CF"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42.3%</w:t>
            </w:r>
          </w:p>
        </w:tc>
      </w:tr>
      <w:tr w:rsidR="009966CB" w:rsidRPr="009966CB" w14:paraId="1663EE04" w14:textId="77777777" w:rsidTr="009966CB">
        <w:tc>
          <w:tcPr>
            <w:tcW w:w="1558" w:type="dxa"/>
            <w:hideMark/>
          </w:tcPr>
          <w:p w14:paraId="5AE98E94"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South Dakota</w:t>
            </w:r>
          </w:p>
        </w:tc>
        <w:tc>
          <w:tcPr>
            <w:tcW w:w="1558" w:type="dxa"/>
            <w:hideMark/>
          </w:tcPr>
          <w:p w14:paraId="4D0FAE03"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43.8%</w:t>
            </w:r>
          </w:p>
        </w:tc>
        <w:tc>
          <w:tcPr>
            <w:tcW w:w="1559" w:type="dxa"/>
            <w:hideMark/>
          </w:tcPr>
          <w:p w14:paraId="6D9398A8"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778</w:t>
            </w:r>
          </w:p>
        </w:tc>
        <w:tc>
          <w:tcPr>
            <w:tcW w:w="1558" w:type="dxa"/>
            <w:hideMark/>
          </w:tcPr>
          <w:p w14:paraId="525450A1"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58.6%</w:t>
            </w:r>
          </w:p>
        </w:tc>
        <w:tc>
          <w:tcPr>
            <w:tcW w:w="1558" w:type="dxa"/>
            <w:hideMark/>
          </w:tcPr>
          <w:p w14:paraId="07A60409"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$34.9</w:t>
            </w:r>
          </w:p>
        </w:tc>
        <w:tc>
          <w:tcPr>
            <w:tcW w:w="1559" w:type="dxa"/>
            <w:hideMark/>
          </w:tcPr>
          <w:p w14:paraId="06F5950E"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42.3%</w:t>
            </w:r>
          </w:p>
        </w:tc>
      </w:tr>
      <w:tr w:rsidR="009966CB" w:rsidRPr="009966CB" w14:paraId="0F1691A7" w14:textId="77777777" w:rsidTr="009966CB">
        <w:tc>
          <w:tcPr>
            <w:tcW w:w="1558" w:type="dxa"/>
            <w:hideMark/>
          </w:tcPr>
          <w:p w14:paraId="12AEBE36"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Kentucky</w:t>
            </w:r>
          </w:p>
        </w:tc>
        <w:tc>
          <w:tcPr>
            <w:tcW w:w="1558" w:type="dxa"/>
            <w:hideMark/>
          </w:tcPr>
          <w:p w14:paraId="54C3DE48"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43.3%</w:t>
            </w:r>
          </w:p>
        </w:tc>
        <w:tc>
          <w:tcPr>
            <w:tcW w:w="1559" w:type="dxa"/>
            <w:hideMark/>
          </w:tcPr>
          <w:p w14:paraId="793340A0"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313</w:t>
            </w:r>
          </w:p>
        </w:tc>
        <w:tc>
          <w:tcPr>
            <w:tcW w:w="1558" w:type="dxa"/>
            <w:hideMark/>
          </w:tcPr>
          <w:p w14:paraId="3E433D7A"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70.3%</w:t>
            </w:r>
          </w:p>
        </w:tc>
        <w:tc>
          <w:tcPr>
            <w:tcW w:w="1558" w:type="dxa"/>
            <w:hideMark/>
          </w:tcPr>
          <w:p w14:paraId="349A34D5"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$28.0</w:t>
            </w:r>
          </w:p>
        </w:tc>
        <w:tc>
          <w:tcPr>
            <w:tcW w:w="1559" w:type="dxa"/>
            <w:hideMark/>
          </w:tcPr>
          <w:p w14:paraId="1AE99C1C"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58.6%</w:t>
            </w:r>
          </w:p>
        </w:tc>
      </w:tr>
      <w:tr w:rsidR="009966CB" w:rsidRPr="009966CB" w14:paraId="7D5D318A" w14:textId="77777777" w:rsidTr="009966CB">
        <w:tc>
          <w:tcPr>
            <w:tcW w:w="1558" w:type="dxa"/>
            <w:hideMark/>
          </w:tcPr>
          <w:p w14:paraId="6FDE5EF9"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North Dakota</w:t>
            </w:r>
          </w:p>
        </w:tc>
        <w:tc>
          <w:tcPr>
            <w:tcW w:w="1558" w:type="dxa"/>
            <w:hideMark/>
          </w:tcPr>
          <w:p w14:paraId="40EE7636"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41.6%</w:t>
            </w:r>
          </w:p>
        </w:tc>
        <w:tc>
          <w:tcPr>
            <w:tcW w:w="1559" w:type="dxa"/>
            <w:hideMark/>
          </w:tcPr>
          <w:p w14:paraId="1739C3EC"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1,054</w:t>
            </w:r>
          </w:p>
        </w:tc>
        <w:tc>
          <w:tcPr>
            <w:tcW w:w="1558" w:type="dxa"/>
            <w:hideMark/>
          </w:tcPr>
          <w:p w14:paraId="1E1DE118"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68.0%</w:t>
            </w:r>
          </w:p>
        </w:tc>
        <w:tc>
          <w:tcPr>
            <w:tcW w:w="1558" w:type="dxa"/>
            <w:hideMark/>
          </w:tcPr>
          <w:p w14:paraId="7B511D92"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$55.5</w:t>
            </w:r>
          </w:p>
        </w:tc>
        <w:tc>
          <w:tcPr>
            <w:tcW w:w="1559" w:type="dxa"/>
            <w:hideMark/>
          </w:tcPr>
          <w:p w14:paraId="71E871A8"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56.9%</w:t>
            </w:r>
          </w:p>
        </w:tc>
      </w:tr>
      <w:tr w:rsidR="009966CB" w:rsidRPr="009966CB" w14:paraId="6892D78C" w14:textId="77777777" w:rsidTr="009966CB">
        <w:tc>
          <w:tcPr>
            <w:tcW w:w="1558" w:type="dxa"/>
            <w:hideMark/>
          </w:tcPr>
          <w:p w14:paraId="7B42708B"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Iowa</w:t>
            </w:r>
          </w:p>
        </w:tc>
        <w:tc>
          <w:tcPr>
            <w:tcW w:w="1558" w:type="dxa"/>
            <w:hideMark/>
          </w:tcPr>
          <w:p w14:paraId="3EE4769D"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41.0%</w:t>
            </w:r>
          </w:p>
        </w:tc>
        <w:tc>
          <w:tcPr>
            <w:tcW w:w="1559" w:type="dxa"/>
            <w:hideMark/>
          </w:tcPr>
          <w:p w14:paraId="5DA73116"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681</w:t>
            </w:r>
          </w:p>
        </w:tc>
        <w:tc>
          <w:tcPr>
            <w:tcW w:w="1558" w:type="dxa"/>
            <w:hideMark/>
          </w:tcPr>
          <w:p w14:paraId="721300D7"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47.3%</w:t>
            </w:r>
          </w:p>
        </w:tc>
        <w:tc>
          <w:tcPr>
            <w:tcW w:w="1558" w:type="dxa"/>
            <w:hideMark/>
          </w:tcPr>
          <w:p w14:paraId="5E142EDE"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$33.7</w:t>
            </w:r>
          </w:p>
        </w:tc>
        <w:tc>
          <w:tcPr>
            <w:tcW w:w="1559" w:type="dxa"/>
            <w:hideMark/>
          </w:tcPr>
          <w:p w14:paraId="4756D0BE"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26.1%</w:t>
            </w:r>
          </w:p>
        </w:tc>
      </w:tr>
      <w:tr w:rsidR="009966CB" w:rsidRPr="009966CB" w14:paraId="528C4D59" w14:textId="77777777" w:rsidTr="009966CB">
        <w:tc>
          <w:tcPr>
            <w:tcW w:w="1558" w:type="dxa"/>
            <w:hideMark/>
          </w:tcPr>
          <w:p w14:paraId="6463FD7C"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Wyoming</w:t>
            </w:r>
          </w:p>
        </w:tc>
        <w:tc>
          <w:tcPr>
            <w:tcW w:w="1558" w:type="dxa"/>
            <w:hideMark/>
          </w:tcPr>
          <w:p w14:paraId="6B005FE7"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40.1%</w:t>
            </w:r>
          </w:p>
        </w:tc>
        <w:tc>
          <w:tcPr>
            <w:tcW w:w="1559" w:type="dxa"/>
            <w:hideMark/>
          </w:tcPr>
          <w:p w14:paraId="086C034D"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317</w:t>
            </w:r>
          </w:p>
        </w:tc>
        <w:tc>
          <w:tcPr>
            <w:tcW w:w="1558" w:type="dxa"/>
            <w:hideMark/>
          </w:tcPr>
          <w:p w14:paraId="32C7677B"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83.0%</w:t>
            </w:r>
          </w:p>
        </w:tc>
        <w:tc>
          <w:tcPr>
            <w:tcW w:w="1558" w:type="dxa"/>
            <w:hideMark/>
          </w:tcPr>
          <w:p w14:paraId="26D9B09A"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$25.4</w:t>
            </w:r>
          </w:p>
        </w:tc>
        <w:tc>
          <w:tcPr>
            <w:tcW w:w="1559" w:type="dxa"/>
            <w:hideMark/>
          </w:tcPr>
          <w:p w14:paraId="0858D266"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78.8%</w:t>
            </w:r>
          </w:p>
        </w:tc>
      </w:tr>
      <w:tr w:rsidR="009966CB" w:rsidRPr="009966CB" w14:paraId="23C86692" w14:textId="77777777" w:rsidTr="009966CB">
        <w:tc>
          <w:tcPr>
            <w:tcW w:w="1558" w:type="dxa"/>
            <w:hideMark/>
          </w:tcPr>
          <w:p w14:paraId="6B80354F"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Alaska</w:t>
            </w:r>
          </w:p>
        </w:tc>
        <w:tc>
          <w:tcPr>
            <w:tcW w:w="1558" w:type="dxa"/>
            <w:hideMark/>
          </w:tcPr>
          <w:p w14:paraId="3089F9B5"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39.7%</w:t>
            </w:r>
          </w:p>
        </w:tc>
        <w:tc>
          <w:tcPr>
            <w:tcW w:w="1559" w:type="dxa"/>
            <w:hideMark/>
          </w:tcPr>
          <w:p w14:paraId="383D5EB5"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74</w:t>
            </w:r>
          </w:p>
        </w:tc>
        <w:tc>
          <w:tcPr>
            <w:tcW w:w="1558" w:type="dxa"/>
            <w:hideMark/>
          </w:tcPr>
          <w:p w14:paraId="25672A4F"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28.5%</w:t>
            </w:r>
          </w:p>
        </w:tc>
        <w:tc>
          <w:tcPr>
            <w:tcW w:w="1558" w:type="dxa"/>
            <w:hideMark/>
          </w:tcPr>
          <w:p w14:paraId="01CEE967"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$4.5</w:t>
            </w:r>
          </w:p>
        </w:tc>
        <w:tc>
          <w:tcPr>
            <w:tcW w:w="1559" w:type="dxa"/>
            <w:hideMark/>
          </w:tcPr>
          <w:p w14:paraId="79DCB994"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13.7%</w:t>
            </w:r>
          </w:p>
        </w:tc>
      </w:tr>
      <w:tr w:rsidR="009966CB" w:rsidRPr="009966CB" w14:paraId="00BDAF7B" w14:textId="77777777" w:rsidTr="009966CB">
        <w:tc>
          <w:tcPr>
            <w:tcW w:w="1558" w:type="dxa"/>
            <w:hideMark/>
          </w:tcPr>
          <w:p w14:paraId="5A13A68F"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North Carolina</w:t>
            </w:r>
          </w:p>
        </w:tc>
        <w:tc>
          <w:tcPr>
            <w:tcW w:w="1558" w:type="dxa"/>
            <w:hideMark/>
          </w:tcPr>
          <w:p w14:paraId="3EE9ACA4"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36.0%</w:t>
            </w:r>
          </w:p>
        </w:tc>
        <w:tc>
          <w:tcPr>
            <w:tcW w:w="1559" w:type="dxa"/>
            <w:hideMark/>
          </w:tcPr>
          <w:p w14:paraId="2590F09D"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1,242</w:t>
            </w:r>
          </w:p>
        </w:tc>
        <w:tc>
          <w:tcPr>
            <w:tcW w:w="1558" w:type="dxa"/>
            <w:hideMark/>
          </w:tcPr>
          <w:p w14:paraId="446B7321"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53.5%</w:t>
            </w:r>
          </w:p>
        </w:tc>
        <w:tc>
          <w:tcPr>
            <w:tcW w:w="1558" w:type="dxa"/>
            <w:hideMark/>
          </w:tcPr>
          <w:p w14:paraId="692C8663"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$75.7</w:t>
            </w:r>
          </w:p>
        </w:tc>
        <w:tc>
          <w:tcPr>
            <w:tcW w:w="1559" w:type="dxa"/>
            <w:hideMark/>
          </w:tcPr>
          <w:p w14:paraId="6C2C7627"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56.7%</w:t>
            </w:r>
          </w:p>
        </w:tc>
      </w:tr>
      <w:tr w:rsidR="009966CB" w:rsidRPr="009966CB" w14:paraId="17D15AAC" w14:textId="77777777" w:rsidTr="009966CB">
        <w:tc>
          <w:tcPr>
            <w:tcW w:w="1558" w:type="dxa"/>
            <w:hideMark/>
          </w:tcPr>
          <w:p w14:paraId="0801B829"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Oklahoma</w:t>
            </w:r>
          </w:p>
        </w:tc>
        <w:tc>
          <w:tcPr>
            <w:tcW w:w="1558" w:type="dxa"/>
            <w:hideMark/>
          </w:tcPr>
          <w:p w14:paraId="4502B265"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35.2%</w:t>
            </w:r>
          </w:p>
        </w:tc>
        <w:tc>
          <w:tcPr>
            <w:tcW w:w="1559" w:type="dxa"/>
            <w:hideMark/>
          </w:tcPr>
          <w:p w14:paraId="1382A632"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119</w:t>
            </w:r>
          </w:p>
        </w:tc>
        <w:tc>
          <w:tcPr>
            <w:tcW w:w="1558" w:type="dxa"/>
            <w:hideMark/>
          </w:tcPr>
          <w:p w14:paraId="162E91B3"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56.4%</w:t>
            </w:r>
          </w:p>
        </w:tc>
        <w:tc>
          <w:tcPr>
            <w:tcW w:w="1558" w:type="dxa"/>
            <w:hideMark/>
          </w:tcPr>
          <w:p w14:paraId="13984916"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$9.7</w:t>
            </w:r>
          </w:p>
        </w:tc>
        <w:tc>
          <w:tcPr>
            <w:tcW w:w="1559" w:type="dxa"/>
            <w:hideMark/>
          </w:tcPr>
          <w:p w14:paraId="5438884A"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40.3%</w:t>
            </w:r>
          </w:p>
        </w:tc>
      </w:tr>
      <w:tr w:rsidR="009966CB" w:rsidRPr="009966CB" w14:paraId="73DB8578" w14:textId="77777777" w:rsidTr="009966CB">
        <w:tc>
          <w:tcPr>
            <w:tcW w:w="1558" w:type="dxa"/>
            <w:hideMark/>
          </w:tcPr>
          <w:p w14:paraId="55903F84"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South Carolina</w:t>
            </w:r>
          </w:p>
        </w:tc>
        <w:tc>
          <w:tcPr>
            <w:tcW w:w="1558" w:type="dxa"/>
            <w:hideMark/>
          </w:tcPr>
          <w:p w14:paraId="19E18C4A"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34.0%</w:t>
            </w:r>
          </w:p>
        </w:tc>
        <w:tc>
          <w:tcPr>
            <w:tcW w:w="1559" w:type="dxa"/>
            <w:hideMark/>
          </w:tcPr>
          <w:p w14:paraId="7CCFA47B"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57</w:t>
            </w:r>
          </w:p>
        </w:tc>
        <w:tc>
          <w:tcPr>
            <w:tcW w:w="1558" w:type="dxa"/>
            <w:hideMark/>
          </w:tcPr>
          <w:p w14:paraId="44E60C54"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84.1%</w:t>
            </w:r>
          </w:p>
        </w:tc>
        <w:tc>
          <w:tcPr>
            <w:tcW w:w="1558" w:type="dxa"/>
            <w:hideMark/>
          </w:tcPr>
          <w:p w14:paraId="4873BFEB"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$5.6</w:t>
            </w:r>
          </w:p>
        </w:tc>
        <w:tc>
          <w:tcPr>
            <w:tcW w:w="1559" w:type="dxa"/>
            <w:hideMark/>
          </w:tcPr>
          <w:p w14:paraId="1B966633"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6.2%</w:t>
            </w:r>
          </w:p>
        </w:tc>
      </w:tr>
      <w:tr w:rsidR="009966CB" w:rsidRPr="009966CB" w14:paraId="6F6E1400" w14:textId="77777777" w:rsidTr="009966CB">
        <w:tc>
          <w:tcPr>
            <w:tcW w:w="1558" w:type="dxa"/>
            <w:hideMark/>
          </w:tcPr>
          <w:p w14:paraId="479C4FB8"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Tennessee</w:t>
            </w:r>
          </w:p>
        </w:tc>
        <w:tc>
          <w:tcPr>
            <w:tcW w:w="1558" w:type="dxa"/>
            <w:hideMark/>
          </w:tcPr>
          <w:p w14:paraId="52AB1AE3"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33.9%</w:t>
            </w:r>
          </w:p>
        </w:tc>
        <w:tc>
          <w:tcPr>
            <w:tcW w:w="1559" w:type="dxa"/>
            <w:hideMark/>
          </w:tcPr>
          <w:p w14:paraId="09335687"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1,053</w:t>
            </w:r>
          </w:p>
        </w:tc>
        <w:tc>
          <w:tcPr>
            <w:tcW w:w="1558" w:type="dxa"/>
            <w:hideMark/>
          </w:tcPr>
          <w:p w14:paraId="118B2747"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69.2%</w:t>
            </w:r>
          </w:p>
        </w:tc>
        <w:tc>
          <w:tcPr>
            <w:tcW w:w="1558" w:type="dxa"/>
            <w:hideMark/>
          </w:tcPr>
          <w:p w14:paraId="226E850B"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$30.5</w:t>
            </w:r>
          </w:p>
        </w:tc>
        <w:tc>
          <w:tcPr>
            <w:tcW w:w="1559" w:type="dxa"/>
            <w:hideMark/>
          </w:tcPr>
          <w:p w14:paraId="04F2BDF5"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61.7%</w:t>
            </w:r>
          </w:p>
        </w:tc>
      </w:tr>
      <w:tr w:rsidR="009966CB" w:rsidRPr="009966CB" w14:paraId="42EF903C" w14:textId="77777777" w:rsidTr="009966CB">
        <w:tc>
          <w:tcPr>
            <w:tcW w:w="1558" w:type="dxa"/>
            <w:hideMark/>
          </w:tcPr>
          <w:p w14:paraId="6D024673"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Wisconsin</w:t>
            </w:r>
          </w:p>
        </w:tc>
        <w:tc>
          <w:tcPr>
            <w:tcW w:w="1558" w:type="dxa"/>
            <w:hideMark/>
          </w:tcPr>
          <w:p w14:paraId="0B558CC3"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33.8%</w:t>
            </w:r>
          </w:p>
        </w:tc>
        <w:tc>
          <w:tcPr>
            <w:tcW w:w="1559" w:type="dxa"/>
            <w:hideMark/>
          </w:tcPr>
          <w:p w14:paraId="6C05C65D"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1,028</w:t>
            </w:r>
          </w:p>
        </w:tc>
        <w:tc>
          <w:tcPr>
            <w:tcW w:w="1558" w:type="dxa"/>
            <w:hideMark/>
          </w:tcPr>
          <w:p w14:paraId="3497E076"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60.0%</w:t>
            </w:r>
          </w:p>
        </w:tc>
        <w:tc>
          <w:tcPr>
            <w:tcW w:w="1558" w:type="dxa"/>
            <w:hideMark/>
          </w:tcPr>
          <w:p w14:paraId="418AE051"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$63.4</w:t>
            </w:r>
          </w:p>
        </w:tc>
        <w:tc>
          <w:tcPr>
            <w:tcW w:w="1559" w:type="dxa"/>
            <w:hideMark/>
          </w:tcPr>
          <w:p w14:paraId="07CC47EA"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17.7%</w:t>
            </w:r>
          </w:p>
        </w:tc>
      </w:tr>
      <w:tr w:rsidR="009966CB" w:rsidRPr="009966CB" w14:paraId="55D39B64" w14:textId="77777777" w:rsidTr="009966CB">
        <w:tc>
          <w:tcPr>
            <w:tcW w:w="1558" w:type="dxa"/>
            <w:hideMark/>
          </w:tcPr>
          <w:p w14:paraId="7B7D186C"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Missouri</w:t>
            </w:r>
          </w:p>
        </w:tc>
        <w:tc>
          <w:tcPr>
            <w:tcW w:w="1558" w:type="dxa"/>
            <w:hideMark/>
          </w:tcPr>
          <w:p w14:paraId="091EE425"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33.7%</w:t>
            </w:r>
          </w:p>
        </w:tc>
        <w:tc>
          <w:tcPr>
            <w:tcW w:w="1559" w:type="dxa"/>
            <w:hideMark/>
          </w:tcPr>
          <w:p w14:paraId="01230B21"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1,524</w:t>
            </w:r>
          </w:p>
        </w:tc>
        <w:tc>
          <w:tcPr>
            <w:tcW w:w="1558" w:type="dxa"/>
            <w:hideMark/>
          </w:tcPr>
          <w:p w14:paraId="386EA07E"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25.0%</w:t>
            </w:r>
          </w:p>
        </w:tc>
        <w:tc>
          <w:tcPr>
            <w:tcW w:w="1558" w:type="dxa"/>
            <w:hideMark/>
          </w:tcPr>
          <w:p w14:paraId="070FE1C3"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$18.3</w:t>
            </w:r>
          </w:p>
        </w:tc>
        <w:tc>
          <w:tcPr>
            <w:tcW w:w="1559" w:type="dxa"/>
            <w:hideMark/>
          </w:tcPr>
          <w:p w14:paraId="0754A892"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34.2%</w:t>
            </w:r>
          </w:p>
        </w:tc>
      </w:tr>
      <w:tr w:rsidR="009966CB" w:rsidRPr="009966CB" w14:paraId="31AD9E63" w14:textId="77777777" w:rsidTr="009966CB">
        <w:tc>
          <w:tcPr>
            <w:tcW w:w="1558" w:type="dxa"/>
            <w:hideMark/>
          </w:tcPr>
          <w:p w14:paraId="31FD2791"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Idaho</w:t>
            </w:r>
          </w:p>
        </w:tc>
        <w:tc>
          <w:tcPr>
            <w:tcW w:w="1558" w:type="dxa"/>
            <w:hideMark/>
          </w:tcPr>
          <w:p w14:paraId="57E3B027"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33.6%</w:t>
            </w:r>
          </w:p>
        </w:tc>
        <w:tc>
          <w:tcPr>
            <w:tcW w:w="1559" w:type="dxa"/>
            <w:hideMark/>
          </w:tcPr>
          <w:p w14:paraId="54E9B723"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932</w:t>
            </w:r>
          </w:p>
        </w:tc>
        <w:tc>
          <w:tcPr>
            <w:tcW w:w="1558" w:type="dxa"/>
            <w:hideMark/>
          </w:tcPr>
          <w:p w14:paraId="252393EE"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52.6%</w:t>
            </w:r>
          </w:p>
        </w:tc>
        <w:tc>
          <w:tcPr>
            <w:tcW w:w="1558" w:type="dxa"/>
            <w:hideMark/>
          </w:tcPr>
          <w:p w14:paraId="60EEDF9C"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$64.8</w:t>
            </w:r>
          </w:p>
        </w:tc>
        <w:tc>
          <w:tcPr>
            <w:tcW w:w="1559" w:type="dxa"/>
            <w:hideMark/>
          </w:tcPr>
          <w:p w14:paraId="47054ED2"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39.1%</w:t>
            </w:r>
          </w:p>
        </w:tc>
      </w:tr>
      <w:tr w:rsidR="009966CB" w:rsidRPr="009966CB" w14:paraId="22C90243" w14:textId="77777777" w:rsidTr="009966CB">
        <w:tc>
          <w:tcPr>
            <w:tcW w:w="1558" w:type="dxa"/>
            <w:hideMark/>
          </w:tcPr>
          <w:p w14:paraId="6CA21C78"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Indiana</w:t>
            </w:r>
          </w:p>
        </w:tc>
        <w:tc>
          <w:tcPr>
            <w:tcW w:w="1558" w:type="dxa"/>
            <w:hideMark/>
          </w:tcPr>
          <w:p w14:paraId="222B2600"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33.5%</w:t>
            </w:r>
          </w:p>
        </w:tc>
        <w:tc>
          <w:tcPr>
            <w:tcW w:w="1559" w:type="dxa"/>
            <w:hideMark/>
          </w:tcPr>
          <w:p w14:paraId="6C5D91F5"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813</w:t>
            </w:r>
          </w:p>
        </w:tc>
        <w:tc>
          <w:tcPr>
            <w:tcW w:w="1558" w:type="dxa"/>
            <w:hideMark/>
          </w:tcPr>
          <w:p w14:paraId="5CB55A8A"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77.1%</w:t>
            </w:r>
          </w:p>
        </w:tc>
        <w:tc>
          <w:tcPr>
            <w:tcW w:w="1558" w:type="dxa"/>
            <w:hideMark/>
          </w:tcPr>
          <w:p w14:paraId="345F47C2"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$66.7</w:t>
            </w:r>
          </w:p>
        </w:tc>
        <w:tc>
          <w:tcPr>
            <w:tcW w:w="1559" w:type="dxa"/>
            <w:hideMark/>
          </w:tcPr>
          <w:p w14:paraId="4650BF55"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45.7%</w:t>
            </w:r>
          </w:p>
        </w:tc>
      </w:tr>
      <w:tr w:rsidR="009966CB" w:rsidRPr="009966CB" w14:paraId="68BDDC9F" w14:textId="77777777" w:rsidTr="009966CB">
        <w:tc>
          <w:tcPr>
            <w:tcW w:w="1558" w:type="dxa"/>
            <w:hideMark/>
          </w:tcPr>
          <w:p w14:paraId="14688AC7"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Nebraska</w:t>
            </w:r>
          </w:p>
        </w:tc>
        <w:tc>
          <w:tcPr>
            <w:tcW w:w="1558" w:type="dxa"/>
            <w:hideMark/>
          </w:tcPr>
          <w:p w14:paraId="09A09DE2"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29.8%</w:t>
            </w:r>
          </w:p>
        </w:tc>
        <w:tc>
          <w:tcPr>
            <w:tcW w:w="1559" w:type="dxa"/>
            <w:hideMark/>
          </w:tcPr>
          <w:p w14:paraId="71D5934E"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803</w:t>
            </w:r>
          </w:p>
        </w:tc>
        <w:tc>
          <w:tcPr>
            <w:tcW w:w="1558" w:type="dxa"/>
            <w:hideMark/>
          </w:tcPr>
          <w:p w14:paraId="29811DFC"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60.3%</w:t>
            </w:r>
          </w:p>
        </w:tc>
        <w:tc>
          <w:tcPr>
            <w:tcW w:w="1558" w:type="dxa"/>
            <w:hideMark/>
          </w:tcPr>
          <w:p w14:paraId="59680FC2"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$91.9</w:t>
            </w:r>
          </w:p>
        </w:tc>
        <w:tc>
          <w:tcPr>
            <w:tcW w:w="1559" w:type="dxa"/>
            <w:hideMark/>
          </w:tcPr>
          <w:p w14:paraId="08315CB2"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20.0%</w:t>
            </w:r>
          </w:p>
        </w:tc>
      </w:tr>
      <w:tr w:rsidR="009966CB" w:rsidRPr="009966CB" w14:paraId="49400D55" w14:textId="77777777" w:rsidTr="009966CB">
        <w:tc>
          <w:tcPr>
            <w:tcW w:w="1558" w:type="dxa"/>
            <w:hideMark/>
          </w:tcPr>
          <w:p w14:paraId="56C5B64C"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Louisiana</w:t>
            </w:r>
          </w:p>
        </w:tc>
        <w:tc>
          <w:tcPr>
            <w:tcW w:w="1558" w:type="dxa"/>
            <w:hideMark/>
          </w:tcPr>
          <w:p w14:paraId="79EF6915"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29.6%</w:t>
            </w:r>
          </w:p>
        </w:tc>
        <w:tc>
          <w:tcPr>
            <w:tcW w:w="1559" w:type="dxa"/>
            <w:hideMark/>
          </w:tcPr>
          <w:p w14:paraId="709F44E9"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1,032</w:t>
            </w:r>
          </w:p>
        </w:tc>
        <w:tc>
          <w:tcPr>
            <w:tcW w:w="1558" w:type="dxa"/>
            <w:hideMark/>
          </w:tcPr>
          <w:p w14:paraId="29238945"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65.9%</w:t>
            </w:r>
          </w:p>
        </w:tc>
        <w:tc>
          <w:tcPr>
            <w:tcW w:w="1558" w:type="dxa"/>
            <w:hideMark/>
          </w:tcPr>
          <w:p w14:paraId="5355E1D3"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$61.9</w:t>
            </w:r>
          </w:p>
        </w:tc>
        <w:tc>
          <w:tcPr>
            <w:tcW w:w="1559" w:type="dxa"/>
            <w:hideMark/>
          </w:tcPr>
          <w:p w14:paraId="20C5399D"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34.3%</w:t>
            </w:r>
          </w:p>
        </w:tc>
      </w:tr>
      <w:tr w:rsidR="009966CB" w:rsidRPr="009966CB" w14:paraId="05F7178D" w14:textId="77777777" w:rsidTr="009966CB">
        <w:tc>
          <w:tcPr>
            <w:tcW w:w="1558" w:type="dxa"/>
            <w:hideMark/>
          </w:tcPr>
          <w:p w14:paraId="394C52CA"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Minnesota</w:t>
            </w:r>
          </w:p>
        </w:tc>
        <w:tc>
          <w:tcPr>
            <w:tcW w:w="1558" w:type="dxa"/>
            <w:hideMark/>
          </w:tcPr>
          <w:p w14:paraId="4010F237"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29.4%</w:t>
            </w:r>
          </w:p>
        </w:tc>
        <w:tc>
          <w:tcPr>
            <w:tcW w:w="1559" w:type="dxa"/>
            <w:hideMark/>
          </w:tcPr>
          <w:p w14:paraId="6528F1DC"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112</w:t>
            </w:r>
          </w:p>
        </w:tc>
        <w:tc>
          <w:tcPr>
            <w:tcW w:w="1558" w:type="dxa"/>
            <w:hideMark/>
          </w:tcPr>
          <w:p w14:paraId="6ED36281"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52.6%</w:t>
            </w:r>
          </w:p>
        </w:tc>
        <w:tc>
          <w:tcPr>
            <w:tcW w:w="1558" w:type="dxa"/>
            <w:hideMark/>
          </w:tcPr>
          <w:p w14:paraId="3E76EA0C"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$43.3</w:t>
            </w:r>
          </w:p>
        </w:tc>
        <w:tc>
          <w:tcPr>
            <w:tcW w:w="1559" w:type="dxa"/>
            <w:hideMark/>
          </w:tcPr>
          <w:p w14:paraId="72FD9982" w14:textId="77777777" w:rsidR="009966CB" w:rsidRPr="009966CB" w:rsidRDefault="009966CB" w:rsidP="009966CB">
            <w:pPr>
              <w:spacing w:after="160"/>
              <w:jc w:val="both"/>
              <w:rPr>
                <w:rFonts w:ascii="Times New Roman" w:hAnsi="Times New Roman" w:cs="Times New Roman"/>
              </w:rPr>
            </w:pPr>
            <w:r w:rsidRPr="009966CB">
              <w:rPr>
                <w:rFonts w:ascii="Times New Roman" w:hAnsi="Times New Roman" w:cs="Times New Roman"/>
              </w:rPr>
              <w:t>25.6%</w:t>
            </w:r>
          </w:p>
        </w:tc>
      </w:tr>
    </w:tbl>
    <w:p w14:paraId="1C104B0E" w14:textId="77777777" w:rsidR="009966CB" w:rsidRDefault="009966CB" w:rsidP="00A77ECF">
      <w:pPr>
        <w:spacing w:line="480" w:lineRule="auto"/>
        <w:jc w:val="both"/>
        <w:rPr>
          <w:rFonts w:ascii="Times New Roman" w:hAnsi="Times New Roman" w:cs="Times New Roman"/>
        </w:rPr>
      </w:pPr>
    </w:p>
    <w:p w14:paraId="14E364D1" w14:textId="76A012E7" w:rsidR="006F6597" w:rsidRPr="006F6597" w:rsidRDefault="00A77ECF" w:rsidP="006F6597">
      <w:pPr>
        <w:spacing w:line="480" w:lineRule="auto"/>
        <w:jc w:val="both"/>
        <w:rPr>
          <w:rFonts w:ascii="Times New Roman" w:hAnsi="Times New Roman" w:cs="Times New Roman"/>
        </w:rPr>
      </w:pPr>
      <w:r w:rsidRPr="00A77ECF">
        <w:rPr>
          <w:rFonts w:ascii="Times New Roman" w:hAnsi="Times New Roman" w:cs="Times New Roman"/>
        </w:rPr>
        <w:t xml:space="preserve">These banks serve as a primary source of credit for small businesses, farmers, and individuals, often establishing strong relationships with local customers and tailoring financial products to meet community needs </w:t>
      </w:r>
      <w:r w:rsidR="00EF1F33">
        <w:rPr>
          <w:rFonts w:ascii="Times New Roman" w:hAnsi="Times New Roman" w:cs="Times New Roman"/>
        </w:rPr>
        <w:fldChar w:fldCharType="begin" w:fldLock="1"/>
      </w:r>
      <w:r w:rsidR="00E1754E">
        <w:rPr>
          <w:rFonts w:ascii="Times New Roman" w:hAnsi="Times New Roman" w:cs="Times New Roman"/>
        </w:rPr>
        <w:instrText>ADDIN CSL_CITATION {"citationItems":[{"id":"ITEM-1","itemData":{"ISSN":"12045357","abstract":"SMEs all over the world play a strong role in national development. This is attributed to the massive employment it provides to the citizenry of the country where it exists. The financing of these “goose” which have being laying so many golden eggs has come under scrutiny by academics and practitioners. Due to the recognition accorded this very important sector, the Nigerian government established microfinance banks in the year 2007 to serve as mechanisms for financial sources for various SMEs. This study explored the roles of these micro finance banks and institutions on small and medium enterprises as well as the extent to which the small businesses have benefited from the credit scheme of microfinance banks. Primary data was obtained via interviews conducted in 15 small businesses across Lagos state with their responses summarized in tables. This study advocates the recapitalization of microfinance banks to enhance their capacity to support small business growth and expansion and also to bring to the knowledge of the management of microfinance banks and institutions the impact of the use of collaterals as a condition for granting credit to small businesses.","author":[{"dropping-particle":"","family":"Taiwo","given":"J. N.","non-dropping-particle":"","parse-names":false,"suffix":""},{"dropping-particle":"","family":"Yewande","given":"Onasanya A.","non-dropping-particle":"","parse-names":false,"suffix":""},{"dropping-particle":"","family":"Edwin","given":"Agwu M.","non-dropping-particle":"","parse-names":false,"suffix":""},{"dropping-particle":"","family":"Benson","given":"K. N.","non-dropping-particle":"","parse-names":false,"suffix":""}],"container-title":"Journal of Internet Banking and Commerce","id":"ITEM-1","issue":"1","issued":{"date-parts":[["2016"]]},"page":"1-20","title":"The role of microfinance institutions in financing small businesses","type":"article-journal","volume":"21"},"uris":["http://www.mendeley.com/documents/?uuid=c9bb0217-67e5-4866-aed8-bd242e0abf79"]}],"mendeley":{"formattedCitation":"(Taiwo et al., 2016)","plainTextFormattedCitation":"(Taiwo et al., 2016)","previouslyFormattedCitation":"(Taiwo et al., 2016)"},"properties":{"noteIndex":0},"schema":"https://github.com/citation-style-language/schema/raw/master/csl-citation.json"}</w:instrText>
      </w:r>
      <w:r w:rsidR="00EF1F33">
        <w:rPr>
          <w:rFonts w:ascii="Times New Roman" w:hAnsi="Times New Roman" w:cs="Times New Roman"/>
        </w:rPr>
        <w:fldChar w:fldCharType="separate"/>
      </w:r>
      <w:r w:rsidR="00EF1F33" w:rsidRPr="00EF1F33">
        <w:rPr>
          <w:rFonts w:ascii="Times New Roman" w:hAnsi="Times New Roman" w:cs="Times New Roman"/>
          <w:noProof/>
        </w:rPr>
        <w:t>(Taiwo et al., 2016)</w:t>
      </w:r>
      <w:r w:rsidR="00EF1F33">
        <w:rPr>
          <w:rFonts w:ascii="Times New Roman" w:hAnsi="Times New Roman" w:cs="Times New Roman"/>
        </w:rPr>
        <w:fldChar w:fldCharType="end"/>
      </w:r>
      <w:r w:rsidRPr="00A77ECF">
        <w:rPr>
          <w:rFonts w:ascii="Times New Roman" w:hAnsi="Times New Roman" w:cs="Times New Roman"/>
        </w:rPr>
        <w:t xml:space="preserve">. Their localized decision-making processes and deep </w:t>
      </w:r>
      <w:r w:rsidRPr="00A77ECF">
        <w:rPr>
          <w:rFonts w:ascii="Times New Roman" w:hAnsi="Times New Roman" w:cs="Times New Roman"/>
        </w:rPr>
        <w:lastRenderedPageBreak/>
        <w:t xml:space="preserve">community ties enable them to respond more effectively to the unique financial demands of their regions compared to larger financial institutions. However, community banks face several key risk factors that threaten their resilience and long-term sustainability. Credit risk is a significant challenge, as these banks tend to have concentrated loan portfolios in specific geographic areas or industries, making them vulnerable to economic downturns and defaults </w:t>
      </w:r>
      <w:r w:rsidR="00E1754E">
        <w:rPr>
          <w:rFonts w:ascii="Times New Roman" w:hAnsi="Times New Roman" w:cs="Times New Roman"/>
        </w:rPr>
        <w:fldChar w:fldCharType="begin" w:fldLock="1"/>
      </w:r>
      <w:r w:rsidR="007A623F">
        <w:rPr>
          <w:rFonts w:ascii="Times New Roman" w:hAnsi="Times New Roman" w:cs="Times New Roman"/>
        </w:rPr>
        <w:instrText>ADDIN CSL_CITATION {"citationItems":[{"id":"ITEM-1","itemData":{"DOI":"10.1111/jofi.12235","ISSN":"15406261","abstract":"The largest commercial bank stocks, ranked by total size of the balance sheet, have significantly lower risk-adjusted returns than small- and medium-sized bank stocks, even though large banks are significantly more levered. We uncover a size factor in the component of bank returns that is orthogonal to the standard risk factors, including small minus big, which has the right covariance with bank returns to explain the average risk-adjusted returns. This factor measures size-dependent exposure to bank-specific tail risk. These findings are consistent with government guarantees that protect shareholders of large banks, but not small banks, in disaster states.","author":[{"dropping-particle":"","family":"Gandhi","given":"Priyank","non-dropping-particle":"","parse-names":false,"suffix":""},{"dropping-particle":"","family":"Lustig","given":"Hanno","non-dropping-particle":"","parse-names":false,"suffix":""}],"container-title":"Journal of Finance","id":"ITEM-1","issue":"2","issued":{"date-parts":[["2015"]]},"page":"733-768","title":"Size Anomalies in U.S. Bank Stock Returns","type":"article-journal","volume":"70"},"uris":["http://www.mendeley.com/documents/?uuid=91c0b6ef-9c9c-46d7-b5b9-ddbfa17705fe"]},{"id":"ITEM-2","itemData":{"abstract":"This working paper focuses on the plight of community banks in the United States. It begins by examining different definitions of what constitutes a community bank, and goes on to review what makes these institutions unique and distinguishes them from larger regional or national peers. Our assessment of Federal Deposit Insurance Corporation data finds that community banks service a disproportionately large amount of key segments of the U.S. commercial bank lending market-specifically, agricultural, residential mortgage, and small business loans. However, community banks' share of U.S. banking assets and lending markets has fallen from over 40 percent in 1994 to around 20 percent today. Interestingly, we find that community banks emerged from the financial crisis with a market share 6 percent lower, but since the second quarter of 2010-around the time of the passage of the Dodd-Frank Act-their share of U.S. commercial banking assets has declined at a rate almost double that between the second quarters of 2006 and 2010. Particularly troubling is community banks' declining market share in several key lending markets, their decline in small business lending volume, and the disproportionate losses being realized by particularly small community banks. We review studies on the impact of regulation, consumer trends and other factors on community banks, and examine the consequences of consolidation on U.S. lending markets. We conclude with a discussion of policies that could promote a more competitive and robust banking sector. JEL Codes: G21, G28, K23 Acknowledgements We deeply thank Robert Glauber for the critical role he played in guiding and improving our research. We also gratefully acknowledge the support and helpful insights of","author":[{"dropping-particle":"","family":"Lux Robert Greene","given":"Marshall","non-dropping-particle":"","parse-names":false,"suffix":""},{"dropping-particle":"","family":"Lux","given":"Marshall","non-dropping-particle":"","parse-names":false,"suffix":""},{"dropping-particle":"","family":"Greene","given":"Robert","non-dropping-particle":"","parse-names":false,"suffix":""},{"dropping-particle":"","family":"Bair","given":"Sheila","non-dropping-particle":"","parse-names":false,"suffix":""},{"dropping-particle":"","family":"Fondiller","given":"Dave","non-dropping-particle":"","parse-names":false,"suffix":""},{"dropping-particle":"","family":"Getter","given":"Darryl","non-dropping-particle":"","parse-names":false,"suffix":""},{"dropping-particle":"","family":"Hadley","given":"Ryan","non-dropping-particle":"","parse-names":false,"suffix":""},{"dropping-particle":"","family":"Haigh","given":"John","non-dropping-particle":"","parse-names":false,"suffix":""},{"dropping-particle":"","family":"Harris-Gibson","given":"Caroline","non-dropping-particle":"","parse-names":false,"suffix":""},{"dropping-particle":"","family":"Jorde","given":"Terry","non-dropping-particle":"","parse-names":false,"suffix":""},{"dropping-particle":"","family":"Leland","given":"Scott","non-dropping-particle":"","parse-names":false,"suffix":""},{"dropping-particle":"","family":"Mills","given":"Karen","non-dropping-particle":"","parse-names":false,"suffix":""},{"dropping-particle":"","family":"Nash","given":"Jennifer","non-dropping-particle":"","parse-names":false,"suffix":""},{"dropping-particle":"","family":"Peirce","given":"Hester","non-dropping-particle":"","parse-names":false,"suffix":""},{"dropping-particle":"","family":"Perdue","given":"Pam","non-dropping-particle":"","parse-names":false,"suffix":""},{"dropping-particle":"","family":"Scott","given":"Hal","non-dropping-particle":"","parse-names":false,"suffix":""},{"dropping-particle":"","family":"Segel","given":"James","non-dropping-particle":"","parse-names":false,"suffix":""},{"dropping-particle":"","family":"Zeckhauser","given":"Richard","non-dropping-particle":"","parse-names":false,"suffix":""}],"id":"ITEM-2","issue":"37","issued":{"date-parts":[["2015"]]},"title":"M-RCBG Associate Working Paper Series | No. 37 The State and Fate of Community Banking The State and Fate of Community Banking","type":"article-journal"},"uris":["http://www.mendeley.com/documents/?uuid=b945909a-d6f5-4242-bfce-26caeb2806a9"]}],"mendeley":{"formattedCitation":"(Gandhi &amp; Lustig, 2015; Lux Robert Greene et al., 2015)","plainTextFormattedCitation":"(Gandhi &amp; Lustig, 2015; Lux Robert Greene et al., 2015)","previouslyFormattedCitation":"(Gandhi &amp; Lustig, 2015; Lux Robert Greene et al., 2015)"},"properties":{"noteIndex":0},"schema":"https://github.com/citation-style-language/schema/raw/master/csl-citation.json"}</w:instrText>
      </w:r>
      <w:r w:rsidR="00E1754E">
        <w:rPr>
          <w:rFonts w:ascii="Times New Roman" w:hAnsi="Times New Roman" w:cs="Times New Roman"/>
        </w:rPr>
        <w:fldChar w:fldCharType="separate"/>
      </w:r>
      <w:r w:rsidR="00E1754E" w:rsidRPr="00E1754E">
        <w:rPr>
          <w:rFonts w:ascii="Times New Roman" w:hAnsi="Times New Roman" w:cs="Times New Roman"/>
          <w:noProof/>
        </w:rPr>
        <w:t>(Gandhi &amp; Lustig, 2015; Lux Robert Greene et al., 2015)</w:t>
      </w:r>
      <w:r w:rsidR="00E1754E">
        <w:rPr>
          <w:rFonts w:ascii="Times New Roman" w:hAnsi="Times New Roman" w:cs="Times New Roman"/>
        </w:rPr>
        <w:fldChar w:fldCharType="end"/>
      </w:r>
      <w:r w:rsidRPr="00A77ECF">
        <w:rPr>
          <w:rFonts w:ascii="Times New Roman" w:hAnsi="Times New Roman" w:cs="Times New Roman"/>
        </w:rPr>
        <w:t xml:space="preserve">. </w:t>
      </w:r>
      <w:r w:rsidR="006F6597" w:rsidRPr="006F6597">
        <w:rPr>
          <w:rFonts w:ascii="Times New Roman" w:hAnsi="Times New Roman" w:cs="Times New Roman"/>
        </w:rPr>
        <w:t xml:space="preserve">Due to their heavy reliance on core deposits, community banks may find it difficult to get alternative funding sources during times of financial strain, making liquidity risk another significant worry. Community banks' stability is also greatly influenced by regulatory risk because adhering to changing financial laws, such </w:t>
      </w:r>
      <w:r w:rsidR="007A623F">
        <w:rPr>
          <w:rFonts w:ascii="Times New Roman" w:hAnsi="Times New Roman" w:cs="Times New Roman"/>
        </w:rPr>
        <w:t xml:space="preserve">as </w:t>
      </w:r>
      <w:r w:rsidR="006F6597" w:rsidRPr="006F6597">
        <w:rPr>
          <w:rFonts w:ascii="Times New Roman" w:hAnsi="Times New Roman" w:cs="Times New Roman"/>
        </w:rPr>
        <w:t xml:space="preserve">the Dodd-Frank Act, places a heavy operational and financial load on them. Market risk, which includes changes in interest rates and drops in asset values, can affect capital adequacy and profitability, especially when community banks depend on conventional banking operations like lending and </w:t>
      </w:r>
      <w:r w:rsidR="007A623F">
        <w:rPr>
          <w:rFonts w:ascii="Times New Roman" w:hAnsi="Times New Roman" w:cs="Times New Roman"/>
        </w:rPr>
        <w:t>deposit-taking</w:t>
      </w:r>
      <w:r w:rsidR="006F6597" w:rsidRPr="006F6597">
        <w:rPr>
          <w:rFonts w:ascii="Times New Roman" w:hAnsi="Times New Roman" w:cs="Times New Roman"/>
        </w:rPr>
        <w:t xml:space="preserve"> </w:t>
      </w:r>
      <w:r w:rsidR="007A623F">
        <w:rPr>
          <w:rFonts w:ascii="Times New Roman" w:hAnsi="Times New Roman" w:cs="Times New Roman"/>
        </w:rPr>
        <w:fldChar w:fldCharType="begin" w:fldLock="1"/>
      </w:r>
      <w:r w:rsidR="00DC6B0D">
        <w:rPr>
          <w:rFonts w:ascii="Times New Roman" w:hAnsi="Times New Roman" w:cs="Times New Roman"/>
        </w:rPr>
        <w:instrText>ADDIN CSL_CITATION {"citationItems":[{"id":"ITEM-1","itemData":{"abstract":"In recent years, community bankers and industry analysts have become concerned that small banks may need to grow larger to be successful. New electronic banking platforms--along with new regulations introduced after the 2007-09 financial crisis and recession--have increased fixed costs for all banks, which could place smaller banks at a competitive disadvantage relative to their larger competitors. Kristen Regehr and Rajdeep Sengupta examine whether the relationship between bank size and profitability has changed since the financial crisis. They find that the relationship has remained stable over time: both before and after the crisis, profitability increased with bank size but at a decreasing rate. Moreover, they find that banks need not grow larger to be successful: in achieving higher profitability, small differences in bank- and market-specific factors are equivalent to large differences in size.","author":[{"dropping-particle":"","family":"Regehr","given":"Kristen","non-dropping-particle":"","parse-names":false,"suffix":""},{"dropping-particle":"","family":"Sengupta","given":"Rajdeep","non-dropping-particle":"","parse-names":false,"suffix":""}],"container-title":"Economic Review","id":"ITEM-1","issue":"2","issued":{"date-parts":[["2016"]]},"page":"49-72","title":"Has the Relationship between Bank Size and Profitability Changed?","type":"article-journal","volume":"16"},"uris":["http://www.mendeley.com/documents/?uuid=9d5b611c-3106-4ecd-b721-ad8b8ef89dba"]},{"id":"ITEM-2","itemData":{"DOI":"10.7758/rsf.2017.3.1.02","ISSN":"23778261","abstract":"This article assesses the benefits and costs of key provisions of the Dodd-Frank Act that strengthened regulation following the financial crisis. The provisions are placed into five groupings: clear wins, clear losses, costly tradeoffs, unfinished business, and too soon to tell. Clear wins include higher prudential standards, including for capital; the single-point-of-entry resolution authority; creation of the Consumer Financial Protection Bureau; and greater transparency and oversight of derivatives. Clear losses are restrictions on Federal Reserve emergency lending authority and forcing the Federal Deposit Insurance Corporation to obtain permission from Congress before providing temporary liquidity guarantees. Costly tradeoffs are the Volcker Rule and the Lincoln Amendment. Unfinished business includes regulatory consolidation and more independence for the Financial Stability Oversight Council and the Office of Financial Research. Too soon to tell are requirements and standards for leverage ratios, capital buffers, stress testing, and liquidity requirements.","author":[{"dropping-particle":"","family":"Baily","given":"Martin Neil","non-dropping-particle":"","parse-names":false,"suffix":""},{"dropping-particle":"","family":"Klein","given":"Aaron","non-dropping-particle":"","parse-names":false,"suffix":""},{"dropping-particle":"","family":"Schardin","given":"Justin","non-dropping-particle":"","parse-names":false,"suffix":""}],"container-title":"Rsf","id":"ITEM-2","issue":"1","issued":{"date-parts":[["2017"]]},"page":"20-47","title":"The impact of the dodd-frank act on financial stability and economic growth","type":"article-journal","volume":"3"},"uris":["http://www.mendeley.com/documents/?uuid=ef81d86f-4fa1-4ff9-a311-f5c45471b2ed"]},{"id":"ITEM-3","itemData":{"DOI":"10.2139/ssrn.2490037","abstract":"The Dodd-Frank Wall Street Reform and Consumer Protection Act (Dodd-Frank) of 2010 provides for a wide variety of new regulatory and supervisory initiatives with the goal to promote a safer and sounder banking system. Our paper puts Dodd-Frank into a historical perspective, identifies its key features, discusses the implementation progress, and assesses whether the law will accomplish its objectives. We conclude that the approach in the law to financial regulatory reform is best described as a Band-Aid approach to financial regulation. A better approach in our view is one that strengthens market discipline on bank risk-taking and enhances competition so as to reduce the regulatory burden and enhance the efficiency and stability of the financial system. Dodd-Frank pays lip service to this objective with the creation of an Orderly Liquidation Authority and the Financial Stability Oversight Council, with the effectiveness of both these new bodies being very much in doubt. ","author":[{"dropping-particle":"","family":"Barth","given":"James R.","non-dropping-particle":"","parse-names":false,"suffix":""},{"dropping-particle":"","family":"Prabha","given":"Apanard P.","non-dropping-particle":"","parse-names":false,"suffix":""},{"dropping-particle":"","family":"Wihlborg","given":"Clas","non-dropping-particle":"","parse-names":false,"suffix":""}],"container-title":"SSRN Electronic Journal","id":"ITEM-3","issued":{"date-parts":[["2014"]]},"page":"1-44","title":"The Dodd-Frank Act: Key Features, Implementation Progress, and Financial System Impact","type":"article-journal"},"uris":["http://www.mendeley.com/documents/?uuid=43f4aac4-7868-443e-a070-43b5cdbb1444"]}],"mendeley":{"formattedCitation":"(Baily et al., 2017; Barth et al., 2014; Regehr &amp; Sengupta, 2016)","plainTextFormattedCitation":"(Baily et al., 2017; Barth et al., 2014; Regehr &amp; Sengupta, 2016)","previouslyFormattedCitation":"(Baily et al., 2017; Barth et al., 2014; Regehr &amp; Sengupta, 2016)"},"properties":{"noteIndex":0},"schema":"https://github.com/citation-style-language/schema/raw/master/csl-citation.json"}</w:instrText>
      </w:r>
      <w:r w:rsidR="007A623F">
        <w:rPr>
          <w:rFonts w:ascii="Times New Roman" w:hAnsi="Times New Roman" w:cs="Times New Roman"/>
        </w:rPr>
        <w:fldChar w:fldCharType="separate"/>
      </w:r>
      <w:r w:rsidR="00896597" w:rsidRPr="00896597">
        <w:rPr>
          <w:rFonts w:ascii="Times New Roman" w:hAnsi="Times New Roman" w:cs="Times New Roman"/>
          <w:noProof/>
        </w:rPr>
        <w:t>(Baily et al., 2017; Barth et al., 2014; Regehr &amp; Sengupta, 2016)</w:t>
      </w:r>
      <w:r w:rsidR="007A623F">
        <w:rPr>
          <w:rFonts w:ascii="Times New Roman" w:hAnsi="Times New Roman" w:cs="Times New Roman"/>
        </w:rPr>
        <w:fldChar w:fldCharType="end"/>
      </w:r>
      <w:r w:rsidR="006F6597" w:rsidRPr="006F6597">
        <w:rPr>
          <w:rFonts w:ascii="Times New Roman" w:hAnsi="Times New Roman" w:cs="Times New Roman"/>
        </w:rPr>
        <w:t>.</w:t>
      </w:r>
      <w:r w:rsidR="00377E9E">
        <w:rPr>
          <w:rFonts w:ascii="Times New Roman" w:hAnsi="Times New Roman" w:cs="Times New Roman"/>
        </w:rPr>
        <w:t xml:space="preserve"> </w:t>
      </w:r>
      <w:r w:rsidR="006F6597" w:rsidRPr="006F6597">
        <w:rPr>
          <w:rFonts w:ascii="Times New Roman" w:hAnsi="Times New Roman" w:cs="Times New Roman"/>
        </w:rPr>
        <w:t xml:space="preserve">Furthermore, community banks are increasingly </w:t>
      </w:r>
      <w:r w:rsidR="008C5768">
        <w:rPr>
          <w:rFonts w:ascii="Times New Roman" w:hAnsi="Times New Roman" w:cs="Times New Roman"/>
        </w:rPr>
        <w:t>in</w:t>
      </w:r>
      <w:r w:rsidR="006F6597" w:rsidRPr="006F6597">
        <w:rPr>
          <w:rFonts w:ascii="Times New Roman" w:hAnsi="Times New Roman" w:cs="Times New Roman"/>
        </w:rPr>
        <w:t xml:space="preserve"> danger from cybersecurity threats since financial institutions are increasingly the target of sophisticated and frequent cyberattacks, which calls for significant expenditures in cybersecurity infrastructure and risk management techniques</w:t>
      </w:r>
      <w:r w:rsidR="008C5768">
        <w:rPr>
          <w:rFonts w:ascii="Times New Roman" w:hAnsi="Times New Roman" w:cs="Times New Roman"/>
        </w:rPr>
        <w:t xml:space="preserve"> </w:t>
      </w:r>
      <w:r w:rsidR="00DC6B0D">
        <w:rPr>
          <w:rFonts w:ascii="Times New Roman" w:hAnsi="Times New Roman" w:cs="Times New Roman"/>
        </w:rPr>
        <w:fldChar w:fldCharType="begin" w:fldLock="1"/>
      </w:r>
      <w:r w:rsidR="00AA1750">
        <w:rPr>
          <w:rFonts w:ascii="Times New Roman" w:hAnsi="Times New Roman" w:cs="Times New Roman"/>
        </w:rPr>
        <w:instrText>ADDIN CSL_CITATION {"citationItems":[{"id":"ITEM-1","itemData":{"DOI":"10.30574/wjarr.2024.21.3.0707","abstract":"In an era where the digital transformation of the banking sector intersects with the escalating complexity of cyber threats, this paper endeavors to dissect the multifaceted realm of cybersecurity within the banking industry. With a backdrop of increasing online banking adoption and the concomitant rise in cybercrime, the study aims to illuminate the current cybersecurity landscape, evaluate the efficacy of existing frameworks and propose strategic enhancements to fortify digital defenses. Employing a methodological amalgam of literature review and analysis of recent cybersecurity incidents, this investigation delves into the intricacies of cyber threats, the financial repercussions of breaches and the robustness of current cybersecurity measures in banking. The scope of this paper encompasses a comprehensive examination of recent cyber incidents, an assessment of the financial impact of cyber-attacks, an evaluation of the effectiveness of existing cybersecurity frameworks and the formulation of strategic recommendations for bolstering cybersecurity measures. Through this scholarly inquiry, key findings emerge, highlighting the critical need for dynamic cybersecurity strategies that integrate advanced technologies, promote regulatory compliance and foster a culture of cybersecurity awareness. Conclusively, the study posits that the banking sector must embrace a holistic and adaptive approach to cybersecurity, underscored by strategic investments in technology, education, and collaboration. Recommendations advocate for the integration of Big Data analytics, artificial intelligence and continuous risk assessment methodologies to navigate the evolving cyber threat landscape effectively. This paper serves as a clarion call to banking institutions, urging a reinvigorated commitment to cybersecurity resilience in safeguarding financial assets and customer trust against the backdrop of digital transformation.","author":[{"dropping-particle":"","family":"Adedoyin Tolulope Oyewole","given":"","non-dropping-particle":"","parse-names":false,"suffix":""},{"dropping-particle":"","family":"Chinwe Chinazo Okoye","given":"","non-dropping-particle":"","parse-names":false,"suffix":""},{"dropping-particle":"","family":"Onyeka Chrisanctus Ofodile","given":"","non-dropping-particle":"","parse-names":false,"suffix":""},{"dropping-particle":"","family":"Chinonye Esther Ugochukwu","given":"","non-dropping-particle":"","parse-names":false,"suffix":""}],"container-title":"World Journal of Advanced Research and Reviews","id":"ITEM-1","issue":"3","issued":{"date-parts":[["2024"]]},"page":"625-643","title":"Cybersecurity risks in online banking: A detailed review and preventive strategies applicatio","type":"article-journal","volume":"21"},"uris":["http://www.mendeley.com/documents/?uuid=b3f5eed5-80ec-4832-9001-9fc849c29d8c"]}],"mendeley":{"formattedCitation":"(Adedoyin Tolulope Oyewole et al., 2024)","plainTextFormattedCitation":"(Adedoyin Tolulope Oyewole et al., 2024)","previouslyFormattedCitation":"(Adedoyin Tolulope Oyewole et al., 2024)"},"properties":{"noteIndex":0},"schema":"https://github.com/citation-style-language/schema/raw/master/csl-citation.json"}</w:instrText>
      </w:r>
      <w:r w:rsidR="00DC6B0D">
        <w:rPr>
          <w:rFonts w:ascii="Times New Roman" w:hAnsi="Times New Roman" w:cs="Times New Roman"/>
        </w:rPr>
        <w:fldChar w:fldCharType="separate"/>
      </w:r>
      <w:r w:rsidR="00DC6B0D" w:rsidRPr="00DC6B0D">
        <w:rPr>
          <w:rFonts w:ascii="Times New Roman" w:hAnsi="Times New Roman" w:cs="Times New Roman"/>
          <w:noProof/>
        </w:rPr>
        <w:t>(Adedoyin Tolulope Oyewole et al., 2024)</w:t>
      </w:r>
      <w:r w:rsidR="00DC6B0D">
        <w:rPr>
          <w:rFonts w:ascii="Times New Roman" w:hAnsi="Times New Roman" w:cs="Times New Roman"/>
        </w:rPr>
        <w:fldChar w:fldCharType="end"/>
      </w:r>
      <w:r w:rsidR="006F6597" w:rsidRPr="006F6597">
        <w:rPr>
          <w:rFonts w:ascii="Times New Roman" w:hAnsi="Times New Roman" w:cs="Times New Roman"/>
        </w:rPr>
        <w:t>. Community banks' vulnerabilities have been further brought to light by economic downturns and external shocks like the COVID-19 pandemic and the 2008 financial crisis, which frequently result in a rise in loan defaults, a decline in customer deposits, and general financial instability.</w:t>
      </w:r>
      <w:r w:rsidR="006F6597">
        <w:rPr>
          <w:rFonts w:ascii="Times New Roman" w:hAnsi="Times New Roman" w:cs="Times New Roman"/>
        </w:rPr>
        <w:t xml:space="preserve"> </w:t>
      </w:r>
      <w:r w:rsidR="006F6597" w:rsidRPr="006F6597">
        <w:rPr>
          <w:rFonts w:ascii="Times New Roman" w:hAnsi="Times New Roman" w:cs="Times New Roman"/>
        </w:rPr>
        <w:t xml:space="preserve">Community banks must implement strong risk management techniques, such as diverse loan portfolios, careful liquidity planning, regulatory compliance frameworks, and investments in cybersecurity and technology, </w:t>
      </w:r>
      <w:r w:rsidR="00AA1750">
        <w:rPr>
          <w:rFonts w:ascii="Times New Roman" w:hAnsi="Times New Roman" w:cs="Times New Roman"/>
        </w:rPr>
        <w:t>to</w:t>
      </w:r>
      <w:r w:rsidR="006F6597" w:rsidRPr="006F6597">
        <w:rPr>
          <w:rFonts w:ascii="Times New Roman" w:hAnsi="Times New Roman" w:cs="Times New Roman"/>
        </w:rPr>
        <w:t xml:space="preserve"> increase resilience</w:t>
      </w:r>
      <w:r w:rsidR="00AA1750">
        <w:rPr>
          <w:rFonts w:ascii="Times New Roman" w:hAnsi="Times New Roman" w:cs="Times New Roman"/>
        </w:rPr>
        <w:t xml:space="preserve"> </w:t>
      </w:r>
      <w:r w:rsidR="00AA1750">
        <w:rPr>
          <w:rFonts w:ascii="Times New Roman" w:hAnsi="Times New Roman" w:cs="Times New Roman"/>
        </w:rPr>
        <w:fldChar w:fldCharType="begin" w:fldLock="1"/>
      </w:r>
      <w:r w:rsidR="00DB010C">
        <w:rPr>
          <w:rFonts w:ascii="Times New Roman" w:hAnsi="Times New Roman" w:cs="Times New Roman"/>
        </w:rPr>
        <w:instrText>ADDIN CSL_CITATION {"citationItems":[{"id":"ITEM-1","itemData":{"author":[{"dropping-particle":"","family":"Ngo","given":"Christine Ngoc","non-dropping-particle":"","parse-names":false,"suffix":""}],"id":"ITEM-1","issue":"January","issued":{"date-parts":[["2020"]]},"title":"Since January 2020 Elsevier has created a COVID-19 resource centre with free information in English and Mandarin on the novel coronavirus COVID- 19 . The COVID-19 resource centre is hosted on Elsevier Connect , the company ' s public news and information website . Elsevier hereby grants permission to make all its COVID-19-related research that is available on the COVID-19 resource centre - including this research content - immediately available in PubMed Central and other publicly funded repositories , such as the WHO COVID database with rights for unrestricted research re-use and analyses in any form or by any means with acknowledgement of the original source . These permissions are granted for free by Elsevier for as long as the COVID-19 resource centre remains active . Foundations of Rural Resiliency : America during the COVID-19 Pandemic","type":"article-journal"},"uris":["http://www.mendeley.com/documents/?uuid=240507d0-b0e7-4f50-94b4-071db1337f40"]},{"id":"ITEM-2","itemData":{"abstract":"Drawing on lessons from the 2007–2009 Global Financial Crisis (GFC) and a simple conceptual framework, we examine the response of US bank regulators to the COVID-19 pandemic. We argue that the current regulatory strategy of “watchful waiting”—the same …","author":[{"dropping-particle":"","family":"Blank","given":"Michael","non-dropping-particle":"","parse-names":false,"suffix":""},{"dropping-particle":"","family":"Hanson","given":"Samuel G.","non-dropping-particle":"","parse-names":false,"suffix":""},{"dropping-particle":"","family":"Stein","given":"Jeremy C.","non-dropping-particle":"","parse-names":false,"suffix":""},{"dropping-particle":"","family":"Sunderam","given":"Aditya Vikram","non-dropping-particle":"","parse-names":false,"suffix":""}],"container-title":"Hutchins Center Working Paper n. 63","id":"ITEM-2","issued":{"date-parts":[["2020"]]},"title":"How Should US Bank Regulators Respond to the COVID-19 Crisis?","type":"article-journal"},"uris":["http://www.mendeley.com/documents/?uuid=467f7b75-55d2-425c-b6f8-c27415e90caa"]}],"mendeley":{"formattedCitation":"(Blank et al., 2020; Ngo, 2020)","plainTextFormattedCitation":"(Blank et al., 2020; Ngo, 2020)","previouslyFormattedCitation":"(Blank et al., 2020; Ngo, 2020)"},"properties":{"noteIndex":0},"schema":"https://github.com/citation-style-language/schema/raw/master/csl-citation.json"}</w:instrText>
      </w:r>
      <w:r w:rsidR="00AA1750">
        <w:rPr>
          <w:rFonts w:ascii="Times New Roman" w:hAnsi="Times New Roman" w:cs="Times New Roman"/>
        </w:rPr>
        <w:fldChar w:fldCharType="separate"/>
      </w:r>
      <w:r w:rsidR="00AA1750" w:rsidRPr="00AA1750">
        <w:rPr>
          <w:rFonts w:ascii="Times New Roman" w:hAnsi="Times New Roman" w:cs="Times New Roman"/>
          <w:noProof/>
        </w:rPr>
        <w:t>(Blank et al., 2020; Ngo, 2020)</w:t>
      </w:r>
      <w:r w:rsidR="00AA1750">
        <w:rPr>
          <w:rFonts w:ascii="Times New Roman" w:hAnsi="Times New Roman" w:cs="Times New Roman"/>
        </w:rPr>
        <w:fldChar w:fldCharType="end"/>
      </w:r>
      <w:r w:rsidR="006F6597" w:rsidRPr="006F6597">
        <w:rPr>
          <w:rFonts w:ascii="Times New Roman" w:hAnsi="Times New Roman" w:cs="Times New Roman"/>
        </w:rPr>
        <w:t xml:space="preserve">. Furthermore, ensuring long-term sustainability and reducing external shocks can be achieved by cultivating </w:t>
      </w:r>
      <w:r w:rsidR="006F6597" w:rsidRPr="006F6597">
        <w:rPr>
          <w:rFonts w:ascii="Times New Roman" w:hAnsi="Times New Roman" w:cs="Times New Roman"/>
        </w:rPr>
        <w:lastRenderedPageBreak/>
        <w:t>robust capital buffers and practicing sensible financial management. Community banks may keep playing a crucial role in promoting regional economic growth and preserving financial stability in their communities by taking proactive measures to address these major threats</w:t>
      </w:r>
      <w:r w:rsidR="00AA1750">
        <w:rPr>
          <w:rFonts w:ascii="Times New Roman" w:hAnsi="Times New Roman" w:cs="Times New Roman"/>
        </w:rPr>
        <w:t xml:space="preserve"> </w:t>
      </w:r>
      <w:r w:rsidR="00AA1750">
        <w:rPr>
          <w:rFonts w:ascii="Times New Roman" w:hAnsi="Times New Roman" w:cs="Times New Roman"/>
        </w:rPr>
        <w:fldChar w:fldCharType="begin" w:fldLock="1"/>
      </w:r>
      <w:r w:rsidR="00AA1750">
        <w:rPr>
          <w:rFonts w:ascii="Times New Roman" w:hAnsi="Times New Roman" w:cs="Times New Roman"/>
        </w:rPr>
        <w:instrText>ADDIN CSL_CITATION {"citationItems":[{"id":"ITEM-1","itemData":{"DOI":"10.1108/REPS-10-2020-0155","ISSN":"26313561","abstract":"Purpose: This paper aims to assess to what extent the COVID-19 shock is expected to create a debt crisis in emerging markets and developing economies (EMDEs) through two main questions: what are the main determinants of EMDEs external vulnerability? How vulnerable are EMDEs to the current COVID-19 shock compared to the global financial crisis (GFC)? Design/methodology/approach: In addition to a descriptive analysis of the determinants of EMDEs external vulnerability, this paper designs two sub-indices of overindebtedness and financial fragility that capture EMDEs’ distinct characteristics. The two sub-indices together illustrate the overall external vulnerability to the current shock. Findings: EMDEs are more vulnerable compared to the GFC era. Current debt threats arise mainly from debt architecture and the domination of volatile debt forms – primarily foreign currency-denominated bonds. Excessive fear of debt-deflation spirals after the GFC prompted EMDEs to expand their growth trajectories through a pattern of cheap private lending, loose measures and unmonitored fiscal expansion. Research limitations/implications: Conclusive post-crisis data are still unavailable. Practical implications: EMDEs need to balance between temporary accommodative measures and a post-shock policy mix that prevent a deflation spiral without worsening indebtedness and financial fragility. Moreover, financial prudence in face of growing credit demand is crucial, particularly in light of the monetary expansion and injected liquidity. Originality/value: The indices offer a framework for examining external vulnerability in EMDEs based on theoretical and historical revisions, IMF benchmarks and EMDEs specific debt characteristics. The indices components can be offered for empirical examination in separate future research once conclusive data become available.","author":[{"dropping-particle":"","family":"Elkhishin","given":"Sarah","non-dropping-particle":"","parse-names":false,"suffix":""},{"dropping-particle":"","family":"Mohieldin","given":"Mahmoud","non-dropping-particle":"","parse-names":false,"suffix":""}],"container-title":"Review of Economics and Political Science","id":"ITEM-1","issue":"1","issued":{"date-parts":[["2021"]]},"page":"24-47","title":"External debt vulnerability in emerging markets and developing economies during the COVID-19 shock","type":"article-journal","volume":"6"},"uris":["http://www.mendeley.com/documents/?uuid=84016ecc-4e52-47c7-8766-409d17766fe1"]},{"id":"ITEM-2","itemData":{"DOI":"10.1080/00074918.2021.1956397","ISSN":"14727234","abstract":"Indonesia’s economic contraction eased and its Covid-19 handling improved in the first quarter of 2021, with at least 13% of the targeted population receiving their first vaccination by the third week of June. The economic improvement was driven by external sectors, but the pace of the recovery differed considerably across sectors. This Survey looks at the balance sheets of corporations and the banking sector in the midst of the pandemic. We find that the worsening of corporate balance sheets may require government intervention to prevent liquidity problems from turning into solvency problems. While the banks’ capital position remains adequate, the deterioration of loan quality, reflecting real sector conditions, is worse than it appears. Recent stress testing of the banking sector confirms the potential vulnerabilities in the sector. We end the article by highlighting policies the government could consider to position Indonesia for a post-pandemic future, particularly over the next two years.","author":[{"dropping-particle":"","family":"Siregar","given":"Reza Y.","non-dropping-particle":"","parse-names":false,"suffix":""},{"dropping-particle":"","family":"Gunawan","given":"Anton H.","non-dropping-particle":"","parse-names":false,"suffix":""},{"dropping-particle":"","family":"Saputro","given":"Adhi N.","non-dropping-particle":"","parse-names":false,"suffix":""}],"container-title":"Bulletin of Indonesian Economic Studies","id":"ITEM-2","issue":"2","issued":{"date-parts":[["2021"]]},"page":"147-173","title":"Impact of the Covid-19 Shock on Banking and Corporate Sector Vulnerabilities in Indonesia","type":"article-journal","volume":"57"},"uris":["http://www.mendeley.com/documents/?uuid=c8dd380e-4c62-4259-9729-c8896269036f"]},{"id":"ITEM-3","itemData":{"author":[{"dropping-particle":"","family":"Kothari","given":"S P","non-dropping-particle":"","parse-names":false,"suffix":""},{"dropping-particle":"","family":"Blass","given":"Dalia","non-dropping-particle":"","parse-names":false,"suffix":""},{"dropping-particle":"","family":"Cohen","given":"Alan","non-dropping-particle":"","parse-names":false,"suffix":""},{"dropping-particle":"","family":"Rajpal","given":"Sumit","non-dropping-particle":"","parse-names":false,"suffix":""}],"id":"ITEM-3","issued":{"date-parts":[["2020"]]},"title":"US Credit Markets Interconnectedness and the Effects of the COVID-19 Economic Shock","type":"article-journal"},"uris":["http://www.mendeley.com/documents/?uuid=bb49a252-4d1b-4783-a596-c5e4d854f7bf"]}],"mendeley":{"formattedCitation":"(Elkhishin &amp; Mohieldin, 2021; Kothari et al., 2020; Siregar et al., 2021)","plainTextFormattedCitation":"(Elkhishin &amp; Mohieldin, 2021; Kothari et al., 2020; Siregar et al., 2021)","previouslyFormattedCitation":"(Elkhishin &amp; Mohieldin, 2021; Kothari et al., 2020; Siregar et al., 2021)"},"properties":{"noteIndex":0},"schema":"https://github.com/citation-style-language/schema/raw/master/csl-citation.json"}</w:instrText>
      </w:r>
      <w:r w:rsidR="00AA1750">
        <w:rPr>
          <w:rFonts w:ascii="Times New Roman" w:hAnsi="Times New Roman" w:cs="Times New Roman"/>
        </w:rPr>
        <w:fldChar w:fldCharType="separate"/>
      </w:r>
      <w:r w:rsidR="00AA1750" w:rsidRPr="00AA1750">
        <w:rPr>
          <w:rFonts w:ascii="Times New Roman" w:hAnsi="Times New Roman" w:cs="Times New Roman"/>
          <w:noProof/>
        </w:rPr>
        <w:t>(Elkhishin &amp; Mohieldin, 2021; Kothari et al., 2020; Siregar et al., 2021)</w:t>
      </w:r>
      <w:r w:rsidR="00AA1750">
        <w:rPr>
          <w:rFonts w:ascii="Times New Roman" w:hAnsi="Times New Roman" w:cs="Times New Roman"/>
        </w:rPr>
        <w:fldChar w:fldCharType="end"/>
      </w:r>
      <w:r w:rsidR="006F6597" w:rsidRPr="006F6597">
        <w:rPr>
          <w:rFonts w:ascii="Times New Roman" w:hAnsi="Times New Roman" w:cs="Times New Roman"/>
        </w:rPr>
        <w:t>.</w:t>
      </w:r>
    </w:p>
    <w:p w14:paraId="37AFAE25" w14:textId="2D92EF46" w:rsidR="00A77ECF" w:rsidRDefault="00CB00EC" w:rsidP="001E0E78">
      <w:pPr>
        <w:pStyle w:val="Heading1"/>
        <w:spacing w:before="0" w:line="480" w:lineRule="auto"/>
        <w:jc w:val="both"/>
        <w:rPr>
          <w:rFonts w:ascii="Times New Roman" w:hAnsi="Times New Roman" w:cs="Times New Roman"/>
          <w:b/>
          <w:bCs/>
          <w:color w:val="auto"/>
          <w:sz w:val="24"/>
          <w:szCs w:val="24"/>
        </w:rPr>
      </w:pPr>
      <w:r w:rsidRPr="00CB00EC">
        <w:rPr>
          <w:rFonts w:ascii="Times New Roman" w:hAnsi="Times New Roman" w:cs="Times New Roman"/>
          <w:b/>
          <w:bCs/>
          <w:color w:val="auto"/>
          <w:sz w:val="24"/>
          <w:szCs w:val="24"/>
        </w:rPr>
        <w:t xml:space="preserve">2.2 </w:t>
      </w:r>
      <w:r w:rsidR="004E47C2" w:rsidRPr="004E47C2">
        <w:rPr>
          <w:rFonts w:ascii="Times New Roman" w:hAnsi="Times New Roman" w:cs="Times New Roman"/>
          <w:b/>
          <w:bCs/>
          <w:color w:val="auto"/>
          <w:sz w:val="24"/>
          <w:szCs w:val="24"/>
        </w:rPr>
        <w:t xml:space="preserve">Efficiency and Technological Disruption </w:t>
      </w:r>
    </w:p>
    <w:p w14:paraId="4D7DF6F3" w14:textId="24E2AB51" w:rsidR="001E0E78" w:rsidRDefault="001E0E78" w:rsidP="001E0E78">
      <w:pPr>
        <w:spacing w:line="480" w:lineRule="auto"/>
        <w:jc w:val="both"/>
        <w:rPr>
          <w:rFonts w:ascii="Times New Roman" w:hAnsi="Times New Roman" w:cs="Times New Roman"/>
        </w:rPr>
      </w:pPr>
      <w:r w:rsidRPr="001E0E78">
        <w:rPr>
          <w:rFonts w:ascii="Times New Roman" w:hAnsi="Times New Roman" w:cs="Times New Roman"/>
        </w:rPr>
        <w:t>Banks carry out essential tasks that contribute to the economy. They take in short-term deposits and provide long-term loans as part of their main responsibilities, which include maturity transformation and liquidity provision</w:t>
      </w:r>
      <w:r w:rsidR="00DB010C">
        <w:rPr>
          <w:rFonts w:ascii="Times New Roman" w:hAnsi="Times New Roman" w:cs="Times New Roman"/>
        </w:rPr>
        <w:t xml:space="preserve"> </w:t>
      </w:r>
      <w:r w:rsidR="00DB010C">
        <w:rPr>
          <w:rFonts w:ascii="Times New Roman" w:hAnsi="Times New Roman" w:cs="Times New Roman"/>
        </w:rPr>
        <w:fldChar w:fldCharType="begin" w:fldLock="1"/>
      </w:r>
      <w:r w:rsidR="002E1A72">
        <w:rPr>
          <w:rFonts w:ascii="Times New Roman" w:hAnsi="Times New Roman" w:cs="Times New Roman"/>
        </w:rPr>
        <w:instrText>ADDIN CSL_CITATION {"citationItems":[{"id":"ITEM-1","itemData":{"DOI":"10.5958/2249-6270.2019.00019.9","abstract":"This review surveys technological disruption in banking, examining its impact on competition and its potential to increase efficiency and customer welfare. It analyzes the possible strategies of the players involved—incumbents and FinTech and BigTech firms—and the role of regulation. The industry is facing radical transformation and restructuring, as well as a move toward a customer-centric platform-based model. Competition will increase as new players enter the industry, but the long-term impact is more open. Regulation will decisively influence to what extent BigTech will enter the industry and who the dominant players will be. The challenge for regulators will be to keep a level playing field that strikes the right balance between fostering innovation and preserving financial stability. Consumer protection concerns rise to the forefront.","author":[{"dropping-particle":"","family":"Shashikala","given":"K","non-dropping-particle":"","parse-names":false,"suffix":""}],"container-title":"International Journal of Social and Economic Research","id":"ITEM-1","issue":"3","issued":{"date-parts":[["2019"]]},"page":"56","title":"Digital disruption in banking industry","type":"article-journal","volume":"9"},"uris":["http://www.mendeley.com/documents/?uuid=31e21fa7-8985-4274-b047-ed1819b26c00"]}],"mendeley":{"formattedCitation":"(Shashikala, 2019)","plainTextFormattedCitation":"(Shashikala, 2019)","previouslyFormattedCitation":"(Shashikala, 2019)"},"properties":{"noteIndex":0},"schema":"https://github.com/citation-style-language/schema/raw/master/csl-citation.json"}</w:instrText>
      </w:r>
      <w:r w:rsidR="00DB010C">
        <w:rPr>
          <w:rFonts w:ascii="Times New Roman" w:hAnsi="Times New Roman" w:cs="Times New Roman"/>
        </w:rPr>
        <w:fldChar w:fldCharType="separate"/>
      </w:r>
      <w:r w:rsidR="00DB010C" w:rsidRPr="00DB010C">
        <w:rPr>
          <w:rFonts w:ascii="Times New Roman" w:hAnsi="Times New Roman" w:cs="Times New Roman"/>
          <w:noProof/>
        </w:rPr>
        <w:t>(Shashikala, 2019)</w:t>
      </w:r>
      <w:r w:rsidR="00DB010C">
        <w:rPr>
          <w:rFonts w:ascii="Times New Roman" w:hAnsi="Times New Roman" w:cs="Times New Roman"/>
        </w:rPr>
        <w:fldChar w:fldCharType="end"/>
      </w:r>
      <w:r w:rsidRPr="001E0E78">
        <w:rPr>
          <w:rFonts w:ascii="Times New Roman" w:hAnsi="Times New Roman" w:cs="Times New Roman"/>
        </w:rPr>
        <w:t xml:space="preserve">. It is also the duty of banks to keep an eye on complicated loans that may not be funded by the market because of their opacity. Offering transaction and payment services, which both depend on information processing, is another important role. This comprises both relationship-based soft information and reliable, organized hard information. </w:t>
      </w:r>
      <w:r>
        <w:rPr>
          <w:rFonts w:ascii="Times New Roman" w:hAnsi="Times New Roman" w:cs="Times New Roman"/>
        </w:rPr>
        <w:t xml:space="preserve"> </w:t>
      </w:r>
      <w:r w:rsidRPr="001E0E78">
        <w:rPr>
          <w:rFonts w:ascii="Times New Roman" w:hAnsi="Times New Roman" w:cs="Times New Roman"/>
        </w:rPr>
        <w:t xml:space="preserve">With the advent of digital technology, the need for organized, codifiable data has grown dramatically, as have sophisticated techniques that use big data, such </w:t>
      </w:r>
      <w:r>
        <w:rPr>
          <w:rFonts w:ascii="Times New Roman" w:hAnsi="Times New Roman" w:cs="Times New Roman"/>
        </w:rPr>
        <w:t xml:space="preserve">as </w:t>
      </w:r>
      <w:r w:rsidRPr="001E0E78">
        <w:rPr>
          <w:rFonts w:ascii="Times New Roman" w:hAnsi="Times New Roman" w:cs="Times New Roman"/>
        </w:rPr>
        <w:t xml:space="preserve">artificial intelligence (AI) and machine learning (ML). As a result, technological improvements are more likely to affect banking operations that rely substantially on information processing, such </w:t>
      </w:r>
      <w:r>
        <w:rPr>
          <w:rFonts w:ascii="Times New Roman" w:hAnsi="Times New Roman" w:cs="Times New Roman"/>
        </w:rPr>
        <w:t xml:space="preserve">as </w:t>
      </w:r>
      <w:r w:rsidRPr="001E0E78">
        <w:rPr>
          <w:rFonts w:ascii="Times New Roman" w:hAnsi="Times New Roman" w:cs="Times New Roman"/>
        </w:rPr>
        <w:t xml:space="preserve">payment and transaction services </w:t>
      </w:r>
      <w:r w:rsidR="002E1A72">
        <w:rPr>
          <w:rFonts w:ascii="Times New Roman" w:hAnsi="Times New Roman" w:cs="Times New Roman"/>
        </w:rPr>
        <w:fldChar w:fldCharType="begin" w:fldLock="1"/>
      </w:r>
      <w:r w:rsidR="002A1957">
        <w:rPr>
          <w:rFonts w:ascii="Times New Roman" w:hAnsi="Times New Roman" w:cs="Times New Roman"/>
        </w:rPr>
        <w:instrText>ADDIN CSL_CITATION {"citationItems":[{"id":"ITEM-1","itemData":{"DOI":"10.1111/eufm.12365","ISSN":"1468036X","abstract":"This paper uses a multidimensional descriptive analysis to familiarize the reader with the extent of penetration of big data, artificial intelligence (AI) and machine learning (ML) techniques in the financial technology roadmap. We propose a clear framework for the symbiotic nature of these data science themes towards fintech empowerment. The framework is validated through their impact on fintech, financial services' profession and the shifting paradigm of the data scientist role. We also discuss the dark side of this symbiosis, while AI and ML techniques are tied with the future challenges of AI ethics, regulation technology and the smart data utilization.","author":[{"dropping-particle":"","family":"Nguyen","given":"Duc Khuong","non-dropping-particle":"","parse-names":false,"suffix":""},{"dropping-particle":"","family":"Sermpinis","given":"Georgios","non-dropping-particle":"","parse-names":false,"suffix":""},{"dropping-particle":"","family":"Stasinakis","given":"Charalampos","non-dropping-particle":"","parse-names":false,"suffix":""}],"container-title":"European Financial Management","id":"ITEM-1","issue":"2","issued":{"date-parts":[["2023"]]},"page":"517-548","title":"Big data, artificial intelligence and machine learning: A transformative symbiosis in favour of financial technology","type":"article-journal","volume":"29"},"uris":["http://www.mendeley.com/documents/?uuid=e766683d-90f4-46bf-9dae-a84913deb6a1"]}],"mendeley":{"formattedCitation":"(D. K. Nguyen et al., 2023)","plainTextFormattedCitation":"(D. K. Nguyen et al., 2023)","previouslyFormattedCitation":"(D. K. Nguyen et al., 2023)"},"properties":{"noteIndex":0},"schema":"https://github.com/citation-style-language/schema/raw/master/csl-citation.json"}</w:instrText>
      </w:r>
      <w:r w:rsidR="002E1A72">
        <w:rPr>
          <w:rFonts w:ascii="Times New Roman" w:hAnsi="Times New Roman" w:cs="Times New Roman"/>
        </w:rPr>
        <w:fldChar w:fldCharType="separate"/>
      </w:r>
      <w:r w:rsidR="002A1957" w:rsidRPr="002A1957">
        <w:rPr>
          <w:rFonts w:ascii="Times New Roman" w:hAnsi="Times New Roman" w:cs="Times New Roman"/>
          <w:noProof/>
        </w:rPr>
        <w:t>(D. K. Nguyen et al., 2023)</w:t>
      </w:r>
      <w:r w:rsidR="002E1A72">
        <w:rPr>
          <w:rFonts w:ascii="Times New Roman" w:hAnsi="Times New Roman" w:cs="Times New Roman"/>
        </w:rPr>
        <w:fldChar w:fldCharType="end"/>
      </w:r>
      <w:r w:rsidRPr="001E0E78">
        <w:rPr>
          <w:rFonts w:ascii="Times New Roman" w:hAnsi="Times New Roman" w:cs="Times New Roman"/>
        </w:rPr>
        <w:t>. Technological disruption has had a significant impact on how financial institutions, particularly community banks, function, and efficiency in the banking industry is essential for maintaining financial stability, profitability, and competitiveness</w:t>
      </w:r>
      <w:r w:rsidR="004571BD">
        <w:rPr>
          <w:rFonts w:ascii="Times New Roman" w:hAnsi="Times New Roman" w:cs="Times New Roman"/>
        </w:rPr>
        <w:t xml:space="preserve"> </w:t>
      </w:r>
      <w:r w:rsidR="004571BD">
        <w:rPr>
          <w:rFonts w:ascii="Times New Roman" w:hAnsi="Times New Roman" w:cs="Times New Roman"/>
        </w:rPr>
        <w:fldChar w:fldCharType="begin" w:fldLock="1"/>
      </w:r>
      <w:r w:rsidR="00130B9E">
        <w:rPr>
          <w:rFonts w:ascii="Times New Roman" w:hAnsi="Times New Roman" w:cs="Times New Roman"/>
        </w:rPr>
        <w:instrText>ADDIN CSL_CITATION {"citationItems":[{"id":"ITEM-1","itemData":{"DOI":"10.1109/JIOT.2021.3139827","ISSN":"23274662","abstract":"The increasing need for economic, safe, and sustainable smart manufacturing combined with novel technological enablers has paved the way for artificial intelligence (AI) and big data in industries. This implies a substantial integration of AI, Industrial Internet of Things (IIoT), Robotics, big data, Blockchain, and 5G communications in support of smart manufacturing and the dynamical processes in modern industries. In this article, we provide a comprehensive overview of different aspects of AI and big data in Industry 4.0 with a particular focus on key applications, techniques, the concepts involved, key enabling technologies, challenges, and research perspective toward deployment of Industry 5.0. In detail, we highlight and analyze how the duo of AI and big data is helping in different applications of Industry 4.0. We also highlight key challenges in a successful deployment of AI and big data solutions in smart industrial applications with a particular emphasis on data-related issues, such as availability, bias, auditing, management, interpretability, communication, and different adversarial attacks and security issues. Finally, we explore the significance of AI and big data toward Industry 4.0 applications through panoramic reviews and discussions. This work is expected to provide a baseline for future research in the domain.","author":[{"dropping-particle":"","family":"Jagatheesaperumal","given":"Senthil Kumar","non-dropping-particle":"","parse-names":false,"suffix":""},{"dropping-particle":"","family":"Rahouti","given":"Mohamed","non-dropping-particle":"","parse-names":false,"suffix":""},{"dropping-particle":"","family":"Ahmad","given":"Kashif","non-dropping-particle":"","parse-names":false,"suffix":""},{"dropping-particle":"","family":"Al-Fuqaha","given":"Ala","non-dropping-particle":"","parse-names":false,"suffix":""},{"dropping-particle":"","family":"Guizani","given":"Mohsen","non-dropping-particle":"","parse-names":false,"suffix":""}],"container-title":"IEEE Internet of Things Journal","id":"ITEM-1","issue":"15","issued":{"date-parts":[["2022"]]},"page":"12861-12885","title":"The Duo of Artificial Intelligence and Big Data for Industry 4.0: Applications, Techniques, Challenges, and Future Research Directions","type":"article-journal","volume":"9"},"uris":["http://www.mendeley.com/documents/?uuid=5c7e13a2-25a6-429e-9483-b74169c2fcd6"]}],"mendeley":{"formattedCitation":"(Jagatheesaperumal et al., 2022)","plainTextFormattedCitation":"(Jagatheesaperumal et al., 2022)","previouslyFormattedCitation":"(Jagatheesaperumal et al., 2022)"},"properties":{"noteIndex":0},"schema":"https://github.com/citation-style-language/schema/raw/master/csl-citation.json"}</w:instrText>
      </w:r>
      <w:r w:rsidR="004571BD">
        <w:rPr>
          <w:rFonts w:ascii="Times New Roman" w:hAnsi="Times New Roman" w:cs="Times New Roman"/>
        </w:rPr>
        <w:fldChar w:fldCharType="separate"/>
      </w:r>
      <w:r w:rsidR="004571BD" w:rsidRPr="004571BD">
        <w:rPr>
          <w:rFonts w:ascii="Times New Roman" w:hAnsi="Times New Roman" w:cs="Times New Roman"/>
          <w:noProof/>
        </w:rPr>
        <w:t>(Jagatheesaperumal et al., 2022)</w:t>
      </w:r>
      <w:r w:rsidR="004571BD">
        <w:rPr>
          <w:rFonts w:ascii="Times New Roman" w:hAnsi="Times New Roman" w:cs="Times New Roman"/>
        </w:rPr>
        <w:fldChar w:fldCharType="end"/>
      </w:r>
      <w:r w:rsidRPr="001E0E78">
        <w:rPr>
          <w:rFonts w:ascii="Times New Roman" w:hAnsi="Times New Roman" w:cs="Times New Roman"/>
        </w:rPr>
        <w:t>.</w:t>
      </w:r>
      <w:r>
        <w:rPr>
          <w:rFonts w:ascii="Times New Roman" w:hAnsi="Times New Roman" w:cs="Times New Roman"/>
        </w:rPr>
        <w:t xml:space="preserve"> </w:t>
      </w:r>
      <w:r w:rsidRPr="001E0E78">
        <w:rPr>
          <w:rFonts w:ascii="Times New Roman" w:hAnsi="Times New Roman" w:cs="Times New Roman"/>
        </w:rPr>
        <w:t xml:space="preserve">How effectively financial organizations distribute resources, cut expenses, and improve service delivery while preserving financial stability is referred to as banking efficiency. Blockchain, artificial intelligence, and digital banking have transformed traditional banking operations, increasing productivity through improved data analytics, process automation, and customer service. Chatbots and </w:t>
      </w:r>
      <w:proofErr w:type="spellStart"/>
      <w:r w:rsidRPr="001E0E78">
        <w:rPr>
          <w:rFonts w:ascii="Times New Roman" w:hAnsi="Times New Roman" w:cs="Times New Roman"/>
        </w:rPr>
        <w:t>robo</w:t>
      </w:r>
      <w:proofErr w:type="spellEnd"/>
      <w:r w:rsidRPr="001E0E78">
        <w:rPr>
          <w:rFonts w:ascii="Times New Roman" w:hAnsi="Times New Roman" w:cs="Times New Roman"/>
        </w:rPr>
        <w:t xml:space="preserve">-advisors with AI </w:t>
      </w:r>
      <w:r w:rsidRPr="001E0E78">
        <w:rPr>
          <w:rFonts w:ascii="Times New Roman" w:hAnsi="Times New Roman" w:cs="Times New Roman"/>
        </w:rPr>
        <w:lastRenderedPageBreak/>
        <w:t xml:space="preserve">capabilities, for instance, save operating costs and offer automated financial support. Blockchain technology ensures more secure transactions and increases efficiency by speeding up payment settlements and lowering reliance on middlemen </w:t>
      </w:r>
      <w:r w:rsidR="00130B9E">
        <w:rPr>
          <w:rFonts w:ascii="Times New Roman" w:hAnsi="Times New Roman" w:cs="Times New Roman"/>
        </w:rPr>
        <w:fldChar w:fldCharType="begin" w:fldLock="1"/>
      </w:r>
      <w:r w:rsidR="00794A3B">
        <w:rPr>
          <w:rFonts w:ascii="Times New Roman" w:hAnsi="Times New Roman" w:cs="Times New Roman"/>
        </w:rPr>
        <w:instrText>ADDIN CSL_CITATION {"citationItems":[{"id":"ITEM-1","itemData":{"DOI":"10.55248/gengpi.6.0125.0640","author":[{"dropping-particle":"","family":"Onabowale","given":"Oreoluwa","non-dropping-particle":"","parse-names":false,"suffix":""}],"id":"ITEM-1","issue":"February 2024","issued":{"date-parts":[["2025"]]},"title":"The Rise of AI and Robo-Advisors : Redefining Financial Strategies in the Digital Age International Journal of Research Publication and Reviews The Rise of AI and Robo-Advisors : Redefining Financial Strategies in the Digital Age","type":"article-journal"},"uris":["http://www.mendeley.com/documents/?uuid=62803a26-a04d-4684-afc7-360d87c161ee"]},{"id":"ITEM-2","itemData":{"DOI":"10.35940/ijitee.A4928.119119","ISSN":"22783075","abstract":"The growing sophistication technology has helped us exchange Information at our fingertips, eliminating the need for human support.” A platform designed to understand, learn and converse like a human and answer ad-hoc queries in real time is commonly referred to as a Chabot”. Chabot advisor is Artificial intelligence (AI) computer program that impersonates human communication in its natural format including text or spoken language using a technique such as NLP, image processing or video processing along with the end task completion as instructed by the user [1]. The purpose of the paper was to examine what are the drivers for Chabot advisor services adoption (CBA), focusing on financial services. This study presents the explanatory Chabot advisor services factors by extending the Technology Acceptance Model (TAM). The construct in the research are like perceived privacy, perceived security, enjoyment and social influence. This empirical study was conducted in Pune city in India by collecting primary data from 310 online financial services customers. Data collected was analyzed using structural equation modeling using PLS-SEM.The outcome of this study is vital to financial companies like banks, policymakers, technology services adoption literature and provide customer-centric financial services.","author":[{"dropping-particle":"","family":"Patil","given":"Kanchan","non-dropping-particle":"","parse-names":false,"suffix":""},{"dropping-particle":"","family":"Kulkarni","given":"Mugdha S.","non-dropping-particle":"","parse-names":false,"suffix":""}],"container-title":"International Journal of Innovative Technology and Exploring Engineering","id":"ITEM-2","issue":"1","issued":{"date-parts":[["2019"]]},"page":"4296-4303","title":"Artificial intelligence in financial services: Customer chatbot advisor adoption","type":"article-journal","volume":"9"},"uris":["http://www.mendeley.com/documents/?uuid=6e48c192-121c-4d69-8650-7aa5efe5fdc4"]}],"mendeley":{"formattedCitation":"(Onabowale, 2025; Patil &amp; Kulkarni, 2019)","plainTextFormattedCitation":"(Onabowale, 2025; Patil &amp; Kulkarni, 2019)","previouslyFormattedCitation":"(Onabowale, 2025; Patil &amp; Kulkarni, 2019)"},"properties":{"noteIndex":0},"schema":"https://github.com/citation-style-language/schema/raw/master/csl-citation.json"}</w:instrText>
      </w:r>
      <w:r w:rsidR="00130B9E">
        <w:rPr>
          <w:rFonts w:ascii="Times New Roman" w:hAnsi="Times New Roman" w:cs="Times New Roman"/>
        </w:rPr>
        <w:fldChar w:fldCharType="separate"/>
      </w:r>
      <w:r w:rsidR="00130B9E" w:rsidRPr="00130B9E">
        <w:rPr>
          <w:rFonts w:ascii="Times New Roman" w:hAnsi="Times New Roman" w:cs="Times New Roman"/>
          <w:noProof/>
        </w:rPr>
        <w:t>(Onabowale, 2025; Patil &amp; Kulkarni, 2019)</w:t>
      </w:r>
      <w:r w:rsidR="00130B9E">
        <w:rPr>
          <w:rFonts w:ascii="Times New Roman" w:hAnsi="Times New Roman" w:cs="Times New Roman"/>
        </w:rPr>
        <w:fldChar w:fldCharType="end"/>
      </w:r>
      <w:r w:rsidRPr="001E0E78">
        <w:rPr>
          <w:rFonts w:ascii="Times New Roman" w:hAnsi="Times New Roman" w:cs="Times New Roman"/>
        </w:rPr>
        <w:t>.</w:t>
      </w:r>
      <w:r w:rsidR="003269B4">
        <w:rPr>
          <w:rFonts w:ascii="Times New Roman" w:hAnsi="Times New Roman" w:cs="Times New Roman"/>
        </w:rPr>
        <w:t xml:space="preserve"> </w:t>
      </w:r>
      <w:r w:rsidRPr="001E0E78">
        <w:rPr>
          <w:rFonts w:ascii="Times New Roman" w:hAnsi="Times New Roman" w:cs="Times New Roman"/>
        </w:rPr>
        <w:t>Comparably, by facilitating remote transactions, eliminating the need for physical branches, and lowering operating expenses, digital banking and smartphone apps have revolutionized traditional banking. But these developments also bring with them new problems, like cybersecurity risks, complicated regulations, and the possibility of digital exclusion for some clients. Additionally, the swift advancement of technology demands ongoing investment in innovation, which can be costly, especially for smaller community banks</w:t>
      </w:r>
      <w:r w:rsidR="00794A3B">
        <w:rPr>
          <w:rFonts w:ascii="Times New Roman" w:hAnsi="Times New Roman" w:cs="Times New Roman"/>
        </w:rPr>
        <w:t xml:space="preserve"> </w:t>
      </w:r>
      <w:r w:rsidR="00794A3B">
        <w:rPr>
          <w:rFonts w:ascii="Times New Roman" w:hAnsi="Times New Roman" w:cs="Times New Roman"/>
        </w:rPr>
        <w:fldChar w:fldCharType="begin" w:fldLock="1"/>
      </w:r>
      <w:r w:rsidR="00794A3B">
        <w:rPr>
          <w:rFonts w:ascii="Times New Roman" w:hAnsi="Times New Roman" w:cs="Times New Roman"/>
        </w:rPr>
        <w:instrText>ADDIN CSL_CITATION {"citationItems":[{"id":"ITEM-1","itemData":{"DOI":"10.30574/wjarr.2024.21.3.0707","abstract":"In an era where the digital transformation of the banking sector intersects with the escalating complexity of cyber threats, this paper endeavors to dissect the multifaceted realm of cybersecurity within the banking industry. With a backdrop of increasing online banking adoption and the concomitant rise in cybercrime, the study aims to illuminate the current cybersecurity landscape, evaluate the efficacy of existing frameworks and propose strategic enhancements to fortify digital defenses. Employing a methodological amalgam of literature review and analysis of recent cybersecurity incidents, this investigation delves into the intricacies of cyber threats, the financial repercussions of breaches and the robustness of current cybersecurity measures in banking. The scope of this paper encompasses a comprehensive examination of recent cyber incidents, an assessment of the financial impact of cyber-attacks, an evaluation of the effectiveness of existing cybersecurity frameworks and the formulation of strategic recommendations for bolstering cybersecurity measures. Through this scholarly inquiry, key findings emerge, highlighting the critical need for dynamic cybersecurity strategies that integrate advanced technologies, promote regulatory compliance and foster a culture of cybersecurity awareness. Conclusively, the study posits that the banking sector must embrace a holistic and adaptive approach to cybersecurity, underscored by strategic investments in technology, education, and collaboration. Recommendations advocate for the integration of Big Data analytics, artificial intelligence and continuous risk assessment methodologies to navigate the evolving cyber threat landscape effectively. This paper serves as a clarion call to banking institutions, urging a reinvigorated commitment to cybersecurity resilience in safeguarding financial assets and customer trust against the backdrop of digital transformation.","author":[{"dropping-particle":"","family":"Adedoyin Tolulope Oyewole","given":"","non-dropping-particle":"","parse-names":false,"suffix":""},{"dropping-particle":"","family":"Chinwe Chinazo Okoye","given":"","non-dropping-particle":"","parse-names":false,"suffix":""},{"dropping-particle":"","family":"Onyeka Chrisanctus Ofodile","given":"","non-dropping-particle":"","parse-names":false,"suffix":""},{"dropping-particle":"","family":"Chinonye Esther Ugochukwu","given":"","non-dropping-particle":"","parse-names":false,"suffix":""}],"container-title":"World Journal of Advanced Research and Reviews","id":"ITEM-1","issue":"3","issued":{"date-parts":[["2024"]]},"page":"625-643","title":"Cybersecurity risks in online banking: A detailed review and preventive strategies applicatio","type":"article-journal","volume":"21"},"uris":["http://www.mendeley.com/documents/?uuid=b3f5eed5-80ec-4832-9001-9fc849c29d8c"]}],"mendeley":{"formattedCitation":"(Adedoyin Tolulope Oyewole et al., 2024)","plainTextFormattedCitation":"(Adedoyin Tolulope Oyewole et al., 2024)","previouslyFormattedCitation":"(Adedoyin Tolulope Oyewole et al., 2024)"},"properties":{"noteIndex":0},"schema":"https://github.com/citation-style-language/schema/raw/master/csl-citation.json"}</w:instrText>
      </w:r>
      <w:r w:rsidR="00794A3B">
        <w:rPr>
          <w:rFonts w:ascii="Times New Roman" w:hAnsi="Times New Roman" w:cs="Times New Roman"/>
        </w:rPr>
        <w:fldChar w:fldCharType="separate"/>
      </w:r>
      <w:r w:rsidR="00794A3B" w:rsidRPr="00794A3B">
        <w:rPr>
          <w:rFonts w:ascii="Times New Roman" w:hAnsi="Times New Roman" w:cs="Times New Roman"/>
          <w:noProof/>
        </w:rPr>
        <w:t>(Adedoyin Tolulope Oyewole et al., 2024)</w:t>
      </w:r>
      <w:r w:rsidR="00794A3B">
        <w:rPr>
          <w:rFonts w:ascii="Times New Roman" w:hAnsi="Times New Roman" w:cs="Times New Roman"/>
        </w:rPr>
        <w:fldChar w:fldCharType="end"/>
      </w:r>
      <w:r w:rsidRPr="001E0E78">
        <w:rPr>
          <w:rFonts w:ascii="Times New Roman" w:hAnsi="Times New Roman" w:cs="Times New Roman"/>
        </w:rPr>
        <w:t>. Despite these challenges, implementing new technology is essential to preserving productivity and competitiveness in a changing financial landscape. By effectively incorporating technology into their operations, banks may improve risk management, cut expenses, and improve service quality—all of which contribute to long-term financial stability.</w:t>
      </w:r>
    </w:p>
    <w:p w14:paraId="7821E81B" w14:textId="200A2454" w:rsidR="00DD696A" w:rsidRPr="00DD696A" w:rsidRDefault="00DD696A" w:rsidP="00DD696A">
      <w:pPr>
        <w:pStyle w:val="Heading1"/>
        <w:numPr>
          <w:ilvl w:val="0"/>
          <w:numId w:val="4"/>
        </w:numPr>
        <w:spacing w:line="480" w:lineRule="auto"/>
        <w:jc w:val="both"/>
        <w:rPr>
          <w:rFonts w:ascii="Times New Roman" w:hAnsi="Times New Roman" w:cs="Times New Roman"/>
          <w:b/>
          <w:bCs/>
          <w:color w:val="auto"/>
          <w:sz w:val="24"/>
          <w:szCs w:val="24"/>
        </w:rPr>
      </w:pPr>
      <w:r w:rsidRPr="00DD696A">
        <w:rPr>
          <w:rFonts w:ascii="Times New Roman" w:hAnsi="Times New Roman" w:cs="Times New Roman"/>
          <w:b/>
          <w:bCs/>
          <w:color w:val="auto"/>
          <w:sz w:val="24"/>
          <w:szCs w:val="24"/>
        </w:rPr>
        <w:t>Enhancing Resilience in Community Banks</w:t>
      </w:r>
    </w:p>
    <w:p w14:paraId="10A26F74" w14:textId="1DFF371E" w:rsidR="006C4B89" w:rsidRPr="006C4B89" w:rsidRDefault="006C4B89" w:rsidP="006C4B89">
      <w:pPr>
        <w:spacing w:line="480" w:lineRule="auto"/>
        <w:jc w:val="both"/>
        <w:rPr>
          <w:rFonts w:ascii="Times New Roman" w:hAnsi="Times New Roman" w:cs="Times New Roman"/>
        </w:rPr>
      </w:pPr>
      <w:r w:rsidRPr="006C4B89">
        <w:rPr>
          <w:rFonts w:ascii="Times New Roman" w:hAnsi="Times New Roman" w:cs="Times New Roman"/>
        </w:rPr>
        <w:t xml:space="preserve">Local economies depend heavily on community banks, but financial dangers, regulatory obstacles, and </w:t>
      </w:r>
      <w:r w:rsidR="00947AA1">
        <w:rPr>
          <w:rFonts w:ascii="Times New Roman" w:hAnsi="Times New Roman" w:cs="Times New Roman"/>
        </w:rPr>
        <w:t>technological</w:t>
      </w:r>
      <w:r w:rsidRPr="006C4B89">
        <w:rPr>
          <w:rFonts w:ascii="Times New Roman" w:hAnsi="Times New Roman" w:cs="Times New Roman"/>
        </w:rPr>
        <w:t xml:space="preserve"> advancements continually put their resiliency to the test.  Several resilience techniques, such as strong risk management frameworks, capital adequacy measures, revenue stream diversification, and digital banking investments, have been used by community banks to guarantee long-term sustainability</w:t>
      </w:r>
      <w:r w:rsidR="002A1957">
        <w:rPr>
          <w:rFonts w:ascii="Times New Roman" w:hAnsi="Times New Roman" w:cs="Times New Roman"/>
        </w:rPr>
        <w:t xml:space="preserve"> </w:t>
      </w:r>
      <w:r w:rsidR="002A1957">
        <w:rPr>
          <w:rFonts w:ascii="Times New Roman" w:hAnsi="Times New Roman" w:cs="Times New Roman"/>
        </w:rPr>
        <w:fldChar w:fldCharType="begin" w:fldLock="1"/>
      </w:r>
      <w:r w:rsidR="0048735D">
        <w:rPr>
          <w:rFonts w:ascii="Times New Roman" w:hAnsi="Times New Roman" w:cs="Times New Roman"/>
        </w:rPr>
        <w:instrText>ADDIN CSL_CITATION {"citationItems":[{"id":"ITEM-1","itemData":{"DOI":"10.1257/app.20170543","ISSN":"19457790","abstract":"This paper studies whether distance shapes credit allocation by estimating the impact of bank branch closings during the 2000s on local access to credit. To generate plausibly exogenous variation in the incidence of closings, I use an instrument based on within- county, tract- level variation in exposure to post- merger branch consolidation. Closings lead to a persistent decline in local small business lending. Annual originations fall by $453,000 after a closing, off a baseline of $4.7 million, and remain depressed for up to six years. The effects are very localized, dissipating within six miles, and are especially severe during the financial crisis.","author":[{"dropping-particle":"","family":"Nguyen","given":"Hoai Luu Q.","non-dropping-particle":"","parse-names":false,"suffix":""}],"container-title":"American Economic Journal: Applied Economics","id":"ITEM-1","issue":"1","issued":{"date-parts":[["2019"]]},"page":"1-32","title":"Are credit markets still local? Evidence from bank branch closings","type":"article-journal","volume":"11"},"uris":["http://www.mendeley.com/documents/?uuid=56c918df-5efa-4ab1-8498-bc9c9fc7c9af"]},{"id":"ITEM-2","itemData":{"DOI":"10.3390/app13042223","ISSN":"20763417","abstract":"Featured Application: This paper presents a review of literature on urban resilience, highlighting research gaps and suggesting solutions such as using asset and disaster risk management methods combined with GIS-based decision-making tools to improve resilience in urban areas. This can be applied in the field of urban planning and design, disaster risk management and asset management planning decisions to enhance the ability of cities and communities to optimally withstand and recover from disruptions. Urban Resilience (UR) enables cities and communities to optimally withstand disruptions and recover to their pre-disruption state. There is an increasing number of interdisciplinary studies focusing on conceptual frameworks and/or tools seeking to enable more efficient decision-making processes that lead to higher levels of UR. This paper presents a systematic review of 68 Scopus-indexed journal papers published between 2011 and 2022 that focus on UR. The papers covered in this study fit three categories: literature reviews, conceptual models, and analytical models. The results of the review show that the major areas of discussion in UR publications include climate change, disaster risk assessment and management, Geographic Information Systems (GIS), urban and transportation infrastructure, decision making and disaster management, community and disaster resilience, and green infrastructure and sustainable development. The main research gaps identified include: a lack of a common resilience definition and multidisciplinary analysis, a need for a unified scalable and adoptable UR model, margin for an increased application of GIS-based multidimensional tools, stochastic analysis of virtual cities, and scenario simulations to support decision making processes. The systematic literature review undertaken in this paper suggests that these identified gaps can be addressed with the aid of asset and disaster risk management methods combined with GIS-based decision-making tools towards significantly improving UR.","author":[{"dropping-particle":"","family":"Rezvani","given":"Seyed M.H.S.","non-dropping-particle":"","parse-names":false,"suffix":""},{"dropping-particle":"","family":"Falcão","given":"Maria João","non-dropping-particle":"","parse-names":false,"suffix":""},{"dropping-particle":"","family":"Komljenovic","given":"Dragan","non-dropping-particle":"","parse-names":false,"suffix":""},{"dropping-particle":"","family":"Almeida","given":"Nuno Marques","non-dropping-particle":"de","parse-names":false,"suffix":""}],"container-title":"Applied Sciences (Switzerland)","id":"ITEM-2","issue":"4","issued":{"date-parts":[["2023"]]},"title":"A Systematic Literature Review on Urban Resilience Enabled with Asset and Disaster Risk Management Approaches and GIS-Based Decision Support Tools","type":"article-journal","volume":"13"},"uris":["http://www.mendeley.com/documents/?uuid=e31397ca-fa6d-4254-9f40-bef752ce138d"]},{"id":"ITEM-3","itemData":{"DOI":"10.1061/(asce)me.1943-5479.0000795","ISSN":"0742-597X","abstract":"This article discusses critical infrastructure resilience in terms of how it could be incorporated into the existing safety and security practices, namely the ISO 31000 risk management standard. The article starts by outlining the resilience discourse, focusing on the organizational, technological, and societal domains of resilience. It goes on to present an approach to how the risk management standard can be extended to a critical infrastructure resilience management framework. Focusing in particular on the organizational and technological resilience domains, which are considered those that can most readily be controlled by critical infrastructure operators, the article presents one of the resilience assessment techniques in some detail to operationalize the overall management framework. In so doing, the article proposes a prestandardization input for critical infrastructure resilience management, tested in an operational environment. The article concludes with five maxims for this objective: No duplicate practices; tailorability; plurality of assessment techniques; measurability; and relative ease of use.","author":[{"dropping-particle":"","family":"Rød","given":"Bjarte","non-dropping-particle":"","parse-names":false,"suffix":""},{"dropping-particle":"","family":"Lange","given":"David","non-dropping-particle":"","parse-names":false,"suffix":""},{"dropping-particle":"","family":"Theocharidou","given":"Marianthi","non-dropping-particle":"","parse-names":false,"suffix":""},{"dropping-particle":"","family":"Pursiainen","given":"Christer","non-dropping-particle":"","parse-names":false,"suffix":""}],"container-title":"Journal of Management in Engineering","id":"ITEM-3","issue":"4","issued":{"date-parts":[["2020"]]},"title":"From Risk Management to Resilience Management in Critical Infrastructure","type":"article-journal","volume":"36"},"uris":["http://www.mendeley.com/documents/?uuid=dd8a4d02-6cf3-4905-a1c1-1589c0a818b1"]}],"mendeley":{"formattedCitation":"(H. L. Q. Nguyen, 2019; Rezvani et al., 2023; Rød et al., 2020)","plainTextFormattedCitation":"(H. L. Q. Nguyen, 2019; Rezvani et al., 2023; Rød et al., 2020)","previouslyFormattedCitation":"(H. L. Q. Nguyen, 2019; Rezvani et al., 2023; Rød et al., 2020)"},"properties":{"noteIndex":0},"schema":"https://github.com/citation-style-language/schema/raw/master/csl-citation.json"}</w:instrText>
      </w:r>
      <w:r w:rsidR="002A1957">
        <w:rPr>
          <w:rFonts w:ascii="Times New Roman" w:hAnsi="Times New Roman" w:cs="Times New Roman"/>
        </w:rPr>
        <w:fldChar w:fldCharType="separate"/>
      </w:r>
      <w:r w:rsidR="002A1957" w:rsidRPr="002A1957">
        <w:rPr>
          <w:rFonts w:ascii="Times New Roman" w:hAnsi="Times New Roman" w:cs="Times New Roman"/>
          <w:noProof/>
        </w:rPr>
        <w:t>(H. L. Q. Nguyen, 2019; Rezvani et al., 2023; Rød et al., 2020)</w:t>
      </w:r>
      <w:r w:rsidR="002A1957">
        <w:rPr>
          <w:rFonts w:ascii="Times New Roman" w:hAnsi="Times New Roman" w:cs="Times New Roman"/>
        </w:rPr>
        <w:fldChar w:fldCharType="end"/>
      </w:r>
      <w:r w:rsidRPr="006C4B89">
        <w:rPr>
          <w:rFonts w:ascii="Times New Roman" w:hAnsi="Times New Roman" w:cs="Times New Roman"/>
        </w:rPr>
        <w:t>.  Present resilience tactics emphasize strengthening capital buffers, enhancing liquidity management, and complying with legal mandates like the Basel III framework, which places a strong emphasis on having enough capital to withstand financial crises</w:t>
      </w:r>
      <w:r>
        <w:rPr>
          <w:rFonts w:ascii="Times New Roman" w:hAnsi="Times New Roman" w:cs="Times New Roman"/>
        </w:rPr>
        <w:t xml:space="preserve"> </w:t>
      </w:r>
      <w:r w:rsidR="00947AA1">
        <w:rPr>
          <w:rFonts w:ascii="Times New Roman" w:hAnsi="Times New Roman" w:cs="Times New Roman"/>
        </w:rPr>
        <w:fldChar w:fldCharType="begin" w:fldLock="1"/>
      </w:r>
      <w:r w:rsidR="002A1957">
        <w:rPr>
          <w:rFonts w:ascii="Times New Roman" w:hAnsi="Times New Roman" w:cs="Times New Roman"/>
        </w:rPr>
        <w:instrText>ADDIN CSL_CITATION {"citationItems":[{"id":"ITEM-1","itemData":{"DOI":"10.1108/JFRC-02-2015-0011","ISSN":"17400279","abstract":"Purpose – This paper aims to highlight the new regulatory framework established by Basel III. Design/methodology/approach – This paper provides a critical review of the existing literature concerning bank supervision while providing an overview of the transition from Basel I to Basel III rules and critical appraisal of the current regulatory framework. Review of the existing literature. Findings – Basel III introduces new measures in favor of bank stability and in order to mitigate the propagation of financial shocks. But on the other hand the new regulatory framework adds an extra burden to banks’ business plans affecting credit policies and thus the real economy. Another issue that is not properly addressed is the rising of financial innovations that are able to pass by the new regulations. Overall Basel III rules are moving to the right direction but need to stay always up-to-date in order to catch up with the modern ever-evolving financial system. Pros and cons. Need for improvement. Originality/value – The paper presents an up-to-date review of Basel rules with future prospects.","author":[{"dropping-particle":"","family":"Vousinas","given":"Georgios L.","non-dropping-particle":"","parse-names":false,"suffix":""}],"container-title":"Journal of Financial Regulation and Compliance","id":"ITEM-1","issue":"4","issued":{"date-parts":[["2015"]]},"page":"383-402","title":"Supervision of financial institutions: The transition from Basel I to Basel III. A critical appraisal of the newly established regulatory framework","type":"article-journal","volume":"23"},"uris":["http://www.mendeley.com/documents/?uuid=79d5f839-8bbd-409e-8838-0d5596494603"]},{"id":"ITEM-2","itemData":{"author":[{"dropping-particle":"","family":"Petrovi","given":"Nevena","non-dropping-particle":"","parse-names":false,"suffix":""},{"dropping-particle":"","family":"Trifunović","given":"Dragana","non-dropping-particle":"","parse-names":false,"suffix":""}],"id":"ITEM-2","issued":{"date-parts":[["2024"]]},"title":"Basel III as a regulatory framework for risk management Bazel III kao regulatorni okvir za upravlјanje rizicima","type":"article-journal"},"uris":["http://www.mendeley.com/documents/?uuid=fcedc584-3cde-4b87-a919-a635419f059d"]},{"id":"ITEM-3","itemData":{"DOI":"10.36639/mbelr.6.1.basel","ISSN":"2375-7523","abstract":"This paper seeks to analyze the new requirements in the Basel III banking regulatory framework and explore their impact on commercial banks’ project finance portfolio. The paper begins with a general introduction of the Basel Accords, followed by an analysis of the changes in the Basel III requirements and their potential impact on project finance, in particular the effects of the liquidity coverage ratio (LCR) and the net stable funding ratio (NSFR). The paper ends with a discussion of alternative sources of project finance funding that emerged as a result of the new regulatory regime.","author":[{"dropping-particle":"","family":"Ma","given":"Tianze","non-dropping-particle":"","parse-names":false,"suffix":""}],"container-title":"Michigan Business &amp; Entrepreneurial Law Review","id":"ITEM-3","issue":"6.1","issued":{"date-parts":[["2016"]]},"page":"109","title":"Basel III and the Future of Project Finance Funding","type":"article-journal","volume":"6"},"uris":["http://www.mendeley.com/documents/?uuid=4baeeea0-5b34-41f9-8a83-21ac764b99ad"]}],"mendeley":{"formattedCitation":"(Ma, 2016; Petrovi &amp; Trifunović, 2024; Vousinas, 2015)","plainTextFormattedCitation":"(Ma, 2016; Petrovi &amp; Trifunović, 2024; Vousinas, 2015)","previouslyFormattedCitation":"(Ma, 2016; Petrovi &amp; Trifunović, 2024; Vousinas, 2015)"},"properties":{"noteIndex":0},"schema":"https://github.com/citation-style-language/schema/raw/master/csl-citation.json"}</w:instrText>
      </w:r>
      <w:r w:rsidR="00947AA1">
        <w:rPr>
          <w:rFonts w:ascii="Times New Roman" w:hAnsi="Times New Roman" w:cs="Times New Roman"/>
        </w:rPr>
        <w:fldChar w:fldCharType="separate"/>
      </w:r>
      <w:r w:rsidR="00CF4AAD" w:rsidRPr="00CF4AAD">
        <w:rPr>
          <w:rFonts w:ascii="Times New Roman" w:hAnsi="Times New Roman" w:cs="Times New Roman"/>
          <w:noProof/>
        </w:rPr>
        <w:t>(Ma, 2016; Petrovi &amp; Trifunović, 2024; Vousinas, 2015)</w:t>
      </w:r>
      <w:r w:rsidR="00947AA1">
        <w:rPr>
          <w:rFonts w:ascii="Times New Roman" w:hAnsi="Times New Roman" w:cs="Times New Roman"/>
        </w:rPr>
        <w:fldChar w:fldCharType="end"/>
      </w:r>
      <w:r w:rsidR="00DD696A" w:rsidRPr="00DD696A">
        <w:rPr>
          <w:rFonts w:ascii="Times New Roman" w:hAnsi="Times New Roman" w:cs="Times New Roman"/>
        </w:rPr>
        <w:t xml:space="preserve">. </w:t>
      </w:r>
      <w:r w:rsidRPr="006C4B89">
        <w:rPr>
          <w:rFonts w:ascii="Times New Roman" w:hAnsi="Times New Roman" w:cs="Times New Roman"/>
        </w:rPr>
        <w:t xml:space="preserve">In order to reduce their susceptibility to economic downturns, </w:t>
      </w:r>
      <w:r w:rsidRPr="006C4B89">
        <w:rPr>
          <w:rFonts w:ascii="Times New Roman" w:hAnsi="Times New Roman" w:cs="Times New Roman"/>
        </w:rPr>
        <w:lastRenderedPageBreak/>
        <w:t xml:space="preserve">community banks also employ stress testing, stringent credit screening guidelines, and diversified loan portfolios. Community banks' stability has been strengthened by risk mitigation techniques, especially those that prioritize proactive risk assessment, improved cybersecurity, and dynamic regulatory compliance frameworks </w:t>
      </w:r>
      <w:r w:rsidR="0048735D">
        <w:rPr>
          <w:rFonts w:ascii="Times New Roman" w:hAnsi="Times New Roman" w:cs="Times New Roman"/>
        </w:rPr>
        <w:fldChar w:fldCharType="begin" w:fldLock="1"/>
      </w:r>
      <w:r w:rsidR="005E08A6">
        <w:rPr>
          <w:rFonts w:ascii="Times New Roman" w:hAnsi="Times New Roman" w:cs="Times New Roman"/>
        </w:rPr>
        <w:instrText>ADDIN CSL_CITATION {"citationItems":[{"id":"ITEM-1","itemData":{"DOI":"10.1080/23322039.2015.1111489","ISSN":"23322039","abstract":"Does bank size significantly explain the variations in bank stability? Does bank funding risk significantly impact bank stability? This paper addresses these two questions with data from the rural banking industry in Ghana. Controlling for credit risk, liquidity risk, diversification in the business model, profitability, inflation, financial structure and gross domestic product, the results suggest that an increase in the size of a rural bank results in an increase in its stability. The results also show that funding risk positively impacts bank stability. The positive relationship between size and bank stability has important repercussions for the current debate on whether or not to constrain bank size to insulate the financial system from future crisis. The positive relationship between funding risk and bank stability also has important implications for the current debate on funding of retail banks.","author":[{"dropping-particle":"","family":"Adusei","given":"Michael","non-dropping-particle":"","parse-names":false,"suffix":""}],"container-title":"Cogent Economics and Finance","id":"ITEM-1","issue":"1","issued":{"date-parts":[["2015"]]},"publisher":"Cogent","title":"The impact of bank size and funding risk on bank stability","type":"article-journal","volume":"3"},"uris":["http://www.mendeley.com/documents/?uuid=fdaaa068-7076-4373-baa1-bbc36b685227"]},{"id":"ITEM-2","itemData":{"DOI":"10.3763/ehaz.2011.0005","ISSN":"17477891","abstract":"This paper examines whether the hypothesis presented in Ocho Rios in 1984 is still valid and relevant. The first part of the paper revisits the central tenets of the 1984 paper. The second part of the paper gives a broad overview of how community-based approaches have been taken up and evolved over the last quarter-century. The third part of the paper examines, with the benefit of hindsight, to what extent the approaches advocated in Ocho Rios are still valid. Finally, the paper examines the role of community-based and local-level approaches looking into the future. The paper is written as a personal reflection, without any pretence to academic rigour and also without systematically surveying the thousands of ongoing community-based or local-level initiatives in disaster risk management, referred to in this paper as community-based disaster risk management and local-level disaster risk management, respectively. © 2011 Earthscan.","author":[{"dropping-particle":"","family":"Maskrey","given":"Andrew","non-dropping-particle":"","parse-names":false,"suffix":""}],"container-title":"Environmental Hazards","id":"ITEM-2","issue":"1","issued":{"date-parts":[["2011"]]},"page":"42-52","title":"Revisiting community-based disaster risk management","type":"article-journal","volume":"10"},"uris":["http://www.mendeley.com/documents/?uuid=61b5cd48-4bdf-47f2-925f-33ae415e8e12"]}],"mendeley":{"formattedCitation":"(Adusei, 2015; Maskrey, 2011)","plainTextFormattedCitation":"(Adusei, 2015; Maskrey, 2011)","previouslyFormattedCitation":"(Adusei, 2015; Maskrey, 2011)"},"properties":{"noteIndex":0},"schema":"https://github.com/citation-style-language/schema/raw/master/csl-citation.json"}</w:instrText>
      </w:r>
      <w:r w:rsidR="0048735D">
        <w:rPr>
          <w:rFonts w:ascii="Times New Roman" w:hAnsi="Times New Roman" w:cs="Times New Roman"/>
        </w:rPr>
        <w:fldChar w:fldCharType="separate"/>
      </w:r>
      <w:r w:rsidR="0048735D" w:rsidRPr="0048735D">
        <w:rPr>
          <w:rFonts w:ascii="Times New Roman" w:hAnsi="Times New Roman" w:cs="Times New Roman"/>
          <w:noProof/>
        </w:rPr>
        <w:t>(Adusei, 2015; Maskrey, 2011)</w:t>
      </w:r>
      <w:r w:rsidR="0048735D">
        <w:rPr>
          <w:rFonts w:ascii="Times New Roman" w:hAnsi="Times New Roman" w:cs="Times New Roman"/>
        </w:rPr>
        <w:fldChar w:fldCharType="end"/>
      </w:r>
      <w:r w:rsidRPr="006C4B89">
        <w:rPr>
          <w:rFonts w:ascii="Times New Roman" w:hAnsi="Times New Roman" w:cs="Times New Roman"/>
        </w:rPr>
        <w:t>. For instance, community banks have been able to include risk assessment into their overall strategy and lessen their susceptibility to financial instability by implementing enterprise risk management (ERM)</w:t>
      </w:r>
      <w:r w:rsidR="005E08A6">
        <w:rPr>
          <w:rFonts w:ascii="Times New Roman" w:hAnsi="Times New Roman" w:cs="Times New Roman"/>
        </w:rPr>
        <w:t>.</w:t>
      </w:r>
    </w:p>
    <w:p w14:paraId="72D5FA83" w14:textId="29BFAB6D" w:rsidR="006C4B89" w:rsidRDefault="006C4B89" w:rsidP="006C4B89">
      <w:pPr>
        <w:spacing w:line="480" w:lineRule="auto"/>
        <w:jc w:val="both"/>
        <w:rPr>
          <w:rFonts w:ascii="Times New Roman" w:hAnsi="Times New Roman" w:cs="Times New Roman"/>
        </w:rPr>
      </w:pPr>
      <w:r w:rsidRPr="006C4B89">
        <w:rPr>
          <w:rFonts w:ascii="Times New Roman" w:hAnsi="Times New Roman" w:cs="Times New Roman"/>
        </w:rPr>
        <w:t xml:space="preserve">Technology has become a major force behind resilience, enabling small banks to save expenses, increase operational effectiveness, and improve customer service. Banks may now more successfully compete with larger financial institutions thanks to digital banking platforms, mobile payment systems, and AI-driven risk management tools </w:t>
      </w:r>
      <w:r w:rsidR="005E08A6">
        <w:rPr>
          <w:rFonts w:ascii="Times New Roman" w:hAnsi="Times New Roman" w:cs="Times New Roman"/>
        </w:rPr>
        <w:fldChar w:fldCharType="begin" w:fldLock="1"/>
      </w:r>
      <w:r w:rsidR="00806419">
        <w:rPr>
          <w:rFonts w:ascii="Times New Roman" w:hAnsi="Times New Roman" w:cs="Times New Roman"/>
        </w:rPr>
        <w:instrText>ADDIN CSL_CITATION {"citationItems":[{"id":"ITEM-1","itemData":{"DOI":"10.30574/wjarr.2024.21.3.0707","abstract":"In an era where the digital transformation of the banking sector intersects with the escalating complexity of cyber threats, this paper endeavors to dissect the multifaceted realm of cybersecurity within the banking industry. With a backdrop of increasing online banking adoption and the concomitant rise in cybercrime, the study aims to illuminate the current cybersecurity landscape, evaluate the efficacy of existing frameworks and propose strategic enhancements to fortify digital defenses. Employing a methodological amalgam of literature review and analysis of recent cybersecurity incidents, this investigation delves into the intricacies of cyber threats, the financial repercussions of breaches and the robustness of current cybersecurity measures in banking. The scope of this paper encompasses a comprehensive examination of recent cyber incidents, an assessment of the financial impact of cyber-attacks, an evaluation of the effectiveness of existing cybersecurity frameworks and the formulation of strategic recommendations for bolstering cybersecurity measures. Through this scholarly inquiry, key findings emerge, highlighting the critical need for dynamic cybersecurity strategies that integrate advanced technologies, promote regulatory compliance and foster a culture of cybersecurity awareness. Conclusively, the study posits that the banking sector must embrace a holistic and adaptive approach to cybersecurity, underscored by strategic investments in technology, education, and collaboration. Recommendations advocate for the integration of Big Data analytics, artificial intelligence and continuous risk assessment methodologies to navigate the evolving cyber threat landscape effectively. This paper serves as a clarion call to banking institutions, urging a reinvigorated commitment to cybersecurity resilience in safeguarding financial assets and customer trust against the backdrop of digital transformation.","author":[{"dropping-particle":"","family":"Adedoyin Tolulope Oyewole","given":"","non-dropping-particle":"","parse-names":false,"suffix":""},{"dropping-particle":"","family":"Chinwe Chinazo Okoye","given":"","non-dropping-particle":"","parse-names":false,"suffix":""},{"dropping-particle":"","family":"Onyeka Chrisanctus Ofodile","given":"","non-dropping-particle":"","parse-names":false,"suffix":""},{"dropping-particle":"","family":"Chinonye Esther Ugochukwu","given":"","non-dropping-particle":"","parse-names":false,"suffix":""}],"container-title":"World Journal of Advanced Research and Reviews","id":"ITEM-1","issue":"3","issued":{"date-parts":[["2024"]]},"page":"625-643","title":"Cybersecurity risks in online banking: A detailed review and preventive strategies applicatio","type":"article-journal","volume":"21"},"uris":["http://www.mendeley.com/documents/?uuid=b3f5eed5-80ec-4832-9001-9fc849c29d8c"]}],"mendeley":{"formattedCitation":"(Adedoyin Tolulope Oyewole et al., 2024)","plainTextFormattedCitation":"(Adedoyin Tolulope Oyewole et al., 2024)","previouslyFormattedCitation":"(Adedoyin Tolulope Oyewole et al., 2024)"},"properties":{"noteIndex":0},"schema":"https://github.com/citation-style-language/schema/raw/master/csl-citation.json"}</w:instrText>
      </w:r>
      <w:r w:rsidR="005E08A6">
        <w:rPr>
          <w:rFonts w:ascii="Times New Roman" w:hAnsi="Times New Roman" w:cs="Times New Roman"/>
        </w:rPr>
        <w:fldChar w:fldCharType="separate"/>
      </w:r>
      <w:r w:rsidR="005E08A6" w:rsidRPr="005E08A6">
        <w:rPr>
          <w:rFonts w:ascii="Times New Roman" w:hAnsi="Times New Roman" w:cs="Times New Roman"/>
          <w:noProof/>
        </w:rPr>
        <w:t>(Adedoyin Tolulope Oyewole et al., 2024)</w:t>
      </w:r>
      <w:r w:rsidR="005E08A6">
        <w:rPr>
          <w:rFonts w:ascii="Times New Roman" w:hAnsi="Times New Roman" w:cs="Times New Roman"/>
        </w:rPr>
        <w:fldChar w:fldCharType="end"/>
      </w:r>
      <w:r w:rsidRPr="006C4B89">
        <w:rPr>
          <w:rFonts w:ascii="Times New Roman" w:hAnsi="Times New Roman" w:cs="Times New Roman"/>
        </w:rPr>
        <w:t>. But even as adopting new technology increases productivity, it also poses cybersecurity concerns, necessitating significant investments in IT security infrastructure. A number of case studies demonstrate effective resilience tactics used by community banks. For example, Live Oak Bank, a community bank with headquarters in North Carolina, has used technology to focus on lending to small businesses. To reduce credit risk and enhance loan underwriting, the bank uses AI-driven risk assessment tools.</w:t>
      </w:r>
      <w:r w:rsidR="003F7F47">
        <w:rPr>
          <w:rFonts w:ascii="Times New Roman" w:hAnsi="Times New Roman" w:cs="Times New Roman"/>
        </w:rPr>
        <w:t xml:space="preserve"> </w:t>
      </w:r>
      <w:r w:rsidRPr="006C4B89">
        <w:rPr>
          <w:rFonts w:ascii="Times New Roman" w:hAnsi="Times New Roman" w:cs="Times New Roman"/>
        </w:rPr>
        <w:t xml:space="preserve">By using prudent lending policies, having a solid capital foundation, and making smart investments in digital banking, Frost Bank in Texas has also been able to retain its financial stability </w:t>
      </w:r>
      <w:r w:rsidR="00806419">
        <w:rPr>
          <w:rFonts w:ascii="Times New Roman" w:hAnsi="Times New Roman" w:cs="Times New Roman"/>
        </w:rPr>
        <w:fldChar w:fldCharType="begin" w:fldLock="1"/>
      </w:r>
      <w:r w:rsidR="00522FFC">
        <w:rPr>
          <w:rFonts w:ascii="Times New Roman" w:hAnsi="Times New Roman" w:cs="Times New Roman"/>
        </w:rPr>
        <w:instrText>ADDIN CSL_CITATION {"citationItems":[{"id":"ITEM-1","itemData":{"DOI":"10.18651/er/v106n2hanauerlytlesummersziadeh","ISSN":"01612387","abstract":"In recent decades, both the number of community banks and their share of U.S. banking assets have steadily declined, raising questions about the future of community banking. In addition to competitive pressures from larger banking organizations, community banks face growing challenges from broader economic consolidation, changing demographics, and rapidly advancing financial technologies. Matt Hanauer, Brent Lytle, Chris Summers, and Stephanie Ziadeh explore the role of community banks in the U.S. economy, the challenges they face, and their outlook for the future. They find that despite their declining market share, community banks remain crucial financial services providers and are the predominant providers of banking services in rural communities across the country. In addition, they find that community banks are outsized providers of credit to agricultural and commercial borrowers, including during periods of economic stress. The authors argue that community banks will continue to play an important role in their local communities and the broader economy. [ABSTRACT FROM AUTHOR]","author":[{"dropping-particle":"","family":"Hanauer","given":"Matt","non-dropping-particle":"","parse-names":false,"suffix":""},{"dropping-particle":"","family":"Lytle","given":"Brent","non-dropping-particle":"","parse-names":false,"suffix":""},{"dropping-particle":"","family":"Summers","given":"Chris","non-dropping-particle":"","parse-names":false,"suffix":""},{"dropping-particle":"","family":"Ziadeh","given":"Stephanie","non-dropping-particle":"","parse-names":false,"suffix":""}],"container-title":"The Federal Reserve Bank of Kansas City Economic Review","id":"ITEM-1","issued":{"date-parts":[["2021"]]},"page":"37-81","title":"Community Banks' Ongoing Role in the U.S. Economy","type":"article-journal"},"uris":["http://www.mendeley.com/documents/?uuid=6a21fc18-e549-41de-9211-a719684edf1c"]}],"mendeley":{"formattedCitation":"(Hanauer et al., 2021)","plainTextFormattedCitation":"(Hanauer et al., 2021)","previouslyFormattedCitation":"(Hanauer et al., 2021)"},"properties":{"noteIndex":0},"schema":"https://github.com/citation-style-language/schema/raw/master/csl-citation.json"}</w:instrText>
      </w:r>
      <w:r w:rsidR="00806419">
        <w:rPr>
          <w:rFonts w:ascii="Times New Roman" w:hAnsi="Times New Roman" w:cs="Times New Roman"/>
        </w:rPr>
        <w:fldChar w:fldCharType="separate"/>
      </w:r>
      <w:r w:rsidR="00806419" w:rsidRPr="00806419">
        <w:rPr>
          <w:rFonts w:ascii="Times New Roman" w:hAnsi="Times New Roman" w:cs="Times New Roman"/>
          <w:noProof/>
        </w:rPr>
        <w:t>(Hanauer et al., 2021)</w:t>
      </w:r>
      <w:r w:rsidR="00806419">
        <w:rPr>
          <w:rFonts w:ascii="Times New Roman" w:hAnsi="Times New Roman" w:cs="Times New Roman"/>
        </w:rPr>
        <w:fldChar w:fldCharType="end"/>
      </w:r>
      <w:r w:rsidRPr="006C4B89">
        <w:rPr>
          <w:rFonts w:ascii="Times New Roman" w:hAnsi="Times New Roman" w:cs="Times New Roman"/>
        </w:rPr>
        <w:t xml:space="preserve">. As demonstrated by these instances, resilience solutions that integrate technology adoption and responsible risk management improve sustainability. Lessons learned from previous financial crises indicate that relying too much on one tactic may make people more vulnerable. According to </w:t>
      </w:r>
      <w:r w:rsidR="00522FFC">
        <w:rPr>
          <w:rFonts w:ascii="Times New Roman" w:hAnsi="Times New Roman" w:cs="Times New Roman"/>
        </w:rPr>
        <w:fldChar w:fldCharType="begin" w:fldLock="1"/>
      </w:r>
      <w:r w:rsidR="00FD4ACA">
        <w:rPr>
          <w:rFonts w:ascii="Times New Roman" w:hAnsi="Times New Roman" w:cs="Times New Roman"/>
        </w:rPr>
        <w:instrText>ADDIN CSL_CITATION {"citationItems":[{"id":"ITEM-1","itemData":{"ISSN":"18007473","abstract":"After the recent global crisis, corporate scandals and bankruptcy in US and Europe, there is some certain evidence on weak corporate governance, risk management and audit system. The 2009 India Code of Corporate Governance also revealed that during the crisis time, there are certain weaknesses although corporate structure is fairly durable. Hence, this paper chooses a different analytical approach and among its aims is to give some systematic opinions. First, it classifies limited South Asian representative corporate governance (CG) standards into two (2) groups: India and Malaysia latest CG principles covered in group 1 and, group 2, including corporate governance principle from Thailand and Indonesia, so-called relative good CG group, while it uses ACCA and OECD and ICGN principles as reference. Second, it, through analysis, identifies differences and advantages between above set of standards which are and have been used as reference principles for many relevant organizations. Third, it establishes a selected comparative set of standards for South Asian representative corporate governance system in accordance to international standards. Last but not least, this paper covers some ideas and policy suggestions.","author":[{"dropping-particle":"","family":"Ngoc Huy","given":"Dinh Tran","non-dropping-particle":"","parse-names":false,"suffix":""}],"container-title":"International Journal for Quality Research","id":"ITEM-1","issue":"4","issued":{"date-parts":[["2015"]]},"page":"741-764","title":"The critical analysis of limited south asian corporate governance standards after financial crisis","type":"article-journal","volume":"9"},"uris":["http://www.mendeley.com/documents/?uuid=e5f7bfca-fd66-4abd-b658-e492db03b512"]}],"mendeley":{"formattedCitation":"(Ngoc Huy, 2015)","plainTextFormattedCitation":"(Ngoc Huy, 2015)","previouslyFormattedCitation":"(Ngoc Huy, 2015)"},"properties":{"noteIndex":0},"schema":"https://github.com/citation-style-language/schema/raw/master/csl-citation.json"}</w:instrText>
      </w:r>
      <w:r w:rsidR="00522FFC">
        <w:rPr>
          <w:rFonts w:ascii="Times New Roman" w:hAnsi="Times New Roman" w:cs="Times New Roman"/>
        </w:rPr>
        <w:fldChar w:fldCharType="separate"/>
      </w:r>
      <w:r w:rsidR="00522FFC" w:rsidRPr="00522FFC">
        <w:rPr>
          <w:rFonts w:ascii="Times New Roman" w:hAnsi="Times New Roman" w:cs="Times New Roman"/>
          <w:noProof/>
        </w:rPr>
        <w:t>(Ngoc Huy, 2015)</w:t>
      </w:r>
      <w:r w:rsidR="00522FFC">
        <w:rPr>
          <w:rFonts w:ascii="Times New Roman" w:hAnsi="Times New Roman" w:cs="Times New Roman"/>
        </w:rPr>
        <w:fldChar w:fldCharType="end"/>
      </w:r>
      <w:r w:rsidRPr="006C4B89">
        <w:rPr>
          <w:rFonts w:ascii="Times New Roman" w:hAnsi="Times New Roman" w:cs="Times New Roman"/>
        </w:rPr>
        <w:t xml:space="preserve">, the 2008 financial crisis, for instance, revealed flaws in risk management and emphasized the significance of keeping substantial liquidity reserves. In the future, community banks' prospects will be influenced by </w:t>
      </w:r>
      <w:r w:rsidRPr="006C4B89">
        <w:rPr>
          <w:rFonts w:ascii="Times New Roman" w:hAnsi="Times New Roman" w:cs="Times New Roman"/>
        </w:rPr>
        <w:lastRenderedPageBreak/>
        <w:t>shifting consumer preferences, developing regulatory frameworks, and developments in financial technology, or fintech. Community banks must embrace digital transformation while striking a balance between cybersecurity risks and regulatory compliance if they want to stay competitive. Furthermore, community banks can gain access to cutting-edge technologies through strategic alliances with fintech companies without having to make significant infrastructure investments. The competitive landscape may change even more as a result of the ongoing shift toward open banking and blockchain-based financial services, requiring constant adaptability. Community banks will ultimately be in a better position to handle upcoming financial difficulties and preserve long-term growth if they successfully incorporate technological advancements, uphold strong risk management frameworks, and cultivate strong client relationships.</w:t>
      </w:r>
    </w:p>
    <w:p w14:paraId="6C3C7E49" w14:textId="77777777" w:rsidR="00AD6573" w:rsidRPr="00AD6573" w:rsidRDefault="00AD6573" w:rsidP="00AD6573">
      <w:pPr>
        <w:pStyle w:val="Heading1"/>
        <w:spacing w:line="480" w:lineRule="auto"/>
        <w:jc w:val="both"/>
        <w:rPr>
          <w:rFonts w:ascii="Times New Roman" w:hAnsi="Times New Roman" w:cs="Times New Roman"/>
          <w:b/>
          <w:bCs/>
          <w:color w:val="auto"/>
          <w:sz w:val="24"/>
          <w:szCs w:val="24"/>
        </w:rPr>
      </w:pPr>
      <w:r w:rsidRPr="00AD6573">
        <w:rPr>
          <w:rFonts w:ascii="Times New Roman" w:hAnsi="Times New Roman" w:cs="Times New Roman"/>
          <w:b/>
          <w:bCs/>
          <w:color w:val="auto"/>
          <w:sz w:val="24"/>
          <w:szCs w:val="24"/>
        </w:rPr>
        <w:t>Conclusion</w:t>
      </w:r>
    </w:p>
    <w:p w14:paraId="51487562" w14:textId="67C5B093" w:rsidR="00AD6573" w:rsidRDefault="00AD6573" w:rsidP="00AD6573">
      <w:pPr>
        <w:spacing w:line="480" w:lineRule="auto"/>
        <w:jc w:val="both"/>
        <w:rPr>
          <w:rFonts w:ascii="Times New Roman" w:hAnsi="Times New Roman" w:cs="Times New Roman"/>
        </w:rPr>
      </w:pPr>
      <w:r w:rsidRPr="00AD6573">
        <w:rPr>
          <w:rFonts w:ascii="Times New Roman" w:hAnsi="Times New Roman" w:cs="Times New Roman"/>
        </w:rPr>
        <w:t xml:space="preserve">Community banks remain integral to the financial ecosystem, providing critical credit and banking services to local economies, yet their resilience is increasingly challenged by financial consolidation, regulatory pressures, technological advancements, and evolving customer expectations. The study highlights that while community banks face significant risks, implementing robust resilience strategies—including capital adequacy measures, risk management frameworks, digital transformation, and strategic collaborations—can enhance their long-term sustainability. The adoption of AI, blockchain, and mobile banking has improved efficiency but has also introduced cybersecurity risks, requiring substantial investments in risk mitigation and regulatory compliance. Case studies of institutions such as Live Oak Bank and Frost Bank illustrate how leveraging technology and prudent financial management can help community banks navigate challenges and remain competitive. However, lessons from past financial crises underscore the need for maintaining strong liquidity buffers and avoiding over-reliance on any single strategy. </w:t>
      </w:r>
      <w:r w:rsidRPr="00AD6573">
        <w:rPr>
          <w:rFonts w:ascii="Times New Roman" w:hAnsi="Times New Roman" w:cs="Times New Roman"/>
        </w:rPr>
        <w:lastRenderedPageBreak/>
        <w:t>Looking ahead, the future of community banks will be shaped by technological advancements, regulatory policies, and market competition. To thrive, community banks must strike a balance between digital innovation, cybersecurity, and personalized banking services that differentiate them from larger financial institutions. By embracing continuous adaptation and fostering resilient financial practices, community banks can sustain their crucial role in promoting local economic growth, financial inclusion, and overall banking stability.</w:t>
      </w:r>
    </w:p>
    <w:p w14:paraId="22FC9D6F" w14:textId="77777777" w:rsidR="00A417E4" w:rsidRDefault="00A417E4" w:rsidP="00AD6573">
      <w:pPr>
        <w:spacing w:line="480" w:lineRule="auto"/>
        <w:jc w:val="both"/>
        <w:rPr>
          <w:rFonts w:ascii="Times New Roman" w:hAnsi="Times New Roman" w:cs="Times New Roman"/>
        </w:rPr>
      </w:pPr>
    </w:p>
    <w:p w14:paraId="3AE856A6" w14:textId="47BEB769" w:rsidR="00D9137D" w:rsidRDefault="00D9137D" w:rsidP="00D9137D">
      <w:pPr>
        <w:pStyle w:val="Heading1"/>
        <w:spacing w:line="480" w:lineRule="auto"/>
        <w:jc w:val="both"/>
        <w:rPr>
          <w:rFonts w:ascii="Times New Roman" w:hAnsi="Times New Roman" w:cs="Times New Roman"/>
          <w:b/>
          <w:bCs/>
          <w:color w:val="auto"/>
          <w:sz w:val="24"/>
          <w:szCs w:val="24"/>
        </w:rPr>
      </w:pPr>
      <w:r w:rsidRPr="00D9137D">
        <w:rPr>
          <w:rFonts w:ascii="Times New Roman" w:hAnsi="Times New Roman" w:cs="Times New Roman"/>
          <w:b/>
          <w:bCs/>
          <w:color w:val="auto"/>
          <w:sz w:val="24"/>
          <w:szCs w:val="24"/>
        </w:rPr>
        <w:t xml:space="preserve">References </w:t>
      </w:r>
    </w:p>
    <w:p w14:paraId="69621128" w14:textId="621AA516"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rPr>
        <w:fldChar w:fldCharType="begin" w:fldLock="1"/>
      </w:r>
      <w:r w:rsidRPr="00FD4ACA">
        <w:rPr>
          <w:rFonts w:ascii="Times New Roman" w:hAnsi="Times New Roman" w:cs="Times New Roman"/>
        </w:rPr>
        <w:instrText xml:space="preserve">ADDIN Mendeley Bibliography CSL_BIBLIOGRAPHY </w:instrText>
      </w:r>
      <w:r w:rsidRPr="00FD4ACA">
        <w:rPr>
          <w:rFonts w:ascii="Times New Roman" w:hAnsi="Times New Roman" w:cs="Times New Roman"/>
        </w:rPr>
        <w:fldChar w:fldCharType="separate"/>
      </w:r>
      <w:r w:rsidRPr="00FD4ACA">
        <w:rPr>
          <w:rFonts w:ascii="Times New Roman" w:hAnsi="Times New Roman" w:cs="Times New Roman"/>
          <w:noProof/>
          <w:kern w:val="0"/>
        </w:rPr>
        <w:t xml:space="preserve">Adedoyin Tolulope Oyewole, Chinwe Chinazo Okoye, Onyeka Chrisanctus Ofodile, &amp; Chinonye Esther Ugochukwu. (2024). Cybersecurity risks in online banking: A detailed review and preventive strategies applicatio. </w:t>
      </w:r>
      <w:r w:rsidRPr="00FD4ACA">
        <w:rPr>
          <w:rFonts w:ascii="Times New Roman" w:hAnsi="Times New Roman" w:cs="Times New Roman"/>
          <w:i/>
          <w:iCs/>
          <w:noProof/>
          <w:kern w:val="0"/>
        </w:rPr>
        <w:t>World Journal of Advanced Research and Reviews</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21</w:t>
      </w:r>
      <w:r w:rsidRPr="00FD4ACA">
        <w:rPr>
          <w:rFonts w:ascii="Times New Roman" w:hAnsi="Times New Roman" w:cs="Times New Roman"/>
          <w:noProof/>
          <w:kern w:val="0"/>
        </w:rPr>
        <w:t>(3), 625–643. https://doi.org/10.30574/wjarr.2024.21.3.0707</w:t>
      </w:r>
    </w:p>
    <w:p w14:paraId="72390DFC" w14:textId="77777777" w:rsid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Adusei, M. (2015). The impact of bank size and funding risk on bank stability. </w:t>
      </w:r>
      <w:r w:rsidRPr="00FD4ACA">
        <w:rPr>
          <w:rFonts w:ascii="Times New Roman" w:hAnsi="Times New Roman" w:cs="Times New Roman"/>
          <w:i/>
          <w:iCs/>
          <w:noProof/>
          <w:kern w:val="0"/>
        </w:rPr>
        <w:t>Cogent Economics and Finance</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3</w:t>
      </w:r>
      <w:r w:rsidRPr="00FD4ACA">
        <w:rPr>
          <w:rFonts w:ascii="Times New Roman" w:hAnsi="Times New Roman" w:cs="Times New Roman"/>
          <w:noProof/>
          <w:kern w:val="0"/>
        </w:rPr>
        <w:t>(1). https://doi.org/10.1080/23322039.2015.1111489</w:t>
      </w:r>
    </w:p>
    <w:p w14:paraId="63C5C189" w14:textId="02459E5B" w:rsidR="00CC4881" w:rsidRPr="00FD4ACA" w:rsidRDefault="00CC4881"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CC4881">
        <w:rPr>
          <w:rFonts w:ascii="Times New Roman" w:hAnsi="Times New Roman" w:cs="Times New Roman"/>
          <w:noProof/>
          <w:kern w:val="0"/>
        </w:rPr>
        <w:t xml:space="preserve">Agbeve, V. (2025). Corporate governance and firm performance: A comparative study on listed and unlisted companies in Ghana. </w:t>
      </w:r>
      <w:r w:rsidRPr="00CC4881">
        <w:rPr>
          <w:rFonts w:ascii="Times New Roman" w:hAnsi="Times New Roman" w:cs="Times New Roman"/>
          <w:i/>
          <w:iCs/>
          <w:noProof/>
          <w:kern w:val="0"/>
        </w:rPr>
        <w:t>International Journal of Research Publication and Reviews, 6</w:t>
      </w:r>
      <w:r w:rsidRPr="00CC4881">
        <w:rPr>
          <w:rFonts w:ascii="Times New Roman" w:hAnsi="Times New Roman" w:cs="Times New Roman"/>
          <w:noProof/>
          <w:kern w:val="0"/>
        </w:rPr>
        <w:t xml:space="preserve">(2), 1778-1787. Retrieved from </w:t>
      </w:r>
      <w:hyperlink r:id="rId10" w:tgtFrame="_new" w:history="1">
        <w:r w:rsidRPr="00CC4881">
          <w:rPr>
            <w:rStyle w:val="Hyperlink"/>
            <w:rFonts w:ascii="Times New Roman" w:hAnsi="Times New Roman" w:cs="Times New Roman"/>
            <w:noProof/>
            <w:kern w:val="0"/>
          </w:rPr>
          <w:t>www.ijrpr.com</w:t>
        </w:r>
      </w:hyperlink>
    </w:p>
    <w:p w14:paraId="11DA7050"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Baily, M. N., Klein, A., &amp; Schardin, J. (2017). The impact of the dodd-frank act on financial stability and economic growth. </w:t>
      </w:r>
      <w:r w:rsidRPr="00FD4ACA">
        <w:rPr>
          <w:rFonts w:ascii="Times New Roman" w:hAnsi="Times New Roman" w:cs="Times New Roman"/>
          <w:i/>
          <w:iCs/>
          <w:noProof/>
          <w:kern w:val="0"/>
        </w:rPr>
        <w:t>Rsf</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3</w:t>
      </w:r>
      <w:r w:rsidRPr="00FD4ACA">
        <w:rPr>
          <w:rFonts w:ascii="Times New Roman" w:hAnsi="Times New Roman" w:cs="Times New Roman"/>
          <w:noProof/>
          <w:kern w:val="0"/>
        </w:rPr>
        <w:t>(1), 20–47. https://doi.org/10.7758/rsf.2017.3.1.02</w:t>
      </w:r>
    </w:p>
    <w:p w14:paraId="041378F8"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Barth, J. R., Prabha, A. P., &amp; Wihlborg, C. (2014). The Dodd-Frank Act: Key Features, Implementation Progress, and Financial System Impact. </w:t>
      </w:r>
      <w:r w:rsidRPr="00FD4ACA">
        <w:rPr>
          <w:rFonts w:ascii="Times New Roman" w:hAnsi="Times New Roman" w:cs="Times New Roman"/>
          <w:i/>
          <w:iCs/>
          <w:noProof/>
          <w:kern w:val="0"/>
        </w:rPr>
        <w:t>SSRN Electronic Journal</w:t>
      </w:r>
      <w:r w:rsidRPr="00FD4ACA">
        <w:rPr>
          <w:rFonts w:ascii="Times New Roman" w:hAnsi="Times New Roman" w:cs="Times New Roman"/>
          <w:noProof/>
          <w:kern w:val="0"/>
        </w:rPr>
        <w:t>, 1–44. https://doi.org/10.2139/ssrn.2490037</w:t>
      </w:r>
    </w:p>
    <w:p w14:paraId="7A1475A4"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Blank, M., Hanson, S. G., Stein, J. C., &amp; Sunderam, A. V. (2020). How Should US Bank Regulators Respond to the COVID-19 Crisis? </w:t>
      </w:r>
      <w:r w:rsidRPr="00FD4ACA">
        <w:rPr>
          <w:rFonts w:ascii="Times New Roman" w:hAnsi="Times New Roman" w:cs="Times New Roman"/>
          <w:i/>
          <w:iCs/>
          <w:noProof/>
          <w:kern w:val="0"/>
        </w:rPr>
        <w:t>Hutchins Center Working Paper n. 63</w:t>
      </w:r>
      <w:r w:rsidRPr="00FD4ACA">
        <w:rPr>
          <w:rFonts w:ascii="Times New Roman" w:hAnsi="Times New Roman" w:cs="Times New Roman"/>
          <w:noProof/>
          <w:kern w:val="0"/>
        </w:rPr>
        <w:t>.</w:t>
      </w:r>
    </w:p>
    <w:p w14:paraId="7DF21394"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Deyoung, R., Hunter, W. C., &amp; Udell, G. F. (2004). The past, present, and probable future for community banks. </w:t>
      </w:r>
      <w:r w:rsidRPr="00FD4ACA">
        <w:rPr>
          <w:rFonts w:ascii="Times New Roman" w:hAnsi="Times New Roman" w:cs="Times New Roman"/>
          <w:i/>
          <w:iCs/>
          <w:noProof/>
          <w:kern w:val="0"/>
        </w:rPr>
        <w:t>Journal of Financial Services Research</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25</w:t>
      </w:r>
      <w:r w:rsidRPr="00FD4ACA">
        <w:rPr>
          <w:rFonts w:ascii="Times New Roman" w:hAnsi="Times New Roman" w:cs="Times New Roman"/>
          <w:noProof/>
          <w:kern w:val="0"/>
        </w:rPr>
        <w:t>(2–3), 85–133. https://doi.org/10.1023/b:fina.0000020656.65653.79</w:t>
      </w:r>
    </w:p>
    <w:p w14:paraId="4AE61079"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Elkhishin, S., &amp; Mohieldin, M. (2021). External debt vulnerability in emerging markets and developing economies during the COVID-19 shock. </w:t>
      </w:r>
      <w:r w:rsidRPr="00FD4ACA">
        <w:rPr>
          <w:rFonts w:ascii="Times New Roman" w:hAnsi="Times New Roman" w:cs="Times New Roman"/>
          <w:i/>
          <w:iCs/>
          <w:noProof/>
          <w:kern w:val="0"/>
        </w:rPr>
        <w:t>Review of Economics and Political Science</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6</w:t>
      </w:r>
      <w:r w:rsidRPr="00FD4ACA">
        <w:rPr>
          <w:rFonts w:ascii="Times New Roman" w:hAnsi="Times New Roman" w:cs="Times New Roman"/>
          <w:noProof/>
          <w:kern w:val="0"/>
        </w:rPr>
        <w:t>(1), 24–47. https://doi.org/10.1108/REPS-10-2020-0155</w:t>
      </w:r>
    </w:p>
    <w:p w14:paraId="7712C799"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Gandhi, P., &amp; Lustig, H. (2015). Size Anomalies in U.S. Bank Stock Returns. </w:t>
      </w:r>
      <w:r w:rsidRPr="00FD4ACA">
        <w:rPr>
          <w:rFonts w:ascii="Times New Roman" w:hAnsi="Times New Roman" w:cs="Times New Roman"/>
          <w:i/>
          <w:iCs/>
          <w:noProof/>
          <w:kern w:val="0"/>
        </w:rPr>
        <w:t>Journal of Finance</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70</w:t>
      </w:r>
      <w:r w:rsidRPr="00FD4ACA">
        <w:rPr>
          <w:rFonts w:ascii="Times New Roman" w:hAnsi="Times New Roman" w:cs="Times New Roman"/>
          <w:noProof/>
          <w:kern w:val="0"/>
        </w:rPr>
        <w:t>(2), 733–768. https://doi.org/10.1111/jofi.12235</w:t>
      </w:r>
    </w:p>
    <w:p w14:paraId="26802A06"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lastRenderedPageBreak/>
        <w:t xml:space="preserve">Hanauer, M., Lytle, B., Summers, C., &amp; Ziadeh, S. (2021). Community Banks’ Ongoing Role in the U.S. Economy. </w:t>
      </w:r>
      <w:r w:rsidRPr="00FD4ACA">
        <w:rPr>
          <w:rFonts w:ascii="Times New Roman" w:hAnsi="Times New Roman" w:cs="Times New Roman"/>
          <w:i/>
          <w:iCs/>
          <w:noProof/>
          <w:kern w:val="0"/>
        </w:rPr>
        <w:t>The Federal Reserve Bank of Kansas City Economic Review</w:t>
      </w:r>
      <w:r w:rsidRPr="00FD4ACA">
        <w:rPr>
          <w:rFonts w:ascii="Times New Roman" w:hAnsi="Times New Roman" w:cs="Times New Roman"/>
          <w:noProof/>
          <w:kern w:val="0"/>
        </w:rPr>
        <w:t>, 37–81. https://doi.org/10.18651/er/v106n2hanauerlytlesummersziadeh</w:t>
      </w:r>
    </w:p>
    <w:p w14:paraId="1DD90252"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Jagatheesaperumal, S. K., Rahouti, M., Ahmad, K., Al-Fuqaha, A., &amp; Guizani, M. (2022). The Duo of Artificial Intelligence and Big Data for Industry 4.0: Applications, Techniques, Challenges, and Future Research Directions. </w:t>
      </w:r>
      <w:r w:rsidRPr="00FD4ACA">
        <w:rPr>
          <w:rFonts w:ascii="Times New Roman" w:hAnsi="Times New Roman" w:cs="Times New Roman"/>
          <w:i/>
          <w:iCs/>
          <w:noProof/>
          <w:kern w:val="0"/>
        </w:rPr>
        <w:t>IEEE Internet of Things Journal</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9</w:t>
      </w:r>
      <w:r w:rsidRPr="00FD4ACA">
        <w:rPr>
          <w:rFonts w:ascii="Times New Roman" w:hAnsi="Times New Roman" w:cs="Times New Roman"/>
          <w:noProof/>
          <w:kern w:val="0"/>
        </w:rPr>
        <w:t>(15), 12861–12885. https://doi.org/10.1109/JIOT.2021.3139827</w:t>
      </w:r>
    </w:p>
    <w:p w14:paraId="293ACAF9"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Kothari, S. P., Blass, D., Cohen, A., &amp; Rajpal, S. (2020). </w:t>
      </w:r>
      <w:r w:rsidRPr="00FD4ACA">
        <w:rPr>
          <w:rFonts w:ascii="Times New Roman" w:hAnsi="Times New Roman" w:cs="Times New Roman"/>
          <w:i/>
          <w:iCs/>
          <w:noProof/>
          <w:kern w:val="0"/>
        </w:rPr>
        <w:t>US Credit Markets Interconnectedness and the Effects of the COVID-19 Economic Shock</w:t>
      </w:r>
      <w:r w:rsidRPr="00FD4ACA">
        <w:rPr>
          <w:rFonts w:ascii="Times New Roman" w:hAnsi="Times New Roman" w:cs="Times New Roman"/>
          <w:noProof/>
          <w:kern w:val="0"/>
        </w:rPr>
        <w:t>.</w:t>
      </w:r>
    </w:p>
    <w:p w14:paraId="4F897B5D"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Lux Robert Greene, M., Lux, M., Greene, R., Bair, S., Fondiller, D., Getter, D., Hadley, R., Haigh, J., Harris-Gibson, C., Jorde, T., Leland, S., Mills, K., Nash, J., Peirce, H., Perdue, P., Scott, H., Segel, J., &amp; Zeckhauser, R. (2015). </w:t>
      </w:r>
      <w:r w:rsidRPr="00FD4ACA">
        <w:rPr>
          <w:rFonts w:ascii="Times New Roman" w:hAnsi="Times New Roman" w:cs="Times New Roman"/>
          <w:i/>
          <w:iCs/>
          <w:noProof/>
          <w:kern w:val="0"/>
        </w:rPr>
        <w:t>M-RCBG Associate Working Paper Series | No. 37 The State and Fate of Community Banking The State and Fate of Community Banking</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37</w:t>
      </w:r>
      <w:r w:rsidRPr="00FD4ACA">
        <w:rPr>
          <w:rFonts w:ascii="Times New Roman" w:hAnsi="Times New Roman" w:cs="Times New Roman"/>
          <w:noProof/>
          <w:kern w:val="0"/>
        </w:rPr>
        <w:t>. www.hks.harvard.edu/mrcbg</w:t>
      </w:r>
    </w:p>
    <w:p w14:paraId="684E6E82"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Ma, T. (2016). Basel III and the Future of Project Finance Funding. </w:t>
      </w:r>
      <w:r w:rsidRPr="00FD4ACA">
        <w:rPr>
          <w:rFonts w:ascii="Times New Roman" w:hAnsi="Times New Roman" w:cs="Times New Roman"/>
          <w:i/>
          <w:iCs/>
          <w:noProof/>
          <w:kern w:val="0"/>
        </w:rPr>
        <w:t>Michigan Business &amp; Entrepreneurial Law Review</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6</w:t>
      </w:r>
      <w:r w:rsidRPr="00FD4ACA">
        <w:rPr>
          <w:rFonts w:ascii="Times New Roman" w:hAnsi="Times New Roman" w:cs="Times New Roman"/>
          <w:noProof/>
          <w:kern w:val="0"/>
        </w:rPr>
        <w:t>(6.1), 109. https://doi.org/10.36639/mbelr.6.1.basel</w:t>
      </w:r>
    </w:p>
    <w:p w14:paraId="23F25542"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Maskrey, A. (2011). Revisiting community-based disaster risk management. </w:t>
      </w:r>
      <w:r w:rsidRPr="00FD4ACA">
        <w:rPr>
          <w:rFonts w:ascii="Times New Roman" w:hAnsi="Times New Roman" w:cs="Times New Roman"/>
          <w:i/>
          <w:iCs/>
          <w:noProof/>
          <w:kern w:val="0"/>
        </w:rPr>
        <w:t>Environmental Hazards</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10</w:t>
      </w:r>
      <w:r w:rsidRPr="00FD4ACA">
        <w:rPr>
          <w:rFonts w:ascii="Times New Roman" w:hAnsi="Times New Roman" w:cs="Times New Roman"/>
          <w:noProof/>
          <w:kern w:val="0"/>
        </w:rPr>
        <w:t>(1), 42–52. https://doi.org/10.3763/ehaz.2011.0005</w:t>
      </w:r>
    </w:p>
    <w:p w14:paraId="22BD8B43"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Ngo, C. N. (2020). </w:t>
      </w:r>
      <w:r w:rsidRPr="00FD4ACA">
        <w:rPr>
          <w:rFonts w:ascii="Times New Roman" w:hAnsi="Times New Roman" w:cs="Times New Roman"/>
          <w:i/>
          <w:iCs/>
          <w:noProof/>
          <w:kern w:val="0"/>
        </w:rPr>
        <w:t>Since January 2020 Elsevier has created a COVID-19 resource centre with free information in English and Mandarin on the novel coronavirus COVID- 19 . The COVID-19 resource centre is hosted on Elsevier Connect , the company ’ s public news and information website . Elsevier hereby grants permission to make all its COVID-19-related research that is available on the COVID-19 resource centre - including this research content - immediately available in PubMed Central and other publicly funded repositories , such as the WHO COVID database with rights for unrestricted research re-use and analyses in any form or by any means with acknowledgement of the original source . These permissions are granted for free by Elsevier for as long as the COVID-19 resource centre remains active . Foundations of Rural Resiliency : America during the COVID-19 Pandemic</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January</w:t>
      </w:r>
      <w:r w:rsidRPr="00FD4ACA">
        <w:rPr>
          <w:rFonts w:ascii="Times New Roman" w:hAnsi="Times New Roman" w:cs="Times New Roman"/>
          <w:noProof/>
          <w:kern w:val="0"/>
        </w:rPr>
        <w:t>.</w:t>
      </w:r>
    </w:p>
    <w:p w14:paraId="5C944B5A"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Ngoc Huy, D. T. (2015). The critical analysis of limited south asian corporate governance standards after financial crisis. </w:t>
      </w:r>
      <w:r w:rsidRPr="00FD4ACA">
        <w:rPr>
          <w:rFonts w:ascii="Times New Roman" w:hAnsi="Times New Roman" w:cs="Times New Roman"/>
          <w:i/>
          <w:iCs/>
          <w:noProof/>
          <w:kern w:val="0"/>
        </w:rPr>
        <w:t>International Journal for Quality Research</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9</w:t>
      </w:r>
      <w:r w:rsidRPr="00FD4ACA">
        <w:rPr>
          <w:rFonts w:ascii="Times New Roman" w:hAnsi="Times New Roman" w:cs="Times New Roman"/>
          <w:noProof/>
          <w:kern w:val="0"/>
        </w:rPr>
        <w:t>(4), 741–764.</w:t>
      </w:r>
    </w:p>
    <w:p w14:paraId="401B9682"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Nguyen, D. K., Sermpinis, G., &amp; Stasinakis, C. (2023). Big data, artificial intelligence and machine learning: A transformative symbiosis in favour of financial technology. </w:t>
      </w:r>
      <w:r w:rsidRPr="00FD4ACA">
        <w:rPr>
          <w:rFonts w:ascii="Times New Roman" w:hAnsi="Times New Roman" w:cs="Times New Roman"/>
          <w:i/>
          <w:iCs/>
          <w:noProof/>
          <w:kern w:val="0"/>
        </w:rPr>
        <w:t>European Financial Management</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29</w:t>
      </w:r>
      <w:r w:rsidRPr="00FD4ACA">
        <w:rPr>
          <w:rFonts w:ascii="Times New Roman" w:hAnsi="Times New Roman" w:cs="Times New Roman"/>
          <w:noProof/>
          <w:kern w:val="0"/>
        </w:rPr>
        <w:t>(2), 517–548. https://doi.org/10.1111/eufm.12365</w:t>
      </w:r>
    </w:p>
    <w:p w14:paraId="7D69D8C2"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Nguyen, H. L. Q. (2019). Are credit markets still local? Evidence from bank branch closings. </w:t>
      </w:r>
      <w:r w:rsidRPr="00FD4ACA">
        <w:rPr>
          <w:rFonts w:ascii="Times New Roman" w:hAnsi="Times New Roman" w:cs="Times New Roman"/>
          <w:i/>
          <w:iCs/>
          <w:noProof/>
          <w:kern w:val="0"/>
        </w:rPr>
        <w:t>American Economic Journal: Applied Economics</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11</w:t>
      </w:r>
      <w:r w:rsidRPr="00FD4ACA">
        <w:rPr>
          <w:rFonts w:ascii="Times New Roman" w:hAnsi="Times New Roman" w:cs="Times New Roman"/>
          <w:noProof/>
          <w:kern w:val="0"/>
        </w:rPr>
        <w:t>(1), 1–32. https://doi.org/10.1257/app.20170543</w:t>
      </w:r>
    </w:p>
    <w:p w14:paraId="60AD7B04"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Onabowale, O. (2025). </w:t>
      </w:r>
      <w:r w:rsidRPr="00FD4ACA">
        <w:rPr>
          <w:rFonts w:ascii="Times New Roman" w:hAnsi="Times New Roman" w:cs="Times New Roman"/>
          <w:i/>
          <w:iCs/>
          <w:noProof/>
          <w:kern w:val="0"/>
        </w:rPr>
        <w:t>The Rise of AI and Robo-Advisors : Redefining Financial Strategies in the Digital Age International Journal of Research Publication and Reviews The Rise of AI and Robo-Advisors : Redefining Financial Strategies in the Digital Age</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February 2024</w:t>
      </w:r>
      <w:r w:rsidRPr="00FD4ACA">
        <w:rPr>
          <w:rFonts w:ascii="Times New Roman" w:hAnsi="Times New Roman" w:cs="Times New Roman"/>
          <w:noProof/>
          <w:kern w:val="0"/>
        </w:rPr>
        <w:t>. https://doi.org/10.55248/gengpi.6.0125.0640</w:t>
      </w:r>
    </w:p>
    <w:p w14:paraId="7A55420F"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lastRenderedPageBreak/>
        <w:t xml:space="preserve">Patil, K., &amp; Kulkarni, M. S. (2019). Artificial intelligence in financial services: Customer chatbot advisor adoption. </w:t>
      </w:r>
      <w:r w:rsidRPr="00FD4ACA">
        <w:rPr>
          <w:rFonts w:ascii="Times New Roman" w:hAnsi="Times New Roman" w:cs="Times New Roman"/>
          <w:i/>
          <w:iCs/>
          <w:noProof/>
          <w:kern w:val="0"/>
        </w:rPr>
        <w:t>International Journal of Innovative Technology and Exploring Engineering</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9</w:t>
      </w:r>
      <w:r w:rsidRPr="00FD4ACA">
        <w:rPr>
          <w:rFonts w:ascii="Times New Roman" w:hAnsi="Times New Roman" w:cs="Times New Roman"/>
          <w:noProof/>
          <w:kern w:val="0"/>
        </w:rPr>
        <w:t>(1), 4296–4303. https://doi.org/10.35940/ijitee.A4928.119119</w:t>
      </w:r>
    </w:p>
    <w:p w14:paraId="33D43216"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Petrovi, N., &amp; Trifunović, D. (2024). </w:t>
      </w:r>
      <w:r w:rsidRPr="00FD4ACA">
        <w:rPr>
          <w:rFonts w:ascii="Times New Roman" w:hAnsi="Times New Roman" w:cs="Times New Roman"/>
          <w:i/>
          <w:iCs/>
          <w:noProof/>
          <w:kern w:val="0"/>
        </w:rPr>
        <w:t>Basel III as a regulatory framework for risk management Bazel III kao regulatorni okvir za upravlјanje rizicima</w:t>
      </w:r>
      <w:r w:rsidRPr="00FD4ACA">
        <w:rPr>
          <w:rFonts w:ascii="Times New Roman" w:hAnsi="Times New Roman" w:cs="Times New Roman"/>
          <w:noProof/>
          <w:kern w:val="0"/>
        </w:rPr>
        <w:t>.</w:t>
      </w:r>
    </w:p>
    <w:p w14:paraId="6E923A8D"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Regehr, K., &amp; Sengupta, R. (2016). Has the Relationship between Bank Size and Profitability Changed? </w:t>
      </w:r>
      <w:r w:rsidRPr="00FD4ACA">
        <w:rPr>
          <w:rFonts w:ascii="Times New Roman" w:hAnsi="Times New Roman" w:cs="Times New Roman"/>
          <w:i/>
          <w:iCs/>
          <w:noProof/>
          <w:kern w:val="0"/>
        </w:rPr>
        <w:t>Economic Review</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16</w:t>
      </w:r>
      <w:r w:rsidRPr="00FD4ACA">
        <w:rPr>
          <w:rFonts w:ascii="Times New Roman" w:hAnsi="Times New Roman" w:cs="Times New Roman"/>
          <w:noProof/>
          <w:kern w:val="0"/>
        </w:rPr>
        <w:t>(2), 49–72. https://ideas.repec.org/a/fip/fedker/00040.html</w:t>
      </w:r>
    </w:p>
    <w:p w14:paraId="7ADD14C7"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Rezvani, S. M. H. S., Falcão, M. J., Komljenovic, D., &amp; de Almeida, N. M. (2023). A Systematic Literature Review on Urban Resilience Enabled with Asset and Disaster Risk Management Approaches and GIS-Based Decision Support Tools. </w:t>
      </w:r>
      <w:r w:rsidRPr="00FD4ACA">
        <w:rPr>
          <w:rFonts w:ascii="Times New Roman" w:hAnsi="Times New Roman" w:cs="Times New Roman"/>
          <w:i/>
          <w:iCs/>
          <w:noProof/>
          <w:kern w:val="0"/>
        </w:rPr>
        <w:t>Applied Sciences (Switzerland)</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13</w:t>
      </w:r>
      <w:r w:rsidRPr="00FD4ACA">
        <w:rPr>
          <w:rFonts w:ascii="Times New Roman" w:hAnsi="Times New Roman" w:cs="Times New Roman"/>
          <w:noProof/>
          <w:kern w:val="0"/>
        </w:rPr>
        <w:t>(4). https://doi.org/10.3390/app13042223</w:t>
      </w:r>
    </w:p>
    <w:p w14:paraId="0E730351"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Rød, B., Lange, D., Theocharidou, M., &amp; Pursiainen, C. (2020). From Risk Management to Resilience Management in Critical Infrastructure. </w:t>
      </w:r>
      <w:r w:rsidRPr="00FD4ACA">
        <w:rPr>
          <w:rFonts w:ascii="Times New Roman" w:hAnsi="Times New Roman" w:cs="Times New Roman"/>
          <w:i/>
          <w:iCs/>
          <w:noProof/>
          <w:kern w:val="0"/>
        </w:rPr>
        <w:t>Journal of Management in Engineering</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36</w:t>
      </w:r>
      <w:r w:rsidRPr="00FD4ACA">
        <w:rPr>
          <w:rFonts w:ascii="Times New Roman" w:hAnsi="Times New Roman" w:cs="Times New Roman"/>
          <w:noProof/>
          <w:kern w:val="0"/>
        </w:rPr>
        <w:t>(4). https://doi.org/10.1061/(asce)me.1943-5479.0000795</w:t>
      </w:r>
    </w:p>
    <w:p w14:paraId="6D52F8FD"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Schneiberg, M., &amp; Parmentier, E. (2022). Banking structure, economic resilience and unemployment trajectories in US counties during the great recession. </w:t>
      </w:r>
      <w:r w:rsidRPr="00FD4ACA">
        <w:rPr>
          <w:rFonts w:ascii="Times New Roman" w:hAnsi="Times New Roman" w:cs="Times New Roman"/>
          <w:i/>
          <w:iCs/>
          <w:noProof/>
          <w:kern w:val="0"/>
        </w:rPr>
        <w:t>Socio-Economic Review</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20</w:t>
      </w:r>
      <w:r w:rsidRPr="00FD4ACA">
        <w:rPr>
          <w:rFonts w:ascii="Times New Roman" w:hAnsi="Times New Roman" w:cs="Times New Roman"/>
          <w:noProof/>
          <w:kern w:val="0"/>
        </w:rPr>
        <w:t>(1), 85–139. https://doi.org/10.1093/ser/mwaa039</w:t>
      </w:r>
    </w:p>
    <w:p w14:paraId="2326F574"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Shashikala, K. (2019). Digital disruption in banking industry. </w:t>
      </w:r>
      <w:r w:rsidRPr="00FD4ACA">
        <w:rPr>
          <w:rFonts w:ascii="Times New Roman" w:hAnsi="Times New Roman" w:cs="Times New Roman"/>
          <w:i/>
          <w:iCs/>
          <w:noProof/>
          <w:kern w:val="0"/>
        </w:rPr>
        <w:t>International Journal of Social and Economic Research</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9</w:t>
      </w:r>
      <w:r w:rsidRPr="00FD4ACA">
        <w:rPr>
          <w:rFonts w:ascii="Times New Roman" w:hAnsi="Times New Roman" w:cs="Times New Roman"/>
          <w:noProof/>
          <w:kern w:val="0"/>
        </w:rPr>
        <w:t>(3), 56. https://doi.org/10.5958/2249-6270.2019.00019.9</w:t>
      </w:r>
    </w:p>
    <w:p w14:paraId="28A31A37"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Siregar, R. Y., Gunawan, A. H., &amp; Saputro, A. N. (2021). Impact of the Covid-19 Shock on Banking and Corporate Sector Vulnerabilities in Indonesia. </w:t>
      </w:r>
      <w:r w:rsidRPr="00FD4ACA">
        <w:rPr>
          <w:rFonts w:ascii="Times New Roman" w:hAnsi="Times New Roman" w:cs="Times New Roman"/>
          <w:i/>
          <w:iCs/>
          <w:noProof/>
          <w:kern w:val="0"/>
        </w:rPr>
        <w:t>Bulletin of Indonesian Economic Studies</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57</w:t>
      </w:r>
      <w:r w:rsidRPr="00FD4ACA">
        <w:rPr>
          <w:rFonts w:ascii="Times New Roman" w:hAnsi="Times New Roman" w:cs="Times New Roman"/>
          <w:noProof/>
          <w:kern w:val="0"/>
        </w:rPr>
        <w:t>(2), 147–173. https://doi.org/10.1080/00074918.2021.1956397</w:t>
      </w:r>
    </w:p>
    <w:p w14:paraId="143176DE"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kern w:val="0"/>
        </w:rPr>
      </w:pPr>
      <w:r w:rsidRPr="00FD4ACA">
        <w:rPr>
          <w:rFonts w:ascii="Times New Roman" w:hAnsi="Times New Roman" w:cs="Times New Roman"/>
          <w:noProof/>
          <w:kern w:val="0"/>
        </w:rPr>
        <w:t xml:space="preserve">Taiwo, J. N., Yewande, O. A., Edwin, A. M., &amp; Benson, K. N. (2016). The role of microfinance institutions in financing small businesses. </w:t>
      </w:r>
      <w:r w:rsidRPr="00FD4ACA">
        <w:rPr>
          <w:rFonts w:ascii="Times New Roman" w:hAnsi="Times New Roman" w:cs="Times New Roman"/>
          <w:i/>
          <w:iCs/>
          <w:noProof/>
          <w:kern w:val="0"/>
        </w:rPr>
        <w:t>Journal of Internet Banking and Commerce</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21</w:t>
      </w:r>
      <w:r w:rsidRPr="00FD4ACA">
        <w:rPr>
          <w:rFonts w:ascii="Times New Roman" w:hAnsi="Times New Roman" w:cs="Times New Roman"/>
          <w:noProof/>
          <w:kern w:val="0"/>
        </w:rPr>
        <w:t>(1), 1–20.</w:t>
      </w:r>
    </w:p>
    <w:p w14:paraId="48A9CFAE" w14:textId="77777777" w:rsidR="00FD4ACA" w:rsidRPr="00FD4ACA" w:rsidRDefault="00FD4ACA" w:rsidP="00FD4ACA">
      <w:pPr>
        <w:widowControl w:val="0"/>
        <w:autoSpaceDE w:val="0"/>
        <w:autoSpaceDN w:val="0"/>
        <w:adjustRightInd w:val="0"/>
        <w:spacing w:line="240" w:lineRule="auto"/>
        <w:ind w:left="480" w:hanging="480"/>
        <w:jc w:val="both"/>
        <w:rPr>
          <w:rFonts w:ascii="Times New Roman" w:hAnsi="Times New Roman" w:cs="Times New Roman"/>
          <w:noProof/>
        </w:rPr>
      </w:pPr>
      <w:r w:rsidRPr="00FD4ACA">
        <w:rPr>
          <w:rFonts w:ascii="Times New Roman" w:hAnsi="Times New Roman" w:cs="Times New Roman"/>
          <w:noProof/>
          <w:kern w:val="0"/>
        </w:rPr>
        <w:t xml:space="preserve">Vousinas, G. L. (2015). Supervision of financial institutions: The transition from Basel I to Basel III. A critical appraisal of the newly established regulatory framework. </w:t>
      </w:r>
      <w:r w:rsidRPr="00FD4ACA">
        <w:rPr>
          <w:rFonts w:ascii="Times New Roman" w:hAnsi="Times New Roman" w:cs="Times New Roman"/>
          <w:i/>
          <w:iCs/>
          <w:noProof/>
          <w:kern w:val="0"/>
        </w:rPr>
        <w:t>Journal of Financial Regulation and Compliance</w:t>
      </w:r>
      <w:r w:rsidRPr="00FD4ACA">
        <w:rPr>
          <w:rFonts w:ascii="Times New Roman" w:hAnsi="Times New Roman" w:cs="Times New Roman"/>
          <w:noProof/>
          <w:kern w:val="0"/>
        </w:rPr>
        <w:t xml:space="preserve">, </w:t>
      </w:r>
      <w:r w:rsidRPr="00FD4ACA">
        <w:rPr>
          <w:rFonts w:ascii="Times New Roman" w:hAnsi="Times New Roman" w:cs="Times New Roman"/>
          <w:i/>
          <w:iCs/>
          <w:noProof/>
          <w:kern w:val="0"/>
        </w:rPr>
        <w:t>23</w:t>
      </w:r>
      <w:r w:rsidRPr="00FD4ACA">
        <w:rPr>
          <w:rFonts w:ascii="Times New Roman" w:hAnsi="Times New Roman" w:cs="Times New Roman"/>
          <w:noProof/>
          <w:kern w:val="0"/>
        </w:rPr>
        <w:t>(4), 383–402. https://doi.org/10.1108/JFRC-02-2015-0011</w:t>
      </w:r>
    </w:p>
    <w:p w14:paraId="091FF483" w14:textId="518478C9" w:rsidR="00FD4ACA" w:rsidRPr="00FD4ACA" w:rsidRDefault="00FD4ACA" w:rsidP="00FD4ACA">
      <w:pPr>
        <w:spacing w:line="240" w:lineRule="auto"/>
        <w:jc w:val="both"/>
        <w:rPr>
          <w:rFonts w:ascii="Times New Roman" w:hAnsi="Times New Roman" w:cs="Times New Roman"/>
        </w:rPr>
      </w:pPr>
      <w:r w:rsidRPr="00FD4ACA">
        <w:rPr>
          <w:rFonts w:ascii="Times New Roman" w:hAnsi="Times New Roman" w:cs="Times New Roman"/>
        </w:rPr>
        <w:fldChar w:fldCharType="end"/>
      </w:r>
    </w:p>
    <w:sectPr w:rsidR="00FD4ACA" w:rsidRPr="00FD4AC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20E1F" w14:textId="77777777" w:rsidR="00AF786B" w:rsidRDefault="00AF786B" w:rsidP="009835AE">
      <w:pPr>
        <w:spacing w:after="0" w:line="240" w:lineRule="auto"/>
      </w:pPr>
      <w:r>
        <w:separator/>
      </w:r>
    </w:p>
  </w:endnote>
  <w:endnote w:type="continuationSeparator" w:id="0">
    <w:p w14:paraId="53B4AE9E" w14:textId="77777777" w:rsidR="00AF786B" w:rsidRDefault="00AF786B" w:rsidP="00983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3C062" w14:textId="77777777" w:rsidR="009835AE" w:rsidRDefault="00983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2C85D" w14:textId="77777777" w:rsidR="009835AE" w:rsidRDefault="009835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78BA8" w14:textId="77777777" w:rsidR="009835AE" w:rsidRDefault="00983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C61EA" w14:textId="77777777" w:rsidR="00AF786B" w:rsidRDefault="00AF786B" w:rsidP="009835AE">
      <w:pPr>
        <w:spacing w:after="0" w:line="240" w:lineRule="auto"/>
      </w:pPr>
      <w:r>
        <w:separator/>
      </w:r>
    </w:p>
  </w:footnote>
  <w:footnote w:type="continuationSeparator" w:id="0">
    <w:p w14:paraId="461AAB00" w14:textId="77777777" w:rsidR="00AF786B" w:rsidRDefault="00AF786B" w:rsidP="00983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E8B10" w14:textId="4F8C0A2A" w:rsidR="009835AE" w:rsidRDefault="009835AE">
    <w:pPr>
      <w:pStyle w:val="Header"/>
    </w:pPr>
    <w:r>
      <w:rPr>
        <w:noProof/>
      </w:rPr>
      <w:pict w14:anchorId="7B92F3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4031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86501" w14:textId="1901F6F6" w:rsidR="009835AE" w:rsidRDefault="009835AE">
    <w:pPr>
      <w:pStyle w:val="Header"/>
    </w:pPr>
    <w:r>
      <w:rPr>
        <w:noProof/>
      </w:rPr>
      <w:pict w14:anchorId="674339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4031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51C4D" w14:textId="36EA5220" w:rsidR="009835AE" w:rsidRDefault="009835AE">
    <w:pPr>
      <w:pStyle w:val="Header"/>
    </w:pPr>
    <w:r>
      <w:rPr>
        <w:noProof/>
      </w:rPr>
      <w:pict w14:anchorId="161822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4031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76523"/>
    <w:multiLevelType w:val="multilevel"/>
    <w:tmpl w:val="82A2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03731"/>
    <w:multiLevelType w:val="multilevel"/>
    <w:tmpl w:val="2030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F006A"/>
    <w:multiLevelType w:val="multilevel"/>
    <w:tmpl w:val="21E8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43910"/>
    <w:multiLevelType w:val="multilevel"/>
    <w:tmpl w:val="9148E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920C98"/>
    <w:multiLevelType w:val="multilevel"/>
    <w:tmpl w:val="89A02A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24602B"/>
    <w:multiLevelType w:val="multilevel"/>
    <w:tmpl w:val="2F4A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DD35B0"/>
    <w:multiLevelType w:val="multilevel"/>
    <w:tmpl w:val="DC8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9851B8"/>
    <w:multiLevelType w:val="multilevel"/>
    <w:tmpl w:val="5DBA1A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83227272">
    <w:abstractNumId w:val="4"/>
  </w:num>
  <w:num w:numId="2" w16cid:durableId="1114641720">
    <w:abstractNumId w:val="0"/>
  </w:num>
  <w:num w:numId="3" w16cid:durableId="1307659738">
    <w:abstractNumId w:val="2"/>
  </w:num>
  <w:num w:numId="4" w16cid:durableId="290870753">
    <w:abstractNumId w:val="7"/>
  </w:num>
  <w:num w:numId="5" w16cid:durableId="126821145">
    <w:abstractNumId w:val="5"/>
  </w:num>
  <w:num w:numId="6" w16cid:durableId="1663073491">
    <w:abstractNumId w:val="1"/>
  </w:num>
  <w:num w:numId="7" w16cid:durableId="1595213187">
    <w:abstractNumId w:val="6"/>
  </w:num>
  <w:num w:numId="8" w16cid:durableId="1939482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2NDA0srAwtbQ0M7ZU0lEKTi0uzszPAykwrAUADs9TaywAAAA="/>
  </w:docVars>
  <w:rsids>
    <w:rsidRoot w:val="00FB297D"/>
    <w:rsid w:val="00013F6F"/>
    <w:rsid w:val="000616EE"/>
    <w:rsid w:val="000706EF"/>
    <w:rsid w:val="0008535B"/>
    <w:rsid w:val="00085380"/>
    <w:rsid w:val="00087AA0"/>
    <w:rsid w:val="000C035C"/>
    <w:rsid w:val="000C0E7B"/>
    <w:rsid w:val="000C6E06"/>
    <w:rsid w:val="000D381B"/>
    <w:rsid w:val="000D3A57"/>
    <w:rsid w:val="00111F60"/>
    <w:rsid w:val="00130B9E"/>
    <w:rsid w:val="00183DD7"/>
    <w:rsid w:val="00183F6D"/>
    <w:rsid w:val="001B6A51"/>
    <w:rsid w:val="001C1534"/>
    <w:rsid w:val="001C2AF3"/>
    <w:rsid w:val="001C3ADE"/>
    <w:rsid w:val="001E0E78"/>
    <w:rsid w:val="001F0DE8"/>
    <w:rsid w:val="00223B75"/>
    <w:rsid w:val="00227111"/>
    <w:rsid w:val="00257F27"/>
    <w:rsid w:val="00261FD0"/>
    <w:rsid w:val="002A1957"/>
    <w:rsid w:val="002C23A7"/>
    <w:rsid w:val="002C71DA"/>
    <w:rsid w:val="002E1A72"/>
    <w:rsid w:val="002E6631"/>
    <w:rsid w:val="002F6E38"/>
    <w:rsid w:val="003005EE"/>
    <w:rsid w:val="00313130"/>
    <w:rsid w:val="003269B4"/>
    <w:rsid w:val="00343AA3"/>
    <w:rsid w:val="003616CB"/>
    <w:rsid w:val="00377E9E"/>
    <w:rsid w:val="00391474"/>
    <w:rsid w:val="003C5C97"/>
    <w:rsid w:val="003F7F47"/>
    <w:rsid w:val="004073F1"/>
    <w:rsid w:val="00414F75"/>
    <w:rsid w:val="004571BD"/>
    <w:rsid w:val="0046495D"/>
    <w:rsid w:val="00475AE1"/>
    <w:rsid w:val="0048735D"/>
    <w:rsid w:val="004C2199"/>
    <w:rsid w:val="004E47C2"/>
    <w:rsid w:val="004E7C7B"/>
    <w:rsid w:val="004F69AF"/>
    <w:rsid w:val="005175C4"/>
    <w:rsid w:val="00522FFC"/>
    <w:rsid w:val="005240D9"/>
    <w:rsid w:val="00562DFD"/>
    <w:rsid w:val="00564600"/>
    <w:rsid w:val="005D59D6"/>
    <w:rsid w:val="005E072A"/>
    <w:rsid w:val="005E08A6"/>
    <w:rsid w:val="00604F18"/>
    <w:rsid w:val="006130C1"/>
    <w:rsid w:val="00656FFF"/>
    <w:rsid w:val="00670AA2"/>
    <w:rsid w:val="0069465D"/>
    <w:rsid w:val="006C4B89"/>
    <w:rsid w:val="006D7A90"/>
    <w:rsid w:val="006F6597"/>
    <w:rsid w:val="00704357"/>
    <w:rsid w:val="00717D95"/>
    <w:rsid w:val="0074087D"/>
    <w:rsid w:val="00763C71"/>
    <w:rsid w:val="00763E8B"/>
    <w:rsid w:val="007756C5"/>
    <w:rsid w:val="00794A3B"/>
    <w:rsid w:val="007A623F"/>
    <w:rsid w:val="007F7FD5"/>
    <w:rsid w:val="00806419"/>
    <w:rsid w:val="0082476E"/>
    <w:rsid w:val="008463CB"/>
    <w:rsid w:val="008959D7"/>
    <w:rsid w:val="00896597"/>
    <w:rsid w:val="008A4316"/>
    <w:rsid w:val="008C5768"/>
    <w:rsid w:val="008D55C8"/>
    <w:rsid w:val="008E2558"/>
    <w:rsid w:val="008E45CE"/>
    <w:rsid w:val="00913626"/>
    <w:rsid w:val="00947AA1"/>
    <w:rsid w:val="00950283"/>
    <w:rsid w:val="0097511C"/>
    <w:rsid w:val="009835AE"/>
    <w:rsid w:val="009966CB"/>
    <w:rsid w:val="009E2C69"/>
    <w:rsid w:val="009F043A"/>
    <w:rsid w:val="00A25995"/>
    <w:rsid w:val="00A31AFB"/>
    <w:rsid w:val="00A417E4"/>
    <w:rsid w:val="00A6475E"/>
    <w:rsid w:val="00A77ECF"/>
    <w:rsid w:val="00A93CA7"/>
    <w:rsid w:val="00AA1750"/>
    <w:rsid w:val="00AB32C3"/>
    <w:rsid w:val="00AB6A41"/>
    <w:rsid w:val="00AD6573"/>
    <w:rsid w:val="00AF786B"/>
    <w:rsid w:val="00B142C2"/>
    <w:rsid w:val="00B4230F"/>
    <w:rsid w:val="00B55CB1"/>
    <w:rsid w:val="00B94152"/>
    <w:rsid w:val="00BD4BA9"/>
    <w:rsid w:val="00BF207F"/>
    <w:rsid w:val="00BF2C8C"/>
    <w:rsid w:val="00C013CA"/>
    <w:rsid w:val="00C03071"/>
    <w:rsid w:val="00C1739D"/>
    <w:rsid w:val="00C31B75"/>
    <w:rsid w:val="00C32559"/>
    <w:rsid w:val="00C33A6D"/>
    <w:rsid w:val="00C57948"/>
    <w:rsid w:val="00CB00EC"/>
    <w:rsid w:val="00CB7D28"/>
    <w:rsid w:val="00CC4881"/>
    <w:rsid w:val="00CF0671"/>
    <w:rsid w:val="00CF3D2D"/>
    <w:rsid w:val="00CF4AAD"/>
    <w:rsid w:val="00D479A1"/>
    <w:rsid w:val="00D52C77"/>
    <w:rsid w:val="00D62C55"/>
    <w:rsid w:val="00D9137D"/>
    <w:rsid w:val="00DB010C"/>
    <w:rsid w:val="00DC6B0D"/>
    <w:rsid w:val="00DD696A"/>
    <w:rsid w:val="00DE5223"/>
    <w:rsid w:val="00DF6FD9"/>
    <w:rsid w:val="00E0372A"/>
    <w:rsid w:val="00E1754E"/>
    <w:rsid w:val="00E22DFA"/>
    <w:rsid w:val="00E3348F"/>
    <w:rsid w:val="00E4570E"/>
    <w:rsid w:val="00E72D31"/>
    <w:rsid w:val="00E73BC7"/>
    <w:rsid w:val="00E923E6"/>
    <w:rsid w:val="00E96F1E"/>
    <w:rsid w:val="00EC7FBA"/>
    <w:rsid w:val="00EF1F33"/>
    <w:rsid w:val="00F0724A"/>
    <w:rsid w:val="00F133D0"/>
    <w:rsid w:val="00F1689D"/>
    <w:rsid w:val="00F37901"/>
    <w:rsid w:val="00F61DE5"/>
    <w:rsid w:val="00FB297D"/>
    <w:rsid w:val="00FD4ACA"/>
    <w:rsid w:val="00FF3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8676F"/>
  <w15:chartTrackingRefBased/>
  <w15:docId w15:val="{FBF55B3C-A946-494B-9F3B-ED4D8743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9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29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29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29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29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29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9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9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9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9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29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29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29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29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29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9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9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97D"/>
    <w:rPr>
      <w:rFonts w:eastAsiaTheme="majorEastAsia" w:cstheme="majorBidi"/>
      <w:color w:val="272727" w:themeColor="text1" w:themeTint="D8"/>
    </w:rPr>
  </w:style>
  <w:style w:type="paragraph" w:styleId="Title">
    <w:name w:val="Title"/>
    <w:basedOn w:val="Normal"/>
    <w:next w:val="Normal"/>
    <w:link w:val="TitleChar"/>
    <w:uiPriority w:val="10"/>
    <w:qFormat/>
    <w:rsid w:val="00FB29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9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9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9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97D"/>
    <w:pPr>
      <w:spacing w:before="160"/>
      <w:jc w:val="center"/>
    </w:pPr>
    <w:rPr>
      <w:i/>
      <w:iCs/>
      <w:color w:val="404040" w:themeColor="text1" w:themeTint="BF"/>
    </w:rPr>
  </w:style>
  <w:style w:type="character" w:customStyle="1" w:styleId="QuoteChar">
    <w:name w:val="Quote Char"/>
    <w:basedOn w:val="DefaultParagraphFont"/>
    <w:link w:val="Quote"/>
    <w:uiPriority w:val="29"/>
    <w:rsid w:val="00FB297D"/>
    <w:rPr>
      <w:i/>
      <w:iCs/>
      <w:color w:val="404040" w:themeColor="text1" w:themeTint="BF"/>
    </w:rPr>
  </w:style>
  <w:style w:type="paragraph" w:styleId="ListParagraph">
    <w:name w:val="List Paragraph"/>
    <w:basedOn w:val="Normal"/>
    <w:uiPriority w:val="34"/>
    <w:qFormat/>
    <w:rsid w:val="00FB297D"/>
    <w:pPr>
      <w:ind w:left="720"/>
      <w:contextualSpacing/>
    </w:pPr>
  </w:style>
  <w:style w:type="character" w:styleId="IntenseEmphasis">
    <w:name w:val="Intense Emphasis"/>
    <w:basedOn w:val="DefaultParagraphFont"/>
    <w:uiPriority w:val="21"/>
    <w:qFormat/>
    <w:rsid w:val="00FB297D"/>
    <w:rPr>
      <w:i/>
      <w:iCs/>
      <w:color w:val="2F5496" w:themeColor="accent1" w:themeShade="BF"/>
    </w:rPr>
  </w:style>
  <w:style w:type="paragraph" w:styleId="IntenseQuote">
    <w:name w:val="Intense Quote"/>
    <w:basedOn w:val="Normal"/>
    <w:next w:val="Normal"/>
    <w:link w:val="IntenseQuoteChar"/>
    <w:uiPriority w:val="30"/>
    <w:qFormat/>
    <w:rsid w:val="00FB29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297D"/>
    <w:rPr>
      <w:i/>
      <w:iCs/>
      <w:color w:val="2F5496" w:themeColor="accent1" w:themeShade="BF"/>
    </w:rPr>
  </w:style>
  <w:style w:type="character" w:styleId="IntenseReference">
    <w:name w:val="Intense Reference"/>
    <w:basedOn w:val="DefaultParagraphFont"/>
    <w:uiPriority w:val="32"/>
    <w:qFormat/>
    <w:rsid w:val="00FB297D"/>
    <w:rPr>
      <w:b/>
      <w:bCs/>
      <w:smallCaps/>
      <w:color w:val="2F5496" w:themeColor="accent1" w:themeShade="BF"/>
      <w:spacing w:val="5"/>
    </w:rPr>
  </w:style>
  <w:style w:type="character" w:styleId="Hyperlink">
    <w:name w:val="Hyperlink"/>
    <w:basedOn w:val="DefaultParagraphFont"/>
    <w:uiPriority w:val="99"/>
    <w:unhideWhenUsed/>
    <w:rsid w:val="00A77ECF"/>
    <w:rPr>
      <w:color w:val="0563C1" w:themeColor="hyperlink"/>
      <w:u w:val="single"/>
    </w:rPr>
  </w:style>
  <w:style w:type="character" w:customStyle="1" w:styleId="UnresolvedMention1">
    <w:name w:val="Unresolved Mention1"/>
    <w:basedOn w:val="DefaultParagraphFont"/>
    <w:uiPriority w:val="99"/>
    <w:semiHidden/>
    <w:unhideWhenUsed/>
    <w:rsid w:val="00A77ECF"/>
    <w:rPr>
      <w:color w:val="605E5C"/>
      <w:shd w:val="clear" w:color="auto" w:fill="E1DFDD"/>
    </w:rPr>
  </w:style>
  <w:style w:type="table" w:styleId="TableGrid">
    <w:name w:val="Table Grid"/>
    <w:basedOn w:val="TableNormal"/>
    <w:uiPriority w:val="39"/>
    <w:rsid w:val="00AB3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3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5AE"/>
  </w:style>
  <w:style w:type="paragraph" w:styleId="Footer">
    <w:name w:val="footer"/>
    <w:basedOn w:val="Normal"/>
    <w:link w:val="FooterChar"/>
    <w:uiPriority w:val="99"/>
    <w:unhideWhenUsed/>
    <w:rsid w:val="00983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58750">
      <w:bodyDiv w:val="1"/>
      <w:marLeft w:val="0"/>
      <w:marRight w:val="0"/>
      <w:marTop w:val="0"/>
      <w:marBottom w:val="0"/>
      <w:divBdr>
        <w:top w:val="none" w:sz="0" w:space="0" w:color="auto"/>
        <w:left w:val="none" w:sz="0" w:space="0" w:color="auto"/>
        <w:bottom w:val="none" w:sz="0" w:space="0" w:color="auto"/>
        <w:right w:val="none" w:sz="0" w:space="0" w:color="auto"/>
      </w:divBdr>
    </w:div>
    <w:div w:id="60756669">
      <w:bodyDiv w:val="1"/>
      <w:marLeft w:val="0"/>
      <w:marRight w:val="0"/>
      <w:marTop w:val="0"/>
      <w:marBottom w:val="0"/>
      <w:divBdr>
        <w:top w:val="none" w:sz="0" w:space="0" w:color="auto"/>
        <w:left w:val="none" w:sz="0" w:space="0" w:color="auto"/>
        <w:bottom w:val="none" w:sz="0" w:space="0" w:color="auto"/>
        <w:right w:val="none" w:sz="0" w:space="0" w:color="auto"/>
      </w:divBdr>
    </w:div>
    <w:div w:id="81878981">
      <w:bodyDiv w:val="1"/>
      <w:marLeft w:val="0"/>
      <w:marRight w:val="0"/>
      <w:marTop w:val="0"/>
      <w:marBottom w:val="0"/>
      <w:divBdr>
        <w:top w:val="none" w:sz="0" w:space="0" w:color="auto"/>
        <w:left w:val="none" w:sz="0" w:space="0" w:color="auto"/>
        <w:bottom w:val="none" w:sz="0" w:space="0" w:color="auto"/>
        <w:right w:val="none" w:sz="0" w:space="0" w:color="auto"/>
      </w:divBdr>
    </w:div>
    <w:div w:id="123542382">
      <w:bodyDiv w:val="1"/>
      <w:marLeft w:val="0"/>
      <w:marRight w:val="0"/>
      <w:marTop w:val="0"/>
      <w:marBottom w:val="0"/>
      <w:divBdr>
        <w:top w:val="none" w:sz="0" w:space="0" w:color="auto"/>
        <w:left w:val="none" w:sz="0" w:space="0" w:color="auto"/>
        <w:bottom w:val="none" w:sz="0" w:space="0" w:color="auto"/>
        <w:right w:val="none" w:sz="0" w:space="0" w:color="auto"/>
      </w:divBdr>
    </w:div>
    <w:div w:id="153113691">
      <w:bodyDiv w:val="1"/>
      <w:marLeft w:val="0"/>
      <w:marRight w:val="0"/>
      <w:marTop w:val="0"/>
      <w:marBottom w:val="0"/>
      <w:divBdr>
        <w:top w:val="none" w:sz="0" w:space="0" w:color="auto"/>
        <w:left w:val="none" w:sz="0" w:space="0" w:color="auto"/>
        <w:bottom w:val="none" w:sz="0" w:space="0" w:color="auto"/>
        <w:right w:val="none" w:sz="0" w:space="0" w:color="auto"/>
      </w:divBdr>
    </w:div>
    <w:div w:id="158354237">
      <w:bodyDiv w:val="1"/>
      <w:marLeft w:val="0"/>
      <w:marRight w:val="0"/>
      <w:marTop w:val="0"/>
      <w:marBottom w:val="0"/>
      <w:divBdr>
        <w:top w:val="none" w:sz="0" w:space="0" w:color="auto"/>
        <w:left w:val="none" w:sz="0" w:space="0" w:color="auto"/>
        <w:bottom w:val="none" w:sz="0" w:space="0" w:color="auto"/>
        <w:right w:val="none" w:sz="0" w:space="0" w:color="auto"/>
      </w:divBdr>
    </w:div>
    <w:div w:id="159006478">
      <w:bodyDiv w:val="1"/>
      <w:marLeft w:val="0"/>
      <w:marRight w:val="0"/>
      <w:marTop w:val="0"/>
      <w:marBottom w:val="0"/>
      <w:divBdr>
        <w:top w:val="none" w:sz="0" w:space="0" w:color="auto"/>
        <w:left w:val="none" w:sz="0" w:space="0" w:color="auto"/>
        <w:bottom w:val="none" w:sz="0" w:space="0" w:color="auto"/>
        <w:right w:val="none" w:sz="0" w:space="0" w:color="auto"/>
      </w:divBdr>
    </w:div>
    <w:div w:id="165218411">
      <w:bodyDiv w:val="1"/>
      <w:marLeft w:val="0"/>
      <w:marRight w:val="0"/>
      <w:marTop w:val="0"/>
      <w:marBottom w:val="0"/>
      <w:divBdr>
        <w:top w:val="none" w:sz="0" w:space="0" w:color="auto"/>
        <w:left w:val="none" w:sz="0" w:space="0" w:color="auto"/>
        <w:bottom w:val="none" w:sz="0" w:space="0" w:color="auto"/>
        <w:right w:val="none" w:sz="0" w:space="0" w:color="auto"/>
      </w:divBdr>
    </w:div>
    <w:div w:id="197546244">
      <w:bodyDiv w:val="1"/>
      <w:marLeft w:val="0"/>
      <w:marRight w:val="0"/>
      <w:marTop w:val="0"/>
      <w:marBottom w:val="0"/>
      <w:divBdr>
        <w:top w:val="none" w:sz="0" w:space="0" w:color="auto"/>
        <w:left w:val="none" w:sz="0" w:space="0" w:color="auto"/>
        <w:bottom w:val="none" w:sz="0" w:space="0" w:color="auto"/>
        <w:right w:val="none" w:sz="0" w:space="0" w:color="auto"/>
      </w:divBdr>
    </w:div>
    <w:div w:id="209348295">
      <w:bodyDiv w:val="1"/>
      <w:marLeft w:val="0"/>
      <w:marRight w:val="0"/>
      <w:marTop w:val="0"/>
      <w:marBottom w:val="0"/>
      <w:divBdr>
        <w:top w:val="none" w:sz="0" w:space="0" w:color="auto"/>
        <w:left w:val="none" w:sz="0" w:space="0" w:color="auto"/>
        <w:bottom w:val="none" w:sz="0" w:space="0" w:color="auto"/>
        <w:right w:val="none" w:sz="0" w:space="0" w:color="auto"/>
      </w:divBdr>
    </w:div>
    <w:div w:id="226841502">
      <w:bodyDiv w:val="1"/>
      <w:marLeft w:val="0"/>
      <w:marRight w:val="0"/>
      <w:marTop w:val="0"/>
      <w:marBottom w:val="0"/>
      <w:divBdr>
        <w:top w:val="none" w:sz="0" w:space="0" w:color="auto"/>
        <w:left w:val="none" w:sz="0" w:space="0" w:color="auto"/>
        <w:bottom w:val="none" w:sz="0" w:space="0" w:color="auto"/>
        <w:right w:val="none" w:sz="0" w:space="0" w:color="auto"/>
      </w:divBdr>
    </w:div>
    <w:div w:id="277882204">
      <w:bodyDiv w:val="1"/>
      <w:marLeft w:val="0"/>
      <w:marRight w:val="0"/>
      <w:marTop w:val="0"/>
      <w:marBottom w:val="0"/>
      <w:divBdr>
        <w:top w:val="none" w:sz="0" w:space="0" w:color="auto"/>
        <w:left w:val="none" w:sz="0" w:space="0" w:color="auto"/>
        <w:bottom w:val="none" w:sz="0" w:space="0" w:color="auto"/>
        <w:right w:val="none" w:sz="0" w:space="0" w:color="auto"/>
      </w:divBdr>
    </w:div>
    <w:div w:id="299238315">
      <w:bodyDiv w:val="1"/>
      <w:marLeft w:val="0"/>
      <w:marRight w:val="0"/>
      <w:marTop w:val="0"/>
      <w:marBottom w:val="0"/>
      <w:divBdr>
        <w:top w:val="none" w:sz="0" w:space="0" w:color="auto"/>
        <w:left w:val="none" w:sz="0" w:space="0" w:color="auto"/>
        <w:bottom w:val="none" w:sz="0" w:space="0" w:color="auto"/>
        <w:right w:val="none" w:sz="0" w:space="0" w:color="auto"/>
      </w:divBdr>
    </w:div>
    <w:div w:id="358749448">
      <w:bodyDiv w:val="1"/>
      <w:marLeft w:val="0"/>
      <w:marRight w:val="0"/>
      <w:marTop w:val="0"/>
      <w:marBottom w:val="0"/>
      <w:divBdr>
        <w:top w:val="none" w:sz="0" w:space="0" w:color="auto"/>
        <w:left w:val="none" w:sz="0" w:space="0" w:color="auto"/>
        <w:bottom w:val="none" w:sz="0" w:space="0" w:color="auto"/>
        <w:right w:val="none" w:sz="0" w:space="0" w:color="auto"/>
      </w:divBdr>
    </w:div>
    <w:div w:id="386072900">
      <w:bodyDiv w:val="1"/>
      <w:marLeft w:val="0"/>
      <w:marRight w:val="0"/>
      <w:marTop w:val="0"/>
      <w:marBottom w:val="0"/>
      <w:divBdr>
        <w:top w:val="none" w:sz="0" w:space="0" w:color="auto"/>
        <w:left w:val="none" w:sz="0" w:space="0" w:color="auto"/>
        <w:bottom w:val="none" w:sz="0" w:space="0" w:color="auto"/>
        <w:right w:val="none" w:sz="0" w:space="0" w:color="auto"/>
      </w:divBdr>
    </w:div>
    <w:div w:id="406651034">
      <w:bodyDiv w:val="1"/>
      <w:marLeft w:val="0"/>
      <w:marRight w:val="0"/>
      <w:marTop w:val="0"/>
      <w:marBottom w:val="0"/>
      <w:divBdr>
        <w:top w:val="none" w:sz="0" w:space="0" w:color="auto"/>
        <w:left w:val="none" w:sz="0" w:space="0" w:color="auto"/>
        <w:bottom w:val="none" w:sz="0" w:space="0" w:color="auto"/>
        <w:right w:val="none" w:sz="0" w:space="0" w:color="auto"/>
      </w:divBdr>
    </w:div>
    <w:div w:id="451216403">
      <w:bodyDiv w:val="1"/>
      <w:marLeft w:val="0"/>
      <w:marRight w:val="0"/>
      <w:marTop w:val="0"/>
      <w:marBottom w:val="0"/>
      <w:divBdr>
        <w:top w:val="none" w:sz="0" w:space="0" w:color="auto"/>
        <w:left w:val="none" w:sz="0" w:space="0" w:color="auto"/>
        <w:bottom w:val="none" w:sz="0" w:space="0" w:color="auto"/>
        <w:right w:val="none" w:sz="0" w:space="0" w:color="auto"/>
      </w:divBdr>
    </w:div>
    <w:div w:id="478772352">
      <w:bodyDiv w:val="1"/>
      <w:marLeft w:val="0"/>
      <w:marRight w:val="0"/>
      <w:marTop w:val="0"/>
      <w:marBottom w:val="0"/>
      <w:divBdr>
        <w:top w:val="none" w:sz="0" w:space="0" w:color="auto"/>
        <w:left w:val="none" w:sz="0" w:space="0" w:color="auto"/>
        <w:bottom w:val="none" w:sz="0" w:space="0" w:color="auto"/>
        <w:right w:val="none" w:sz="0" w:space="0" w:color="auto"/>
      </w:divBdr>
    </w:div>
    <w:div w:id="501967059">
      <w:bodyDiv w:val="1"/>
      <w:marLeft w:val="0"/>
      <w:marRight w:val="0"/>
      <w:marTop w:val="0"/>
      <w:marBottom w:val="0"/>
      <w:divBdr>
        <w:top w:val="none" w:sz="0" w:space="0" w:color="auto"/>
        <w:left w:val="none" w:sz="0" w:space="0" w:color="auto"/>
        <w:bottom w:val="none" w:sz="0" w:space="0" w:color="auto"/>
        <w:right w:val="none" w:sz="0" w:space="0" w:color="auto"/>
      </w:divBdr>
    </w:div>
    <w:div w:id="546453178">
      <w:bodyDiv w:val="1"/>
      <w:marLeft w:val="0"/>
      <w:marRight w:val="0"/>
      <w:marTop w:val="0"/>
      <w:marBottom w:val="0"/>
      <w:divBdr>
        <w:top w:val="none" w:sz="0" w:space="0" w:color="auto"/>
        <w:left w:val="none" w:sz="0" w:space="0" w:color="auto"/>
        <w:bottom w:val="none" w:sz="0" w:space="0" w:color="auto"/>
        <w:right w:val="none" w:sz="0" w:space="0" w:color="auto"/>
      </w:divBdr>
    </w:div>
    <w:div w:id="548689428">
      <w:bodyDiv w:val="1"/>
      <w:marLeft w:val="0"/>
      <w:marRight w:val="0"/>
      <w:marTop w:val="0"/>
      <w:marBottom w:val="0"/>
      <w:divBdr>
        <w:top w:val="none" w:sz="0" w:space="0" w:color="auto"/>
        <w:left w:val="none" w:sz="0" w:space="0" w:color="auto"/>
        <w:bottom w:val="none" w:sz="0" w:space="0" w:color="auto"/>
        <w:right w:val="none" w:sz="0" w:space="0" w:color="auto"/>
      </w:divBdr>
    </w:div>
    <w:div w:id="576331592">
      <w:bodyDiv w:val="1"/>
      <w:marLeft w:val="0"/>
      <w:marRight w:val="0"/>
      <w:marTop w:val="0"/>
      <w:marBottom w:val="0"/>
      <w:divBdr>
        <w:top w:val="none" w:sz="0" w:space="0" w:color="auto"/>
        <w:left w:val="none" w:sz="0" w:space="0" w:color="auto"/>
        <w:bottom w:val="none" w:sz="0" w:space="0" w:color="auto"/>
        <w:right w:val="none" w:sz="0" w:space="0" w:color="auto"/>
      </w:divBdr>
    </w:div>
    <w:div w:id="605229870">
      <w:bodyDiv w:val="1"/>
      <w:marLeft w:val="0"/>
      <w:marRight w:val="0"/>
      <w:marTop w:val="0"/>
      <w:marBottom w:val="0"/>
      <w:divBdr>
        <w:top w:val="none" w:sz="0" w:space="0" w:color="auto"/>
        <w:left w:val="none" w:sz="0" w:space="0" w:color="auto"/>
        <w:bottom w:val="none" w:sz="0" w:space="0" w:color="auto"/>
        <w:right w:val="none" w:sz="0" w:space="0" w:color="auto"/>
      </w:divBdr>
    </w:div>
    <w:div w:id="618756701">
      <w:bodyDiv w:val="1"/>
      <w:marLeft w:val="0"/>
      <w:marRight w:val="0"/>
      <w:marTop w:val="0"/>
      <w:marBottom w:val="0"/>
      <w:divBdr>
        <w:top w:val="none" w:sz="0" w:space="0" w:color="auto"/>
        <w:left w:val="none" w:sz="0" w:space="0" w:color="auto"/>
        <w:bottom w:val="none" w:sz="0" w:space="0" w:color="auto"/>
        <w:right w:val="none" w:sz="0" w:space="0" w:color="auto"/>
      </w:divBdr>
    </w:div>
    <w:div w:id="636107003">
      <w:bodyDiv w:val="1"/>
      <w:marLeft w:val="0"/>
      <w:marRight w:val="0"/>
      <w:marTop w:val="0"/>
      <w:marBottom w:val="0"/>
      <w:divBdr>
        <w:top w:val="none" w:sz="0" w:space="0" w:color="auto"/>
        <w:left w:val="none" w:sz="0" w:space="0" w:color="auto"/>
        <w:bottom w:val="none" w:sz="0" w:space="0" w:color="auto"/>
        <w:right w:val="none" w:sz="0" w:space="0" w:color="auto"/>
      </w:divBdr>
    </w:div>
    <w:div w:id="641158751">
      <w:bodyDiv w:val="1"/>
      <w:marLeft w:val="0"/>
      <w:marRight w:val="0"/>
      <w:marTop w:val="0"/>
      <w:marBottom w:val="0"/>
      <w:divBdr>
        <w:top w:val="none" w:sz="0" w:space="0" w:color="auto"/>
        <w:left w:val="none" w:sz="0" w:space="0" w:color="auto"/>
        <w:bottom w:val="none" w:sz="0" w:space="0" w:color="auto"/>
        <w:right w:val="none" w:sz="0" w:space="0" w:color="auto"/>
      </w:divBdr>
    </w:div>
    <w:div w:id="670110005">
      <w:bodyDiv w:val="1"/>
      <w:marLeft w:val="0"/>
      <w:marRight w:val="0"/>
      <w:marTop w:val="0"/>
      <w:marBottom w:val="0"/>
      <w:divBdr>
        <w:top w:val="none" w:sz="0" w:space="0" w:color="auto"/>
        <w:left w:val="none" w:sz="0" w:space="0" w:color="auto"/>
        <w:bottom w:val="none" w:sz="0" w:space="0" w:color="auto"/>
        <w:right w:val="none" w:sz="0" w:space="0" w:color="auto"/>
      </w:divBdr>
    </w:div>
    <w:div w:id="739983613">
      <w:bodyDiv w:val="1"/>
      <w:marLeft w:val="0"/>
      <w:marRight w:val="0"/>
      <w:marTop w:val="0"/>
      <w:marBottom w:val="0"/>
      <w:divBdr>
        <w:top w:val="none" w:sz="0" w:space="0" w:color="auto"/>
        <w:left w:val="none" w:sz="0" w:space="0" w:color="auto"/>
        <w:bottom w:val="none" w:sz="0" w:space="0" w:color="auto"/>
        <w:right w:val="none" w:sz="0" w:space="0" w:color="auto"/>
      </w:divBdr>
    </w:div>
    <w:div w:id="769937872">
      <w:bodyDiv w:val="1"/>
      <w:marLeft w:val="0"/>
      <w:marRight w:val="0"/>
      <w:marTop w:val="0"/>
      <w:marBottom w:val="0"/>
      <w:divBdr>
        <w:top w:val="none" w:sz="0" w:space="0" w:color="auto"/>
        <w:left w:val="none" w:sz="0" w:space="0" w:color="auto"/>
        <w:bottom w:val="none" w:sz="0" w:space="0" w:color="auto"/>
        <w:right w:val="none" w:sz="0" w:space="0" w:color="auto"/>
      </w:divBdr>
    </w:div>
    <w:div w:id="812331111">
      <w:bodyDiv w:val="1"/>
      <w:marLeft w:val="0"/>
      <w:marRight w:val="0"/>
      <w:marTop w:val="0"/>
      <w:marBottom w:val="0"/>
      <w:divBdr>
        <w:top w:val="none" w:sz="0" w:space="0" w:color="auto"/>
        <w:left w:val="none" w:sz="0" w:space="0" w:color="auto"/>
        <w:bottom w:val="none" w:sz="0" w:space="0" w:color="auto"/>
        <w:right w:val="none" w:sz="0" w:space="0" w:color="auto"/>
      </w:divBdr>
    </w:div>
    <w:div w:id="819224993">
      <w:bodyDiv w:val="1"/>
      <w:marLeft w:val="0"/>
      <w:marRight w:val="0"/>
      <w:marTop w:val="0"/>
      <w:marBottom w:val="0"/>
      <w:divBdr>
        <w:top w:val="none" w:sz="0" w:space="0" w:color="auto"/>
        <w:left w:val="none" w:sz="0" w:space="0" w:color="auto"/>
        <w:bottom w:val="none" w:sz="0" w:space="0" w:color="auto"/>
        <w:right w:val="none" w:sz="0" w:space="0" w:color="auto"/>
      </w:divBdr>
    </w:div>
    <w:div w:id="844056787">
      <w:bodyDiv w:val="1"/>
      <w:marLeft w:val="0"/>
      <w:marRight w:val="0"/>
      <w:marTop w:val="0"/>
      <w:marBottom w:val="0"/>
      <w:divBdr>
        <w:top w:val="none" w:sz="0" w:space="0" w:color="auto"/>
        <w:left w:val="none" w:sz="0" w:space="0" w:color="auto"/>
        <w:bottom w:val="none" w:sz="0" w:space="0" w:color="auto"/>
        <w:right w:val="none" w:sz="0" w:space="0" w:color="auto"/>
      </w:divBdr>
    </w:div>
    <w:div w:id="848375411">
      <w:bodyDiv w:val="1"/>
      <w:marLeft w:val="0"/>
      <w:marRight w:val="0"/>
      <w:marTop w:val="0"/>
      <w:marBottom w:val="0"/>
      <w:divBdr>
        <w:top w:val="none" w:sz="0" w:space="0" w:color="auto"/>
        <w:left w:val="none" w:sz="0" w:space="0" w:color="auto"/>
        <w:bottom w:val="none" w:sz="0" w:space="0" w:color="auto"/>
        <w:right w:val="none" w:sz="0" w:space="0" w:color="auto"/>
      </w:divBdr>
    </w:div>
    <w:div w:id="861556835">
      <w:bodyDiv w:val="1"/>
      <w:marLeft w:val="0"/>
      <w:marRight w:val="0"/>
      <w:marTop w:val="0"/>
      <w:marBottom w:val="0"/>
      <w:divBdr>
        <w:top w:val="none" w:sz="0" w:space="0" w:color="auto"/>
        <w:left w:val="none" w:sz="0" w:space="0" w:color="auto"/>
        <w:bottom w:val="none" w:sz="0" w:space="0" w:color="auto"/>
        <w:right w:val="none" w:sz="0" w:space="0" w:color="auto"/>
      </w:divBdr>
    </w:div>
    <w:div w:id="975448247">
      <w:bodyDiv w:val="1"/>
      <w:marLeft w:val="0"/>
      <w:marRight w:val="0"/>
      <w:marTop w:val="0"/>
      <w:marBottom w:val="0"/>
      <w:divBdr>
        <w:top w:val="none" w:sz="0" w:space="0" w:color="auto"/>
        <w:left w:val="none" w:sz="0" w:space="0" w:color="auto"/>
        <w:bottom w:val="none" w:sz="0" w:space="0" w:color="auto"/>
        <w:right w:val="none" w:sz="0" w:space="0" w:color="auto"/>
      </w:divBdr>
    </w:div>
    <w:div w:id="986588175">
      <w:bodyDiv w:val="1"/>
      <w:marLeft w:val="0"/>
      <w:marRight w:val="0"/>
      <w:marTop w:val="0"/>
      <w:marBottom w:val="0"/>
      <w:divBdr>
        <w:top w:val="none" w:sz="0" w:space="0" w:color="auto"/>
        <w:left w:val="none" w:sz="0" w:space="0" w:color="auto"/>
        <w:bottom w:val="none" w:sz="0" w:space="0" w:color="auto"/>
        <w:right w:val="none" w:sz="0" w:space="0" w:color="auto"/>
      </w:divBdr>
    </w:div>
    <w:div w:id="991254363">
      <w:bodyDiv w:val="1"/>
      <w:marLeft w:val="0"/>
      <w:marRight w:val="0"/>
      <w:marTop w:val="0"/>
      <w:marBottom w:val="0"/>
      <w:divBdr>
        <w:top w:val="none" w:sz="0" w:space="0" w:color="auto"/>
        <w:left w:val="none" w:sz="0" w:space="0" w:color="auto"/>
        <w:bottom w:val="none" w:sz="0" w:space="0" w:color="auto"/>
        <w:right w:val="none" w:sz="0" w:space="0" w:color="auto"/>
      </w:divBdr>
    </w:div>
    <w:div w:id="1000084624">
      <w:bodyDiv w:val="1"/>
      <w:marLeft w:val="0"/>
      <w:marRight w:val="0"/>
      <w:marTop w:val="0"/>
      <w:marBottom w:val="0"/>
      <w:divBdr>
        <w:top w:val="none" w:sz="0" w:space="0" w:color="auto"/>
        <w:left w:val="none" w:sz="0" w:space="0" w:color="auto"/>
        <w:bottom w:val="none" w:sz="0" w:space="0" w:color="auto"/>
        <w:right w:val="none" w:sz="0" w:space="0" w:color="auto"/>
      </w:divBdr>
    </w:div>
    <w:div w:id="1012224255">
      <w:bodyDiv w:val="1"/>
      <w:marLeft w:val="0"/>
      <w:marRight w:val="0"/>
      <w:marTop w:val="0"/>
      <w:marBottom w:val="0"/>
      <w:divBdr>
        <w:top w:val="none" w:sz="0" w:space="0" w:color="auto"/>
        <w:left w:val="none" w:sz="0" w:space="0" w:color="auto"/>
        <w:bottom w:val="none" w:sz="0" w:space="0" w:color="auto"/>
        <w:right w:val="none" w:sz="0" w:space="0" w:color="auto"/>
      </w:divBdr>
    </w:div>
    <w:div w:id="1039205106">
      <w:bodyDiv w:val="1"/>
      <w:marLeft w:val="0"/>
      <w:marRight w:val="0"/>
      <w:marTop w:val="0"/>
      <w:marBottom w:val="0"/>
      <w:divBdr>
        <w:top w:val="none" w:sz="0" w:space="0" w:color="auto"/>
        <w:left w:val="none" w:sz="0" w:space="0" w:color="auto"/>
        <w:bottom w:val="none" w:sz="0" w:space="0" w:color="auto"/>
        <w:right w:val="none" w:sz="0" w:space="0" w:color="auto"/>
      </w:divBdr>
    </w:div>
    <w:div w:id="1116827642">
      <w:bodyDiv w:val="1"/>
      <w:marLeft w:val="0"/>
      <w:marRight w:val="0"/>
      <w:marTop w:val="0"/>
      <w:marBottom w:val="0"/>
      <w:divBdr>
        <w:top w:val="none" w:sz="0" w:space="0" w:color="auto"/>
        <w:left w:val="none" w:sz="0" w:space="0" w:color="auto"/>
        <w:bottom w:val="none" w:sz="0" w:space="0" w:color="auto"/>
        <w:right w:val="none" w:sz="0" w:space="0" w:color="auto"/>
      </w:divBdr>
    </w:div>
    <w:div w:id="1119177714">
      <w:bodyDiv w:val="1"/>
      <w:marLeft w:val="0"/>
      <w:marRight w:val="0"/>
      <w:marTop w:val="0"/>
      <w:marBottom w:val="0"/>
      <w:divBdr>
        <w:top w:val="none" w:sz="0" w:space="0" w:color="auto"/>
        <w:left w:val="none" w:sz="0" w:space="0" w:color="auto"/>
        <w:bottom w:val="none" w:sz="0" w:space="0" w:color="auto"/>
        <w:right w:val="none" w:sz="0" w:space="0" w:color="auto"/>
      </w:divBdr>
    </w:div>
    <w:div w:id="1136681880">
      <w:bodyDiv w:val="1"/>
      <w:marLeft w:val="0"/>
      <w:marRight w:val="0"/>
      <w:marTop w:val="0"/>
      <w:marBottom w:val="0"/>
      <w:divBdr>
        <w:top w:val="none" w:sz="0" w:space="0" w:color="auto"/>
        <w:left w:val="none" w:sz="0" w:space="0" w:color="auto"/>
        <w:bottom w:val="none" w:sz="0" w:space="0" w:color="auto"/>
        <w:right w:val="none" w:sz="0" w:space="0" w:color="auto"/>
      </w:divBdr>
    </w:div>
    <w:div w:id="1172724143">
      <w:bodyDiv w:val="1"/>
      <w:marLeft w:val="0"/>
      <w:marRight w:val="0"/>
      <w:marTop w:val="0"/>
      <w:marBottom w:val="0"/>
      <w:divBdr>
        <w:top w:val="none" w:sz="0" w:space="0" w:color="auto"/>
        <w:left w:val="none" w:sz="0" w:space="0" w:color="auto"/>
        <w:bottom w:val="none" w:sz="0" w:space="0" w:color="auto"/>
        <w:right w:val="none" w:sz="0" w:space="0" w:color="auto"/>
      </w:divBdr>
    </w:div>
    <w:div w:id="1184051924">
      <w:bodyDiv w:val="1"/>
      <w:marLeft w:val="0"/>
      <w:marRight w:val="0"/>
      <w:marTop w:val="0"/>
      <w:marBottom w:val="0"/>
      <w:divBdr>
        <w:top w:val="none" w:sz="0" w:space="0" w:color="auto"/>
        <w:left w:val="none" w:sz="0" w:space="0" w:color="auto"/>
        <w:bottom w:val="none" w:sz="0" w:space="0" w:color="auto"/>
        <w:right w:val="none" w:sz="0" w:space="0" w:color="auto"/>
      </w:divBdr>
    </w:div>
    <w:div w:id="1239747335">
      <w:bodyDiv w:val="1"/>
      <w:marLeft w:val="0"/>
      <w:marRight w:val="0"/>
      <w:marTop w:val="0"/>
      <w:marBottom w:val="0"/>
      <w:divBdr>
        <w:top w:val="none" w:sz="0" w:space="0" w:color="auto"/>
        <w:left w:val="none" w:sz="0" w:space="0" w:color="auto"/>
        <w:bottom w:val="none" w:sz="0" w:space="0" w:color="auto"/>
        <w:right w:val="none" w:sz="0" w:space="0" w:color="auto"/>
      </w:divBdr>
    </w:div>
    <w:div w:id="1240208851">
      <w:bodyDiv w:val="1"/>
      <w:marLeft w:val="0"/>
      <w:marRight w:val="0"/>
      <w:marTop w:val="0"/>
      <w:marBottom w:val="0"/>
      <w:divBdr>
        <w:top w:val="none" w:sz="0" w:space="0" w:color="auto"/>
        <w:left w:val="none" w:sz="0" w:space="0" w:color="auto"/>
        <w:bottom w:val="none" w:sz="0" w:space="0" w:color="auto"/>
        <w:right w:val="none" w:sz="0" w:space="0" w:color="auto"/>
      </w:divBdr>
    </w:div>
    <w:div w:id="1256867291">
      <w:bodyDiv w:val="1"/>
      <w:marLeft w:val="0"/>
      <w:marRight w:val="0"/>
      <w:marTop w:val="0"/>
      <w:marBottom w:val="0"/>
      <w:divBdr>
        <w:top w:val="none" w:sz="0" w:space="0" w:color="auto"/>
        <w:left w:val="none" w:sz="0" w:space="0" w:color="auto"/>
        <w:bottom w:val="none" w:sz="0" w:space="0" w:color="auto"/>
        <w:right w:val="none" w:sz="0" w:space="0" w:color="auto"/>
      </w:divBdr>
    </w:div>
    <w:div w:id="1351373211">
      <w:bodyDiv w:val="1"/>
      <w:marLeft w:val="0"/>
      <w:marRight w:val="0"/>
      <w:marTop w:val="0"/>
      <w:marBottom w:val="0"/>
      <w:divBdr>
        <w:top w:val="none" w:sz="0" w:space="0" w:color="auto"/>
        <w:left w:val="none" w:sz="0" w:space="0" w:color="auto"/>
        <w:bottom w:val="none" w:sz="0" w:space="0" w:color="auto"/>
        <w:right w:val="none" w:sz="0" w:space="0" w:color="auto"/>
      </w:divBdr>
    </w:div>
    <w:div w:id="1352341640">
      <w:bodyDiv w:val="1"/>
      <w:marLeft w:val="0"/>
      <w:marRight w:val="0"/>
      <w:marTop w:val="0"/>
      <w:marBottom w:val="0"/>
      <w:divBdr>
        <w:top w:val="none" w:sz="0" w:space="0" w:color="auto"/>
        <w:left w:val="none" w:sz="0" w:space="0" w:color="auto"/>
        <w:bottom w:val="none" w:sz="0" w:space="0" w:color="auto"/>
        <w:right w:val="none" w:sz="0" w:space="0" w:color="auto"/>
      </w:divBdr>
    </w:div>
    <w:div w:id="1405104101">
      <w:bodyDiv w:val="1"/>
      <w:marLeft w:val="0"/>
      <w:marRight w:val="0"/>
      <w:marTop w:val="0"/>
      <w:marBottom w:val="0"/>
      <w:divBdr>
        <w:top w:val="none" w:sz="0" w:space="0" w:color="auto"/>
        <w:left w:val="none" w:sz="0" w:space="0" w:color="auto"/>
        <w:bottom w:val="none" w:sz="0" w:space="0" w:color="auto"/>
        <w:right w:val="none" w:sz="0" w:space="0" w:color="auto"/>
      </w:divBdr>
    </w:div>
    <w:div w:id="1451778656">
      <w:bodyDiv w:val="1"/>
      <w:marLeft w:val="0"/>
      <w:marRight w:val="0"/>
      <w:marTop w:val="0"/>
      <w:marBottom w:val="0"/>
      <w:divBdr>
        <w:top w:val="none" w:sz="0" w:space="0" w:color="auto"/>
        <w:left w:val="none" w:sz="0" w:space="0" w:color="auto"/>
        <w:bottom w:val="none" w:sz="0" w:space="0" w:color="auto"/>
        <w:right w:val="none" w:sz="0" w:space="0" w:color="auto"/>
      </w:divBdr>
    </w:div>
    <w:div w:id="1566791638">
      <w:bodyDiv w:val="1"/>
      <w:marLeft w:val="0"/>
      <w:marRight w:val="0"/>
      <w:marTop w:val="0"/>
      <w:marBottom w:val="0"/>
      <w:divBdr>
        <w:top w:val="none" w:sz="0" w:space="0" w:color="auto"/>
        <w:left w:val="none" w:sz="0" w:space="0" w:color="auto"/>
        <w:bottom w:val="none" w:sz="0" w:space="0" w:color="auto"/>
        <w:right w:val="none" w:sz="0" w:space="0" w:color="auto"/>
      </w:divBdr>
    </w:div>
    <w:div w:id="1578323219">
      <w:bodyDiv w:val="1"/>
      <w:marLeft w:val="0"/>
      <w:marRight w:val="0"/>
      <w:marTop w:val="0"/>
      <w:marBottom w:val="0"/>
      <w:divBdr>
        <w:top w:val="none" w:sz="0" w:space="0" w:color="auto"/>
        <w:left w:val="none" w:sz="0" w:space="0" w:color="auto"/>
        <w:bottom w:val="none" w:sz="0" w:space="0" w:color="auto"/>
        <w:right w:val="none" w:sz="0" w:space="0" w:color="auto"/>
      </w:divBdr>
    </w:div>
    <w:div w:id="1579174874">
      <w:bodyDiv w:val="1"/>
      <w:marLeft w:val="0"/>
      <w:marRight w:val="0"/>
      <w:marTop w:val="0"/>
      <w:marBottom w:val="0"/>
      <w:divBdr>
        <w:top w:val="none" w:sz="0" w:space="0" w:color="auto"/>
        <w:left w:val="none" w:sz="0" w:space="0" w:color="auto"/>
        <w:bottom w:val="none" w:sz="0" w:space="0" w:color="auto"/>
        <w:right w:val="none" w:sz="0" w:space="0" w:color="auto"/>
      </w:divBdr>
    </w:div>
    <w:div w:id="1593584249">
      <w:bodyDiv w:val="1"/>
      <w:marLeft w:val="0"/>
      <w:marRight w:val="0"/>
      <w:marTop w:val="0"/>
      <w:marBottom w:val="0"/>
      <w:divBdr>
        <w:top w:val="none" w:sz="0" w:space="0" w:color="auto"/>
        <w:left w:val="none" w:sz="0" w:space="0" w:color="auto"/>
        <w:bottom w:val="none" w:sz="0" w:space="0" w:color="auto"/>
        <w:right w:val="none" w:sz="0" w:space="0" w:color="auto"/>
      </w:divBdr>
    </w:div>
    <w:div w:id="1603761201">
      <w:bodyDiv w:val="1"/>
      <w:marLeft w:val="0"/>
      <w:marRight w:val="0"/>
      <w:marTop w:val="0"/>
      <w:marBottom w:val="0"/>
      <w:divBdr>
        <w:top w:val="none" w:sz="0" w:space="0" w:color="auto"/>
        <w:left w:val="none" w:sz="0" w:space="0" w:color="auto"/>
        <w:bottom w:val="none" w:sz="0" w:space="0" w:color="auto"/>
        <w:right w:val="none" w:sz="0" w:space="0" w:color="auto"/>
      </w:divBdr>
    </w:div>
    <w:div w:id="1608002818">
      <w:bodyDiv w:val="1"/>
      <w:marLeft w:val="0"/>
      <w:marRight w:val="0"/>
      <w:marTop w:val="0"/>
      <w:marBottom w:val="0"/>
      <w:divBdr>
        <w:top w:val="none" w:sz="0" w:space="0" w:color="auto"/>
        <w:left w:val="none" w:sz="0" w:space="0" w:color="auto"/>
        <w:bottom w:val="none" w:sz="0" w:space="0" w:color="auto"/>
        <w:right w:val="none" w:sz="0" w:space="0" w:color="auto"/>
      </w:divBdr>
    </w:div>
    <w:div w:id="1620725915">
      <w:bodyDiv w:val="1"/>
      <w:marLeft w:val="0"/>
      <w:marRight w:val="0"/>
      <w:marTop w:val="0"/>
      <w:marBottom w:val="0"/>
      <w:divBdr>
        <w:top w:val="none" w:sz="0" w:space="0" w:color="auto"/>
        <w:left w:val="none" w:sz="0" w:space="0" w:color="auto"/>
        <w:bottom w:val="none" w:sz="0" w:space="0" w:color="auto"/>
        <w:right w:val="none" w:sz="0" w:space="0" w:color="auto"/>
      </w:divBdr>
    </w:div>
    <w:div w:id="1628973643">
      <w:bodyDiv w:val="1"/>
      <w:marLeft w:val="0"/>
      <w:marRight w:val="0"/>
      <w:marTop w:val="0"/>
      <w:marBottom w:val="0"/>
      <w:divBdr>
        <w:top w:val="none" w:sz="0" w:space="0" w:color="auto"/>
        <w:left w:val="none" w:sz="0" w:space="0" w:color="auto"/>
        <w:bottom w:val="none" w:sz="0" w:space="0" w:color="auto"/>
        <w:right w:val="none" w:sz="0" w:space="0" w:color="auto"/>
      </w:divBdr>
    </w:div>
    <w:div w:id="1632400256">
      <w:bodyDiv w:val="1"/>
      <w:marLeft w:val="0"/>
      <w:marRight w:val="0"/>
      <w:marTop w:val="0"/>
      <w:marBottom w:val="0"/>
      <w:divBdr>
        <w:top w:val="none" w:sz="0" w:space="0" w:color="auto"/>
        <w:left w:val="none" w:sz="0" w:space="0" w:color="auto"/>
        <w:bottom w:val="none" w:sz="0" w:space="0" w:color="auto"/>
        <w:right w:val="none" w:sz="0" w:space="0" w:color="auto"/>
      </w:divBdr>
    </w:div>
    <w:div w:id="1650592321">
      <w:bodyDiv w:val="1"/>
      <w:marLeft w:val="0"/>
      <w:marRight w:val="0"/>
      <w:marTop w:val="0"/>
      <w:marBottom w:val="0"/>
      <w:divBdr>
        <w:top w:val="none" w:sz="0" w:space="0" w:color="auto"/>
        <w:left w:val="none" w:sz="0" w:space="0" w:color="auto"/>
        <w:bottom w:val="none" w:sz="0" w:space="0" w:color="auto"/>
        <w:right w:val="none" w:sz="0" w:space="0" w:color="auto"/>
      </w:divBdr>
    </w:div>
    <w:div w:id="1665009479">
      <w:bodyDiv w:val="1"/>
      <w:marLeft w:val="0"/>
      <w:marRight w:val="0"/>
      <w:marTop w:val="0"/>
      <w:marBottom w:val="0"/>
      <w:divBdr>
        <w:top w:val="none" w:sz="0" w:space="0" w:color="auto"/>
        <w:left w:val="none" w:sz="0" w:space="0" w:color="auto"/>
        <w:bottom w:val="none" w:sz="0" w:space="0" w:color="auto"/>
        <w:right w:val="none" w:sz="0" w:space="0" w:color="auto"/>
      </w:divBdr>
    </w:div>
    <w:div w:id="1692535191">
      <w:bodyDiv w:val="1"/>
      <w:marLeft w:val="0"/>
      <w:marRight w:val="0"/>
      <w:marTop w:val="0"/>
      <w:marBottom w:val="0"/>
      <w:divBdr>
        <w:top w:val="none" w:sz="0" w:space="0" w:color="auto"/>
        <w:left w:val="none" w:sz="0" w:space="0" w:color="auto"/>
        <w:bottom w:val="none" w:sz="0" w:space="0" w:color="auto"/>
        <w:right w:val="none" w:sz="0" w:space="0" w:color="auto"/>
      </w:divBdr>
    </w:div>
    <w:div w:id="1700934452">
      <w:bodyDiv w:val="1"/>
      <w:marLeft w:val="0"/>
      <w:marRight w:val="0"/>
      <w:marTop w:val="0"/>
      <w:marBottom w:val="0"/>
      <w:divBdr>
        <w:top w:val="none" w:sz="0" w:space="0" w:color="auto"/>
        <w:left w:val="none" w:sz="0" w:space="0" w:color="auto"/>
        <w:bottom w:val="none" w:sz="0" w:space="0" w:color="auto"/>
        <w:right w:val="none" w:sz="0" w:space="0" w:color="auto"/>
      </w:divBdr>
    </w:div>
    <w:div w:id="1711146014">
      <w:bodyDiv w:val="1"/>
      <w:marLeft w:val="0"/>
      <w:marRight w:val="0"/>
      <w:marTop w:val="0"/>
      <w:marBottom w:val="0"/>
      <w:divBdr>
        <w:top w:val="none" w:sz="0" w:space="0" w:color="auto"/>
        <w:left w:val="none" w:sz="0" w:space="0" w:color="auto"/>
        <w:bottom w:val="none" w:sz="0" w:space="0" w:color="auto"/>
        <w:right w:val="none" w:sz="0" w:space="0" w:color="auto"/>
      </w:divBdr>
    </w:div>
    <w:div w:id="1722360949">
      <w:bodyDiv w:val="1"/>
      <w:marLeft w:val="0"/>
      <w:marRight w:val="0"/>
      <w:marTop w:val="0"/>
      <w:marBottom w:val="0"/>
      <w:divBdr>
        <w:top w:val="none" w:sz="0" w:space="0" w:color="auto"/>
        <w:left w:val="none" w:sz="0" w:space="0" w:color="auto"/>
        <w:bottom w:val="none" w:sz="0" w:space="0" w:color="auto"/>
        <w:right w:val="none" w:sz="0" w:space="0" w:color="auto"/>
      </w:divBdr>
    </w:div>
    <w:div w:id="1728456651">
      <w:bodyDiv w:val="1"/>
      <w:marLeft w:val="0"/>
      <w:marRight w:val="0"/>
      <w:marTop w:val="0"/>
      <w:marBottom w:val="0"/>
      <w:divBdr>
        <w:top w:val="none" w:sz="0" w:space="0" w:color="auto"/>
        <w:left w:val="none" w:sz="0" w:space="0" w:color="auto"/>
        <w:bottom w:val="none" w:sz="0" w:space="0" w:color="auto"/>
        <w:right w:val="none" w:sz="0" w:space="0" w:color="auto"/>
      </w:divBdr>
    </w:div>
    <w:div w:id="1731076801">
      <w:bodyDiv w:val="1"/>
      <w:marLeft w:val="0"/>
      <w:marRight w:val="0"/>
      <w:marTop w:val="0"/>
      <w:marBottom w:val="0"/>
      <w:divBdr>
        <w:top w:val="none" w:sz="0" w:space="0" w:color="auto"/>
        <w:left w:val="none" w:sz="0" w:space="0" w:color="auto"/>
        <w:bottom w:val="none" w:sz="0" w:space="0" w:color="auto"/>
        <w:right w:val="none" w:sz="0" w:space="0" w:color="auto"/>
      </w:divBdr>
    </w:div>
    <w:div w:id="1756517225">
      <w:bodyDiv w:val="1"/>
      <w:marLeft w:val="0"/>
      <w:marRight w:val="0"/>
      <w:marTop w:val="0"/>
      <w:marBottom w:val="0"/>
      <w:divBdr>
        <w:top w:val="none" w:sz="0" w:space="0" w:color="auto"/>
        <w:left w:val="none" w:sz="0" w:space="0" w:color="auto"/>
        <w:bottom w:val="none" w:sz="0" w:space="0" w:color="auto"/>
        <w:right w:val="none" w:sz="0" w:space="0" w:color="auto"/>
      </w:divBdr>
    </w:div>
    <w:div w:id="1790390425">
      <w:bodyDiv w:val="1"/>
      <w:marLeft w:val="0"/>
      <w:marRight w:val="0"/>
      <w:marTop w:val="0"/>
      <w:marBottom w:val="0"/>
      <w:divBdr>
        <w:top w:val="none" w:sz="0" w:space="0" w:color="auto"/>
        <w:left w:val="none" w:sz="0" w:space="0" w:color="auto"/>
        <w:bottom w:val="none" w:sz="0" w:space="0" w:color="auto"/>
        <w:right w:val="none" w:sz="0" w:space="0" w:color="auto"/>
      </w:divBdr>
    </w:div>
    <w:div w:id="1794640601">
      <w:bodyDiv w:val="1"/>
      <w:marLeft w:val="0"/>
      <w:marRight w:val="0"/>
      <w:marTop w:val="0"/>
      <w:marBottom w:val="0"/>
      <w:divBdr>
        <w:top w:val="none" w:sz="0" w:space="0" w:color="auto"/>
        <w:left w:val="none" w:sz="0" w:space="0" w:color="auto"/>
        <w:bottom w:val="none" w:sz="0" w:space="0" w:color="auto"/>
        <w:right w:val="none" w:sz="0" w:space="0" w:color="auto"/>
      </w:divBdr>
    </w:div>
    <w:div w:id="1800877693">
      <w:bodyDiv w:val="1"/>
      <w:marLeft w:val="0"/>
      <w:marRight w:val="0"/>
      <w:marTop w:val="0"/>
      <w:marBottom w:val="0"/>
      <w:divBdr>
        <w:top w:val="none" w:sz="0" w:space="0" w:color="auto"/>
        <w:left w:val="none" w:sz="0" w:space="0" w:color="auto"/>
        <w:bottom w:val="none" w:sz="0" w:space="0" w:color="auto"/>
        <w:right w:val="none" w:sz="0" w:space="0" w:color="auto"/>
      </w:divBdr>
    </w:div>
    <w:div w:id="1801919203">
      <w:bodyDiv w:val="1"/>
      <w:marLeft w:val="0"/>
      <w:marRight w:val="0"/>
      <w:marTop w:val="0"/>
      <w:marBottom w:val="0"/>
      <w:divBdr>
        <w:top w:val="none" w:sz="0" w:space="0" w:color="auto"/>
        <w:left w:val="none" w:sz="0" w:space="0" w:color="auto"/>
        <w:bottom w:val="none" w:sz="0" w:space="0" w:color="auto"/>
        <w:right w:val="none" w:sz="0" w:space="0" w:color="auto"/>
      </w:divBdr>
    </w:div>
    <w:div w:id="1810052742">
      <w:bodyDiv w:val="1"/>
      <w:marLeft w:val="0"/>
      <w:marRight w:val="0"/>
      <w:marTop w:val="0"/>
      <w:marBottom w:val="0"/>
      <w:divBdr>
        <w:top w:val="none" w:sz="0" w:space="0" w:color="auto"/>
        <w:left w:val="none" w:sz="0" w:space="0" w:color="auto"/>
        <w:bottom w:val="none" w:sz="0" w:space="0" w:color="auto"/>
        <w:right w:val="none" w:sz="0" w:space="0" w:color="auto"/>
      </w:divBdr>
    </w:div>
    <w:div w:id="1815099239">
      <w:bodyDiv w:val="1"/>
      <w:marLeft w:val="0"/>
      <w:marRight w:val="0"/>
      <w:marTop w:val="0"/>
      <w:marBottom w:val="0"/>
      <w:divBdr>
        <w:top w:val="none" w:sz="0" w:space="0" w:color="auto"/>
        <w:left w:val="none" w:sz="0" w:space="0" w:color="auto"/>
        <w:bottom w:val="none" w:sz="0" w:space="0" w:color="auto"/>
        <w:right w:val="none" w:sz="0" w:space="0" w:color="auto"/>
      </w:divBdr>
    </w:div>
    <w:div w:id="1849172496">
      <w:bodyDiv w:val="1"/>
      <w:marLeft w:val="0"/>
      <w:marRight w:val="0"/>
      <w:marTop w:val="0"/>
      <w:marBottom w:val="0"/>
      <w:divBdr>
        <w:top w:val="none" w:sz="0" w:space="0" w:color="auto"/>
        <w:left w:val="none" w:sz="0" w:space="0" w:color="auto"/>
        <w:bottom w:val="none" w:sz="0" w:space="0" w:color="auto"/>
        <w:right w:val="none" w:sz="0" w:space="0" w:color="auto"/>
      </w:divBdr>
    </w:div>
    <w:div w:id="1869177451">
      <w:bodyDiv w:val="1"/>
      <w:marLeft w:val="0"/>
      <w:marRight w:val="0"/>
      <w:marTop w:val="0"/>
      <w:marBottom w:val="0"/>
      <w:divBdr>
        <w:top w:val="none" w:sz="0" w:space="0" w:color="auto"/>
        <w:left w:val="none" w:sz="0" w:space="0" w:color="auto"/>
        <w:bottom w:val="none" w:sz="0" w:space="0" w:color="auto"/>
        <w:right w:val="none" w:sz="0" w:space="0" w:color="auto"/>
      </w:divBdr>
    </w:div>
    <w:div w:id="1892417839">
      <w:bodyDiv w:val="1"/>
      <w:marLeft w:val="0"/>
      <w:marRight w:val="0"/>
      <w:marTop w:val="0"/>
      <w:marBottom w:val="0"/>
      <w:divBdr>
        <w:top w:val="none" w:sz="0" w:space="0" w:color="auto"/>
        <w:left w:val="none" w:sz="0" w:space="0" w:color="auto"/>
        <w:bottom w:val="none" w:sz="0" w:space="0" w:color="auto"/>
        <w:right w:val="none" w:sz="0" w:space="0" w:color="auto"/>
      </w:divBdr>
    </w:div>
    <w:div w:id="1892838535">
      <w:bodyDiv w:val="1"/>
      <w:marLeft w:val="0"/>
      <w:marRight w:val="0"/>
      <w:marTop w:val="0"/>
      <w:marBottom w:val="0"/>
      <w:divBdr>
        <w:top w:val="none" w:sz="0" w:space="0" w:color="auto"/>
        <w:left w:val="none" w:sz="0" w:space="0" w:color="auto"/>
        <w:bottom w:val="none" w:sz="0" w:space="0" w:color="auto"/>
        <w:right w:val="none" w:sz="0" w:space="0" w:color="auto"/>
      </w:divBdr>
    </w:div>
    <w:div w:id="1911187525">
      <w:bodyDiv w:val="1"/>
      <w:marLeft w:val="0"/>
      <w:marRight w:val="0"/>
      <w:marTop w:val="0"/>
      <w:marBottom w:val="0"/>
      <w:divBdr>
        <w:top w:val="none" w:sz="0" w:space="0" w:color="auto"/>
        <w:left w:val="none" w:sz="0" w:space="0" w:color="auto"/>
        <w:bottom w:val="none" w:sz="0" w:space="0" w:color="auto"/>
        <w:right w:val="none" w:sz="0" w:space="0" w:color="auto"/>
      </w:divBdr>
    </w:div>
    <w:div w:id="1916089749">
      <w:bodyDiv w:val="1"/>
      <w:marLeft w:val="0"/>
      <w:marRight w:val="0"/>
      <w:marTop w:val="0"/>
      <w:marBottom w:val="0"/>
      <w:divBdr>
        <w:top w:val="none" w:sz="0" w:space="0" w:color="auto"/>
        <w:left w:val="none" w:sz="0" w:space="0" w:color="auto"/>
        <w:bottom w:val="none" w:sz="0" w:space="0" w:color="auto"/>
        <w:right w:val="none" w:sz="0" w:space="0" w:color="auto"/>
      </w:divBdr>
    </w:div>
    <w:div w:id="1928952521">
      <w:bodyDiv w:val="1"/>
      <w:marLeft w:val="0"/>
      <w:marRight w:val="0"/>
      <w:marTop w:val="0"/>
      <w:marBottom w:val="0"/>
      <w:divBdr>
        <w:top w:val="none" w:sz="0" w:space="0" w:color="auto"/>
        <w:left w:val="none" w:sz="0" w:space="0" w:color="auto"/>
        <w:bottom w:val="none" w:sz="0" w:space="0" w:color="auto"/>
        <w:right w:val="none" w:sz="0" w:space="0" w:color="auto"/>
      </w:divBdr>
    </w:div>
    <w:div w:id="1948273870">
      <w:bodyDiv w:val="1"/>
      <w:marLeft w:val="0"/>
      <w:marRight w:val="0"/>
      <w:marTop w:val="0"/>
      <w:marBottom w:val="0"/>
      <w:divBdr>
        <w:top w:val="none" w:sz="0" w:space="0" w:color="auto"/>
        <w:left w:val="none" w:sz="0" w:space="0" w:color="auto"/>
        <w:bottom w:val="none" w:sz="0" w:space="0" w:color="auto"/>
        <w:right w:val="none" w:sz="0" w:space="0" w:color="auto"/>
      </w:divBdr>
    </w:div>
    <w:div w:id="1975207491">
      <w:bodyDiv w:val="1"/>
      <w:marLeft w:val="0"/>
      <w:marRight w:val="0"/>
      <w:marTop w:val="0"/>
      <w:marBottom w:val="0"/>
      <w:divBdr>
        <w:top w:val="none" w:sz="0" w:space="0" w:color="auto"/>
        <w:left w:val="none" w:sz="0" w:space="0" w:color="auto"/>
        <w:bottom w:val="none" w:sz="0" w:space="0" w:color="auto"/>
        <w:right w:val="none" w:sz="0" w:space="0" w:color="auto"/>
      </w:divBdr>
    </w:div>
    <w:div w:id="1993024815">
      <w:bodyDiv w:val="1"/>
      <w:marLeft w:val="0"/>
      <w:marRight w:val="0"/>
      <w:marTop w:val="0"/>
      <w:marBottom w:val="0"/>
      <w:divBdr>
        <w:top w:val="none" w:sz="0" w:space="0" w:color="auto"/>
        <w:left w:val="none" w:sz="0" w:space="0" w:color="auto"/>
        <w:bottom w:val="none" w:sz="0" w:space="0" w:color="auto"/>
        <w:right w:val="none" w:sz="0" w:space="0" w:color="auto"/>
      </w:divBdr>
    </w:div>
    <w:div w:id="2010987044">
      <w:bodyDiv w:val="1"/>
      <w:marLeft w:val="0"/>
      <w:marRight w:val="0"/>
      <w:marTop w:val="0"/>
      <w:marBottom w:val="0"/>
      <w:divBdr>
        <w:top w:val="none" w:sz="0" w:space="0" w:color="auto"/>
        <w:left w:val="none" w:sz="0" w:space="0" w:color="auto"/>
        <w:bottom w:val="none" w:sz="0" w:space="0" w:color="auto"/>
        <w:right w:val="none" w:sz="0" w:space="0" w:color="auto"/>
      </w:divBdr>
    </w:div>
    <w:div w:id="211651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jrpr.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6EB2C-B79B-402F-B390-FAB740DE5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19736</Words>
  <Characters>112501</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Nnamso Ibuotenang</dc:creator>
  <cp:keywords/>
  <dc:description/>
  <cp:lastModifiedBy>Editor-22</cp:lastModifiedBy>
  <cp:revision>27</cp:revision>
  <dcterms:created xsi:type="dcterms:W3CDTF">2025-04-04T17:50:00Z</dcterms:created>
  <dcterms:modified xsi:type="dcterms:W3CDTF">2025-04-05T08:06:00Z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4150acfc-f819-41f5-a247-7a205fd228d6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http://www.zotero.org/styles/modern-humanities-research-association</vt:lpwstr>
  </property>
  <property fmtid="{D5CDD505-2E9C-101B-9397-08002B2CF9AE}" pid="14" name="Mendeley Recent Style Name 5_1">
    <vt:lpwstr>Modern Humanities Research Association 3rd edition (note with bibliography)</vt:lpwstr>
  </property>
  <property fmtid="{D5CDD505-2E9C-101B-9397-08002B2CF9AE}" pid="15" name="Mendeley Recent Style Id 6_1">
    <vt:lpwstr>http://www.zotero.org/styles/modern-language-association</vt:lpwstr>
  </property>
  <property fmtid="{D5CDD505-2E9C-101B-9397-08002B2CF9AE}" pid="16" name="Mendeley Recent Style Name 6_1">
    <vt:lpwstr>Modern Language Association 9th edition</vt:lpwstr>
  </property>
  <property fmtid="{D5CDD505-2E9C-101B-9397-08002B2CF9AE}" pid="17" name="Mendeley Recent Style Id 7_1">
    <vt:lpwstr>http://www.zotero.org/styles/university-of-aberdeen-school-of-education-harvard</vt:lpwstr>
  </property>
  <property fmtid="{D5CDD505-2E9C-101B-9397-08002B2CF9AE}" pid="18" name="Mendeley Recent Style Name 7_1">
    <vt:lpwstr>University of Aberdeen - School of Education - Harvard</vt:lpwstr>
  </property>
  <property fmtid="{D5CDD505-2E9C-101B-9397-08002B2CF9AE}" pid="19" name="Mendeley Recent Style Id 8_1">
    <vt:lpwstr>http://www.zotero.org/styles/university-of-bradford-harvard</vt:lpwstr>
  </property>
  <property fmtid="{D5CDD505-2E9C-101B-9397-08002B2CF9AE}" pid="20" name="Mendeley Recent Style Name 8_1">
    <vt:lpwstr>University of Bradford - Harvard</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1efe0f51-ebd1-3e26-be8b-cbb08573bf78</vt:lpwstr>
  </property>
  <property fmtid="{D5CDD505-2E9C-101B-9397-08002B2CF9AE}" pid="25" name="Mendeley Citation Style_1">
    <vt:lpwstr>http://www.zotero.org/styles/apa</vt:lpwstr>
  </property>
</Properties>
</file>