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29C6" w14:textId="1680925C" w:rsidR="00687DE2" w:rsidRDefault="00171F74">
      <w:pPr>
        <w:pStyle w:val="Title"/>
        <w:spacing w:after="0"/>
        <w:jc w:val="both"/>
        <w:rPr>
          <w:rFonts w:ascii="Arial" w:hAnsi="Arial" w:cs="Arial"/>
        </w:rPr>
      </w:pPr>
      <w:r w:rsidRPr="00171F74">
        <w:rPr>
          <w:rFonts w:ascii="Arial" w:hAnsi="Arial" w:cs="Arial"/>
        </w:rPr>
        <w:t>Original Research Article</w:t>
      </w:r>
    </w:p>
    <w:p w14:paraId="2A5B5FEC" w14:textId="77777777" w:rsidR="00171F74" w:rsidRDefault="00171F74">
      <w:pPr>
        <w:pStyle w:val="Title"/>
        <w:spacing w:after="0"/>
        <w:jc w:val="both"/>
        <w:rPr>
          <w:rFonts w:ascii="Arial" w:hAnsi="Arial" w:cs="Arial"/>
        </w:rPr>
      </w:pPr>
    </w:p>
    <w:p w14:paraId="061588E5" w14:textId="77777777" w:rsidR="00687DE2" w:rsidRDefault="00B1168E">
      <w:pPr>
        <w:pStyle w:val="Author"/>
        <w:spacing w:line="240" w:lineRule="auto"/>
        <w:rPr>
          <w:rFonts w:ascii="Arial" w:hAnsi="Arial" w:cs="Arial"/>
          <w:bCs/>
          <w:iCs/>
          <w:kern w:val="28"/>
          <w:sz w:val="36"/>
        </w:rPr>
      </w:pPr>
      <w:r>
        <w:rPr>
          <w:rFonts w:ascii="Arial" w:hAnsi="Arial"/>
          <w:bCs/>
          <w:iCs/>
          <w:kern w:val="28"/>
          <w:sz w:val="36"/>
        </w:rPr>
        <w:t>Corporate Tax and Financial Performance: The Interrelation of Public Accounting Firm Size, Sustainability Reports, and Turnover</w:t>
      </w:r>
      <w:r>
        <w:rPr>
          <w:rFonts w:ascii="Arial" w:hAnsi="Arial" w:cs="Arial"/>
          <w:bCs/>
          <w:iCs/>
          <w:kern w:val="28"/>
          <w:sz w:val="36"/>
        </w:rPr>
        <w:t xml:space="preserve"> </w:t>
      </w:r>
    </w:p>
    <w:p w14:paraId="03316541" w14:textId="77777777" w:rsidR="00687DE2" w:rsidRDefault="00687DE2">
      <w:pPr>
        <w:pStyle w:val="Author"/>
        <w:spacing w:line="240" w:lineRule="auto"/>
        <w:jc w:val="both"/>
        <w:rPr>
          <w:rFonts w:ascii="Arial" w:hAnsi="Arial" w:cs="Arial"/>
          <w:sz w:val="36"/>
        </w:rPr>
      </w:pPr>
    </w:p>
    <w:p w14:paraId="4BB15EA9" w14:textId="77777777" w:rsidR="001C4714" w:rsidRDefault="001C4714">
      <w:pPr>
        <w:pStyle w:val="Affiliation"/>
        <w:spacing w:after="0" w:line="240" w:lineRule="auto"/>
        <w:jc w:val="center"/>
        <w:rPr>
          <w:rFonts w:ascii="Arial" w:hAnsi="Arial"/>
          <w:i/>
          <w:vertAlign w:val="superscript"/>
        </w:rPr>
      </w:pPr>
    </w:p>
    <w:p w14:paraId="24C99C4A" w14:textId="77777777" w:rsidR="001C4714" w:rsidRDefault="001C4714">
      <w:pPr>
        <w:pStyle w:val="Affiliation"/>
        <w:spacing w:after="0" w:line="240" w:lineRule="auto"/>
        <w:jc w:val="center"/>
        <w:rPr>
          <w:rFonts w:ascii="Arial" w:hAnsi="Arial"/>
          <w:i/>
          <w:vertAlign w:val="superscript"/>
        </w:rPr>
      </w:pPr>
    </w:p>
    <w:p w14:paraId="240A4003" w14:textId="6E894FDC" w:rsidR="00687DE2" w:rsidRDefault="00B05421">
      <w:pPr>
        <w:pStyle w:val="Affiliation"/>
        <w:spacing w:after="0" w:line="240" w:lineRule="auto"/>
        <w:jc w:val="center"/>
        <w:rPr>
          <w:rFonts w:ascii="Arial" w:hAnsi="Arial"/>
          <w:i/>
          <w:vertAlign w:val="superscript"/>
        </w:rPr>
      </w:pPr>
      <w:r w:rsidRPr="00B05421">
        <w:rPr>
          <w:rFonts w:ascii="Arial" w:hAnsi="Arial"/>
          <w:i/>
          <w:vertAlign w:val="superscript"/>
        </w:rPr>
        <w:t>ABSTRACT</w:t>
      </w:r>
    </w:p>
    <w:p w14:paraId="384673E7" w14:textId="77777777" w:rsidR="00687DE2" w:rsidRDefault="00B1168E">
      <w:pPr>
        <w:pStyle w:val="Copyright"/>
        <w:spacing w:after="0" w:line="240" w:lineRule="auto"/>
        <w:jc w:val="both"/>
        <w:rPr>
          <w:rFonts w:ascii="Arial" w:hAnsi="Arial" w:cs="Arial"/>
        </w:rPr>
        <w:sectPr w:rsidR="00687DE2" w:rsidSect="001C471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B645329" wp14:editId="32D72D61">
                <wp:extent cx="5303520" cy="0"/>
                <wp:effectExtent l="0" t="9525" r="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493E6E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01D94355" w14:textId="524E60D4" w:rsidR="00687DE2" w:rsidRDefault="00687DE2">
      <w:pPr>
        <w:pStyle w:val="AbstHead"/>
        <w:spacing w:after="0"/>
        <w:ind w:firstLineChars="50" w:firstLine="110"/>
        <w:jc w:val="both"/>
        <w:rPr>
          <w:rFonts w:ascii="Arial" w:hAnsi="Arial" w:cs="Arial"/>
        </w:rPr>
      </w:pPr>
    </w:p>
    <w:tbl>
      <w:tblPr>
        <w:tblpPr w:leftFromText="180" w:rightFromText="180" w:vertAnchor="page" w:horzAnchor="page" w:tblpX="2135" w:tblpY="54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3"/>
      </w:tblGrid>
      <w:tr w:rsidR="00687DE2" w14:paraId="338838C1" w14:textId="77777777">
        <w:tc>
          <w:tcPr>
            <w:tcW w:w="8193" w:type="dxa"/>
            <w:shd w:val="clear" w:color="auto" w:fill="F2F2F2"/>
          </w:tcPr>
          <w:p w14:paraId="06F8C243" w14:textId="77777777" w:rsidR="00687DE2" w:rsidRDefault="00B1168E">
            <w:pPr>
              <w:pStyle w:val="NormalWeb"/>
              <w:jc w:val="both"/>
              <w:rPr>
                <w:rFonts w:ascii="Arial Regular" w:hAnsi="Arial Regular" w:cs="Arial Regular"/>
                <w:color w:val="000000"/>
                <w:sz w:val="22"/>
                <w:szCs w:val="22"/>
              </w:rPr>
            </w:pPr>
            <w:r>
              <w:rPr>
                <w:rStyle w:val="Emphasis"/>
                <w:rFonts w:ascii="Arial Regular" w:eastAsia="Times New Roman Italic" w:hAnsi="Arial Regular" w:cs="Arial Regular"/>
                <w:i w:val="0"/>
                <w:iCs w:val="0"/>
                <w:color w:val="000000"/>
                <w:sz w:val="22"/>
                <w:szCs w:val="22"/>
              </w:rPr>
              <w:t>Financial statements serve as a means of communication between businesses and their stakeholders, including investors and creditors. In Indonesia, the Financial Services Authority (OJK) requires public firms to be audited by an accounting firm registered w</w:t>
            </w:r>
            <w:r>
              <w:rPr>
                <w:rStyle w:val="Emphasis"/>
                <w:rFonts w:ascii="Arial Regular" w:eastAsia="Times New Roman Italic" w:hAnsi="Arial Regular" w:cs="Arial Regular"/>
                <w:i w:val="0"/>
                <w:iCs w:val="0"/>
                <w:color w:val="000000"/>
                <w:sz w:val="22"/>
                <w:szCs w:val="22"/>
              </w:rPr>
              <w:t>ith the OJK. This is owing to the critical function of audit quality in ensuring the accuracy of financial accounts. Previous research shows that audit quality may be influenced by the size of the audit firm, with some stakeholders believing that large aud</w:t>
            </w:r>
            <w:r>
              <w:rPr>
                <w:rStyle w:val="Emphasis"/>
                <w:rFonts w:ascii="Arial Regular" w:eastAsia="Times New Roman Italic" w:hAnsi="Arial Regular" w:cs="Arial Regular"/>
                <w:i w:val="0"/>
                <w:iCs w:val="0"/>
                <w:color w:val="000000"/>
                <w:sz w:val="22"/>
                <w:szCs w:val="22"/>
              </w:rPr>
              <w:t>it firms (Big Four) provide better audit quality. In addition, sustainability reporting is becoming a significant variable due to rising attention on the environmental and social implications of company actions. This associative explanatory study uses fina</w:t>
            </w:r>
            <w:r>
              <w:rPr>
                <w:rStyle w:val="Emphasis"/>
                <w:rFonts w:ascii="Arial Regular" w:eastAsia="Times New Roman Italic" w:hAnsi="Arial Regular" w:cs="Arial Regular"/>
                <w:i w:val="0"/>
                <w:iCs w:val="0"/>
                <w:color w:val="000000"/>
                <w:sz w:val="22"/>
                <w:szCs w:val="22"/>
              </w:rPr>
              <w:t>ncial statement data from coal producers listed on the Indonesia Stock Exchange from 2021 to 2023 with 96 data points and the SPSS software to examine the impact of sustainability reports and public accounting firm size on gross profit margin, with corpora</w:t>
            </w:r>
            <w:r>
              <w:rPr>
                <w:rStyle w:val="Emphasis"/>
                <w:rFonts w:ascii="Arial Regular" w:eastAsia="Times New Roman Italic" w:hAnsi="Arial Regular" w:cs="Arial Regular"/>
                <w:i w:val="0"/>
                <w:iCs w:val="0"/>
                <w:color w:val="000000"/>
                <w:sz w:val="22"/>
                <w:szCs w:val="22"/>
              </w:rPr>
              <w:t>te tax turnover ratio (CTTOR) acting as an intervening variable. The results revealed that the size of the public accounting firm and the sustainability report both had a positive effect on gross profit margin. The size of the public accounting firm also h</w:t>
            </w:r>
            <w:r>
              <w:rPr>
                <w:rStyle w:val="Emphasis"/>
                <w:rFonts w:ascii="Arial Regular" w:eastAsia="Times New Roman Italic" w:hAnsi="Arial Regular" w:cs="Arial Regular"/>
                <w:i w:val="0"/>
                <w:iCs w:val="0"/>
                <w:color w:val="000000"/>
                <w:sz w:val="22"/>
                <w:szCs w:val="22"/>
              </w:rPr>
              <w:t>ad an effect on CTTOR, but the sustainability report had no direct effect on CTTOR, whereas gross profit margin did. The size of the public accounting firm, as shown by gross profit margin, is not considerable when seen from the indirect perspective, but t</w:t>
            </w:r>
            <w:r>
              <w:rPr>
                <w:rStyle w:val="Emphasis"/>
                <w:rFonts w:ascii="Arial Regular" w:eastAsia="Times New Roman Italic" w:hAnsi="Arial Regular" w:cs="Arial Regular"/>
                <w:i w:val="0"/>
                <w:iCs w:val="0"/>
                <w:color w:val="000000"/>
                <w:sz w:val="22"/>
                <w:szCs w:val="22"/>
              </w:rPr>
              <w:t>he sustainability report's impact on CTTOR is thought to be substantial.</w:t>
            </w:r>
          </w:p>
          <w:p w14:paraId="10414888" w14:textId="77777777" w:rsidR="00687DE2" w:rsidRDefault="00687DE2">
            <w:pPr>
              <w:pStyle w:val="Body"/>
              <w:spacing w:after="0"/>
              <w:rPr>
                <w:rFonts w:ascii="Arial Regular" w:eastAsia="Calibri" w:hAnsi="Arial Regular" w:cs="Arial Regular"/>
                <w:sz w:val="22"/>
                <w:szCs w:val="22"/>
              </w:rPr>
            </w:pPr>
          </w:p>
        </w:tc>
      </w:tr>
    </w:tbl>
    <w:p w14:paraId="0BF606EA" w14:textId="77777777" w:rsidR="00687DE2" w:rsidRDefault="00687DE2">
      <w:pPr>
        <w:ind w:left="1100" w:hangingChars="550" w:hanging="1100"/>
        <w:rPr>
          <w:rFonts w:ascii="Arial" w:hAnsi="Arial" w:cs="Arial"/>
          <w:i/>
        </w:rPr>
      </w:pPr>
    </w:p>
    <w:p w14:paraId="78740314" w14:textId="77777777" w:rsidR="00687DE2" w:rsidRDefault="00B1168E">
      <w:pPr>
        <w:ind w:firstLineChars="50" w:firstLine="100"/>
        <w:rPr>
          <w:rFonts w:ascii="Arial Bold Italic" w:hAnsi="Arial Bold Italic" w:cs="Arial Bold Italic"/>
          <w:b/>
          <w:bCs/>
          <w:i/>
        </w:rPr>
      </w:pPr>
      <w:r>
        <w:rPr>
          <w:rFonts w:ascii="Arial" w:hAnsi="Arial" w:cs="Arial"/>
          <w:i/>
        </w:rPr>
        <w:t xml:space="preserve">Keywords:   </w:t>
      </w:r>
      <w:r>
        <w:rPr>
          <w:rFonts w:ascii="Arial Bold Italic" w:hAnsi="Arial Bold Italic" w:cs="Arial Bold Italic"/>
          <w:b/>
          <w:bCs/>
          <w:i/>
        </w:rPr>
        <w:t>Public accounting firm size</w:t>
      </w:r>
      <w:r>
        <w:rPr>
          <w:rFonts w:ascii="Arial Bold Italic" w:hAnsi="Arial Bold Italic" w:cs="Arial Bold Italic"/>
          <w:b/>
          <w:bCs/>
          <w:iCs/>
        </w:rPr>
        <w:t xml:space="preserve">, </w:t>
      </w:r>
      <w:r>
        <w:rPr>
          <w:rFonts w:ascii="Arial Bold Italic" w:hAnsi="Arial Bold Italic" w:cs="Arial Bold Italic"/>
          <w:b/>
          <w:bCs/>
          <w:i/>
        </w:rPr>
        <w:t xml:space="preserve">sustainability report, gross profit margin, </w:t>
      </w:r>
    </w:p>
    <w:p w14:paraId="15A70413" w14:textId="77777777" w:rsidR="00687DE2" w:rsidRDefault="00B1168E">
      <w:pPr>
        <w:ind w:firstLineChars="50" w:firstLine="100"/>
        <w:rPr>
          <w:rFonts w:ascii="Arial Bold Italic" w:hAnsi="Arial Bold Italic" w:cs="Arial Bold Italic"/>
          <w:b/>
          <w:bCs/>
          <w:i/>
        </w:rPr>
      </w:pPr>
      <w:r>
        <w:rPr>
          <w:rFonts w:ascii="Arial Bold Italic" w:hAnsi="Arial Bold Italic"/>
          <w:b/>
          <w:bCs/>
          <w:i/>
        </w:rPr>
        <w:t>corporate tax to turn over ratio, Tax</w:t>
      </w:r>
    </w:p>
    <w:p w14:paraId="43541B0D" w14:textId="77777777" w:rsidR="00687DE2" w:rsidRDefault="00687DE2">
      <w:pPr>
        <w:pStyle w:val="Body"/>
        <w:spacing w:after="0"/>
        <w:rPr>
          <w:rFonts w:ascii="Arial" w:hAnsi="Arial" w:cs="Arial"/>
          <w:i/>
        </w:rPr>
      </w:pPr>
    </w:p>
    <w:p w14:paraId="0C9EACE0" w14:textId="77777777" w:rsidR="00687DE2" w:rsidRDefault="00687DE2">
      <w:pPr>
        <w:pStyle w:val="Body"/>
        <w:spacing w:after="0"/>
        <w:rPr>
          <w:rFonts w:ascii="Arial" w:hAnsi="Arial" w:cs="Arial"/>
          <w:i/>
        </w:rPr>
      </w:pPr>
    </w:p>
    <w:p w14:paraId="3E5AB71C" w14:textId="77777777" w:rsidR="00687DE2" w:rsidRDefault="00B1168E">
      <w:pPr>
        <w:pStyle w:val="AbstHead"/>
        <w:numPr>
          <w:ilvl w:val="0"/>
          <w:numId w:val="2"/>
        </w:numPr>
        <w:spacing w:after="0"/>
        <w:ind w:leftChars="55" w:left="198" w:hangingChars="40" w:hanging="88"/>
        <w:jc w:val="both"/>
        <w:rPr>
          <w:rFonts w:ascii="Arial" w:hAnsi="Arial" w:cs="Arial"/>
        </w:rPr>
      </w:pPr>
      <w:r>
        <w:rPr>
          <w:rFonts w:ascii="Arial" w:hAnsi="Arial" w:cs="Arial"/>
        </w:rPr>
        <w:t xml:space="preserve">   INTRODUCTION </w:t>
      </w:r>
    </w:p>
    <w:p w14:paraId="392F8DAE" w14:textId="77777777" w:rsidR="00687DE2" w:rsidRDefault="00687DE2">
      <w:pPr>
        <w:pStyle w:val="AbstHead"/>
        <w:spacing w:after="0"/>
        <w:ind w:leftChars="15" w:left="30"/>
        <w:jc w:val="both"/>
        <w:rPr>
          <w:rFonts w:ascii="Arial" w:hAnsi="Arial" w:cs="Arial"/>
        </w:rPr>
      </w:pPr>
    </w:p>
    <w:p w14:paraId="705B2440" w14:textId="77777777" w:rsidR="00687DE2" w:rsidRDefault="00B1168E">
      <w:pPr>
        <w:pStyle w:val="NormalWeb"/>
        <w:tabs>
          <w:tab w:val="left" w:pos="630"/>
        </w:tabs>
        <w:spacing w:beforeAutospacing="0" w:afterAutospacing="0"/>
        <w:ind w:left="200" w:firstLineChars="150" w:firstLine="300"/>
        <w:jc w:val="both"/>
        <w:rPr>
          <w:rFonts w:ascii="Arial Regular" w:hAnsi="Arial Regular" w:cs="Arial Regular"/>
          <w:color w:val="000000"/>
          <w:sz w:val="20"/>
          <w:szCs w:val="20"/>
        </w:rPr>
      </w:pPr>
      <w:r>
        <w:rPr>
          <w:rFonts w:ascii="Arial Regular" w:hAnsi="Arial Regular" w:cs="Arial Regular"/>
          <w:color w:val="000000"/>
          <w:sz w:val="20"/>
          <w:szCs w:val="20"/>
        </w:rPr>
        <w:t xml:space="preserve">Companies </w:t>
      </w:r>
      <w:proofErr w:type="spellStart"/>
      <w:r>
        <w:rPr>
          <w:rFonts w:ascii="Arial Regular" w:hAnsi="Arial Regular" w:cs="Arial Regular"/>
          <w:color w:val="000000"/>
          <w:sz w:val="20"/>
          <w:szCs w:val="20"/>
        </w:rPr>
        <w:t>utilise</w:t>
      </w:r>
      <w:proofErr w:type="spellEnd"/>
      <w:r>
        <w:rPr>
          <w:rFonts w:ascii="Arial Regular" w:hAnsi="Arial Regular" w:cs="Arial Regular"/>
          <w:color w:val="000000"/>
          <w:sz w:val="20"/>
          <w:szCs w:val="20"/>
        </w:rPr>
        <w:t xml:space="preserve"> financial statements as a communication tool with external parties,</w:t>
      </w:r>
    </w:p>
    <w:p w14:paraId="738A957F" w14:textId="77777777" w:rsidR="00687DE2" w:rsidRDefault="00B1168E">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such as creditors and investors, who use their financial statements. Therefore, by issuing </w:t>
      </w:r>
    </w:p>
    <w:p w14:paraId="269618DB" w14:textId="77777777" w:rsidR="00687DE2" w:rsidRDefault="00B1168E">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Regulation of the Financial Services Authority of the Republic of Indonesia Number 9 of 2023,  </w:t>
      </w:r>
      <w:r>
        <w:rPr>
          <w:rFonts w:ascii="Arial Regular" w:hAnsi="Arial Regular" w:cs="Arial Regular"/>
          <w:color w:val="000000"/>
          <w:sz w:val="20"/>
          <w:szCs w:val="20"/>
        </w:rPr>
        <w:t xml:space="preserve"> </w:t>
      </w:r>
    </w:p>
    <w:p w14:paraId="67445CCD" w14:textId="77777777" w:rsidR="00687DE2" w:rsidRDefault="00B1168E">
      <w:pPr>
        <w:pStyle w:val="NormalWeb"/>
        <w:tabs>
          <w:tab w:val="left" w:pos="630"/>
        </w:tabs>
        <w:spacing w:beforeAutospacing="0" w:afterAutospacing="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Indonesian government—in this case, the Financial Services Authority—mandates that businesses that have achieved public accountability also employ a public accounting firm </w:t>
      </w:r>
      <w:r>
        <w:rPr>
          <w:rFonts w:ascii="Arial Regular" w:hAnsi="Arial Regular" w:cs="Arial Regular"/>
          <w:color w:val="000000"/>
          <w:sz w:val="20"/>
          <w:szCs w:val="20"/>
        </w:rPr>
        <w:lastRenderedPageBreak/>
        <w:t>registered with the Financial Services Authority to audit the yearly financial</w:t>
      </w:r>
      <w:r>
        <w:rPr>
          <w:rFonts w:ascii="Arial Regular" w:hAnsi="Arial Regular" w:cs="Arial Regular"/>
          <w:color w:val="000000"/>
          <w:sz w:val="20"/>
          <w:szCs w:val="20"/>
        </w:rPr>
        <w:t xml:space="preserve"> statements that have been prepared.</w:t>
      </w:r>
    </w:p>
    <w:p w14:paraId="44A91D1B"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All users of financial statements assume that the financial statements audited by the public accounting firm contain no substantial misstatements, are consistent with Indonesian accounting principles, and may be used as</w:t>
      </w:r>
      <w:r>
        <w:rPr>
          <w:rFonts w:ascii="Arial Regular" w:hAnsi="Arial Regular" w:cs="Arial Regular"/>
          <w:color w:val="000000"/>
          <w:sz w:val="20"/>
          <w:szCs w:val="20"/>
        </w:rPr>
        <w:t xml:space="preserve"> a reference in decision-making. As a result, it is possible to conclude that audit quality plays an important role in protecting the integrity of financial reporting. As a result, a high-quality audit automatically raises the reliability value of financia</w:t>
      </w:r>
      <w:r>
        <w:rPr>
          <w:rFonts w:ascii="Arial Regular" w:hAnsi="Arial Regular" w:cs="Arial Regular"/>
          <w:color w:val="000000"/>
          <w:sz w:val="20"/>
          <w:szCs w:val="20"/>
        </w:rPr>
        <w:t>l reports, allowing investors to make sound business decisions based on them.</w:t>
      </w:r>
    </w:p>
    <w:p w14:paraId="26CE7F95"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size of the public accounting firm is the first independent variable used in this study. </w:t>
      </w:r>
      <w:sdt>
        <w:sdtPr>
          <w:rPr>
            <w:rFonts w:ascii="Arial Regular" w:hAnsi="Arial Regular" w:cs="Arial Regular"/>
            <w:color w:val="000000"/>
            <w:sz w:val="20"/>
            <w:szCs w:val="20"/>
          </w:rPr>
          <w:tag w:val="MENDELEY_CITATION_v3_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"/>
          <w:id w:val="1978879411"/>
          <w:placeholder>
            <w:docPart w:val="DefaultPlaceholder_-1854013440"/>
          </w:placeholder>
        </w:sdtPr>
        <w:sdtEndPr/>
        <w:sdtContent>
          <w:r>
            <w:rPr>
              <w:rFonts w:eastAsia="Times New Roman"/>
              <w:color w:val="000000"/>
              <w:sz w:val="20"/>
            </w:rPr>
            <w:t>(</w:t>
          </w:r>
          <w:proofErr w:type="spellStart"/>
          <w:r>
            <w:rPr>
              <w:rFonts w:eastAsia="Times New Roman"/>
              <w:color w:val="000000"/>
              <w:sz w:val="20"/>
            </w:rPr>
            <w:t>Mayangsari</w:t>
          </w:r>
          <w:proofErr w:type="spellEnd"/>
          <w:r>
            <w:rPr>
              <w:rFonts w:eastAsia="Times New Roman"/>
              <w:color w:val="000000"/>
              <w:sz w:val="20"/>
            </w:rPr>
            <w:t xml:space="preserve"> &amp; </w:t>
          </w:r>
          <w:proofErr w:type="spellStart"/>
          <w:r>
            <w:rPr>
              <w:rFonts w:eastAsia="Times New Roman"/>
              <w:color w:val="000000"/>
              <w:sz w:val="20"/>
            </w:rPr>
            <w:t>Sazangka</w:t>
          </w:r>
          <w:proofErr w:type="spellEnd"/>
          <w:r>
            <w:rPr>
              <w:rFonts w:eastAsia="Times New Roman"/>
              <w:color w:val="000000"/>
              <w:sz w:val="20"/>
            </w:rPr>
            <w:t>, 2023)</w:t>
          </w:r>
        </w:sdtContent>
      </w:sdt>
      <w:r>
        <w:rPr>
          <w:rFonts w:ascii="Arial Regular" w:hAnsi="Arial Regular" w:cs="Arial Regular"/>
          <w:color w:val="000000"/>
          <w:sz w:val="20"/>
          <w:szCs w:val="20"/>
        </w:rPr>
        <w:t xml:space="preserve"> concluded that the audit quality of a company can be </w:t>
      </w:r>
      <w:r>
        <w:rPr>
          <w:rFonts w:ascii="Arial Regular" w:hAnsi="Arial Regular" w:cs="Arial Regular"/>
          <w:color w:val="000000"/>
          <w:sz w:val="20"/>
          <w:szCs w:val="20"/>
        </w:rPr>
        <w:t>examined from the size of the public accounting firm used by the company. Many companies and users of financial statements believe that the quality of audits conducted by large public accounting firms, in this case the Big Four, is better than public accou</w:t>
      </w:r>
      <w:r>
        <w:rPr>
          <w:rFonts w:ascii="Arial Regular" w:hAnsi="Arial Regular" w:cs="Arial Regular"/>
          <w:color w:val="000000"/>
          <w:sz w:val="20"/>
          <w:szCs w:val="20"/>
        </w:rPr>
        <w:t>nting firms other than the Big Four (dubbed the "non-Big 4").</w:t>
      </w:r>
    </w:p>
    <w:p w14:paraId="5B014ABF"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sustainability report will serve as the second independent variable. Sustainability reports were selected as an independent variable because social injustice, environmental pollution, and </w:t>
      </w:r>
      <w:proofErr w:type="spellStart"/>
      <w:r>
        <w:rPr>
          <w:rFonts w:ascii="Arial Regular" w:hAnsi="Arial Regular" w:cs="Arial Regular"/>
          <w:color w:val="000000"/>
          <w:sz w:val="20"/>
          <w:szCs w:val="20"/>
        </w:rPr>
        <w:t>la</w:t>
      </w:r>
      <w:r>
        <w:rPr>
          <w:rFonts w:ascii="Arial Regular" w:hAnsi="Arial Regular" w:cs="Arial Regular"/>
          <w:color w:val="000000"/>
          <w:sz w:val="20"/>
          <w:szCs w:val="20"/>
        </w:rPr>
        <w:t>bour</w:t>
      </w:r>
      <w:proofErr w:type="spellEnd"/>
      <w:r>
        <w:rPr>
          <w:rFonts w:ascii="Arial Regular" w:hAnsi="Arial Regular" w:cs="Arial Regular"/>
          <w:color w:val="000000"/>
          <w:sz w:val="20"/>
          <w:szCs w:val="20"/>
        </w:rPr>
        <w:t xml:space="preserve"> exploitation are all consequences of a company's pursuit of maximum profit, which started with the industrial revolution and continues to this day.</w:t>
      </w:r>
    </w:p>
    <w:p w14:paraId="5B9D7680"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However, John Elkington first proposed the idea of the Triple Bottom Line in his 1994 book "Cannibals with Forks: The Triple Bottom Line of 21st Century Business", which </w:t>
      </w:r>
      <w:proofErr w:type="spellStart"/>
      <w:r>
        <w:rPr>
          <w:rFonts w:ascii="Arial Regular" w:hAnsi="Arial Regular" w:cs="Arial Regular"/>
          <w:color w:val="000000"/>
          <w:sz w:val="20"/>
          <w:szCs w:val="20"/>
        </w:rPr>
        <w:t>criticised</w:t>
      </w:r>
      <w:proofErr w:type="spellEnd"/>
      <w:r>
        <w:rPr>
          <w:rFonts w:ascii="Arial Regular" w:hAnsi="Arial Regular" w:cs="Arial Regular"/>
          <w:color w:val="000000"/>
          <w:sz w:val="20"/>
          <w:szCs w:val="20"/>
        </w:rPr>
        <w:t xml:space="preserve"> corporate practices that ignored their effects on society and the environme</w:t>
      </w:r>
      <w:r>
        <w:rPr>
          <w:rFonts w:ascii="Arial Regular" w:hAnsi="Arial Regular" w:cs="Arial Regular"/>
          <w:color w:val="000000"/>
          <w:sz w:val="20"/>
          <w:szCs w:val="20"/>
        </w:rPr>
        <w:t xml:space="preserve">nt in </w:t>
      </w:r>
      <w:proofErr w:type="spellStart"/>
      <w:r>
        <w:rPr>
          <w:rFonts w:ascii="Arial Regular" w:hAnsi="Arial Regular" w:cs="Arial Regular"/>
          <w:color w:val="000000"/>
          <w:sz w:val="20"/>
          <w:szCs w:val="20"/>
        </w:rPr>
        <w:t>favour</w:t>
      </w:r>
      <w:proofErr w:type="spellEnd"/>
      <w:r>
        <w:rPr>
          <w:rFonts w:ascii="Arial Regular" w:hAnsi="Arial Regular" w:cs="Arial Regular"/>
          <w:color w:val="000000"/>
          <w:sz w:val="20"/>
          <w:szCs w:val="20"/>
        </w:rPr>
        <w:t xml:space="preserve"> of focusing solely on financial gain.</w:t>
      </w:r>
    </w:p>
    <w:p w14:paraId="42D7E2AB"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In order to hold businesses accountable for the sustainability and balance of the three key elements outlined in the triple bottom line concept—profit (profit), society (people), and the environment (plane</w:t>
      </w:r>
      <w:r>
        <w:rPr>
          <w:rFonts w:ascii="Arial Regular" w:hAnsi="Arial Regular" w:cs="Arial Regular"/>
          <w:color w:val="000000"/>
          <w:sz w:val="20"/>
          <w:szCs w:val="20"/>
        </w:rPr>
        <w:t>t), which in this context refers to the earth on which we all stand—the idea of sustainable development was indirectly born.</w:t>
      </w:r>
    </w:p>
    <w:p w14:paraId="6F1F8F9D" w14:textId="77777777" w:rsidR="00687DE2" w:rsidRDefault="00B1168E">
      <w:pPr>
        <w:pStyle w:val="NormalWeb"/>
        <w:tabs>
          <w:tab w:val="left" w:pos="630"/>
        </w:tabs>
        <w:ind w:firstLineChars="200" w:firstLine="400"/>
        <w:jc w:val="both"/>
        <w:rPr>
          <w:rFonts w:ascii="Arial Regular" w:hAnsi="Arial Regular"/>
          <w:b/>
          <w:bCs/>
          <w:sz w:val="20"/>
          <w:szCs w:val="20"/>
        </w:rPr>
      </w:pPr>
      <w:r>
        <w:rPr>
          <w:rFonts w:ascii="Arial Regular" w:hAnsi="Arial Regular" w:cs="Arial Regular"/>
          <w:color w:val="000000"/>
          <w:sz w:val="20"/>
          <w:szCs w:val="20"/>
        </w:rPr>
        <w:t xml:space="preserve">With Circular Letter Number 16 of 2021, the Financial Services Authority (SEOJK) demonstrates its complete support for the idea of </w:t>
      </w:r>
      <w:r>
        <w:rPr>
          <w:rFonts w:ascii="Arial Regular" w:hAnsi="Arial Regular" w:cs="Arial Regular"/>
          <w:color w:val="000000"/>
          <w:sz w:val="20"/>
          <w:szCs w:val="20"/>
        </w:rPr>
        <w:t xml:space="preserve">sustainable development by requiring all publicly accountable companies to produce a sustainable report each year that </w:t>
      </w:r>
      <w:proofErr w:type="spellStart"/>
      <w:r>
        <w:rPr>
          <w:rFonts w:ascii="Arial Regular" w:hAnsi="Arial Regular" w:cs="Arial Regular"/>
          <w:color w:val="000000"/>
          <w:sz w:val="20"/>
          <w:szCs w:val="20"/>
        </w:rPr>
        <w:t>maximises</w:t>
      </w:r>
      <w:proofErr w:type="spellEnd"/>
      <w:r>
        <w:rPr>
          <w:rFonts w:ascii="Arial Regular" w:hAnsi="Arial Regular" w:cs="Arial Regular"/>
          <w:color w:val="000000"/>
          <w:sz w:val="20"/>
          <w:szCs w:val="20"/>
        </w:rPr>
        <w:t xml:space="preserve"> sustainable investment. The study by </w:t>
      </w:r>
      <w:proofErr w:type="spellStart"/>
      <w:r>
        <w:rPr>
          <w:rFonts w:ascii="Arial Regular" w:hAnsi="Arial Regular" w:cs="Arial Regular"/>
          <w:color w:val="000000"/>
          <w:sz w:val="20"/>
          <w:szCs w:val="20"/>
        </w:rPr>
        <w:t>Endiana</w:t>
      </w:r>
      <w:proofErr w:type="spellEnd"/>
      <w:r>
        <w:rPr>
          <w:rFonts w:ascii="Arial Regular" w:hAnsi="Arial Regular" w:cs="Arial Regular"/>
          <w:color w:val="000000"/>
          <w:sz w:val="20"/>
          <w:szCs w:val="20"/>
        </w:rPr>
        <w:t xml:space="preserve">, I. Dewa Made, and </w:t>
      </w:r>
      <w:proofErr w:type="spellStart"/>
      <w:r>
        <w:rPr>
          <w:rFonts w:ascii="Arial Regular" w:hAnsi="Arial Regular" w:cs="Arial Regular"/>
          <w:color w:val="000000"/>
          <w:sz w:val="20"/>
          <w:szCs w:val="20"/>
        </w:rPr>
        <w:t>Suryandari</w:t>
      </w:r>
      <w:proofErr w:type="spellEnd"/>
      <w:r>
        <w:rPr>
          <w:rFonts w:ascii="Arial Regular" w:hAnsi="Arial Regular" w:cs="Arial Regular"/>
          <w:color w:val="000000"/>
          <w:sz w:val="20"/>
          <w:szCs w:val="20"/>
        </w:rPr>
        <w:t xml:space="preserve">, Ni. </w:t>
      </w:r>
      <w:sdt>
        <w:sdtPr>
          <w:rPr>
            <w:rFonts w:ascii="Arial Regular" w:hAnsi="Arial Regular" w:cs="Arial Regular"/>
            <w:color w:val="000000"/>
            <w:sz w:val="20"/>
            <w:szCs w:val="20"/>
          </w:rPr>
          <w:tag w:val="MENDELEY_CITATION_v3_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"/>
          <w:id w:val="-1"/>
          <w:placeholder>
            <w:docPart w:val="DefaultPlaceholder_-1854013440"/>
          </w:placeholder>
        </w:sdtPr>
        <w:sdtEndPr/>
        <w:sdtContent>
          <w:r>
            <w:rPr>
              <w:rFonts w:eastAsia="Times New Roman"/>
              <w:color w:val="000000"/>
              <w:sz w:val="20"/>
            </w:rPr>
            <w:t xml:space="preserve">(Made </w:t>
          </w:r>
          <w:proofErr w:type="spellStart"/>
          <w:r>
            <w:rPr>
              <w:rFonts w:eastAsia="Times New Roman"/>
              <w:color w:val="000000"/>
              <w:sz w:val="20"/>
            </w:rPr>
            <w:t>Endiana</w:t>
          </w:r>
          <w:proofErr w:type="spellEnd"/>
          <w:r>
            <w:rPr>
              <w:rFonts w:eastAsia="Times New Roman"/>
              <w:color w:val="000000"/>
              <w:sz w:val="20"/>
            </w:rPr>
            <w:t xml:space="preserve"> &amp; </w:t>
          </w:r>
          <w:proofErr w:type="spellStart"/>
          <w:r>
            <w:rPr>
              <w:rFonts w:eastAsia="Times New Roman"/>
              <w:color w:val="000000"/>
              <w:sz w:val="20"/>
            </w:rPr>
            <w:t>Ayu</w:t>
          </w:r>
          <w:proofErr w:type="spellEnd"/>
          <w:r>
            <w:rPr>
              <w:rFonts w:eastAsia="Times New Roman"/>
              <w:color w:val="000000"/>
              <w:sz w:val="20"/>
            </w:rPr>
            <w:t xml:space="preserve"> </w:t>
          </w:r>
          <w:proofErr w:type="spellStart"/>
          <w:r>
            <w:rPr>
              <w:rFonts w:eastAsia="Times New Roman"/>
              <w:color w:val="000000"/>
              <w:sz w:val="20"/>
            </w:rPr>
            <w:t>Suryandari</w:t>
          </w:r>
          <w:proofErr w:type="spellEnd"/>
          <w:r>
            <w:rPr>
              <w:rFonts w:eastAsia="Times New Roman"/>
              <w:color w:val="000000"/>
              <w:sz w:val="20"/>
            </w:rPr>
            <w:t>, 2021)</w:t>
          </w:r>
        </w:sdtContent>
      </w:sdt>
      <w:r>
        <w:rPr>
          <w:rFonts w:ascii="Arial Regular" w:hAnsi="Arial Regular" w:cs="Arial Regular"/>
          <w:color w:val="000000"/>
          <w:sz w:val="20"/>
          <w:szCs w:val="20"/>
        </w:rPr>
        <w:t xml:space="preserve"> argues </w:t>
      </w:r>
      <w:r>
        <w:rPr>
          <w:rFonts w:ascii="Arial Regular" w:hAnsi="Arial Regular" w:cs="Arial Regular"/>
          <w:color w:val="000000"/>
          <w:sz w:val="20"/>
          <w:szCs w:val="20"/>
        </w:rPr>
        <w:t xml:space="preserve">and </w:t>
      </w:r>
      <w:proofErr w:type="spellStart"/>
      <w:r>
        <w:rPr>
          <w:rFonts w:ascii="Arial Regular" w:hAnsi="Arial Regular" w:cs="Arial Regular"/>
          <w:color w:val="000000"/>
          <w:sz w:val="20"/>
          <w:szCs w:val="20"/>
        </w:rPr>
        <w:t>emphasises</w:t>
      </w:r>
      <w:proofErr w:type="spellEnd"/>
      <w:r>
        <w:rPr>
          <w:rFonts w:ascii="Arial Regular" w:hAnsi="Arial Regular" w:cs="Arial Regular"/>
          <w:color w:val="000000"/>
          <w:sz w:val="20"/>
          <w:szCs w:val="20"/>
        </w:rPr>
        <w:t xml:space="preserve"> the critical function of sustainable reports in examining an investment choice made by a firm and also as a tool to </w:t>
      </w:r>
      <w:proofErr w:type="spellStart"/>
      <w:r>
        <w:rPr>
          <w:rFonts w:ascii="Arial Regular" w:hAnsi="Arial Regular" w:cs="Arial Regular"/>
          <w:color w:val="000000"/>
          <w:sz w:val="20"/>
          <w:szCs w:val="20"/>
        </w:rPr>
        <w:t>optimise</w:t>
      </w:r>
      <w:proofErr w:type="spellEnd"/>
      <w:r>
        <w:rPr>
          <w:rFonts w:ascii="Arial Regular" w:hAnsi="Arial Regular" w:cs="Arial Regular"/>
          <w:color w:val="000000"/>
          <w:sz w:val="20"/>
          <w:szCs w:val="20"/>
        </w:rPr>
        <w:t xml:space="preserve"> sustainable investment in accordance with the aforementioned requirements.</w:t>
      </w:r>
      <w:r>
        <w:rPr>
          <w:rFonts w:ascii="Arial Regular" w:hAnsi="Arial Regular"/>
          <w:b/>
          <w:bCs/>
          <w:sz w:val="20"/>
          <w:szCs w:val="20"/>
        </w:rPr>
        <w:t xml:space="preserve">       </w:t>
      </w:r>
    </w:p>
    <w:p w14:paraId="28D55D8B" w14:textId="77777777" w:rsidR="00687DE2" w:rsidRDefault="00B1168E">
      <w:pPr>
        <w:pStyle w:val="AbstHead"/>
        <w:numPr>
          <w:ilvl w:val="0"/>
          <w:numId w:val="3"/>
        </w:numPr>
        <w:spacing w:after="0"/>
        <w:jc w:val="both"/>
        <w:rPr>
          <w:rFonts w:ascii="Arial Regular" w:hAnsi="Arial Regular" w:cs="Arial Regular"/>
          <w:bCs/>
          <w:szCs w:val="22"/>
        </w:rPr>
      </w:pPr>
      <w:r>
        <w:rPr>
          <w:rFonts w:ascii="Arial Regular" w:hAnsi="Arial Regular" w:cs="Arial Regular"/>
          <w:szCs w:val="22"/>
        </w:rPr>
        <w:t xml:space="preserve">   </w:t>
      </w:r>
      <w:r>
        <w:rPr>
          <w:rFonts w:ascii="Arial Regular" w:hAnsi="Arial Regular" w:cs="Arial Regular"/>
          <w:bCs/>
          <w:szCs w:val="22"/>
        </w:rPr>
        <w:t xml:space="preserve">LITERATURE REVIEW </w:t>
      </w:r>
    </w:p>
    <w:p w14:paraId="1C72595E" w14:textId="77777777" w:rsidR="00687DE2" w:rsidRDefault="00687DE2">
      <w:pPr>
        <w:pStyle w:val="AbstHead"/>
        <w:spacing w:after="0"/>
        <w:jc w:val="both"/>
        <w:rPr>
          <w:rFonts w:ascii="Arial Regular" w:hAnsi="Arial Regular" w:cs="Arial Regular"/>
          <w:bCs/>
          <w:szCs w:val="22"/>
        </w:rPr>
      </w:pPr>
    </w:p>
    <w:p w14:paraId="69DB23A4" w14:textId="77777777" w:rsidR="00687DE2" w:rsidRDefault="00B1168E">
      <w:pPr>
        <w:pStyle w:val="AbstHead"/>
        <w:numPr>
          <w:ilvl w:val="1"/>
          <w:numId w:val="3"/>
        </w:numPr>
        <w:spacing w:after="0"/>
        <w:jc w:val="both"/>
        <w:rPr>
          <w:rFonts w:ascii="Arial Regular" w:hAnsi="Arial Regular"/>
          <w:bCs/>
          <w:sz w:val="20"/>
        </w:rPr>
      </w:pPr>
      <w:r>
        <w:rPr>
          <w:rFonts w:ascii="Arial Regular" w:hAnsi="Arial Regular" w:cs="Arial Regular"/>
          <w:bCs/>
          <w:sz w:val="20"/>
        </w:rPr>
        <w:t xml:space="preserve"> </w:t>
      </w:r>
      <w:r>
        <w:rPr>
          <w:rFonts w:ascii="Arial Regular" w:hAnsi="Arial Regular"/>
          <w:bCs/>
          <w:sz w:val="20"/>
        </w:rPr>
        <w:t>Public acc</w:t>
      </w:r>
      <w:r>
        <w:rPr>
          <w:rFonts w:ascii="Arial Regular" w:hAnsi="Arial Regular"/>
          <w:bCs/>
          <w:sz w:val="20"/>
        </w:rPr>
        <w:t xml:space="preserve">ounting firm size </w:t>
      </w:r>
    </w:p>
    <w:p w14:paraId="16F34923"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public accounting firm's (KAP) size will be the second variable </w:t>
      </w:r>
      <w:proofErr w:type="spellStart"/>
      <w:r>
        <w:rPr>
          <w:rFonts w:ascii="Arial Regular" w:hAnsi="Arial Regular" w:cs="Arial Regular"/>
          <w:color w:val="000000"/>
          <w:sz w:val="20"/>
          <w:szCs w:val="20"/>
        </w:rPr>
        <w:t>utilised</w:t>
      </w:r>
      <w:proofErr w:type="spellEnd"/>
      <w:r>
        <w:rPr>
          <w:rFonts w:ascii="Arial Regular" w:hAnsi="Arial Regular" w:cs="Arial Regular"/>
          <w:color w:val="000000"/>
          <w:sz w:val="20"/>
          <w:szCs w:val="20"/>
        </w:rPr>
        <w:t xml:space="preserve">. The Public Accounting Firm is an </w:t>
      </w:r>
      <w:proofErr w:type="spellStart"/>
      <w:r>
        <w:rPr>
          <w:rFonts w:ascii="Arial Regular" w:hAnsi="Arial Regular" w:cs="Arial Regular"/>
          <w:color w:val="000000"/>
          <w:sz w:val="20"/>
          <w:szCs w:val="20"/>
        </w:rPr>
        <w:t>organisation</w:t>
      </w:r>
      <w:proofErr w:type="spellEnd"/>
      <w:r>
        <w:rPr>
          <w:rFonts w:ascii="Arial Regular" w:hAnsi="Arial Regular" w:cs="Arial Regular"/>
          <w:color w:val="000000"/>
          <w:sz w:val="20"/>
          <w:szCs w:val="20"/>
        </w:rPr>
        <w:t xml:space="preserve"> that satisfies the requirements of Law Number 5 of 2011 pertaining to public accountants and serves as a venue fo</w:t>
      </w:r>
      <w:r>
        <w:rPr>
          <w:rFonts w:ascii="Arial Regular" w:hAnsi="Arial Regular" w:cs="Arial Regular"/>
          <w:color w:val="000000"/>
          <w:sz w:val="20"/>
          <w:szCs w:val="20"/>
        </w:rPr>
        <w:t>r public accountants to meet and complete their professional obligations. The significance of the company's financial statements to its stakeholders, such as creditors and investors, makes it acceptable for a public accounting firm to audit the financial s</w:t>
      </w:r>
      <w:r>
        <w:rPr>
          <w:rFonts w:ascii="Arial Regular" w:hAnsi="Arial Regular" w:cs="Arial Regular"/>
          <w:color w:val="000000"/>
          <w:sz w:val="20"/>
          <w:szCs w:val="20"/>
        </w:rPr>
        <w:t>tatements in order to verify their correctness.</w:t>
      </w:r>
    </w:p>
    <w:p w14:paraId="0E496F2D"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At the moment, audit firms are divided into two categories: those that are associated with a sizable global public accounting firm, commonly referred to as the "big four", and those that are not, commonly ref</w:t>
      </w:r>
      <w:r>
        <w:rPr>
          <w:rFonts w:ascii="Arial Regular" w:hAnsi="Arial Regular" w:cs="Arial Regular"/>
          <w:color w:val="000000"/>
          <w:sz w:val="20"/>
          <w:szCs w:val="20"/>
        </w:rPr>
        <w:t>erred to as the "niche four".</w:t>
      </w:r>
    </w:p>
    <w:p w14:paraId="323AD250" w14:textId="77777777" w:rsidR="00687DE2" w:rsidRDefault="00B1168E">
      <w:pPr>
        <w:pStyle w:val="NormalWeb"/>
        <w:ind w:firstLineChars="250" w:firstLine="500"/>
        <w:jc w:val="both"/>
        <w:rPr>
          <w:rFonts w:ascii="Arial Regular" w:hAnsi="Arial Regular" w:cs="Arial Regular"/>
          <w:sz w:val="20"/>
          <w:szCs w:val="20"/>
        </w:rPr>
      </w:pPr>
      <w:r>
        <w:rPr>
          <w:rFonts w:ascii="Arial Regular" w:hAnsi="Arial Regular" w:cs="Arial Regular"/>
          <w:color w:val="000000"/>
          <w:sz w:val="20"/>
          <w:szCs w:val="20"/>
        </w:rPr>
        <w:t xml:space="preserve">This is the rationale for the company's decision to select a Big Four public accounting firm over other public </w:t>
      </w:r>
      <w:r>
        <w:rPr>
          <w:rFonts w:ascii="Arial Regular" w:hAnsi="Arial Regular" w:cs="Arial Regular"/>
          <w:sz w:val="20"/>
          <w:szCs w:val="20"/>
        </w:rPr>
        <w:t xml:space="preserve">accounting firms (non-Big Four): the public accounting firm is more independent, and it will instantly enhance the </w:t>
      </w:r>
      <w:r>
        <w:rPr>
          <w:rFonts w:ascii="Arial Regular" w:hAnsi="Arial Regular" w:cs="Arial Regular"/>
          <w:sz w:val="20"/>
          <w:szCs w:val="20"/>
        </w:rPr>
        <w:t xml:space="preserve">company's reputation in the eyes of financial </w:t>
      </w:r>
      <w:r>
        <w:rPr>
          <w:rFonts w:ascii="Arial Regular" w:hAnsi="Arial Regular" w:cs="Arial Regular"/>
          <w:sz w:val="20"/>
          <w:szCs w:val="20"/>
        </w:rPr>
        <w:lastRenderedPageBreak/>
        <w:t xml:space="preserve">statement readers. According to </w:t>
      </w:r>
      <w:proofErr w:type="spellStart"/>
      <w:r>
        <w:rPr>
          <w:rFonts w:ascii="Arial Regular" w:hAnsi="Arial Regular" w:cs="Arial Regular"/>
          <w:sz w:val="20"/>
          <w:szCs w:val="20"/>
        </w:rPr>
        <w:t>Rizaki</w:t>
      </w:r>
      <w:proofErr w:type="spellEnd"/>
      <w:r>
        <w:rPr>
          <w:rFonts w:ascii="Arial Regular" w:hAnsi="Arial Regular" w:cs="Arial Regular"/>
          <w:sz w:val="20"/>
          <w:szCs w:val="20"/>
        </w:rPr>
        <w:t xml:space="preserve"> and </w:t>
      </w:r>
      <w:proofErr w:type="spellStart"/>
      <w:r>
        <w:rPr>
          <w:rFonts w:ascii="Arial Regular" w:hAnsi="Arial Regular" w:cs="Arial Regular"/>
          <w:sz w:val="20"/>
          <w:szCs w:val="20"/>
        </w:rPr>
        <w:t>Sudarno</w:t>
      </w:r>
      <w:proofErr w:type="spellEnd"/>
      <w:r>
        <w:rPr>
          <w:rFonts w:ascii="Arial Regular" w:hAnsi="Arial Regular" w:cs="Arial Regular"/>
          <w:sz w:val="20"/>
          <w:szCs w:val="20"/>
        </w:rPr>
        <w:t xml:space="preserve"> (2020), these results support the growing notion that consumers of financial statements </w:t>
      </w:r>
      <w:proofErr w:type="spellStart"/>
      <w:r>
        <w:rPr>
          <w:rFonts w:ascii="Arial Regular" w:hAnsi="Arial Regular" w:cs="Arial Regular"/>
          <w:sz w:val="20"/>
          <w:szCs w:val="20"/>
        </w:rPr>
        <w:t>favour</w:t>
      </w:r>
      <w:proofErr w:type="spellEnd"/>
      <w:r>
        <w:rPr>
          <w:rFonts w:ascii="Arial Regular" w:hAnsi="Arial Regular" w:cs="Arial Regular"/>
          <w:sz w:val="20"/>
          <w:szCs w:val="20"/>
        </w:rPr>
        <w:t xml:space="preserve"> financial reports audited by the Big Four because they are thoug</w:t>
      </w:r>
      <w:r>
        <w:rPr>
          <w:rFonts w:ascii="Arial Regular" w:hAnsi="Arial Regular" w:cs="Arial Regular"/>
          <w:sz w:val="20"/>
          <w:szCs w:val="20"/>
        </w:rPr>
        <w:t>ht to be of higher quality than those from other public accounting firms.</w:t>
      </w:r>
    </w:p>
    <w:p w14:paraId="15A30D0C" w14:textId="77777777" w:rsidR="00687DE2" w:rsidRDefault="00B1168E">
      <w:pPr>
        <w:pStyle w:val="NormalWeb"/>
        <w:ind w:firstLineChars="250" w:firstLine="500"/>
        <w:jc w:val="both"/>
        <w:rPr>
          <w:rFonts w:ascii="Arial Regular" w:hAnsi="Arial Regular" w:cs="Arial Regular"/>
          <w:color w:val="000000"/>
          <w:sz w:val="20"/>
          <w:szCs w:val="20"/>
        </w:rPr>
      </w:pPr>
      <w:sdt>
        <w:sdtPr>
          <w:rPr>
            <w:rFonts w:ascii="Arial Regular" w:hAnsi="Arial Regular" w:cs="Arial Regular"/>
            <w:sz w:val="20"/>
            <w:szCs w:val="20"/>
          </w:rPr>
          <w:tag w:val="MENDELEY_CITATION_v3_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"/>
          <w:id w:val="465429577"/>
          <w:placeholder>
            <w:docPart w:val="DefaultPlaceholder_-1854013440"/>
          </w:placeholder>
        </w:sdtPr>
        <w:sdtEndPr/>
        <w:sdtContent>
          <w:r>
            <w:rPr>
              <w:rFonts w:eastAsia="Times New Roman"/>
              <w:sz w:val="20"/>
            </w:rPr>
            <w:t>(</w:t>
          </w:r>
          <w:proofErr w:type="spellStart"/>
          <w:r>
            <w:rPr>
              <w:rFonts w:eastAsia="Times New Roman"/>
              <w:sz w:val="20"/>
            </w:rPr>
            <w:t>Nindita</w:t>
          </w:r>
          <w:proofErr w:type="spellEnd"/>
          <w:r>
            <w:rPr>
              <w:rFonts w:eastAsia="Times New Roman"/>
              <w:sz w:val="20"/>
            </w:rPr>
            <w:t xml:space="preserve"> &amp; </w:t>
          </w:r>
          <w:proofErr w:type="spellStart"/>
          <w:r>
            <w:rPr>
              <w:rFonts w:eastAsia="Times New Roman"/>
              <w:sz w:val="20"/>
            </w:rPr>
            <w:t>Siregar</w:t>
          </w:r>
          <w:proofErr w:type="spellEnd"/>
          <w:r>
            <w:rPr>
              <w:rFonts w:eastAsia="Times New Roman"/>
              <w:sz w:val="20"/>
            </w:rPr>
            <w:t>, 2013)</w:t>
          </w:r>
        </w:sdtContent>
      </w:sdt>
      <w:r>
        <w:rPr>
          <w:rFonts w:ascii="Arial Regular" w:hAnsi="Arial Regular" w:cs="Arial Regular"/>
          <w:sz w:val="20"/>
          <w:szCs w:val="20"/>
        </w:rPr>
        <w:t xml:space="preserve"> found no significant relationship between the size of the public accounting firm and the quality of the resulting audit, and Putri, D. T., &amp; </w:t>
      </w:r>
      <w:proofErr w:type="spellStart"/>
      <w:r>
        <w:rPr>
          <w:rFonts w:ascii="Arial Regular" w:hAnsi="Arial Regular" w:cs="Arial Regular"/>
          <w:sz w:val="20"/>
          <w:szCs w:val="20"/>
        </w:rPr>
        <w:t>Nursiam</w:t>
      </w:r>
      <w:proofErr w:type="spellEnd"/>
      <w:r>
        <w:rPr>
          <w:rFonts w:ascii="Arial Regular" w:hAnsi="Arial Regular" w:cs="Arial Regular"/>
          <w:sz w:val="20"/>
          <w:szCs w:val="20"/>
        </w:rPr>
        <w:t xml:space="preserve">, N. (2021) found no relationship between auditor switching and the size of the public accounting </w:t>
      </w:r>
      <w:r>
        <w:rPr>
          <w:rFonts w:ascii="Arial Regular" w:hAnsi="Arial Regular" w:cs="Arial Regular"/>
          <w:color w:val="000000"/>
          <w:sz w:val="20"/>
          <w:szCs w:val="20"/>
        </w:rPr>
        <w:t>firm. This is inversely proportional to their findings. This is because the business would evaluate its financial standing before selecting a public accountin</w:t>
      </w:r>
      <w:r>
        <w:rPr>
          <w:rFonts w:ascii="Arial Regular" w:hAnsi="Arial Regular" w:cs="Arial Regular"/>
          <w:color w:val="000000"/>
          <w:sz w:val="20"/>
          <w:szCs w:val="20"/>
        </w:rPr>
        <w:t>g firm to audit its financial records.</w:t>
      </w:r>
    </w:p>
    <w:p w14:paraId="2B3851DD"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For this study, we will use dummy variables to group public accounting firms: companies that use the services of a big public accounting firm (the "big four") will be assigned a value of 1 (one"), and companies that u</w:t>
      </w:r>
      <w:r>
        <w:rPr>
          <w:rFonts w:ascii="Arial Regular" w:hAnsi="Arial Regular" w:cs="Arial Regular"/>
          <w:color w:val="000000"/>
          <w:sz w:val="20"/>
          <w:szCs w:val="20"/>
        </w:rPr>
        <w:t>se the services of public accounting firms other than the "big four" (the "non-big four") when auditing the financial statements they prepare will be assigned a value of 0 (zero).</w:t>
      </w:r>
    </w:p>
    <w:p w14:paraId="2AA95039"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Sustainability report</w:t>
      </w:r>
    </w:p>
    <w:p w14:paraId="3C775261"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In accordance with Financial Services Authority Regul</w:t>
      </w:r>
      <w:r>
        <w:rPr>
          <w:rFonts w:ascii="Arial Regular" w:hAnsi="Arial Regular" w:cs="Arial Regular"/>
          <w:color w:val="000000"/>
          <w:sz w:val="20"/>
          <w:szCs w:val="20"/>
        </w:rPr>
        <w:t>ation Number 51 of 2017, the company's social, economic, and social activities that align with the concept of sustainable development are included in the annual report that is prepared using company data on both financial and non-financial performance. Pre</w:t>
      </w:r>
      <w:r>
        <w:rPr>
          <w:rFonts w:ascii="Arial Regular" w:hAnsi="Arial Regular" w:cs="Arial Regular"/>
          <w:color w:val="000000"/>
          <w:sz w:val="20"/>
          <w:szCs w:val="20"/>
        </w:rPr>
        <w:t>senting sustainable reports issued by companies listed on the Indonesia Stock Exchange can be done in two different ways because the Indonesian government currently has no standard guidelines. Some companies combine their audited financial statements and s</w:t>
      </w:r>
      <w:r>
        <w:rPr>
          <w:rFonts w:ascii="Arial Regular" w:hAnsi="Arial Regular" w:cs="Arial Regular"/>
          <w:color w:val="000000"/>
          <w:sz w:val="20"/>
          <w:szCs w:val="20"/>
        </w:rPr>
        <w:t>ustainable financial reports into a single report, while others keep the two reports separate.</w:t>
      </w:r>
    </w:p>
    <w:p w14:paraId="48A02B81"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olor w:val="000000"/>
          <w:sz w:val="20"/>
          <w:szCs w:val="20"/>
        </w:rPr>
        <w:t>According to the Financial Services Authority Circular Letter (SEOJK) Number 16 of 2021, all businesses that have registered on a capital market—in this case, th</w:t>
      </w:r>
      <w:r>
        <w:rPr>
          <w:rFonts w:ascii="Arial Regular" w:hAnsi="Arial Regular"/>
          <w:color w:val="000000"/>
          <w:sz w:val="20"/>
          <w:szCs w:val="20"/>
        </w:rPr>
        <w:t xml:space="preserve">e Indonesia Stock Exchange—are required to publish a sustainability report with the goal of </w:t>
      </w:r>
      <w:proofErr w:type="spellStart"/>
      <w:r>
        <w:rPr>
          <w:rFonts w:ascii="Arial Regular" w:hAnsi="Arial Regular"/>
          <w:color w:val="000000"/>
          <w:sz w:val="20"/>
          <w:szCs w:val="20"/>
        </w:rPr>
        <w:t>maximising</w:t>
      </w:r>
      <w:proofErr w:type="spellEnd"/>
      <w:r>
        <w:rPr>
          <w:rFonts w:ascii="Arial Regular" w:hAnsi="Arial Regular"/>
          <w:color w:val="000000"/>
          <w:sz w:val="20"/>
          <w:szCs w:val="20"/>
        </w:rPr>
        <w:t xml:space="preserve"> sustainable investment in Indonesia. Accordingly, this study will use a dummy variable, assigning a value of 1 (one) to businesses that provide sustainab</w:t>
      </w:r>
      <w:r>
        <w:rPr>
          <w:rFonts w:ascii="Arial Regular" w:hAnsi="Arial Regular"/>
          <w:color w:val="000000"/>
          <w:sz w:val="20"/>
          <w:szCs w:val="20"/>
        </w:rPr>
        <w:t>ility reports and a rating of 0 (zero) to those that don't.</w:t>
      </w:r>
    </w:p>
    <w:p w14:paraId="43B1CCA7"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Gross Profit MArgin</w:t>
      </w:r>
    </w:p>
    <w:p w14:paraId="170505E0" w14:textId="77777777" w:rsidR="00687DE2" w:rsidRDefault="00687DE2">
      <w:pPr>
        <w:pStyle w:val="AbstHead"/>
        <w:spacing w:after="0"/>
        <w:ind w:left="111"/>
        <w:jc w:val="both"/>
        <w:rPr>
          <w:rFonts w:ascii="Arial Bold" w:hAnsi="Arial Bold" w:cs="Arial Bold"/>
          <w:bCs/>
          <w:sz w:val="20"/>
        </w:rPr>
      </w:pPr>
    </w:p>
    <w:p w14:paraId="36BF28BC" w14:textId="77777777" w:rsidR="00687DE2" w:rsidRDefault="00B1168E">
      <w:pPr>
        <w:jc w:val="both"/>
        <w:rPr>
          <w:rFonts w:ascii="Arial Regular" w:hAnsi="Arial Regular" w:cs="Arial Regular"/>
        </w:rPr>
      </w:pPr>
      <w:r>
        <w:rPr>
          <w:sz w:val="24"/>
          <w:szCs w:val="24"/>
        </w:rPr>
        <w:t xml:space="preserve">  </w:t>
      </w:r>
      <w:r>
        <w:rPr>
          <w:rFonts w:ascii="Arial Regular" w:hAnsi="Arial Regular" w:cs="Arial Regular"/>
        </w:rPr>
        <w:t xml:space="preserve">      The set of highly significant profitability ratios includes this one in determining how well the firm is doing at making money out of its operations and in predictin</w:t>
      </w:r>
      <w:r>
        <w:rPr>
          <w:rFonts w:ascii="Arial Regular" w:hAnsi="Arial Regular" w:cs="Arial Regular"/>
        </w:rPr>
        <w:t>g whether it will survive. Thus, it may be said that this ratio can forecast how profitable and efficient a company's business operations are in producing gross profit:</w:t>
      </w:r>
    </w:p>
    <w:p w14:paraId="5E8A7D47" w14:textId="77777777" w:rsidR="00687DE2" w:rsidRDefault="00687DE2">
      <w:pPr>
        <w:jc w:val="both"/>
        <w:rPr>
          <w:rFonts w:ascii="Arial Regular" w:hAnsi="Arial Regular" w:cs="Arial Regular"/>
        </w:rPr>
      </w:pPr>
    </w:p>
    <w:p w14:paraId="01F4E37D"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0288" behindDoc="0" locked="0" layoutInCell="1" allowOverlap="1" wp14:anchorId="03F4A1C8" wp14:editId="5AEF2A54">
                <wp:simplePos x="0" y="0"/>
                <wp:positionH relativeFrom="column">
                  <wp:posOffset>615315</wp:posOffset>
                </wp:positionH>
                <wp:positionV relativeFrom="paragraph">
                  <wp:posOffset>38735</wp:posOffset>
                </wp:positionV>
                <wp:extent cx="3909695" cy="478790"/>
                <wp:effectExtent l="12700" t="12700" r="14605" b="16510"/>
                <wp:wrapNone/>
                <wp:docPr id="3" name="Rounded Rectangle 3"/>
                <wp:cNvGraphicFramePr/>
                <a:graphic xmlns:a="http://schemas.openxmlformats.org/drawingml/2006/main">
                  <a:graphicData uri="http://schemas.microsoft.com/office/word/2010/wordprocessingShape">
                    <wps:wsp>
                      <wps:cNvSpPr/>
                      <wps:spPr>
                        <a:xfrm>
                          <a:off x="1095375" y="4821555"/>
                          <a:ext cx="3909695" cy="47879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2F56169D" w14:textId="77777777" w:rsidR="00687DE2" w:rsidRDefault="00687DE2">
                            <w:pPr>
                              <w:jc w:val="center"/>
                            </w:pPr>
                          </w:p>
                          <w:p w14:paraId="14AE3EF5" w14:textId="77777777" w:rsidR="00687DE2" w:rsidRDefault="00687DE2">
                            <w:pPr>
                              <w:jc w:val="center"/>
                            </w:pPr>
                          </w:p>
                          <w:p w14:paraId="7BB20023" w14:textId="77777777" w:rsidR="00687DE2" w:rsidRDefault="00687DE2">
                            <w:pPr>
                              <w:jc w:val="center"/>
                            </w:pPr>
                          </w:p>
                          <w:p w14:paraId="76BC3553" w14:textId="77777777" w:rsidR="00687DE2" w:rsidRDefault="00687DE2">
                            <w:pPr>
                              <w:jc w:val="center"/>
                            </w:pPr>
                          </w:p>
                          <w:p w14:paraId="2D569FAC" w14:textId="77777777" w:rsidR="00687DE2" w:rsidRDefault="00687D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3F4A1C8" id="Rounded Rectangle 3" o:spid="_x0000_s1026" style="position:absolute;margin-left:48.45pt;margin-top:3.05pt;width:307.85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" filled="f" strokecolor="#365f91 [2404]" strokeweight="2pt">
                <v:textbox>
                  <w:txbxContent>
                    <w:p w14:paraId="2F56169D" w14:textId="77777777" w:rsidR="00687DE2" w:rsidRDefault="00687DE2">
                      <w:pPr>
                        <w:jc w:val="center"/>
                      </w:pPr>
                    </w:p>
                    <w:p w14:paraId="14AE3EF5" w14:textId="77777777" w:rsidR="00687DE2" w:rsidRDefault="00687DE2">
                      <w:pPr>
                        <w:jc w:val="center"/>
                      </w:pPr>
                    </w:p>
                    <w:p w14:paraId="7BB20023" w14:textId="77777777" w:rsidR="00687DE2" w:rsidRDefault="00687DE2">
                      <w:pPr>
                        <w:jc w:val="center"/>
                      </w:pPr>
                    </w:p>
                    <w:p w14:paraId="76BC3553" w14:textId="77777777" w:rsidR="00687DE2" w:rsidRDefault="00687DE2">
                      <w:pPr>
                        <w:jc w:val="center"/>
                      </w:pPr>
                    </w:p>
                    <w:p w14:paraId="2D569FAC" w14:textId="77777777" w:rsidR="00687DE2" w:rsidRDefault="00687DE2">
                      <w:pPr>
                        <w:jc w:val="center"/>
                      </w:pPr>
                    </w:p>
                  </w:txbxContent>
                </v:textbox>
              </v:roundrect>
            </w:pict>
          </mc:Fallback>
        </mc:AlternateContent>
      </w:r>
    </w:p>
    <w:p w14:paraId="2AC7EBF5" w14:textId="77777777" w:rsidR="00687DE2" w:rsidRDefault="00B1168E">
      <w:pPr>
        <w:ind w:left="840" w:firstLine="420"/>
        <w:rPr>
          <w:rFonts w:ascii="Arial Regular" w:hAnsi="Arial Regular" w:cs="Arial Regular"/>
        </w:rPr>
      </w:pPr>
      <w:r>
        <w:rPr>
          <w:rFonts w:ascii="Times New Roman Regular" w:hAnsi="Times New Roman Regular" w:cs="Times New Roman Regular"/>
          <w:b/>
          <w:bCs/>
          <w:i/>
          <w:iCs/>
          <w:sz w:val="22"/>
          <w:szCs w:val="22"/>
        </w:rPr>
        <w:t xml:space="preserve"> </w:t>
      </w:r>
      <w:r>
        <w:rPr>
          <w:rFonts w:ascii="Arial Regular" w:hAnsi="Arial Regular" w:cs="Arial Regular"/>
          <w:b/>
          <w:bCs/>
          <w:i/>
          <w:iCs/>
        </w:rPr>
        <w:t xml:space="preserve">Gross profit margin </w:t>
      </w:r>
      <w:r>
        <w:rPr>
          <w:rFonts w:ascii="Arial Regular" w:hAnsi="Arial Regular" w:cs="Arial Regular"/>
          <w:b/>
          <w:bCs/>
        </w:rPr>
        <w:t>(GPM) =</w:t>
      </w:r>
      <m:oMath>
        <m:f>
          <m:fPr>
            <m:ctrlPr>
              <w:rPr>
                <w:rFonts w:ascii="DejaVu Math TeX Gyre" w:hAnsi="DejaVu Math TeX Gyre" w:cs="Arial Regular"/>
                <w:b/>
                <w:bCs/>
              </w:rPr>
            </m:ctrlPr>
          </m:fPr>
          <m:num>
            <m:r>
              <m:rPr>
                <m:sty m:val="b"/>
              </m:rPr>
              <w:rPr>
                <w:rFonts w:ascii="DejaVu Math TeX Gyre" w:hAnsi="DejaVu Math TeX Gyre" w:cs="Arial Regular"/>
              </w:rPr>
              <m:t>Gross</m:t>
            </m:r>
            <m:r>
              <m:rPr>
                <m:sty m:val="b"/>
              </m:rPr>
              <w:rPr>
                <w:rFonts w:ascii="DejaVu Math TeX Gyre" w:hAnsi="DejaVu Math TeX Gyre" w:cs="Arial Regular"/>
              </w:rPr>
              <m:t xml:space="preserve"> </m:t>
            </m:r>
            <m:r>
              <m:rPr>
                <m:sty m:val="b"/>
              </m:rPr>
              <w:rPr>
                <w:rFonts w:ascii="DejaVu Math TeX Gyre" w:hAnsi="DejaVu Math TeX Gyre" w:cs="Arial Regular"/>
              </w:rPr>
              <m:t>Profit</m:t>
            </m:r>
          </m:num>
          <m:den>
            <m:r>
              <m:rPr>
                <m:sty m:val="b"/>
              </m:rPr>
              <w:rPr>
                <w:rFonts w:ascii="DejaVu Math TeX Gyre" w:hAnsi="DejaVu Math TeX Gyre" w:cs="Arial Regular"/>
              </w:rPr>
              <m:t>Revenue</m:t>
            </m:r>
          </m:den>
        </m:f>
      </m:oMath>
      <w:r>
        <w:rPr>
          <w:rFonts w:ascii="Arial Regular" w:hAnsi="Arial Regular" w:cs="Arial Regular"/>
        </w:rPr>
        <w:t xml:space="preserve"> x 100%</w:t>
      </w:r>
    </w:p>
    <w:p w14:paraId="52B3DCAA" w14:textId="77777777" w:rsidR="00687DE2" w:rsidRDefault="00687DE2">
      <w:pPr>
        <w:rPr>
          <w:rFonts w:ascii="Times New Roman Regular" w:hAnsi="Times New Roman Regular"/>
          <w:sz w:val="24"/>
          <w:szCs w:val="24"/>
        </w:rPr>
      </w:pPr>
    </w:p>
    <w:p w14:paraId="59253B40" w14:textId="77777777" w:rsidR="00687DE2" w:rsidRDefault="00687DE2">
      <w:pPr>
        <w:rPr>
          <w:rFonts w:ascii="Times New Roman Regular" w:hAnsi="Times New Roman Regular"/>
          <w:sz w:val="24"/>
          <w:szCs w:val="24"/>
        </w:rPr>
      </w:pPr>
    </w:p>
    <w:p w14:paraId="045EE9C2"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w:t>
      </w:r>
      <w:r>
        <w:rPr>
          <w:rFonts w:ascii="Arial Bold" w:hAnsi="Arial Bold"/>
          <w:bCs/>
          <w:sz w:val="20"/>
        </w:rPr>
        <w:t>Corporate tax turn over ratio (CTTOR)</w:t>
      </w:r>
    </w:p>
    <w:p w14:paraId="483A7358" w14:textId="77777777" w:rsidR="00687DE2" w:rsidRDefault="00687DE2">
      <w:pPr>
        <w:pStyle w:val="AbstHead"/>
        <w:spacing w:after="0"/>
        <w:ind w:left="111"/>
        <w:jc w:val="both"/>
        <w:rPr>
          <w:rFonts w:ascii="Arial Bold" w:hAnsi="Arial Bold" w:cs="Arial Bold"/>
          <w:bCs/>
          <w:sz w:val="20"/>
        </w:rPr>
      </w:pPr>
    </w:p>
    <w:p w14:paraId="0567D5D5" w14:textId="77777777" w:rsidR="00687DE2" w:rsidRDefault="00B1168E">
      <w:pPr>
        <w:ind w:firstLineChars="250" w:firstLine="500"/>
        <w:jc w:val="both"/>
        <w:rPr>
          <w:sz w:val="24"/>
          <w:szCs w:val="24"/>
        </w:rPr>
      </w:pPr>
      <w:r>
        <w:rPr>
          <w:rFonts w:ascii="Arial Regular" w:hAnsi="Arial Regular" w:cs="Arial Regular"/>
        </w:rPr>
        <w:t>A company's tax efficiency must be estimated using the corporate tax turnover ratio (CTTOR) in order to determine the amount of tax payable owed and to forecast the degree of compliance of an entity or company with</w:t>
      </w:r>
      <w:r>
        <w:rPr>
          <w:rFonts w:ascii="Arial Regular" w:hAnsi="Arial Regular" w:cs="Arial Regular"/>
        </w:rPr>
        <w:t xml:space="preserve"> the appropriateness of tax practices implemented in comparison to applicable tax regulations. This allows the company to compare its capabilities with those of its competitors. The formula used is:</w:t>
      </w:r>
    </w:p>
    <w:p w14:paraId="7B82FE34" w14:textId="77777777" w:rsidR="00687DE2" w:rsidRDefault="00B1168E">
      <w:pPr>
        <w:pStyle w:val="NormalWeb"/>
        <w:spacing w:beforeAutospacing="0" w:afterAutospacing="0"/>
        <w:rPr>
          <w:sz w:val="22"/>
          <w:szCs w:val="22"/>
          <w:lang w:bidi="ar"/>
        </w:rPr>
      </w:pPr>
      <w:r>
        <w:rPr>
          <w:noProof/>
        </w:rPr>
        <mc:AlternateContent>
          <mc:Choice Requires="wps">
            <w:drawing>
              <wp:anchor distT="0" distB="0" distL="114300" distR="114300" simplePos="0" relativeHeight="251661312" behindDoc="0" locked="0" layoutInCell="1" allowOverlap="1" wp14:anchorId="2437CCF5" wp14:editId="0BBE90D3">
                <wp:simplePos x="0" y="0"/>
                <wp:positionH relativeFrom="column">
                  <wp:posOffset>259715</wp:posOffset>
                </wp:positionH>
                <wp:positionV relativeFrom="paragraph">
                  <wp:posOffset>98425</wp:posOffset>
                </wp:positionV>
                <wp:extent cx="4185920" cy="474345"/>
                <wp:effectExtent l="12700" t="12700" r="17780" b="20955"/>
                <wp:wrapNone/>
                <wp:docPr id="4" name="Rounded Rectangle 4"/>
                <wp:cNvGraphicFramePr/>
                <a:graphic xmlns:a="http://schemas.openxmlformats.org/drawingml/2006/main">
                  <a:graphicData uri="http://schemas.microsoft.com/office/word/2010/wordprocessingShape">
                    <wps:wsp>
                      <wps:cNvSpPr/>
                      <wps:spPr>
                        <a:xfrm>
                          <a:off x="0" y="0"/>
                          <a:ext cx="4185920" cy="474345"/>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689DD08" id="Rounded Rectangle 4" o:spid="_x0000_s1026" style="position:absolute;margin-left:20.45pt;margin-top:7.75pt;width:329.6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" filled="f" strokecolor="#365f91 [2404]" strokeweight="2pt"/>
            </w:pict>
          </mc:Fallback>
        </mc:AlternateContent>
      </w:r>
    </w:p>
    <w:p w14:paraId="6B5F0913" w14:textId="77777777" w:rsidR="00687DE2" w:rsidRDefault="00B1168E">
      <w:pPr>
        <w:pStyle w:val="NormalWeb"/>
        <w:spacing w:beforeAutospacing="0" w:afterAutospacing="0"/>
        <w:ind w:firstLineChars="360" w:firstLine="723"/>
        <w:rPr>
          <w:rFonts w:ascii="Arial Regular" w:hAnsi="Arial Regular" w:cs="Arial Regular"/>
          <w:sz w:val="20"/>
          <w:szCs w:val="20"/>
          <w:lang w:bidi="ar"/>
        </w:rPr>
      </w:pPr>
      <w:r>
        <w:rPr>
          <w:rFonts w:ascii="Arial Regular" w:hAnsi="Arial Regular" w:cs="Arial Regular"/>
          <w:b/>
          <w:bCs/>
          <w:i/>
          <w:iCs/>
          <w:sz w:val="20"/>
          <w:szCs w:val="20"/>
        </w:rPr>
        <w:t xml:space="preserve">Corporate tax </w:t>
      </w:r>
      <w:proofErr w:type="spellStart"/>
      <w:proofErr w:type="gramStart"/>
      <w:r>
        <w:rPr>
          <w:rFonts w:ascii="Arial Regular" w:hAnsi="Arial Regular" w:cs="Arial Regular"/>
          <w:b/>
          <w:bCs/>
          <w:i/>
          <w:iCs/>
          <w:sz w:val="20"/>
          <w:szCs w:val="20"/>
        </w:rPr>
        <w:t>turn</w:t>
      </w:r>
      <w:proofErr w:type="gramEnd"/>
      <w:r>
        <w:rPr>
          <w:rFonts w:ascii="Arial Regular" w:hAnsi="Arial Regular" w:cs="Arial Regular"/>
          <w:b/>
          <w:bCs/>
          <w:i/>
          <w:iCs/>
          <w:sz w:val="20"/>
          <w:szCs w:val="20"/>
        </w:rPr>
        <w:t xml:space="preserve"> over</w:t>
      </w:r>
      <w:proofErr w:type="spellEnd"/>
      <w:r>
        <w:rPr>
          <w:rFonts w:ascii="Arial Regular" w:hAnsi="Arial Regular" w:cs="Arial Regular"/>
          <w:b/>
          <w:bCs/>
          <w:i/>
          <w:iCs/>
          <w:sz w:val="20"/>
          <w:szCs w:val="20"/>
        </w:rPr>
        <w:t xml:space="preserve"> ratio </w:t>
      </w:r>
      <w:r>
        <w:rPr>
          <w:rFonts w:ascii="Arial Regular" w:hAnsi="Arial Regular" w:cs="Arial Regular"/>
          <w:b/>
          <w:bCs/>
          <w:sz w:val="20"/>
          <w:szCs w:val="20"/>
        </w:rPr>
        <w:t>(CTTOR) =</w:t>
      </w:r>
      <m:oMath>
        <m:f>
          <m:fPr>
            <m:ctrlPr>
              <w:rPr>
                <w:rFonts w:ascii="DejaVu Math TeX Gyre" w:hAnsi="DejaVu Math TeX Gyre" w:cs="Arial Regular"/>
                <w:b/>
                <w:bCs/>
                <w:sz w:val="20"/>
                <w:szCs w:val="20"/>
              </w:rPr>
            </m:ctrlPr>
          </m:fPr>
          <m:num>
            <m:r>
              <m:rPr>
                <m:sty m:val="b"/>
              </m:rPr>
              <w:rPr>
                <w:rFonts w:ascii="DejaVu Math TeX Gyre" w:hAnsi="DejaVu Math TeX Gyre" w:cs="Arial Regular"/>
                <w:sz w:val="20"/>
                <w:szCs w:val="20"/>
              </w:rPr>
              <m:t>PPh</m:t>
            </m:r>
            <m:r>
              <m:rPr>
                <m:sty m:val="b"/>
              </m:rPr>
              <w:rPr>
                <w:rFonts w:ascii="DejaVu Math TeX Gyre" w:hAnsi="DejaVu Math TeX Gyre" w:cs="Arial Regular"/>
                <w:sz w:val="20"/>
                <w:szCs w:val="20"/>
              </w:rPr>
              <m:t xml:space="preserve"> </m:t>
            </m:r>
            <m:r>
              <m:rPr>
                <m:sty m:val="b"/>
              </m:rPr>
              <w:rPr>
                <w:rFonts w:ascii="DejaVu Math TeX Gyre" w:hAnsi="DejaVu Math TeX Gyre" w:cs="Arial Regular"/>
                <w:sz w:val="20"/>
                <w:szCs w:val="20"/>
              </w:rPr>
              <m:t>teru</m:t>
            </m:r>
            <m:r>
              <m:rPr>
                <m:sty m:val="b"/>
              </m:rPr>
              <w:rPr>
                <w:rFonts w:ascii="DejaVu Math TeX Gyre" w:hAnsi="DejaVu Math TeX Gyre" w:cs="Arial Regular"/>
                <w:sz w:val="20"/>
                <w:szCs w:val="20"/>
              </w:rPr>
              <m:t>t</m:t>
            </m:r>
            <m:r>
              <m:rPr>
                <m:sty m:val="b"/>
              </m:rPr>
              <w:rPr>
                <w:rFonts w:ascii="DejaVu Math TeX Gyre" w:hAnsi="DejaVu Math TeX Gyre" w:cs="Arial Regular"/>
                <w:sz w:val="20"/>
                <w:szCs w:val="20"/>
              </w:rPr>
              <m:t>ang</m:t>
            </m:r>
            <m:r>
              <m:rPr>
                <m:sty m:val="b"/>
              </m:rPr>
              <w:rPr>
                <w:rFonts w:ascii="DejaVu Math TeX Gyre" w:hAnsi="DejaVu Math TeX Gyre" w:cs="Arial Regular"/>
                <w:sz w:val="20"/>
                <w:szCs w:val="20"/>
              </w:rPr>
              <m:t xml:space="preserve"> </m:t>
            </m:r>
          </m:num>
          <m:den>
            <m:r>
              <m:rPr>
                <m:sty m:val="b"/>
              </m:rPr>
              <w:rPr>
                <w:rFonts w:ascii="DejaVu Math TeX Gyre" w:hAnsi="DejaVu Math TeX Gyre" w:cs="Arial Regular"/>
                <w:sz w:val="20"/>
                <w:szCs w:val="20"/>
              </w:rPr>
              <m:t>Pendapatan</m:t>
            </m:r>
            <m:r>
              <m:rPr>
                <m:sty m:val="b"/>
              </m:rPr>
              <w:rPr>
                <w:rFonts w:ascii="DejaVu Math TeX Gyre" w:hAnsi="DejaVu Math TeX Gyre" w:cs="Arial Regular"/>
                <w:sz w:val="20"/>
                <w:szCs w:val="20"/>
              </w:rPr>
              <m:t xml:space="preserve"> </m:t>
            </m:r>
          </m:den>
        </m:f>
      </m:oMath>
      <w:r>
        <w:rPr>
          <w:rFonts w:ascii="Arial Regular" w:hAnsi="Arial Regular" w:cs="Arial Regular"/>
          <w:b/>
          <w:bCs/>
          <w:sz w:val="20"/>
          <w:szCs w:val="20"/>
        </w:rPr>
        <w:t xml:space="preserve"> x 100%</w:t>
      </w:r>
    </w:p>
    <w:p w14:paraId="37EC053B" w14:textId="77777777" w:rsidR="00687DE2" w:rsidRDefault="00687DE2">
      <w:pPr>
        <w:ind w:firstLineChars="300" w:firstLine="720"/>
        <w:jc w:val="both"/>
        <w:rPr>
          <w:sz w:val="24"/>
          <w:szCs w:val="24"/>
        </w:rPr>
      </w:pPr>
    </w:p>
    <w:p w14:paraId="2AD0DA0B" w14:textId="77777777" w:rsidR="005C51D5" w:rsidRDefault="005C51D5">
      <w:pPr>
        <w:ind w:firstLineChars="300" w:firstLine="720"/>
        <w:jc w:val="both"/>
        <w:rPr>
          <w:sz w:val="24"/>
          <w:szCs w:val="24"/>
        </w:rPr>
      </w:pPr>
    </w:p>
    <w:p w14:paraId="74916E7D"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lastRenderedPageBreak/>
        <w:t xml:space="preserve">  </w:t>
      </w:r>
      <w:r>
        <w:rPr>
          <w:rFonts w:ascii="Arial Bold" w:hAnsi="Arial Bold"/>
          <w:bCs/>
          <w:sz w:val="20"/>
        </w:rPr>
        <w:t>Previous Research</w:t>
      </w:r>
    </w:p>
    <w:p w14:paraId="0A48AB3F" w14:textId="77777777" w:rsidR="00687DE2" w:rsidRDefault="00687DE2">
      <w:pPr>
        <w:pStyle w:val="AbstHead"/>
        <w:spacing w:after="0"/>
        <w:ind w:left="111"/>
        <w:jc w:val="both"/>
        <w:rPr>
          <w:rFonts w:ascii="Arial Bold" w:hAnsi="Arial Bold" w:cs="Arial Bold"/>
          <w:bCs/>
          <w:sz w:val="20"/>
        </w:rPr>
      </w:pPr>
    </w:p>
    <w:p w14:paraId="20DE50DA" w14:textId="77777777" w:rsidR="00687DE2" w:rsidRDefault="00687DE2">
      <w:pPr>
        <w:pStyle w:val="AbstHead"/>
        <w:spacing w:after="0"/>
        <w:ind w:left="111"/>
        <w:jc w:val="both"/>
        <w:rPr>
          <w:rFonts w:ascii="Arial Bold" w:hAnsi="Arial Bold" w:cs="Arial Bold"/>
          <w:bCs/>
          <w:sz w:val="20"/>
        </w:rPr>
      </w:pPr>
    </w:p>
    <w:p w14:paraId="0BD0812F" w14:textId="77777777" w:rsidR="00687DE2" w:rsidRDefault="00B1168E">
      <w:pPr>
        <w:jc w:val="center"/>
        <w:rPr>
          <w:rFonts w:ascii="Arial Regular" w:hAnsi="Arial Regular" w:cs="Arial Regular"/>
        </w:rPr>
      </w:pPr>
      <w:r>
        <w:rPr>
          <w:rFonts w:ascii="Arial Regular" w:hAnsi="Arial Regular" w:cs="Arial Regular"/>
          <w:b/>
          <w:lang w:val="id-ID"/>
        </w:rPr>
        <w:t>Table 1. Previous Research</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320"/>
        <w:gridCol w:w="2384"/>
        <w:gridCol w:w="2153"/>
      </w:tblGrid>
      <w:tr w:rsidR="00687DE2" w14:paraId="72502D85" w14:textId="77777777">
        <w:trPr>
          <w:tblHeader/>
          <w:jc w:val="center"/>
        </w:trPr>
        <w:tc>
          <w:tcPr>
            <w:tcW w:w="318" w:type="pct"/>
            <w:vAlign w:val="center"/>
          </w:tcPr>
          <w:p w14:paraId="58F88E36" w14:textId="77777777" w:rsidR="00687DE2" w:rsidRDefault="00B1168E">
            <w:pPr>
              <w:jc w:val="center"/>
              <w:rPr>
                <w:rFonts w:ascii="Arial Regular" w:hAnsi="Arial Regular" w:cs="Arial Regular"/>
                <w:b/>
                <w:lang w:val="id-ID"/>
              </w:rPr>
            </w:pPr>
            <w:r>
              <w:rPr>
                <w:rFonts w:ascii="Arial Regular" w:hAnsi="Arial Regular" w:cs="Arial Regular"/>
                <w:b/>
                <w:lang w:val="id-ID"/>
              </w:rPr>
              <w:t>No.</w:t>
            </w:r>
          </w:p>
        </w:tc>
        <w:tc>
          <w:tcPr>
            <w:tcW w:w="1978" w:type="pct"/>
            <w:vAlign w:val="center"/>
          </w:tcPr>
          <w:p w14:paraId="527498EA" w14:textId="77777777" w:rsidR="00687DE2" w:rsidRDefault="00687DE2">
            <w:pPr>
              <w:jc w:val="center"/>
              <w:rPr>
                <w:rFonts w:ascii="Arial Regular" w:hAnsi="Arial Regular" w:cs="Arial Regular"/>
                <w:b/>
                <w:lang w:val="id-ID"/>
              </w:rPr>
            </w:pPr>
          </w:p>
          <w:p w14:paraId="5E1B270B" w14:textId="77777777" w:rsidR="00687DE2" w:rsidRDefault="00B1168E">
            <w:pPr>
              <w:jc w:val="center"/>
              <w:rPr>
                <w:rFonts w:ascii="Arial Regular" w:hAnsi="Arial Regular" w:cs="Arial Regular"/>
                <w:b/>
                <w:lang w:val="id-ID"/>
              </w:rPr>
            </w:pPr>
            <w:r>
              <w:rPr>
                <w:rFonts w:ascii="Arial Regular" w:hAnsi="Arial Regular" w:cs="Arial Regular"/>
                <w:b/>
                <w:lang w:val="id-ID"/>
              </w:rPr>
              <w:t>Title, Researcher Name, and Year of Literature</w:t>
            </w:r>
          </w:p>
          <w:p w14:paraId="52B5A943" w14:textId="77777777" w:rsidR="00687DE2" w:rsidRDefault="00687DE2">
            <w:pPr>
              <w:jc w:val="center"/>
              <w:rPr>
                <w:rFonts w:ascii="Arial Regular" w:hAnsi="Arial Regular" w:cs="Arial Regular"/>
                <w:b/>
                <w:lang w:val="id-ID"/>
              </w:rPr>
            </w:pPr>
          </w:p>
        </w:tc>
        <w:tc>
          <w:tcPr>
            <w:tcW w:w="1420" w:type="pct"/>
            <w:vAlign w:val="center"/>
          </w:tcPr>
          <w:p w14:paraId="1E2B4822" w14:textId="77777777" w:rsidR="00687DE2" w:rsidRDefault="00B1168E">
            <w:pPr>
              <w:jc w:val="center"/>
              <w:rPr>
                <w:rFonts w:ascii="Arial Regular" w:hAnsi="Arial Regular" w:cs="Arial Regular"/>
                <w:b/>
                <w:lang w:val="id-ID"/>
              </w:rPr>
            </w:pPr>
            <w:r>
              <w:rPr>
                <w:rFonts w:ascii="Arial Regular" w:hAnsi="Arial Regular" w:cs="Arial Regular"/>
                <w:b/>
                <w:lang w:val="id-ID"/>
              </w:rPr>
              <w:t>Research Variables</w:t>
            </w:r>
          </w:p>
        </w:tc>
        <w:tc>
          <w:tcPr>
            <w:tcW w:w="1282" w:type="pct"/>
            <w:vAlign w:val="center"/>
          </w:tcPr>
          <w:p w14:paraId="7D7AFD31" w14:textId="77777777" w:rsidR="00687DE2" w:rsidRDefault="00B1168E">
            <w:pPr>
              <w:jc w:val="center"/>
              <w:rPr>
                <w:rFonts w:ascii="Arial Regular" w:hAnsi="Arial Regular" w:cs="Arial Regular"/>
                <w:b/>
                <w:lang w:val="id-ID"/>
              </w:rPr>
            </w:pPr>
            <w:r>
              <w:rPr>
                <w:rFonts w:ascii="Arial Regular" w:hAnsi="Arial Regular" w:cs="Arial Regular"/>
                <w:b/>
                <w:lang w:val="id-ID"/>
              </w:rPr>
              <w:t xml:space="preserve">Research Results </w:t>
            </w:r>
          </w:p>
        </w:tc>
      </w:tr>
      <w:tr w:rsidR="00687DE2" w14:paraId="1DEA9E6F" w14:textId="77777777">
        <w:trPr>
          <w:jc w:val="center"/>
        </w:trPr>
        <w:tc>
          <w:tcPr>
            <w:tcW w:w="318" w:type="pct"/>
          </w:tcPr>
          <w:p w14:paraId="08EF36BD" w14:textId="77777777" w:rsidR="00687DE2" w:rsidRDefault="00B1168E">
            <w:pPr>
              <w:rPr>
                <w:rFonts w:ascii="Arial Regular" w:hAnsi="Arial Regular" w:cs="Arial Regular"/>
                <w:lang w:val="id-ID"/>
              </w:rPr>
            </w:pPr>
            <w:r>
              <w:rPr>
                <w:rFonts w:ascii="Arial Regular" w:hAnsi="Arial Regular" w:cs="Arial Regular"/>
                <w:lang w:val="id-ID"/>
              </w:rPr>
              <w:t>1.</w:t>
            </w:r>
          </w:p>
        </w:tc>
        <w:tc>
          <w:tcPr>
            <w:tcW w:w="1978" w:type="pct"/>
          </w:tcPr>
          <w:p w14:paraId="5C13A808" w14:textId="77777777" w:rsidR="00687DE2" w:rsidRDefault="00B1168E">
            <w:pPr>
              <w:rPr>
                <w:rFonts w:ascii="Arial Regular" w:hAnsi="Arial Regular" w:cs="Arial Regular"/>
              </w:rPr>
            </w:pPr>
            <w:r>
              <w:rPr>
                <w:rFonts w:ascii="Arial Regular" w:hAnsi="Arial Regular" w:cs="Arial Regular"/>
              </w:rPr>
              <w:t xml:space="preserve">The Effect of </w:t>
            </w:r>
            <w:r>
              <w:rPr>
                <w:rFonts w:ascii="Arial Regular" w:hAnsi="Arial Regular" w:cs="Arial Regular"/>
                <w:i/>
                <w:iCs/>
              </w:rPr>
              <w:t xml:space="preserve">Sustainability Report </w:t>
            </w:r>
            <w:r>
              <w:rPr>
                <w:rFonts w:ascii="Arial Regular" w:hAnsi="Arial Regular" w:cs="Arial Regular"/>
              </w:rPr>
              <w:t>on Financial Performance (Study on the</w:t>
            </w:r>
            <w:r>
              <w:rPr>
                <w:rFonts w:ascii="Arial Regular" w:hAnsi="Arial Regular" w:cs="Arial Regular"/>
              </w:rPr>
              <w:t xml:space="preserve"> Mining Sector Listed on the Indonesia Stock Exchange for the Period 2018-2022).</w:t>
            </w:r>
          </w:p>
          <w:p w14:paraId="79221DA9" w14:textId="77777777" w:rsidR="00687DE2" w:rsidRDefault="00B1168E">
            <w:pPr>
              <w:rPr>
                <w:rFonts w:ascii="Arial Regular" w:hAnsi="Arial Regular" w:cs="Arial Regular"/>
              </w:rPr>
            </w:pPr>
            <w:r>
              <w:rPr>
                <w:rFonts w:ascii="Arial Regular" w:hAnsi="Arial Regular" w:cs="Arial Regular"/>
              </w:rPr>
              <w:t>(</w:t>
            </w:r>
            <w:proofErr w:type="spellStart"/>
            <w:r>
              <w:rPr>
                <w:rFonts w:ascii="Arial Regular" w:hAnsi="Arial Regular" w:cs="Arial Regular"/>
              </w:rPr>
              <w:t>Safira</w:t>
            </w:r>
            <w:proofErr w:type="spellEnd"/>
            <w:r>
              <w:rPr>
                <w:rFonts w:ascii="Arial Regular" w:hAnsi="Arial Regular" w:cs="Arial Regular"/>
              </w:rPr>
              <w:t xml:space="preserve"> </w:t>
            </w:r>
            <w:proofErr w:type="spellStart"/>
            <w:r>
              <w:rPr>
                <w:rFonts w:ascii="Arial Regular" w:hAnsi="Arial Regular" w:cs="Arial Regular"/>
              </w:rPr>
              <w:t>Dewi</w:t>
            </w:r>
            <w:proofErr w:type="spellEnd"/>
            <w:r>
              <w:rPr>
                <w:rFonts w:ascii="Arial Regular" w:hAnsi="Arial Regular" w:cs="Arial Regular"/>
              </w:rPr>
              <w:t xml:space="preserve"> </w:t>
            </w:r>
            <w:proofErr w:type="spellStart"/>
            <w:r>
              <w:rPr>
                <w:rFonts w:ascii="Arial Regular" w:hAnsi="Arial Regular" w:cs="Arial Regular"/>
              </w:rPr>
              <w:t>Setyowati</w:t>
            </w:r>
            <w:proofErr w:type="spellEnd"/>
            <w:r>
              <w:rPr>
                <w:rFonts w:ascii="Arial Regular" w:hAnsi="Arial Regular" w:cs="Arial Regular"/>
              </w:rPr>
              <w:t xml:space="preserve"> May, </w:t>
            </w:r>
            <w:proofErr w:type="spellStart"/>
            <w:r>
              <w:rPr>
                <w:rFonts w:ascii="Arial Regular" w:hAnsi="Arial Regular" w:cs="Arial Regular"/>
              </w:rPr>
              <w:t>Mutmainnah</w:t>
            </w:r>
            <w:proofErr w:type="spellEnd"/>
            <w:r>
              <w:rPr>
                <w:rFonts w:ascii="Arial Regular" w:hAnsi="Arial Regular" w:cs="Arial Regular"/>
              </w:rPr>
              <w:t xml:space="preserve">, </w:t>
            </w:r>
            <w:proofErr w:type="spellStart"/>
            <w:r>
              <w:rPr>
                <w:rFonts w:ascii="Arial Regular" w:hAnsi="Arial Regular" w:cs="Arial Regular"/>
              </w:rPr>
              <w:t>Sahrul</w:t>
            </w:r>
            <w:proofErr w:type="spellEnd"/>
            <w:r>
              <w:rPr>
                <w:rFonts w:ascii="Arial Regular" w:hAnsi="Arial Regular" w:cs="Arial Regular"/>
              </w:rPr>
              <w:t xml:space="preserve"> Ponto, 2024)</w:t>
            </w:r>
          </w:p>
          <w:p w14:paraId="2CD8C5AC" w14:textId="77777777" w:rsidR="00687DE2" w:rsidRDefault="00687DE2">
            <w:pPr>
              <w:rPr>
                <w:rFonts w:ascii="Arial Regular" w:hAnsi="Arial Regular" w:cs="Arial Regular"/>
                <w:lang w:val="id-ID"/>
              </w:rPr>
            </w:pPr>
          </w:p>
        </w:tc>
        <w:tc>
          <w:tcPr>
            <w:tcW w:w="1420" w:type="pct"/>
          </w:tcPr>
          <w:p w14:paraId="132412E8" w14:textId="77777777" w:rsidR="00687DE2" w:rsidRDefault="00B1168E">
            <w:pPr>
              <w:rPr>
                <w:rFonts w:ascii="Arial Regular" w:hAnsi="Arial Regular" w:cs="Arial Regular"/>
              </w:rPr>
            </w:pPr>
            <w:r>
              <w:rPr>
                <w:rFonts w:ascii="Arial Regular" w:hAnsi="Arial Regular" w:cs="Arial Regular"/>
                <w:i/>
                <w:iCs/>
              </w:rPr>
              <w:t>Return on Asset</w:t>
            </w:r>
            <w:r>
              <w:rPr>
                <w:rFonts w:ascii="Arial Regular" w:hAnsi="Arial Regular" w:cs="Arial Regular"/>
              </w:rPr>
              <w:t>, Economic Dimension, Environmental Dimension, Social Dimension</w:t>
            </w:r>
          </w:p>
        </w:tc>
        <w:tc>
          <w:tcPr>
            <w:tcW w:w="1282" w:type="pct"/>
          </w:tcPr>
          <w:p w14:paraId="69F60354" w14:textId="77777777" w:rsidR="00687DE2" w:rsidRDefault="00B1168E">
            <w:pPr>
              <w:rPr>
                <w:rFonts w:ascii="Arial Regular" w:hAnsi="Arial Regular" w:cs="Arial Regular"/>
              </w:rPr>
            </w:pPr>
            <w:r>
              <w:rPr>
                <w:rFonts w:ascii="Arial Regular" w:hAnsi="Arial Regular" w:cs="Arial Regular"/>
              </w:rPr>
              <w:t>The economic dimension has a signif</w:t>
            </w:r>
            <w:r>
              <w:rPr>
                <w:rFonts w:ascii="Arial Regular" w:hAnsi="Arial Regular" w:cs="Arial Regular"/>
              </w:rPr>
              <w:t>icant effect on financial performance, while the environmental and social dimensions are the opposite, but simultaneously all dimensions of the sustainability report have an effect.</w:t>
            </w:r>
          </w:p>
        </w:tc>
      </w:tr>
      <w:tr w:rsidR="00687DE2" w14:paraId="2084571D" w14:textId="77777777">
        <w:trPr>
          <w:jc w:val="center"/>
        </w:trPr>
        <w:tc>
          <w:tcPr>
            <w:tcW w:w="318" w:type="pct"/>
          </w:tcPr>
          <w:p w14:paraId="4CCCD7E6" w14:textId="77777777" w:rsidR="00687DE2" w:rsidRDefault="00B1168E">
            <w:pPr>
              <w:jc w:val="center"/>
              <w:rPr>
                <w:rFonts w:ascii="Arial Regular" w:hAnsi="Arial Regular" w:cs="Arial Regular"/>
              </w:rPr>
            </w:pPr>
            <w:r>
              <w:rPr>
                <w:rFonts w:ascii="Arial Regular" w:hAnsi="Arial Regular" w:cs="Arial Regular"/>
              </w:rPr>
              <w:t>2</w:t>
            </w:r>
          </w:p>
        </w:tc>
        <w:tc>
          <w:tcPr>
            <w:tcW w:w="1978" w:type="pct"/>
            <w:shd w:val="clear" w:color="auto" w:fill="auto"/>
          </w:tcPr>
          <w:p w14:paraId="698368A5"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The Effect of </w:t>
            </w:r>
            <w:r>
              <w:rPr>
                <w:rFonts w:ascii="Arial Regular" w:hAnsi="Arial Regular" w:cs="Arial Regular"/>
                <w:i/>
                <w:iCs/>
                <w:sz w:val="20"/>
                <w:szCs w:val="20"/>
              </w:rPr>
              <w:t xml:space="preserve">Benchmarking </w:t>
            </w:r>
            <w:r>
              <w:rPr>
                <w:rFonts w:ascii="Arial Regular" w:hAnsi="Arial Regular" w:cs="Arial Regular"/>
                <w:sz w:val="20"/>
                <w:szCs w:val="20"/>
              </w:rPr>
              <w:t xml:space="preserve">Ratios on Tax Avoidance in Miscellaneous Industry Sector Companies Listed on the IDX in 2018-2021 </w:t>
            </w:r>
          </w:p>
          <w:p w14:paraId="715276D4" w14:textId="77777777" w:rsidR="00687DE2" w:rsidRDefault="00B1168E">
            <w:pPr>
              <w:pStyle w:val="NormalWeb"/>
              <w:spacing w:beforeAutospacing="0" w:afterAutospacing="0"/>
              <w:rPr>
                <w:rFonts w:ascii="Arial Regular" w:hAnsi="Arial Regular" w:cs="Arial Regular"/>
                <w:sz w:val="20"/>
                <w:szCs w:val="20"/>
                <w:lang w:val="sv-SE"/>
              </w:rPr>
            </w:pPr>
            <w:r>
              <w:rPr>
                <w:rFonts w:ascii="Arial Regular" w:hAnsi="Arial Regular" w:cs="Arial Regular"/>
                <w:sz w:val="20"/>
                <w:szCs w:val="20"/>
                <w:lang w:val="sv-SE"/>
              </w:rPr>
              <w:t>(</w:t>
            </w:r>
            <w:r>
              <w:rPr>
                <w:rFonts w:ascii="Arial Regular" w:hAnsi="Arial Regular" w:cs="Arial Regular"/>
                <w:sz w:val="20"/>
                <w:szCs w:val="20"/>
                <w:lang w:val="sv-SE" w:bidi="ar"/>
              </w:rPr>
              <w:t>Rizky Utomo &amp; R.R. Sri Handayani</w:t>
            </w:r>
            <w:r>
              <w:rPr>
                <w:rFonts w:ascii="Arial Regular" w:eastAsia="Helvetica" w:hAnsi="Arial Regular" w:cs="Arial Regular"/>
                <w:sz w:val="20"/>
                <w:szCs w:val="20"/>
                <w:lang w:val="sv-SE" w:bidi="ar"/>
              </w:rPr>
              <w:t xml:space="preserve">, 2024) </w:t>
            </w:r>
          </w:p>
          <w:p w14:paraId="03A58AA5" w14:textId="77777777" w:rsidR="00687DE2" w:rsidRDefault="00687DE2">
            <w:pPr>
              <w:rPr>
                <w:rFonts w:ascii="Arial Regular" w:hAnsi="Arial Regular" w:cs="Arial Regular"/>
                <w:lang w:val="sv-SE"/>
              </w:rPr>
            </w:pPr>
          </w:p>
        </w:tc>
        <w:tc>
          <w:tcPr>
            <w:tcW w:w="1420" w:type="pct"/>
          </w:tcPr>
          <w:tbl>
            <w:tblPr>
              <w:tblW w:w="0" w:type="auto"/>
              <w:tblLayout w:type="fixed"/>
              <w:tblCellMar>
                <w:left w:w="0" w:type="dxa"/>
                <w:right w:w="0" w:type="dxa"/>
              </w:tblCellMar>
              <w:tblLook w:val="04A0" w:firstRow="1" w:lastRow="0" w:firstColumn="1" w:lastColumn="0" w:noHBand="0" w:noVBand="1"/>
            </w:tblPr>
            <w:tblGrid>
              <w:gridCol w:w="8640"/>
            </w:tblGrid>
            <w:tr w:rsidR="00687DE2" w14:paraId="0D3D1A14" w14:textId="77777777">
              <w:tc>
                <w:tcPr>
                  <w:tcW w:w="8640" w:type="dxa"/>
                  <w:shd w:val="clear" w:color="auto" w:fill="auto"/>
                  <w:tcMar>
                    <w:left w:w="100" w:type="dxa"/>
                    <w:right w:w="100" w:type="dxa"/>
                  </w:tcMar>
                </w:tcPr>
                <w:tbl>
                  <w:tblPr>
                    <w:tblW w:w="0" w:type="auto"/>
                    <w:tblLayout w:type="fixed"/>
                    <w:tblCellMar>
                      <w:left w:w="0" w:type="dxa"/>
                      <w:right w:w="0" w:type="dxa"/>
                    </w:tblCellMar>
                    <w:tblLook w:val="04A0" w:firstRow="1" w:lastRow="0" w:firstColumn="1" w:lastColumn="0" w:noHBand="0" w:noVBand="1"/>
                  </w:tblPr>
                  <w:tblGrid>
                    <w:gridCol w:w="8640"/>
                  </w:tblGrid>
                  <w:tr w:rsidR="00687DE2" w14:paraId="61262176" w14:textId="77777777">
                    <w:tc>
                      <w:tcPr>
                        <w:tcW w:w="8640" w:type="dxa"/>
                        <w:shd w:val="clear" w:color="auto" w:fill="auto"/>
                        <w:tcMar>
                          <w:left w:w="100" w:type="dxa"/>
                          <w:right w:w="100" w:type="dxa"/>
                        </w:tcMar>
                      </w:tcPr>
                      <w:p w14:paraId="00C49783" w14:textId="77777777" w:rsidR="00687DE2" w:rsidRDefault="00687DE2">
                        <w:pPr>
                          <w:pStyle w:val="NormalWeb"/>
                          <w:spacing w:beforeAutospacing="0" w:afterAutospacing="0"/>
                          <w:rPr>
                            <w:rFonts w:ascii="Arial Regular" w:hAnsi="Arial Regular" w:cs="Arial Regular"/>
                            <w:sz w:val="20"/>
                            <w:szCs w:val="20"/>
                            <w:lang w:val="sv-SE"/>
                          </w:rPr>
                        </w:pPr>
                      </w:p>
                      <w:p w14:paraId="10F53F94" w14:textId="77777777" w:rsidR="00687DE2" w:rsidRDefault="00B1168E">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Benchmarking ratio </w:t>
                        </w:r>
                      </w:p>
                      <w:p w14:paraId="2B94D314" w14:textId="77777777" w:rsidR="00687DE2" w:rsidRDefault="00B1168E">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Tax avoidance </w:t>
                        </w:r>
                      </w:p>
                      <w:p w14:paraId="07728218" w14:textId="77777777" w:rsidR="00687DE2" w:rsidRDefault="00B1168E">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sz w:val="20"/>
                            <w:szCs w:val="20"/>
                            <w:lang w:bidi="ar"/>
                          </w:rPr>
                          <w:t>(</w:t>
                        </w:r>
                        <w:r>
                          <w:rPr>
                            <w:rFonts w:ascii="Arial Regular" w:eastAsia="Helvetica" w:hAnsi="Arial Regular" w:cs="Arial Regular"/>
                            <w:i/>
                            <w:iCs/>
                            <w:sz w:val="20"/>
                            <w:szCs w:val="20"/>
                            <w:lang w:bidi="ar"/>
                          </w:rPr>
                          <w:t xml:space="preserve">Cash </w:t>
                        </w:r>
                        <w:r>
                          <w:rPr>
                            <w:rFonts w:ascii="Arial Regular" w:eastAsia="Helvetica" w:hAnsi="Arial Regular" w:cs="Arial Regular"/>
                            <w:i/>
                            <w:iCs/>
                            <w:sz w:val="20"/>
                            <w:szCs w:val="20"/>
                          </w:rPr>
                          <w:t xml:space="preserve">effective tax </w:t>
                        </w:r>
                      </w:p>
                      <w:p w14:paraId="4EF58A0D" w14:textId="77777777" w:rsidR="00687DE2" w:rsidRDefault="00B1168E">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i/>
                            <w:iCs/>
                            <w:sz w:val="20"/>
                            <w:szCs w:val="20"/>
                          </w:rPr>
                          <w:t>rate)</w:t>
                        </w:r>
                      </w:p>
                      <w:p w14:paraId="3CBE072D" w14:textId="77777777" w:rsidR="00687DE2" w:rsidRDefault="00687DE2">
                        <w:pPr>
                          <w:pStyle w:val="NormalWeb"/>
                          <w:spacing w:beforeAutospacing="0" w:afterAutospacing="0"/>
                          <w:rPr>
                            <w:rFonts w:ascii="Arial Regular" w:hAnsi="Arial Regular" w:cs="Arial Regular"/>
                            <w:sz w:val="20"/>
                            <w:szCs w:val="20"/>
                          </w:rPr>
                        </w:pPr>
                      </w:p>
                    </w:tc>
                  </w:tr>
                </w:tbl>
                <w:p w14:paraId="0EDE9D16" w14:textId="77777777" w:rsidR="00687DE2" w:rsidRDefault="00687DE2">
                  <w:pPr>
                    <w:pStyle w:val="NormalWeb"/>
                    <w:spacing w:beforeAutospacing="0" w:afterAutospacing="0"/>
                    <w:rPr>
                      <w:rFonts w:ascii="Arial Regular" w:hAnsi="Arial Regular" w:cs="Arial Regular"/>
                      <w:sz w:val="20"/>
                      <w:szCs w:val="20"/>
                    </w:rPr>
                  </w:pPr>
                </w:p>
              </w:tc>
            </w:tr>
          </w:tbl>
          <w:p w14:paraId="7C1E36DF" w14:textId="77777777" w:rsidR="00687DE2" w:rsidRDefault="00687DE2">
            <w:pPr>
              <w:rPr>
                <w:rFonts w:ascii="Arial Regular" w:hAnsi="Arial Regular" w:cs="Arial Regular"/>
              </w:rPr>
            </w:pPr>
          </w:p>
        </w:tc>
        <w:tc>
          <w:tcPr>
            <w:tcW w:w="1282" w:type="pct"/>
          </w:tcPr>
          <w:p w14:paraId="2E2BFF66" w14:textId="77777777" w:rsidR="00687DE2" w:rsidRDefault="00B1168E">
            <w:pPr>
              <w:rPr>
                <w:rFonts w:ascii="Arial Regular" w:hAnsi="Arial Regular" w:cs="Arial Regular"/>
              </w:rPr>
            </w:pPr>
            <w:r>
              <w:rPr>
                <w:rFonts w:ascii="Arial Regular" w:hAnsi="Arial Regular" w:cs="Arial Regular"/>
              </w:rPr>
              <w:t xml:space="preserve">Operating profit margin, interest/sales ratio, non-business income/sales ratio are influential while corporate tax to </w:t>
            </w:r>
            <w:r>
              <w:rPr>
                <w:rFonts w:ascii="Arial Regular" w:hAnsi="Arial Regular" w:cs="Arial Regular"/>
                <w:i/>
                <w:iCs/>
              </w:rPr>
              <w:t xml:space="preserve">turnover </w:t>
            </w:r>
            <w:r>
              <w:rPr>
                <w:rFonts w:ascii="Arial Regular" w:hAnsi="Arial Regular" w:cs="Arial Regular"/>
              </w:rPr>
              <w:t>ratio and non-business expense/sales ratio are not and the variables that are not influential are gross profit margin, pre-tax pr</w:t>
            </w:r>
            <w:r>
              <w:rPr>
                <w:rFonts w:ascii="Arial Regular" w:hAnsi="Arial Regular" w:cs="Arial Regular"/>
              </w:rPr>
              <w:t>ofit margin, net profit margin, salary/sales ratio, rent/sales ratio, depreciation/sales ratio and other input/sales ratio.</w:t>
            </w:r>
          </w:p>
          <w:p w14:paraId="68F1C598" w14:textId="77777777" w:rsidR="00687DE2" w:rsidRDefault="00687DE2">
            <w:pPr>
              <w:pStyle w:val="NormalWeb"/>
              <w:spacing w:beforeAutospacing="0" w:afterAutospacing="0"/>
              <w:rPr>
                <w:rFonts w:ascii="Arial Regular" w:hAnsi="Arial Regular" w:cs="Arial Regular"/>
                <w:sz w:val="20"/>
                <w:szCs w:val="20"/>
              </w:rPr>
            </w:pPr>
          </w:p>
          <w:p w14:paraId="1E363462" w14:textId="77777777" w:rsidR="00687DE2" w:rsidRDefault="00687DE2">
            <w:pPr>
              <w:rPr>
                <w:rFonts w:ascii="Arial Regular" w:hAnsi="Arial Regular" w:cs="Arial Regular"/>
              </w:rPr>
            </w:pPr>
          </w:p>
        </w:tc>
      </w:tr>
      <w:tr w:rsidR="00687DE2" w14:paraId="6381D72D" w14:textId="77777777">
        <w:trPr>
          <w:jc w:val="center"/>
        </w:trPr>
        <w:tc>
          <w:tcPr>
            <w:tcW w:w="318" w:type="pct"/>
            <w:shd w:val="clear" w:color="auto" w:fill="auto"/>
          </w:tcPr>
          <w:p w14:paraId="100EC044" w14:textId="77777777" w:rsidR="00687DE2" w:rsidRDefault="00B1168E">
            <w:pPr>
              <w:rPr>
                <w:rFonts w:ascii="Arial Regular" w:hAnsi="Arial Regular" w:cs="Arial Regular"/>
              </w:rPr>
            </w:pPr>
            <w:r>
              <w:rPr>
                <w:rFonts w:ascii="Arial Regular" w:hAnsi="Arial Regular" w:cs="Arial Regular"/>
              </w:rPr>
              <w:t>3</w:t>
            </w:r>
          </w:p>
        </w:tc>
        <w:tc>
          <w:tcPr>
            <w:tcW w:w="1978" w:type="pct"/>
            <w:shd w:val="clear" w:color="auto" w:fill="auto"/>
          </w:tcPr>
          <w:p w14:paraId="20F2A42E" w14:textId="77777777" w:rsidR="00687DE2" w:rsidRDefault="00B1168E">
            <w:pPr>
              <w:rPr>
                <w:rFonts w:ascii="Arial Regular" w:hAnsi="Arial Regular" w:cs="Arial Regular"/>
                <w:i/>
                <w:iCs/>
              </w:rPr>
            </w:pPr>
            <w:r>
              <w:rPr>
                <w:rFonts w:ascii="Arial Regular" w:hAnsi="Arial Regular" w:cs="Arial Regular"/>
                <w:i/>
                <w:iCs/>
              </w:rPr>
              <w:t>Analysis of sustainability reporting quality and</w:t>
            </w:r>
          </w:p>
          <w:p w14:paraId="17914A63" w14:textId="77777777" w:rsidR="00687DE2" w:rsidRDefault="00B1168E">
            <w:pPr>
              <w:rPr>
                <w:rFonts w:ascii="Arial Regular" w:hAnsi="Arial Regular" w:cs="Arial Regular"/>
                <w:i/>
                <w:iCs/>
              </w:rPr>
            </w:pPr>
            <w:r>
              <w:rPr>
                <w:rFonts w:ascii="Arial Regular" w:hAnsi="Arial Regular" w:cs="Arial Regular"/>
                <w:i/>
                <w:iCs/>
              </w:rPr>
              <w:t xml:space="preserve">corporate social responsibility on companies listed on the </w:t>
            </w:r>
          </w:p>
          <w:p w14:paraId="3BDF6AFE" w14:textId="77777777" w:rsidR="00687DE2" w:rsidRDefault="00B1168E">
            <w:pPr>
              <w:rPr>
                <w:rFonts w:ascii="Arial Regular" w:hAnsi="Arial Regular" w:cs="Arial Regular"/>
                <w:i/>
                <w:iCs/>
              </w:rPr>
            </w:pPr>
            <w:r>
              <w:rPr>
                <w:rFonts w:ascii="Arial Regular" w:hAnsi="Arial Regular" w:cs="Arial Regular"/>
                <w:i/>
                <w:iCs/>
              </w:rPr>
              <w:t xml:space="preserve">Indonesia stock </w:t>
            </w:r>
            <w:r>
              <w:rPr>
                <w:rFonts w:ascii="Arial Regular" w:hAnsi="Arial Regular" w:cs="Arial Regular"/>
                <w:i/>
                <w:iCs/>
              </w:rPr>
              <w:t>exchange</w:t>
            </w:r>
          </w:p>
          <w:p w14:paraId="05186081" w14:textId="77777777" w:rsidR="00687DE2" w:rsidRDefault="00B1168E">
            <w:pPr>
              <w:rPr>
                <w:rFonts w:ascii="Arial Regular" w:hAnsi="Arial Regular" w:cs="Arial Regular"/>
                <w:i/>
                <w:iCs/>
              </w:rPr>
            </w:pPr>
            <w:r>
              <w:rPr>
                <w:rFonts w:ascii="Arial Regular" w:hAnsi="Arial Regular" w:cs="Arial Regular"/>
                <w:i/>
                <w:iCs/>
              </w:rPr>
              <w:t>(</w:t>
            </w:r>
            <w:proofErr w:type="spellStart"/>
            <w:r>
              <w:rPr>
                <w:rFonts w:ascii="Arial Regular" w:hAnsi="Arial Regular" w:cs="Arial Regular"/>
                <w:i/>
                <w:iCs/>
              </w:rPr>
              <w:t>Nurzi</w:t>
            </w:r>
            <w:proofErr w:type="spellEnd"/>
            <w:r>
              <w:rPr>
                <w:rFonts w:ascii="Arial Regular" w:hAnsi="Arial Regular" w:cs="Arial Regular"/>
                <w:i/>
                <w:iCs/>
              </w:rPr>
              <w:t xml:space="preserve"> Sebrina, </w:t>
            </w:r>
            <w:proofErr w:type="spellStart"/>
            <w:r>
              <w:rPr>
                <w:rFonts w:ascii="Arial Regular" w:hAnsi="Arial Regular" w:cs="Arial Regular"/>
                <w:i/>
                <w:iCs/>
              </w:rPr>
              <w:t>et.all</w:t>
            </w:r>
            <w:proofErr w:type="spellEnd"/>
            <w:r>
              <w:rPr>
                <w:rFonts w:ascii="Arial Regular" w:hAnsi="Arial Regular" w:cs="Arial Regular"/>
                <w:i/>
                <w:iCs/>
              </w:rPr>
              <w:t>, 2023)</w:t>
            </w:r>
          </w:p>
          <w:p w14:paraId="133ADA41" w14:textId="77777777" w:rsidR="00687DE2" w:rsidRDefault="00687DE2">
            <w:pPr>
              <w:rPr>
                <w:rFonts w:ascii="Arial Regular" w:hAnsi="Arial Regular" w:cs="Arial Regular"/>
                <w:i/>
                <w:iCs/>
              </w:rPr>
            </w:pPr>
          </w:p>
        </w:tc>
        <w:tc>
          <w:tcPr>
            <w:tcW w:w="1420" w:type="pct"/>
            <w:shd w:val="clear" w:color="auto" w:fill="auto"/>
          </w:tcPr>
          <w:p w14:paraId="53D3BB97" w14:textId="77777777" w:rsidR="00687DE2" w:rsidRDefault="00B1168E">
            <w:pPr>
              <w:rPr>
                <w:rFonts w:ascii="Arial Regular" w:hAnsi="Arial Regular" w:cs="Arial Regular"/>
                <w:i/>
                <w:iCs/>
              </w:rPr>
            </w:pPr>
            <w:r>
              <w:rPr>
                <w:rFonts w:ascii="Arial Regular" w:hAnsi="Arial Regular" w:cs="Arial Regular"/>
                <w:i/>
                <w:iCs/>
              </w:rPr>
              <w:t>Corporate social responsibility, integrated reporting and Sustainability reporting.</w:t>
            </w:r>
          </w:p>
        </w:tc>
        <w:tc>
          <w:tcPr>
            <w:tcW w:w="1282" w:type="pct"/>
            <w:shd w:val="clear" w:color="auto" w:fill="auto"/>
          </w:tcPr>
          <w:p w14:paraId="7CD070BC" w14:textId="77777777" w:rsidR="00687DE2" w:rsidRDefault="00B1168E">
            <w:pPr>
              <w:rPr>
                <w:rFonts w:ascii="Arial Regular" w:hAnsi="Arial Regular" w:cs="Arial Regular"/>
                <w:i/>
                <w:iCs/>
              </w:rPr>
            </w:pPr>
            <w:r>
              <w:rPr>
                <w:rFonts w:ascii="Arial Regular" w:hAnsi="Arial Regular" w:cs="Arial Regular"/>
                <w:i/>
                <w:iCs/>
              </w:rPr>
              <w:t xml:space="preserve">Sustainability reports based on disclosure are still of poor quality, albeit industry groups differ in this regard. </w:t>
            </w:r>
          </w:p>
        </w:tc>
      </w:tr>
      <w:tr w:rsidR="00687DE2" w14:paraId="0549CE5F" w14:textId="77777777">
        <w:trPr>
          <w:jc w:val="center"/>
        </w:trPr>
        <w:tc>
          <w:tcPr>
            <w:tcW w:w="318" w:type="pct"/>
          </w:tcPr>
          <w:p w14:paraId="0728D55C" w14:textId="77777777" w:rsidR="00687DE2" w:rsidRDefault="00B1168E">
            <w:pPr>
              <w:rPr>
                <w:rFonts w:ascii="Arial Regular" w:hAnsi="Arial Regular" w:cs="Arial Regular"/>
              </w:rPr>
            </w:pPr>
            <w:r>
              <w:rPr>
                <w:rFonts w:ascii="Arial Regular" w:hAnsi="Arial Regular" w:cs="Arial Regular"/>
              </w:rPr>
              <w:t>4</w:t>
            </w:r>
          </w:p>
        </w:tc>
        <w:tc>
          <w:tcPr>
            <w:tcW w:w="1978" w:type="pct"/>
            <w:shd w:val="clear" w:color="auto" w:fill="auto"/>
          </w:tcPr>
          <w:p w14:paraId="448DCF23" w14:textId="77777777" w:rsidR="00687DE2" w:rsidRDefault="00B1168E">
            <w:pPr>
              <w:rPr>
                <w:rFonts w:ascii="Arial Regular" w:hAnsi="Arial Regular" w:cs="Arial Regular"/>
                <w:i/>
                <w:iCs/>
              </w:rPr>
            </w:pPr>
            <w:r>
              <w:rPr>
                <w:rFonts w:ascii="Arial Regular" w:hAnsi="Arial Regular" w:cs="Arial Regular"/>
                <w:i/>
                <w:iCs/>
              </w:rPr>
              <w:t>Sustainabili</w:t>
            </w:r>
            <w:r>
              <w:rPr>
                <w:rFonts w:ascii="Arial Regular" w:hAnsi="Arial Regular" w:cs="Arial Regular"/>
                <w:i/>
                <w:iCs/>
              </w:rPr>
              <w:t>ty Reporting and Tax Aggressiveness Before and Suring Covid -19: GCG Moderating Variable.</w:t>
            </w:r>
          </w:p>
          <w:p w14:paraId="0F504BB5" w14:textId="77777777" w:rsidR="00687DE2" w:rsidRDefault="00B1168E">
            <w:pPr>
              <w:rPr>
                <w:rFonts w:ascii="Arial Regular" w:hAnsi="Arial Regular" w:cs="Arial Regular"/>
                <w:i/>
                <w:iCs/>
                <w:lang w:val="sv-SE"/>
              </w:rPr>
            </w:pPr>
            <w:r>
              <w:rPr>
                <w:rFonts w:ascii="Arial Regular" w:hAnsi="Arial Regular" w:cs="Arial Regular"/>
                <w:lang w:val="sv-SE"/>
              </w:rPr>
              <w:t>(Wijaya Triwacananingrum &amp; Gabriella Michelle Wijaya, 2022)</w:t>
            </w:r>
          </w:p>
        </w:tc>
        <w:tc>
          <w:tcPr>
            <w:tcW w:w="1420" w:type="pct"/>
          </w:tcPr>
          <w:p w14:paraId="16751801" w14:textId="77777777" w:rsidR="00687DE2" w:rsidRDefault="00B1168E">
            <w:pPr>
              <w:rPr>
                <w:rFonts w:ascii="Arial Regular" w:hAnsi="Arial Regular" w:cs="Arial Regular"/>
                <w:i/>
                <w:iCs/>
              </w:rPr>
            </w:pPr>
            <w:r>
              <w:rPr>
                <w:rFonts w:ascii="Arial Regular" w:hAnsi="Arial Regular" w:cs="Arial Regular"/>
                <w:i/>
                <w:iCs/>
              </w:rPr>
              <w:t>Tax avoidance, sustainability report, corporate governance on firm value: Leverage</w:t>
            </w:r>
          </w:p>
        </w:tc>
        <w:tc>
          <w:tcPr>
            <w:tcW w:w="1282" w:type="pct"/>
          </w:tcPr>
          <w:p w14:paraId="25268926" w14:textId="77777777" w:rsidR="00687DE2" w:rsidRDefault="00B1168E">
            <w:pPr>
              <w:rPr>
                <w:rFonts w:ascii="Arial Regular" w:hAnsi="Arial Regular" w:cs="Arial Regular"/>
                <w:i/>
                <w:iCs/>
              </w:rPr>
            </w:pPr>
            <w:r>
              <w:rPr>
                <w:rFonts w:ascii="Arial Regular" w:hAnsi="Arial Regular" w:cs="Arial Regular"/>
                <w:i/>
                <w:iCs/>
              </w:rPr>
              <w:t xml:space="preserve">Prior to COVID-19, GCG </w:t>
            </w:r>
            <w:r>
              <w:rPr>
                <w:rFonts w:ascii="Arial Regular" w:hAnsi="Arial Regular" w:cs="Arial Regular"/>
                <w:i/>
                <w:iCs/>
              </w:rPr>
              <w:t>lessened the inverse link between tax aggression and sustainability report disclosure. On the other hand, the negative link between the two was lessened during COVID-19.</w:t>
            </w:r>
          </w:p>
          <w:p w14:paraId="526845C7" w14:textId="77777777" w:rsidR="00687DE2" w:rsidRDefault="00687DE2">
            <w:pPr>
              <w:rPr>
                <w:rFonts w:ascii="Arial Regular" w:hAnsi="Arial Regular" w:cs="Arial Regular"/>
                <w:i/>
                <w:iCs/>
                <w:lang w:eastAsia="zh-CN"/>
              </w:rPr>
            </w:pPr>
          </w:p>
        </w:tc>
      </w:tr>
      <w:tr w:rsidR="00687DE2" w14:paraId="60A01687" w14:textId="77777777">
        <w:trPr>
          <w:jc w:val="center"/>
        </w:trPr>
        <w:tc>
          <w:tcPr>
            <w:tcW w:w="318" w:type="pct"/>
          </w:tcPr>
          <w:p w14:paraId="7B7EB546" w14:textId="77777777" w:rsidR="00687DE2" w:rsidRDefault="00B1168E">
            <w:pPr>
              <w:rPr>
                <w:rFonts w:ascii="Arial Regular" w:hAnsi="Arial Regular" w:cs="Arial Regular"/>
              </w:rPr>
            </w:pPr>
            <w:r>
              <w:rPr>
                <w:rFonts w:ascii="Arial Regular" w:hAnsi="Arial Regular" w:cs="Arial Regular"/>
              </w:rPr>
              <w:lastRenderedPageBreak/>
              <w:t>5</w:t>
            </w:r>
          </w:p>
        </w:tc>
        <w:tc>
          <w:tcPr>
            <w:tcW w:w="1978" w:type="pct"/>
          </w:tcPr>
          <w:p w14:paraId="46FD496C" w14:textId="77777777" w:rsidR="00687DE2" w:rsidRDefault="00B1168E">
            <w:pPr>
              <w:rPr>
                <w:rFonts w:ascii="Arial Regular" w:hAnsi="Arial Regular" w:cs="Arial Regular"/>
                <w:i/>
              </w:rPr>
            </w:pPr>
            <w:r>
              <w:rPr>
                <w:rFonts w:ascii="Arial Regular" w:hAnsi="Arial Regular" w:cs="Arial Regular"/>
                <w:i/>
              </w:rPr>
              <w:t>The role of sustainability reporting in shareholder perception of tax avoidance</w:t>
            </w:r>
          </w:p>
          <w:p w14:paraId="7DF68BF9" w14:textId="77777777" w:rsidR="00687DE2" w:rsidRDefault="00B1168E">
            <w:pPr>
              <w:rPr>
                <w:rFonts w:ascii="Arial Regular" w:hAnsi="Arial Regular" w:cs="Arial Regular"/>
                <w:i/>
                <w:iCs/>
                <w:shd w:val="clear" w:color="auto" w:fill="FFFF00"/>
              </w:rPr>
            </w:pPr>
            <w:r>
              <w:rPr>
                <w:rFonts w:ascii="Arial Regular" w:hAnsi="Arial Regular" w:cs="Arial Regular"/>
                <w:iCs/>
              </w:rPr>
              <w:t>(</w:t>
            </w:r>
            <w:proofErr w:type="spellStart"/>
            <w:r>
              <w:rPr>
                <w:rFonts w:ascii="Arial Regular" w:hAnsi="Arial Regular" w:cs="Arial Regular"/>
                <w:iCs/>
              </w:rPr>
              <w:t>Rudyanto</w:t>
            </w:r>
            <w:proofErr w:type="spellEnd"/>
            <w:r>
              <w:rPr>
                <w:rFonts w:ascii="Arial Regular" w:hAnsi="Arial Regular" w:cs="Arial Regular"/>
                <w:iCs/>
              </w:rPr>
              <w:t>, A. and Pirzada, K. 2021)</w:t>
            </w:r>
          </w:p>
        </w:tc>
        <w:tc>
          <w:tcPr>
            <w:tcW w:w="1420" w:type="pct"/>
          </w:tcPr>
          <w:p w14:paraId="7664C431" w14:textId="77777777" w:rsidR="00687DE2" w:rsidRDefault="00B1168E">
            <w:pPr>
              <w:rPr>
                <w:rFonts w:ascii="Arial Regular" w:hAnsi="Arial Regular" w:cs="Arial Regular"/>
                <w:i/>
                <w:iCs/>
              </w:rPr>
            </w:pPr>
            <w:r>
              <w:rPr>
                <w:rFonts w:ascii="Arial Regular" w:hAnsi="Arial Regular" w:cs="Arial Regular"/>
                <w:i/>
                <w:iCs/>
              </w:rPr>
              <w:t xml:space="preserve">Sustainability Report, Firm Value, Tax Avoidance </w:t>
            </w:r>
          </w:p>
        </w:tc>
        <w:tc>
          <w:tcPr>
            <w:tcW w:w="1282" w:type="pct"/>
          </w:tcPr>
          <w:p w14:paraId="12C78C02" w14:textId="77777777" w:rsidR="00687DE2" w:rsidRDefault="00B1168E">
            <w:pPr>
              <w:pStyle w:val="NormalWeb"/>
              <w:rPr>
                <w:rFonts w:ascii="Arial Regular" w:hAnsi="Arial Regular" w:cs="Arial Regular"/>
                <w:i/>
                <w:iCs/>
                <w:color w:val="000000"/>
                <w:sz w:val="20"/>
                <w:szCs w:val="20"/>
              </w:rPr>
            </w:pPr>
            <w:r>
              <w:rPr>
                <w:rFonts w:ascii="Arial Regular" w:hAnsi="Arial Regular" w:cs="Arial Regular"/>
                <w:i/>
                <w:iCs/>
                <w:color w:val="000000"/>
                <w:sz w:val="20"/>
                <w:szCs w:val="20"/>
              </w:rPr>
              <w:t>In non-environmentally sensitive enterprises, the sustainability report just modifies the impact of GAAP ETR on firm value.</w:t>
            </w:r>
          </w:p>
          <w:p w14:paraId="0C52D41D" w14:textId="77777777" w:rsidR="00687DE2" w:rsidRDefault="00687DE2">
            <w:pPr>
              <w:rPr>
                <w:rFonts w:ascii="Arial Regular" w:hAnsi="Arial Regular" w:cs="Arial Regular"/>
                <w:i/>
                <w:iCs/>
                <w:lang w:eastAsia="zh-CN"/>
              </w:rPr>
            </w:pPr>
          </w:p>
        </w:tc>
      </w:tr>
    </w:tbl>
    <w:p w14:paraId="788D2982" w14:textId="77777777" w:rsidR="00687DE2" w:rsidRDefault="00687DE2">
      <w:pPr>
        <w:ind w:firstLineChars="400" w:firstLine="800"/>
        <w:jc w:val="both"/>
        <w:rPr>
          <w:rFonts w:ascii="Arial Regular" w:hAnsi="Arial Regular" w:cs="Arial Regular"/>
        </w:rPr>
      </w:pPr>
    </w:p>
    <w:p w14:paraId="5A7E52B7" w14:textId="77777777" w:rsidR="00687DE2" w:rsidRDefault="00B1168E">
      <w:pPr>
        <w:ind w:firstLineChars="250" w:firstLine="500"/>
        <w:jc w:val="both"/>
        <w:rPr>
          <w:rFonts w:ascii="Arial Regular" w:hAnsi="Arial Regular" w:cs="Arial Regular"/>
        </w:rPr>
      </w:pPr>
      <w:r>
        <w:rPr>
          <w:rFonts w:ascii="Arial Regular" w:hAnsi="Arial Regular" w:cs="Arial Regular"/>
        </w:rPr>
        <w:t xml:space="preserve">It is clear from the previously discussed </w:t>
      </w:r>
      <w:r>
        <w:rPr>
          <w:rFonts w:ascii="Arial Regular" w:hAnsi="Arial Regular" w:cs="Arial Regular"/>
        </w:rPr>
        <w:t xml:space="preserve">research that there is still a dearth of studies on the corporate tax turnover ratio (CTTOR). Specifically, there is a research gap in that the impact of sustainability reports and the size of public accounting firms on the gross profit margin of the CTOR </w:t>
      </w:r>
      <w:r>
        <w:rPr>
          <w:rFonts w:ascii="Arial Regular" w:hAnsi="Arial Regular" w:cs="Arial Regular"/>
        </w:rPr>
        <w:t>has not been examined as an intervening variable.</w:t>
      </w:r>
    </w:p>
    <w:p w14:paraId="3B38254D" w14:textId="77777777" w:rsidR="00687DE2" w:rsidRDefault="00687DE2">
      <w:pPr>
        <w:pStyle w:val="AbstHead"/>
        <w:spacing w:after="0"/>
        <w:jc w:val="both"/>
        <w:rPr>
          <w:rFonts w:ascii="Times New Roman Regular" w:hAnsi="Times New Roman Regular" w:cs="Times New Roman Regular"/>
          <w:b w:val="0"/>
          <w:bCs/>
          <w:sz w:val="20"/>
        </w:rPr>
      </w:pPr>
    </w:p>
    <w:p w14:paraId="73FBC73F"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HYPOTHESIS</w:t>
      </w:r>
    </w:p>
    <w:p w14:paraId="1D17B8A5" w14:textId="77777777" w:rsidR="00687DE2" w:rsidRDefault="00B1168E">
      <w:pPr>
        <w:pStyle w:val="AbstHead"/>
        <w:spacing w:after="0"/>
        <w:ind w:left="111"/>
        <w:jc w:val="both"/>
        <w:rPr>
          <w:rFonts w:ascii="Arial Bold" w:hAnsi="Arial Bold" w:cs="Arial Bold"/>
          <w:bCs/>
          <w:sz w:val="20"/>
        </w:rPr>
      </w:pPr>
      <w:r>
        <w:rPr>
          <w:rFonts w:ascii="Arial Bold" w:hAnsi="Arial Bold" w:cs="Arial Bold"/>
          <w:bCs/>
          <w:sz w:val="20"/>
        </w:rPr>
        <w:t xml:space="preserve">       </w:t>
      </w:r>
    </w:p>
    <w:p w14:paraId="3213560D" w14:textId="77777777" w:rsidR="00687DE2" w:rsidRDefault="00B1168E">
      <w:pPr>
        <w:rPr>
          <w:rFonts w:ascii="Times New Roman Regular" w:hAnsi="Times New Roman Regular" w:cs="Times New Roman Regular"/>
          <w:iCs/>
        </w:rPr>
      </w:pPr>
      <w:r>
        <w:rPr>
          <w:rFonts w:ascii="Arial" w:hAnsi="Arial" w:cs="Arial"/>
          <w:iCs/>
        </w:rPr>
        <w:t xml:space="preserve">         </w:t>
      </w:r>
      <w:r>
        <w:rPr>
          <w:rFonts w:ascii="Arial" w:hAnsi="Arial" w:cs="Arial"/>
        </w:rPr>
        <w:t xml:space="preserve">The hypothesis to be </w:t>
      </w:r>
      <w:proofErr w:type="gramStart"/>
      <w:r>
        <w:rPr>
          <w:rFonts w:ascii="Arial" w:hAnsi="Arial" w:cs="Arial"/>
        </w:rPr>
        <w:t>used :</w:t>
      </w:r>
      <w:proofErr w:type="gramEnd"/>
    </w:p>
    <w:p w14:paraId="2AD90ED6"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1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The size of the  public accounting firm affects gross profit margin.</w:t>
      </w:r>
    </w:p>
    <w:p w14:paraId="641AE09C" w14:textId="77777777" w:rsidR="00687DE2" w:rsidRDefault="00B1168E">
      <w:pPr>
        <w:rPr>
          <w:rFonts w:ascii="Arial" w:hAnsi="Arial" w:cs="Arial"/>
          <w:iCs/>
          <w:vertAlign w:val="subscript"/>
        </w:rPr>
      </w:pPr>
      <w:r>
        <w:rPr>
          <w:rFonts w:ascii="Arial" w:hAnsi="Arial" w:cs="Arial"/>
          <w:iCs/>
        </w:rPr>
        <w:t>H</w:t>
      </w:r>
      <w:r>
        <w:rPr>
          <w:rFonts w:ascii="Arial" w:hAnsi="Arial" w:cs="Arial"/>
          <w:iCs/>
          <w:vertAlign w:val="subscript"/>
        </w:rPr>
        <w:t xml:space="preserve">2 </w:t>
      </w:r>
      <w:proofErr w:type="gramStart"/>
      <w:r>
        <w:rPr>
          <w:rFonts w:ascii="Arial" w:hAnsi="Arial" w:cs="Arial"/>
          <w:iCs/>
        </w:rPr>
        <w:t xml:space="preserve">  :</w:t>
      </w:r>
      <w:proofErr w:type="gramEnd"/>
      <w:r>
        <w:rPr>
          <w:rFonts w:ascii="Arial" w:hAnsi="Arial" w:cs="Arial"/>
          <w:iCs/>
        </w:rPr>
        <w:t xml:space="preserve">  Sustainability report affects gross profit margin.</w:t>
      </w:r>
    </w:p>
    <w:p w14:paraId="7627BBB3"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3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Pu</w:t>
      </w:r>
      <w:r>
        <w:rPr>
          <w:rFonts w:ascii="Arial" w:hAnsi="Arial" w:cs="Arial"/>
          <w:iCs/>
        </w:rPr>
        <w:t>blic accounting firm size affects CTTOR</w:t>
      </w:r>
    </w:p>
    <w:p w14:paraId="6D58CBF8"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4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Sustainability report affects CTTOR</w:t>
      </w:r>
    </w:p>
    <w:p w14:paraId="0295D25F"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5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Gross profit margin affects CTTOR</w:t>
      </w:r>
    </w:p>
    <w:p w14:paraId="48B441EE"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6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Public accounting firm size through gross profit margin affects </w:t>
      </w:r>
    </w:p>
    <w:p w14:paraId="465222E0" w14:textId="77777777" w:rsidR="00687DE2" w:rsidRDefault="00B1168E">
      <w:pPr>
        <w:ind w:firstLineChars="250" w:firstLine="500"/>
        <w:rPr>
          <w:rFonts w:ascii="Arial" w:hAnsi="Arial" w:cs="Arial"/>
          <w:iCs/>
        </w:rPr>
      </w:pPr>
      <w:r>
        <w:rPr>
          <w:rFonts w:ascii="Arial" w:hAnsi="Arial" w:cs="Arial"/>
          <w:iCs/>
        </w:rPr>
        <w:t>against CTTOR</w:t>
      </w:r>
    </w:p>
    <w:p w14:paraId="5810CCEE"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7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Sustainability report through gross profit margin affects CTTOR</w:t>
      </w:r>
    </w:p>
    <w:p w14:paraId="1792B356" w14:textId="77777777" w:rsidR="00687DE2" w:rsidRDefault="00687DE2">
      <w:pPr>
        <w:pStyle w:val="AbstHead"/>
        <w:spacing w:after="0"/>
        <w:jc w:val="both"/>
        <w:rPr>
          <w:rFonts w:ascii="Arial" w:hAnsi="Arial" w:cs="Arial"/>
          <w:b w:val="0"/>
          <w:iCs/>
          <w:sz w:val="20"/>
        </w:rPr>
      </w:pPr>
    </w:p>
    <w:p w14:paraId="71F69ACB"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Framework of thought </w:t>
      </w:r>
    </w:p>
    <w:p w14:paraId="1C9D5290" w14:textId="77777777" w:rsidR="00687DE2" w:rsidRDefault="00687DE2">
      <w:pPr>
        <w:pStyle w:val="AbstHead"/>
        <w:spacing w:after="0"/>
        <w:jc w:val="both"/>
        <w:rPr>
          <w:rFonts w:ascii="Arial" w:hAnsi="Arial" w:cs="Arial"/>
          <w:b w:val="0"/>
          <w:iCs/>
          <w:sz w:val="20"/>
        </w:rPr>
      </w:pPr>
    </w:p>
    <w:p w14:paraId="5A7518AE" w14:textId="77777777" w:rsidR="00687DE2" w:rsidRDefault="00B1168E">
      <w:pPr>
        <w:jc w:val="both"/>
        <w:rPr>
          <w:rFonts w:ascii="Arial Regular" w:hAnsi="Arial Regular"/>
        </w:rPr>
      </w:pPr>
      <w:r>
        <w:rPr>
          <w:rFonts w:ascii="Arial Regular" w:hAnsi="Arial Regular"/>
          <w:b/>
          <w:bCs/>
        </w:rPr>
        <w:t xml:space="preserve">  </w:t>
      </w:r>
      <w:r>
        <w:rPr>
          <w:rFonts w:ascii="Arial Regular" w:hAnsi="Arial Regular"/>
        </w:rPr>
        <w:t xml:space="preserve">       Growth profit margin and corporate tax turnover ratio (CTTOR) are the dependent factors in this study, while sustainability report and public accounting fir</w:t>
      </w:r>
      <w:r>
        <w:rPr>
          <w:rFonts w:ascii="Arial Regular" w:hAnsi="Arial Regular"/>
        </w:rPr>
        <w:t>m size are the independent variables. This study's conceptual framework is:</w:t>
      </w:r>
    </w:p>
    <w:p w14:paraId="0C1C567A" w14:textId="77777777" w:rsidR="0035555E" w:rsidRDefault="0035555E">
      <w:pPr>
        <w:jc w:val="both"/>
        <w:rPr>
          <w:rFonts w:ascii="Arial Regular" w:hAnsi="Arial Regular"/>
        </w:rPr>
      </w:pPr>
    </w:p>
    <w:p w14:paraId="5A8B4B23" w14:textId="77777777" w:rsidR="0035555E" w:rsidRDefault="0035555E">
      <w:pPr>
        <w:jc w:val="both"/>
        <w:rPr>
          <w:rFonts w:ascii="Arial Regular" w:hAnsi="Arial Regular"/>
        </w:rPr>
      </w:pPr>
    </w:p>
    <w:p w14:paraId="403E39DC" w14:textId="77777777" w:rsidR="0035555E" w:rsidRDefault="0035555E">
      <w:pPr>
        <w:jc w:val="both"/>
        <w:rPr>
          <w:rFonts w:ascii="Arial Regular" w:hAnsi="Arial Regular"/>
        </w:rPr>
      </w:pPr>
    </w:p>
    <w:p w14:paraId="5940B828" w14:textId="77777777" w:rsidR="00687DE2" w:rsidRDefault="00B1168E">
      <w:pPr>
        <w:rPr>
          <w:rFonts w:ascii="Arial Regular" w:hAnsi="Arial Regular"/>
        </w:rPr>
      </w:pPr>
      <w:r>
        <w:rPr>
          <w:noProof/>
          <w:sz w:val="24"/>
        </w:rPr>
        <mc:AlternateContent>
          <mc:Choice Requires="wps">
            <w:drawing>
              <wp:anchor distT="0" distB="0" distL="114300" distR="114300" simplePos="0" relativeHeight="251664384" behindDoc="0" locked="0" layoutInCell="1" allowOverlap="1" wp14:anchorId="28C69C83" wp14:editId="666F075C">
                <wp:simplePos x="0" y="0"/>
                <wp:positionH relativeFrom="column">
                  <wp:posOffset>-3175</wp:posOffset>
                </wp:positionH>
                <wp:positionV relativeFrom="paragraph">
                  <wp:posOffset>88900</wp:posOffset>
                </wp:positionV>
                <wp:extent cx="5154930" cy="3680460"/>
                <wp:effectExtent l="13970" t="13970" r="38100" b="39370"/>
                <wp:wrapNone/>
                <wp:docPr id="16" name="Rectangles 16"/>
                <wp:cNvGraphicFramePr/>
                <a:graphic xmlns:a="http://schemas.openxmlformats.org/drawingml/2006/main">
                  <a:graphicData uri="http://schemas.microsoft.com/office/word/2010/wordprocessingShape">
                    <wps:wsp>
                      <wps:cNvSpPr/>
                      <wps:spPr>
                        <a:xfrm>
                          <a:off x="0" y="0"/>
                          <a:ext cx="5154930" cy="3680460"/>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F4EF1C" id="Rectangles 16" o:spid="_x0000_s1026" style="position:absolute;margin-left:-.25pt;margin-top:7pt;width:405.9pt;height:28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" filled="f" strokecolor="black [3213]" strokeweight="2.25pt"/>
            </w:pict>
          </mc:Fallback>
        </mc:AlternateContent>
      </w:r>
    </w:p>
    <w:p w14:paraId="22E5B46B"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65408" behindDoc="0" locked="0" layoutInCell="1" allowOverlap="1" wp14:anchorId="4C7A2FFC" wp14:editId="068FAF0B">
                <wp:simplePos x="0" y="0"/>
                <wp:positionH relativeFrom="column">
                  <wp:posOffset>238760</wp:posOffset>
                </wp:positionH>
                <wp:positionV relativeFrom="paragraph">
                  <wp:posOffset>59055</wp:posOffset>
                </wp:positionV>
                <wp:extent cx="4603750" cy="3098800"/>
                <wp:effectExtent l="12700" t="12700" r="31750" b="38100"/>
                <wp:wrapNone/>
                <wp:docPr id="10" name="Group 10"/>
                <wp:cNvGraphicFramePr/>
                <a:graphic xmlns:a="http://schemas.openxmlformats.org/drawingml/2006/main">
                  <a:graphicData uri="http://schemas.microsoft.com/office/word/2010/wordprocessingGroup">
                    <wpg:wgp>
                      <wpg:cNvGrpSpPr/>
                      <wpg:grpSpPr>
                        <a:xfrm>
                          <a:off x="0" y="0"/>
                          <a:ext cx="4603750" cy="3098800"/>
                          <a:chOff x="2675" y="87720"/>
                          <a:chExt cx="7250" cy="4880"/>
                        </a:xfrm>
                      </wpg:grpSpPr>
                      <wps:wsp>
                        <wps:cNvPr id="9" name="Straight Connector 9"/>
                        <wps:cNvCnPr/>
                        <wps:spPr>
                          <a:xfrm>
                            <a:off x="4848" y="91681"/>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cNvPr id="43" name="Group 43"/>
                        <wpg:cNvGrpSpPr/>
                        <wpg:grpSpPr>
                          <a:xfrm>
                            <a:off x="2675" y="87720"/>
                            <a:ext cx="7250" cy="4881"/>
                            <a:chOff x="2557" y="112060"/>
                            <a:chExt cx="7250" cy="4881"/>
                          </a:xfrm>
                        </wpg:grpSpPr>
                        <wps:wsp>
                          <wps:cNvPr id="6" name="Rounded Rectangle 6"/>
                          <wps:cNvSpPr/>
                          <wps:spPr>
                            <a:xfrm>
                              <a:off x="5443" y="113795"/>
                              <a:ext cx="1834" cy="1093"/>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0D43DFF"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ed Rectangle 1"/>
                          <wps:cNvSpPr/>
                          <wps:spPr>
                            <a:xfrm>
                              <a:off x="2557" y="112060"/>
                              <a:ext cx="2174" cy="1273"/>
                            </a:xfrm>
                            <a:prstGeom prst="roundRect">
                              <a:avLst/>
                            </a:prstGeom>
                            <a:ln>
                              <a:solidFill>
                                <a:schemeClr val="bg2">
                                  <a:lumMod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ounded Rectangle 3"/>
                          <wps:cNvSpPr/>
                          <wps:spPr>
                            <a:xfrm>
                              <a:off x="7957" y="113749"/>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623BD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4C9EF77B"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ounded Rectangle 7"/>
                          <wps:cNvSpPr/>
                          <wps:spPr>
                            <a:xfrm>
                              <a:off x="2561" y="115393"/>
                              <a:ext cx="2150" cy="107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Straight Arrow Connector 30"/>
                          <wps:cNvCnPr/>
                          <wps:spPr>
                            <a:xfrm>
                              <a:off x="4732" y="112751"/>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a:off x="8685" y="112559"/>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flipV="1">
                              <a:off x="8670" y="114865"/>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5" name="Oval 35"/>
                          <wps:cNvSpPr/>
                          <wps:spPr>
                            <a:xfrm>
                              <a:off x="8974" y="112456"/>
                              <a:ext cx="765" cy="727"/>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92AD3E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B10711B" w14:textId="77777777" w:rsidR="00687DE2" w:rsidRDefault="00687DE2"/>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Oval 36"/>
                          <wps:cNvSpPr/>
                          <wps:spPr>
                            <a:xfrm>
                              <a:off x="6221" y="116215"/>
                              <a:ext cx="868" cy="727"/>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38830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Straight Arrow Connector 37"/>
                          <wps:cNvCnPr/>
                          <wps:spPr>
                            <a:xfrm flipV="1">
                              <a:off x="6674" y="114861"/>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38" name="Straight Arrow Connector 38"/>
                          <wps:cNvCnPr/>
                          <wps:spPr>
                            <a:xfrm>
                              <a:off x="9382" y="113188"/>
                              <a:ext cx="0" cy="582"/>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8" name="Straight Connector 4"/>
                          <wps:cNvCnPr/>
                          <wps:spPr>
                            <a:xfrm>
                              <a:off x="4725" y="112567"/>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wgp>
                  </a:graphicData>
                </a:graphic>
              </wp:anchor>
            </w:drawing>
          </mc:Choice>
          <mc:Fallback>
            <w:pict>
              <v:group w14:anchorId="4C7A2FFC" id="Group 10" o:spid="_x0000_s1027" style="position:absolute;left:0;text-align:left;margin-left:18.8pt;margin-top:4.65pt;width:362.5pt;height:244pt;z-index:251665408" coordorigin="2675,87720" coordsize="725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">
                <v:line id="Straight Connector 9" o:spid="_x0000_s1028" style="position:absolute;visibility:visible;mso-wrap-style:square" from="4848,91681" to="8814,9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" strokecolor="red" strokeweight="3pt"/>
                <v:group id="Group 43" o:spid="_x0000_s1029" style="position:absolute;left:2675;top:87720;width:7250;height:4881" coordorigin="2557,112060" coordsize="7250,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ounded Rectangle 6" o:spid="_x0000_s1030" style="position:absolute;left:5443;top:113795;width:1834;height:1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" fillcolor="#e5dfec [663]" strokecolor="black [3213]" strokeweight="2pt">
                    <v:textbox>
                      <w:txbxContent>
                        <w:p w14:paraId="60D43DFF"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v:roundrect id="Rounded Rectangle 1" o:spid="_x0000_s1031" style="position:absolute;left:2557;top:112060;width:2174;height:1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" filled="f" strokecolor="#938953 [1614]" strokeweight="2pt"/>
                  <v:roundrect id="_x0000_s1032" style="position:absolute;left:7957;top:113749;width:1851;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" fillcolor="#f2dbdb [661]" strokecolor="black [3213]" strokeweight="2pt">
                    <v:textbox>
                      <w:txbxContent>
                        <w:p w14:paraId="4D623BD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4C9EF77B"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7" o:spid="_x0000_s1033" style="position:absolute;left:2561;top:115393;width:2150;height:10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" filled="f" strokecolor="#4f81bd [3204]" strokeweight="2pt"/>
                  <v:shape id="Straight Arrow Connector 30" o:spid="_x0000_s1034" type="#_x0000_t32" style="position:absolute;left:4732;top:112751;width:1269;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" strokecolor="red" strokeweight="2pt">
                    <v:stroke endarrow="open"/>
                    <v:shadow on="t" color="black" opacity="24903f" origin=",.5" offset="0,.55556mm"/>
                  </v:shape>
                  <v:shape id="Straight Arrow Connector 33" o:spid="_x0000_s1035" type="#_x0000_t32" style="position:absolute;left:8685;top:112559;width:0;height:1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" strokecolor="red" strokeweight="2pt">
                    <v:stroke endarrow="open"/>
                    <v:shadow on="t" color="black" opacity="24903f" origin=",.5" offset="0,.55556mm"/>
                  </v:shape>
                  <v:shape id="Straight Arrow Connector 34" o:spid="_x0000_s1036" type="#_x0000_t32" style="position:absolute;left:8670;top:114865;width:0;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" strokeweight="2pt">
                    <v:stroke endarrow="open"/>
                    <v:shadow on="t" color="black" opacity="24903f" origin=",.5" offset="0,.55556mm"/>
                  </v:shape>
                  <v:oval id="Oval 35" o:spid="_x0000_s1037" style="position:absolute;left:8974;top:112456;width:765;height: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" fillcolor="#fabf8f [1945]" strokecolor="#d99594 [1941]" strokeweight="2pt">
                    <v:textbox>
                      <w:txbxContent>
                        <w:p w14:paraId="692AD3E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B10711B" w14:textId="77777777" w:rsidR="00687DE2" w:rsidRDefault="00687DE2"/>
                      </w:txbxContent>
                    </v:textbox>
                  </v:oval>
                  <v:oval id="Oval 36" o:spid="_x0000_s1038" style="position:absolute;left:6221;top:116215;width:868;height: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" fillcolor="#fabf8f [1945]" strokecolor="#e5b8b7 [1301]" strokeweight="2pt">
                    <v:textbox>
                      <w:txbxContent>
                        <w:p w14:paraId="31388309"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v:textbox>
                  </v:oval>
                  <v:shape id="Straight Arrow Connector 37" o:spid="_x0000_s1039" type="#_x0000_t32" style="position:absolute;left:6674;top:114861;width:0;height:1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" strokecolor="#fabf8f [1945]" strokeweight="2.5pt">
                    <v:stroke endarrow="open" endcap="round"/>
                  </v:shape>
                  <v:shape id="Straight Arrow Connector 38" o:spid="_x0000_s1040" type="#_x0000_t32" style="position:absolute;left:9382;top:113188;width:0;height: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" strokecolor="#fabf8f [1945]" strokeweight="2.5pt">
                    <v:stroke endarrow="open" endcap="round"/>
                  </v:shape>
                  <v:line id="Straight Connector 4" o:spid="_x0000_s1041" style="position:absolute;visibility:visible;mso-wrap-style:square" from="4725,112567" to="8685,11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" strokecolor="red" strokeweight="3pt"/>
                </v:group>
              </v:group>
            </w:pict>
          </mc:Fallback>
        </mc:AlternateContent>
      </w:r>
    </w:p>
    <w:p w14:paraId="61473733"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041D8090" w14:textId="77777777" w:rsidR="00687DE2" w:rsidRDefault="00B1168E">
      <w:pPr>
        <w:ind w:firstLineChars="250" w:firstLine="60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Firm </w:t>
      </w:r>
      <w:proofErr w:type="gramStart"/>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Size  (</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7AD9D067" w14:textId="77777777" w:rsidR="00687DE2" w:rsidRDefault="00687DE2">
      <w:pPr>
        <w:rPr>
          <w:rFonts w:ascii="Times New Roman Regular" w:hAnsi="Times New Roman Regular" w:cs="Times New Roman Regular"/>
          <w:sz w:val="24"/>
          <w:szCs w:val="24"/>
        </w:rPr>
      </w:pPr>
    </w:p>
    <w:p w14:paraId="111CF32F" w14:textId="77777777"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1EAA1DFB" w14:textId="77777777"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7F4CD9BB"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3360" behindDoc="0" locked="0" layoutInCell="1" allowOverlap="1" wp14:anchorId="513AD9F7" wp14:editId="59C8AF92">
                <wp:simplePos x="0" y="0"/>
                <wp:positionH relativeFrom="column">
                  <wp:posOffset>3240405</wp:posOffset>
                </wp:positionH>
                <wp:positionV relativeFrom="paragraph">
                  <wp:posOffset>109855</wp:posOffset>
                </wp:positionV>
                <wp:extent cx="427355" cy="0"/>
                <wp:effectExtent l="33655" t="71120" r="46990" b="132080"/>
                <wp:wrapNone/>
                <wp:docPr id="32" name="Straight Arrow Connector 32"/>
                <wp:cNvGraphicFramePr/>
                <a:graphic xmlns:a="http://schemas.openxmlformats.org/drawingml/2006/main">
                  <a:graphicData uri="http://schemas.microsoft.com/office/word/2010/wordprocessingShape">
                    <wps:wsp>
                      <wps:cNvCnPr/>
                      <wps:spPr>
                        <a:xfrm>
                          <a:off x="0" y="0"/>
                          <a:ext cx="427355"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D13039" id="Straight Arrow Connector 32" o:spid="_x0000_s1026" type="#_x0000_t32" style="position:absolute;margin-left:255.15pt;margin-top:8.65pt;width:33.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" strokecolor="red" strokeweight="2pt">
                <v:stroke endarrow="open"/>
                <v:shadow on="t" color="black" opacity="24903f" origin=",.5" offset="0,.55556mm"/>
              </v:shape>
            </w:pict>
          </mc:Fallback>
        </mc:AlternateContent>
      </w:r>
    </w:p>
    <w:p w14:paraId="4249D9F0" w14:textId="77777777" w:rsidR="00687DE2" w:rsidRDefault="00B1168E">
      <w:pPr>
        <w:rPr>
          <w:sz w:val="24"/>
        </w:rPr>
      </w:pPr>
      <w:r>
        <w:rPr>
          <w:sz w:val="24"/>
        </w:rPr>
        <w:t xml:space="preserve">   </w:t>
      </w:r>
    </w:p>
    <w:p w14:paraId="263AA188" w14:textId="77777777" w:rsidR="00687DE2" w:rsidRDefault="00B1168E">
      <w:pPr>
        <w:rPr>
          <w:sz w:val="24"/>
        </w:rPr>
      </w:pPr>
      <w:r>
        <w:rPr>
          <w:noProof/>
          <w:sz w:val="24"/>
        </w:rPr>
        <mc:AlternateContent>
          <mc:Choice Requires="wps">
            <w:drawing>
              <wp:anchor distT="0" distB="0" distL="114300" distR="114300" simplePos="0" relativeHeight="251662336" behindDoc="0" locked="0" layoutInCell="1" allowOverlap="1" wp14:anchorId="030461E3" wp14:editId="5A2BFFE1">
                <wp:simplePos x="0" y="0"/>
                <wp:positionH relativeFrom="column">
                  <wp:posOffset>1610360</wp:posOffset>
                </wp:positionH>
                <wp:positionV relativeFrom="paragraph">
                  <wp:posOffset>71755</wp:posOffset>
                </wp:positionV>
                <wp:extent cx="1043305" cy="632460"/>
                <wp:effectExtent l="40005" t="13970" r="34290" b="64770"/>
                <wp:wrapNone/>
                <wp:docPr id="31" name="Straight Arrow Connector 31"/>
                <wp:cNvGraphicFramePr/>
                <a:graphic xmlns:a="http://schemas.openxmlformats.org/drawingml/2006/main">
                  <a:graphicData uri="http://schemas.microsoft.com/office/word/2010/wordprocessingShape">
                    <wps:wsp>
                      <wps:cNvCnPr/>
                      <wps:spPr>
                        <a:xfrm flipV="1">
                          <a:off x="0" y="0"/>
                          <a:ext cx="1043305" cy="63246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783D2F" id="Straight Arrow Connector 31" o:spid="_x0000_s1026" type="#_x0000_t32" style="position:absolute;margin-left:126.8pt;margin-top:5.65pt;width:82.15pt;height:49.8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" strokecolor="red" strokeweight="2pt">
                <v:stroke endarrow="open"/>
                <v:shadow on="t" color="black" opacity="24903f" origin=",.5" offset="0,.55556mm"/>
              </v:shape>
            </w:pict>
          </mc:Fallback>
        </mc:AlternateContent>
      </w:r>
    </w:p>
    <w:p w14:paraId="3253B3FA" w14:textId="77777777" w:rsidR="00687DE2" w:rsidRDefault="00687DE2">
      <w:pPr>
        <w:ind w:firstLineChars="250" w:firstLine="600"/>
        <w:rPr>
          <w:sz w:val="24"/>
        </w:rPr>
      </w:pPr>
    </w:p>
    <w:p w14:paraId="502C41EE" w14:textId="77777777" w:rsidR="00687DE2" w:rsidRDefault="00687DE2">
      <w:pPr>
        <w:ind w:firstLineChars="250" w:firstLine="600"/>
        <w:rPr>
          <w:sz w:val="24"/>
        </w:rPr>
      </w:pPr>
    </w:p>
    <w:p w14:paraId="4CEA2592" w14:textId="77777777" w:rsidR="00687DE2" w:rsidRDefault="00687DE2">
      <w:pPr>
        <w:ind w:firstLineChars="350" w:firstLine="840"/>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p>
    <w:p w14:paraId="4DB03146" w14:textId="77777777" w:rsidR="00687DE2" w:rsidRDefault="00B1168E">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7B5F1F18" w14:textId="77777777" w:rsidR="00687DE2" w:rsidRDefault="00B1168E">
      <w:pPr>
        <w:ind w:firstLineChars="350" w:firstLine="840"/>
        <w:rPr>
          <w:rFonts w:ascii="Times New Roman Regular" w:hAnsi="Times New Roman Regular" w:cs="Times New Roman Regular"/>
          <w:sz w:val="24"/>
          <w:szCs w:val="24"/>
        </w:rPr>
      </w:pPr>
      <w:proofErr w:type="gramStart"/>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0B38E5AA" w14:textId="77777777" w:rsidR="00687DE2" w:rsidRDefault="00687DE2">
      <w:pPr>
        <w:tabs>
          <w:tab w:val="left" w:pos="1230"/>
        </w:tabs>
        <w:spacing w:line="360" w:lineRule="auto"/>
        <w:jc w:val="center"/>
        <w:rPr>
          <w:rFonts w:ascii="Times New Roman Regular" w:hAnsi="Times New Roman Regular" w:cs="Times New Roman Regular"/>
          <w:sz w:val="24"/>
          <w:szCs w:val="24"/>
        </w:rPr>
      </w:pPr>
    </w:p>
    <w:p w14:paraId="20CF6DAC" w14:textId="77777777" w:rsidR="00687DE2" w:rsidRDefault="00687DE2">
      <w:pPr>
        <w:tabs>
          <w:tab w:val="left" w:pos="1230"/>
        </w:tabs>
        <w:spacing w:line="360" w:lineRule="auto"/>
        <w:jc w:val="both"/>
        <w:rPr>
          <w:rFonts w:ascii="Times New Roman" w:hAnsi="Times New Roman"/>
          <w:b/>
          <w:sz w:val="24"/>
          <w:szCs w:val="24"/>
        </w:rPr>
      </w:pPr>
    </w:p>
    <w:p w14:paraId="50AF1AD4" w14:textId="77777777" w:rsidR="00687DE2" w:rsidRDefault="00B1168E">
      <w:pPr>
        <w:tabs>
          <w:tab w:val="left" w:pos="1230"/>
        </w:tabs>
        <w:spacing w:line="360" w:lineRule="auto"/>
        <w:jc w:val="center"/>
        <w:rPr>
          <w:rFonts w:ascii="Times New Roman Italic" w:hAnsi="Times New Roman Italic" w:cs="Times New Roman Italic"/>
          <w:i/>
          <w:iCs/>
          <w:sz w:val="24"/>
          <w:szCs w:val="24"/>
        </w:rPr>
      </w:pPr>
      <w:r>
        <w:rPr>
          <w:rFonts w:ascii="Times New Roman" w:hAnsi="Times New Roman"/>
          <w:b/>
          <w:sz w:val="24"/>
          <w:szCs w:val="24"/>
        </w:rPr>
        <w:t>Figure 1. Framework of Thought</w:t>
      </w:r>
    </w:p>
    <w:p w14:paraId="68A50B75" w14:textId="77777777" w:rsidR="00687DE2" w:rsidRDefault="00687DE2">
      <w:pPr>
        <w:ind w:firstLineChars="250" w:firstLine="500"/>
        <w:jc w:val="both"/>
        <w:rPr>
          <w:rFonts w:ascii="Arial Regular" w:hAnsi="Arial Regular"/>
        </w:rPr>
      </w:pPr>
    </w:p>
    <w:p w14:paraId="1EB57C8B" w14:textId="77777777" w:rsidR="00687DE2" w:rsidRDefault="00B1168E">
      <w:pPr>
        <w:ind w:firstLineChars="250" w:firstLine="500"/>
        <w:jc w:val="both"/>
        <w:rPr>
          <w:rFonts w:ascii="Arial Regular" w:hAnsi="Arial Regular"/>
        </w:rPr>
      </w:pPr>
      <w:r>
        <w:rPr>
          <w:rFonts w:ascii="Arial Regular" w:hAnsi="Arial Regular"/>
        </w:rPr>
        <w:t>When quantitative data is required to examine the relationship between the independent variables—in this case, the size of the publ</w:t>
      </w:r>
      <w:r>
        <w:rPr>
          <w:rFonts w:ascii="Arial Regular" w:hAnsi="Arial Regular"/>
        </w:rPr>
        <w:t>ic accounting firm and the sustainability report on gross profit margin—this type of research, known as an associative explanatory study, is chosen. SPSS is used to process the data, and the variable corporate tax turnover ratio (CTTOR) serves as the inter</w:t>
      </w:r>
      <w:r>
        <w:rPr>
          <w:rFonts w:ascii="Arial Regular" w:hAnsi="Arial Regular"/>
        </w:rPr>
        <w:t>vening variable.</w:t>
      </w:r>
    </w:p>
    <w:p w14:paraId="3377AFB2" w14:textId="77777777" w:rsidR="00687DE2" w:rsidRDefault="00B1168E">
      <w:pPr>
        <w:ind w:firstLineChars="250" w:firstLine="500"/>
        <w:jc w:val="both"/>
        <w:rPr>
          <w:rFonts w:ascii="Arial Regular" w:hAnsi="Arial Regular"/>
        </w:rPr>
      </w:pPr>
      <w:r>
        <w:rPr>
          <w:rFonts w:ascii="Arial Regular" w:hAnsi="Arial Regular"/>
        </w:rPr>
        <w:t xml:space="preserve">The population </w:t>
      </w:r>
      <w:proofErr w:type="spellStart"/>
      <w:r>
        <w:rPr>
          <w:rFonts w:ascii="Arial Regular" w:hAnsi="Arial Regular"/>
        </w:rPr>
        <w:t>utilised</w:t>
      </w:r>
      <w:proofErr w:type="spellEnd"/>
      <w:r>
        <w:rPr>
          <w:rFonts w:ascii="Arial Regular" w:hAnsi="Arial Regular"/>
        </w:rPr>
        <w:t xml:space="preserve"> consists of 34 coal companies that sold their shares on the Indonesia Stock Exchange (IDX) over a three-year period, specifically from 2021 to 2023. This yields 102 data points overall, of which 96 are usable. This </w:t>
      </w:r>
      <w:r>
        <w:rPr>
          <w:rFonts w:ascii="Arial Regular" w:hAnsi="Arial Regular"/>
        </w:rPr>
        <w:t>figure will be lowered if any businesses fail to release financial reports that have undergone a public accounting firm audit. The following are the criteria considered for the company sample:</w:t>
      </w:r>
    </w:p>
    <w:p w14:paraId="119C1948" w14:textId="77777777" w:rsidR="00687DE2" w:rsidRDefault="00687DE2">
      <w:pPr>
        <w:ind w:firstLineChars="250" w:firstLine="500"/>
        <w:jc w:val="both"/>
        <w:rPr>
          <w:rFonts w:ascii="Arial Regular" w:hAnsi="Arial Regular"/>
        </w:rPr>
      </w:pPr>
    </w:p>
    <w:p w14:paraId="2C829BED" w14:textId="77777777" w:rsidR="00687DE2" w:rsidRDefault="00B1168E">
      <w:pPr>
        <w:pStyle w:val="NormalWeb"/>
        <w:spacing w:beforeAutospacing="0" w:afterAutospacing="0"/>
        <w:jc w:val="center"/>
        <w:rPr>
          <w:rFonts w:ascii="Arial Regular" w:hAnsi="Arial Regular" w:cs="Arial Regular"/>
          <w:b/>
          <w:bCs/>
          <w:sz w:val="20"/>
          <w:szCs w:val="20"/>
          <w:lang w:bidi="ar"/>
        </w:rPr>
      </w:pPr>
      <w:r>
        <w:rPr>
          <w:rFonts w:ascii="Arial Regular" w:hAnsi="Arial Regular" w:cs="Arial Regular"/>
          <w:b/>
          <w:bCs/>
          <w:sz w:val="20"/>
          <w:szCs w:val="20"/>
          <w:lang w:bidi="ar"/>
        </w:rPr>
        <w:t xml:space="preserve">Table 2. Criteria </w:t>
      </w:r>
    </w:p>
    <w:p w14:paraId="29A4927D" w14:textId="77777777" w:rsidR="00687DE2" w:rsidRDefault="00687DE2">
      <w:pPr>
        <w:pStyle w:val="NormalWeb"/>
        <w:spacing w:beforeAutospacing="0" w:afterAutospacing="0"/>
        <w:rPr>
          <w:rFonts w:ascii="Arial Regular" w:hAnsi="Arial Regular" w:cs="Arial Regular"/>
          <w:sz w:val="20"/>
          <w:szCs w:val="20"/>
          <w:lang w:bidi="ar"/>
        </w:rPr>
      </w:pPr>
    </w:p>
    <w:tbl>
      <w:tblPr>
        <w:tblStyle w:val="TableGrid"/>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394"/>
        <w:gridCol w:w="2442"/>
      </w:tblGrid>
      <w:tr w:rsidR="00687DE2" w14:paraId="53911561" w14:textId="77777777">
        <w:trPr>
          <w:trHeight w:val="350"/>
        </w:trPr>
        <w:tc>
          <w:tcPr>
            <w:tcW w:w="763" w:type="dxa"/>
          </w:tcPr>
          <w:p w14:paraId="29949283"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No.</w:t>
            </w:r>
          </w:p>
        </w:tc>
        <w:tc>
          <w:tcPr>
            <w:tcW w:w="4394" w:type="dxa"/>
          </w:tcPr>
          <w:p w14:paraId="43C581E8"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Criteria </w:t>
            </w:r>
          </w:p>
        </w:tc>
        <w:tc>
          <w:tcPr>
            <w:tcW w:w="2442" w:type="dxa"/>
          </w:tcPr>
          <w:p w14:paraId="0B1584B7"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 Company</w:t>
            </w:r>
          </w:p>
        </w:tc>
      </w:tr>
      <w:tr w:rsidR="00687DE2" w14:paraId="720E0DD8" w14:textId="77777777">
        <w:trPr>
          <w:trHeight w:val="1009"/>
        </w:trPr>
        <w:tc>
          <w:tcPr>
            <w:tcW w:w="763" w:type="dxa"/>
          </w:tcPr>
          <w:p w14:paraId="7FEE0D37"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1</w:t>
            </w:r>
          </w:p>
        </w:tc>
        <w:tc>
          <w:tcPr>
            <w:tcW w:w="4394" w:type="dxa"/>
          </w:tcPr>
          <w:tbl>
            <w:tblPr>
              <w:tblW w:w="0" w:type="auto"/>
              <w:tblCellMar>
                <w:left w:w="0" w:type="dxa"/>
                <w:right w:w="0" w:type="dxa"/>
              </w:tblCellMar>
              <w:tblLook w:val="04A0" w:firstRow="1" w:lastRow="0" w:firstColumn="1" w:lastColumn="0" w:noHBand="0" w:noVBand="1"/>
            </w:tblPr>
            <w:tblGrid>
              <w:gridCol w:w="4178"/>
            </w:tblGrid>
            <w:tr w:rsidR="00687DE2" w14:paraId="7D32FB3C" w14:textId="77777777">
              <w:tc>
                <w:tcPr>
                  <w:tcW w:w="0" w:type="auto"/>
                  <w:shd w:val="clear" w:color="auto" w:fill="auto"/>
                  <w:tcMar>
                    <w:left w:w="100" w:type="dxa"/>
                    <w:right w:w="100" w:type="dxa"/>
                  </w:tcMar>
                </w:tcPr>
                <w:p w14:paraId="6A7DF528"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lang w:bidi="ar"/>
                    </w:rPr>
                    <w:t xml:space="preserve">Coal companies </w:t>
                  </w:r>
                  <w:r>
                    <w:rPr>
                      <w:rFonts w:ascii="Arial Regular" w:hAnsi="Arial Regular" w:cs="Arial Regular"/>
                      <w:sz w:val="20"/>
                      <w:szCs w:val="20"/>
                      <w:lang w:bidi="ar"/>
                    </w:rPr>
                    <w:t>that sell their shares on the Indonesia Stock Exchange (IDX) during the research period (2021-2023).</w:t>
                  </w:r>
                </w:p>
              </w:tc>
            </w:tr>
          </w:tbl>
          <w:p w14:paraId="27DD28BB" w14:textId="77777777" w:rsidR="00687DE2" w:rsidRDefault="00687DE2">
            <w:pPr>
              <w:pStyle w:val="NormalWeb"/>
              <w:spacing w:beforeAutospacing="0" w:afterAutospacing="0"/>
              <w:rPr>
                <w:rFonts w:ascii="Arial Regular" w:hAnsi="Arial Regular" w:cs="Arial Regular"/>
                <w:sz w:val="20"/>
                <w:szCs w:val="20"/>
              </w:rPr>
            </w:pPr>
          </w:p>
        </w:tc>
        <w:tc>
          <w:tcPr>
            <w:tcW w:w="2442" w:type="dxa"/>
          </w:tcPr>
          <w:p w14:paraId="6A705231"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34</w:t>
            </w:r>
          </w:p>
        </w:tc>
      </w:tr>
      <w:tr w:rsidR="00687DE2" w14:paraId="3D709425" w14:textId="77777777">
        <w:trPr>
          <w:trHeight w:val="1273"/>
        </w:trPr>
        <w:tc>
          <w:tcPr>
            <w:tcW w:w="763" w:type="dxa"/>
          </w:tcPr>
          <w:p w14:paraId="203614D3"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c>
          <w:tcPr>
            <w:tcW w:w="4394" w:type="dxa"/>
          </w:tcPr>
          <w:p w14:paraId="55C9B825"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Companies that did not launch complete annual reports and financial statement records during the research period (2021-2023) </w:t>
            </w:r>
          </w:p>
        </w:tc>
        <w:tc>
          <w:tcPr>
            <w:tcW w:w="2442" w:type="dxa"/>
          </w:tcPr>
          <w:p w14:paraId="36AA46F2"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r>
      <w:tr w:rsidR="00687DE2" w14:paraId="2404D515" w14:textId="77777777">
        <w:trPr>
          <w:trHeight w:val="350"/>
        </w:trPr>
        <w:tc>
          <w:tcPr>
            <w:tcW w:w="5157" w:type="dxa"/>
            <w:gridSpan w:val="2"/>
          </w:tcPr>
          <w:p w14:paraId="22F02E4D" w14:textId="77777777" w:rsidR="00687DE2" w:rsidRDefault="00B1168E">
            <w:pPr>
              <w:pStyle w:val="NormalWeb"/>
              <w:spacing w:beforeAutospacing="0" w:afterAutospacing="0"/>
              <w:jc w:val="right"/>
              <w:rPr>
                <w:rFonts w:ascii="Arial Regular" w:hAnsi="Arial Regular" w:cs="Arial Regular"/>
                <w:sz w:val="20"/>
                <w:szCs w:val="20"/>
              </w:rPr>
            </w:pPr>
            <w:r>
              <w:rPr>
                <w:rFonts w:ascii="Arial Regular" w:hAnsi="Arial Regular" w:cs="Arial Regular"/>
                <w:sz w:val="20"/>
                <w:szCs w:val="20"/>
              </w:rPr>
              <w:t xml:space="preserve">Number of </w:t>
            </w:r>
            <w:r>
              <w:rPr>
                <w:rFonts w:ascii="Arial Regular" w:hAnsi="Arial Regular" w:cs="Arial Regular"/>
                <w:sz w:val="20"/>
                <w:szCs w:val="20"/>
              </w:rPr>
              <w:t>companies that fulfil the criteria</w:t>
            </w:r>
          </w:p>
        </w:tc>
        <w:tc>
          <w:tcPr>
            <w:tcW w:w="2442" w:type="dxa"/>
          </w:tcPr>
          <w:p w14:paraId="732D1829"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32</w:t>
            </w:r>
          </w:p>
        </w:tc>
      </w:tr>
      <w:tr w:rsidR="00687DE2" w14:paraId="5DB68F64" w14:textId="77777777">
        <w:trPr>
          <w:trHeight w:val="370"/>
        </w:trPr>
        <w:tc>
          <w:tcPr>
            <w:tcW w:w="5157" w:type="dxa"/>
            <w:gridSpan w:val="2"/>
          </w:tcPr>
          <w:p w14:paraId="686F4797" w14:textId="77777777" w:rsidR="00687DE2" w:rsidRDefault="00B1168E">
            <w:pPr>
              <w:pStyle w:val="NormalWeb"/>
              <w:wordWrap w:val="0"/>
              <w:spacing w:beforeAutospacing="0" w:afterAutospacing="0"/>
              <w:jc w:val="right"/>
              <w:rPr>
                <w:rFonts w:ascii="Arial Regular" w:hAnsi="Arial Regular" w:cs="Arial Regular"/>
                <w:sz w:val="20"/>
                <w:szCs w:val="20"/>
              </w:rPr>
            </w:pPr>
            <w:r>
              <w:rPr>
                <w:rFonts w:ascii="Arial Regular" w:hAnsi="Arial Regular" w:cs="Arial Regular"/>
                <w:sz w:val="20"/>
                <w:szCs w:val="20"/>
              </w:rPr>
              <w:t xml:space="preserve">Number of observation data  </w:t>
            </w:r>
          </w:p>
        </w:tc>
        <w:tc>
          <w:tcPr>
            <w:tcW w:w="2442" w:type="dxa"/>
          </w:tcPr>
          <w:p w14:paraId="101A5834"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96</w:t>
            </w:r>
          </w:p>
        </w:tc>
      </w:tr>
    </w:tbl>
    <w:p w14:paraId="3FA7DAA0" w14:textId="77777777" w:rsidR="00687DE2" w:rsidRDefault="00687DE2">
      <w:pPr>
        <w:pStyle w:val="NormalWeb"/>
        <w:spacing w:beforeAutospacing="0" w:afterAutospacing="0"/>
        <w:rPr>
          <w:sz w:val="23"/>
          <w:szCs w:val="23"/>
        </w:rPr>
      </w:pPr>
    </w:p>
    <w:p w14:paraId="257B0A29"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Linear regression equation</w:t>
      </w:r>
    </w:p>
    <w:p w14:paraId="7C419F28" w14:textId="77777777" w:rsidR="00687DE2" w:rsidRDefault="00687DE2">
      <w:pPr>
        <w:pStyle w:val="NormalWeb"/>
        <w:spacing w:beforeAutospacing="0" w:afterAutospacing="0"/>
        <w:rPr>
          <w:sz w:val="23"/>
          <w:szCs w:val="23"/>
        </w:rPr>
      </w:pPr>
    </w:p>
    <w:p w14:paraId="7C83C0AE" w14:textId="77777777" w:rsidR="00687DE2" w:rsidRDefault="00B1168E">
      <w:pPr>
        <w:tabs>
          <w:tab w:val="left" w:pos="420"/>
          <w:tab w:val="left" w:pos="630"/>
        </w:tabs>
        <w:rPr>
          <w:rFonts w:ascii="Times New Roman Regular" w:hAnsi="Times New Roman Regular" w:cs="Times New Roman Regular"/>
          <w:sz w:val="22"/>
          <w:szCs w:val="22"/>
        </w:rPr>
      </w:pPr>
      <w:r>
        <w:rPr>
          <w:rFonts w:ascii="Times New Roman Regular" w:hAnsi="Times New Roman Regular" w:cs="Times New Roman Regular"/>
          <w:sz w:val="22"/>
          <w:szCs w:val="22"/>
        </w:rPr>
        <w:tab/>
        <w:t xml:space="preserve">  The regression equation formula used </w:t>
      </w:r>
      <w:proofErr w:type="gramStart"/>
      <w:r>
        <w:rPr>
          <w:rFonts w:ascii="Times New Roman Regular" w:hAnsi="Times New Roman Regular" w:cs="Times New Roman Regular"/>
          <w:sz w:val="22"/>
          <w:szCs w:val="22"/>
        </w:rPr>
        <w:t>is :</w:t>
      </w:r>
      <w:proofErr w:type="gramEnd"/>
    </w:p>
    <w:p w14:paraId="6583DCDA" w14:textId="62401EAE" w:rsidR="00687DE2" w:rsidRDefault="00687DE2">
      <w:pPr>
        <w:tabs>
          <w:tab w:val="left" w:pos="420"/>
          <w:tab w:val="left" w:pos="630"/>
        </w:tabs>
        <w:rPr>
          <w:rFonts w:ascii="Times New Roman Regular" w:hAnsi="Times New Roman Regular" w:cs="Times New Roman Regular"/>
          <w:sz w:val="22"/>
          <w:szCs w:val="22"/>
        </w:rPr>
      </w:pPr>
    </w:p>
    <w:p w14:paraId="0EBC8AF6" w14:textId="77777777" w:rsidR="00687DE2" w:rsidRDefault="00B1168E">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w:r>
        <w:rPr>
          <w:rFonts w:ascii="Arial Regular" w:hAnsi="Arial Regular" w:cs="Arial Regular"/>
        </w:rPr>
        <w:t xml:space="preserve"> </w:t>
      </w:r>
      <w:r>
        <w:rPr>
          <w:rFonts w:ascii="Arial Regular" w:hAnsi="Arial Regular" w:cs="Arial Regular"/>
        </w:rPr>
        <w:tab/>
        <w:t xml:space="preserve">  </w:t>
      </w:r>
      <m:oMath>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+e</m:t>
        </m:r>
      </m:oMath>
      <w:r>
        <w:rPr>
          <w:rFonts w:ascii="Arial Regular" w:hAnsi="Arial Regular" w:cs="Arial Regular"/>
          <w:vertAlign w:val="subscript"/>
        </w:rPr>
        <w:t>1</w:t>
      </w:r>
      <w:r>
        <w:rPr>
          <w:rFonts w:ascii="Arial Regular" w:hAnsi="Arial Regular" w:cs="Arial Regular"/>
        </w:rPr>
        <w:t xml:space="preserve">                         ..........    equation 1</w:t>
      </w:r>
    </w:p>
    <w:p w14:paraId="722BCB31" w14:textId="77777777" w:rsidR="00687DE2" w:rsidRDefault="00B1168E">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m:oMath>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3</m:t>
            </m:r>
          </m:sub>
        </m:sSub>
        <m:r>
          <m:rPr>
            <m:sty m:val="p"/>
          </m:rPr>
          <w:rPr>
            <w:rFonts w:ascii="DejaVu Math TeX Gyre" w:hAnsi="DejaVu Math TeX Gyre" w:cs="Arial Regular"/>
          </w:rPr>
          <m:t xml:space="preserve"> z+e</m:t>
        </m:r>
      </m:oMath>
      <w:r>
        <w:rPr>
          <w:rFonts w:ascii="Arial Regular" w:hAnsi="Arial Regular" w:cs="Arial Regular"/>
          <w:vertAlign w:val="subscript"/>
        </w:rPr>
        <w:t xml:space="preserve">  2                    </w:t>
      </w:r>
      <w:r>
        <w:rPr>
          <w:rFonts w:ascii="Arial Regular" w:hAnsi="Arial Regular" w:cs="Arial Regular"/>
        </w:rPr>
        <w:t>.......…   equation 2</w:t>
      </w:r>
    </w:p>
    <w:p w14:paraId="151F101D" w14:textId="77777777" w:rsidR="00687DE2" w:rsidRDefault="00687DE2">
      <w:pPr>
        <w:tabs>
          <w:tab w:val="left" w:pos="420"/>
          <w:tab w:val="left" w:pos="630"/>
        </w:tabs>
        <w:rPr>
          <w:rFonts w:ascii="Arial Regular" w:hAnsi="Arial Regular" w:cs="Arial Regular"/>
        </w:rPr>
      </w:pPr>
    </w:p>
    <w:p w14:paraId="63B9DF02" w14:textId="77777777" w:rsidR="00687DE2" w:rsidRDefault="00687DE2">
      <w:pPr>
        <w:tabs>
          <w:tab w:val="left" w:pos="420"/>
          <w:tab w:val="left" w:pos="630"/>
        </w:tabs>
        <w:rPr>
          <w:rFonts w:ascii="Times New Roman Regular" w:hAnsi="Times New Roman Regular" w:cs="Times New Roman Regular"/>
          <w:sz w:val="22"/>
          <w:szCs w:val="22"/>
        </w:rPr>
      </w:pPr>
    </w:p>
    <w:p w14:paraId="6CAD2B96" w14:textId="77777777" w:rsidR="00687DE2" w:rsidRDefault="00B1168E">
      <w:pPr>
        <w:tabs>
          <w:tab w:val="left" w:pos="420"/>
          <w:tab w:val="left" w:pos="630"/>
        </w:tabs>
        <w:rPr>
          <w:rFonts w:ascii="Arial Bold" w:hAnsi="Arial Bold" w:cs="Arial Bold"/>
          <w:b/>
          <w:bCs/>
        </w:rPr>
      </w:pPr>
      <w:r>
        <w:rPr>
          <w:rFonts w:ascii="Arial Bold" w:hAnsi="Arial Bold" w:cs="Arial Bold"/>
          <w:b/>
          <w:bCs/>
        </w:rPr>
        <w:t>Description:</w:t>
      </w:r>
    </w:p>
    <w:p w14:paraId="4A6E0DDB" w14:textId="77777777" w:rsidR="00687DE2" w:rsidRDefault="00B1168E">
      <w:pPr>
        <w:tabs>
          <w:tab w:val="left" w:pos="420"/>
          <w:tab w:val="left" w:pos="630"/>
        </w:tabs>
        <w:rPr>
          <w:rFonts w:ascii="Arial" w:hAnsi="Arial" w:cs="Arial"/>
        </w:rPr>
      </w:pPr>
      <w:r>
        <w:rPr>
          <w:rFonts w:ascii="Arial Regular" w:hAnsi="Arial Regular" w:cs="Arial Regular"/>
        </w:rPr>
        <w:t xml:space="preserve">a </w:t>
      </w:r>
      <w:r>
        <w:rPr>
          <w:rFonts w:ascii="Arial Regular" w:hAnsi="Arial Regular" w:cs="Arial Regular"/>
        </w:rPr>
        <w:tab/>
      </w:r>
      <w:r>
        <w:rPr>
          <w:rFonts w:ascii="Arial Regular" w:hAnsi="Arial Regular" w:cs="Arial Regular"/>
        </w:rPr>
        <w:tab/>
      </w:r>
      <w:r>
        <w:rPr>
          <w:rFonts w:ascii="Arial Regular" w:hAnsi="Arial Regular" w:cs="Arial Regular"/>
        </w:rPr>
        <w:tab/>
        <w:t xml:space="preserve">   =     </w:t>
      </w:r>
      <w:r>
        <w:rPr>
          <w:rFonts w:ascii="Arial" w:hAnsi="Arial" w:cs="Arial"/>
        </w:rPr>
        <w:t>Constant</w:t>
      </w:r>
    </w:p>
    <w:p w14:paraId="7B1667D7" w14:textId="77777777" w:rsidR="00687DE2" w:rsidRDefault="00B1168E">
      <w:pPr>
        <w:tabs>
          <w:tab w:val="left" w:pos="420"/>
          <w:tab w:val="left" w:pos="630"/>
        </w:tabs>
        <w:rPr>
          <w:rFonts w:ascii="Arial" w:hAnsi="Arial" w:cs="Arial"/>
        </w:rPr>
      </w:pPr>
      <w:r>
        <w:rPr>
          <w:rFonts w:ascii="Arial" w:hAnsi="Arial" w:cs="Arial"/>
        </w:rPr>
        <w:t>x</w:t>
      </w:r>
      <w:r>
        <w:rPr>
          <w:rFonts w:ascii="Arial" w:hAnsi="Arial" w:cs="Arial"/>
          <w:vertAlign w:val="subscript"/>
        </w:rPr>
        <w:t>1</w:t>
      </w:r>
      <w:r>
        <w:rPr>
          <w:rFonts w:ascii="Arial" w:hAnsi="Arial" w:cs="Arial"/>
        </w:rPr>
        <w:tab/>
      </w:r>
      <w:r>
        <w:rPr>
          <w:rFonts w:ascii="Arial" w:hAnsi="Arial" w:cs="Arial"/>
        </w:rPr>
        <w:tab/>
      </w:r>
      <w:r>
        <w:rPr>
          <w:rFonts w:ascii="Arial" w:hAnsi="Arial" w:cs="Arial"/>
        </w:rPr>
        <w:tab/>
        <w:t xml:space="preserve">   =     Public accounting firm size</w:t>
      </w:r>
    </w:p>
    <w:p w14:paraId="259AA8C8" w14:textId="77777777" w:rsidR="00687DE2" w:rsidRDefault="00B1168E">
      <w:pPr>
        <w:tabs>
          <w:tab w:val="left" w:pos="420"/>
          <w:tab w:val="left" w:pos="630"/>
        </w:tabs>
        <w:rPr>
          <w:rFonts w:ascii="Arial" w:hAnsi="Arial" w:cs="Arial"/>
        </w:rPr>
      </w:pPr>
      <w:r>
        <w:rPr>
          <w:rFonts w:ascii="Arial" w:hAnsi="Arial" w:cs="Arial"/>
        </w:rPr>
        <w:t>x</w:t>
      </w:r>
      <w:r>
        <w:rPr>
          <w:rFonts w:ascii="Arial" w:hAnsi="Arial" w:cs="Arial"/>
          <w:vertAlign w:val="subscript"/>
        </w:rPr>
        <w:t>2</w:t>
      </w:r>
      <w:r>
        <w:rPr>
          <w:rFonts w:ascii="Arial" w:hAnsi="Arial" w:cs="Arial"/>
        </w:rPr>
        <w:tab/>
      </w:r>
      <w:r>
        <w:rPr>
          <w:rFonts w:ascii="Arial" w:hAnsi="Arial" w:cs="Arial"/>
        </w:rPr>
        <w:tab/>
        <w:t xml:space="preserve">     =     Sustainability report</w:t>
      </w:r>
    </w:p>
    <w:p w14:paraId="3949B5EE" w14:textId="77777777" w:rsidR="00687DE2" w:rsidRDefault="00B1168E">
      <w:pPr>
        <w:tabs>
          <w:tab w:val="left" w:pos="420"/>
          <w:tab w:val="left" w:pos="630"/>
        </w:tabs>
        <w:rPr>
          <w:rFonts w:ascii="Arial" w:hAnsi="Arial" w:cs="Arial"/>
        </w:rPr>
      </w:pPr>
      <w:r>
        <w:rPr>
          <w:rFonts w:ascii="Arial" w:hAnsi="Arial" w:cs="Arial"/>
        </w:rPr>
        <w:t>Y</w:t>
      </w:r>
      <w:r>
        <w:rPr>
          <w:rFonts w:ascii="Arial" w:hAnsi="Arial" w:cs="Arial"/>
          <w:vertAlign w:val="subscript"/>
        </w:rPr>
        <w:tab/>
      </w:r>
      <w:r>
        <w:rPr>
          <w:rFonts w:ascii="Arial" w:hAnsi="Arial" w:cs="Arial"/>
          <w:vertAlign w:val="subscript"/>
        </w:rPr>
        <w:tab/>
      </w:r>
      <w:r>
        <w:rPr>
          <w:rFonts w:ascii="Arial" w:hAnsi="Arial" w:cs="Arial"/>
          <w:vertAlign w:val="subscript"/>
        </w:rPr>
        <w:tab/>
        <w:t xml:space="preserve">     </w:t>
      </w:r>
      <w:r>
        <w:rPr>
          <w:rFonts w:ascii="Arial" w:hAnsi="Arial" w:cs="Arial"/>
        </w:rPr>
        <w:t>=     Gross profit margin</w:t>
      </w:r>
    </w:p>
    <w:p w14:paraId="5BD54AEB" w14:textId="77777777" w:rsidR="00687DE2" w:rsidRDefault="00B1168E">
      <w:pPr>
        <w:tabs>
          <w:tab w:val="left" w:pos="420"/>
          <w:tab w:val="left" w:pos="630"/>
        </w:tabs>
        <w:rPr>
          <w:rFonts w:ascii="Arial" w:hAnsi="Arial" w:cs="Arial"/>
        </w:rPr>
      </w:pPr>
      <w:r>
        <w:rPr>
          <w:rFonts w:ascii="Arial" w:hAnsi="Arial" w:cs="Arial"/>
        </w:rPr>
        <w:t>z</w:t>
      </w:r>
      <w:r>
        <w:rPr>
          <w:rFonts w:ascii="Arial" w:hAnsi="Arial" w:cs="Arial"/>
        </w:rPr>
        <w:tab/>
      </w:r>
      <w:r>
        <w:rPr>
          <w:rFonts w:ascii="Arial" w:hAnsi="Arial" w:cs="Arial"/>
        </w:rPr>
        <w:tab/>
      </w:r>
      <w:r>
        <w:rPr>
          <w:rFonts w:ascii="Arial" w:hAnsi="Arial" w:cs="Arial"/>
        </w:rPr>
        <w:tab/>
        <w:t xml:space="preserve">   =     Corporate tax </w:t>
      </w:r>
      <w:proofErr w:type="spellStart"/>
      <w:r>
        <w:rPr>
          <w:rFonts w:ascii="Arial" w:hAnsi="Arial" w:cs="Arial"/>
        </w:rPr>
        <w:t>turn over</w:t>
      </w:r>
      <w:proofErr w:type="spellEnd"/>
      <w:r>
        <w:rPr>
          <w:rFonts w:ascii="Arial" w:hAnsi="Arial" w:cs="Arial"/>
        </w:rPr>
        <w:t xml:space="preserve"> ratio (CTTOR)</w:t>
      </w:r>
    </w:p>
    <w:p w14:paraId="20A802F3" w14:textId="77777777" w:rsidR="00687DE2" w:rsidRDefault="00B1168E">
      <w:pPr>
        <w:tabs>
          <w:tab w:val="left" w:pos="420"/>
          <w:tab w:val="left" w:pos="630"/>
        </w:tabs>
        <w:rPr>
          <w:rFonts w:ascii="Arial" w:hAnsi="Arial" w:cs="Arial"/>
        </w:rPr>
      </w:pPr>
      <w:r>
        <w:rPr>
          <w:rFonts w:ascii="Arial" w:hAnsi="Arial" w:cs="Arial"/>
        </w:rPr>
        <w:t xml:space="preserve">β       </w:t>
      </w:r>
      <w:r>
        <w:rPr>
          <w:rFonts w:ascii="Arial" w:hAnsi="Arial" w:cs="Arial"/>
        </w:rPr>
        <w:t xml:space="preserve">       =     Regression direction coefficient</w:t>
      </w:r>
    </w:p>
    <w:p w14:paraId="6885D521" w14:textId="77777777" w:rsidR="00687DE2" w:rsidRDefault="00B1168E">
      <w:pPr>
        <w:tabs>
          <w:tab w:val="left" w:pos="420"/>
          <w:tab w:val="left" w:pos="630"/>
        </w:tabs>
        <w:rPr>
          <w:rFonts w:ascii="Arial" w:hAnsi="Arial" w:cs="Arial"/>
        </w:rPr>
      </w:pPr>
      <w:r>
        <w:rPr>
          <w:rFonts w:ascii="Arial" w:hAnsi="Arial" w:cs="Arial"/>
        </w:rPr>
        <w:t>e</w:t>
      </w:r>
      <w:r>
        <w:rPr>
          <w:rFonts w:ascii="Arial" w:hAnsi="Arial" w:cs="Arial"/>
          <w:vertAlign w:val="subscript"/>
        </w:rPr>
        <w:t xml:space="preserve">1 </w:t>
      </w:r>
      <w:r>
        <w:rPr>
          <w:rFonts w:ascii="Arial" w:hAnsi="Arial" w:cs="Arial"/>
        </w:rPr>
        <w:t>and e</w:t>
      </w:r>
      <w:proofErr w:type="gramStart"/>
      <w:r>
        <w:rPr>
          <w:rFonts w:ascii="Arial" w:hAnsi="Arial" w:cs="Arial"/>
          <w:vertAlign w:val="subscript"/>
        </w:rPr>
        <w:t>2</w:t>
      </w:r>
      <w:r>
        <w:rPr>
          <w:rFonts w:ascii="Arial" w:hAnsi="Arial" w:cs="Arial"/>
        </w:rPr>
        <w:t xml:space="preserve">  =</w:t>
      </w:r>
      <w:proofErr w:type="gramEnd"/>
      <w:r>
        <w:rPr>
          <w:rFonts w:ascii="Arial" w:hAnsi="Arial" w:cs="Arial"/>
        </w:rPr>
        <w:t xml:space="preserve">     Error</w:t>
      </w:r>
    </w:p>
    <w:p w14:paraId="714E3D4F" w14:textId="77777777" w:rsidR="00687DE2" w:rsidRDefault="00687DE2">
      <w:pPr>
        <w:tabs>
          <w:tab w:val="left" w:pos="420"/>
          <w:tab w:val="left" w:pos="630"/>
        </w:tabs>
        <w:rPr>
          <w:rFonts w:ascii="Arial" w:eastAsia="Helvetica" w:hAnsi="Arial" w:cs="Arial"/>
          <w:sz w:val="24"/>
        </w:rPr>
      </w:pPr>
    </w:p>
    <w:p w14:paraId="6192F63C" w14:textId="77777777" w:rsidR="00687DE2" w:rsidRDefault="00B1168E">
      <w:pPr>
        <w:pStyle w:val="AbstHead"/>
        <w:numPr>
          <w:ilvl w:val="0"/>
          <w:numId w:val="3"/>
        </w:numPr>
        <w:spacing w:after="0"/>
        <w:jc w:val="both"/>
        <w:rPr>
          <w:rFonts w:ascii="Arial Bold" w:hAnsi="Arial Bold" w:cs="Arial Bold"/>
          <w:szCs w:val="22"/>
        </w:rPr>
      </w:pPr>
      <w:r>
        <w:rPr>
          <w:rFonts w:ascii="Arial Bold" w:hAnsi="Arial Bold" w:cs="Arial Bold"/>
          <w:szCs w:val="22"/>
        </w:rPr>
        <w:t xml:space="preserve">   RESULTS AND DISCUSSION</w:t>
      </w:r>
    </w:p>
    <w:p w14:paraId="5DFD436C" w14:textId="77777777" w:rsidR="00687DE2" w:rsidRDefault="00687DE2">
      <w:pPr>
        <w:pStyle w:val="AbstHead"/>
        <w:spacing w:after="0"/>
        <w:jc w:val="both"/>
        <w:rPr>
          <w:rFonts w:ascii="Arial Regular" w:hAnsi="Arial Regular" w:cs="Arial Regular"/>
          <w:bCs/>
          <w:szCs w:val="22"/>
        </w:rPr>
      </w:pPr>
    </w:p>
    <w:p w14:paraId="58106817" w14:textId="77777777" w:rsidR="00687DE2" w:rsidRDefault="00B1168E">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CLASSICAL ASSUMPTION TEST </w:t>
      </w:r>
    </w:p>
    <w:p w14:paraId="08761CBD" w14:textId="77777777" w:rsidR="00687DE2" w:rsidRDefault="00687DE2">
      <w:pPr>
        <w:pStyle w:val="NormalWeb"/>
        <w:spacing w:beforeAutospacing="0" w:afterAutospacing="0"/>
        <w:ind w:left="111"/>
        <w:rPr>
          <w:rFonts w:ascii="Arial Bold" w:hAnsi="Arial Bold" w:cs="Arial Bold"/>
          <w:b/>
          <w:bCs/>
          <w:sz w:val="20"/>
          <w:szCs w:val="20"/>
        </w:rPr>
      </w:pPr>
    </w:p>
    <w:p w14:paraId="36394518" w14:textId="77777777" w:rsidR="00687DE2" w:rsidRDefault="00B1168E">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t xml:space="preserve">A total of 96 sample data will be used in this investigation. The descriptive test, which is the first traditional assumption </w:t>
      </w:r>
      <w:r>
        <w:rPr>
          <w:rFonts w:ascii="Arial" w:hAnsi="Arial" w:cs="Arial"/>
          <w:sz w:val="20"/>
          <w:szCs w:val="20"/>
        </w:rPr>
        <w:t xml:space="preserve">test, was used to determine the sample's mean, standard </w:t>
      </w:r>
      <w:r>
        <w:rPr>
          <w:rFonts w:ascii="Arial" w:hAnsi="Arial" w:cs="Arial"/>
          <w:sz w:val="20"/>
          <w:szCs w:val="20"/>
        </w:rPr>
        <w:lastRenderedPageBreak/>
        <w:t>deviation, maximum, and minimum values. The outcome results are displayed in the table below.</w:t>
      </w:r>
    </w:p>
    <w:p w14:paraId="4E1C79AB" w14:textId="77777777" w:rsidR="00687DE2" w:rsidRDefault="00687DE2">
      <w:pPr>
        <w:pStyle w:val="NormalWeb"/>
        <w:spacing w:beforeAutospacing="0" w:afterAutospacing="0"/>
        <w:ind w:firstLineChars="250" w:firstLine="500"/>
        <w:jc w:val="both"/>
        <w:rPr>
          <w:rFonts w:ascii="Arial" w:hAnsi="Arial" w:cs="Arial"/>
          <w:sz w:val="20"/>
          <w:szCs w:val="20"/>
        </w:rPr>
      </w:pPr>
    </w:p>
    <w:p w14:paraId="357467B1" w14:textId="77777777" w:rsidR="00687DE2" w:rsidRDefault="00687DE2">
      <w:pPr>
        <w:pStyle w:val="NormalWeb"/>
        <w:spacing w:beforeAutospacing="0" w:afterAutospacing="0"/>
        <w:ind w:firstLineChars="250" w:firstLine="500"/>
        <w:jc w:val="both"/>
        <w:rPr>
          <w:rFonts w:ascii="Arial" w:hAnsi="Arial" w:cs="Arial"/>
          <w:sz w:val="20"/>
          <w:szCs w:val="20"/>
        </w:rPr>
      </w:pPr>
    </w:p>
    <w:p w14:paraId="4DBAD195" w14:textId="77777777" w:rsidR="00687DE2" w:rsidRDefault="00687DE2">
      <w:pPr>
        <w:pStyle w:val="NormalWeb"/>
        <w:spacing w:beforeAutospacing="0" w:afterAutospacing="0"/>
        <w:ind w:firstLineChars="250" w:firstLine="500"/>
        <w:rPr>
          <w:rFonts w:ascii="Arial" w:hAnsi="Arial" w:cs="Arial"/>
          <w:sz w:val="20"/>
          <w:szCs w:val="20"/>
        </w:rPr>
      </w:pPr>
    </w:p>
    <w:p w14:paraId="13072AA2" w14:textId="77777777" w:rsidR="00687DE2" w:rsidRDefault="00687DE2">
      <w:pPr>
        <w:pStyle w:val="NormalWeb"/>
        <w:spacing w:beforeAutospacing="0" w:afterAutospacing="0"/>
        <w:ind w:firstLineChars="250" w:firstLine="500"/>
        <w:rPr>
          <w:rFonts w:ascii="Arial" w:hAnsi="Arial" w:cs="Arial"/>
          <w:sz w:val="20"/>
          <w:szCs w:val="20"/>
        </w:rPr>
      </w:pPr>
    </w:p>
    <w:p w14:paraId="14FB32BD" w14:textId="77777777" w:rsidR="00687DE2" w:rsidRDefault="00687DE2">
      <w:pPr>
        <w:pStyle w:val="NormalWeb"/>
        <w:spacing w:beforeAutospacing="0" w:afterAutospacing="0"/>
        <w:ind w:firstLineChars="250" w:firstLine="500"/>
        <w:rPr>
          <w:rFonts w:ascii="Arial" w:hAnsi="Arial" w:cs="Arial"/>
          <w:sz w:val="20"/>
          <w:szCs w:val="20"/>
        </w:rPr>
      </w:pPr>
    </w:p>
    <w:p w14:paraId="03D644BF" w14:textId="77777777" w:rsidR="00687DE2" w:rsidRDefault="00687DE2">
      <w:pPr>
        <w:pStyle w:val="NormalWeb"/>
        <w:spacing w:beforeAutospacing="0" w:afterAutospacing="0"/>
        <w:ind w:firstLineChars="250" w:firstLine="500"/>
        <w:rPr>
          <w:rFonts w:ascii="Arial" w:hAnsi="Arial" w:cs="Arial"/>
          <w:sz w:val="20"/>
          <w:szCs w:val="20"/>
        </w:rPr>
      </w:pPr>
    </w:p>
    <w:p w14:paraId="4E17FCD2" w14:textId="77777777" w:rsidR="00687DE2" w:rsidRDefault="00687DE2">
      <w:pPr>
        <w:pStyle w:val="NormalWeb"/>
        <w:spacing w:beforeAutospacing="0" w:afterAutospacing="0"/>
        <w:ind w:firstLineChars="250" w:firstLine="500"/>
        <w:rPr>
          <w:rFonts w:ascii="Arial" w:hAnsi="Arial" w:cs="Arial"/>
          <w:sz w:val="20"/>
          <w:szCs w:val="20"/>
        </w:rPr>
      </w:pPr>
    </w:p>
    <w:p w14:paraId="094AEF4A" w14:textId="77777777" w:rsidR="00687DE2" w:rsidRDefault="00687DE2">
      <w:pPr>
        <w:pStyle w:val="NormalWeb"/>
        <w:spacing w:beforeAutospacing="0" w:afterAutospacing="0"/>
        <w:ind w:firstLineChars="250" w:firstLine="500"/>
        <w:rPr>
          <w:rFonts w:ascii="Arial" w:hAnsi="Arial" w:cs="Arial"/>
          <w:sz w:val="20"/>
          <w:szCs w:val="20"/>
        </w:rPr>
      </w:pPr>
    </w:p>
    <w:p w14:paraId="1ACAAC0C"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Table 3</w:t>
      </w:r>
    </w:p>
    <w:p w14:paraId="6C370ABE"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Descriptive Results</w:t>
      </w:r>
    </w:p>
    <w:tbl>
      <w:tblPr>
        <w:tblpPr w:leftFromText="180" w:rightFromText="180" w:vertAnchor="text" w:horzAnchor="page" w:tblpX="2110" w:tblpY="96"/>
        <w:tblOverlap w:val="never"/>
        <w:tblW w:w="7945" w:type="dxa"/>
        <w:tblBorders>
          <w:top w:val="single" w:sz="4" w:space="0" w:color="152935"/>
          <w:left w:val="single" w:sz="4" w:space="0" w:color="152935"/>
          <w:bottom w:val="single" w:sz="4" w:space="0" w:color="152935"/>
          <w:right w:val="single" w:sz="4" w:space="0" w:color="152935"/>
          <w:insideH w:val="single" w:sz="4" w:space="0" w:color="152935"/>
          <w:insideV w:val="single" w:sz="4" w:space="0" w:color="152935"/>
        </w:tblBorders>
        <w:tblLayout w:type="fixed"/>
        <w:tblCellMar>
          <w:left w:w="0" w:type="dxa"/>
          <w:right w:w="0" w:type="dxa"/>
        </w:tblCellMar>
        <w:tblLook w:val="04A0" w:firstRow="1" w:lastRow="0" w:firstColumn="1" w:lastColumn="0" w:noHBand="0" w:noVBand="1"/>
      </w:tblPr>
      <w:tblGrid>
        <w:gridCol w:w="2164"/>
        <w:gridCol w:w="796"/>
        <w:gridCol w:w="1149"/>
        <w:gridCol w:w="1183"/>
        <w:gridCol w:w="1101"/>
        <w:gridCol w:w="1552"/>
      </w:tblGrid>
      <w:tr w:rsidR="00687DE2" w14:paraId="30539637" w14:textId="77777777">
        <w:trPr>
          <w:cantSplit/>
          <w:trHeight w:val="275"/>
        </w:trPr>
        <w:tc>
          <w:tcPr>
            <w:tcW w:w="7945" w:type="dxa"/>
            <w:gridSpan w:val="6"/>
            <w:tcBorders>
              <w:tl2br w:val="nil"/>
              <w:tr2bl w:val="nil"/>
            </w:tcBorders>
            <w:shd w:val="clear" w:color="auto" w:fill="auto"/>
            <w:vAlign w:val="center"/>
          </w:tcPr>
          <w:p w14:paraId="16A418AE"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Descriptive Statistics</w:t>
            </w:r>
          </w:p>
        </w:tc>
      </w:tr>
      <w:tr w:rsidR="00687DE2" w14:paraId="2E1BFBB3" w14:textId="77777777">
        <w:trPr>
          <w:cantSplit/>
          <w:trHeight w:val="518"/>
        </w:trPr>
        <w:tc>
          <w:tcPr>
            <w:tcW w:w="2164" w:type="dxa"/>
            <w:tcBorders>
              <w:tl2br w:val="nil"/>
              <w:tr2bl w:val="nil"/>
            </w:tcBorders>
            <w:shd w:val="clear" w:color="auto" w:fill="auto"/>
            <w:vAlign w:val="bottom"/>
          </w:tcPr>
          <w:p w14:paraId="11B68F01" w14:textId="77777777" w:rsidR="00687DE2" w:rsidRDefault="00687DE2">
            <w:pPr>
              <w:autoSpaceDE w:val="0"/>
              <w:autoSpaceDN w:val="0"/>
              <w:adjustRightInd w:val="0"/>
              <w:rPr>
                <w:rFonts w:ascii="Arial Regular" w:hAnsi="Arial Regular" w:cs="Arial Regular"/>
              </w:rPr>
            </w:pPr>
          </w:p>
        </w:tc>
        <w:tc>
          <w:tcPr>
            <w:tcW w:w="796" w:type="dxa"/>
            <w:tcBorders>
              <w:tl2br w:val="nil"/>
              <w:tr2bl w:val="nil"/>
            </w:tcBorders>
            <w:shd w:val="clear" w:color="auto" w:fill="auto"/>
            <w:vAlign w:val="bottom"/>
          </w:tcPr>
          <w:p w14:paraId="2398D6BB"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N</w:t>
            </w:r>
          </w:p>
        </w:tc>
        <w:tc>
          <w:tcPr>
            <w:tcW w:w="1149" w:type="dxa"/>
            <w:tcBorders>
              <w:tl2br w:val="nil"/>
              <w:tr2bl w:val="nil"/>
            </w:tcBorders>
            <w:shd w:val="clear" w:color="auto" w:fill="auto"/>
            <w:vAlign w:val="bottom"/>
          </w:tcPr>
          <w:p w14:paraId="397294B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Minimum</w:t>
            </w:r>
          </w:p>
        </w:tc>
        <w:tc>
          <w:tcPr>
            <w:tcW w:w="1183" w:type="dxa"/>
            <w:tcBorders>
              <w:tl2br w:val="nil"/>
              <w:tr2bl w:val="nil"/>
            </w:tcBorders>
            <w:shd w:val="clear" w:color="auto" w:fill="auto"/>
            <w:vAlign w:val="bottom"/>
          </w:tcPr>
          <w:p w14:paraId="7BBFB63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Maximum</w:t>
            </w:r>
          </w:p>
        </w:tc>
        <w:tc>
          <w:tcPr>
            <w:tcW w:w="1101" w:type="dxa"/>
            <w:tcBorders>
              <w:tl2br w:val="nil"/>
              <w:tr2bl w:val="nil"/>
            </w:tcBorders>
            <w:shd w:val="clear" w:color="auto" w:fill="auto"/>
            <w:vAlign w:val="bottom"/>
          </w:tcPr>
          <w:p w14:paraId="04BF8E92"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Mean</w:t>
            </w:r>
          </w:p>
        </w:tc>
        <w:tc>
          <w:tcPr>
            <w:tcW w:w="1552" w:type="dxa"/>
            <w:tcBorders>
              <w:tl2br w:val="nil"/>
              <w:tr2bl w:val="nil"/>
            </w:tcBorders>
            <w:shd w:val="clear" w:color="auto" w:fill="auto"/>
            <w:vAlign w:val="bottom"/>
          </w:tcPr>
          <w:p w14:paraId="43CD17E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Deviation</w:t>
            </w:r>
          </w:p>
        </w:tc>
      </w:tr>
      <w:tr w:rsidR="00687DE2" w14:paraId="6B2AA782" w14:textId="77777777">
        <w:trPr>
          <w:cantSplit/>
          <w:trHeight w:val="540"/>
        </w:trPr>
        <w:tc>
          <w:tcPr>
            <w:tcW w:w="2164" w:type="dxa"/>
            <w:tcBorders>
              <w:tl2br w:val="nil"/>
              <w:tr2bl w:val="nil"/>
            </w:tcBorders>
            <w:shd w:val="clear" w:color="auto" w:fill="auto"/>
          </w:tcPr>
          <w:p w14:paraId="0293CDA2"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 xml:space="preserve">Public Accountant </w:t>
            </w:r>
          </w:p>
          <w:p w14:paraId="7B447DE4"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Firm Size</w:t>
            </w:r>
          </w:p>
        </w:tc>
        <w:tc>
          <w:tcPr>
            <w:tcW w:w="796" w:type="dxa"/>
            <w:tcBorders>
              <w:tl2br w:val="nil"/>
              <w:tr2bl w:val="nil"/>
            </w:tcBorders>
            <w:shd w:val="clear" w:color="auto" w:fill="auto"/>
          </w:tcPr>
          <w:p w14:paraId="0D9E7CF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142C876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0B53C122"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2724DDB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.3229</w:t>
            </w:r>
          </w:p>
        </w:tc>
        <w:tc>
          <w:tcPr>
            <w:tcW w:w="1552" w:type="dxa"/>
            <w:tcBorders>
              <w:tl2br w:val="nil"/>
              <w:tr2bl w:val="nil"/>
            </w:tcBorders>
            <w:shd w:val="clear" w:color="auto" w:fill="auto"/>
          </w:tcPr>
          <w:p w14:paraId="4C5B71D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.47005</w:t>
            </w:r>
          </w:p>
        </w:tc>
      </w:tr>
      <w:tr w:rsidR="00687DE2" w14:paraId="434AB847" w14:textId="77777777">
        <w:trPr>
          <w:cantSplit/>
          <w:trHeight w:val="518"/>
        </w:trPr>
        <w:tc>
          <w:tcPr>
            <w:tcW w:w="2164" w:type="dxa"/>
            <w:tcBorders>
              <w:tl2br w:val="nil"/>
              <w:tr2bl w:val="nil"/>
            </w:tcBorders>
            <w:shd w:val="clear" w:color="auto" w:fill="auto"/>
          </w:tcPr>
          <w:p w14:paraId="5E6909BB"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796" w:type="dxa"/>
            <w:tcBorders>
              <w:tl2br w:val="nil"/>
              <w:tr2bl w:val="nil"/>
            </w:tcBorders>
            <w:shd w:val="clear" w:color="auto" w:fill="auto"/>
          </w:tcPr>
          <w:p w14:paraId="7EA72D2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6E7C831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39BEEE3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6CC679F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.8229</w:t>
            </w:r>
          </w:p>
        </w:tc>
        <w:tc>
          <w:tcPr>
            <w:tcW w:w="1552" w:type="dxa"/>
            <w:tcBorders>
              <w:tl2br w:val="nil"/>
              <w:tr2bl w:val="nil"/>
            </w:tcBorders>
            <w:shd w:val="clear" w:color="auto" w:fill="auto"/>
          </w:tcPr>
          <w:p w14:paraId="1542EB5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.38374</w:t>
            </w:r>
          </w:p>
        </w:tc>
      </w:tr>
      <w:tr w:rsidR="00687DE2" w14:paraId="66B4388E" w14:textId="77777777">
        <w:trPr>
          <w:cantSplit/>
          <w:trHeight w:val="518"/>
        </w:trPr>
        <w:tc>
          <w:tcPr>
            <w:tcW w:w="2164" w:type="dxa"/>
            <w:tcBorders>
              <w:tl2br w:val="nil"/>
              <w:tr2bl w:val="nil"/>
            </w:tcBorders>
            <w:shd w:val="clear" w:color="auto" w:fill="auto"/>
          </w:tcPr>
          <w:p w14:paraId="248C4F9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796" w:type="dxa"/>
            <w:tcBorders>
              <w:tl2br w:val="nil"/>
              <w:tr2bl w:val="nil"/>
            </w:tcBorders>
            <w:shd w:val="clear" w:color="auto" w:fill="auto"/>
          </w:tcPr>
          <w:p w14:paraId="35D5240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4CD2E1E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83" w:type="dxa"/>
            <w:tcBorders>
              <w:tl2br w:val="nil"/>
              <w:tr2bl w:val="nil"/>
            </w:tcBorders>
            <w:shd w:val="clear" w:color="auto" w:fill="auto"/>
          </w:tcPr>
          <w:p w14:paraId="5132175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.67</w:t>
            </w:r>
          </w:p>
        </w:tc>
        <w:tc>
          <w:tcPr>
            <w:tcW w:w="1101" w:type="dxa"/>
            <w:tcBorders>
              <w:tl2br w:val="nil"/>
              <w:tr2bl w:val="nil"/>
            </w:tcBorders>
            <w:shd w:val="clear" w:color="auto" w:fill="auto"/>
          </w:tcPr>
          <w:p w14:paraId="09B64112"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.2663</w:t>
            </w:r>
          </w:p>
        </w:tc>
        <w:tc>
          <w:tcPr>
            <w:tcW w:w="1552" w:type="dxa"/>
            <w:tcBorders>
              <w:tl2br w:val="nil"/>
              <w:tr2bl w:val="nil"/>
            </w:tcBorders>
            <w:shd w:val="clear" w:color="auto" w:fill="auto"/>
          </w:tcPr>
          <w:p w14:paraId="2FEB089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.24475</w:t>
            </w:r>
          </w:p>
        </w:tc>
      </w:tr>
      <w:tr w:rsidR="00687DE2" w14:paraId="44FD2A24" w14:textId="77777777">
        <w:trPr>
          <w:cantSplit/>
          <w:trHeight w:val="291"/>
        </w:trPr>
        <w:tc>
          <w:tcPr>
            <w:tcW w:w="2164" w:type="dxa"/>
            <w:tcBorders>
              <w:tl2br w:val="nil"/>
              <w:tr2bl w:val="nil"/>
            </w:tcBorders>
            <w:shd w:val="clear" w:color="auto" w:fill="auto"/>
          </w:tcPr>
          <w:p w14:paraId="2AEA7AED"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CTTOR</w:t>
            </w:r>
          </w:p>
        </w:tc>
        <w:tc>
          <w:tcPr>
            <w:tcW w:w="796" w:type="dxa"/>
            <w:tcBorders>
              <w:tl2br w:val="nil"/>
              <w:tr2bl w:val="nil"/>
            </w:tcBorders>
            <w:shd w:val="clear" w:color="auto" w:fill="auto"/>
          </w:tcPr>
          <w:p w14:paraId="007A99B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7A66A24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w:t>
            </w:r>
          </w:p>
        </w:tc>
        <w:tc>
          <w:tcPr>
            <w:tcW w:w="1183" w:type="dxa"/>
            <w:tcBorders>
              <w:tl2br w:val="nil"/>
              <w:tr2bl w:val="nil"/>
            </w:tcBorders>
            <w:shd w:val="clear" w:color="auto" w:fill="auto"/>
          </w:tcPr>
          <w:p w14:paraId="4E6C06C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.20</w:t>
            </w:r>
          </w:p>
        </w:tc>
        <w:tc>
          <w:tcPr>
            <w:tcW w:w="1101" w:type="dxa"/>
            <w:tcBorders>
              <w:tl2br w:val="nil"/>
              <w:tr2bl w:val="nil"/>
            </w:tcBorders>
            <w:shd w:val="clear" w:color="auto" w:fill="auto"/>
          </w:tcPr>
          <w:p w14:paraId="214D2A9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.0418</w:t>
            </w:r>
          </w:p>
        </w:tc>
        <w:tc>
          <w:tcPr>
            <w:tcW w:w="1552" w:type="dxa"/>
            <w:tcBorders>
              <w:tl2br w:val="nil"/>
              <w:tr2bl w:val="nil"/>
            </w:tcBorders>
            <w:shd w:val="clear" w:color="auto" w:fill="auto"/>
          </w:tcPr>
          <w:p w14:paraId="2868512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.04282</w:t>
            </w:r>
          </w:p>
        </w:tc>
      </w:tr>
      <w:tr w:rsidR="00687DE2" w14:paraId="0D3EDDDF" w14:textId="77777777">
        <w:trPr>
          <w:cantSplit/>
          <w:trHeight w:val="283"/>
        </w:trPr>
        <w:tc>
          <w:tcPr>
            <w:tcW w:w="2164" w:type="dxa"/>
            <w:tcBorders>
              <w:tl2br w:val="nil"/>
              <w:tr2bl w:val="nil"/>
            </w:tcBorders>
            <w:shd w:val="clear" w:color="auto" w:fill="auto"/>
          </w:tcPr>
          <w:p w14:paraId="3F468809"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Valid N (listwise)</w:t>
            </w:r>
          </w:p>
        </w:tc>
        <w:tc>
          <w:tcPr>
            <w:tcW w:w="796" w:type="dxa"/>
            <w:tcBorders>
              <w:tl2br w:val="nil"/>
              <w:tr2bl w:val="nil"/>
            </w:tcBorders>
            <w:shd w:val="clear" w:color="auto" w:fill="auto"/>
          </w:tcPr>
          <w:p w14:paraId="0FDD9CC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vAlign w:val="center"/>
          </w:tcPr>
          <w:p w14:paraId="43D39000" w14:textId="77777777" w:rsidR="00687DE2" w:rsidRDefault="00687DE2">
            <w:pPr>
              <w:autoSpaceDE w:val="0"/>
              <w:autoSpaceDN w:val="0"/>
              <w:adjustRightInd w:val="0"/>
              <w:rPr>
                <w:rFonts w:ascii="Arial Regular" w:hAnsi="Arial Regular" w:cs="Arial Regular"/>
              </w:rPr>
            </w:pPr>
          </w:p>
        </w:tc>
        <w:tc>
          <w:tcPr>
            <w:tcW w:w="1183" w:type="dxa"/>
            <w:tcBorders>
              <w:tl2br w:val="nil"/>
              <w:tr2bl w:val="nil"/>
            </w:tcBorders>
            <w:shd w:val="clear" w:color="auto" w:fill="auto"/>
            <w:vAlign w:val="center"/>
          </w:tcPr>
          <w:p w14:paraId="26481B74" w14:textId="77777777" w:rsidR="00687DE2" w:rsidRDefault="00687DE2">
            <w:pPr>
              <w:autoSpaceDE w:val="0"/>
              <w:autoSpaceDN w:val="0"/>
              <w:adjustRightInd w:val="0"/>
              <w:rPr>
                <w:rFonts w:ascii="Arial Regular" w:hAnsi="Arial Regular" w:cs="Arial Regular"/>
              </w:rPr>
            </w:pPr>
          </w:p>
        </w:tc>
        <w:tc>
          <w:tcPr>
            <w:tcW w:w="1101" w:type="dxa"/>
            <w:tcBorders>
              <w:tl2br w:val="nil"/>
              <w:tr2bl w:val="nil"/>
            </w:tcBorders>
            <w:shd w:val="clear" w:color="auto" w:fill="auto"/>
            <w:vAlign w:val="center"/>
          </w:tcPr>
          <w:p w14:paraId="3752079C" w14:textId="77777777" w:rsidR="00687DE2" w:rsidRDefault="00687DE2">
            <w:pPr>
              <w:autoSpaceDE w:val="0"/>
              <w:autoSpaceDN w:val="0"/>
              <w:adjustRightInd w:val="0"/>
              <w:rPr>
                <w:rFonts w:ascii="Arial Regular" w:hAnsi="Arial Regular" w:cs="Arial Regular"/>
              </w:rPr>
            </w:pPr>
          </w:p>
        </w:tc>
        <w:tc>
          <w:tcPr>
            <w:tcW w:w="1552" w:type="dxa"/>
            <w:tcBorders>
              <w:tl2br w:val="nil"/>
              <w:tr2bl w:val="nil"/>
            </w:tcBorders>
            <w:shd w:val="clear" w:color="auto" w:fill="auto"/>
            <w:vAlign w:val="center"/>
          </w:tcPr>
          <w:p w14:paraId="60FAB6AC" w14:textId="77777777" w:rsidR="00687DE2" w:rsidRDefault="00687DE2">
            <w:pPr>
              <w:autoSpaceDE w:val="0"/>
              <w:autoSpaceDN w:val="0"/>
              <w:adjustRightInd w:val="0"/>
              <w:rPr>
                <w:rFonts w:ascii="Arial Regular" w:hAnsi="Arial Regular" w:cs="Arial Regular"/>
              </w:rPr>
            </w:pPr>
          </w:p>
        </w:tc>
      </w:tr>
    </w:tbl>
    <w:p w14:paraId="3FD27161"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Regular" w:eastAsia="Helvetica" w:hAnsi="Times New Roman Regular" w:cs="Times New Roman Regular"/>
          <w:b/>
          <w:sz w:val="24"/>
          <w:szCs w:val="24"/>
        </w:rPr>
        <w:t xml:space="preserve">   </w:t>
      </w:r>
      <w:r>
        <w:rPr>
          <w:rFonts w:ascii="Times New Roman" w:eastAsia="SimSun" w:hAnsi="Times New Roman"/>
          <w:sz w:val="16"/>
          <w:szCs w:val="16"/>
          <w:vertAlign w:val="superscript"/>
        </w:rPr>
        <w:t>Source Secondary data processed using SPSS</w:t>
      </w:r>
    </w:p>
    <w:p w14:paraId="07546704" w14:textId="77777777" w:rsidR="00687DE2" w:rsidRDefault="00687DE2">
      <w:pPr>
        <w:pStyle w:val="NormalWeb"/>
        <w:spacing w:beforeAutospacing="0" w:afterAutospacing="0"/>
        <w:rPr>
          <w:sz w:val="23"/>
          <w:szCs w:val="23"/>
        </w:rPr>
      </w:pPr>
    </w:p>
    <w:p w14:paraId="4C00B096" w14:textId="77777777" w:rsidR="00687DE2" w:rsidRDefault="00B1168E">
      <w:pPr>
        <w:pStyle w:val="NormalWeb"/>
        <w:spacing w:beforeAutospacing="0" w:afterAutospacing="0"/>
        <w:ind w:firstLineChars="250" w:firstLine="500"/>
        <w:jc w:val="both"/>
        <w:rPr>
          <w:rFonts w:ascii="Arial" w:hAnsi="Arial" w:cs="Arial"/>
          <w:bCs/>
          <w:sz w:val="20"/>
          <w:szCs w:val="20"/>
        </w:rPr>
      </w:pPr>
      <w:r>
        <w:rPr>
          <w:rFonts w:ascii="Arial" w:hAnsi="Arial" w:cs="Arial"/>
          <w:bCs/>
          <w:sz w:val="20"/>
          <w:szCs w:val="20"/>
        </w:rPr>
        <w:t xml:space="preserve">Following an examination of the descriptive statistics, the normality test must be </w:t>
      </w:r>
    </w:p>
    <w:p w14:paraId="518343CE" w14:textId="77777777" w:rsidR="00687DE2" w:rsidRDefault="00B1168E">
      <w:pPr>
        <w:pStyle w:val="NormalWeb"/>
        <w:spacing w:beforeAutospacing="0" w:afterAutospacing="0"/>
        <w:jc w:val="both"/>
        <w:rPr>
          <w:rFonts w:ascii="Arial" w:hAnsi="Arial" w:cs="Arial"/>
          <w:bCs/>
          <w:sz w:val="20"/>
          <w:szCs w:val="20"/>
        </w:rPr>
      </w:pPr>
      <w:r>
        <w:rPr>
          <w:rFonts w:ascii="Arial" w:hAnsi="Arial" w:cs="Arial"/>
          <w:bCs/>
          <w:sz w:val="20"/>
          <w:szCs w:val="20"/>
        </w:rPr>
        <w:t>performed using the Kolmogorov-Smirnov non-parametric test to determine whether the research data from the sustainability report and the public accounting firm size variabl</w:t>
      </w:r>
      <w:r>
        <w:rPr>
          <w:rFonts w:ascii="Arial" w:hAnsi="Arial" w:cs="Arial"/>
          <w:bCs/>
          <w:sz w:val="20"/>
          <w:szCs w:val="20"/>
        </w:rPr>
        <w:t>e, which are independent variables, are normal with respect to the gross profit margin, which is the dependent variable, using CTTOR. Table 4 below provides a review of the test results:</w:t>
      </w:r>
    </w:p>
    <w:p w14:paraId="33CD2375" w14:textId="77777777" w:rsidR="00687DE2" w:rsidRDefault="00687DE2">
      <w:pPr>
        <w:tabs>
          <w:tab w:val="left" w:pos="420"/>
          <w:tab w:val="left" w:pos="630"/>
        </w:tabs>
        <w:rPr>
          <w:rFonts w:ascii="Arial" w:eastAsia="Helvetica" w:hAnsi="Arial" w:cs="Arial"/>
        </w:rPr>
      </w:pPr>
    </w:p>
    <w:p w14:paraId="5FD60F60" w14:textId="77777777" w:rsidR="00687DE2" w:rsidRDefault="00B1168E">
      <w:pPr>
        <w:tabs>
          <w:tab w:val="left" w:pos="420"/>
          <w:tab w:val="left" w:pos="630"/>
        </w:tabs>
        <w:jc w:val="center"/>
        <w:rPr>
          <w:rFonts w:ascii="Arial Bold" w:eastAsia="Helvetica" w:hAnsi="Arial Bold" w:cs="Arial Bold"/>
          <w:b/>
          <w:bCs/>
        </w:rPr>
      </w:pPr>
      <w:r>
        <w:rPr>
          <w:rFonts w:ascii="Arial Bold" w:eastAsia="Helvetica" w:hAnsi="Arial Bold" w:cs="Arial Bold"/>
          <w:b/>
          <w:bCs/>
        </w:rPr>
        <w:t>Table 4.</w:t>
      </w:r>
    </w:p>
    <w:p w14:paraId="3218C7D8" w14:textId="77777777" w:rsidR="00687DE2" w:rsidRDefault="00B1168E">
      <w:pPr>
        <w:tabs>
          <w:tab w:val="left" w:pos="420"/>
          <w:tab w:val="left" w:pos="630"/>
        </w:tabs>
        <w:jc w:val="center"/>
        <w:rPr>
          <w:rFonts w:ascii="Arial" w:eastAsia="Helvetica" w:hAnsi="Arial" w:cs="Arial"/>
        </w:rPr>
      </w:pPr>
      <w:r>
        <w:rPr>
          <w:rFonts w:ascii="Arial Bold" w:eastAsia="Helvetica" w:hAnsi="Arial Bold" w:cs="Arial Bold"/>
          <w:b/>
          <w:bCs/>
        </w:rPr>
        <w:t>Normality Test Results</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058"/>
      </w:tblGrid>
      <w:tr w:rsidR="00687DE2" w14:paraId="460ACF5A" w14:textId="77777777">
        <w:trPr>
          <w:trHeight w:val="281"/>
        </w:trPr>
        <w:tc>
          <w:tcPr>
            <w:tcW w:w="8280" w:type="dxa"/>
            <w:gridSpan w:val="2"/>
          </w:tcPr>
          <w:p w14:paraId="7BB76782" w14:textId="77777777" w:rsidR="00687DE2" w:rsidRDefault="00B1168E">
            <w:pPr>
              <w:jc w:val="center"/>
              <w:rPr>
                <w:rFonts w:ascii="Arial" w:hAnsi="Arial" w:cs="Arial"/>
                <w:sz w:val="20"/>
                <w:szCs w:val="20"/>
              </w:rPr>
            </w:pPr>
            <w:proofErr w:type="spellStart"/>
            <w:r>
              <w:rPr>
                <w:rFonts w:ascii="Arial" w:hAnsi="Arial" w:cs="Arial"/>
                <w:sz w:val="20"/>
                <w:szCs w:val="20"/>
              </w:rPr>
              <w:t>ASymp</w:t>
            </w:r>
            <w:proofErr w:type="spellEnd"/>
            <w:r>
              <w:rPr>
                <w:rFonts w:ascii="Arial" w:hAnsi="Arial" w:cs="Arial"/>
                <w:sz w:val="20"/>
                <w:szCs w:val="20"/>
              </w:rPr>
              <w:t>. Sig (2-tailed)</w:t>
            </w:r>
          </w:p>
        </w:tc>
      </w:tr>
      <w:tr w:rsidR="00687DE2" w14:paraId="43899730" w14:textId="77777777">
        <w:trPr>
          <w:trHeight w:val="281"/>
        </w:trPr>
        <w:tc>
          <w:tcPr>
            <w:tcW w:w="4222" w:type="dxa"/>
            <w:shd w:val="clear" w:color="auto" w:fill="E6E0EC" w:themeFill="accent4" w:themeFillTint="32"/>
          </w:tcPr>
          <w:p w14:paraId="27C1838B" w14:textId="77777777" w:rsidR="00687DE2" w:rsidRDefault="00B1168E">
            <w:pPr>
              <w:jc w:val="center"/>
              <w:rPr>
                <w:rFonts w:ascii="Arial" w:hAnsi="Arial" w:cs="Arial"/>
                <w:sz w:val="20"/>
                <w:szCs w:val="20"/>
              </w:rPr>
            </w:pPr>
            <w:r>
              <w:rPr>
                <w:rFonts w:ascii="Arial" w:hAnsi="Arial" w:cs="Arial"/>
                <w:sz w:val="20"/>
                <w:szCs w:val="20"/>
              </w:rPr>
              <w:t>Equation 1</w:t>
            </w:r>
          </w:p>
        </w:tc>
        <w:tc>
          <w:tcPr>
            <w:tcW w:w="4058" w:type="dxa"/>
            <w:shd w:val="clear" w:color="auto" w:fill="E6E0EC" w:themeFill="accent4" w:themeFillTint="32"/>
          </w:tcPr>
          <w:p w14:paraId="45E028CA" w14:textId="77777777" w:rsidR="00687DE2" w:rsidRDefault="00B1168E">
            <w:pPr>
              <w:jc w:val="center"/>
              <w:rPr>
                <w:rFonts w:ascii="Arial" w:hAnsi="Arial" w:cs="Arial"/>
                <w:sz w:val="20"/>
                <w:szCs w:val="20"/>
              </w:rPr>
            </w:pPr>
            <w:r>
              <w:rPr>
                <w:rFonts w:ascii="Arial" w:hAnsi="Arial" w:cs="Arial"/>
                <w:sz w:val="20"/>
                <w:szCs w:val="20"/>
              </w:rPr>
              <w:t>0.323</w:t>
            </w:r>
          </w:p>
        </w:tc>
      </w:tr>
      <w:tr w:rsidR="00687DE2" w14:paraId="70B1FC52" w14:textId="77777777">
        <w:trPr>
          <w:trHeight w:val="299"/>
        </w:trPr>
        <w:tc>
          <w:tcPr>
            <w:tcW w:w="4222" w:type="dxa"/>
            <w:shd w:val="clear" w:color="auto" w:fill="F2DCDC" w:themeFill="accent2" w:themeFillTint="32"/>
          </w:tcPr>
          <w:p w14:paraId="1079E30F" w14:textId="77777777" w:rsidR="00687DE2" w:rsidRDefault="00B1168E">
            <w:pPr>
              <w:jc w:val="center"/>
              <w:rPr>
                <w:rFonts w:ascii="Arial" w:hAnsi="Arial" w:cs="Arial"/>
                <w:sz w:val="20"/>
                <w:szCs w:val="20"/>
              </w:rPr>
            </w:pPr>
            <w:r>
              <w:rPr>
                <w:rFonts w:ascii="Arial" w:hAnsi="Arial" w:cs="Arial"/>
                <w:sz w:val="20"/>
                <w:szCs w:val="20"/>
              </w:rPr>
              <w:t>Equation 2</w:t>
            </w:r>
          </w:p>
        </w:tc>
        <w:tc>
          <w:tcPr>
            <w:tcW w:w="4058" w:type="dxa"/>
            <w:shd w:val="clear" w:color="auto" w:fill="F2DCDC" w:themeFill="accent2" w:themeFillTint="32"/>
          </w:tcPr>
          <w:p w14:paraId="2F086907" w14:textId="77777777" w:rsidR="00687DE2" w:rsidRDefault="00B1168E">
            <w:pPr>
              <w:jc w:val="center"/>
              <w:rPr>
                <w:rFonts w:ascii="Arial" w:hAnsi="Arial" w:cs="Arial"/>
                <w:sz w:val="20"/>
                <w:szCs w:val="20"/>
              </w:rPr>
            </w:pPr>
            <w:r>
              <w:rPr>
                <w:rFonts w:ascii="Arial" w:hAnsi="Arial" w:cs="Arial"/>
                <w:sz w:val="20"/>
                <w:szCs w:val="20"/>
              </w:rPr>
              <w:t>0.054</w:t>
            </w:r>
          </w:p>
        </w:tc>
      </w:tr>
    </w:tbl>
    <w:p w14:paraId="7729BA44"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16DBB2E0" w14:textId="77777777" w:rsidR="00687DE2" w:rsidRDefault="00687DE2">
      <w:pPr>
        <w:pStyle w:val="NormalWeb"/>
        <w:spacing w:beforeAutospacing="0" w:afterAutospacing="0"/>
        <w:ind w:left="111"/>
        <w:rPr>
          <w:sz w:val="23"/>
          <w:szCs w:val="23"/>
        </w:rPr>
      </w:pPr>
    </w:p>
    <w:p w14:paraId="0569EBB5" w14:textId="77777777" w:rsidR="00687DE2" w:rsidRDefault="00B1168E">
      <w:pPr>
        <w:pStyle w:val="NormalWeb"/>
        <w:spacing w:beforeAutospacing="0" w:afterAutospacing="0"/>
        <w:ind w:firstLineChars="250" w:firstLine="500"/>
        <w:jc w:val="both"/>
        <w:rPr>
          <w:rFonts w:ascii="Arial Regular" w:hAnsi="Arial Regular" w:cs="Arial Regular"/>
          <w:sz w:val="20"/>
          <w:szCs w:val="20"/>
        </w:rPr>
      </w:pPr>
      <w:r>
        <w:rPr>
          <w:rFonts w:ascii="Arial Regular" w:hAnsi="Arial Regular" w:cs="Arial Regular"/>
          <w:sz w:val="20"/>
          <w:szCs w:val="20"/>
        </w:rPr>
        <w:t xml:space="preserve">This study uses two linear equations that have been described previously. The normality test results listed in Table 4 produce a value of 0.323 for the first equation and 0.054 for the </w:t>
      </w:r>
      <w:r>
        <w:rPr>
          <w:rFonts w:ascii="Arial Regular" w:hAnsi="Arial Regular" w:cs="Arial Regular"/>
          <w:sz w:val="20"/>
          <w:szCs w:val="20"/>
        </w:rPr>
        <w:t>last equation. The regulation states that if the research data used is normally distributed, the significance value obtained must touch a number above 0.05 (α = 5%), but if otherwise, it is said to be not normally distributed, so the conclusions that can b</w:t>
      </w:r>
      <w:r>
        <w:rPr>
          <w:rFonts w:ascii="Arial Regular" w:hAnsi="Arial Regular" w:cs="Arial Regular"/>
          <w:sz w:val="20"/>
          <w:szCs w:val="20"/>
        </w:rPr>
        <w:t>e drawn for the two equations are normally distributed.</w:t>
      </w:r>
    </w:p>
    <w:p w14:paraId="4B84384C"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According to the multicollinearity test, Table 5 displays the findings if the data is deemed free of multicollinearity, with a variance inflation factor (VIF) of less than 10 and an independent variab</w:t>
      </w:r>
      <w:r>
        <w:rPr>
          <w:rFonts w:ascii="Arial Regular" w:hAnsi="Arial Regular"/>
          <w:sz w:val="20"/>
          <w:szCs w:val="20"/>
        </w:rPr>
        <w:t>le tolerance of greater than 0.1 (10%).</w:t>
      </w:r>
    </w:p>
    <w:p w14:paraId="2A70A8A2"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3F020D58"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4CC6AF2D"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5</w:t>
      </w:r>
    </w:p>
    <w:p w14:paraId="7D3B32C0"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Multicollinearity Test Results</w:t>
      </w:r>
    </w:p>
    <w:tbl>
      <w:tblPr>
        <w:tblStyle w:val="TableGrid"/>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114"/>
        <w:gridCol w:w="1954"/>
      </w:tblGrid>
      <w:tr w:rsidR="00687DE2" w14:paraId="27C117E4" w14:textId="77777777">
        <w:trPr>
          <w:trHeight w:val="323"/>
        </w:trPr>
        <w:tc>
          <w:tcPr>
            <w:tcW w:w="4131" w:type="dxa"/>
            <w:vMerge w:val="restart"/>
          </w:tcPr>
          <w:p w14:paraId="6316F50C" w14:textId="77777777" w:rsidR="00687DE2" w:rsidRDefault="00687DE2">
            <w:pPr>
              <w:tabs>
                <w:tab w:val="left" w:pos="420"/>
                <w:tab w:val="left" w:pos="630"/>
              </w:tabs>
              <w:jc w:val="center"/>
              <w:rPr>
                <w:rFonts w:ascii="Arial Regular" w:eastAsia="Helvetica" w:hAnsi="Arial Regular" w:cs="Arial Regular"/>
                <w:b/>
                <w:sz w:val="20"/>
                <w:szCs w:val="20"/>
              </w:rPr>
            </w:pPr>
          </w:p>
        </w:tc>
        <w:tc>
          <w:tcPr>
            <w:tcW w:w="4068" w:type="dxa"/>
            <w:gridSpan w:val="2"/>
          </w:tcPr>
          <w:p w14:paraId="02C3AC99" w14:textId="77777777" w:rsidR="00687DE2" w:rsidRDefault="00B1168E">
            <w:pPr>
              <w:jc w:val="center"/>
              <w:rPr>
                <w:rFonts w:ascii="Arial Regular" w:eastAsia="Helvetica" w:hAnsi="Arial Regular" w:cs="Arial Regular"/>
                <w:b/>
                <w:sz w:val="20"/>
                <w:szCs w:val="20"/>
              </w:rPr>
            </w:pPr>
            <w:r>
              <w:rPr>
                <w:rFonts w:ascii="Arial Regular" w:hAnsi="Arial Regular" w:cs="Arial Regular"/>
                <w:i/>
                <w:iCs/>
                <w:sz w:val="20"/>
                <w:szCs w:val="20"/>
              </w:rPr>
              <w:t>Collinearity Statistics</w:t>
            </w:r>
          </w:p>
        </w:tc>
      </w:tr>
      <w:tr w:rsidR="00687DE2" w14:paraId="4E2500EB" w14:textId="77777777">
        <w:trPr>
          <w:trHeight w:val="330"/>
        </w:trPr>
        <w:tc>
          <w:tcPr>
            <w:tcW w:w="4131" w:type="dxa"/>
            <w:vMerge/>
          </w:tcPr>
          <w:p w14:paraId="35BE430C" w14:textId="77777777" w:rsidR="00687DE2" w:rsidRDefault="00687DE2">
            <w:pPr>
              <w:tabs>
                <w:tab w:val="left" w:pos="420"/>
                <w:tab w:val="left" w:pos="630"/>
              </w:tabs>
              <w:jc w:val="center"/>
              <w:rPr>
                <w:rFonts w:ascii="Arial Regular" w:eastAsia="Helvetica" w:hAnsi="Arial Regular" w:cs="Arial Regular"/>
                <w:b/>
                <w:sz w:val="20"/>
                <w:szCs w:val="20"/>
              </w:rPr>
            </w:pPr>
          </w:p>
        </w:tc>
        <w:tc>
          <w:tcPr>
            <w:tcW w:w="2114" w:type="dxa"/>
            <w:vAlign w:val="bottom"/>
          </w:tcPr>
          <w:p w14:paraId="5F1EFD32"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i/>
                <w:iCs/>
                <w:sz w:val="20"/>
                <w:szCs w:val="20"/>
              </w:rPr>
              <w:t>Tolerance</w:t>
            </w:r>
          </w:p>
        </w:tc>
        <w:tc>
          <w:tcPr>
            <w:tcW w:w="1954" w:type="dxa"/>
            <w:vAlign w:val="bottom"/>
          </w:tcPr>
          <w:p w14:paraId="42E45F33"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sz w:val="20"/>
                <w:szCs w:val="20"/>
              </w:rPr>
              <w:t>VIF</w:t>
            </w:r>
          </w:p>
        </w:tc>
      </w:tr>
      <w:tr w:rsidR="00687DE2" w14:paraId="48608A56" w14:textId="77777777">
        <w:trPr>
          <w:trHeight w:val="323"/>
        </w:trPr>
        <w:tc>
          <w:tcPr>
            <w:tcW w:w="8199" w:type="dxa"/>
            <w:gridSpan w:val="3"/>
            <w:shd w:val="clear" w:color="auto" w:fill="B8CCE4" w:themeFill="accent1" w:themeFillTint="66"/>
          </w:tcPr>
          <w:p w14:paraId="7CA10598" w14:textId="77777777" w:rsidR="00687DE2" w:rsidRDefault="00B1168E">
            <w:pPr>
              <w:tabs>
                <w:tab w:val="left" w:pos="420"/>
                <w:tab w:val="left" w:pos="630"/>
              </w:tabs>
              <w:jc w:val="right"/>
              <w:rPr>
                <w:rFonts w:ascii="Arial Regular" w:eastAsia="Helvetica" w:hAnsi="Arial Regular" w:cs="Arial Regular"/>
                <w:b/>
                <w:sz w:val="20"/>
                <w:szCs w:val="20"/>
              </w:rPr>
            </w:pPr>
            <w:r>
              <w:rPr>
                <w:rFonts w:ascii="Arial Regular" w:eastAsia="Helvetica" w:hAnsi="Arial Regular" w:cs="Arial Regular"/>
                <w:b/>
                <w:sz w:val="20"/>
                <w:szCs w:val="20"/>
              </w:rPr>
              <w:t xml:space="preserve">Equation 1 </w:t>
            </w:r>
          </w:p>
        </w:tc>
      </w:tr>
      <w:tr w:rsidR="00687DE2" w14:paraId="1D3259B4" w14:textId="77777777">
        <w:trPr>
          <w:trHeight w:val="323"/>
        </w:trPr>
        <w:tc>
          <w:tcPr>
            <w:tcW w:w="4131" w:type="dxa"/>
          </w:tcPr>
          <w:p w14:paraId="3AA7D14C"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lastRenderedPageBreak/>
              <w:t>Public Accountant Firm Size</w:t>
            </w:r>
          </w:p>
        </w:tc>
        <w:tc>
          <w:tcPr>
            <w:tcW w:w="2114" w:type="dxa"/>
          </w:tcPr>
          <w:p w14:paraId="53151219"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6A64197A"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687DE2" w14:paraId="6BC8AB46" w14:textId="77777777">
        <w:trPr>
          <w:trHeight w:val="323"/>
        </w:trPr>
        <w:tc>
          <w:tcPr>
            <w:tcW w:w="4131" w:type="dxa"/>
          </w:tcPr>
          <w:p w14:paraId="2FA815F3"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5E5ED0A9"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7677C4E0"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687DE2" w14:paraId="4B36C287" w14:textId="77777777">
        <w:trPr>
          <w:trHeight w:val="323"/>
        </w:trPr>
        <w:tc>
          <w:tcPr>
            <w:tcW w:w="8199" w:type="dxa"/>
            <w:gridSpan w:val="3"/>
            <w:shd w:val="clear" w:color="auto" w:fill="B8CCE4" w:themeFill="accent1" w:themeFillTint="66"/>
          </w:tcPr>
          <w:p w14:paraId="0C5F9DD6" w14:textId="77777777" w:rsidR="00687DE2" w:rsidRDefault="00B1168E">
            <w:pPr>
              <w:tabs>
                <w:tab w:val="left" w:pos="420"/>
                <w:tab w:val="left" w:pos="630"/>
              </w:tabs>
              <w:jc w:val="right"/>
              <w:rPr>
                <w:rFonts w:ascii="Arial" w:eastAsia="Helvetica" w:hAnsi="Arial" w:cs="Arial"/>
                <w:bCs/>
                <w:sz w:val="20"/>
                <w:szCs w:val="20"/>
              </w:rPr>
            </w:pPr>
            <w:r>
              <w:rPr>
                <w:rFonts w:ascii="Arial" w:eastAsia="Helvetica" w:hAnsi="Arial" w:cs="Arial"/>
                <w:bCs/>
                <w:sz w:val="20"/>
                <w:szCs w:val="20"/>
              </w:rPr>
              <w:t>Equation 2</w:t>
            </w:r>
          </w:p>
        </w:tc>
      </w:tr>
      <w:tr w:rsidR="00687DE2" w14:paraId="2E07F4DB" w14:textId="77777777">
        <w:trPr>
          <w:trHeight w:val="323"/>
        </w:trPr>
        <w:tc>
          <w:tcPr>
            <w:tcW w:w="4131" w:type="dxa"/>
          </w:tcPr>
          <w:p w14:paraId="0ED1A032"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14:paraId="1AFB47E7"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0.687</w:t>
            </w:r>
          </w:p>
        </w:tc>
        <w:tc>
          <w:tcPr>
            <w:tcW w:w="1954" w:type="dxa"/>
          </w:tcPr>
          <w:p w14:paraId="35022310"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1.455</w:t>
            </w:r>
          </w:p>
        </w:tc>
      </w:tr>
      <w:tr w:rsidR="00687DE2" w14:paraId="1A5DC430" w14:textId="77777777">
        <w:trPr>
          <w:trHeight w:val="323"/>
        </w:trPr>
        <w:tc>
          <w:tcPr>
            <w:tcW w:w="4131" w:type="dxa"/>
          </w:tcPr>
          <w:p w14:paraId="02493973"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4E2D939E"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0.860</w:t>
            </w:r>
          </w:p>
        </w:tc>
        <w:tc>
          <w:tcPr>
            <w:tcW w:w="1954" w:type="dxa"/>
          </w:tcPr>
          <w:p w14:paraId="4584FFFF"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1.162</w:t>
            </w:r>
          </w:p>
        </w:tc>
      </w:tr>
      <w:tr w:rsidR="00687DE2" w14:paraId="3C658696" w14:textId="77777777">
        <w:trPr>
          <w:trHeight w:val="351"/>
        </w:trPr>
        <w:tc>
          <w:tcPr>
            <w:tcW w:w="4131" w:type="dxa"/>
          </w:tcPr>
          <w:p w14:paraId="1A3C2428" w14:textId="77777777" w:rsidR="00687DE2" w:rsidRDefault="00B1168E">
            <w:pPr>
              <w:tabs>
                <w:tab w:val="left" w:pos="420"/>
                <w:tab w:val="left" w:pos="630"/>
              </w:tabs>
              <w:rPr>
                <w:rFonts w:ascii="Arial" w:eastAsia="Helvetica" w:hAnsi="Arial" w:cs="Arial"/>
                <w:bCs/>
                <w:sz w:val="20"/>
                <w:szCs w:val="20"/>
              </w:rPr>
            </w:pPr>
            <w:r>
              <w:rPr>
                <w:rFonts w:ascii="Arial" w:hAnsi="Arial" w:cs="Arial"/>
                <w:bCs/>
                <w:sz w:val="20"/>
                <w:szCs w:val="20"/>
              </w:rPr>
              <w:t>CTTOR</w:t>
            </w:r>
          </w:p>
        </w:tc>
        <w:tc>
          <w:tcPr>
            <w:tcW w:w="2114" w:type="dxa"/>
          </w:tcPr>
          <w:p w14:paraId="1043C749"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0.680</w:t>
            </w:r>
          </w:p>
        </w:tc>
        <w:tc>
          <w:tcPr>
            <w:tcW w:w="1954" w:type="dxa"/>
          </w:tcPr>
          <w:p w14:paraId="1340EA34"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1.470</w:t>
            </w:r>
          </w:p>
        </w:tc>
      </w:tr>
    </w:tbl>
    <w:p w14:paraId="1DE8FD17"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Secondary data processed using SPSS</w:t>
      </w:r>
    </w:p>
    <w:p w14:paraId="0E42119B" w14:textId="77777777" w:rsidR="00687DE2" w:rsidRDefault="00687DE2">
      <w:pPr>
        <w:pStyle w:val="NormalWeb"/>
        <w:spacing w:beforeAutospacing="0" w:afterAutospacing="0"/>
        <w:ind w:firstLineChars="250" w:firstLine="500"/>
        <w:rPr>
          <w:rFonts w:ascii="Arial Regular" w:hAnsi="Arial Regular"/>
          <w:sz w:val="20"/>
          <w:szCs w:val="20"/>
        </w:rPr>
      </w:pPr>
    </w:p>
    <w:p w14:paraId="17AA2E45"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A regression method's tolerance value and variance inflation factor (VIF) value are two metrics that can reveal whether multicollinearity is present or not. Regressions with tolerance values greater than 0.01 or VIF values less than 10 are referred to as h</w:t>
      </w:r>
      <w:r>
        <w:rPr>
          <w:rFonts w:ascii="Arial Regular" w:hAnsi="Arial Regular"/>
          <w:sz w:val="20"/>
          <w:szCs w:val="20"/>
        </w:rPr>
        <w:t xml:space="preserve">aving no multicollinearity. The variables in the two equations listed in Table 5 generate tolerance values over 0.01 with all VIF values generated below the value of 10, as can be shown from the above table. This indicates that the variables </w:t>
      </w:r>
      <w:proofErr w:type="spellStart"/>
      <w:r>
        <w:rPr>
          <w:rFonts w:ascii="Arial Regular" w:hAnsi="Arial Regular"/>
          <w:sz w:val="20"/>
          <w:szCs w:val="20"/>
        </w:rPr>
        <w:t>utilised</w:t>
      </w:r>
      <w:proofErr w:type="spellEnd"/>
      <w:r>
        <w:rPr>
          <w:rFonts w:ascii="Arial Regular" w:hAnsi="Arial Regular"/>
          <w:sz w:val="20"/>
          <w:szCs w:val="20"/>
        </w:rPr>
        <w:t xml:space="preserve"> are n</w:t>
      </w:r>
      <w:r>
        <w:rPr>
          <w:rFonts w:ascii="Arial Regular" w:hAnsi="Arial Regular"/>
          <w:sz w:val="20"/>
          <w:szCs w:val="20"/>
        </w:rPr>
        <w:t>o longer subject to multicollinearity.</w:t>
      </w:r>
    </w:p>
    <w:p w14:paraId="76BDC110"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The </w:t>
      </w:r>
      <w:proofErr w:type="spellStart"/>
      <w:r>
        <w:rPr>
          <w:rFonts w:ascii="Arial Regular" w:hAnsi="Arial Regular"/>
          <w:sz w:val="20"/>
          <w:szCs w:val="20"/>
        </w:rPr>
        <w:t>Glejser</w:t>
      </w:r>
      <w:proofErr w:type="spellEnd"/>
      <w:r>
        <w:rPr>
          <w:rFonts w:ascii="Arial Regular" w:hAnsi="Arial Regular"/>
          <w:sz w:val="20"/>
          <w:szCs w:val="20"/>
        </w:rPr>
        <w:t xml:space="preserve"> test, which is the next test after multicollinearity, is used to determine heteroscedasticity. It must be completed prior to the autocorrelation test, and each study's regression equation should have an eq</w:t>
      </w:r>
      <w:r>
        <w:rPr>
          <w:rFonts w:ascii="Arial Regular" w:hAnsi="Arial Regular"/>
          <w:sz w:val="20"/>
          <w:szCs w:val="20"/>
        </w:rPr>
        <w:t>ual variance of errors in each independent variable. Heteroscedasticity in the regression model can be claimed if the absolute residual value (ABS) is less than 0.05, which is the test's absolute condition. Table 6 displays the findings of the heteroscedas</w:t>
      </w:r>
      <w:r>
        <w:rPr>
          <w:rFonts w:ascii="Arial Regular" w:hAnsi="Arial Regular"/>
          <w:sz w:val="20"/>
          <w:szCs w:val="20"/>
        </w:rPr>
        <w:t>ticity test used in this investigation.</w:t>
      </w:r>
    </w:p>
    <w:p w14:paraId="68A48543" w14:textId="77777777" w:rsidR="00687DE2" w:rsidRDefault="00B1168E">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t>The first equation in table 6 below yields values of 0.761 and 0.064 for the two independent variables—the size of the public accounting firm and the sustainability report—and 0.668, 0.183, and 0.618 for the second e</w:t>
      </w:r>
      <w:r>
        <w:rPr>
          <w:rFonts w:ascii="Arial" w:hAnsi="Arial" w:cs="Arial"/>
          <w:sz w:val="20"/>
          <w:szCs w:val="20"/>
        </w:rPr>
        <w:t>quation, which employs three independent variables: the size of the public accounting firm, the sustainability report, and CTTOR. Since all of the resulting values are greater than 0.05, it is possible to automatically conclude that there is no heterosceda</w:t>
      </w:r>
      <w:r>
        <w:rPr>
          <w:rFonts w:ascii="Arial" w:hAnsi="Arial" w:cs="Arial"/>
          <w:sz w:val="20"/>
          <w:szCs w:val="20"/>
        </w:rPr>
        <w:t>sticity based on this number.</w:t>
      </w:r>
    </w:p>
    <w:p w14:paraId="0A993E53" w14:textId="77777777" w:rsidR="00687DE2" w:rsidRDefault="00687DE2">
      <w:pPr>
        <w:pStyle w:val="NormalWeb"/>
        <w:spacing w:beforeAutospacing="0" w:afterAutospacing="0"/>
        <w:ind w:firstLineChars="250" w:firstLine="500"/>
        <w:jc w:val="both"/>
        <w:rPr>
          <w:rFonts w:ascii="Arial" w:hAnsi="Arial" w:cs="Arial"/>
          <w:sz w:val="20"/>
          <w:szCs w:val="20"/>
        </w:rPr>
      </w:pPr>
    </w:p>
    <w:p w14:paraId="33F8A79B" w14:textId="77777777" w:rsidR="00687DE2" w:rsidRDefault="00B1168E">
      <w:pPr>
        <w:widowControl w:val="0"/>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6</w:t>
      </w:r>
    </w:p>
    <w:p w14:paraId="6542BAA6"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 xml:space="preserve"> Heteroscedasticity Test Results</w:t>
      </w:r>
    </w:p>
    <w:tbl>
      <w:tblPr>
        <w:tblStyle w:val="TableGrid"/>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3346"/>
        <w:gridCol w:w="2557"/>
      </w:tblGrid>
      <w:tr w:rsidR="00687DE2" w14:paraId="043FDB2E" w14:textId="77777777">
        <w:trPr>
          <w:trHeight w:val="306"/>
        </w:trPr>
        <w:tc>
          <w:tcPr>
            <w:tcW w:w="5622" w:type="dxa"/>
            <w:gridSpan w:val="2"/>
            <w:tcBorders>
              <w:tl2br w:val="nil"/>
              <w:tr2bl w:val="nil"/>
            </w:tcBorders>
          </w:tcPr>
          <w:p w14:paraId="4BFF6E3C" w14:textId="77777777" w:rsidR="00687DE2" w:rsidRDefault="00687DE2">
            <w:pPr>
              <w:rPr>
                <w:rFonts w:ascii="Arial Regular" w:hAnsi="Arial Regular" w:cs="Arial Regular"/>
                <w:sz w:val="20"/>
                <w:szCs w:val="20"/>
              </w:rPr>
            </w:pPr>
          </w:p>
        </w:tc>
        <w:tc>
          <w:tcPr>
            <w:tcW w:w="2557" w:type="dxa"/>
            <w:tcBorders>
              <w:tl2br w:val="nil"/>
              <w:tr2bl w:val="nil"/>
            </w:tcBorders>
          </w:tcPr>
          <w:p w14:paraId="2134DE46" w14:textId="77777777" w:rsidR="00687DE2" w:rsidRDefault="00B1168E">
            <w:pPr>
              <w:jc w:val="center"/>
              <w:rPr>
                <w:rFonts w:ascii="Arial Regular" w:hAnsi="Arial Regular" w:cs="Arial Regular"/>
                <w:sz w:val="20"/>
                <w:szCs w:val="20"/>
              </w:rPr>
            </w:pPr>
            <w:r>
              <w:rPr>
                <w:rFonts w:ascii="Arial Regular" w:hAnsi="Arial Regular" w:cs="Arial Regular"/>
                <w:i/>
                <w:iCs/>
                <w:sz w:val="20"/>
                <w:szCs w:val="20"/>
              </w:rPr>
              <w:t>Sig. (2-taied)</w:t>
            </w:r>
          </w:p>
        </w:tc>
      </w:tr>
      <w:tr w:rsidR="00687DE2" w14:paraId="52BA0E23" w14:textId="77777777">
        <w:trPr>
          <w:trHeight w:val="348"/>
        </w:trPr>
        <w:tc>
          <w:tcPr>
            <w:tcW w:w="2276" w:type="dxa"/>
            <w:vMerge w:val="restart"/>
            <w:tcBorders>
              <w:tl2br w:val="nil"/>
              <w:tr2bl w:val="nil"/>
            </w:tcBorders>
          </w:tcPr>
          <w:p w14:paraId="20C82C95" w14:textId="77777777" w:rsidR="00687DE2" w:rsidRDefault="00B1168E">
            <w:pPr>
              <w:rPr>
                <w:rFonts w:ascii="Arial Regular" w:hAnsi="Arial Regular" w:cs="Arial Regular"/>
                <w:sz w:val="20"/>
                <w:szCs w:val="20"/>
              </w:rPr>
            </w:pPr>
            <w:r>
              <w:rPr>
                <w:rFonts w:ascii="Arial Regular" w:hAnsi="Arial Regular" w:cs="Arial Regular"/>
                <w:sz w:val="20"/>
                <w:szCs w:val="20"/>
              </w:rPr>
              <w:t>Equation 1</w:t>
            </w:r>
          </w:p>
        </w:tc>
        <w:tc>
          <w:tcPr>
            <w:tcW w:w="3346" w:type="dxa"/>
            <w:tcBorders>
              <w:tl2br w:val="nil"/>
              <w:tr2bl w:val="nil"/>
            </w:tcBorders>
          </w:tcPr>
          <w:p w14:paraId="3A6324CC" w14:textId="77777777" w:rsidR="00687DE2" w:rsidRDefault="00B1168E">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088789B1"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0.761</w:t>
            </w:r>
          </w:p>
        </w:tc>
      </w:tr>
      <w:tr w:rsidR="00687DE2" w14:paraId="32DBD6CF" w14:textId="77777777">
        <w:trPr>
          <w:trHeight w:val="306"/>
        </w:trPr>
        <w:tc>
          <w:tcPr>
            <w:tcW w:w="2276" w:type="dxa"/>
            <w:vMerge/>
            <w:tcBorders>
              <w:tl2br w:val="nil"/>
              <w:tr2bl w:val="nil"/>
            </w:tcBorders>
          </w:tcPr>
          <w:p w14:paraId="46BD2F74" w14:textId="77777777" w:rsidR="00687DE2" w:rsidRDefault="00687DE2">
            <w:pPr>
              <w:rPr>
                <w:rFonts w:ascii="Arial Regular" w:hAnsi="Arial Regular" w:cs="Arial Regular"/>
                <w:sz w:val="20"/>
                <w:szCs w:val="20"/>
              </w:rPr>
            </w:pPr>
          </w:p>
        </w:tc>
        <w:tc>
          <w:tcPr>
            <w:tcW w:w="3346" w:type="dxa"/>
            <w:tcBorders>
              <w:tl2br w:val="nil"/>
              <w:tr2bl w:val="nil"/>
            </w:tcBorders>
          </w:tcPr>
          <w:p w14:paraId="62D24DB4" w14:textId="77777777" w:rsidR="00687DE2" w:rsidRDefault="00B1168E">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38FBE70E"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0.064</w:t>
            </w:r>
          </w:p>
        </w:tc>
      </w:tr>
      <w:tr w:rsidR="00687DE2" w14:paraId="128EEC22" w14:textId="77777777">
        <w:trPr>
          <w:trHeight w:val="292"/>
        </w:trPr>
        <w:tc>
          <w:tcPr>
            <w:tcW w:w="2276" w:type="dxa"/>
            <w:vMerge w:val="restart"/>
            <w:tcBorders>
              <w:tl2br w:val="nil"/>
              <w:tr2bl w:val="nil"/>
            </w:tcBorders>
          </w:tcPr>
          <w:p w14:paraId="36CC8B0E" w14:textId="77777777" w:rsidR="00687DE2" w:rsidRDefault="00B1168E">
            <w:pPr>
              <w:rPr>
                <w:rFonts w:ascii="Arial Regular" w:hAnsi="Arial Regular" w:cs="Arial Regular"/>
                <w:sz w:val="20"/>
                <w:szCs w:val="20"/>
              </w:rPr>
            </w:pPr>
            <w:r>
              <w:rPr>
                <w:rFonts w:ascii="Arial Regular" w:hAnsi="Arial Regular" w:cs="Arial Regular"/>
                <w:sz w:val="20"/>
                <w:szCs w:val="20"/>
              </w:rPr>
              <w:t>Equation 2</w:t>
            </w:r>
          </w:p>
        </w:tc>
        <w:tc>
          <w:tcPr>
            <w:tcW w:w="3346" w:type="dxa"/>
            <w:tcBorders>
              <w:tl2br w:val="nil"/>
              <w:tr2bl w:val="nil"/>
            </w:tcBorders>
          </w:tcPr>
          <w:p w14:paraId="5FFF7957" w14:textId="77777777" w:rsidR="00687DE2" w:rsidRDefault="00B1168E">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66DEF5F7"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0.668</w:t>
            </w:r>
          </w:p>
        </w:tc>
      </w:tr>
      <w:tr w:rsidR="00687DE2" w14:paraId="3D7D07AF" w14:textId="77777777">
        <w:trPr>
          <w:trHeight w:val="306"/>
        </w:trPr>
        <w:tc>
          <w:tcPr>
            <w:tcW w:w="2276" w:type="dxa"/>
            <w:vMerge/>
            <w:tcBorders>
              <w:tl2br w:val="nil"/>
              <w:tr2bl w:val="nil"/>
            </w:tcBorders>
          </w:tcPr>
          <w:p w14:paraId="1005A14E" w14:textId="77777777" w:rsidR="00687DE2" w:rsidRDefault="00687DE2">
            <w:pPr>
              <w:rPr>
                <w:rFonts w:ascii="Arial Regular" w:hAnsi="Arial Regular" w:cs="Arial Regular"/>
                <w:sz w:val="20"/>
                <w:szCs w:val="20"/>
              </w:rPr>
            </w:pPr>
          </w:p>
        </w:tc>
        <w:tc>
          <w:tcPr>
            <w:tcW w:w="3346" w:type="dxa"/>
            <w:tcBorders>
              <w:tl2br w:val="nil"/>
              <w:tr2bl w:val="nil"/>
            </w:tcBorders>
          </w:tcPr>
          <w:p w14:paraId="4309F5B8" w14:textId="77777777" w:rsidR="00687DE2" w:rsidRDefault="00B1168E">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70245926"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0.183</w:t>
            </w:r>
          </w:p>
        </w:tc>
      </w:tr>
      <w:tr w:rsidR="00687DE2" w14:paraId="6E207327" w14:textId="77777777">
        <w:trPr>
          <w:trHeight w:val="315"/>
        </w:trPr>
        <w:tc>
          <w:tcPr>
            <w:tcW w:w="2276" w:type="dxa"/>
            <w:vMerge/>
            <w:tcBorders>
              <w:tl2br w:val="nil"/>
              <w:tr2bl w:val="nil"/>
            </w:tcBorders>
          </w:tcPr>
          <w:p w14:paraId="009C883D" w14:textId="77777777" w:rsidR="00687DE2" w:rsidRDefault="00687DE2">
            <w:pPr>
              <w:rPr>
                <w:rFonts w:ascii="Arial Regular" w:hAnsi="Arial Regular" w:cs="Arial Regular"/>
                <w:sz w:val="20"/>
                <w:szCs w:val="20"/>
              </w:rPr>
            </w:pPr>
          </w:p>
        </w:tc>
        <w:tc>
          <w:tcPr>
            <w:tcW w:w="3346" w:type="dxa"/>
            <w:tcBorders>
              <w:tl2br w:val="nil"/>
              <w:tr2bl w:val="nil"/>
            </w:tcBorders>
          </w:tcPr>
          <w:p w14:paraId="10234077" w14:textId="77777777" w:rsidR="00687DE2" w:rsidRDefault="00B1168E">
            <w:pPr>
              <w:rPr>
                <w:rFonts w:ascii="Arial Regular" w:hAnsi="Arial Regular" w:cs="Arial Regular"/>
                <w:sz w:val="20"/>
                <w:szCs w:val="20"/>
              </w:rPr>
            </w:pPr>
            <w:r>
              <w:rPr>
                <w:rFonts w:ascii="Arial Regular" w:hAnsi="Arial Regular" w:cs="Arial Regular"/>
                <w:sz w:val="20"/>
                <w:szCs w:val="20"/>
              </w:rPr>
              <w:t>CTTOR</w:t>
            </w:r>
          </w:p>
        </w:tc>
        <w:tc>
          <w:tcPr>
            <w:tcW w:w="2557" w:type="dxa"/>
            <w:tcBorders>
              <w:tl2br w:val="nil"/>
              <w:tr2bl w:val="nil"/>
            </w:tcBorders>
          </w:tcPr>
          <w:p w14:paraId="336CC077"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0.618</w:t>
            </w:r>
          </w:p>
        </w:tc>
      </w:tr>
    </w:tbl>
    <w:p w14:paraId="6DEE8029"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71B79728" w14:textId="77777777" w:rsidR="00687DE2" w:rsidRDefault="00687DE2">
      <w:pPr>
        <w:autoSpaceDE w:val="0"/>
        <w:autoSpaceDN w:val="0"/>
        <w:adjustRightInd w:val="0"/>
        <w:rPr>
          <w:rFonts w:ascii="Times New Roman" w:eastAsia="SimSun" w:hAnsi="Times New Roman"/>
          <w:sz w:val="16"/>
          <w:szCs w:val="16"/>
          <w:vertAlign w:val="superscript"/>
        </w:rPr>
      </w:pPr>
    </w:p>
    <w:p w14:paraId="2B2ED9E3"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The last test, the autocorrelation test, evaluates the study's linear regression equation using Durbin Watson. Autocorrelation is absent if the Durbin-Watson (DW) value is between the Durbin-Watson (DW) and (4-DW</w:t>
      </w:r>
      <w:r>
        <w:rPr>
          <w:rFonts w:ascii="Arial Regular" w:hAnsi="Arial Regular"/>
          <w:sz w:val="20"/>
          <w:szCs w:val="20"/>
        </w:rPr>
        <w:t>) ranges.</w:t>
      </w:r>
    </w:p>
    <w:p w14:paraId="3F6992C9"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50310122"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Table 7</w:t>
      </w:r>
    </w:p>
    <w:p w14:paraId="03056692"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 xml:space="preserve"> Autocorrelation Test Results</w:t>
      </w:r>
    </w:p>
    <w:p w14:paraId="013CB421" w14:textId="77777777" w:rsidR="00687DE2" w:rsidRDefault="00687DE2">
      <w:pPr>
        <w:tabs>
          <w:tab w:val="left" w:pos="420"/>
          <w:tab w:val="left" w:pos="630"/>
        </w:tabs>
        <w:jc w:val="center"/>
        <w:rPr>
          <w:rFonts w:ascii="Arial Bold" w:eastAsia="Helvetica" w:hAnsi="Arial Bold" w:cs="Arial Bold"/>
          <w:b/>
        </w:rPr>
      </w:pPr>
    </w:p>
    <w:tbl>
      <w:tblPr>
        <w:tblStyle w:val="TableGrid"/>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58"/>
        <w:gridCol w:w="2758"/>
      </w:tblGrid>
      <w:tr w:rsidR="00687DE2" w14:paraId="463153DB" w14:textId="77777777">
        <w:trPr>
          <w:trHeight w:val="373"/>
        </w:trPr>
        <w:tc>
          <w:tcPr>
            <w:tcW w:w="2723" w:type="dxa"/>
          </w:tcPr>
          <w:p w14:paraId="10D6F53D" w14:textId="77777777" w:rsidR="00687DE2" w:rsidRDefault="00687DE2">
            <w:pPr>
              <w:rPr>
                <w:rFonts w:ascii="Arial" w:hAnsi="Arial" w:cs="Arial"/>
                <w:bCs/>
                <w:sz w:val="20"/>
                <w:szCs w:val="20"/>
              </w:rPr>
            </w:pPr>
          </w:p>
        </w:tc>
        <w:tc>
          <w:tcPr>
            <w:tcW w:w="2758" w:type="dxa"/>
          </w:tcPr>
          <w:p w14:paraId="218AE5D2" w14:textId="77777777" w:rsidR="00687DE2" w:rsidRDefault="00B1168E">
            <w:pPr>
              <w:jc w:val="center"/>
              <w:rPr>
                <w:rFonts w:ascii="Arial" w:hAnsi="Arial" w:cs="Arial"/>
                <w:bCs/>
                <w:sz w:val="20"/>
                <w:szCs w:val="20"/>
              </w:rPr>
            </w:pPr>
            <w:r>
              <w:rPr>
                <w:rFonts w:ascii="Arial" w:hAnsi="Arial" w:cs="Arial"/>
                <w:bCs/>
                <w:sz w:val="20"/>
                <w:szCs w:val="20"/>
              </w:rPr>
              <w:t>Durbin Watson</w:t>
            </w:r>
          </w:p>
        </w:tc>
        <w:tc>
          <w:tcPr>
            <w:tcW w:w="2758" w:type="dxa"/>
          </w:tcPr>
          <w:p w14:paraId="689F66A2" w14:textId="77777777" w:rsidR="00687DE2" w:rsidRDefault="00B1168E">
            <w:pPr>
              <w:jc w:val="center"/>
              <w:rPr>
                <w:rFonts w:ascii="Arial" w:hAnsi="Arial" w:cs="Arial"/>
                <w:bCs/>
                <w:sz w:val="20"/>
                <w:szCs w:val="20"/>
              </w:rPr>
            </w:pPr>
            <w:r>
              <w:rPr>
                <w:rFonts w:ascii="Arial" w:hAnsi="Arial" w:cs="Arial"/>
                <w:bCs/>
                <w:sz w:val="20"/>
                <w:szCs w:val="20"/>
              </w:rPr>
              <w:t>Formula</w:t>
            </w:r>
          </w:p>
        </w:tc>
      </w:tr>
      <w:tr w:rsidR="00687DE2" w14:paraId="5688CB18" w14:textId="77777777">
        <w:trPr>
          <w:trHeight w:val="373"/>
        </w:trPr>
        <w:tc>
          <w:tcPr>
            <w:tcW w:w="2723" w:type="dxa"/>
            <w:shd w:val="clear" w:color="auto" w:fill="FFFC82"/>
          </w:tcPr>
          <w:p w14:paraId="6D6ACDD3" w14:textId="77777777" w:rsidR="00687DE2" w:rsidRDefault="00B1168E">
            <w:pPr>
              <w:rPr>
                <w:rFonts w:ascii="Arial" w:hAnsi="Arial" w:cs="Arial"/>
                <w:bCs/>
                <w:sz w:val="20"/>
                <w:szCs w:val="20"/>
              </w:rPr>
            </w:pPr>
            <w:r>
              <w:rPr>
                <w:rFonts w:ascii="Arial" w:hAnsi="Arial" w:cs="Arial"/>
                <w:bCs/>
                <w:sz w:val="20"/>
                <w:szCs w:val="20"/>
              </w:rPr>
              <w:t>Equation 1</w:t>
            </w:r>
          </w:p>
        </w:tc>
        <w:tc>
          <w:tcPr>
            <w:tcW w:w="2758" w:type="dxa"/>
            <w:shd w:val="clear" w:color="auto" w:fill="FFFC82"/>
          </w:tcPr>
          <w:p w14:paraId="35670C9E" w14:textId="77777777" w:rsidR="00687DE2" w:rsidRDefault="00B1168E">
            <w:pPr>
              <w:jc w:val="center"/>
              <w:rPr>
                <w:rFonts w:ascii="Arial" w:hAnsi="Arial" w:cs="Arial"/>
                <w:bCs/>
                <w:sz w:val="20"/>
                <w:szCs w:val="20"/>
              </w:rPr>
            </w:pPr>
            <w:r>
              <w:rPr>
                <w:rFonts w:ascii="Arial" w:hAnsi="Arial" w:cs="Arial"/>
                <w:bCs/>
                <w:sz w:val="20"/>
                <w:szCs w:val="20"/>
              </w:rPr>
              <w:t>1.867</w:t>
            </w:r>
          </w:p>
        </w:tc>
        <w:tc>
          <w:tcPr>
            <w:tcW w:w="2758" w:type="dxa"/>
            <w:shd w:val="clear" w:color="auto" w:fill="FFFC82"/>
          </w:tcPr>
          <w:p w14:paraId="4D5BD1B4" w14:textId="77777777" w:rsidR="00687DE2" w:rsidRDefault="00B1168E">
            <w:pPr>
              <w:jc w:val="center"/>
              <w:rPr>
                <w:rFonts w:ascii="Arial" w:hAnsi="Arial" w:cs="Arial"/>
                <w:bCs/>
                <w:sz w:val="20"/>
                <w:szCs w:val="20"/>
              </w:rPr>
            </w:pPr>
            <w:r>
              <w:rPr>
                <w:rFonts w:ascii="Arial" w:eastAsia="SimSun" w:hAnsi="Arial" w:cs="Arial"/>
                <w:bCs/>
                <w:sz w:val="20"/>
                <w:szCs w:val="20"/>
              </w:rPr>
              <w:t>1.7103 &lt; 1.867 &lt; 2.2897</w:t>
            </w:r>
          </w:p>
        </w:tc>
      </w:tr>
      <w:tr w:rsidR="00687DE2" w14:paraId="394AF85F" w14:textId="77777777">
        <w:trPr>
          <w:trHeight w:val="388"/>
        </w:trPr>
        <w:tc>
          <w:tcPr>
            <w:tcW w:w="2723" w:type="dxa"/>
            <w:shd w:val="clear" w:color="auto" w:fill="71FEFF"/>
          </w:tcPr>
          <w:p w14:paraId="58E4365A" w14:textId="77777777" w:rsidR="00687DE2" w:rsidRDefault="00B1168E">
            <w:pPr>
              <w:rPr>
                <w:rFonts w:ascii="Arial" w:hAnsi="Arial" w:cs="Arial"/>
                <w:bCs/>
                <w:sz w:val="20"/>
                <w:szCs w:val="20"/>
              </w:rPr>
            </w:pPr>
            <w:r>
              <w:rPr>
                <w:rFonts w:ascii="Arial" w:hAnsi="Arial" w:cs="Arial"/>
                <w:bCs/>
                <w:sz w:val="20"/>
                <w:szCs w:val="20"/>
              </w:rPr>
              <w:t>Equation 2</w:t>
            </w:r>
          </w:p>
        </w:tc>
        <w:tc>
          <w:tcPr>
            <w:tcW w:w="2758" w:type="dxa"/>
            <w:shd w:val="clear" w:color="auto" w:fill="71FEFF"/>
          </w:tcPr>
          <w:p w14:paraId="46060458" w14:textId="77777777" w:rsidR="00687DE2" w:rsidRDefault="00B1168E">
            <w:pPr>
              <w:jc w:val="center"/>
              <w:rPr>
                <w:rFonts w:ascii="Arial" w:hAnsi="Arial" w:cs="Arial"/>
                <w:bCs/>
                <w:sz w:val="20"/>
                <w:szCs w:val="20"/>
              </w:rPr>
            </w:pPr>
            <w:r>
              <w:rPr>
                <w:rFonts w:ascii="Arial" w:hAnsi="Arial" w:cs="Arial"/>
                <w:bCs/>
                <w:sz w:val="20"/>
                <w:szCs w:val="20"/>
              </w:rPr>
              <w:t>1.863</w:t>
            </w:r>
          </w:p>
        </w:tc>
        <w:tc>
          <w:tcPr>
            <w:tcW w:w="2758" w:type="dxa"/>
            <w:shd w:val="clear" w:color="auto" w:fill="71FEFF"/>
          </w:tcPr>
          <w:p w14:paraId="6FE18227" w14:textId="77777777" w:rsidR="00687DE2" w:rsidRDefault="00B1168E">
            <w:pPr>
              <w:jc w:val="center"/>
              <w:rPr>
                <w:rFonts w:ascii="Arial" w:hAnsi="Arial" w:cs="Arial"/>
                <w:bCs/>
                <w:sz w:val="20"/>
                <w:szCs w:val="20"/>
              </w:rPr>
            </w:pPr>
            <w:r>
              <w:rPr>
                <w:rFonts w:ascii="Arial" w:eastAsia="SimSun" w:hAnsi="Arial" w:cs="Arial"/>
                <w:bCs/>
                <w:sz w:val="20"/>
                <w:szCs w:val="20"/>
              </w:rPr>
              <w:t>1.7326 &lt; 1.863&lt;2.2674</w:t>
            </w:r>
          </w:p>
        </w:tc>
      </w:tr>
    </w:tbl>
    <w:p w14:paraId="0C272510" w14:textId="77777777" w:rsidR="00687DE2" w:rsidRDefault="00B1168E">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54C59467"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3ADB1919" w14:textId="77777777" w:rsidR="00687DE2" w:rsidRDefault="00B1168E">
      <w:pPr>
        <w:pStyle w:val="NormalWeb"/>
        <w:ind w:firstLineChars="250" w:firstLine="600"/>
        <w:jc w:val="both"/>
        <w:rPr>
          <w:rFonts w:ascii="Arial Regular" w:hAnsi="Arial Regular" w:cs="Arial Regular"/>
          <w:color w:val="000000"/>
          <w:sz w:val="20"/>
          <w:szCs w:val="20"/>
        </w:rPr>
      </w:pPr>
      <w:r>
        <w:rPr>
          <w:noProof/>
        </w:rPr>
        <mc:AlternateContent>
          <mc:Choice Requires="wps">
            <w:drawing>
              <wp:anchor distT="0" distB="0" distL="114300" distR="114300" simplePos="0" relativeHeight="251667456" behindDoc="0" locked="0" layoutInCell="1" allowOverlap="1" wp14:anchorId="04008236" wp14:editId="22900ED6">
                <wp:simplePos x="0" y="0"/>
                <wp:positionH relativeFrom="column">
                  <wp:posOffset>-38735</wp:posOffset>
                </wp:positionH>
                <wp:positionV relativeFrom="paragraph">
                  <wp:posOffset>715010</wp:posOffset>
                </wp:positionV>
                <wp:extent cx="4649470" cy="583565"/>
                <wp:effectExtent l="9525" t="9525" r="14605" b="16510"/>
                <wp:wrapNone/>
                <wp:docPr id="19" name="Round Diagonal Corner Rectangle 19"/>
                <wp:cNvGraphicFramePr/>
                <a:graphic xmlns:a="http://schemas.openxmlformats.org/drawingml/2006/main">
                  <a:graphicData uri="http://schemas.microsoft.com/office/word/2010/wordprocessingShape">
                    <wps:wsp>
                      <wps:cNvSpPr/>
                      <wps:spPr>
                        <a:xfrm>
                          <a:off x="0" y="0"/>
                          <a:ext cx="4649470" cy="583565"/>
                        </a:xfrm>
                        <a:prstGeom prst="round2Diag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F76E9AF" id="Round Diagonal Corner Rectangle 19" o:spid="_x0000_s1026" style="position:absolute;margin-left:-3.05pt;margin-top:56.3pt;width:366.1pt;height:45.9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649470,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" path="m97263,l4649470,r,l4649470,486302v,53717,-43546,97263,-97263,97263l,583565r,l,97263c,43546,43546,,97263,xe" filled="f" strokecolor="black [3213]" strokeweight="1.5pt">
                <v:path arrowok="t" o:connecttype="custom" o:connectlocs="97263,0;4649470,0;4649470,0;4649470,486302;4552207,583565;0,583565;0,583565;0,97263;97263,0" o:connectangles="0,0,0,0,0,0,0,0,0"/>
              </v:shape>
            </w:pict>
          </mc:Fallback>
        </mc:AlternateContent>
      </w:r>
      <w:r>
        <w:rPr>
          <w:rFonts w:ascii="Arial Regular" w:hAnsi="Arial Regular" w:cs="Arial Regular"/>
          <w:color w:val="000000"/>
          <w:sz w:val="20"/>
          <w:szCs w:val="20"/>
        </w:rPr>
        <w:t xml:space="preserve">It is evident from table 7 above that there is no </w:t>
      </w:r>
      <w:r>
        <w:rPr>
          <w:rFonts w:ascii="Arial Regular" w:hAnsi="Arial Regular" w:cs="Arial Regular"/>
          <w:color w:val="000000"/>
          <w:sz w:val="20"/>
          <w:szCs w:val="20"/>
        </w:rPr>
        <w:t>autocorrelation because the Durbin-Watson value for the first equation is 1.867, while the value for the second equation is 1.863. Following data processing, the regression equation's findings are:</w:t>
      </w:r>
    </w:p>
    <w:p w14:paraId="025E9A38" w14:textId="77777777" w:rsidR="00687DE2" w:rsidRDefault="00B1168E">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lastRenderedPageBreak/>
        <w:t xml:space="preserve"> Y = 0.036 + 0.123 x</w:t>
      </w:r>
      <w:r>
        <w:rPr>
          <w:rFonts w:ascii="Times New Roman Regular" w:hAnsi="Times New Roman Regular" w:cs="Times New Roman Regular"/>
          <w:sz w:val="24"/>
          <w:szCs w:val="24"/>
          <w:vertAlign w:val="subscript"/>
        </w:rPr>
        <w:t xml:space="preserve">1 </w:t>
      </w:r>
      <w:r>
        <w:rPr>
          <w:rFonts w:ascii="Times New Roman Regular" w:hAnsi="Times New Roman Regular" w:cs="Times New Roman Regular"/>
          <w:sz w:val="24"/>
          <w:szCs w:val="24"/>
        </w:rPr>
        <w:t>+ 0.232x</w:t>
      </w:r>
      <w:r>
        <w:rPr>
          <w:rFonts w:ascii="Times New Roman Regular" w:hAnsi="Times New Roman Regular" w:cs="Times New Roman Regular"/>
          <w:sz w:val="24"/>
          <w:szCs w:val="24"/>
          <w:vertAlign w:val="subscript"/>
        </w:rPr>
        <w:t>(2</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 xml:space="preserve">             ........  p. </w:t>
      </w:r>
      <w:r>
        <w:rPr>
          <w:rFonts w:ascii="Times New Roman Regular" w:eastAsia="Helvetica" w:hAnsi="Times New Roman Regular" w:cs="Times New Roman Regular"/>
          <w:b/>
          <w:sz w:val="24"/>
          <w:szCs w:val="24"/>
        </w:rPr>
        <w:t>1</w:t>
      </w:r>
    </w:p>
    <w:p w14:paraId="024F0A6C" w14:textId="77777777" w:rsidR="00687DE2" w:rsidRDefault="00B1168E">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Y = 0.002 - 0.010x</w:t>
      </w:r>
      <w:r>
        <w:rPr>
          <w:rFonts w:ascii="Times New Roman Regular" w:hAnsi="Times New Roman Regular" w:cs="Times New Roman Regular"/>
          <w:sz w:val="24"/>
          <w:szCs w:val="24"/>
          <w:vertAlign w:val="subscript"/>
        </w:rPr>
        <w:t>1</w:t>
      </w:r>
      <w:r>
        <w:rPr>
          <w:rFonts w:ascii="Times New Roman Regular" w:hAnsi="Times New Roman Regular" w:cs="Times New Roman Regular"/>
          <w:sz w:val="24"/>
          <w:szCs w:val="24"/>
        </w:rPr>
        <w:t>+ 0.170 x</w:t>
      </w:r>
      <w:r>
        <w:rPr>
          <w:rFonts w:ascii="Times New Roman Regular" w:hAnsi="Times New Roman Regular" w:cs="Times New Roman Regular"/>
          <w:sz w:val="24"/>
          <w:szCs w:val="24"/>
          <w:vertAlign w:val="subscript"/>
        </w:rPr>
        <w:t xml:space="preserve">2 </w:t>
      </w:r>
      <w:r>
        <w:rPr>
          <w:rFonts w:ascii="Times New Roman Regular" w:hAnsi="Times New Roman Regular" w:cs="Times New Roman Regular"/>
          <w:sz w:val="24"/>
          <w:szCs w:val="24"/>
        </w:rPr>
        <w:t>+ 3.041z</w:t>
      </w:r>
      <w:r>
        <w:rPr>
          <w:rFonts w:ascii="Times New Roman Regular" w:hAnsi="Times New Roman Regular" w:cs="Times New Roman Regular"/>
          <w:sz w:val="24"/>
          <w:szCs w:val="24"/>
          <w:vertAlign w:val="subscript"/>
        </w:rPr>
        <w:t xml:space="preserve">               </w:t>
      </w:r>
      <w:r>
        <w:rPr>
          <w:rFonts w:ascii="Times New Roman Regular" w:hAnsi="Times New Roman Regular" w:cs="Times New Roman Regular"/>
          <w:sz w:val="24"/>
          <w:szCs w:val="24"/>
        </w:rPr>
        <w:t xml:space="preserve"> ........  p. 2</w:t>
      </w:r>
    </w:p>
    <w:p w14:paraId="2D4F8DEE" w14:textId="77777777" w:rsidR="00687DE2" w:rsidRDefault="00687DE2">
      <w:pPr>
        <w:autoSpaceDE w:val="0"/>
        <w:autoSpaceDN w:val="0"/>
        <w:adjustRightInd w:val="0"/>
        <w:ind w:firstLineChars="250" w:firstLine="600"/>
        <w:rPr>
          <w:rFonts w:ascii="Times New Roman" w:eastAsia="SimSun" w:hAnsi="Times New Roman"/>
          <w:sz w:val="24"/>
          <w:szCs w:val="24"/>
        </w:rPr>
      </w:pPr>
    </w:p>
    <w:p w14:paraId="6004B2E1"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Prior to evaluating hypotheses, a test that is equally important is the coefficient of determination test, which determines how much the independent </w:t>
      </w:r>
      <w:r>
        <w:rPr>
          <w:rFonts w:ascii="Arial Regular" w:hAnsi="Arial Regular"/>
          <w:color w:val="000000"/>
          <w:sz w:val="20"/>
          <w:szCs w:val="20"/>
        </w:rPr>
        <w:t>variables contribute to the dependent variable at the same time.</w:t>
      </w:r>
    </w:p>
    <w:p w14:paraId="2F4F489E" w14:textId="77777777" w:rsidR="00687DE2" w:rsidRDefault="00687DE2">
      <w:pPr>
        <w:pStyle w:val="NormalWeb"/>
        <w:ind w:firstLineChars="250" w:firstLine="500"/>
        <w:jc w:val="both"/>
        <w:rPr>
          <w:rFonts w:ascii="Arial Regular" w:hAnsi="Arial Regular"/>
          <w:color w:val="000000"/>
          <w:sz w:val="20"/>
          <w:szCs w:val="20"/>
        </w:rPr>
      </w:pPr>
    </w:p>
    <w:p w14:paraId="0FA197F0"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8</w:t>
      </w:r>
    </w:p>
    <w:p w14:paraId="454E910D" w14:textId="77777777" w:rsidR="00687DE2" w:rsidRDefault="00B1168E">
      <w:pPr>
        <w:autoSpaceDE w:val="0"/>
        <w:autoSpaceDN w:val="0"/>
        <w:adjustRightInd w:val="0"/>
        <w:jc w:val="center"/>
        <w:rPr>
          <w:rFonts w:ascii="Arial Regular" w:eastAsia="SimSun" w:hAnsi="Arial Regular" w:cs="Arial Regular"/>
          <w:b/>
          <w:bCs/>
        </w:rPr>
      </w:pPr>
      <w:r>
        <w:rPr>
          <w:rFonts w:ascii="Arial Regular" w:eastAsia="SimSun" w:hAnsi="Arial Regular" w:cs="Arial Regular"/>
          <w:b/>
          <w:bCs/>
        </w:rPr>
        <w:t>Determination Coefficient Test Results</w:t>
      </w:r>
    </w:p>
    <w:tbl>
      <w:tblPr>
        <w:tblStyle w:val="TableGrid"/>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910"/>
      </w:tblGrid>
      <w:tr w:rsidR="00687DE2" w14:paraId="219046D1" w14:textId="77777777">
        <w:tc>
          <w:tcPr>
            <w:tcW w:w="3812" w:type="dxa"/>
          </w:tcPr>
          <w:p w14:paraId="721F88C5" w14:textId="77777777" w:rsidR="00687DE2" w:rsidRDefault="00687DE2">
            <w:pPr>
              <w:tabs>
                <w:tab w:val="center" w:pos="4513"/>
              </w:tabs>
              <w:rPr>
                <w:rFonts w:ascii="Arial Regular" w:hAnsi="Arial Regular" w:cs="Arial Regular"/>
                <w:sz w:val="20"/>
                <w:szCs w:val="20"/>
              </w:rPr>
            </w:pPr>
          </w:p>
        </w:tc>
        <w:tc>
          <w:tcPr>
            <w:tcW w:w="3910" w:type="dxa"/>
          </w:tcPr>
          <w:p w14:paraId="3ECEE0BB"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Test Results</w:t>
            </w:r>
          </w:p>
        </w:tc>
      </w:tr>
      <w:tr w:rsidR="00687DE2" w14:paraId="3E089D87" w14:textId="77777777">
        <w:tc>
          <w:tcPr>
            <w:tcW w:w="3812" w:type="dxa"/>
            <w:shd w:val="clear" w:color="auto" w:fill="EBF1DE" w:themeFill="accent3" w:themeFillTint="32"/>
          </w:tcPr>
          <w:p w14:paraId="36F99472" w14:textId="77777777" w:rsidR="00687DE2" w:rsidRDefault="00B1168E">
            <w:pPr>
              <w:tabs>
                <w:tab w:val="center" w:pos="4513"/>
              </w:tabs>
              <w:jc w:val="right"/>
              <w:rPr>
                <w:rFonts w:ascii="Arial Regular" w:hAnsi="Arial Regular" w:cs="Arial Regular"/>
                <w:sz w:val="20"/>
                <w:szCs w:val="20"/>
              </w:rPr>
            </w:pPr>
            <w:r>
              <w:rPr>
                <w:rFonts w:ascii="Arial Regular" w:hAnsi="Arial Regular" w:cs="Arial Regular"/>
                <w:sz w:val="20"/>
                <w:szCs w:val="20"/>
              </w:rPr>
              <w:t>Equation 1</w:t>
            </w:r>
          </w:p>
        </w:tc>
        <w:tc>
          <w:tcPr>
            <w:tcW w:w="3910" w:type="dxa"/>
            <w:shd w:val="clear" w:color="auto" w:fill="EBF1DE" w:themeFill="accent3" w:themeFillTint="32"/>
          </w:tcPr>
          <w:p w14:paraId="1FC0AF0F"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0.243</w:t>
            </w:r>
          </w:p>
        </w:tc>
      </w:tr>
      <w:tr w:rsidR="00687DE2" w14:paraId="4236B11A" w14:textId="77777777">
        <w:tc>
          <w:tcPr>
            <w:tcW w:w="3812" w:type="dxa"/>
            <w:shd w:val="clear" w:color="auto" w:fill="E6E0EC" w:themeFill="accent4" w:themeFillTint="32"/>
          </w:tcPr>
          <w:p w14:paraId="6B901E08" w14:textId="77777777" w:rsidR="00687DE2" w:rsidRDefault="00B1168E">
            <w:pPr>
              <w:tabs>
                <w:tab w:val="center" w:pos="4513"/>
              </w:tabs>
              <w:jc w:val="right"/>
              <w:rPr>
                <w:rFonts w:ascii="Arial Regular" w:hAnsi="Arial Regular" w:cs="Arial Regular"/>
                <w:sz w:val="20"/>
                <w:szCs w:val="20"/>
              </w:rPr>
            </w:pPr>
            <w:r>
              <w:rPr>
                <w:rFonts w:ascii="Arial Regular" w:hAnsi="Arial Regular" w:cs="Arial Regular"/>
                <w:sz w:val="20"/>
                <w:szCs w:val="20"/>
              </w:rPr>
              <w:t>Equation 2</w:t>
            </w:r>
          </w:p>
        </w:tc>
        <w:tc>
          <w:tcPr>
            <w:tcW w:w="3910" w:type="dxa"/>
            <w:shd w:val="clear" w:color="auto" w:fill="E6E0EC" w:themeFill="accent4" w:themeFillTint="32"/>
          </w:tcPr>
          <w:p w14:paraId="12DCF885"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0.417</w:t>
            </w:r>
          </w:p>
        </w:tc>
      </w:tr>
    </w:tbl>
    <w:p w14:paraId="4735016B"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Source Secondary data processed using SPSS</w:t>
      </w:r>
    </w:p>
    <w:p w14:paraId="578450F1"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The first equation's test results indicate a </w:t>
      </w:r>
      <w:r>
        <w:rPr>
          <w:rFonts w:ascii="Arial Regular" w:hAnsi="Arial Regular"/>
          <w:color w:val="000000"/>
          <w:sz w:val="20"/>
          <w:szCs w:val="20"/>
        </w:rPr>
        <w:t>value of 0.243, or 24.30%. This figure suggests that the sustainability report and the public accounting firm size variable have a 24.30% impact on gross profit margin, with other variable tests not included in this study accounting for the remaining 75.70</w:t>
      </w:r>
      <w:r>
        <w:rPr>
          <w:rFonts w:ascii="Arial Regular" w:hAnsi="Arial Regular"/>
          <w:color w:val="000000"/>
          <w:sz w:val="20"/>
          <w:szCs w:val="20"/>
        </w:rPr>
        <w:t>%.</w:t>
      </w:r>
    </w:p>
    <w:p w14:paraId="0A221D0C"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With regard to the final equation, the result is 0.417, or 41.70%. This indicates that the sustainability report, the CTTOR variable, and the public accounting firm size variable can all have a 41.70% impact on the gross profit margin, with other factor</w:t>
      </w:r>
      <w:r>
        <w:rPr>
          <w:rFonts w:ascii="Arial Regular" w:hAnsi="Arial Regular"/>
          <w:color w:val="000000"/>
          <w:sz w:val="20"/>
          <w:szCs w:val="20"/>
        </w:rPr>
        <w:t>s accounting for the remaining 55.40%.</w:t>
      </w:r>
    </w:p>
    <w:p w14:paraId="59C113A0" w14:textId="77777777" w:rsidR="00687DE2" w:rsidRDefault="00B1168E">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HYPOTHESIS TESTING</w:t>
      </w:r>
    </w:p>
    <w:p w14:paraId="5F1AB8CA"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The primary goal of a study is to determine whether the hypothesis was correct. The SPSS software helps with this test by </w:t>
      </w:r>
      <w:proofErr w:type="spellStart"/>
      <w:r>
        <w:rPr>
          <w:rFonts w:ascii="Arial Regular" w:hAnsi="Arial Regular"/>
          <w:color w:val="000000"/>
          <w:sz w:val="20"/>
          <w:szCs w:val="20"/>
        </w:rPr>
        <w:t>utilising</w:t>
      </w:r>
      <w:proofErr w:type="spellEnd"/>
      <w:r>
        <w:rPr>
          <w:rFonts w:ascii="Arial Regular" w:hAnsi="Arial Regular"/>
          <w:color w:val="000000"/>
          <w:sz w:val="20"/>
          <w:szCs w:val="20"/>
        </w:rPr>
        <w:t xml:space="preserve"> the F test to determine the simultaneous influence of the indepen</w:t>
      </w:r>
      <w:r>
        <w:rPr>
          <w:rFonts w:ascii="Arial Regular" w:hAnsi="Arial Regular"/>
          <w:color w:val="000000"/>
          <w:sz w:val="20"/>
          <w:szCs w:val="20"/>
        </w:rPr>
        <w:t>dent variables on the dependent variable used in the study or the T test to estimate the degree of influence between the independent and dependent variables. It states that a hypothesis cannot be accepted until its significance value is less than 0.05 (sig</w:t>
      </w:r>
      <w:r>
        <w:rPr>
          <w:rFonts w:ascii="Arial Regular" w:hAnsi="Arial Regular"/>
          <w:color w:val="000000"/>
          <w:sz w:val="20"/>
          <w:szCs w:val="20"/>
        </w:rPr>
        <w:t xml:space="preserve"> &lt; 0.05).</w:t>
      </w:r>
    </w:p>
    <w:p w14:paraId="1F300B28" w14:textId="77777777" w:rsidR="00687DE2" w:rsidRDefault="00B1168E">
      <w:pPr>
        <w:rPr>
          <w:rFonts w:ascii="Times New Roman Italic" w:hAnsi="Times New Roman Italic" w:cs="Times New Roman Italic"/>
          <w:b/>
          <w:bCs/>
          <w:i/>
          <w:iCs/>
          <w:sz w:val="24"/>
          <w:szCs w:val="24"/>
        </w:rPr>
      </w:pPr>
      <w:r>
        <w:rPr>
          <w:rFonts w:ascii="Arial Regular" w:hAnsi="Arial Regular" w:cs="Arial Regular"/>
          <w:b/>
          <w:bCs/>
        </w:rPr>
        <w:t>H</w:t>
      </w:r>
      <w:r>
        <w:rPr>
          <w:rFonts w:ascii="Arial Regular" w:hAnsi="Arial Regular" w:cs="Arial Regular"/>
          <w:b/>
          <w:bCs/>
          <w:vertAlign w:val="subscript"/>
        </w:rPr>
        <w:t xml:space="preserve">1 </w:t>
      </w:r>
      <w:r>
        <w:rPr>
          <w:rFonts w:ascii="Arial Regular" w:hAnsi="Arial Regular" w:cs="Arial Regular"/>
          <w:b/>
          <w:bCs/>
          <w:vertAlign w:val="subscript"/>
        </w:rPr>
        <w:tab/>
      </w:r>
      <w:r>
        <w:rPr>
          <w:rFonts w:ascii="Arial Regular" w:hAnsi="Arial Regular" w:cs="Arial Regular"/>
          <w:b/>
          <w:bCs/>
        </w:rPr>
        <w:t>:   Public accounting firm size affects gross profit margin</w:t>
      </w:r>
    </w:p>
    <w:p w14:paraId="1128B4FB" w14:textId="77777777" w:rsidR="00687DE2" w:rsidRDefault="00687DE2">
      <w:pPr>
        <w:rPr>
          <w:rFonts w:ascii="Times New Roman Italic" w:hAnsi="Times New Roman Italic" w:cs="Times New Roman Italic"/>
          <w:b/>
          <w:bCs/>
          <w:i/>
          <w:iCs/>
          <w:sz w:val="24"/>
          <w:szCs w:val="24"/>
        </w:rPr>
      </w:pPr>
    </w:p>
    <w:p w14:paraId="61B3C48B"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9</w:t>
      </w:r>
    </w:p>
    <w:p w14:paraId="4887EDA6" w14:textId="77777777" w:rsidR="00687DE2" w:rsidRDefault="00B1168E">
      <w:pPr>
        <w:tabs>
          <w:tab w:val="left" w:pos="420"/>
          <w:tab w:val="left" w:pos="630"/>
        </w:tabs>
        <w:jc w:val="center"/>
        <w:rPr>
          <w:rFonts w:ascii="Arial Regular" w:eastAsia="Helvetica" w:hAnsi="Arial Regular" w:cs="Arial Regular"/>
          <w:b/>
          <w:i/>
          <w:iCs/>
        </w:rPr>
      </w:pPr>
      <w:r>
        <w:rPr>
          <w:rFonts w:ascii="Arial Regular" w:eastAsia="Helvetica" w:hAnsi="Arial Regular" w:cs="Arial Regular"/>
          <w:b/>
        </w:rPr>
        <w:t xml:space="preserve">Coefficient of KAP Size and </w:t>
      </w:r>
      <w:r>
        <w:rPr>
          <w:rFonts w:ascii="Arial Regular" w:eastAsia="Helvetica" w:hAnsi="Arial Regular" w:cs="Arial Regular"/>
          <w:b/>
          <w:i/>
          <w:iCs/>
        </w:rPr>
        <w:t>Sustainability Report</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859"/>
        <w:gridCol w:w="1224"/>
        <w:gridCol w:w="1224"/>
        <w:gridCol w:w="1350"/>
        <w:gridCol w:w="943"/>
        <w:gridCol w:w="945"/>
      </w:tblGrid>
      <w:tr w:rsidR="00687DE2" w14:paraId="325135E3" w14:textId="77777777">
        <w:trPr>
          <w:cantSplit/>
          <w:trHeight w:val="289"/>
        </w:trPr>
        <w:tc>
          <w:tcPr>
            <w:tcW w:w="8220" w:type="dxa"/>
            <w:gridSpan w:val="7"/>
            <w:tcBorders>
              <w:tl2br w:val="nil"/>
              <w:tr2bl w:val="nil"/>
            </w:tcBorders>
            <w:shd w:val="clear" w:color="auto" w:fill="auto"/>
            <w:vAlign w:val="center"/>
          </w:tcPr>
          <w:p w14:paraId="21B4DB63"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687DE2" w14:paraId="20094248" w14:textId="77777777">
        <w:trPr>
          <w:cantSplit/>
          <w:trHeight w:val="577"/>
        </w:trPr>
        <w:tc>
          <w:tcPr>
            <w:tcW w:w="2534" w:type="dxa"/>
            <w:gridSpan w:val="2"/>
            <w:vMerge w:val="restart"/>
            <w:tcBorders>
              <w:tl2br w:val="nil"/>
              <w:tr2bl w:val="nil"/>
            </w:tcBorders>
            <w:shd w:val="clear" w:color="auto" w:fill="auto"/>
            <w:vAlign w:val="bottom"/>
          </w:tcPr>
          <w:p w14:paraId="708D25E5"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48" w:type="dxa"/>
            <w:gridSpan w:val="2"/>
            <w:tcBorders>
              <w:tl2br w:val="nil"/>
              <w:tr2bl w:val="nil"/>
            </w:tcBorders>
            <w:shd w:val="clear" w:color="auto" w:fill="auto"/>
            <w:vAlign w:val="bottom"/>
          </w:tcPr>
          <w:p w14:paraId="71F3B9A0"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50" w:type="dxa"/>
            <w:tcBorders>
              <w:tl2br w:val="nil"/>
              <w:tr2bl w:val="nil"/>
            </w:tcBorders>
            <w:shd w:val="clear" w:color="auto" w:fill="auto"/>
            <w:vAlign w:val="bottom"/>
          </w:tcPr>
          <w:p w14:paraId="2E251DA5"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43" w:type="dxa"/>
            <w:vMerge w:val="restart"/>
            <w:tcBorders>
              <w:tl2br w:val="nil"/>
              <w:tr2bl w:val="nil"/>
            </w:tcBorders>
            <w:shd w:val="clear" w:color="auto" w:fill="auto"/>
            <w:vAlign w:val="bottom"/>
          </w:tcPr>
          <w:p w14:paraId="60EF19C8"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5" w:type="dxa"/>
            <w:vMerge w:val="restart"/>
            <w:tcBorders>
              <w:tl2br w:val="nil"/>
              <w:tr2bl w:val="nil"/>
            </w:tcBorders>
            <w:shd w:val="clear" w:color="auto" w:fill="auto"/>
            <w:vAlign w:val="bottom"/>
          </w:tcPr>
          <w:p w14:paraId="4FBCFB80"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687DE2" w14:paraId="3C364652" w14:textId="77777777">
        <w:trPr>
          <w:cantSplit/>
          <w:trHeight w:val="289"/>
        </w:trPr>
        <w:tc>
          <w:tcPr>
            <w:tcW w:w="2534" w:type="dxa"/>
            <w:gridSpan w:val="2"/>
            <w:vMerge/>
            <w:tcBorders>
              <w:tl2br w:val="nil"/>
              <w:tr2bl w:val="nil"/>
            </w:tcBorders>
            <w:shd w:val="clear" w:color="auto" w:fill="auto"/>
            <w:vAlign w:val="bottom"/>
          </w:tcPr>
          <w:p w14:paraId="1E408366" w14:textId="77777777" w:rsidR="00687DE2" w:rsidRDefault="00687DE2">
            <w:pPr>
              <w:autoSpaceDE w:val="0"/>
              <w:autoSpaceDN w:val="0"/>
              <w:adjustRightInd w:val="0"/>
              <w:rPr>
                <w:rFonts w:ascii="Arial Regular" w:hAnsi="Arial Regular" w:cs="Arial Regular"/>
              </w:rPr>
            </w:pPr>
          </w:p>
        </w:tc>
        <w:tc>
          <w:tcPr>
            <w:tcW w:w="1224" w:type="dxa"/>
            <w:tcBorders>
              <w:tl2br w:val="nil"/>
              <w:tr2bl w:val="nil"/>
            </w:tcBorders>
            <w:shd w:val="clear" w:color="auto" w:fill="auto"/>
            <w:vAlign w:val="bottom"/>
          </w:tcPr>
          <w:p w14:paraId="2BFD9F39"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24" w:type="dxa"/>
            <w:tcBorders>
              <w:tl2br w:val="nil"/>
              <w:tr2bl w:val="nil"/>
            </w:tcBorders>
            <w:shd w:val="clear" w:color="auto" w:fill="auto"/>
            <w:vAlign w:val="bottom"/>
          </w:tcPr>
          <w:p w14:paraId="3BD205E7"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50" w:type="dxa"/>
            <w:tcBorders>
              <w:tl2br w:val="nil"/>
              <w:tr2bl w:val="nil"/>
            </w:tcBorders>
            <w:shd w:val="clear" w:color="auto" w:fill="auto"/>
            <w:vAlign w:val="bottom"/>
          </w:tcPr>
          <w:p w14:paraId="0339519A"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43" w:type="dxa"/>
            <w:vMerge/>
            <w:tcBorders>
              <w:tl2br w:val="nil"/>
              <w:tr2bl w:val="nil"/>
            </w:tcBorders>
            <w:shd w:val="clear" w:color="auto" w:fill="auto"/>
            <w:vAlign w:val="bottom"/>
          </w:tcPr>
          <w:p w14:paraId="48FC3CE3" w14:textId="77777777" w:rsidR="00687DE2" w:rsidRDefault="00687DE2">
            <w:pPr>
              <w:autoSpaceDE w:val="0"/>
              <w:autoSpaceDN w:val="0"/>
              <w:adjustRightInd w:val="0"/>
              <w:rPr>
                <w:rFonts w:ascii="Arial Regular" w:hAnsi="Arial Regular" w:cs="Arial Regular"/>
              </w:rPr>
            </w:pPr>
          </w:p>
        </w:tc>
        <w:tc>
          <w:tcPr>
            <w:tcW w:w="945" w:type="dxa"/>
            <w:vMerge/>
            <w:tcBorders>
              <w:tl2br w:val="nil"/>
              <w:tr2bl w:val="nil"/>
            </w:tcBorders>
            <w:shd w:val="clear" w:color="auto" w:fill="auto"/>
            <w:vAlign w:val="bottom"/>
          </w:tcPr>
          <w:p w14:paraId="0FB8B64C" w14:textId="77777777" w:rsidR="00687DE2" w:rsidRDefault="00687DE2">
            <w:pPr>
              <w:autoSpaceDE w:val="0"/>
              <w:autoSpaceDN w:val="0"/>
              <w:adjustRightInd w:val="0"/>
              <w:rPr>
                <w:rFonts w:ascii="Arial Regular" w:hAnsi="Arial Regular" w:cs="Arial Regular"/>
              </w:rPr>
            </w:pPr>
          </w:p>
        </w:tc>
      </w:tr>
      <w:tr w:rsidR="00687DE2" w14:paraId="0B092CC4" w14:textId="77777777">
        <w:trPr>
          <w:cantSplit/>
          <w:trHeight w:val="307"/>
        </w:trPr>
        <w:tc>
          <w:tcPr>
            <w:tcW w:w="675" w:type="dxa"/>
            <w:vMerge w:val="restart"/>
            <w:tcBorders>
              <w:tl2br w:val="nil"/>
              <w:tr2bl w:val="nil"/>
            </w:tcBorders>
            <w:shd w:val="clear" w:color="auto" w:fill="auto"/>
          </w:tcPr>
          <w:p w14:paraId="093480EC"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9" w:type="dxa"/>
            <w:tcBorders>
              <w:tl2br w:val="nil"/>
              <w:tr2bl w:val="nil"/>
            </w:tcBorders>
            <w:shd w:val="clear" w:color="auto" w:fill="auto"/>
          </w:tcPr>
          <w:p w14:paraId="3E429C00"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24" w:type="dxa"/>
            <w:tcBorders>
              <w:tl2br w:val="nil"/>
              <w:tr2bl w:val="nil"/>
            </w:tcBorders>
            <w:shd w:val="clear" w:color="auto" w:fill="auto"/>
          </w:tcPr>
          <w:p w14:paraId="1C6783A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.036</w:t>
            </w:r>
          </w:p>
        </w:tc>
        <w:tc>
          <w:tcPr>
            <w:tcW w:w="1224" w:type="dxa"/>
            <w:tcBorders>
              <w:tl2br w:val="nil"/>
              <w:tr2bl w:val="nil"/>
            </w:tcBorders>
            <w:shd w:val="clear" w:color="auto" w:fill="auto"/>
          </w:tcPr>
          <w:p w14:paraId="4A32FE8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.052</w:t>
            </w:r>
          </w:p>
        </w:tc>
        <w:tc>
          <w:tcPr>
            <w:tcW w:w="1350" w:type="dxa"/>
            <w:tcBorders>
              <w:tl2br w:val="nil"/>
              <w:tr2bl w:val="nil"/>
            </w:tcBorders>
            <w:shd w:val="clear" w:color="auto" w:fill="auto"/>
            <w:vAlign w:val="center"/>
          </w:tcPr>
          <w:p w14:paraId="215B5EDB" w14:textId="77777777" w:rsidR="00687DE2" w:rsidRDefault="00687DE2">
            <w:pPr>
              <w:autoSpaceDE w:val="0"/>
              <w:autoSpaceDN w:val="0"/>
              <w:adjustRightInd w:val="0"/>
              <w:rPr>
                <w:rFonts w:ascii="Arial Regular" w:hAnsi="Arial Regular" w:cs="Arial Regular"/>
              </w:rPr>
            </w:pPr>
          </w:p>
        </w:tc>
        <w:tc>
          <w:tcPr>
            <w:tcW w:w="943" w:type="dxa"/>
            <w:tcBorders>
              <w:tl2br w:val="nil"/>
              <w:tr2bl w:val="nil"/>
            </w:tcBorders>
            <w:shd w:val="clear" w:color="auto" w:fill="auto"/>
          </w:tcPr>
          <w:p w14:paraId="4952BAE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.689</w:t>
            </w:r>
          </w:p>
        </w:tc>
        <w:tc>
          <w:tcPr>
            <w:tcW w:w="945" w:type="dxa"/>
            <w:tcBorders>
              <w:tl2br w:val="nil"/>
              <w:tr2bl w:val="nil"/>
            </w:tcBorders>
            <w:shd w:val="clear" w:color="auto" w:fill="auto"/>
          </w:tcPr>
          <w:p w14:paraId="05D9AE8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.492</w:t>
            </w:r>
          </w:p>
        </w:tc>
      </w:tr>
      <w:tr w:rsidR="00687DE2" w14:paraId="1B5F6626" w14:textId="77777777">
        <w:trPr>
          <w:cantSplit/>
          <w:trHeight w:val="307"/>
        </w:trPr>
        <w:tc>
          <w:tcPr>
            <w:tcW w:w="675" w:type="dxa"/>
            <w:vMerge/>
            <w:tcBorders>
              <w:tl2br w:val="nil"/>
              <w:tr2bl w:val="nil"/>
            </w:tcBorders>
            <w:shd w:val="clear" w:color="auto" w:fill="auto"/>
          </w:tcPr>
          <w:p w14:paraId="7A0705C2" w14:textId="77777777" w:rsidR="00687DE2" w:rsidRDefault="00687DE2">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7A74EA45" w14:textId="77777777" w:rsidR="00687DE2" w:rsidRDefault="00B1168E">
            <w:pPr>
              <w:tabs>
                <w:tab w:val="left" w:pos="420"/>
                <w:tab w:val="left" w:pos="630"/>
              </w:tabs>
              <w:rPr>
                <w:rFonts w:ascii="Arial Regular" w:hAnsi="Arial Regular" w:cs="Arial Regular"/>
              </w:rPr>
            </w:pPr>
            <w:r>
              <w:rPr>
                <w:rFonts w:ascii="Arial Regular" w:eastAsia="Helvetica" w:hAnsi="Arial Regular" w:cs="Arial Regular"/>
                <w:bCs/>
              </w:rPr>
              <w:t>Public Accountant Firm Size</w:t>
            </w:r>
          </w:p>
        </w:tc>
        <w:tc>
          <w:tcPr>
            <w:tcW w:w="1224" w:type="dxa"/>
            <w:tcBorders>
              <w:tl2br w:val="nil"/>
              <w:tr2bl w:val="nil"/>
            </w:tcBorders>
            <w:shd w:val="clear" w:color="auto" w:fill="auto"/>
          </w:tcPr>
          <w:p w14:paraId="724C509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.123</w:t>
            </w:r>
          </w:p>
        </w:tc>
        <w:tc>
          <w:tcPr>
            <w:tcW w:w="1224" w:type="dxa"/>
            <w:tcBorders>
              <w:tl2br w:val="nil"/>
              <w:tr2bl w:val="nil"/>
            </w:tcBorders>
            <w:shd w:val="clear" w:color="auto" w:fill="auto"/>
          </w:tcPr>
          <w:p w14:paraId="74BC0CD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.050</w:t>
            </w:r>
          </w:p>
        </w:tc>
        <w:tc>
          <w:tcPr>
            <w:tcW w:w="1350" w:type="dxa"/>
            <w:tcBorders>
              <w:tl2br w:val="nil"/>
              <w:tr2bl w:val="nil"/>
            </w:tcBorders>
            <w:shd w:val="clear" w:color="auto" w:fill="auto"/>
          </w:tcPr>
          <w:p w14:paraId="6D4479A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.236</w:t>
            </w:r>
          </w:p>
        </w:tc>
        <w:tc>
          <w:tcPr>
            <w:tcW w:w="943" w:type="dxa"/>
            <w:tcBorders>
              <w:tl2br w:val="nil"/>
              <w:tr2bl w:val="nil"/>
            </w:tcBorders>
            <w:shd w:val="clear" w:color="auto" w:fill="auto"/>
          </w:tcPr>
          <w:p w14:paraId="76FCD44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2.481</w:t>
            </w:r>
          </w:p>
        </w:tc>
        <w:tc>
          <w:tcPr>
            <w:tcW w:w="945" w:type="dxa"/>
            <w:tcBorders>
              <w:tl2br w:val="nil"/>
              <w:tr2bl w:val="nil"/>
            </w:tcBorders>
            <w:shd w:val="clear" w:color="auto" w:fill="auto"/>
          </w:tcPr>
          <w:p w14:paraId="5C67F64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r>
      <w:tr w:rsidR="00687DE2" w14:paraId="46F71250" w14:textId="77777777">
        <w:trPr>
          <w:cantSplit/>
          <w:trHeight w:val="307"/>
        </w:trPr>
        <w:tc>
          <w:tcPr>
            <w:tcW w:w="675" w:type="dxa"/>
            <w:vMerge/>
            <w:tcBorders>
              <w:tl2br w:val="nil"/>
              <w:tr2bl w:val="nil"/>
            </w:tcBorders>
            <w:shd w:val="clear" w:color="auto" w:fill="auto"/>
          </w:tcPr>
          <w:p w14:paraId="35DE724F" w14:textId="77777777" w:rsidR="00687DE2" w:rsidRDefault="00687DE2">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31D40483"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24" w:type="dxa"/>
            <w:tcBorders>
              <w:tl2br w:val="nil"/>
              <w:tr2bl w:val="nil"/>
            </w:tcBorders>
            <w:shd w:val="clear" w:color="auto" w:fill="auto"/>
          </w:tcPr>
          <w:p w14:paraId="2DBDD7D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.232</w:t>
            </w:r>
          </w:p>
        </w:tc>
        <w:tc>
          <w:tcPr>
            <w:tcW w:w="1224" w:type="dxa"/>
            <w:tcBorders>
              <w:tl2br w:val="nil"/>
              <w:tr2bl w:val="nil"/>
            </w:tcBorders>
            <w:shd w:val="clear" w:color="auto" w:fill="auto"/>
          </w:tcPr>
          <w:p w14:paraId="670DA95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.061</w:t>
            </w:r>
          </w:p>
        </w:tc>
        <w:tc>
          <w:tcPr>
            <w:tcW w:w="1350" w:type="dxa"/>
            <w:tcBorders>
              <w:tl2br w:val="nil"/>
              <w:tr2bl w:val="nil"/>
            </w:tcBorders>
            <w:shd w:val="clear" w:color="auto" w:fill="auto"/>
          </w:tcPr>
          <w:p w14:paraId="122774A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.363</w:t>
            </w:r>
          </w:p>
        </w:tc>
        <w:tc>
          <w:tcPr>
            <w:tcW w:w="943" w:type="dxa"/>
            <w:tcBorders>
              <w:tl2br w:val="nil"/>
              <w:tr2bl w:val="nil"/>
            </w:tcBorders>
            <w:shd w:val="clear" w:color="auto" w:fill="auto"/>
          </w:tcPr>
          <w:p w14:paraId="0EB428E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3.811</w:t>
            </w:r>
          </w:p>
        </w:tc>
        <w:tc>
          <w:tcPr>
            <w:tcW w:w="945" w:type="dxa"/>
            <w:tcBorders>
              <w:tl2br w:val="nil"/>
              <w:tr2bl w:val="nil"/>
            </w:tcBorders>
            <w:shd w:val="clear" w:color="auto" w:fill="auto"/>
          </w:tcPr>
          <w:p w14:paraId="3091084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301DFCA7" w14:textId="77777777">
        <w:trPr>
          <w:cantSplit/>
          <w:trHeight w:val="307"/>
        </w:trPr>
        <w:tc>
          <w:tcPr>
            <w:tcW w:w="8220" w:type="dxa"/>
            <w:gridSpan w:val="7"/>
            <w:tcBorders>
              <w:tl2br w:val="nil"/>
              <w:tr2bl w:val="nil"/>
            </w:tcBorders>
            <w:shd w:val="clear" w:color="auto" w:fill="auto"/>
          </w:tcPr>
          <w:p w14:paraId="0F865956"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Gross Profit Margin</w:t>
            </w:r>
          </w:p>
        </w:tc>
      </w:tr>
    </w:tbl>
    <w:p w14:paraId="0972664B" w14:textId="77777777" w:rsidR="00687DE2" w:rsidRDefault="00B1168E">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04CAF3A3" w14:textId="77777777" w:rsidR="00687DE2" w:rsidRDefault="00B1168E">
      <w:pPr>
        <w:pStyle w:val="NormalWeb"/>
        <w:ind w:firstLineChars="250" w:firstLine="500"/>
        <w:jc w:val="both"/>
        <w:rPr>
          <w:rFonts w:ascii="Arial Regular" w:hAnsi="Arial Regular"/>
          <w:b/>
          <w:bCs/>
          <w:sz w:val="20"/>
          <w:szCs w:val="20"/>
        </w:rPr>
      </w:pPr>
      <w:r>
        <w:rPr>
          <w:rFonts w:ascii="Arial Regular" w:hAnsi="Arial Regular"/>
          <w:color w:val="000000"/>
          <w:sz w:val="20"/>
          <w:szCs w:val="20"/>
        </w:rPr>
        <w:t xml:space="preserve">Table 9 above yields a significance value of </w:t>
      </w:r>
      <w:r>
        <w:rPr>
          <w:rFonts w:ascii="Arial Regular" w:hAnsi="Arial Regular"/>
          <w:color w:val="000000"/>
          <w:sz w:val="20"/>
          <w:szCs w:val="20"/>
        </w:rPr>
        <w:t xml:space="preserve">0.015. The necessary significance value was previously explained as follows: a relationship has an effect if its significance value is 0.005, </w:t>
      </w:r>
      <w:r>
        <w:rPr>
          <w:rFonts w:ascii="Arial Regular" w:hAnsi="Arial Regular"/>
          <w:color w:val="000000"/>
          <w:sz w:val="20"/>
          <w:szCs w:val="20"/>
        </w:rPr>
        <w:lastRenderedPageBreak/>
        <w:t>and if the hypothesis is accepted, the conclusion is that the size of the public accounting firm affects the gross</w:t>
      </w:r>
      <w:r>
        <w:rPr>
          <w:rFonts w:ascii="Arial Regular" w:hAnsi="Arial Regular"/>
          <w:color w:val="000000"/>
          <w:sz w:val="20"/>
          <w:szCs w:val="20"/>
        </w:rPr>
        <w:t xml:space="preserve"> profit margin if its significance value is less than 0.005.</w:t>
      </w:r>
    </w:p>
    <w:p w14:paraId="78F16404" w14:textId="77777777" w:rsidR="00687DE2" w:rsidRDefault="00B1168E">
      <w:pPr>
        <w:rPr>
          <w:rFonts w:ascii="Arial Bold" w:hAnsi="Arial Bold" w:cs="Arial Bold"/>
          <w:b/>
          <w:bCs/>
          <w:vertAlign w:val="subscript"/>
        </w:rPr>
      </w:pPr>
      <w:r>
        <w:rPr>
          <w:rFonts w:ascii="Arial Bold" w:hAnsi="Arial Bold" w:cs="Arial Bold"/>
          <w:b/>
          <w:bCs/>
        </w:rPr>
        <w:t>H</w:t>
      </w:r>
      <w:r>
        <w:rPr>
          <w:rFonts w:ascii="Arial Bold" w:hAnsi="Arial Bold" w:cs="Arial Bold"/>
          <w:b/>
          <w:bCs/>
          <w:vertAlign w:val="subscript"/>
        </w:rPr>
        <w:t xml:space="preserve">2 </w:t>
      </w:r>
      <w:proofErr w:type="gramStart"/>
      <w:r>
        <w:rPr>
          <w:rFonts w:ascii="Arial Bold" w:hAnsi="Arial Bold" w:cs="Arial Bold"/>
          <w:b/>
          <w:bCs/>
          <w:vertAlign w:val="subscript"/>
        </w:rPr>
        <w:tab/>
      </w:r>
      <w:r>
        <w:rPr>
          <w:rFonts w:ascii="Arial Bold" w:hAnsi="Arial Bold" w:cs="Arial Bold"/>
          <w:b/>
          <w:bCs/>
        </w:rPr>
        <w:t xml:space="preserve"> :</w:t>
      </w:r>
      <w:proofErr w:type="gramEnd"/>
      <w:r>
        <w:rPr>
          <w:rFonts w:ascii="Arial Bold" w:hAnsi="Arial Bold" w:cs="Arial Bold"/>
          <w:b/>
          <w:bCs/>
        </w:rPr>
        <w:t xml:space="preserve">    Sustainability report affects gross profit margin.</w:t>
      </w:r>
    </w:p>
    <w:p w14:paraId="5F96E94F"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It is evident that the significance value is at 0.000 when using data from the same source, table 9. It can be inferred that the susta</w:t>
      </w:r>
      <w:r>
        <w:rPr>
          <w:rFonts w:ascii="Arial Regular" w:hAnsi="Arial Regular" w:cs="Arial Regular"/>
          <w:color w:val="000000"/>
          <w:sz w:val="20"/>
          <w:szCs w:val="20"/>
        </w:rPr>
        <w:t>inability report has an impact on the gross profit margin in the same way as previously, provided that the significance threshold is less than 0.005 to indicate that an equation has an effect and that the hypothesis is accepted.</w:t>
      </w:r>
    </w:p>
    <w:p w14:paraId="3B815F48" w14:textId="77777777" w:rsidR="00687DE2" w:rsidRDefault="00B1168E">
      <w:pPr>
        <w:rPr>
          <w:rFonts w:ascii="Arial Bold" w:hAnsi="Arial Bold" w:cs="Arial Bold"/>
          <w:b/>
          <w:bCs/>
        </w:rPr>
      </w:pPr>
      <w:r>
        <w:rPr>
          <w:rFonts w:ascii="Arial Bold" w:hAnsi="Arial Bold" w:cs="Arial Bold"/>
          <w:b/>
          <w:bCs/>
        </w:rPr>
        <w:t>H</w:t>
      </w:r>
      <w:r>
        <w:rPr>
          <w:rFonts w:ascii="Arial Bold" w:hAnsi="Arial Bold" w:cs="Arial Bold"/>
          <w:b/>
          <w:bCs/>
          <w:vertAlign w:val="subscript"/>
        </w:rPr>
        <w:t xml:space="preserve">3   </w:t>
      </w:r>
      <w:proofErr w:type="gramStart"/>
      <w:r>
        <w:rPr>
          <w:rFonts w:ascii="Arial Bold" w:hAnsi="Arial Bold" w:cs="Arial Bold"/>
          <w:b/>
          <w:bCs/>
          <w:vertAlign w:val="subscript"/>
        </w:rPr>
        <w:tab/>
        <w:t xml:space="preserve">  </w:t>
      </w:r>
      <w:r>
        <w:rPr>
          <w:rFonts w:ascii="Arial Bold" w:hAnsi="Arial Bold" w:cs="Arial Bold"/>
          <w:b/>
          <w:bCs/>
        </w:rPr>
        <w:t>:</w:t>
      </w:r>
      <w:proofErr w:type="gramEnd"/>
      <w:r>
        <w:rPr>
          <w:rFonts w:ascii="Arial Bold" w:hAnsi="Arial Bold" w:cs="Arial Bold"/>
          <w:b/>
          <w:bCs/>
        </w:rPr>
        <w:t xml:space="preserve">   Public accounti</w:t>
      </w:r>
      <w:r>
        <w:rPr>
          <w:rFonts w:ascii="Arial Bold" w:hAnsi="Arial Bold" w:cs="Arial Bold"/>
          <w:b/>
          <w:bCs/>
        </w:rPr>
        <w:t>ng firm size affects CTTOR</w:t>
      </w:r>
    </w:p>
    <w:p w14:paraId="6D310FFD" w14:textId="77777777" w:rsidR="00687DE2" w:rsidRDefault="00687DE2">
      <w:pPr>
        <w:pStyle w:val="AbstHead"/>
        <w:spacing w:after="0"/>
        <w:jc w:val="both"/>
        <w:rPr>
          <w:rFonts w:ascii="Arial Regular" w:hAnsi="Arial Regular"/>
          <w:bCs/>
          <w:sz w:val="20"/>
        </w:rPr>
      </w:pPr>
    </w:p>
    <w:p w14:paraId="0E3F5E04"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10</w:t>
      </w:r>
    </w:p>
    <w:p w14:paraId="300671BB" w14:textId="77777777" w:rsidR="00687DE2" w:rsidRDefault="00B1168E">
      <w:pPr>
        <w:tabs>
          <w:tab w:val="left" w:pos="420"/>
          <w:tab w:val="left" w:pos="630"/>
        </w:tabs>
        <w:jc w:val="center"/>
        <w:rPr>
          <w:rFonts w:ascii="Arial Regular" w:hAnsi="Arial Regular" w:cs="Arial Regular"/>
          <w:b/>
          <w:bCs/>
          <w:i/>
          <w:iCs/>
        </w:rPr>
      </w:pPr>
      <w:r>
        <w:rPr>
          <w:rFonts w:ascii="Arial Regular" w:eastAsia="Helvetica" w:hAnsi="Arial Regular" w:cs="Arial Regular"/>
          <w:b/>
        </w:rPr>
        <w:t xml:space="preserve">Coefficient of KAP Size, </w:t>
      </w:r>
      <w:r>
        <w:rPr>
          <w:rFonts w:ascii="Arial Regular" w:eastAsia="Helvetica" w:hAnsi="Arial Regular" w:cs="Arial Regular"/>
          <w:b/>
          <w:i/>
          <w:iCs/>
        </w:rPr>
        <w:t xml:space="preserve">Sustainability Report </w:t>
      </w:r>
      <w:r>
        <w:rPr>
          <w:rFonts w:ascii="Arial Regular" w:eastAsia="Helvetica" w:hAnsi="Arial Regular" w:cs="Arial Regular"/>
          <w:b/>
        </w:rPr>
        <w:t xml:space="preserve">and </w:t>
      </w:r>
      <w:r>
        <w:rPr>
          <w:rFonts w:ascii="Arial Regular" w:eastAsia="Helvetica" w:hAnsi="Arial Regular" w:cs="Arial Regular"/>
          <w:b/>
          <w:i/>
          <w:iCs/>
        </w:rPr>
        <w:t>Gross Profit</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1850"/>
        <w:gridCol w:w="1218"/>
        <w:gridCol w:w="1218"/>
        <w:gridCol w:w="1344"/>
        <w:gridCol w:w="938"/>
        <w:gridCol w:w="940"/>
      </w:tblGrid>
      <w:tr w:rsidR="00687DE2" w14:paraId="4EE9E17D" w14:textId="77777777">
        <w:trPr>
          <w:cantSplit/>
          <w:trHeight w:val="327"/>
        </w:trPr>
        <w:tc>
          <w:tcPr>
            <w:tcW w:w="8180" w:type="dxa"/>
            <w:gridSpan w:val="7"/>
            <w:tcBorders>
              <w:tl2br w:val="nil"/>
              <w:tr2bl w:val="nil"/>
            </w:tcBorders>
            <w:shd w:val="clear" w:color="auto" w:fill="auto"/>
            <w:vAlign w:val="center"/>
          </w:tcPr>
          <w:p w14:paraId="0245E835"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687DE2" w14:paraId="4D7C6607" w14:textId="77777777">
        <w:trPr>
          <w:cantSplit/>
          <w:trHeight w:val="655"/>
        </w:trPr>
        <w:tc>
          <w:tcPr>
            <w:tcW w:w="2522" w:type="dxa"/>
            <w:gridSpan w:val="2"/>
            <w:vMerge w:val="restart"/>
            <w:tcBorders>
              <w:tl2br w:val="nil"/>
              <w:tr2bl w:val="nil"/>
            </w:tcBorders>
            <w:shd w:val="clear" w:color="auto" w:fill="auto"/>
            <w:vAlign w:val="bottom"/>
          </w:tcPr>
          <w:p w14:paraId="7D7C670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36" w:type="dxa"/>
            <w:gridSpan w:val="2"/>
            <w:tcBorders>
              <w:tl2br w:val="nil"/>
              <w:tr2bl w:val="nil"/>
            </w:tcBorders>
            <w:shd w:val="clear" w:color="auto" w:fill="auto"/>
            <w:vAlign w:val="bottom"/>
          </w:tcPr>
          <w:p w14:paraId="2888861A"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44" w:type="dxa"/>
            <w:tcBorders>
              <w:tl2br w:val="nil"/>
              <w:tr2bl w:val="nil"/>
            </w:tcBorders>
            <w:shd w:val="clear" w:color="auto" w:fill="auto"/>
            <w:vAlign w:val="bottom"/>
          </w:tcPr>
          <w:p w14:paraId="188D6D49" w14:textId="77777777" w:rsidR="00687DE2" w:rsidRDefault="00B1168E">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38" w:type="dxa"/>
            <w:vMerge w:val="restart"/>
            <w:tcBorders>
              <w:tl2br w:val="nil"/>
              <w:tr2bl w:val="nil"/>
            </w:tcBorders>
            <w:shd w:val="clear" w:color="auto" w:fill="auto"/>
            <w:vAlign w:val="bottom"/>
          </w:tcPr>
          <w:p w14:paraId="04A65B32"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0" w:type="dxa"/>
            <w:vMerge w:val="restart"/>
            <w:tcBorders>
              <w:tl2br w:val="nil"/>
              <w:tr2bl w:val="nil"/>
            </w:tcBorders>
            <w:shd w:val="clear" w:color="auto" w:fill="auto"/>
            <w:vAlign w:val="bottom"/>
          </w:tcPr>
          <w:p w14:paraId="7D054030"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687DE2" w14:paraId="3FB968C7" w14:textId="77777777">
        <w:trPr>
          <w:cantSplit/>
          <w:trHeight w:val="327"/>
        </w:trPr>
        <w:tc>
          <w:tcPr>
            <w:tcW w:w="2522" w:type="dxa"/>
            <w:gridSpan w:val="2"/>
            <w:vMerge/>
            <w:tcBorders>
              <w:tl2br w:val="nil"/>
              <w:tr2bl w:val="nil"/>
            </w:tcBorders>
            <w:shd w:val="clear" w:color="auto" w:fill="auto"/>
            <w:vAlign w:val="bottom"/>
          </w:tcPr>
          <w:p w14:paraId="3862E64C" w14:textId="77777777" w:rsidR="00687DE2" w:rsidRDefault="00687DE2">
            <w:pPr>
              <w:autoSpaceDE w:val="0"/>
              <w:autoSpaceDN w:val="0"/>
              <w:adjustRightInd w:val="0"/>
              <w:rPr>
                <w:rFonts w:ascii="Arial Regular" w:hAnsi="Arial Regular" w:cs="Arial Regular"/>
              </w:rPr>
            </w:pPr>
          </w:p>
        </w:tc>
        <w:tc>
          <w:tcPr>
            <w:tcW w:w="1218" w:type="dxa"/>
            <w:tcBorders>
              <w:tl2br w:val="nil"/>
              <w:tr2bl w:val="nil"/>
            </w:tcBorders>
            <w:shd w:val="clear" w:color="auto" w:fill="auto"/>
            <w:vAlign w:val="bottom"/>
          </w:tcPr>
          <w:p w14:paraId="4529BD96"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18" w:type="dxa"/>
            <w:tcBorders>
              <w:tl2br w:val="nil"/>
              <w:tr2bl w:val="nil"/>
            </w:tcBorders>
            <w:shd w:val="clear" w:color="auto" w:fill="auto"/>
            <w:vAlign w:val="bottom"/>
          </w:tcPr>
          <w:p w14:paraId="6D5B045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44" w:type="dxa"/>
            <w:tcBorders>
              <w:tl2br w:val="nil"/>
              <w:tr2bl w:val="nil"/>
            </w:tcBorders>
            <w:shd w:val="clear" w:color="auto" w:fill="auto"/>
            <w:vAlign w:val="bottom"/>
          </w:tcPr>
          <w:p w14:paraId="57C3AB6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38" w:type="dxa"/>
            <w:vMerge/>
            <w:tcBorders>
              <w:tl2br w:val="nil"/>
              <w:tr2bl w:val="nil"/>
            </w:tcBorders>
            <w:shd w:val="clear" w:color="auto" w:fill="auto"/>
            <w:vAlign w:val="bottom"/>
          </w:tcPr>
          <w:p w14:paraId="08931757" w14:textId="77777777" w:rsidR="00687DE2" w:rsidRDefault="00687DE2">
            <w:pPr>
              <w:autoSpaceDE w:val="0"/>
              <w:autoSpaceDN w:val="0"/>
              <w:adjustRightInd w:val="0"/>
              <w:rPr>
                <w:rFonts w:ascii="Arial Regular" w:hAnsi="Arial Regular" w:cs="Arial Regular"/>
              </w:rPr>
            </w:pPr>
          </w:p>
        </w:tc>
        <w:tc>
          <w:tcPr>
            <w:tcW w:w="940" w:type="dxa"/>
            <w:vMerge/>
            <w:tcBorders>
              <w:tl2br w:val="nil"/>
              <w:tr2bl w:val="nil"/>
            </w:tcBorders>
            <w:shd w:val="clear" w:color="auto" w:fill="auto"/>
            <w:vAlign w:val="bottom"/>
          </w:tcPr>
          <w:p w14:paraId="0DF30953" w14:textId="77777777" w:rsidR="00687DE2" w:rsidRDefault="00687DE2">
            <w:pPr>
              <w:autoSpaceDE w:val="0"/>
              <w:autoSpaceDN w:val="0"/>
              <w:adjustRightInd w:val="0"/>
              <w:rPr>
                <w:rFonts w:ascii="Arial Regular" w:hAnsi="Arial Regular" w:cs="Arial Regular"/>
              </w:rPr>
            </w:pPr>
          </w:p>
        </w:tc>
      </w:tr>
      <w:tr w:rsidR="00687DE2" w14:paraId="01A03547" w14:textId="77777777">
        <w:trPr>
          <w:cantSplit/>
          <w:trHeight w:val="348"/>
        </w:trPr>
        <w:tc>
          <w:tcPr>
            <w:tcW w:w="672" w:type="dxa"/>
            <w:vMerge w:val="restart"/>
            <w:tcBorders>
              <w:tl2br w:val="nil"/>
              <w:tr2bl w:val="nil"/>
            </w:tcBorders>
            <w:shd w:val="clear" w:color="auto" w:fill="auto"/>
          </w:tcPr>
          <w:p w14:paraId="46F579E7"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0" w:type="dxa"/>
            <w:tcBorders>
              <w:tl2br w:val="nil"/>
              <w:tr2bl w:val="nil"/>
            </w:tcBorders>
            <w:shd w:val="clear" w:color="auto" w:fill="auto"/>
          </w:tcPr>
          <w:p w14:paraId="5252641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18" w:type="dxa"/>
            <w:tcBorders>
              <w:tl2br w:val="nil"/>
              <w:tr2bl w:val="nil"/>
            </w:tcBorders>
            <w:shd w:val="clear" w:color="auto" w:fill="auto"/>
          </w:tcPr>
          <w:p w14:paraId="3DD5AF2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218" w:type="dxa"/>
            <w:tcBorders>
              <w:tl2br w:val="nil"/>
              <w:tr2bl w:val="nil"/>
            </w:tcBorders>
            <w:shd w:val="clear" w:color="auto" w:fill="auto"/>
          </w:tcPr>
          <w:p w14:paraId="49AD2FE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344" w:type="dxa"/>
            <w:tcBorders>
              <w:tl2br w:val="nil"/>
              <w:tr2bl w:val="nil"/>
            </w:tcBorders>
            <w:shd w:val="clear" w:color="auto" w:fill="auto"/>
            <w:vAlign w:val="center"/>
          </w:tcPr>
          <w:p w14:paraId="141293DF" w14:textId="77777777" w:rsidR="00687DE2" w:rsidRDefault="00687DE2">
            <w:pPr>
              <w:autoSpaceDE w:val="0"/>
              <w:autoSpaceDN w:val="0"/>
              <w:adjustRightInd w:val="0"/>
              <w:rPr>
                <w:rFonts w:ascii="Arial Regular" w:hAnsi="Arial Regular" w:cs="Arial Regular"/>
              </w:rPr>
            </w:pPr>
          </w:p>
        </w:tc>
        <w:tc>
          <w:tcPr>
            <w:tcW w:w="938" w:type="dxa"/>
            <w:tcBorders>
              <w:tl2br w:val="nil"/>
              <w:tr2bl w:val="nil"/>
            </w:tcBorders>
            <w:shd w:val="clear" w:color="auto" w:fill="auto"/>
          </w:tcPr>
          <w:p w14:paraId="27BF904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1.071</w:t>
            </w:r>
          </w:p>
        </w:tc>
        <w:tc>
          <w:tcPr>
            <w:tcW w:w="940" w:type="dxa"/>
            <w:tcBorders>
              <w:tl2br w:val="nil"/>
              <w:tr2bl w:val="nil"/>
            </w:tcBorders>
            <w:shd w:val="clear" w:color="auto" w:fill="auto"/>
          </w:tcPr>
          <w:p w14:paraId="7B0ECB7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.287</w:t>
            </w:r>
          </w:p>
        </w:tc>
      </w:tr>
      <w:tr w:rsidR="00687DE2" w14:paraId="70652DF4" w14:textId="77777777">
        <w:trPr>
          <w:cantSplit/>
          <w:trHeight w:val="348"/>
        </w:trPr>
        <w:tc>
          <w:tcPr>
            <w:tcW w:w="672" w:type="dxa"/>
            <w:vMerge/>
            <w:tcBorders>
              <w:tl2br w:val="nil"/>
              <w:tr2bl w:val="nil"/>
            </w:tcBorders>
            <w:shd w:val="clear" w:color="auto" w:fill="auto"/>
          </w:tcPr>
          <w:p w14:paraId="7A289C50"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030199C3"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eastAsia="Helvetica" w:hAnsi="Arial Regular" w:cs="Arial Regular"/>
                <w:bCs/>
              </w:rPr>
              <w:t xml:space="preserve">Public </w:t>
            </w:r>
            <w:r>
              <w:rPr>
                <w:rFonts w:ascii="Arial Regular" w:eastAsia="Helvetica" w:hAnsi="Arial Regular" w:cs="Arial Regular"/>
                <w:bCs/>
              </w:rPr>
              <w:t>Accountant Firm Size</w:t>
            </w:r>
          </w:p>
        </w:tc>
        <w:tc>
          <w:tcPr>
            <w:tcW w:w="1218" w:type="dxa"/>
            <w:tcBorders>
              <w:tl2br w:val="nil"/>
              <w:tr2bl w:val="nil"/>
            </w:tcBorders>
            <w:shd w:val="clear" w:color="auto" w:fill="auto"/>
          </w:tcPr>
          <w:p w14:paraId="6F746DA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.034</w:t>
            </w:r>
          </w:p>
        </w:tc>
        <w:tc>
          <w:tcPr>
            <w:tcW w:w="1218" w:type="dxa"/>
            <w:tcBorders>
              <w:tl2br w:val="nil"/>
              <w:tr2bl w:val="nil"/>
            </w:tcBorders>
            <w:shd w:val="clear" w:color="auto" w:fill="auto"/>
          </w:tcPr>
          <w:p w14:paraId="60A0B3F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1344" w:type="dxa"/>
            <w:tcBorders>
              <w:tl2br w:val="nil"/>
              <w:tr2bl w:val="nil"/>
            </w:tcBorders>
            <w:shd w:val="clear" w:color="auto" w:fill="auto"/>
          </w:tcPr>
          <w:p w14:paraId="10259A3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.368</w:t>
            </w:r>
          </w:p>
        </w:tc>
        <w:tc>
          <w:tcPr>
            <w:tcW w:w="938" w:type="dxa"/>
            <w:tcBorders>
              <w:tl2br w:val="nil"/>
              <w:tr2bl w:val="nil"/>
            </w:tcBorders>
            <w:shd w:val="clear" w:color="auto" w:fill="auto"/>
          </w:tcPr>
          <w:p w14:paraId="0D994D3A"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4.551</w:t>
            </w:r>
          </w:p>
        </w:tc>
        <w:tc>
          <w:tcPr>
            <w:tcW w:w="940" w:type="dxa"/>
            <w:tcBorders>
              <w:tl2br w:val="nil"/>
              <w:tr2bl w:val="nil"/>
            </w:tcBorders>
            <w:shd w:val="clear" w:color="auto" w:fill="auto"/>
          </w:tcPr>
          <w:p w14:paraId="4D34747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72748E92" w14:textId="77777777">
        <w:trPr>
          <w:cantSplit/>
          <w:trHeight w:val="348"/>
        </w:trPr>
        <w:tc>
          <w:tcPr>
            <w:tcW w:w="672" w:type="dxa"/>
            <w:vMerge/>
            <w:tcBorders>
              <w:tl2br w:val="nil"/>
              <w:tr2bl w:val="nil"/>
            </w:tcBorders>
            <w:shd w:val="clear" w:color="auto" w:fill="auto"/>
          </w:tcPr>
          <w:p w14:paraId="74A0EE56"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5CE44D74"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18" w:type="dxa"/>
            <w:tcBorders>
              <w:tl2br w:val="nil"/>
              <w:tr2bl w:val="nil"/>
            </w:tcBorders>
            <w:shd w:val="clear" w:color="auto" w:fill="auto"/>
          </w:tcPr>
          <w:p w14:paraId="3D7C50DA"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.001</w:t>
            </w:r>
          </w:p>
        </w:tc>
        <w:tc>
          <w:tcPr>
            <w:tcW w:w="1218" w:type="dxa"/>
            <w:tcBorders>
              <w:tl2br w:val="nil"/>
              <w:tr2bl w:val="nil"/>
            </w:tcBorders>
            <w:shd w:val="clear" w:color="auto" w:fill="auto"/>
          </w:tcPr>
          <w:p w14:paraId="6536A2B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.009</w:t>
            </w:r>
          </w:p>
        </w:tc>
        <w:tc>
          <w:tcPr>
            <w:tcW w:w="1344" w:type="dxa"/>
            <w:tcBorders>
              <w:tl2br w:val="nil"/>
              <w:tr2bl w:val="nil"/>
            </w:tcBorders>
            <w:shd w:val="clear" w:color="auto" w:fill="auto"/>
          </w:tcPr>
          <w:p w14:paraId="7C0E544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938" w:type="dxa"/>
            <w:tcBorders>
              <w:tl2br w:val="nil"/>
              <w:tr2bl w:val="nil"/>
            </w:tcBorders>
            <w:shd w:val="clear" w:color="auto" w:fill="auto"/>
          </w:tcPr>
          <w:p w14:paraId="4CC3E7E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.085</w:t>
            </w:r>
          </w:p>
        </w:tc>
        <w:tc>
          <w:tcPr>
            <w:tcW w:w="940" w:type="dxa"/>
            <w:tcBorders>
              <w:tl2br w:val="nil"/>
              <w:tr2bl w:val="nil"/>
            </w:tcBorders>
            <w:shd w:val="clear" w:color="auto" w:fill="auto"/>
          </w:tcPr>
          <w:p w14:paraId="12A581E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.933</w:t>
            </w:r>
          </w:p>
        </w:tc>
      </w:tr>
      <w:tr w:rsidR="00687DE2" w14:paraId="7114559A" w14:textId="77777777">
        <w:trPr>
          <w:cantSplit/>
          <w:trHeight w:val="348"/>
        </w:trPr>
        <w:tc>
          <w:tcPr>
            <w:tcW w:w="672" w:type="dxa"/>
            <w:vMerge/>
            <w:tcBorders>
              <w:tl2br w:val="nil"/>
              <w:tr2bl w:val="nil"/>
            </w:tcBorders>
            <w:shd w:val="clear" w:color="auto" w:fill="auto"/>
          </w:tcPr>
          <w:p w14:paraId="7C8E5E36"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7CC14276"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1218" w:type="dxa"/>
            <w:tcBorders>
              <w:tl2br w:val="nil"/>
              <w:tr2bl w:val="nil"/>
            </w:tcBorders>
            <w:shd w:val="clear" w:color="auto" w:fill="auto"/>
          </w:tcPr>
          <w:p w14:paraId="1D1FAB0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.084</w:t>
            </w:r>
          </w:p>
        </w:tc>
        <w:tc>
          <w:tcPr>
            <w:tcW w:w="1218" w:type="dxa"/>
            <w:tcBorders>
              <w:tl2br w:val="nil"/>
              <w:tr2bl w:val="nil"/>
            </w:tcBorders>
            <w:shd w:val="clear" w:color="auto" w:fill="auto"/>
          </w:tcPr>
          <w:p w14:paraId="62F0A5EC"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c>
          <w:tcPr>
            <w:tcW w:w="1344" w:type="dxa"/>
            <w:tcBorders>
              <w:tl2br w:val="nil"/>
              <w:tr2bl w:val="nil"/>
            </w:tcBorders>
            <w:shd w:val="clear" w:color="auto" w:fill="auto"/>
          </w:tcPr>
          <w:p w14:paraId="451A370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.478</w:t>
            </w:r>
          </w:p>
        </w:tc>
        <w:tc>
          <w:tcPr>
            <w:tcW w:w="938" w:type="dxa"/>
            <w:tcBorders>
              <w:tl2br w:val="nil"/>
              <w:tr2bl w:val="nil"/>
            </w:tcBorders>
            <w:shd w:val="clear" w:color="auto" w:fill="auto"/>
          </w:tcPr>
          <w:p w14:paraId="19BE281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5.600</w:t>
            </w:r>
          </w:p>
        </w:tc>
        <w:tc>
          <w:tcPr>
            <w:tcW w:w="940" w:type="dxa"/>
            <w:tcBorders>
              <w:tl2br w:val="nil"/>
              <w:tr2bl w:val="nil"/>
            </w:tcBorders>
            <w:shd w:val="clear" w:color="auto" w:fill="auto"/>
          </w:tcPr>
          <w:p w14:paraId="2F15C43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0861EA0B" w14:textId="77777777">
        <w:trPr>
          <w:cantSplit/>
          <w:trHeight w:val="348"/>
        </w:trPr>
        <w:tc>
          <w:tcPr>
            <w:tcW w:w="8180" w:type="dxa"/>
            <w:gridSpan w:val="7"/>
            <w:tcBorders>
              <w:tl2br w:val="nil"/>
              <w:tr2bl w:val="nil"/>
            </w:tcBorders>
            <w:shd w:val="clear" w:color="auto" w:fill="auto"/>
          </w:tcPr>
          <w:p w14:paraId="3424F1ED"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CTTOR</w:t>
            </w:r>
          </w:p>
        </w:tc>
      </w:tr>
    </w:tbl>
    <w:p w14:paraId="2F5C4C6A"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02EC3CA1" w14:textId="77777777" w:rsidR="00687DE2" w:rsidRDefault="00687DE2">
      <w:pPr>
        <w:autoSpaceDE w:val="0"/>
        <w:autoSpaceDN w:val="0"/>
        <w:adjustRightInd w:val="0"/>
        <w:rPr>
          <w:rFonts w:ascii="Times New Roman" w:eastAsia="SimSun" w:hAnsi="Times New Roman"/>
          <w:sz w:val="16"/>
          <w:szCs w:val="16"/>
          <w:vertAlign w:val="superscript"/>
        </w:rPr>
      </w:pPr>
    </w:p>
    <w:p w14:paraId="3BDE8FDB" w14:textId="77777777" w:rsidR="00687DE2" w:rsidRDefault="00B1168E">
      <w:pPr>
        <w:autoSpaceDE w:val="0"/>
        <w:autoSpaceDN w:val="0"/>
        <w:adjustRightInd w:val="0"/>
        <w:ind w:firstLineChars="250" w:firstLine="500"/>
        <w:jc w:val="both"/>
        <w:rPr>
          <w:rFonts w:ascii="Arial Regular" w:hAnsi="Arial Regular"/>
          <w:bCs/>
          <w:color w:val="000000"/>
        </w:rPr>
      </w:pPr>
      <w:r>
        <w:rPr>
          <w:rFonts w:ascii="Arial Regular" w:hAnsi="Arial Regular"/>
          <w:bCs/>
          <w:color w:val="000000"/>
        </w:rPr>
        <w:t xml:space="preserve">The third hypothesis, which is to </w:t>
      </w:r>
      <w:r>
        <w:rPr>
          <w:rFonts w:ascii="Arial Regular" w:hAnsi="Arial Regular"/>
          <w:bCs/>
          <w:color w:val="000000"/>
        </w:rPr>
        <w:t>ascertain the association between the size of the public accounting company and the corporate tax turnover ratio (CTTOR), requires an examination of Table 10 above, where the significance score produced following data processing is 0.000. The same principl</w:t>
      </w:r>
      <w:r>
        <w:rPr>
          <w:rFonts w:ascii="Arial Regular" w:hAnsi="Arial Regular"/>
          <w:bCs/>
          <w:color w:val="000000"/>
        </w:rPr>
        <w:t xml:space="preserve">es as for the prior hypothesis are applied here, namely examining the level of significance that was attained, which is less than 0.005. It is undeniably true that the size of the public accounting firm influences the corporate tax turnover ratio (CTTOR), </w:t>
      </w:r>
      <w:r>
        <w:rPr>
          <w:rFonts w:ascii="Arial Regular" w:hAnsi="Arial Regular"/>
          <w:bCs/>
          <w:color w:val="000000"/>
        </w:rPr>
        <w:t>and the hypothesis is accepted because the significance score is less than the required 0.005.</w:t>
      </w:r>
    </w:p>
    <w:p w14:paraId="64419435" w14:textId="77777777" w:rsidR="00687DE2" w:rsidRDefault="00B1168E">
      <w:pPr>
        <w:autoSpaceDE w:val="0"/>
        <w:autoSpaceDN w:val="0"/>
        <w:adjustRightInd w:val="0"/>
        <w:rPr>
          <w:rFonts w:ascii="Arial Regular" w:hAnsi="Arial Regular"/>
          <w:bCs/>
          <w:color w:val="000000"/>
        </w:rPr>
      </w:pPr>
      <w:r>
        <w:rPr>
          <w:rFonts w:ascii="Arial Regular" w:hAnsi="Arial Regular"/>
          <w:bCs/>
          <w:color w:val="000000"/>
        </w:rPr>
        <w:t xml:space="preserve">              </w:t>
      </w:r>
    </w:p>
    <w:p w14:paraId="42DFA951" w14:textId="77777777" w:rsidR="00687DE2" w:rsidRDefault="00B1168E">
      <w:pPr>
        <w:rPr>
          <w:rFonts w:ascii="Arial" w:hAnsi="Arial" w:cs="Arial"/>
        </w:rPr>
      </w:pPr>
      <w:r>
        <w:rPr>
          <w:rFonts w:ascii="Arial Regular" w:hAnsi="Arial Regular" w:cs="Arial Regular"/>
          <w:b/>
          <w:bCs/>
        </w:rPr>
        <w:t>H</w:t>
      </w:r>
      <w:r>
        <w:rPr>
          <w:rFonts w:ascii="Arial Regular" w:hAnsi="Arial Regular" w:cs="Arial Regular"/>
          <w:b/>
          <w:bCs/>
          <w:vertAlign w:val="subscript"/>
        </w:rPr>
        <w:t xml:space="preserve">4            </w:t>
      </w:r>
      <w:proofErr w:type="gramStart"/>
      <w:r>
        <w:rPr>
          <w:rFonts w:ascii="Arial Regular" w:hAnsi="Arial Regular" w:cs="Arial Regular"/>
          <w:b/>
          <w:bCs/>
          <w:vertAlign w:val="subscript"/>
        </w:rPr>
        <w:t xml:space="preserve">  </w:t>
      </w:r>
      <w:r>
        <w:rPr>
          <w:rFonts w:ascii="Arial Regular" w:hAnsi="Arial Regular" w:cs="Arial Regular"/>
          <w:b/>
          <w:bCs/>
        </w:rPr>
        <w:t>:</w:t>
      </w:r>
      <w:proofErr w:type="gramEnd"/>
      <w:r>
        <w:rPr>
          <w:rFonts w:ascii="Arial Regular" w:hAnsi="Arial Regular" w:cs="Arial Regular"/>
          <w:b/>
          <w:bCs/>
        </w:rPr>
        <w:t xml:space="preserve">   </w:t>
      </w:r>
      <w:r>
        <w:rPr>
          <w:rFonts w:ascii="Arial Regular" w:hAnsi="Arial Regular" w:cs="Arial Regular"/>
          <w:b/>
          <w:bCs/>
          <w:i/>
          <w:iCs/>
        </w:rPr>
        <w:t xml:space="preserve"> </w:t>
      </w:r>
      <w:r>
        <w:rPr>
          <w:rFonts w:ascii="Arial Regular" w:hAnsi="Arial Regular" w:cs="Arial Regular"/>
          <w:b/>
          <w:bCs/>
        </w:rPr>
        <w:t xml:space="preserve">Sustainability report affects </w:t>
      </w:r>
      <w:r>
        <w:rPr>
          <w:rFonts w:ascii="Arial" w:hAnsi="Arial" w:cs="Arial"/>
        </w:rPr>
        <w:t>CTTOR</w:t>
      </w:r>
    </w:p>
    <w:p w14:paraId="196F7021" w14:textId="77777777" w:rsidR="00687DE2" w:rsidRDefault="00687DE2">
      <w:pPr>
        <w:autoSpaceDE w:val="0"/>
        <w:autoSpaceDN w:val="0"/>
        <w:adjustRightInd w:val="0"/>
        <w:rPr>
          <w:rFonts w:ascii="Arial Regular" w:hAnsi="Arial Regular"/>
          <w:bCs/>
          <w:i/>
          <w:iCs/>
          <w:color w:val="000000"/>
        </w:rPr>
      </w:pPr>
    </w:p>
    <w:p w14:paraId="632D6473"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When trying to ascertain if this hypothesis is accepted or rejected, it requires us to e</w:t>
      </w:r>
      <w:r>
        <w:rPr>
          <w:rFonts w:ascii="Arial Regular" w:hAnsi="Arial Regular" w:cs="Arial Regular"/>
          <w:color w:val="000000"/>
          <w:sz w:val="20"/>
          <w:szCs w:val="20"/>
        </w:rPr>
        <w:t xml:space="preserve">xamine Table 10, which is the coefficient table of gross profit, sustainability report, and public accounting firm size. It's essential to bear in mind the previous rules of the game, which indicate that a relationship must have a significance value below </w:t>
      </w:r>
      <w:r>
        <w:rPr>
          <w:rFonts w:ascii="Arial Regular" w:hAnsi="Arial Regular" w:cs="Arial Regular"/>
          <w:color w:val="000000"/>
          <w:sz w:val="20"/>
          <w:szCs w:val="20"/>
        </w:rPr>
        <w:t xml:space="preserve">0.005 in order to be regarded as having an effect. </w:t>
      </w:r>
      <w:r>
        <w:rPr>
          <w:rFonts w:ascii="Arial Regular" w:hAnsi="Arial Regular"/>
          <w:color w:val="000000"/>
          <w:sz w:val="20"/>
          <w:szCs w:val="20"/>
        </w:rPr>
        <w:t xml:space="preserve">According to the table, the sustainability report's significance value is 0.933, meaning that it surpasses the necessary requirements, which must be less than 0.005. As a result, the hypothesis must be </w:t>
      </w:r>
      <w:r>
        <w:rPr>
          <w:rFonts w:ascii="Arial Regular" w:hAnsi="Arial Regular"/>
          <w:color w:val="000000"/>
          <w:sz w:val="20"/>
          <w:szCs w:val="20"/>
        </w:rPr>
        <w:t>rejected, and it is claimed that the sustainability report has no bearing on the corporate tax turnover ratio (CTTOR).</w:t>
      </w:r>
    </w:p>
    <w:p w14:paraId="5F736E09" w14:textId="77777777" w:rsidR="00687DE2" w:rsidRDefault="00B1168E">
      <w:pPr>
        <w:rPr>
          <w:rFonts w:ascii="Arial Regular" w:hAnsi="Arial Regular" w:cs="Arial Regular"/>
          <w:b/>
          <w:bCs/>
        </w:rPr>
      </w:pPr>
      <w:r>
        <w:rPr>
          <w:rFonts w:ascii="Arial Regular" w:hAnsi="Arial Regular" w:cs="Arial Regular"/>
          <w:b/>
          <w:bCs/>
        </w:rPr>
        <w:t>H</w:t>
      </w:r>
      <w:r>
        <w:rPr>
          <w:rFonts w:ascii="Arial Regular" w:hAnsi="Arial Regular" w:cs="Arial Regular"/>
          <w:b/>
          <w:bCs/>
          <w:vertAlign w:val="subscript"/>
        </w:rPr>
        <w:t xml:space="preserve">5              </w:t>
      </w:r>
      <w:proofErr w:type="gramStart"/>
      <w:r>
        <w:rPr>
          <w:rFonts w:ascii="Arial Regular" w:hAnsi="Arial Regular" w:cs="Arial Regular"/>
          <w:b/>
          <w:bCs/>
          <w:vertAlign w:val="subscript"/>
        </w:rPr>
        <w:t xml:space="preserve">  </w:t>
      </w:r>
      <w:r>
        <w:rPr>
          <w:rFonts w:ascii="Arial Regular" w:hAnsi="Arial Regular" w:cs="Arial Regular"/>
          <w:b/>
          <w:bCs/>
        </w:rPr>
        <w:t>:</w:t>
      </w:r>
      <w:proofErr w:type="gramEnd"/>
      <w:r>
        <w:rPr>
          <w:rFonts w:ascii="Arial Regular" w:hAnsi="Arial Regular" w:cs="Arial Regular"/>
          <w:b/>
          <w:bCs/>
        </w:rPr>
        <w:t xml:space="preserve">   </w:t>
      </w:r>
      <w:r>
        <w:rPr>
          <w:rFonts w:ascii="Arial Bold" w:hAnsi="Arial Bold" w:cs="Arial Bold"/>
          <w:b/>
          <w:bCs/>
        </w:rPr>
        <w:t xml:space="preserve">Gross profit margin </w:t>
      </w:r>
      <w:r>
        <w:rPr>
          <w:rFonts w:ascii="Arial Regular" w:hAnsi="Arial Regular" w:cs="Arial Regular"/>
          <w:b/>
          <w:bCs/>
        </w:rPr>
        <w:t>affects CTTOR</w:t>
      </w:r>
    </w:p>
    <w:p w14:paraId="6A513C70" w14:textId="77777777" w:rsidR="00687DE2" w:rsidRDefault="00B1168E">
      <w:pPr>
        <w:pStyle w:val="NormalWeb"/>
        <w:ind w:firstLineChars="250" w:firstLine="500"/>
        <w:jc w:val="both"/>
        <w:rPr>
          <w:rFonts w:ascii="Arial" w:hAnsi="Arial" w:cs="Arial"/>
          <w:color w:val="000000"/>
          <w:sz w:val="20"/>
          <w:szCs w:val="20"/>
        </w:rPr>
      </w:pPr>
      <w:r>
        <w:rPr>
          <w:rFonts w:ascii="Arial" w:hAnsi="Arial" w:cs="Arial"/>
          <w:color w:val="000000"/>
          <w:sz w:val="20"/>
          <w:szCs w:val="20"/>
        </w:rPr>
        <w:t>In order to determine if there is an influence between variables, the fifth hypot</w:t>
      </w:r>
      <w:r>
        <w:rPr>
          <w:rFonts w:ascii="Arial" w:hAnsi="Arial" w:cs="Arial"/>
          <w:color w:val="000000"/>
          <w:sz w:val="20"/>
          <w:szCs w:val="20"/>
        </w:rPr>
        <w:t>hesis, which seeks to determine whether gross profit margin has an effect or not, requires us to review table 10, which was previously presented. The significance level for this hypothesis must be less than 0.005. According to table 10 above, the gross pro</w:t>
      </w:r>
      <w:r>
        <w:rPr>
          <w:rFonts w:ascii="Arial" w:hAnsi="Arial" w:cs="Arial"/>
          <w:color w:val="000000"/>
          <w:sz w:val="20"/>
          <w:szCs w:val="20"/>
        </w:rPr>
        <w:t xml:space="preserve">fit margin generates a </w:t>
      </w:r>
      <w:r>
        <w:rPr>
          <w:rFonts w:ascii="Arial" w:hAnsi="Arial" w:cs="Arial"/>
          <w:color w:val="000000"/>
          <w:sz w:val="20"/>
          <w:szCs w:val="20"/>
        </w:rPr>
        <w:lastRenderedPageBreak/>
        <w:t>significance level of 0.000, indicating that the hypothesis is accepted and that the corporate tax turnover ratio (CTTOR) is influenced by the gross profit margin.</w:t>
      </w:r>
    </w:p>
    <w:p w14:paraId="4988877A" w14:textId="77777777" w:rsidR="00687DE2" w:rsidRDefault="00B1168E">
      <w:pPr>
        <w:ind w:left="904" w:hangingChars="450" w:hanging="904"/>
        <w:rPr>
          <w:rFonts w:ascii="Arial Regular" w:hAnsi="Arial Regular" w:cs="Arial Regular"/>
        </w:rPr>
      </w:pPr>
      <w:r>
        <w:rPr>
          <w:rFonts w:ascii="Arial Regular" w:hAnsi="Arial Regular" w:cs="Arial Regular"/>
          <w:b/>
          <w:bCs/>
        </w:rPr>
        <w:t>H</w:t>
      </w:r>
      <w:r>
        <w:rPr>
          <w:rFonts w:ascii="Arial Regular" w:hAnsi="Arial Regular" w:cs="Arial Regular"/>
          <w:b/>
          <w:bCs/>
          <w:vertAlign w:val="subscript"/>
        </w:rPr>
        <w:t xml:space="preserve">6              </w:t>
      </w:r>
      <w:proofErr w:type="gramStart"/>
      <w:r>
        <w:rPr>
          <w:rFonts w:ascii="Arial Regular" w:hAnsi="Arial Regular" w:cs="Arial Regular"/>
          <w:b/>
          <w:bCs/>
          <w:vertAlign w:val="subscript"/>
        </w:rPr>
        <w:t xml:space="preserve">  </w:t>
      </w:r>
      <w:r>
        <w:rPr>
          <w:rFonts w:ascii="Arial Regular" w:hAnsi="Arial Regular" w:cs="Arial Regular"/>
          <w:b/>
          <w:bCs/>
        </w:rPr>
        <w:t>:</w:t>
      </w:r>
      <w:proofErr w:type="gramEnd"/>
      <w:r>
        <w:rPr>
          <w:rFonts w:ascii="Arial Regular" w:hAnsi="Arial Regular" w:cs="Arial Regular"/>
          <w:b/>
          <w:bCs/>
        </w:rPr>
        <w:t xml:space="preserve">   Public accounting firm size through </w:t>
      </w:r>
      <w:r>
        <w:rPr>
          <w:rFonts w:ascii="Arial Regular" w:hAnsi="Arial Regular" w:cs="Arial Regular"/>
          <w:b/>
          <w:bCs/>
          <w:i/>
          <w:iCs/>
        </w:rPr>
        <w:t>gross profi</w:t>
      </w:r>
      <w:r>
        <w:rPr>
          <w:rFonts w:ascii="Arial Regular" w:hAnsi="Arial Regular" w:cs="Arial Regular"/>
          <w:b/>
          <w:bCs/>
          <w:i/>
          <w:iCs/>
        </w:rPr>
        <w:t xml:space="preserve">t margin </w:t>
      </w:r>
      <w:r>
        <w:rPr>
          <w:rFonts w:ascii="Arial Regular" w:hAnsi="Arial Regular" w:cs="Arial Regular"/>
          <w:b/>
          <w:bCs/>
        </w:rPr>
        <w:t>affect CTTOR</w:t>
      </w:r>
    </w:p>
    <w:p w14:paraId="15C237A7" w14:textId="77777777" w:rsidR="00687DE2" w:rsidRDefault="00687DE2">
      <w:pPr>
        <w:pStyle w:val="AbstHead"/>
        <w:spacing w:after="0"/>
        <w:jc w:val="both"/>
        <w:rPr>
          <w:rFonts w:ascii="Arial Regular" w:hAnsi="Arial Regular"/>
          <w:bCs/>
          <w:sz w:val="20"/>
        </w:rPr>
      </w:pPr>
    </w:p>
    <w:p w14:paraId="56DDBD76" w14:textId="77777777" w:rsidR="00687DE2" w:rsidRDefault="00687DE2">
      <w:pPr>
        <w:pStyle w:val="AbstHead"/>
        <w:spacing w:after="0"/>
        <w:jc w:val="both"/>
        <w:rPr>
          <w:rFonts w:ascii="Arial Regular" w:hAnsi="Arial Regular"/>
          <w:bCs/>
          <w:sz w:val="20"/>
        </w:rPr>
      </w:pPr>
    </w:p>
    <w:p w14:paraId="13BA2FC3" w14:textId="77777777" w:rsidR="00687DE2" w:rsidRDefault="00687DE2">
      <w:pPr>
        <w:pStyle w:val="AbstHead"/>
        <w:spacing w:after="0"/>
        <w:jc w:val="both"/>
        <w:rPr>
          <w:rFonts w:ascii="Arial Regular" w:hAnsi="Arial Regular"/>
          <w:bCs/>
          <w:sz w:val="20"/>
        </w:rPr>
      </w:pPr>
    </w:p>
    <w:p w14:paraId="68C701C9" w14:textId="77777777" w:rsidR="00687DE2" w:rsidRDefault="00687DE2">
      <w:pPr>
        <w:pStyle w:val="AbstHead"/>
        <w:spacing w:after="0"/>
        <w:jc w:val="both"/>
        <w:rPr>
          <w:rFonts w:ascii="Arial Regular" w:hAnsi="Arial Regular"/>
          <w:bCs/>
          <w:sz w:val="20"/>
        </w:rPr>
      </w:pPr>
    </w:p>
    <w:p w14:paraId="359C73D5" w14:textId="77777777" w:rsidR="00687DE2" w:rsidRDefault="00687DE2">
      <w:pPr>
        <w:pStyle w:val="AbstHead"/>
        <w:spacing w:after="0"/>
        <w:jc w:val="both"/>
        <w:rPr>
          <w:rFonts w:ascii="Arial Regular" w:hAnsi="Arial Regular"/>
          <w:bCs/>
          <w:sz w:val="20"/>
        </w:rPr>
      </w:pPr>
    </w:p>
    <w:p w14:paraId="4E1476DD" w14:textId="77777777" w:rsidR="00687DE2" w:rsidRDefault="00687DE2">
      <w:pPr>
        <w:pStyle w:val="AbstHead"/>
        <w:spacing w:after="0"/>
        <w:jc w:val="both"/>
        <w:rPr>
          <w:rFonts w:ascii="Arial Regular" w:hAnsi="Arial Regular"/>
          <w:bCs/>
          <w:sz w:val="20"/>
        </w:rPr>
      </w:pPr>
    </w:p>
    <w:p w14:paraId="0220D6E1" w14:textId="77777777" w:rsidR="00687DE2" w:rsidRDefault="00687DE2">
      <w:pPr>
        <w:pStyle w:val="AbstHead"/>
        <w:spacing w:after="0"/>
        <w:jc w:val="both"/>
        <w:rPr>
          <w:rFonts w:ascii="Arial Regular" w:hAnsi="Arial Regular"/>
          <w:bCs/>
          <w:sz w:val="20"/>
        </w:rPr>
      </w:pPr>
    </w:p>
    <w:p w14:paraId="40E01A01" w14:textId="77777777" w:rsidR="00687DE2" w:rsidRDefault="00687DE2">
      <w:pPr>
        <w:rPr>
          <w:rFonts w:ascii="Times New Roman Regular" w:hAnsi="Times New Roman Regular" w:cs="Times New Roman Regular"/>
          <w:sz w:val="24"/>
          <w:szCs w:val="24"/>
        </w:rPr>
      </w:pPr>
    </w:p>
    <w:p w14:paraId="70526EE8"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s">
            <w:drawing>
              <wp:anchor distT="0" distB="0" distL="114300" distR="114300" simplePos="0" relativeHeight="251669504" behindDoc="1" locked="0" layoutInCell="1" allowOverlap="1" wp14:anchorId="0B95EA95" wp14:editId="11550A82">
                <wp:simplePos x="0" y="0"/>
                <wp:positionH relativeFrom="column">
                  <wp:posOffset>88265</wp:posOffset>
                </wp:positionH>
                <wp:positionV relativeFrom="paragraph">
                  <wp:posOffset>162560</wp:posOffset>
                </wp:positionV>
                <wp:extent cx="4912360" cy="3764915"/>
                <wp:effectExtent l="13970" t="13970" r="26670" b="31115"/>
                <wp:wrapNone/>
                <wp:docPr id="28" name="Rectangles 28"/>
                <wp:cNvGraphicFramePr/>
                <a:graphic xmlns:a="http://schemas.openxmlformats.org/drawingml/2006/main">
                  <a:graphicData uri="http://schemas.microsoft.com/office/word/2010/wordprocessingShape">
                    <wps:wsp>
                      <wps:cNvSpPr/>
                      <wps:spPr>
                        <a:xfrm>
                          <a:off x="1184275" y="5419090"/>
                          <a:ext cx="4912360" cy="3764915"/>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B85E0A" id="Rectangles 28" o:spid="_x0000_s1026" style="position:absolute;margin-left:6.95pt;margin-top:12.8pt;width:386.8pt;height:296.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" filled="f" strokecolor="black [3213]" strokeweight="2.25pt"/>
            </w:pict>
          </mc:Fallback>
        </mc:AlternateContent>
      </w:r>
    </w:p>
    <w:p w14:paraId="2575A342"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73600" behindDoc="0" locked="0" layoutInCell="1" allowOverlap="1" wp14:anchorId="0680CF6F" wp14:editId="16A27D44">
                <wp:simplePos x="0" y="0"/>
                <wp:positionH relativeFrom="column">
                  <wp:posOffset>238760</wp:posOffset>
                </wp:positionH>
                <wp:positionV relativeFrom="paragraph">
                  <wp:posOffset>59055</wp:posOffset>
                </wp:positionV>
                <wp:extent cx="4643755" cy="3165475"/>
                <wp:effectExtent l="16510" t="12700" r="13335" b="22225"/>
                <wp:wrapNone/>
                <wp:docPr id="45" name="Group 45"/>
                <wp:cNvGraphicFramePr/>
                <a:graphic xmlns:a="http://schemas.openxmlformats.org/drawingml/2006/main">
                  <a:graphicData uri="http://schemas.microsoft.com/office/word/2010/wordprocessingGroup">
                    <wpg:wgp>
                      <wpg:cNvGrpSpPr/>
                      <wpg:grpSpPr>
                        <a:xfrm>
                          <a:off x="0" y="0"/>
                          <a:ext cx="4643755" cy="3165475"/>
                          <a:chOff x="2557" y="192019"/>
                          <a:chExt cx="7313" cy="4985"/>
                        </a:xfrm>
                      </wpg:grpSpPr>
                      <wps:wsp>
                        <wps:cNvPr id="46" name="Rounded Rectangle 8"/>
                        <wps:cNvSpPr/>
                        <wps:spPr>
                          <a:xfrm>
                            <a:off x="2557" y="192019"/>
                            <a:ext cx="2174" cy="1273"/>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Rounded Rectangle 15"/>
                        <wps:cNvSpPr/>
                        <wps:spPr>
                          <a:xfrm>
                            <a:off x="7957" y="193708"/>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29A0B9C"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0ABC20C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Rounded Rectangle 25"/>
                        <wps:cNvSpPr/>
                        <wps:spPr>
                          <a:xfrm>
                            <a:off x="2561" y="195352"/>
                            <a:ext cx="2150" cy="1075"/>
                          </a:xfrm>
                          <a:prstGeom prst="roundRect">
                            <a:avLst/>
                          </a:prstGeom>
                        </wps:spPr>
                        <wps:style>
                          <a:lnRef idx="3">
                            <a:schemeClr val="accent3"/>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12"/>
                        <wps:cNvCnPr/>
                        <wps:spPr>
                          <a:xfrm>
                            <a:off x="4732" y="192710"/>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0" name="Straight Arrow Connector 23"/>
                        <wps:cNvCnPr/>
                        <wps:spPr>
                          <a:xfrm flipV="1">
                            <a:off x="4717" y="194847"/>
                            <a:ext cx="1643" cy="996"/>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1" name="Straight Arrow Connector 10"/>
                        <wps:cNvCnPr/>
                        <wps:spPr>
                          <a:xfrm>
                            <a:off x="8685" y="192518"/>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2" name="Straight Arrow Connector 22"/>
                        <wps:cNvCnPr/>
                        <wps:spPr>
                          <a:xfrm flipV="1">
                            <a:off x="8670" y="194824"/>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3" name="Oval 9"/>
                        <wps:cNvSpPr/>
                        <wps:spPr>
                          <a:xfrm>
                            <a:off x="8852" y="192368"/>
                            <a:ext cx="1018" cy="774"/>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B0BEBD0" w14:textId="77777777" w:rsidR="00687DE2" w:rsidRDefault="00B1168E">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Oval 27"/>
                        <wps:cNvSpPr/>
                        <wps:spPr>
                          <a:xfrm>
                            <a:off x="6051" y="196174"/>
                            <a:ext cx="1150" cy="831"/>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B037C0" w14:textId="77777777" w:rsidR="00687DE2" w:rsidRDefault="00B1168E">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Straight Arrow Connector 24"/>
                        <wps:cNvCnPr/>
                        <wps:spPr>
                          <a:xfrm flipV="1">
                            <a:off x="6674" y="194820"/>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56" name="Text Box 29"/>
                        <wps:cNvSpPr txBox="1"/>
                        <wps:spPr>
                          <a:xfrm rot="2460000">
                            <a:off x="4682" y="193239"/>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AB345" w14:textId="77777777" w:rsidR="00687DE2" w:rsidRDefault="00B1168E">
                              <w:pPr>
                                <w:jc w:val="center"/>
                                <w:rPr>
                                  <w:rFonts w:ascii="Arial Bold" w:hAnsi="Arial Bold" w:cs="Arial Bold"/>
                                  <w:b/>
                                  <w:bCs/>
                                </w:rPr>
                              </w:pPr>
                              <w:r>
                                <w:rPr>
                                  <w:rFonts w:ascii="Arial Bold" w:hAnsi="Arial Bold" w:cs="Arial Bold"/>
                                  <w:b/>
                                  <w:bCs/>
                                  <w:color w:val="010205"/>
                                  <w:sz w:val="18"/>
                                  <w:szCs w:val="18"/>
                                </w:rPr>
                                <w:t>0.236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Straight Connector 26"/>
                        <wps:cNvCnPr/>
                        <wps:spPr>
                          <a:xfrm>
                            <a:off x="4711" y="195946"/>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8" name="Straight Connector 11"/>
                        <wps:cNvCnPr/>
                        <wps:spPr>
                          <a:xfrm>
                            <a:off x="4725" y="192526"/>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9" name="Text Box 39"/>
                        <wps:cNvSpPr txBox="1"/>
                        <wps:spPr>
                          <a:xfrm rot="19860000">
                            <a:off x="4762" y="194988"/>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2816F" w14:textId="77777777" w:rsidR="00687DE2" w:rsidRDefault="00B1168E">
                              <w:pPr>
                                <w:jc w:val="center"/>
                                <w:rPr>
                                  <w:rFonts w:ascii="Arial Bold" w:hAnsi="Arial Bold" w:cs="Arial Bold"/>
                                  <w:b/>
                                  <w:bCs/>
                                </w:rPr>
                              </w:pPr>
                              <w:r>
                                <w:rPr>
                                  <w:rFonts w:ascii="Arial Bold" w:hAnsi="Arial Bold" w:cs="Arial Bold"/>
                                  <w:b/>
                                  <w:bCs/>
                                  <w:color w:val="010205"/>
                                  <w:sz w:val="18"/>
                                  <w:szCs w:val="18"/>
                                </w:rPr>
                                <w:t>0.363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40"/>
                        <wps:cNvSpPr txBox="1"/>
                        <wps:spPr>
                          <a:xfrm rot="21420000">
                            <a:off x="6224" y="192064"/>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52B76" w14:textId="77777777" w:rsidR="00687DE2" w:rsidRDefault="00B1168E">
                              <w:pPr>
                                <w:rPr>
                                  <w:rFonts w:ascii="Arial Bold" w:hAnsi="Arial Bold" w:cs="Arial Bold"/>
                                  <w:b/>
                                  <w:bCs/>
                                </w:rPr>
                              </w:pPr>
                              <w:r>
                                <w:rPr>
                                  <w:rFonts w:ascii="Arial Bold" w:hAnsi="Arial Bold" w:cs="Arial Bold"/>
                                  <w:b/>
                                  <w:bCs/>
                                </w:rPr>
                                <w:t>0.368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42"/>
                        <wps:cNvSpPr txBox="1"/>
                        <wps:spPr>
                          <a:xfrm rot="21420000">
                            <a:off x="7067" y="193813"/>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973A3" w14:textId="77777777" w:rsidR="00687DE2" w:rsidRDefault="00B1168E">
                              <w:pPr>
                                <w:rPr>
                                  <w:rFonts w:ascii="Arial Bold" w:hAnsi="Arial Bold" w:cs="Arial Bold"/>
                                  <w:b/>
                                  <w:bCs/>
                                </w:rPr>
                              </w:pPr>
                              <w:r>
                                <w:rPr>
                                  <w:rFonts w:ascii="Arial Bold" w:hAnsi="Arial Bold" w:cs="Arial Bold"/>
                                  <w:b/>
                                  <w:bCs/>
                                  <w:color w:val="010205"/>
                                  <w:sz w:val="18"/>
                                  <w:szCs w:val="18"/>
                                </w:rPr>
                                <w:t>0.478</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680CF6F" id="Group 45" o:spid="_x0000_s1042" style="position:absolute;left:0;text-align:left;margin-left:18.8pt;margin-top:4.65pt;width:365.65pt;height:249.25pt;z-index:251673600" coordorigin="2557,192019" coordsize="7313,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">
                <v:roundrect id="Rounded Rectangle 8" o:spid="_x0000_s1043" style="position:absolute;left:2557;top:192019;width:2174;height:1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" filled="f" strokecolor="#4f81bd [3204]" strokeweight="2pt"/>
                <v:roundrect id="Rounded Rectangle 15" o:spid="_x0000_s1044" style="position:absolute;left:7957;top:193708;width:1851;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" fillcolor="#f2dbdb [661]" strokecolor="black [3213]" strokeweight="2pt">
                  <v:textbox>
                    <w:txbxContent>
                      <w:p w14:paraId="229A0B9C"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0ABC20CA" w14:textId="77777777" w:rsidR="00687DE2" w:rsidRDefault="00B1168E">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25" o:spid="_x0000_s1045" style="position:absolute;left:2561;top:195352;width:2150;height:10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" filled="f" strokecolor="#9bbb59 [3206]" strokeweight="3pt"/>
                <v:shape id="Straight Arrow Connector 12" o:spid="_x0000_s1046" type="#_x0000_t32" style="position:absolute;left:4732;top:192710;width:1269;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" strokecolor="red" strokeweight="2pt">
                  <v:stroke endarrow="open"/>
                  <v:shadow on="t" color="black" opacity="24903f" origin=",.5" offset="0,.55556mm"/>
                </v:shape>
                <v:shape id="Straight Arrow Connector 23" o:spid="_x0000_s1047" type="#_x0000_t32" style="position:absolute;left:4717;top:194847;width:1643;height:9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" strokecolor="red" strokeweight="2pt">
                  <v:stroke endarrow="open"/>
                  <v:shadow on="t" color="black" opacity="24903f" origin=",.5" offset="0,.55556mm"/>
                </v:shape>
                <v:shape id="Straight Arrow Connector 10" o:spid="_x0000_s1048" type="#_x0000_t32" style="position:absolute;left:8685;top:192518;width:0;height:1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" strokecolor="red" strokeweight="2pt">
                  <v:stroke endarrow="open"/>
                  <v:shadow on="t" color="black" opacity="24903f" origin=",.5" offset="0,.55556mm"/>
                </v:shape>
                <v:shape id="Straight Arrow Connector 22" o:spid="_x0000_s1049" type="#_x0000_t32" style="position:absolute;left:8670;top:194824;width:0;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" strokeweight="2pt">
                  <v:stroke endarrow="open"/>
                  <v:shadow on="t" color="black" opacity="24903f" origin=",.5" offset="0,.55556mm"/>
                </v:shape>
                <v:oval id="Oval 9" o:spid="_x0000_s1050" style="position:absolute;left:8852;top:192368;width:1018;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" fillcolor="#fabf8f [1945]" strokecolor="#d99594 [1941]" strokeweight="2pt">
                  <v:textbox>
                    <w:txbxContent>
                      <w:p w14:paraId="0B0BEBD0" w14:textId="77777777" w:rsidR="00687DE2" w:rsidRDefault="00B1168E">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v:textbox>
                </v:oval>
                <v:oval id="Oval 27" o:spid="_x0000_s1051" style="position:absolute;left:6051;top:196174;width:1150;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" fillcolor="#fabf8f [1945]" strokecolor="#e5b8b7 [1301]" strokeweight="2pt">
                  <v:textbox>
                    <w:txbxContent>
                      <w:p w14:paraId="4DB037C0" w14:textId="77777777" w:rsidR="00687DE2" w:rsidRDefault="00B1168E">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v:textbox>
                </v:oval>
                <v:shape id="Straight Arrow Connector 24" o:spid="_x0000_s1052" type="#_x0000_t32" style="position:absolute;left:6674;top:194820;width:0;height:1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" strokecolor="#fabf8f [1945]" strokeweight="2.5pt">
                  <v:stroke endarrow="open" endcap="round"/>
                </v:shape>
                <v:shapetype id="_x0000_t202" coordsize="21600,21600" o:spt="202" path="m,l,21600r21600,l21600,xe">
                  <v:stroke joinstyle="miter"/>
                  <v:path gradientshapeok="t" o:connecttype="rect"/>
                </v:shapetype>
                <v:shape id="Text Box 29" o:spid="_x0000_s1053" type="#_x0000_t202" style="position:absolute;left:4682;top:193239;width:899;height:423;rotation: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" filled="f" stroked="f" strokeweight=".5pt">
                  <v:textbox>
                    <w:txbxContent>
                      <w:p w14:paraId="468AB345" w14:textId="77777777" w:rsidR="00687DE2" w:rsidRDefault="00B1168E">
                        <w:pPr>
                          <w:jc w:val="center"/>
                          <w:rPr>
                            <w:rFonts w:ascii="Arial Bold" w:hAnsi="Arial Bold" w:cs="Arial Bold"/>
                            <w:b/>
                            <w:bCs/>
                          </w:rPr>
                        </w:pPr>
                        <w:r>
                          <w:rPr>
                            <w:rFonts w:ascii="Arial Bold" w:hAnsi="Arial Bold" w:cs="Arial Bold"/>
                            <w:b/>
                            <w:bCs/>
                            <w:color w:val="010205"/>
                            <w:sz w:val="18"/>
                            <w:szCs w:val="18"/>
                          </w:rPr>
                          <w:t>0.236</w:t>
                        </w:r>
                      </w:p>
                    </w:txbxContent>
                  </v:textbox>
                </v:shape>
                <v:line id="Straight Connector 26" o:spid="_x0000_s1054" style="position:absolute;visibility:visible;mso-wrap-style:square" from="4711,195946" to="8677,19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" strokecolor="red" strokeweight="3pt"/>
                <v:line id="Straight Connector 11" o:spid="_x0000_s1055" style="position:absolute;visibility:visible;mso-wrap-style:square" from="4725,192526" to="8685,19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" strokecolor="red" strokeweight="3pt"/>
                <v:shape id="Text Box 39" o:spid="_x0000_s1056" type="#_x0000_t202" style="position:absolute;left:4762;top:194988;width:899;height:423;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" filled="f" stroked="f" strokeweight=".5pt">
                  <v:textbox>
                    <w:txbxContent>
                      <w:p w14:paraId="3B22816F" w14:textId="77777777" w:rsidR="00687DE2" w:rsidRDefault="00B1168E">
                        <w:pPr>
                          <w:jc w:val="center"/>
                          <w:rPr>
                            <w:rFonts w:ascii="Arial Bold" w:hAnsi="Arial Bold" w:cs="Arial Bold"/>
                            <w:b/>
                            <w:bCs/>
                          </w:rPr>
                        </w:pPr>
                        <w:r>
                          <w:rPr>
                            <w:rFonts w:ascii="Arial Bold" w:hAnsi="Arial Bold" w:cs="Arial Bold"/>
                            <w:b/>
                            <w:bCs/>
                            <w:color w:val="010205"/>
                            <w:sz w:val="18"/>
                            <w:szCs w:val="18"/>
                          </w:rPr>
                          <w:t>0.363</w:t>
                        </w:r>
                      </w:p>
                    </w:txbxContent>
                  </v:textbox>
                </v:shape>
                <v:shape id="Text Box 40" o:spid="_x0000_s1057" type="#_x0000_t202" style="position:absolute;left:6224;top:192064;width:899;height:423;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" filled="f" stroked="f" strokeweight=".5pt">
                  <v:textbox>
                    <w:txbxContent>
                      <w:p w14:paraId="7C152B76" w14:textId="77777777" w:rsidR="00687DE2" w:rsidRDefault="00B1168E">
                        <w:pPr>
                          <w:rPr>
                            <w:rFonts w:ascii="Arial Bold" w:hAnsi="Arial Bold" w:cs="Arial Bold"/>
                            <w:b/>
                            <w:bCs/>
                          </w:rPr>
                        </w:pPr>
                        <w:r>
                          <w:rPr>
                            <w:rFonts w:ascii="Arial Bold" w:hAnsi="Arial Bold" w:cs="Arial Bold"/>
                            <w:b/>
                            <w:bCs/>
                          </w:rPr>
                          <w:t>0.368</w:t>
                        </w:r>
                      </w:p>
                    </w:txbxContent>
                  </v:textbox>
                </v:shape>
                <v:shape id="Text Box 42" o:spid="_x0000_s1058" type="#_x0000_t202" style="position:absolute;left:7067;top:193813;width:899;height:423;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" filled="f" stroked="f" strokeweight=".5pt">
                  <v:textbox>
                    <w:txbxContent>
                      <w:p w14:paraId="235973A3" w14:textId="77777777" w:rsidR="00687DE2" w:rsidRDefault="00B1168E">
                        <w:pPr>
                          <w:rPr>
                            <w:rFonts w:ascii="Arial Bold" w:hAnsi="Arial Bold" w:cs="Arial Bold"/>
                            <w:b/>
                            <w:bCs/>
                          </w:rPr>
                        </w:pPr>
                        <w:r>
                          <w:rPr>
                            <w:rFonts w:ascii="Arial Bold" w:hAnsi="Arial Bold" w:cs="Arial Bold"/>
                            <w:b/>
                            <w:bCs/>
                            <w:color w:val="010205"/>
                            <w:sz w:val="18"/>
                            <w:szCs w:val="18"/>
                          </w:rPr>
                          <w:t>0.478</w:t>
                        </w:r>
                      </w:p>
                    </w:txbxContent>
                  </v:textbox>
                </v:shape>
              </v:group>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2D04E0E3"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2F342A00"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Firm Size</w:t>
      </w:r>
    </w:p>
    <w:p w14:paraId="7F3C0B0D" w14:textId="77777777" w:rsidR="00687DE2" w:rsidRDefault="00B1168E">
      <w:pPr>
        <w:ind w:firstLineChars="500" w:firstLine="1200"/>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1552" behindDoc="0" locked="0" layoutInCell="1" allowOverlap="1" wp14:anchorId="72AC460F" wp14:editId="56089BAB">
                <wp:simplePos x="0" y="0"/>
                <wp:positionH relativeFrom="column">
                  <wp:posOffset>4572635</wp:posOffset>
                </wp:positionH>
                <wp:positionV relativeFrom="paragraph">
                  <wp:posOffset>180975</wp:posOffset>
                </wp:positionV>
                <wp:extent cx="0" cy="369570"/>
                <wp:effectExtent l="71120" t="15875" r="81280" b="20955"/>
                <wp:wrapNone/>
                <wp:docPr id="62" name="Straight Arrow Connector 62"/>
                <wp:cNvGraphicFramePr/>
                <a:graphic xmlns:a="http://schemas.openxmlformats.org/drawingml/2006/main">
                  <a:graphicData uri="http://schemas.microsoft.com/office/word/2010/wordprocessingShape">
                    <wps:wsp>
                      <wps:cNvCnPr/>
                      <wps:spPr>
                        <a:xfrm>
                          <a:off x="0" y="0"/>
                          <a:ext cx="0" cy="36957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w14:anchorId="3793DE8C" id="Straight Arrow Connector 62" o:spid="_x0000_s1026" type="#_x0000_t32" style="position:absolute;margin-left:360.05pt;margin-top:14.25pt;width:0;height:29.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" strokecolor="#fabf8f [1945]" strokeweight="2.5pt">
                <v:stroke endarrow="open" endcap="round"/>
              </v:shape>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3D80F5BF" w14:textId="77777777" w:rsidR="00687DE2" w:rsidRDefault="00687DE2">
      <w:pPr>
        <w:rPr>
          <w:rFonts w:ascii="Times New Roman Regular" w:hAnsi="Times New Roman Regular" w:cs="Times New Roman Regular"/>
          <w:sz w:val="24"/>
          <w:szCs w:val="24"/>
        </w:rPr>
      </w:pPr>
    </w:p>
    <w:p w14:paraId="17607C54"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8480" behindDoc="1" locked="0" layoutInCell="1" allowOverlap="1" wp14:anchorId="2348D074" wp14:editId="3B71CA1B">
                <wp:simplePos x="0" y="0"/>
                <wp:positionH relativeFrom="column">
                  <wp:posOffset>1933575</wp:posOffset>
                </wp:positionH>
                <wp:positionV relativeFrom="paragraph">
                  <wp:posOffset>193675</wp:posOffset>
                </wp:positionV>
                <wp:extent cx="1164590" cy="694055"/>
                <wp:effectExtent l="12700" t="12700" r="16510" b="29845"/>
                <wp:wrapNone/>
                <wp:docPr id="63" name="Rounded Rectangle 63"/>
                <wp:cNvGraphicFramePr/>
                <a:graphic xmlns:a="http://schemas.openxmlformats.org/drawingml/2006/main">
                  <a:graphicData uri="http://schemas.microsoft.com/office/word/2010/wordprocessingShape">
                    <wps:wsp>
                      <wps:cNvSpPr/>
                      <wps:spPr>
                        <a:xfrm>
                          <a:off x="1374775" y="6693535"/>
                          <a:ext cx="1164590" cy="694055"/>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3D0D41A"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348D074" id="Rounded Rectangle 63" o:spid="_x0000_s1059" style="position:absolute;margin-left:152.25pt;margin-top:15.25pt;width:91.7pt;height:54.6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" fillcolor="#e5dfec [663]" strokecolor="black [3213]" strokeweight="2pt">
                <v:textbox>
                  <w:txbxContent>
                    <w:p w14:paraId="13D0D41A" w14:textId="77777777" w:rsidR="00687DE2" w:rsidRDefault="00B1168E">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w:pict>
          </mc:Fallback>
        </mc:AlternateConten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6B8E511E" w14:textId="77777777"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4DCAEB5A"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0528" behindDoc="0" locked="0" layoutInCell="1" allowOverlap="1" wp14:anchorId="17635117" wp14:editId="582AACAE">
                <wp:simplePos x="0" y="0"/>
                <wp:positionH relativeFrom="column">
                  <wp:posOffset>3098165</wp:posOffset>
                </wp:positionH>
                <wp:positionV relativeFrom="paragraph">
                  <wp:posOffset>144780</wp:posOffset>
                </wp:positionV>
                <wp:extent cx="603250" cy="0"/>
                <wp:effectExtent l="33655" t="71120" r="48895" b="132080"/>
                <wp:wrapNone/>
                <wp:docPr id="64" name="Straight Arrow Connector 64"/>
                <wp:cNvGraphicFramePr/>
                <a:graphic xmlns:a="http://schemas.openxmlformats.org/drawingml/2006/main">
                  <a:graphicData uri="http://schemas.microsoft.com/office/word/2010/wordprocessingShape">
                    <wps:wsp>
                      <wps:cNvCnPr/>
                      <wps:spPr>
                        <a:xfrm>
                          <a:off x="0" y="0"/>
                          <a:ext cx="603250"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654C7CC" id="Straight Arrow Connector 64" o:spid="_x0000_s1026" type="#_x0000_t32" style="position:absolute;margin-left:243.95pt;margin-top:11.4pt;width:4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" strokecolor="red" strokeweight="2pt">
                <v:stroke endarrow="open"/>
                <v:shadow on="t" color="black" opacity="24903f" origin=",.5" offset="0,.55556mm"/>
              </v:shape>
            </w:pict>
          </mc:Fallback>
        </mc:AlternateContent>
      </w:r>
    </w:p>
    <w:p w14:paraId="7CB3B47B" w14:textId="77777777" w:rsidR="00687DE2" w:rsidRDefault="00B1168E">
      <w:pPr>
        <w:rPr>
          <w:sz w:val="24"/>
        </w:rPr>
      </w:pPr>
      <w:r>
        <w:rPr>
          <w:sz w:val="24"/>
        </w:rPr>
        <w:t xml:space="preserve">   </w:t>
      </w:r>
    </w:p>
    <w:p w14:paraId="151FDC41" w14:textId="77777777" w:rsidR="00687DE2" w:rsidRDefault="00687DE2">
      <w:pPr>
        <w:rPr>
          <w:sz w:val="24"/>
        </w:rPr>
      </w:pPr>
    </w:p>
    <w:p w14:paraId="02516FFA" w14:textId="77777777" w:rsidR="00687DE2" w:rsidRDefault="00687DE2">
      <w:pPr>
        <w:ind w:firstLineChars="250" w:firstLine="600"/>
        <w:rPr>
          <w:sz w:val="24"/>
        </w:rPr>
      </w:pPr>
    </w:p>
    <w:p w14:paraId="09416C71" w14:textId="77777777" w:rsidR="00687DE2" w:rsidRDefault="00B1168E">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noProof/>
          <w:sz w:val="24"/>
        </w:rPr>
        <mc:AlternateContent>
          <mc:Choice Requires="wps">
            <w:drawing>
              <wp:anchor distT="0" distB="0" distL="114300" distR="114300" simplePos="0" relativeHeight="251672576" behindDoc="0" locked="0" layoutInCell="1" allowOverlap="1" wp14:anchorId="782F7A6E" wp14:editId="5078CB64">
                <wp:simplePos x="0" y="0"/>
                <wp:positionH relativeFrom="column">
                  <wp:posOffset>3246120</wp:posOffset>
                </wp:positionH>
                <wp:positionV relativeFrom="paragraph">
                  <wp:posOffset>81280</wp:posOffset>
                </wp:positionV>
                <wp:extent cx="485140" cy="251460"/>
                <wp:effectExtent l="0" t="0" r="0" b="0"/>
                <wp:wrapNone/>
                <wp:docPr id="65" name="Text Box 65"/>
                <wp:cNvGraphicFramePr/>
                <a:graphic xmlns:a="http://schemas.openxmlformats.org/drawingml/2006/main">
                  <a:graphicData uri="http://schemas.microsoft.com/office/word/2010/wordprocessingShape">
                    <wps:wsp>
                      <wps:cNvSpPr txBox="1"/>
                      <wps:spPr>
                        <a:xfrm>
                          <a:off x="4389120" y="4999990"/>
                          <a:ext cx="48514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81160" w14:textId="77777777" w:rsidR="00687DE2" w:rsidRDefault="00B1168E">
                            <w:pPr>
                              <w:rPr>
                                <w:rFonts w:ascii="Arial Bold" w:hAnsi="Arial Bold" w:cs="Arial Bold"/>
                                <w:b/>
                                <w:bCs/>
                              </w:rPr>
                            </w:pPr>
                            <w:r>
                              <w:rPr>
                                <w:rFonts w:ascii="Arial Bold" w:hAnsi="Arial Bold" w:cs="Arial Bold"/>
                                <w:b/>
                                <w:bCs/>
                                <w:color w:val="010205"/>
                                <w:sz w:val="18"/>
                                <w:szCs w:val="18"/>
                              </w:rPr>
                              <w:t>0.007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2F7A6E" id="Text Box 65" o:spid="_x0000_s1060" type="#_x0000_t202" style="position:absolute;left:0;text-align:left;margin-left:255.6pt;margin-top:6.4pt;width:38.2pt;height:19.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" filled="f" stroked="f" strokeweight=".5pt">
                <v:textbox>
                  <w:txbxContent>
                    <w:p w14:paraId="51E81160" w14:textId="77777777" w:rsidR="00687DE2" w:rsidRDefault="00B1168E">
                      <w:pPr>
                        <w:rPr>
                          <w:rFonts w:ascii="Arial Bold" w:hAnsi="Arial Bold" w:cs="Arial Bold"/>
                          <w:b/>
                          <w:bCs/>
                        </w:rPr>
                      </w:pPr>
                      <w:r>
                        <w:rPr>
                          <w:rFonts w:ascii="Arial Bold" w:hAnsi="Arial Bold" w:cs="Arial Bold"/>
                          <w:b/>
                          <w:bCs/>
                          <w:color w:val="010205"/>
                          <w:sz w:val="18"/>
                          <w:szCs w:val="18"/>
                        </w:rPr>
                        <w:t>0.007</w:t>
                      </w:r>
                    </w:p>
                  </w:txbxContent>
                </v:textbox>
              </v:shape>
            </w:pict>
          </mc:Fallback>
        </mc:AlternateContent>
      </w: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2DE9DB62" w14:textId="77777777" w:rsidR="00687DE2" w:rsidRDefault="00B1168E">
      <w:pPr>
        <w:ind w:left="420" w:firstLine="420"/>
        <w:rPr>
          <w:rFonts w:ascii="Arial Bold" w:hAnsi="Arial Bold" w:cs="Arial Bold"/>
          <w:b/>
          <w:bCs/>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7F920F23" w14:textId="77777777" w:rsidR="00687DE2" w:rsidRDefault="00B1168E">
      <w:pPr>
        <w:ind w:left="420" w:firstLine="42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215BACC9" w14:textId="77777777" w:rsidR="00687DE2" w:rsidRDefault="00687DE2">
      <w:pPr>
        <w:tabs>
          <w:tab w:val="left" w:pos="1230"/>
        </w:tabs>
        <w:spacing w:line="360" w:lineRule="auto"/>
        <w:jc w:val="center"/>
        <w:rPr>
          <w:rFonts w:ascii="Times New Roman Regular" w:hAnsi="Times New Roman Regular" w:cs="Times New Roman Regular"/>
          <w:sz w:val="24"/>
          <w:szCs w:val="24"/>
        </w:rPr>
      </w:pPr>
    </w:p>
    <w:p w14:paraId="55006F03" w14:textId="77777777" w:rsidR="00687DE2" w:rsidRDefault="00687DE2">
      <w:pPr>
        <w:tabs>
          <w:tab w:val="left" w:pos="1230"/>
        </w:tabs>
        <w:spacing w:line="360" w:lineRule="auto"/>
        <w:jc w:val="both"/>
        <w:rPr>
          <w:rFonts w:ascii="Times New Roman" w:hAnsi="Times New Roman"/>
          <w:b/>
          <w:sz w:val="24"/>
          <w:szCs w:val="24"/>
        </w:rPr>
      </w:pPr>
    </w:p>
    <w:p w14:paraId="0CAFB7AF" w14:textId="6C9D84A9" w:rsidR="00687DE2" w:rsidRDefault="00B1168E">
      <w:pPr>
        <w:tabs>
          <w:tab w:val="left" w:pos="1230"/>
        </w:tabs>
        <w:spacing w:line="360" w:lineRule="auto"/>
        <w:jc w:val="center"/>
        <w:rPr>
          <w:rFonts w:ascii="Times New Roman" w:hAnsi="Times New Roman"/>
          <w:b/>
          <w:sz w:val="24"/>
          <w:szCs w:val="24"/>
        </w:rPr>
      </w:pPr>
      <w:r>
        <w:rPr>
          <w:rFonts w:ascii="Times New Roman" w:hAnsi="Times New Roman"/>
          <w:b/>
          <w:sz w:val="24"/>
          <w:szCs w:val="24"/>
        </w:rPr>
        <w:t xml:space="preserve">Figure </w:t>
      </w:r>
      <w:r w:rsidR="00395B85">
        <w:rPr>
          <w:rFonts w:ascii="Times New Roman" w:hAnsi="Times New Roman"/>
          <w:b/>
          <w:sz w:val="24"/>
          <w:szCs w:val="24"/>
        </w:rPr>
        <w:t>2</w:t>
      </w:r>
      <w:r>
        <w:rPr>
          <w:rFonts w:ascii="Times New Roman" w:hAnsi="Times New Roman"/>
          <w:b/>
          <w:sz w:val="24"/>
          <w:szCs w:val="24"/>
        </w:rPr>
        <w:t>. Framework of Thought</w:t>
      </w:r>
    </w:p>
    <w:p w14:paraId="4C267623" w14:textId="77777777" w:rsidR="00687DE2" w:rsidRDefault="00687DE2">
      <w:pPr>
        <w:tabs>
          <w:tab w:val="left" w:pos="1230"/>
        </w:tabs>
        <w:spacing w:line="360" w:lineRule="auto"/>
        <w:jc w:val="both"/>
        <w:rPr>
          <w:rFonts w:ascii="Times New Roman" w:hAnsi="Times New Roman"/>
          <w:b/>
          <w:sz w:val="24"/>
          <w:szCs w:val="24"/>
        </w:rPr>
      </w:pPr>
    </w:p>
    <w:p w14:paraId="7A8EF414" w14:textId="77777777" w:rsidR="00687DE2" w:rsidRDefault="00687DE2">
      <w:pPr>
        <w:tabs>
          <w:tab w:val="left" w:pos="1230"/>
        </w:tabs>
        <w:ind w:firstLineChars="250" w:firstLine="500"/>
        <w:jc w:val="both"/>
        <w:rPr>
          <w:rFonts w:ascii="Arial Regular" w:hAnsi="Arial Regular" w:cs="Arial Regular"/>
          <w:bCs/>
        </w:rPr>
      </w:pPr>
    </w:p>
    <w:p w14:paraId="59369B86" w14:textId="0BEBBC86" w:rsidR="00687DE2" w:rsidRDefault="00B1168E">
      <w:pPr>
        <w:tabs>
          <w:tab w:val="left" w:pos="1230"/>
        </w:tabs>
        <w:ind w:firstLineChars="250" w:firstLine="500"/>
        <w:jc w:val="both"/>
        <w:rPr>
          <w:rFonts w:ascii="Arial Regular" w:hAnsi="Arial Regular" w:cs="Arial Regular"/>
          <w:bCs/>
        </w:rPr>
      </w:pPr>
      <w:r>
        <w:rPr>
          <w:rFonts w:ascii="Arial Regular" w:hAnsi="Arial Regular" w:cs="Arial Regular"/>
          <w:bCs/>
        </w:rPr>
        <w:t xml:space="preserve">Figure </w:t>
      </w:r>
      <w:r w:rsidR="00395B85">
        <w:rPr>
          <w:rFonts w:ascii="Arial Regular" w:hAnsi="Arial Regular" w:cs="Arial Regular"/>
          <w:bCs/>
        </w:rPr>
        <w:t>2</w:t>
      </w:r>
      <w:r>
        <w:rPr>
          <w:rFonts w:ascii="Arial Regular" w:hAnsi="Arial Regular" w:cs="Arial Regular"/>
          <w:bCs/>
        </w:rPr>
        <w:t>, the initial framework, is a necessary tool to discuss the final two hypotheses. Finding the direct relationship between the public accounting firm size variable and CTTOR is necessary in order to discuss whether or not a firm's size, as measured by its g</w:t>
      </w:r>
      <w:r>
        <w:rPr>
          <w:rFonts w:ascii="Arial Regular" w:hAnsi="Arial Regular" w:cs="Arial Regular"/>
          <w:bCs/>
        </w:rPr>
        <w:t xml:space="preserve">ross profit margin, has an impact on CTTOR. As a result, the standard beta coefficient is 0.368 in the resultant figure, 0.113 for the indirect effect, and 0.476 when </w:t>
      </w:r>
      <w:proofErr w:type="spellStart"/>
      <w:r>
        <w:rPr>
          <w:rFonts w:ascii="Arial Regular" w:hAnsi="Arial Regular" w:cs="Arial Regular"/>
          <w:bCs/>
        </w:rPr>
        <w:t>totalled</w:t>
      </w:r>
      <w:proofErr w:type="spellEnd"/>
      <w:r>
        <w:rPr>
          <w:rFonts w:ascii="Arial Regular" w:hAnsi="Arial Regular" w:cs="Arial Regular"/>
          <w:bCs/>
        </w:rPr>
        <w:t>.</w:t>
      </w:r>
    </w:p>
    <w:p w14:paraId="1EF9520D" w14:textId="77777777" w:rsidR="00687DE2" w:rsidRDefault="00B1168E">
      <w:pPr>
        <w:tabs>
          <w:tab w:val="left" w:pos="1230"/>
        </w:tabs>
        <w:ind w:firstLineChars="250" w:firstLine="500"/>
        <w:jc w:val="both"/>
        <w:rPr>
          <w:rFonts w:ascii="Arial Regular" w:hAnsi="Arial Regular"/>
          <w:bCs/>
        </w:rPr>
      </w:pPr>
      <w:r>
        <w:rPr>
          <w:rFonts w:ascii="Arial Regular" w:hAnsi="Arial Regular"/>
          <w:bCs/>
        </w:rPr>
        <w:t xml:space="preserve">Regression equations that use intermediate or intervening variables to </w:t>
      </w:r>
      <w:r>
        <w:rPr>
          <w:rFonts w:ascii="Arial Regular" w:hAnsi="Arial Regular"/>
          <w:bCs/>
        </w:rPr>
        <w:t>determine the effect between the unbound variable and the dependent variable must meet certain requirements. For the hypothesis to be accepted, the value of the indirect effect obtained must be greater than the value of the direct effect. The indirect effe</w:t>
      </w:r>
      <w:r>
        <w:rPr>
          <w:rFonts w:ascii="Arial Regular" w:hAnsi="Arial Regular"/>
          <w:bCs/>
        </w:rPr>
        <w:t>ct for this hypothesis is 0.113, which is unquestionably less than the direct effect of 0.368. This indicates that the size of the public accounting firm, as measured by gross profit margin, has no discernible impact on CTTOR, and as a result, the hypothes</w:t>
      </w:r>
      <w:r>
        <w:rPr>
          <w:rFonts w:ascii="Arial Regular" w:hAnsi="Arial Regular"/>
          <w:bCs/>
        </w:rPr>
        <w:t>is is rejected.</w:t>
      </w:r>
    </w:p>
    <w:p w14:paraId="5DCD858D" w14:textId="77777777" w:rsidR="00687DE2" w:rsidRDefault="00687DE2">
      <w:pPr>
        <w:tabs>
          <w:tab w:val="left" w:pos="1230"/>
        </w:tabs>
        <w:spacing w:line="360" w:lineRule="auto"/>
        <w:ind w:firstLineChars="250" w:firstLine="500"/>
        <w:jc w:val="both"/>
        <w:rPr>
          <w:rFonts w:ascii="Arial Regular" w:hAnsi="Arial Regular"/>
          <w:bCs/>
        </w:rPr>
      </w:pPr>
    </w:p>
    <w:p w14:paraId="30896158" w14:textId="77777777" w:rsidR="00687DE2" w:rsidRDefault="00B1168E">
      <w:pPr>
        <w:rPr>
          <w:rFonts w:ascii="Arial Bold" w:hAnsi="Arial Bold" w:cs="Arial Bold"/>
          <w:b/>
          <w:bCs/>
          <w:iCs/>
        </w:rPr>
      </w:pPr>
      <w:r>
        <w:rPr>
          <w:rFonts w:ascii="Arial Bold" w:hAnsi="Arial Bold" w:cs="Arial Bold"/>
          <w:b/>
          <w:bCs/>
          <w:iCs/>
        </w:rPr>
        <w:t>H</w:t>
      </w:r>
      <w:r>
        <w:rPr>
          <w:rFonts w:ascii="Arial Bold" w:hAnsi="Arial Bold" w:cs="Arial Bold"/>
          <w:b/>
          <w:bCs/>
          <w:iCs/>
          <w:vertAlign w:val="subscript"/>
        </w:rPr>
        <w:t xml:space="preserve">7              </w:t>
      </w:r>
      <w:proofErr w:type="gramStart"/>
      <w:r>
        <w:rPr>
          <w:rFonts w:ascii="Arial Bold" w:hAnsi="Arial Bold" w:cs="Arial Bold"/>
          <w:b/>
          <w:bCs/>
          <w:iCs/>
          <w:vertAlign w:val="subscript"/>
        </w:rPr>
        <w:t xml:space="preserve">  </w:t>
      </w:r>
      <w:r>
        <w:rPr>
          <w:rFonts w:ascii="Arial Bold" w:hAnsi="Arial Bold" w:cs="Arial Bold"/>
          <w:b/>
          <w:bCs/>
          <w:iCs/>
        </w:rPr>
        <w:t>:</w:t>
      </w:r>
      <w:proofErr w:type="gramEnd"/>
      <w:r>
        <w:rPr>
          <w:rFonts w:ascii="Arial Bold" w:hAnsi="Arial Bold" w:cs="Arial Bold"/>
          <w:b/>
          <w:bCs/>
          <w:iCs/>
        </w:rPr>
        <w:t xml:space="preserve">   Sustainability report through gross profit margin affects CTTOR</w:t>
      </w:r>
    </w:p>
    <w:p w14:paraId="21682EC2" w14:textId="77777777" w:rsidR="00687DE2" w:rsidRDefault="00B1168E">
      <w:pPr>
        <w:pStyle w:val="AbstHead"/>
        <w:spacing w:after="0"/>
        <w:jc w:val="both"/>
        <w:rPr>
          <w:rFonts w:ascii="Arial Regular" w:hAnsi="Arial Regular"/>
          <w:bCs/>
          <w:sz w:val="20"/>
        </w:rPr>
      </w:pPr>
      <w:r>
        <w:rPr>
          <w:rFonts w:ascii="Arial Regular" w:hAnsi="Arial Regular"/>
          <w:bCs/>
          <w:sz w:val="20"/>
        </w:rPr>
        <w:t xml:space="preserve">             </w:t>
      </w:r>
    </w:p>
    <w:p w14:paraId="34D68E63" w14:textId="7A5EE218"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value of 0.007 for the direct impact of the sustainability report on CTTOR is still based on the data shown in figure </w:t>
      </w:r>
      <w:r w:rsidR="00395B85">
        <w:rPr>
          <w:rFonts w:ascii="Arial Regular" w:hAnsi="Arial Regular" w:cs="Arial Regular"/>
          <w:color w:val="000000"/>
          <w:sz w:val="20"/>
          <w:szCs w:val="20"/>
        </w:rPr>
        <w:t>2</w:t>
      </w:r>
      <w:r>
        <w:rPr>
          <w:rFonts w:ascii="Arial Regular" w:hAnsi="Arial Regular" w:cs="Arial Regular"/>
          <w:color w:val="000000"/>
          <w:sz w:val="20"/>
          <w:szCs w:val="20"/>
        </w:rPr>
        <w:t xml:space="preserve"> of the framewor</w:t>
      </w:r>
      <w:r>
        <w:rPr>
          <w:rFonts w:ascii="Arial Regular" w:hAnsi="Arial Regular" w:cs="Arial Regular"/>
          <w:color w:val="000000"/>
          <w:sz w:val="20"/>
          <w:szCs w:val="20"/>
        </w:rPr>
        <w:t xml:space="preserve">k. Concurrently, the indirect impact of </w:t>
      </w:r>
      <w:r>
        <w:rPr>
          <w:rFonts w:ascii="Arial Regular" w:hAnsi="Arial Regular" w:cs="Arial Regular"/>
          <w:color w:val="000000"/>
          <w:sz w:val="20"/>
          <w:szCs w:val="20"/>
        </w:rPr>
        <w:lastRenderedPageBreak/>
        <w:t>sustainability reports on CTTOR can be computed by multiplying 0.363 by 0.478, which yields a value of 0.174 and a total effect of 0.181.</w:t>
      </w:r>
    </w:p>
    <w:p w14:paraId="26213180"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olor w:val="000000"/>
          <w:sz w:val="20"/>
          <w:szCs w:val="20"/>
        </w:rPr>
        <w:t>If we consider the numbers we generated earlier and compare them with the rule</w:t>
      </w:r>
      <w:r>
        <w:rPr>
          <w:rFonts w:ascii="Arial Regular" w:hAnsi="Arial Regular"/>
          <w:color w:val="000000"/>
          <w:sz w:val="20"/>
          <w:szCs w:val="20"/>
        </w:rPr>
        <w:t>s that must be met for a variable to be declared to have an effect on another variable, we can see that the indirect value and the direct value must be considered together. It seems that the indirect value must be greater if we are to be able to say that a</w:t>
      </w:r>
      <w:r>
        <w:rPr>
          <w:rFonts w:ascii="Arial Regular" w:hAnsi="Arial Regular"/>
          <w:color w:val="000000"/>
          <w:sz w:val="20"/>
          <w:szCs w:val="20"/>
        </w:rPr>
        <w:t xml:space="preserve"> relationship has a significant effect. It appears that the value of the indirect effect obtained was 0.174, which is greater than the direct effect of 0.007. Therefore, it could be concluded that the last hypothesis is accepted because the sustainability </w:t>
      </w:r>
      <w:r>
        <w:rPr>
          <w:rFonts w:ascii="Arial Regular" w:hAnsi="Arial Regular"/>
          <w:color w:val="000000"/>
          <w:sz w:val="20"/>
          <w:szCs w:val="20"/>
        </w:rPr>
        <w:t>report has an indirect effect on CTTOR through the gross profit margin variance.</w:t>
      </w:r>
    </w:p>
    <w:p w14:paraId="6274C48E" w14:textId="77777777" w:rsidR="00687DE2" w:rsidRDefault="00B1168E">
      <w:pPr>
        <w:pStyle w:val="AbstHead"/>
        <w:tabs>
          <w:tab w:val="left" w:pos="400"/>
        </w:tabs>
        <w:spacing w:after="0"/>
        <w:jc w:val="both"/>
        <w:rPr>
          <w:rFonts w:ascii="Arial Regular" w:hAnsi="Arial Regular"/>
          <w:bCs/>
          <w:sz w:val="20"/>
        </w:rPr>
      </w:pPr>
      <w:r>
        <w:rPr>
          <w:rFonts w:ascii="Arial Bold" w:hAnsi="Arial Bold" w:cs="Arial Bold"/>
          <w:szCs w:val="22"/>
        </w:rPr>
        <w:t>4.    CONCLUSIONS</w:t>
      </w:r>
    </w:p>
    <w:p w14:paraId="34A5593F"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With the aid of one intervening variable, the corporate tax turnover ratio (CTTOR), this study employs seven hypotheses to test the direct or indirect effect</w:t>
      </w:r>
      <w:r>
        <w:rPr>
          <w:rFonts w:ascii="Arial Regular" w:hAnsi="Arial Regular" w:cs="Arial Regular"/>
          <w:color w:val="000000"/>
          <w:sz w:val="20"/>
          <w:szCs w:val="20"/>
        </w:rPr>
        <w:t>s of both independent variables—the sustainability report and the size of the public accounting firm—and the dependent variable, the gross profit margin.</w:t>
      </w:r>
    </w:p>
    <w:p w14:paraId="465DA1AC"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Both the sustainability report and the size of the public accounting firm have an impact on the depend</w:t>
      </w:r>
      <w:r>
        <w:rPr>
          <w:rFonts w:ascii="Arial Regular" w:hAnsi="Arial Regular"/>
          <w:color w:val="000000"/>
          <w:sz w:val="20"/>
          <w:szCs w:val="20"/>
        </w:rPr>
        <w:t>ent variable, gross profit margin, according to the first and second hypotheses, which examine the direct relationship between the sustainability report and the public accounting firm size. The third theory, according to which the corporate tax turnover ra</w:t>
      </w:r>
      <w:r>
        <w:rPr>
          <w:rFonts w:ascii="Arial Regular" w:hAnsi="Arial Regular"/>
          <w:color w:val="000000"/>
          <w:sz w:val="20"/>
          <w:szCs w:val="20"/>
        </w:rPr>
        <w:t>tio (CTTOR) is influenced by the size of the public accounting company, is also acknowledged. Nevertheless, the fourth hypothesis is disproved, meaning that the corporate tax turnover ratio (CTTOR) is unaffected by the sustainability report.</w:t>
      </w:r>
    </w:p>
    <w:p w14:paraId="111030E2"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In order to de</w:t>
      </w:r>
      <w:r>
        <w:rPr>
          <w:rFonts w:ascii="Arial Regular" w:hAnsi="Arial Regular"/>
          <w:color w:val="000000"/>
          <w:sz w:val="20"/>
          <w:szCs w:val="20"/>
        </w:rPr>
        <w:t>monstrate that the gross profit margin influences the corporate tax turnover ratio (CTTOR), the fifth hypothesis—the next one—is also accepted. The sixth and seventh hypotheses, which compute the indirect relationship between variables, must be disproved b</w:t>
      </w:r>
      <w:r>
        <w:rPr>
          <w:rFonts w:ascii="Arial Regular" w:hAnsi="Arial Regular"/>
          <w:color w:val="000000"/>
          <w:sz w:val="20"/>
          <w:szCs w:val="20"/>
        </w:rPr>
        <w:t>y stating that the size of the public accounting firm, as measured by gross profit margin, has no discernible impact on CTTOR. The last hypothesis, which was accepted, indicates that the sustainability report influences CTTOR through the gross profit margi</w:t>
      </w:r>
      <w:r>
        <w:rPr>
          <w:rFonts w:ascii="Arial Regular" w:hAnsi="Arial Regular"/>
          <w:color w:val="000000"/>
          <w:sz w:val="20"/>
          <w:szCs w:val="20"/>
        </w:rPr>
        <w:t>n variable.</w:t>
      </w:r>
    </w:p>
    <w:p w14:paraId="35300912" w14:textId="77777777" w:rsidR="00687DE2" w:rsidRDefault="00B1168E">
      <w:pPr>
        <w:rPr>
          <w:rFonts w:ascii="Times New Roman Bold" w:hAnsi="Times New Roman Bold" w:cs="Times New Roman Bold"/>
          <w:b/>
          <w:bCs/>
          <w:sz w:val="24"/>
          <w:szCs w:val="24"/>
        </w:rPr>
      </w:pPr>
      <w:r>
        <w:rPr>
          <w:rFonts w:ascii="Times New Roman Bold" w:hAnsi="Times New Roman Bold" w:cs="Times New Roman Bold"/>
          <w:b/>
          <w:bCs/>
          <w:sz w:val="24"/>
          <w:szCs w:val="24"/>
        </w:rPr>
        <w:t>REFERENCES</w:t>
      </w:r>
    </w:p>
    <w:p w14:paraId="0ED8CF82" w14:textId="77777777" w:rsidR="00687DE2" w:rsidRDefault="00687DE2">
      <w:pPr>
        <w:rPr>
          <w:rFonts w:ascii="Times New Roman Bold" w:hAnsi="Times New Roman Bold" w:cs="Times New Roman Bold"/>
          <w:b/>
          <w:bCs/>
          <w:sz w:val="24"/>
          <w:szCs w:val="24"/>
        </w:rPr>
      </w:pPr>
    </w:p>
    <w:sdt>
      <w:sdtPr>
        <w:rPr>
          <w:rFonts w:eastAsia="Tahoma"/>
          <w:sz w:val="24"/>
          <w:szCs w:val="24"/>
          <w:lang w:eastAsia="zh-CN"/>
        </w:rPr>
        <w:tag w:val="MENDELEY_BIBLIOGRAPHY"/>
        <w:id w:val="339458265"/>
        <w:placeholder>
          <w:docPart w:val="DefaultPlaceholder_-1854013440"/>
        </w:placeholder>
      </w:sdtPr>
      <w:sdtEndPr>
        <w:rPr>
          <w:sz w:val="20"/>
          <w:szCs w:val="20"/>
          <w:lang w:eastAsia="en-US"/>
        </w:rPr>
      </w:sdtEndPr>
      <w:sdtContent>
        <w:p w14:paraId="6C7B30F1" w14:textId="4D88C277" w:rsidR="001315B9" w:rsidRPr="001315B9" w:rsidRDefault="001315B9" w:rsidP="001315B9">
          <w:pPr>
            <w:autoSpaceDE w:val="0"/>
            <w:autoSpaceDN w:val="0"/>
            <w:ind w:left="2520"/>
            <w:jc w:val="both"/>
            <w:rPr>
              <w:rFonts w:ascii="Arial" w:hAnsi="Arial" w:cs="Arial"/>
              <w:color w:val="000000"/>
              <w:lang w:val="sv-SE"/>
            </w:rPr>
          </w:pPr>
          <w:r w:rsidRPr="001315B9">
            <w:rPr>
              <w:rFonts w:ascii="Arial" w:hAnsi="Arial" w:cs="Arial"/>
              <w:color w:val="000000"/>
              <w:lang w:val="sv-SE"/>
            </w:rPr>
            <w:t>Agustina, I., &amp; Pradesa, H. A. (2024). Sustainability Reporting Practices in Indonesia: A Critical Review of Previous Literature. Journal of Economics, Management Accounting and Taxation (Jemap), 7(1), 24–46. https://doi.org/10.24167/jemap.v7i1.10947</w:t>
          </w:r>
        </w:p>
        <w:p w14:paraId="4D1185E3" w14:textId="37A7F951"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Kamil, I. (2021). THE EFFECT OF AUDIT FEE, AUDIT TENURE, AND AUDIT FIRM (KAP) SIZE ON AUDIT QUALITY IN CONSUMER GOODS COMPANIES LISTED ON THE INDONESIA STOCK EXCHANGE (IDX) IN 2016-2019. Journal of Managerial and Entrepreneurial Perspectives (JPMK), 1(2), 120–132. https://doi.org/10.59832/jpmk.v1i2.50</w:t>
          </w:r>
        </w:p>
        <w:p w14:paraId="344A2484" w14:textId="5851205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Lenny. (2025). The Interplay among Sustainability Reporting, Gross Profit Margin and</w:t>
          </w:r>
        </w:p>
        <w:p w14:paraId="1B67A7A2" w14:textId="384A677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Corporate Tax Strategies. Asian Journal of Economics, Business and Accounting, 25(2),</w:t>
          </w:r>
        </w:p>
        <w:p w14:paraId="7296B6DC" w14:textId="27C5BAD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263–274. https://doi.org/10.9734/ajeba/2025/v25i21679</w:t>
          </w:r>
        </w:p>
        <w:p w14:paraId="1AF1FAEE" w14:textId="431586CE"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Made Endiana, I. D., &amp; Ayu Suryandari, N. N. (2021). VALUE RELEVANCE OF SUSTAINABILITY REPORT: EVIDENCE FROM INDONESIA. Indonesian Journal of Accounting and Finance, 18(2), 168–182. https://doi.org/10.21002/jaki.2021.09</w:t>
          </w:r>
        </w:p>
        <w:p w14:paraId="50342A3E" w14:textId="4139EDF4"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Mayangsari, R. D., &amp; Sazangka, A. Y. (2023). The Effect of Public Accounting Firm Size, Audit Tenure and Public Accounting Firm Specialization on Audit Quality. Owner, 7(3), 2598–2611. https://doi.org/10.33395/owner.v7i3.1455</w:t>
          </w:r>
        </w:p>
        <w:p w14:paraId="7C4565AF" w14:textId="2CED225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Nindita, C., &amp; Siregar, S. V. (2013). Analysis of the Effect of Public Accounting Firm Size on Audit Quality in Indonesia. Journal of Accounting and Finance, 14(2). https://doi.org/10.9744/jak.14.2.91-104</w:t>
          </w:r>
        </w:p>
        <w:p w14:paraId="0D5AF0A0" w14:textId="7AD04A0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Regulation of the Financial Services Authority of the Republic of Indonesia Number 9 of 2023 Concerning</w:t>
          </w:r>
        </w:p>
        <w:p w14:paraId="74CDDBF3" w14:textId="66EC468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lastRenderedPageBreak/>
            <w:t>Use of Public Accountant Services and Public Accounting Firms in Service Activities</w:t>
          </w:r>
        </w:p>
        <w:p w14:paraId="187BF177" w14:textId="1A3F0AF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Finance (2023).</w:t>
          </w:r>
        </w:p>
        <w:p w14:paraId="65EB2331" w14:textId="0219DAE6"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Regulation of the Financial Services Authority of the Republic of Indonesia Number 51/POJK.03/2017 Concerning the Implementation of Sustainable Finance for Financial Services Institutions, Issuers, and Public Companies. (2017).</w:t>
          </w:r>
        </w:p>
        <w:p w14:paraId="08B1FB27" w14:textId="26E21AE3"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Rizki, M. (2020). THE EFFECT OF KAP REPUTATION, KAP SIZE, AND AUDIT FEES</w:t>
          </w:r>
        </w:p>
        <w:p w14:paraId="2EFCAD4F" w14:textId="58BD7D3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ON AUDIT QUALITY (Study of Manufacturing Companies Listed on the IDX</w:t>
          </w:r>
        </w:p>
        <w:p w14:paraId="2E9174A2" w14:textId="41CA8B4A"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2015-2017). DIPONEGORO JOURNAL OF ACCOUNTING, 9(3), 1–11.</w:t>
          </w:r>
        </w:p>
        <w:p w14:paraId="1D3448E4" w14:textId="57CF23A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http://ejournal-s1.undip.ac.id/index.php/accounting</w:t>
          </w:r>
        </w:p>
        <w:p w14:paraId="79DD04BA" w14:textId="40338D6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Rudyanto, A., &amp; Pirzada, K. (2021). The role of sustainability reporting in shareholder perception of tax avoidance. Social Responsibility Journal, 17(5), 669–685. https://doi.org/10.1108/SRJ-01-2020-0022</w:t>
          </w:r>
        </w:p>
        <w:p w14:paraId="2F0B52BA" w14:textId="1E11A4D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Sebrina, N., Taqwa, S., Afriyenti, M., &amp; Septiari, D. (2023). Analysis of sustainability reporting</w:t>
          </w:r>
        </w:p>
        <w:p w14:paraId="6071667C" w14:textId="04E3328B"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quality and corporate social responsibility on companies listed on the Indonesia stock</w:t>
          </w:r>
        </w:p>
        <w:p w14:paraId="797596BC" w14:textId="31E7590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exchange. Cogent Business &amp; Management, 10(1).</w:t>
          </w:r>
        </w:p>
        <w:p w14:paraId="2F249585" w14:textId="489C376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https://doi.org/10.1080/23311975.2022.2157975</w:t>
          </w:r>
        </w:p>
        <w:p w14:paraId="2988E676" w14:textId="32A9DFF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Setyowati May, S. D., Mutmainnah, M., &amp; Ponto, S. (2024). The Effect of Sustainability Report on Financial Performance (Study on the Mining Sector Listed on the Indonesia Stock Exchange for the Period 2018-2022). Student Business Journal, 4(2), 112–124. https://doi.org/10.60036/jbm.v4i2.art1</w:t>
          </w:r>
        </w:p>
        <w:p w14:paraId="03FDF9DD" w14:textId="57C6CEF9"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Circular Letter of the Financial Services Authority of the Republic of Indonesia Number 16/SEOJK.04/2021 Concerning</w:t>
          </w:r>
        </w:p>
        <w:p w14:paraId="41674137" w14:textId="6197F522"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Form and Content of Annual Reports of Issuers or Public Companies. (2021).</w:t>
          </w:r>
        </w:p>
        <w:p w14:paraId="313DC215" w14:textId="349836C1"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Triwacananingrum, W., &amp; Wijaya, G. M. (2022). SUSTAINABILITY REPORTING AND TAX</w:t>
          </w:r>
        </w:p>
        <w:p w14:paraId="294B7712" w14:textId="3FE7E38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AGGRESSIVENESS BEFORE AND DURING COVID-19: GCG MODERATING VARIABLE.</w:t>
          </w:r>
        </w:p>
        <w:p w14:paraId="4F23C667" w14:textId="0D017CFA"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Indonesian Journal of Accounting and Finance, 19(1), 96–119.</w:t>
          </w:r>
        </w:p>
        <w:p w14:paraId="2A7F4798" w14:textId="25DA91A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https://doi.org/10.21002/jaki.2022.05</w:t>
          </w:r>
        </w:p>
        <w:p w14:paraId="6FEA5474" w14:textId="61B86A0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Law of the Republic of Indonesia Number 5 of 2011 Concerning Public Accountants. Jakarta:</w:t>
          </w:r>
        </w:p>
        <w:p w14:paraId="4A167A72" w14:textId="309EA809" w:rsidR="00687DE2" w:rsidRPr="001315B9" w:rsidRDefault="001315B9" w:rsidP="001315B9">
          <w:pPr>
            <w:autoSpaceDE w:val="0"/>
            <w:autoSpaceDN w:val="0"/>
            <w:ind w:left="360"/>
            <w:jc w:val="both"/>
            <w:rPr>
              <w:rFonts w:ascii="Arial Regular" w:eastAsia="Tahoma" w:hAnsi="Arial Regular" w:cs="Arial Regular"/>
            </w:rPr>
          </w:pPr>
          <w:r w:rsidRPr="001315B9">
            <w:rPr>
              <w:rFonts w:ascii="Arial" w:hAnsi="Arial" w:cs="Arial"/>
              <w:color w:val="000000"/>
              <w:lang w:val="sv-SE"/>
            </w:rPr>
            <w:t>State Gazette of the Republic of Indonesia 2011 Number 51. (2011).</w:t>
          </w:r>
        </w:p>
      </w:sdtContent>
    </w:sdt>
    <w:sectPr w:rsidR="00687DE2" w:rsidRPr="001315B9" w:rsidSect="001C4714">
      <w:headerReference w:type="even" r:id="rId15"/>
      <w:headerReference w:type="default" r:id="rId16"/>
      <w:footerReference w:type="default" r:id="rId17"/>
      <w:headerReference w:type="first" r:id="rId18"/>
      <w:type w:val="continuous"/>
      <w:pgSz w:w="12240" w:h="15840"/>
      <w:pgMar w:top="720" w:right="1920" w:bottom="720" w:left="19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7309" w14:textId="77777777" w:rsidR="00B1168E" w:rsidRDefault="00B1168E">
      <w:r>
        <w:separator/>
      </w:r>
    </w:p>
  </w:endnote>
  <w:endnote w:type="continuationSeparator" w:id="0">
    <w:p w14:paraId="5D504E24" w14:textId="77777777" w:rsidR="00B1168E" w:rsidRDefault="00B1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egular">
    <w:altName w:val="Arial"/>
    <w:charset w:val="00"/>
    <w:family w:val="auto"/>
    <w:pitch w:val="default"/>
    <w:sig w:usb0="E0002AFF" w:usb1="C0007843" w:usb2="00000009" w:usb3="00000000" w:csb0="400001FF" w:csb1="FFFF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00"/>
    <w:family w:val="auto"/>
    <w:pitch w:val="default"/>
    <w:sig w:usb0="E0002AEF" w:usb1="C0007841" w:usb2="00000009" w:usb3="00000000" w:csb0="400001FF" w:csb1="FFFF0000"/>
  </w:font>
  <w:font w:name="Arial Bold Italic">
    <w:panose1 w:val="020B0704020202090204"/>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Times New Roman Bold">
    <w:panose1 w:val="02020803070505020304"/>
    <w:charset w:val="00"/>
    <w:family w:val="auto"/>
    <w:pitch w:val="default"/>
    <w:sig w:usb0="E0002AEF" w:usb1="C0007841"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87BF" w14:textId="77777777" w:rsidR="001C4714" w:rsidRDefault="001C4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5FFA" w14:textId="77777777" w:rsidR="001C4714" w:rsidRDefault="001C4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BBA3" w14:textId="7179B2C2" w:rsidR="00687DE2" w:rsidRPr="001C4714" w:rsidRDefault="00687DE2" w:rsidP="001C471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1AEB" w14:textId="77777777" w:rsidR="00687DE2" w:rsidRDefault="00687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5A7C" w14:textId="77777777" w:rsidR="00B1168E" w:rsidRDefault="00B1168E">
      <w:r>
        <w:separator/>
      </w:r>
    </w:p>
  </w:footnote>
  <w:footnote w:type="continuationSeparator" w:id="0">
    <w:p w14:paraId="5EC1E0C2" w14:textId="77777777" w:rsidR="00B1168E" w:rsidRDefault="00B1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8E0B" w14:textId="012196D7" w:rsidR="001C4714" w:rsidRDefault="001C4714">
    <w:pPr>
      <w:pStyle w:val="Header"/>
    </w:pPr>
    <w:r>
      <w:rPr>
        <w:noProof/>
      </w:rPr>
      <w:pict w14:anchorId="5DC8F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0F46" w14:textId="6D33ED36" w:rsidR="001C4714" w:rsidRDefault="001C4714">
    <w:pPr>
      <w:pStyle w:val="Header"/>
    </w:pPr>
    <w:r>
      <w:rPr>
        <w:noProof/>
      </w:rPr>
      <w:pict w14:anchorId="788DA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7C1B" w14:textId="3333B168" w:rsidR="00687DE2" w:rsidRDefault="001C4714">
    <w:pPr>
      <w:ind w:left="2160"/>
      <w:jc w:val="center"/>
      <w:rPr>
        <w:rFonts w:ascii="Times New Roman" w:eastAsia="Calibri" w:hAnsi="Times New Roman"/>
        <w:i/>
        <w:sz w:val="18"/>
        <w:szCs w:val="22"/>
      </w:rPr>
    </w:pPr>
    <w:r>
      <w:rPr>
        <w:noProof/>
      </w:rPr>
      <w:pict w14:anchorId="30C93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DED553" w14:textId="77777777" w:rsidR="00687DE2" w:rsidRDefault="00B1168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AAAFDE" w14:textId="77777777" w:rsidR="00687DE2" w:rsidRDefault="00B1168E">
    <w:pPr>
      <w:jc w:val="center"/>
      <w:rPr>
        <w:rFonts w:ascii="Times New Roman" w:eastAsia="Calibri" w:hAnsi="Times New Roman"/>
        <w:i/>
        <w:sz w:val="18"/>
        <w:szCs w:val="22"/>
      </w:rPr>
    </w:pPr>
    <w:r>
      <w:rPr>
        <w:rFonts w:ascii="Times New Roman" w:eastAsia="Calibri" w:hAnsi="Times New Roman"/>
        <w:i/>
        <w:sz w:val="18"/>
        <w:szCs w:val="22"/>
      </w:rPr>
      <w:t>.</w:t>
    </w:r>
  </w:p>
  <w:p w14:paraId="00297B8B" w14:textId="77777777" w:rsidR="00687DE2" w:rsidRDefault="00B1168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2753732" w14:textId="77777777" w:rsidR="00687DE2" w:rsidRDefault="00B1168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5D35FBD" w14:textId="77777777" w:rsidR="00687DE2" w:rsidRDefault="00B1168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90CD770" w14:textId="77777777" w:rsidR="00687DE2" w:rsidRDefault="00B1168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B5CF" w14:textId="05F54E10" w:rsidR="001C4714" w:rsidRDefault="001C4714">
    <w:pPr>
      <w:pStyle w:val="Header"/>
    </w:pPr>
    <w:r>
      <w:rPr>
        <w:noProof/>
      </w:rPr>
      <w:pict w14:anchorId="7CA2A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38A" w14:textId="1B588B2D" w:rsidR="001C4714" w:rsidRDefault="001C4714">
    <w:pPr>
      <w:pStyle w:val="Header"/>
    </w:pPr>
    <w:r>
      <w:rPr>
        <w:noProof/>
      </w:rPr>
      <w:pict w14:anchorId="4033B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FB53" w14:textId="57443156" w:rsidR="001C4714" w:rsidRDefault="001C4714">
    <w:pPr>
      <w:pStyle w:val="Header"/>
    </w:pPr>
    <w:r>
      <w:rPr>
        <w:noProof/>
      </w:rPr>
      <w:pict w14:anchorId="29665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56E522"/>
    <w:multiLevelType w:val="singleLevel"/>
    <w:tmpl w:val="DF56E522"/>
    <w:lvl w:ilvl="0">
      <w:start w:val="1"/>
      <w:numFmt w:val="decimal"/>
      <w:suff w:val="space"/>
      <w:lvlText w:val="%1."/>
      <w:lvlJc w:val="left"/>
    </w:lvl>
  </w:abstractNum>
  <w:abstractNum w:abstractNumId="1" w15:restartNumberingAfterBreak="0">
    <w:nsid w:val="F7BCDB0F"/>
    <w:multiLevelType w:val="multilevel"/>
    <w:tmpl w:val="F7BCDB0F"/>
    <w:lvl w:ilvl="0">
      <w:start w:val="2"/>
      <w:numFmt w:val="decimal"/>
      <w:suff w:val="space"/>
      <w:lvlText w:val="%1."/>
      <w:lvlJc w:val="left"/>
    </w:lvl>
    <w:lvl w:ilvl="1">
      <w:start w:val="1"/>
      <w:numFmt w:val="decimal"/>
      <w:suff w:val="space"/>
      <w:lvlText w:val="%1.%2"/>
      <w:lvlJc w:val="left"/>
      <w:pPr>
        <w:ind w:left="111" w:firstLine="0"/>
      </w:pPr>
      <w:rPr>
        <w:rFonts w:hint="default"/>
      </w:rPr>
    </w:lvl>
    <w:lvl w:ilvl="2">
      <w:start w:val="1"/>
      <w:numFmt w:val="decimal"/>
      <w:suff w:val="space"/>
      <w:lvlText w:val="%1.%2.%3"/>
      <w:lvlJc w:val="left"/>
      <w:pPr>
        <w:ind w:left="111" w:firstLine="0"/>
      </w:pPr>
      <w:rPr>
        <w:rFonts w:hint="default"/>
      </w:rPr>
    </w:lvl>
    <w:lvl w:ilvl="3">
      <w:start w:val="1"/>
      <w:numFmt w:val="decimal"/>
      <w:suff w:val="space"/>
      <w:lvlText w:val="%1.%2.%3.%4"/>
      <w:lvlJc w:val="left"/>
      <w:pPr>
        <w:ind w:left="111" w:firstLine="0"/>
      </w:pPr>
      <w:rPr>
        <w:rFonts w:hint="default"/>
      </w:rPr>
    </w:lvl>
    <w:lvl w:ilvl="4">
      <w:start w:val="1"/>
      <w:numFmt w:val="decimal"/>
      <w:suff w:val="space"/>
      <w:lvlText w:val="%1.%2.%3.%4.%5"/>
      <w:lvlJc w:val="left"/>
      <w:pPr>
        <w:ind w:left="111" w:firstLine="0"/>
      </w:pPr>
      <w:rPr>
        <w:rFonts w:hint="default"/>
      </w:rPr>
    </w:lvl>
    <w:lvl w:ilvl="5">
      <w:start w:val="1"/>
      <w:numFmt w:val="decimal"/>
      <w:suff w:val="space"/>
      <w:lvlText w:val="%1.%2.%3.%4.%5.%6"/>
      <w:lvlJc w:val="left"/>
      <w:pPr>
        <w:ind w:left="111" w:firstLine="0"/>
      </w:pPr>
      <w:rPr>
        <w:rFonts w:hint="default"/>
      </w:rPr>
    </w:lvl>
    <w:lvl w:ilvl="6">
      <w:start w:val="1"/>
      <w:numFmt w:val="decimal"/>
      <w:suff w:val="space"/>
      <w:lvlText w:val="%1.%2.%3.%4.%5.%6.%7"/>
      <w:lvlJc w:val="left"/>
      <w:pPr>
        <w:ind w:left="111" w:firstLine="0"/>
      </w:pPr>
      <w:rPr>
        <w:rFonts w:hint="default"/>
      </w:rPr>
    </w:lvl>
    <w:lvl w:ilvl="7">
      <w:start w:val="1"/>
      <w:numFmt w:val="decimal"/>
      <w:suff w:val="space"/>
      <w:lvlText w:val="%1.%2.%3.%4.%5.%6.%7.%8"/>
      <w:lvlJc w:val="left"/>
      <w:pPr>
        <w:ind w:left="111" w:firstLine="0"/>
      </w:pPr>
      <w:rPr>
        <w:rFonts w:hint="default"/>
      </w:rPr>
    </w:lvl>
    <w:lvl w:ilvl="8">
      <w:start w:val="1"/>
      <w:numFmt w:val="decimal"/>
      <w:suff w:val="space"/>
      <w:lvlText w:val="%1.%2.%3.%4.%5.%6.%7.%8.%9"/>
      <w:lvlJc w:val="left"/>
      <w:pPr>
        <w:ind w:left="111" w:firstLine="0"/>
      </w:pPr>
      <w:rPr>
        <w:rFonts w:hint="default"/>
      </w:rPr>
    </w:lvl>
  </w:abstractNum>
  <w:abstractNum w:abstractNumId="2" w15:restartNumberingAfterBreak="0">
    <w:nsid w:val="FB7FA2E7"/>
    <w:multiLevelType w:val="singleLevel"/>
    <w:tmpl w:val="FB7FA2E7"/>
    <w:lvl w:ilvl="0">
      <w:start w:val="1"/>
      <w:numFmt w:val="decimal"/>
      <w:suff w:val="space"/>
      <w:lvlText w:val="%1."/>
      <w:lvlJc w:val="left"/>
      <w:rPr>
        <w:rFonts w:ascii="Arial" w:hAnsi="Arial" w:cs="Arial" w:hint="default"/>
        <w:b w:val="0"/>
        <w:bCs w:val="0"/>
      </w:rPr>
    </w:lvl>
  </w:abstractNum>
  <w:abstractNum w:abstractNumId="3" w15:restartNumberingAfterBreak="0">
    <w:nsid w:val="014E297E"/>
    <w:multiLevelType w:val="multilevel"/>
    <w:tmpl w:val="014E297E"/>
    <w:lvl w:ilvl="0">
      <w:start w:val="1"/>
      <w:numFmt w:val="decimal"/>
      <w:lvlText w:val="%1."/>
      <w:lvlJc w:val="left"/>
      <w:pPr>
        <w:ind w:left="720" w:hanging="360"/>
      </w:pPr>
      <w:rPr>
        <w:rFonts w:ascii="Arial Regular" w:hAnsi="Arial Regular" w:cs="Arial Regular"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935C17"/>
    <w:multiLevelType w:val="hybridMultilevel"/>
    <w:tmpl w:val="72C42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F110CA"/>
    <w:multiLevelType w:val="hybridMultilevel"/>
    <w:tmpl w:val="A40A9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9FBF8C6A"/>
    <w:rsid w:val="D7BDC96C"/>
    <w:rsid w:val="DEB58FA5"/>
    <w:rsid w:val="ED7B980A"/>
    <w:rsid w:val="EFDF4B1B"/>
    <w:rsid w:val="F57EE309"/>
    <w:rsid w:val="F7FDED99"/>
    <w:rsid w:val="FAAFC5AF"/>
    <w:rsid w:val="FDEEBEB2"/>
    <w:rsid w:val="FE6D6600"/>
    <w:rsid w:val="FEBF5742"/>
    <w:rsid w:val="00000F8F"/>
    <w:rsid w:val="00030174"/>
    <w:rsid w:val="0004579C"/>
    <w:rsid w:val="000A47FA"/>
    <w:rsid w:val="000A65D3"/>
    <w:rsid w:val="000B1E33"/>
    <w:rsid w:val="000D689F"/>
    <w:rsid w:val="000E7B7B"/>
    <w:rsid w:val="000E7D62"/>
    <w:rsid w:val="00103357"/>
    <w:rsid w:val="00123C9F"/>
    <w:rsid w:val="00126190"/>
    <w:rsid w:val="00130F17"/>
    <w:rsid w:val="001315B9"/>
    <w:rsid w:val="001320BF"/>
    <w:rsid w:val="00163BC4"/>
    <w:rsid w:val="00171F74"/>
    <w:rsid w:val="00191062"/>
    <w:rsid w:val="00192B72"/>
    <w:rsid w:val="001A29D8"/>
    <w:rsid w:val="001A5CAA"/>
    <w:rsid w:val="001B0427"/>
    <w:rsid w:val="001C4714"/>
    <w:rsid w:val="001D3A51"/>
    <w:rsid w:val="001E10D2"/>
    <w:rsid w:val="001E25B4"/>
    <w:rsid w:val="001E44FE"/>
    <w:rsid w:val="001F340F"/>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555E"/>
    <w:rsid w:val="00371FB6"/>
    <w:rsid w:val="003763C1"/>
    <w:rsid w:val="00376BBE"/>
    <w:rsid w:val="0039224F"/>
    <w:rsid w:val="00395B85"/>
    <w:rsid w:val="003A43A4"/>
    <w:rsid w:val="003A7E18"/>
    <w:rsid w:val="003C4C86"/>
    <w:rsid w:val="003C6258"/>
    <w:rsid w:val="003E2904"/>
    <w:rsid w:val="00401927"/>
    <w:rsid w:val="0041027F"/>
    <w:rsid w:val="00412475"/>
    <w:rsid w:val="00423789"/>
    <w:rsid w:val="00426746"/>
    <w:rsid w:val="00440F43"/>
    <w:rsid w:val="00441B6F"/>
    <w:rsid w:val="00446221"/>
    <w:rsid w:val="00446330"/>
    <w:rsid w:val="00450E62"/>
    <w:rsid w:val="004539DB"/>
    <w:rsid w:val="00471A80"/>
    <w:rsid w:val="004D305E"/>
    <w:rsid w:val="004D4277"/>
    <w:rsid w:val="00502516"/>
    <w:rsid w:val="00505F06"/>
    <w:rsid w:val="00506828"/>
    <w:rsid w:val="0053056E"/>
    <w:rsid w:val="00554FDA"/>
    <w:rsid w:val="005C51D5"/>
    <w:rsid w:val="005C784C"/>
    <w:rsid w:val="005D17F6"/>
    <w:rsid w:val="005E5539"/>
    <w:rsid w:val="00602BF5"/>
    <w:rsid w:val="00617FDD"/>
    <w:rsid w:val="00633614"/>
    <w:rsid w:val="00633F68"/>
    <w:rsid w:val="00636EB2"/>
    <w:rsid w:val="006375B8"/>
    <w:rsid w:val="0066510A"/>
    <w:rsid w:val="00673F9F"/>
    <w:rsid w:val="00686953"/>
    <w:rsid w:val="00687DE2"/>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1DFA"/>
    <w:rsid w:val="0077749E"/>
    <w:rsid w:val="00790ADA"/>
    <w:rsid w:val="007D2288"/>
    <w:rsid w:val="007E088F"/>
    <w:rsid w:val="007F7B32"/>
    <w:rsid w:val="00804BC2"/>
    <w:rsid w:val="0081431A"/>
    <w:rsid w:val="0083216F"/>
    <w:rsid w:val="00845FE7"/>
    <w:rsid w:val="00860000"/>
    <w:rsid w:val="00863BD3"/>
    <w:rsid w:val="008641ED"/>
    <w:rsid w:val="00866D66"/>
    <w:rsid w:val="008671C6"/>
    <w:rsid w:val="00875803"/>
    <w:rsid w:val="008B459E"/>
    <w:rsid w:val="008E0A10"/>
    <w:rsid w:val="008E13AE"/>
    <w:rsid w:val="008E1506"/>
    <w:rsid w:val="008E710C"/>
    <w:rsid w:val="008F69D6"/>
    <w:rsid w:val="00902823"/>
    <w:rsid w:val="00915CA6"/>
    <w:rsid w:val="009261F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12F8"/>
    <w:rsid w:val="00A03B96"/>
    <w:rsid w:val="00A05B19"/>
    <w:rsid w:val="00A1134E"/>
    <w:rsid w:val="00A24E7E"/>
    <w:rsid w:val="00A258C3"/>
    <w:rsid w:val="00A347C0"/>
    <w:rsid w:val="00A51431"/>
    <w:rsid w:val="00A539AD"/>
    <w:rsid w:val="00A6469B"/>
    <w:rsid w:val="00A94063"/>
    <w:rsid w:val="00AA6219"/>
    <w:rsid w:val="00AA74E0"/>
    <w:rsid w:val="00AB703F"/>
    <w:rsid w:val="00AC6BB8"/>
    <w:rsid w:val="00AE008F"/>
    <w:rsid w:val="00B01FCD"/>
    <w:rsid w:val="00B05421"/>
    <w:rsid w:val="00B1168E"/>
    <w:rsid w:val="00B1776C"/>
    <w:rsid w:val="00B23ED2"/>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0A0D"/>
    <w:rsid w:val="00C70F1B"/>
    <w:rsid w:val="00C71A47"/>
    <w:rsid w:val="00C7464C"/>
    <w:rsid w:val="00C85588"/>
    <w:rsid w:val="00CC71D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019C"/>
    <w:rsid w:val="00E66496"/>
    <w:rsid w:val="00E66B35"/>
    <w:rsid w:val="00E66E10"/>
    <w:rsid w:val="00E754A4"/>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3DF7F5EF"/>
    <w:rsid w:val="3ECF6C48"/>
    <w:rsid w:val="5AE58F5D"/>
    <w:rsid w:val="67FE606C"/>
    <w:rsid w:val="72E8D687"/>
    <w:rsid w:val="77F9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21E67C16"/>
  <w15:docId w15:val="{0C368B91-F119-4142-B6C1-C5B7DA60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pPr>
      <w:spacing w:beforeAutospacing="1" w:afterAutospacing="1"/>
    </w:pPr>
    <w:rPr>
      <w:sz w:val="24"/>
      <w:szCs w:val="24"/>
      <w:lang w:val="en-US" w:eastAsia="zh-CN"/>
    </w:rPr>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istParagraph1">
    <w:name w:val="List Paragraph1"/>
    <w:basedOn w:val="Normal"/>
    <w:uiPriority w:val="99"/>
    <w:qFormat/>
    <w:pPr>
      <w:ind w:left="720"/>
      <w:contextualSpacing/>
    </w:pPr>
  </w:style>
  <w:style w:type="paragraph" w:styleId="ListParagraph">
    <w:name w:val="List Paragraph"/>
    <w:basedOn w:val="Normal"/>
    <w:uiPriority w:val="99"/>
    <w:unhideWhenUsed/>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unhideWhenUsed/>
    <w:rPr>
      <w:color w:val="666666"/>
    </w:rPr>
  </w:style>
  <w:style w:type="character" w:styleId="UnresolvedMention">
    <w:name w:val="Unresolved Mention"/>
    <w:basedOn w:val="DefaultParagraphFont"/>
    <w:uiPriority w:val="99"/>
    <w:semiHidden/>
    <w:unhideWhenUsed/>
    <w:rsid w:val="00926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06773">
      <w:bodyDiv w:val="1"/>
      <w:marLeft w:val="0"/>
      <w:marRight w:val="0"/>
      <w:marTop w:val="0"/>
      <w:marBottom w:val="0"/>
      <w:divBdr>
        <w:top w:val="none" w:sz="0" w:space="0" w:color="auto"/>
        <w:left w:val="none" w:sz="0" w:space="0" w:color="auto"/>
        <w:bottom w:val="none" w:sz="0" w:space="0" w:color="auto"/>
        <w:right w:val="none" w:sz="0" w:space="0" w:color="auto"/>
      </w:divBdr>
      <w:divsChild>
        <w:div w:id="1933509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B030A5F-9C4F-4832-9B88-2EEA302CF9B6}"/>
      </w:docPartPr>
      <w:docPartBody>
        <w:p w:rsidR="00FD389D" w:rsidRDefault="00B80718">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718" w:rsidRDefault="00B80718">
      <w:pPr>
        <w:spacing w:line="240" w:lineRule="auto"/>
      </w:pPr>
      <w:r>
        <w:separator/>
      </w:r>
    </w:p>
  </w:endnote>
  <w:endnote w:type="continuationSeparator" w:id="0">
    <w:p w:rsidR="00B80718" w:rsidRDefault="00B8071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egular">
    <w:altName w:val="Arial"/>
    <w:charset w:val="00"/>
    <w:family w:val="auto"/>
    <w:pitch w:val="default"/>
    <w:sig w:usb0="E0002AFF" w:usb1="C0007843" w:usb2="00000009" w:usb3="00000000" w:csb0="400001FF" w:csb1="FFFF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00"/>
    <w:family w:val="auto"/>
    <w:pitch w:val="default"/>
    <w:sig w:usb0="E0002AEF" w:usb1="C0007841" w:usb2="00000009" w:usb3="00000000" w:csb0="400001FF" w:csb1="FFFF0000"/>
  </w:font>
  <w:font w:name="Arial Bold Italic">
    <w:panose1 w:val="020B0704020202090204"/>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Times New Roman Bold">
    <w:panose1 w:val="02020803070505020304"/>
    <w:charset w:val="00"/>
    <w:family w:val="auto"/>
    <w:pitch w:val="default"/>
    <w:sig w:usb0="E0002AEF" w:usb1="C0007841" w:usb2="00000009" w:usb3="00000000" w:csb0="400001FF" w:csb1="FFFF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718" w:rsidRDefault="00B80718">
      <w:pPr>
        <w:spacing w:after="0"/>
      </w:pPr>
      <w:r>
        <w:separator/>
      </w:r>
    </w:p>
  </w:footnote>
  <w:footnote w:type="continuationSeparator" w:id="0">
    <w:p w:rsidR="00B80718" w:rsidRDefault="00B8071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37"/>
    <w:rsid w:val="003B54ED"/>
    <w:rsid w:val="00A012F8"/>
    <w:rsid w:val="00A66AE6"/>
    <w:rsid w:val="00B23ED2"/>
    <w:rsid w:val="00B80718"/>
    <w:rsid w:val="00E55237"/>
    <w:rsid w:val="00FA58FA"/>
    <w:rsid w:val="00F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748EA-269C-4786-B97F-B6120E19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4843</Words>
  <Characters>27608</Characters>
  <Application>Microsoft Office Word</Application>
  <DocSecurity>0</DocSecurity>
  <Lines>230</Lines>
  <Paragraphs>64</Paragraphs>
  <ScaleCrop>false</ScaleCrop>
  <Company>aaaa</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1999-07-07T22:00:00Z</cp:lastPrinted>
  <dcterms:created xsi:type="dcterms:W3CDTF">2014-10-27T01:34:00Z</dcterms:created>
  <dcterms:modified xsi:type="dcterms:W3CDTF">2025-03-24T12:09:00Z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E5AC518F132866FDF100E167AD802056_43</vt:lpwstr>
  </property>
</Properties>
</file>