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7D40C" w14:textId="77777777" w:rsidR="00916768" w:rsidRDefault="00916768" w:rsidP="00D84CE4">
      <w:pPr>
        <w:rPr>
          <w:b/>
          <w:bCs/>
          <w:sz w:val="32"/>
          <w:szCs w:val="24"/>
        </w:rPr>
      </w:pPr>
      <w:r w:rsidRPr="00916768">
        <w:rPr>
          <w:b/>
          <w:bCs/>
          <w:sz w:val="32"/>
          <w:szCs w:val="24"/>
        </w:rPr>
        <w:t xml:space="preserve">Case report </w:t>
      </w:r>
    </w:p>
    <w:p w14:paraId="001F16B5" w14:textId="03B49C96" w:rsidR="00D84CE4" w:rsidRPr="002F4F91" w:rsidRDefault="001703BA" w:rsidP="00D84CE4">
      <w:pPr>
        <w:rPr>
          <w:b/>
          <w:bCs/>
          <w:sz w:val="32"/>
          <w:szCs w:val="24"/>
        </w:rPr>
      </w:pPr>
      <w:r w:rsidRPr="002F4F91">
        <w:rPr>
          <w:b/>
          <w:bCs/>
          <w:sz w:val="32"/>
          <w:szCs w:val="24"/>
        </w:rPr>
        <w:t xml:space="preserve">A </w:t>
      </w:r>
      <w:r w:rsidR="00D84CE4" w:rsidRPr="002F4F91">
        <w:rPr>
          <w:b/>
          <w:bCs/>
          <w:sz w:val="32"/>
          <w:szCs w:val="24"/>
        </w:rPr>
        <w:t>Case Report</w:t>
      </w:r>
      <w:r w:rsidRPr="002F4F91">
        <w:rPr>
          <w:b/>
          <w:bCs/>
          <w:sz w:val="32"/>
          <w:szCs w:val="24"/>
        </w:rPr>
        <w:t xml:space="preserve"> on</w:t>
      </w:r>
      <w:r w:rsidR="00A941EA" w:rsidRPr="002F4F91">
        <w:rPr>
          <w:b/>
          <w:bCs/>
          <w:sz w:val="32"/>
          <w:szCs w:val="24"/>
        </w:rPr>
        <w:t xml:space="preserve"> a Rare Diagnosis -</w:t>
      </w:r>
      <w:r w:rsidR="00D84CE4" w:rsidRPr="002F4F91">
        <w:rPr>
          <w:b/>
          <w:bCs/>
          <w:sz w:val="32"/>
          <w:szCs w:val="24"/>
        </w:rPr>
        <w:t xml:space="preserve"> Kikuchi’s Disease (Kikuchi-Fujimoto Disease)</w:t>
      </w:r>
    </w:p>
    <w:p w14:paraId="3606840F" w14:textId="79ABC415" w:rsidR="002F4F91" w:rsidRDefault="002F4F91" w:rsidP="001703BA">
      <w:pPr>
        <w:rPr>
          <w:b/>
          <w:bCs/>
        </w:rPr>
      </w:pPr>
    </w:p>
    <w:p w14:paraId="4D8E5B08" w14:textId="77777777" w:rsidR="00EE6233" w:rsidRDefault="00EE6233" w:rsidP="001703BA">
      <w:pPr>
        <w:rPr>
          <w:b/>
          <w:bCs/>
        </w:rPr>
      </w:pPr>
      <w:bookmarkStart w:id="0" w:name="_GoBack"/>
      <w:bookmarkEnd w:id="0"/>
    </w:p>
    <w:p w14:paraId="2CEB646B" w14:textId="78D8F39B" w:rsidR="001703BA" w:rsidRPr="001703BA" w:rsidRDefault="001703BA" w:rsidP="001703BA">
      <w:r w:rsidRPr="001703BA">
        <w:rPr>
          <w:b/>
          <w:bCs/>
        </w:rPr>
        <w:t>Abstract</w:t>
      </w:r>
    </w:p>
    <w:p w14:paraId="10DDD582" w14:textId="1BC66869" w:rsidR="001703BA" w:rsidRDefault="001703BA" w:rsidP="001703BA">
      <w:r w:rsidRPr="001703BA">
        <w:t>Kikuchi’s disease (Kikuchi-Fujimoto disease) is a rare, self-limiting condition characterized by necrotizing lymphadenitis, typically affecting young women, although it can also present in men. We present a case of a 27-year-old male who presented with a 20-day history of fever,</w:t>
      </w:r>
      <w:r w:rsidR="008579BF">
        <w:t xml:space="preserve">  </w:t>
      </w:r>
      <w:r w:rsidRPr="001703BA">
        <w:t>nausea, generalized body aches, and significant weight loss</w:t>
      </w:r>
      <w:r w:rsidR="008579BF">
        <w:t>.</w:t>
      </w:r>
    </w:p>
    <w:p w14:paraId="5D78210E" w14:textId="57AB3829" w:rsidR="001703BA" w:rsidRPr="001703BA" w:rsidRDefault="001703BA" w:rsidP="001703BA">
      <w:r>
        <w:t>All basic investigations were initially inconclusive. On further workup, CT scan showed enlarged lymph nodes</w:t>
      </w:r>
      <w:r w:rsidR="009717D0">
        <w:t xml:space="preserve"> raising our suspicion. B</w:t>
      </w:r>
      <w:r w:rsidRPr="001703BA">
        <w:t xml:space="preserve">iopsy was performed, and histopathology showed necrotizing lymphadenitis. Immunohistochemistry confirmed the diagnosis of Kikuchi’s disease. </w:t>
      </w:r>
      <w:r>
        <w:t>T</w:t>
      </w:r>
      <w:r w:rsidRPr="001703BA">
        <w:t>he</w:t>
      </w:r>
      <w:r>
        <w:t xml:space="preserve"> patient</w:t>
      </w:r>
      <w:r w:rsidRPr="001703BA">
        <w:t xml:space="preserve"> was</w:t>
      </w:r>
      <w:r w:rsidR="009717D0">
        <w:t xml:space="preserve"> treated and</w:t>
      </w:r>
      <w:r w:rsidRPr="001703BA">
        <w:t xml:space="preserve"> eventually discharged in stable condition. This case highlights the importance of considering Kikuchi’s disease in the differential diagnosis of young adults with fever, lymphadenopathy, and weight loss. Timely diagnosis through histopathological and immunohistochemical examination is crucial to avoid unnecessary interventions and ensure appropriate management.</w:t>
      </w:r>
    </w:p>
    <w:p w14:paraId="6E4256F3" w14:textId="77777777" w:rsidR="001703BA" w:rsidRPr="001703BA" w:rsidRDefault="001703BA" w:rsidP="001703BA">
      <w:r w:rsidRPr="001703BA">
        <w:rPr>
          <w:b/>
          <w:bCs/>
        </w:rPr>
        <w:t>Introduction</w:t>
      </w:r>
    </w:p>
    <w:p w14:paraId="020E9680" w14:textId="77777777" w:rsidR="001703BA" w:rsidRDefault="001703BA" w:rsidP="001703BA">
      <w:r w:rsidRPr="001703BA">
        <w:t>Kikuchi’s disease, also known as Kikuchi-Fujimoto disease, is a rare, benign, and self-limiting condition characterized by necrotizing lymphadenitis, often involving the cervical lymph nodes. Although the disease primarily affects young women, it can also occur in men, as demonstrated in this case. The etiology of Kikuchi’s disease remains unclear, but it is believed to be associated with viral infections, particularly Epstein-Barr virus (EBV), human herpesvirus 6 (HHV-6), and others. The clinical presentation typically includes fever, tender lymphadenopathy, weight loss, and malaise, which can sometimes be mistaken for more serious conditions, such as lymphoma or tuberculosis. Diagnosis is based on a combination of clinical features, imaging studies, and histopathological examination of affected lymph nodes. Given its similarity to more aggressive lymphatic disorders, Kikuchi’s disease poses a diagnostic challenge, particularly in young patients presenting with systemic symptoms like fever, body aches, and generalized weakness. In this case report, we describe a 27-year-old male who presented with a prolonged febrile illness, lymphadenopathy, and significant weight loss, ultimately diagnosed with Kikuchi’s disease after a thorough investigation.</w:t>
      </w:r>
    </w:p>
    <w:p w14:paraId="14957CDC" w14:textId="7504B3A1" w:rsidR="00410B68" w:rsidRPr="00D84CE4" w:rsidRDefault="00410B68" w:rsidP="00410B68">
      <w:pPr>
        <w:rPr>
          <w:b/>
          <w:bCs/>
        </w:rPr>
      </w:pPr>
      <w:r w:rsidRPr="002D0049">
        <w:rPr>
          <w:b/>
          <w:bCs/>
        </w:rPr>
        <w:t>Case report</w:t>
      </w:r>
    </w:p>
    <w:p w14:paraId="45E3BA3F" w14:textId="77777777" w:rsidR="00410B68" w:rsidRPr="004E4B91" w:rsidRDefault="00410B68" w:rsidP="00410B68">
      <w:r w:rsidRPr="004E4B91">
        <w:lastRenderedPageBreak/>
        <w:t>The patient presented with a 20-day history of fever associated with chills, nausea, generalized body aches, and progressive weakness. Additionally, he reported unintentional weight loss of 5-6 kg over the past month. There was no significant history of comorbidities, travel, exposure to known infections, or prior illnesses.</w:t>
      </w:r>
    </w:p>
    <w:p w14:paraId="4C6CD0D0" w14:textId="77777777" w:rsidR="00410B68" w:rsidRPr="004E4B91" w:rsidRDefault="00410B68" w:rsidP="00410B68">
      <w:r w:rsidRPr="004E4B91">
        <w:t>On physical examination, the patient appeared febrile with signs of malaise and generalized weakness. No other significant findings were noted during the initial examination.</w:t>
      </w:r>
    </w:p>
    <w:p w14:paraId="059391CF" w14:textId="78297D4A" w:rsidR="00410B68" w:rsidRPr="004E4B91" w:rsidRDefault="00410B68" w:rsidP="00410B68">
      <w:r w:rsidRPr="004E4B91">
        <w:t xml:space="preserve">The patient was admitted to the hospital for further evaluation and management. Empirical treatment was initiated, including broad-spectrum antibiotics  </w:t>
      </w:r>
      <w:r w:rsidR="002D0049">
        <w:t xml:space="preserve">as </w:t>
      </w:r>
      <w:r w:rsidRPr="004E4B91">
        <w:t>well as supportive care such as hydration and symptomatic management.</w:t>
      </w:r>
    </w:p>
    <w:p w14:paraId="79A70AFD" w14:textId="114156CA" w:rsidR="00410B68" w:rsidRPr="002D0049" w:rsidRDefault="002D0049" w:rsidP="00410B68">
      <w:r>
        <w:t>I</w:t>
      </w:r>
      <w:r w:rsidR="00410B68" w:rsidRPr="002D0049">
        <w:t xml:space="preserve">n blood investigations, patient had persistent neutropenia, absolute neutrophil count – 1221 (mild neutropenia) and </w:t>
      </w:r>
      <w:r w:rsidR="007B6C51">
        <w:t>l</w:t>
      </w:r>
      <w:r w:rsidR="00410B68" w:rsidRPr="002D0049">
        <w:t>iver enzymes were mildly deranged.</w:t>
      </w:r>
      <w:r w:rsidR="008579BF">
        <w:t xml:space="preserve"> </w:t>
      </w:r>
      <w:r w:rsidR="00410B68" w:rsidRPr="004E4B91">
        <w:t xml:space="preserve">Tropical </w:t>
      </w:r>
      <w:r w:rsidR="00410B68" w:rsidRPr="002D0049">
        <w:t xml:space="preserve">workup was done, found to be </w:t>
      </w:r>
      <w:r w:rsidR="00410B68" w:rsidRPr="004E4B91">
        <w:t xml:space="preserve">Negative </w:t>
      </w:r>
      <w:r w:rsidR="00410B68" w:rsidRPr="002D0049">
        <w:t xml:space="preserve">. TB Gold </w:t>
      </w:r>
      <w:r w:rsidR="008579BF">
        <w:t>was</w:t>
      </w:r>
      <w:r w:rsidR="00410B68" w:rsidRPr="002D0049">
        <w:t xml:space="preserve"> negative</w:t>
      </w:r>
    </w:p>
    <w:p w14:paraId="185D94E2" w14:textId="77777777" w:rsidR="00410B68" w:rsidRPr="002D0049" w:rsidRDefault="00410B68" w:rsidP="00410B68">
      <w:r w:rsidRPr="002D0049">
        <w:t>CMV IgG – positive , IgM - negative</w:t>
      </w:r>
    </w:p>
    <w:p w14:paraId="59255713" w14:textId="4C4D9423" w:rsidR="00410B68" w:rsidRPr="002D0049" w:rsidRDefault="00410B68" w:rsidP="00410B68">
      <w:r w:rsidRPr="002D0049">
        <w:t xml:space="preserve">Blood and urine </w:t>
      </w:r>
      <w:r w:rsidR="007B6C51">
        <w:t>c</w:t>
      </w:r>
      <w:r w:rsidRPr="002D0049">
        <w:t>ultures were negative.</w:t>
      </w:r>
    </w:p>
    <w:p w14:paraId="088A5DDB" w14:textId="1B30C85D" w:rsidR="00410B68" w:rsidRPr="004E4B91" w:rsidRDefault="00410B68" w:rsidP="00410B68">
      <w:r w:rsidRPr="004E4B91">
        <w:t xml:space="preserve">Abdominal </w:t>
      </w:r>
      <w:r w:rsidR="006F1E57">
        <w:t>u</w:t>
      </w:r>
      <w:r w:rsidRPr="004E4B91">
        <w:t xml:space="preserve">ltrasound </w:t>
      </w:r>
      <w:r w:rsidR="002D0049">
        <w:t xml:space="preserve">was suggestive of </w:t>
      </w:r>
      <w:r w:rsidR="006F1E57">
        <w:t>b</w:t>
      </w:r>
      <w:r w:rsidRPr="004E4B91">
        <w:t>ilateral mild hydronephrosis, raising suspicion for pyelonephritis.</w:t>
      </w:r>
      <w:r w:rsidRPr="002D0049">
        <w:t xml:space="preserve"> A CT-KUB was scheduled.</w:t>
      </w:r>
    </w:p>
    <w:p w14:paraId="79B5CB8B" w14:textId="5536D7AF" w:rsidR="00410B68" w:rsidRPr="004E4B91" w:rsidRDefault="008579BF" w:rsidP="00410B68">
      <w:r>
        <w:t xml:space="preserve">In </w:t>
      </w:r>
      <w:r w:rsidR="00410B68" w:rsidRPr="004E4B91">
        <w:t>Imaging:</w:t>
      </w:r>
    </w:p>
    <w:p w14:paraId="4E4E8BE8" w14:textId="2FCD6CDB" w:rsidR="00410B68" w:rsidRPr="004E4B91" w:rsidRDefault="00410B68" w:rsidP="00410B68">
      <w:pPr>
        <w:numPr>
          <w:ilvl w:val="0"/>
          <w:numId w:val="23"/>
        </w:numPr>
      </w:pPr>
      <w:r w:rsidRPr="004E4B91">
        <w:t xml:space="preserve">Non-contrast CT KUB: Multiple </w:t>
      </w:r>
      <w:r w:rsidR="006F1E57" w:rsidRPr="004E4B91">
        <w:t>sub</w:t>
      </w:r>
      <w:r w:rsidR="006F1E57">
        <w:t>-</w:t>
      </w:r>
      <w:r w:rsidR="006F1E57" w:rsidRPr="004E4B91">
        <w:t>centimetric</w:t>
      </w:r>
      <w:r w:rsidRPr="004E4B91">
        <w:t xml:space="preserve"> lymph nodes in the aortocaval, preaortic, and left paraaortic regions were noted. Additionally, enlarged bilateral inguinal lymph nodes were present.</w:t>
      </w:r>
    </w:p>
    <w:p w14:paraId="365A193A" w14:textId="77777777" w:rsidR="00410B68" w:rsidRDefault="00410B68" w:rsidP="00410B68">
      <w:pPr>
        <w:numPr>
          <w:ilvl w:val="0"/>
          <w:numId w:val="23"/>
        </w:numPr>
      </w:pPr>
      <w:r w:rsidRPr="004E4B91">
        <w:t>High-Resolution CT (HRCT) Chest: Small mediastinal lymph nodes, bilateral axillary lymph nodes, and retroperitoneal lymph nodes suggested systemic lymphadenopathy.</w:t>
      </w:r>
    </w:p>
    <w:p w14:paraId="0783EE4B" w14:textId="77777777" w:rsidR="002D0049" w:rsidRDefault="002D0049" w:rsidP="002D0049"/>
    <w:p w14:paraId="280C621A" w14:textId="6B595C87" w:rsidR="002D0049" w:rsidRPr="004E4B91" w:rsidRDefault="002D0049" w:rsidP="002D0049">
      <w:r w:rsidRPr="004E4B91">
        <w:t xml:space="preserve">Despite initial antibiotic treatment, the patient’s symptoms evolved. He developed persistent fever, headache, generalized weakness, and facial numbness, which led to a transfer to the High Dependency Unit (HDU) for closer monitoring and management. Due to persistent </w:t>
      </w:r>
      <w:proofErr w:type="spellStart"/>
      <w:r w:rsidRPr="004E4B91">
        <w:t>leucopenia</w:t>
      </w:r>
      <w:proofErr w:type="spellEnd"/>
      <w:r w:rsidRPr="004E4B91">
        <w:t xml:space="preserve">, a </w:t>
      </w:r>
      <w:proofErr w:type="spellStart"/>
      <w:r w:rsidRPr="004E4B91">
        <w:t>hematology</w:t>
      </w:r>
      <w:proofErr w:type="spellEnd"/>
      <w:r w:rsidRPr="004E4B91">
        <w:t xml:space="preserve"> consultation was sought, and a bone marrow biopsy was planned to rule out </w:t>
      </w:r>
      <w:proofErr w:type="spellStart"/>
      <w:r w:rsidRPr="004E4B91">
        <w:t>hematological</w:t>
      </w:r>
      <w:proofErr w:type="spellEnd"/>
      <w:r w:rsidRPr="004E4B91">
        <w:t xml:space="preserve"> malignancies or disorders. In parallel, steroid therapy was initiated to reduce inflammation and manage the patient’s symptoms.</w:t>
      </w:r>
    </w:p>
    <w:p w14:paraId="398686A9" w14:textId="77777777" w:rsidR="00410B68" w:rsidRPr="004E4B91" w:rsidRDefault="00410B68" w:rsidP="00410B68">
      <w:r w:rsidRPr="004E4B91">
        <w:t>Given the persistent fever, generalized weakness, and widespread lymphadenopathy, a lymph node biopsy was recommended for further investigation. Histopathology (HPE) was performed on a formalin-fixed lymph node specimen. In addition, tests such as AFB culture, GeneXpert, and saline microscopy were conducted to rule out tuberculosis and other infections.</w:t>
      </w:r>
    </w:p>
    <w:p w14:paraId="78E8CAE5" w14:textId="2FCE9F9D" w:rsidR="00410B68" w:rsidRPr="004E4B91" w:rsidRDefault="00410B68" w:rsidP="00410B68">
      <w:r w:rsidRPr="004E4B91">
        <w:lastRenderedPageBreak/>
        <w:t>The lymph node biopsy</w:t>
      </w:r>
      <w:r w:rsidR="002D0049">
        <w:t xml:space="preserve"> rev</w:t>
      </w:r>
      <w:r w:rsidRPr="004E4B91">
        <w:t>ealed necrotizing lymphadenitis. The histopathological findings were suggestive of Hodgkin’s lymphoma, prompting further investigation with immunohistochemistry (IHC). The IHC results were consistent with Kikuchi’s Necrotizing Lymphadenopathy, ultimately confirming the diagnosis of Kikuchi’s disease (Kikuchi-Fujimoto disease).</w:t>
      </w:r>
    </w:p>
    <w:p w14:paraId="15BCBAAA" w14:textId="17E4497E" w:rsidR="00410B68" w:rsidRPr="004E4B91" w:rsidRDefault="00410B68" w:rsidP="00410B68">
      <w:r w:rsidRPr="004E4B91">
        <w:t xml:space="preserve">Following the diagnosis of Kikuchi’s disease, </w:t>
      </w:r>
      <w:r w:rsidR="002D0049">
        <w:t>the patient was continued on steroids. Pati</w:t>
      </w:r>
      <w:r w:rsidRPr="004E4B91">
        <w:t xml:space="preserve">ent’s </w:t>
      </w:r>
      <w:proofErr w:type="spellStart"/>
      <w:r w:rsidRPr="004E4B91">
        <w:t>leucopenia</w:t>
      </w:r>
      <w:proofErr w:type="spellEnd"/>
      <w:r w:rsidRPr="004E4B91">
        <w:t xml:space="preserve"> began to improve. He became afebrile, with gradual signs of recovery, including a reduction in weakness and normalization of vital signs. The patient was subsequently transferred back to the general ward, where his condition continued to improve. He was discharged in stable condition with scheduled follow-up visits to monitor his recovery.</w:t>
      </w:r>
    </w:p>
    <w:p w14:paraId="7B0F5AB0" w14:textId="77777777" w:rsidR="00410B68" w:rsidRPr="001703BA" w:rsidRDefault="00410B68" w:rsidP="001703BA"/>
    <w:p w14:paraId="5F2CFAE6" w14:textId="77777777" w:rsidR="001703BA" w:rsidRPr="001703BA" w:rsidRDefault="001703BA" w:rsidP="001703BA">
      <w:r w:rsidRPr="001703BA">
        <w:rPr>
          <w:b/>
          <w:bCs/>
        </w:rPr>
        <w:t>Discussion</w:t>
      </w:r>
    </w:p>
    <w:p w14:paraId="5BA23B98" w14:textId="3C53095D" w:rsidR="001703BA" w:rsidRPr="001703BA" w:rsidRDefault="001703BA" w:rsidP="001703BA">
      <w:r w:rsidRPr="001703BA">
        <w:t xml:space="preserve">Kikuchi’s disease (Kikuchi-Fujimoto disease) is a rare, self-limiting condition characterized by </w:t>
      </w:r>
      <w:r w:rsidRPr="001703BA">
        <w:rPr>
          <w:b/>
          <w:bCs/>
        </w:rPr>
        <w:t>necrotizing lymphadenitis</w:t>
      </w:r>
      <w:r w:rsidRPr="001703BA">
        <w:t xml:space="preserve">. First described by Kikuchi and Fujimoto in 1972, the disease primarily affects young adults, particularly women, although cases in men, such as the one reported here, have also been documented. The exact etiology remains unclear, but </w:t>
      </w:r>
      <w:r w:rsidRPr="001703BA">
        <w:rPr>
          <w:b/>
          <w:bCs/>
        </w:rPr>
        <w:t>viral infections</w:t>
      </w:r>
      <w:r w:rsidRPr="001703BA">
        <w:t xml:space="preserve"> (e.g., </w:t>
      </w:r>
      <w:r w:rsidRPr="001703BA">
        <w:rPr>
          <w:b/>
          <w:bCs/>
        </w:rPr>
        <w:t>Epstein-Barr virus (EBV)</w:t>
      </w:r>
      <w:r w:rsidRPr="001703BA">
        <w:t xml:space="preserve">, </w:t>
      </w:r>
      <w:r w:rsidRPr="001703BA">
        <w:rPr>
          <w:b/>
          <w:bCs/>
        </w:rPr>
        <w:t>human herpesvirus 6 (HHV-6)</w:t>
      </w:r>
      <w:r w:rsidRPr="001703BA">
        <w:t xml:space="preserve">, and </w:t>
      </w:r>
      <w:r w:rsidRPr="001703BA">
        <w:rPr>
          <w:b/>
          <w:bCs/>
        </w:rPr>
        <w:t>enterovirus</w:t>
      </w:r>
      <w:r w:rsidRPr="001703BA">
        <w:t xml:space="preserve">) have been implicated as possible triggers. Studies have shown that autoimmune mechanisms may also play a role, with </w:t>
      </w:r>
      <w:r w:rsidRPr="001703BA">
        <w:rPr>
          <w:b/>
          <w:bCs/>
        </w:rPr>
        <w:t>systemic lupus erythematosus (SLE)</w:t>
      </w:r>
      <w:r w:rsidRPr="001703BA">
        <w:t xml:space="preserve"> and other autoimmune conditions occasionally coexisting with Kikuchi’s disease</w:t>
      </w:r>
      <w:r w:rsidR="003B3B1A">
        <w:t xml:space="preserve">. </w:t>
      </w:r>
      <w:r w:rsidR="003B3B1A" w:rsidRPr="003B3B1A">
        <w:rPr>
          <w:vertAlign w:val="superscript"/>
        </w:rPr>
        <w:t>(1,2,3,4)</w:t>
      </w:r>
    </w:p>
    <w:p w14:paraId="007682DD" w14:textId="3BA469AF" w:rsidR="001703BA" w:rsidRPr="001703BA" w:rsidRDefault="001703BA" w:rsidP="001703BA">
      <w:r w:rsidRPr="001703BA">
        <w:t>Diagnostic Challenge</w:t>
      </w:r>
      <w:r w:rsidR="002D0049">
        <w:t xml:space="preserve"> : </w:t>
      </w:r>
      <w:r w:rsidRPr="001703BA">
        <w:t xml:space="preserve">Kikuchi’s disease typically presents with fever, tender lymphadenopathy (most often cervical), weight loss, and malaise. These symptoms can mimic more serious conditions, such as </w:t>
      </w:r>
      <w:r w:rsidRPr="001703BA">
        <w:rPr>
          <w:b/>
          <w:bCs/>
        </w:rPr>
        <w:t>lymphoma</w:t>
      </w:r>
      <w:r w:rsidRPr="001703BA">
        <w:t xml:space="preserve"> or </w:t>
      </w:r>
      <w:r w:rsidRPr="001703BA">
        <w:rPr>
          <w:b/>
          <w:bCs/>
        </w:rPr>
        <w:t>tuberculosis</w:t>
      </w:r>
      <w:r w:rsidRPr="001703BA">
        <w:t xml:space="preserve">, which can delay diagnosis. Our patient, a 27-year-old male, presented with fever, generalized weakness, body aches, and significant weight loss over the span of 20 days. This constellation of symptoms was initially suggestive of an infectious or systemic inflammatory condition, leading to empirical antibiotic therapy. Such presentation is consistent with earlier case reports by </w:t>
      </w:r>
      <w:r w:rsidR="00534395">
        <w:rPr>
          <w:b/>
          <w:bCs/>
        </w:rPr>
        <w:t>Magnani G</w:t>
      </w:r>
      <w:r w:rsidRPr="001703BA">
        <w:rPr>
          <w:b/>
          <w:bCs/>
        </w:rPr>
        <w:t xml:space="preserve"> et al.</w:t>
      </w:r>
      <w:r w:rsidRPr="003B3B1A">
        <w:rPr>
          <w:vertAlign w:val="superscript"/>
        </w:rPr>
        <w:t xml:space="preserve"> (</w:t>
      </w:r>
      <w:r w:rsidR="00534395" w:rsidRPr="003B3B1A">
        <w:rPr>
          <w:vertAlign w:val="superscript"/>
        </w:rPr>
        <w:t>5</w:t>
      </w:r>
      <w:r w:rsidRPr="003B3B1A">
        <w:rPr>
          <w:vertAlign w:val="superscript"/>
        </w:rPr>
        <w:t>)</w:t>
      </w:r>
      <w:r w:rsidRPr="001703BA">
        <w:t xml:space="preserve">, where patients also presented with fever and generalized symptoms, making it difficult to distinguish </w:t>
      </w:r>
      <w:r w:rsidR="003B3B1A">
        <w:t xml:space="preserve">it </w:t>
      </w:r>
      <w:r w:rsidRPr="001703BA">
        <w:t>from other febrile illnesses.</w:t>
      </w:r>
    </w:p>
    <w:p w14:paraId="5D870611" w14:textId="54C8FC33" w:rsidR="001703BA" w:rsidRPr="001703BA" w:rsidRDefault="001703BA" w:rsidP="001703BA">
      <w:r w:rsidRPr="001703BA">
        <w:t>In a cases</w:t>
      </w:r>
      <w:r w:rsidR="00920B3C">
        <w:t xml:space="preserve"> publishe</w:t>
      </w:r>
      <w:r w:rsidR="006C64FF">
        <w:t>d</w:t>
      </w:r>
      <w:r w:rsidR="00920B3C">
        <w:t xml:space="preserve"> </w:t>
      </w:r>
      <w:r w:rsidRPr="001703BA">
        <w:t xml:space="preserve">by </w:t>
      </w:r>
      <w:r w:rsidR="001166A6">
        <w:rPr>
          <w:b/>
          <w:bCs/>
        </w:rPr>
        <w:t>Deb A</w:t>
      </w:r>
      <w:r w:rsidRPr="001703BA">
        <w:rPr>
          <w:b/>
          <w:bCs/>
        </w:rPr>
        <w:t xml:space="preserve"> et al.</w:t>
      </w:r>
      <w:r w:rsidR="006C64FF">
        <w:rPr>
          <w:b/>
          <w:bCs/>
        </w:rPr>
        <w:t xml:space="preserve">, </w:t>
      </w:r>
      <w:proofErr w:type="spellStart"/>
      <w:r w:rsidR="006C64FF">
        <w:rPr>
          <w:b/>
          <w:bCs/>
        </w:rPr>
        <w:t>Hoan</w:t>
      </w:r>
      <w:proofErr w:type="spellEnd"/>
      <w:r w:rsidR="006C64FF">
        <w:rPr>
          <w:b/>
          <w:bCs/>
        </w:rPr>
        <w:t xml:space="preserve"> et al</w:t>
      </w:r>
      <w:r w:rsidR="009E0E11">
        <w:rPr>
          <w:b/>
          <w:bCs/>
        </w:rPr>
        <w:t>.</w:t>
      </w:r>
      <w:r w:rsidR="006C64FF">
        <w:rPr>
          <w:b/>
          <w:bCs/>
        </w:rPr>
        <w:t>,</w:t>
      </w:r>
      <w:r w:rsidR="009E0E11">
        <w:rPr>
          <w:b/>
          <w:bCs/>
        </w:rPr>
        <w:t xml:space="preserve"> Sudhakar et al.,</w:t>
      </w:r>
      <w:r w:rsidR="006C64FF">
        <w:rPr>
          <w:b/>
          <w:bCs/>
        </w:rPr>
        <w:t xml:space="preserve"> </w:t>
      </w:r>
      <w:r w:rsidR="006C64FF" w:rsidRPr="009E0E11">
        <w:rPr>
          <w:b/>
          <w:bCs/>
        </w:rPr>
        <w:t>Mohamad AA et al</w:t>
      </w:r>
      <w:r w:rsidR="006C64FF">
        <w:t>.</w:t>
      </w:r>
      <w:r w:rsidRPr="009E0E11">
        <w:rPr>
          <w:vertAlign w:val="superscript"/>
        </w:rPr>
        <w:t xml:space="preserve"> </w:t>
      </w:r>
      <w:r w:rsidR="009E0E11" w:rsidRPr="009E0E11">
        <w:rPr>
          <w:vertAlign w:val="superscript"/>
        </w:rPr>
        <w:t>(6,7,8,9)</w:t>
      </w:r>
      <w:r w:rsidRPr="001703BA">
        <w:t xml:space="preserve">, the authors noted that patients often present with </w:t>
      </w:r>
      <w:r w:rsidRPr="001703BA">
        <w:rPr>
          <w:b/>
          <w:bCs/>
        </w:rPr>
        <w:t>cervical lymphadenopathy</w:t>
      </w:r>
      <w:r w:rsidRPr="001703BA">
        <w:t xml:space="preserve"> and fever, but there can be involvement of peripheral lymph nodes as seen in our patient. </w:t>
      </w:r>
      <w:r w:rsidRPr="001703BA">
        <w:rPr>
          <w:b/>
          <w:bCs/>
        </w:rPr>
        <w:t>Imaging studies</w:t>
      </w:r>
      <w:r w:rsidRPr="001703BA">
        <w:t xml:space="preserve">, such as </w:t>
      </w:r>
      <w:r w:rsidRPr="001703BA">
        <w:rPr>
          <w:b/>
          <w:bCs/>
        </w:rPr>
        <w:t>CT</w:t>
      </w:r>
      <w:r w:rsidRPr="001703BA">
        <w:t xml:space="preserve"> and </w:t>
      </w:r>
      <w:r w:rsidRPr="001703BA">
        <w:rPr>
          <w:b/>
          <w:bCs/>
        </w:rPr>
        <w:t>ultrasound</w:t>
      </w:r>
      <w:r w:rsidRPr="001703BA">
        <w:t xml:space="preserve">, were useful in localizing enlarged lymph nodes, but these findings alone are not diagnostic. </w:t>
      </w:r>
      <w:r w:rsidRPr="001703BA">
        <w:rPr>
          <w:b/>
          <w:bCs/>
        </w:rPr>
        <w:t>HRCT chest</w:t>
      </w:r>
      <w:r w:rsidRPr="001703BA">
        <w:t xml:space="preserve"> and </w:t>
      </w:r>
      <w:r w:rsidRPr="001703BA">
        <w:rPr>
          <w:b/>
          <w:bCs/>
        </w:rPr>
        <w:t>CT KUB</w:t>
      </w:r>
      <w:r w:rsidRPr="001703BA">
        <w:t xml:space="preserve"> in our case revealed multiple enlarged lymph nodes in the aortocaval, retroperitoneal, and axillary regions, consistent with previously published literature that described systemic lymphadenopathy as a hallmark feature of Kikuchi’s disease </w:t>
      </w:r>
      <w:r w:rsidRPr="009E0E11">
        <w:rPr>
          <w:vertAlign w:val="superscript"/>
        </w:rPr>
        <w:t>(</w:t>
      </w:r>
      <w:r w:rsidR="006C64FF" w:rsidRPr="009E0E11">
        <w:rPr>
          <w:vertAlign w:val="superscript"/>
        </w:rPr>
        <w:t>2</w:t>
      </w:r>
      <w:r w:rsidRPr="009E0E11">
        <w:rPr>
          <w:vertAlign w:val="superscript"/>
        </w:rPr>
        <w:t>)</w:t>
      </w:r>
      <w:r w:rsidRPr="001703BA">
        <w:t>.</w:t>
      </w:r>
    </w:p>
    <w:p w14:paraId="51215BC1" w14:textId="46A19941" w:rsidR="001703BA" w:rsidRPr="001703BA" w:rsidRDefault="001703BA" w:rsidP="001703BA">
      <w:r w:rsidRPr="001703BA">
        <w:lastRenderedPageBreak/>
        <w:t xml:space="preserve">The gold standard for diagnosing Kikuchi’s disease is </w:t>
      </w:r>
      <w:r w:rsidRPr="001703BA">
        <w:rPr>
          <w:b/>
          <w:bCs/>
        </w:rPr>
        <w:t>histopathological examination</w:t>
      </w:r>
      <w:r w:rsidRPr="001703BA">
        <w:t xml:space="preserve"> of affected lymph nodes. The hallmark of Kikuchi's disease is </w:t>
      </w:r>
      <w:r w:rsidRPr="001703BA">
        <w:rPr>
          <w:b/>
          <w:bCs/>
        </w:rPr>
        <w:t>necrotizing lymphadenitis</w:t>
      </w:r>
      <w:r w:rsidRPr="001703BA">
        <w:t xml:space="preserve"> with a mixed inflammatory infiltrate consisting primarily of </w:t>
      </w:r>
      <w:r w:rsidRPr="001703BA">
        <w:rPr>
          <w:b/>
          <w:bCs/>
        </w:rPr>
        <w:t>T-lymphocytes</w:t>
      </w:r>
      <w:r w:rsidRPr="001703BA">
        <w:t xml:space="preserve">, histiocytes, and plasma cells, with no granulomas or caseous necrosis </w:t>
      </w:r>
      <w:r w:rsidRPr="00B2228C">
        <w:rPr>
          <w:vertAlign w:val="superscript"/>
        </w:rPr>
        <w:t>(</w:t>
      </w:r>
      <w:r w:rsidR="00F705D7" w:rsidRPr="00B2228C">
        <w:rPr>
          <w:vertAlign w:val="superscript"/>
        </w:rPr>
        <w:t>10</w:t>
      </w:r>
      <w:r w:rsidRPr="00B2228C">
        <w:rPr>
          <w:vertAlign w:val="superscript"/>
        </w:rPr>
        <w:t>)</w:t>
      </w:r>
      <w:r w:rsidRPr="001703BA">
        <w:t xml:space="preserve">. In our case, the </w:t>
      </w:r>
      <w:r w:rsidRPr="001703BA">
        <w:rPr>
          <w:b/>
          <w:bCs/>
        </w:rPr>
        <w:t>lymph node biopsy</w:t>
      </w:r>
      <w:r w:rsidRPr="001703BA">
        <w:t xml:space="preserve"> revealed </w:t>
      </w:r>
      <w:r w:rsidRPr="001703BA">
        <w:rPr>
          <w:b/>
          <w:bCs/>
        </w:rPr>
        <w:t>necrotizing lymphadenitis</w:t>
      </w:r>
      <w:r w:rsidRPr="001703BA">
        <w:t xml:space="preserve">, and </w:t>
      </w:r>
      <w:r w:rsidRPr="001703BA">
        <w:rPr>
          <w:b/>
          <w:bCs/>
        </w:rPr>
        <w:t>immunohistochemistry (IHC)</w:t>
      </w:r>
      <w:r w:rsidRPr="001703BA">
        <w:t xml:space="preserve"> confirmed the diagnosis of Kikuchi’s disease, which is consistent with the findings in the literature. As </w:t>
      </w:r>
      <w:r w:rsidRPr="001703BA">
        <w:rPr>
          <w:b/>
          <w:bCs/>
        </w:rPr>
        <w:t>Kikuchi’s disease</w:t>
      </w:r>
      <w:r w:rsidRPr="001703BA">
        <w:t xml:space="preserve"> can mimic </w:t>
      </w:r>
      <w:r w:rsidRPr="001703BA">
        <w:rPr>
          <w:b/>
          <w:bCs/>
        </w:rPr>
        <w:t>Hodgkin’s lymphoma</w:t>
      </w:r>
      <w:r w:rsidRPr="001703BA">
        <w:t xml:space="preserve"> or </w:t>
      </w:r>
      <w:r w:rsidRPr="001703BA">
        <w:rPr>
          <w:b/>
          <w:bCs/>
        </w:rPr>
        <w:t>non-Hodgkin lymphoma</w:t>
      </w:r>
      <w:r w:rsidRPr="001703BA">
        <w:t>, IHC staining plays a crucial role in differentiating these conditions</w:t>
      </w:r>
      <w:r w:rsidR="00B2228C">
        <w:t xml:space="preserve"> </w:t>
      </w:r>
      <w:r w:rsidR="00F705D7" w:rsidRPr="00B2228C">
        <w:rPr>
          <w:vertAlign w:val="superscript"/>
        </w:rPr>
        <w:t>(11)</w:t>
      </w:r>
      <w:r w:rsidR="001B5490">
        <w:t>. T</w:t>
      </w:r>
      <w:r w:rsidRPr="001703BA">
        <w:t xml:space="preserve">he utility of IHC markers, particularly the identification of </w:t>
      </w:r>
      <w:r w:rsidRPr="001703BA">
        <w:rPr>
          <w:b/>
          <w:bCs/>
        </w:rPr>
        <w:t>HLA-DR</w:t>
      </w:r>
      <w:r w:rsidRPr="001703BA">
        <w:t xml:space="preserve"> positive cells and </w:t>
      </w:r>
      <w:r w:rsidRPr="001703BA">
        <w:rPr>
          <w:b/>
          <w:bCs/>
        </w:rPr>
        <w:t>CD68+ histiocytes</w:t>
      </w:r>
      <w:r w:rsidRPr="001703BA">
        <w:t xml:space="preserve">, in diagnosing Kikuchi’s disease </w:t>
      </w:r>
      <w:r w:rsidR="001B5490">
        <w:t>has been proven in various studies</w:t>
      </w:r>
      <w:r w:rsidR="00B2228C">
        <w:t xml:space="preserve">. </w:t>
      </w:r>
      <w:r w:rsidR="001B5490" w:rsidRPr="00B2228C">
        <w:rPr>
          <w:vertAlign w:val="superscript"/>
        </w:rPr>
        <w:t>(12, 13)</w:t>
      </w:r>
    </w:p>
    <w:p w14:paraId="6385B71F" w14:textId="40811D3E" w:rsidR="001703BA" w:rsidRPr="001703BA" w:rsidRDefault="001703BA" w:rsidP="001703BA">
      <w:r w:rsidRPr="001703BA">
        <w:t>The treatment of Kikuchi’s disease is predominantly supportive, as the disease is usually self-limiting</w:t>
      </w:r>
      <w:r w:rsidR="00920B3C">
        <w:t xml:space="preserve">. </w:t>
      </w:r>
      <w:r w:rsidRPr="001703BA">
        <w:t xml:space="preserve">However, in some patients, especially those with severe or prolonged symptoms, </w:t>
      </w:r>
      <w:r w:rsidRPr="001703BA">
        <w:rPr>
          <w:b/>
          <w:bCs/>
        </w:rPr>
        <w:t>steroid therapy</w:t>
      </w:r>
      <w:r w:rsidRPr="001703BA">
        <w:t xml:space="preserve"> may be indicated. Steroids help reduce inflammation and can be beneficial in patients with </w:t>
      </w:r>
      <w:r w:rsidRPr="001703BA">
        <w:rPr>
          <w:b/>
          <w:bCs/>
        </w:rPr>
        <w:t>neurological symptoms</w:t>
      </w:r>
      <w:r w:rsidRPr="001703BA">
        <w:t xml:space="preserve"> or other complications, although their use remains controversial due to the generally benign nature of the disease. </w:t>
      </w:r>
      <w:r w:rsidRPr="001703BA">
        <w:rPr>
          <w:b/>
          <w:bCs/>
        </w:rPr>
        <w:t>Steroid therapy</w:t>
      </w:r>
      <w:r w:rsidRPr="001703BA">
        <w:t xml:space="preserve"> was started in our patient after prolonged fever and persistent </w:t>
      </w:r>
      <w:proofErr w:type="spellStart"/>
      <w:r w:rsidRPr="001703BA">
        <w:rPr>
          <w:b/>
          <w:bCs/>
        </w:rPr>
        <w:t>leucopenia</w:t>
      </w:r>
      <w:proofErr w:type="spellEnd"/>
      <w:r w:rsidRPr="001703BA">
        <w:t xml:space="preserve">, which led to an improvement in symptoms. This approach is supported by findings in a study by </w:t>
      </w:r>
      <w:r w:rsidR="001B5490">
        <w:rPr>
          <w:b/>
          <w:bCs/>
        </w:rPr>
        <w:t>Yalcin</w:t>
      </w:r>
      <w:r w:rsidRPr="001703BA">
        <w:rPr>
          <w:b/>
          <w:bCs/>
        </w:rPr>
        <w:t xml:space="preserve"> et al.</w:t>
      </w:r>
      <w:r w:rsidRPr="001703BA">
        <w:t xml:space="preserve"> </w:t>
      </w:r>
      <w:r w:rsidR="000C5AAA">
        <w:t xml:space="preserve">and </w:t>
      </w:r>
      <w:proofErr w:type="spellStart"/>
      <w:r w:rsidR="000C5AAA" w:rsidRPr="00B2228C">
        <w:rPr>
          <w:b/>
          <w:bCs/>
        </w:rPr>
        <w:t>Semavi</w:t>
      </w:r>
      <w:proofErr w:type="spellEnd"/>
      <w:r w:rsidR="000C5AAA" w:rsidRPr="00B2228C">
        <w:rPr>
          <w:b/>
          <w:bCs/>
        </w:rPr>
        <w:t xml:space="preserve"> et al</w:t>
      </w:r>
      <w:r w:rsidR="00B2228C" w:rsidRPr="00B2228C">
        <w:rPr>
          <w:b/>
          <w:bCs/>
        </w:rPr>
        <w:t>.</w:t>
      </w:r>
      <w:r w:rsidRPr="001703BA">
        <w:t xml:space="preserve"> who reported that steroid treatment was effective in alleviating symptoms in </w:t>
      </w:r>
      <w:r w:rsidR="001B5490">
        <w:t>few</w:t>
      </w:r>
      <w:r w:rsidRPr="001703BA">
        <w:t xml:space="preserve"> cases, especially when there was severe systemic involvement.</w:t>
      </w:r>
      <w:r w:rsidR="000C5AAA" w:rsidRPr="00B2228C">
        <w:rPr>
          <w:vertAlign w:val="superscript"/>
        </w:rPr>
        <w:t>(14, 15)</w:t>
      </w:r>
    </w:p>
    <w:p w14:paraId="4B9BF7EE" w14:textId="1373E688" w:rsidR="001703BA" w:rsidRPr="001703BA" w:rsidRDefault="001703BA" w:rsidP="001703BA">
      <w:r w:rsidRPr="001703BA">
        <w:t xml:space="preserve">Kikuchi’s disease generally has a </w:t>
      </w:r>
      <w:proofErr w:type="spellStart"/>
      <w:r w:rsidRPr="001703BA">
        <w:t>favorable</w:t>
      </w:r>
      <w:proofErr w:type="spellEnd"/>
      <w:r w:rsidRPr="001703BA">
        <w:t xml:space="preserve"> prognosis, with most patients recovering within 1 to 6 months. </w:t>
      </w:r>
      <w:r w:rsidRPr="001703BA">
        <w:rPr>
          <w:b/>
          <w:bCs/>
        </w:rPr>
        <w:t>Relapses</w:t>
      </w:r>
      <w:r w:rsidRPr="001703BA">
        <w:t xml:space="preserve"> are rare but have been reported in the literature </w:t>
      </w:r>
      <w:r w:rsidRPr="00B2228C">
        <w:rPr>
          <w:vertAlign w:val="superscript"/>
        </w:rPr>
        <w:t>(</w:t>
      </w:r>
      <w:r w:rsidR="004E6892" w:rsidRPr="00B2228C">
        <w:rPr>
          <w:vertAlign w:val="superscript"/>
        </w:rPr>
        <w:t>16</w:t>
      </w:r>
      <w:r w:rsidRPr="00B2228C">
        <w:rPr>
          <w:vertAlign w:val="superscript"/>
        </w:rPr>
        <w:t>)</w:t>
      </w:r>
      <w:r w:rsidRPr="001703BA">
        <w:t xml:space="preserve">. The patient in our case showed significant improvement in both </w:t>
      </w:r>
      <w:proofErr w:type="spellStart"/>
      <w:r w:rsidRPr="001703BA">
        <w:rPr>
          <w:b/>
          <w:bCs/>
        </w:rPr>
        <w:t>leucopenia</w:t>
      </w:r>
      <w:proofErr w:type="spellEnd"/>
      <w:r w:rsidRPr="001703BA">
        <w:t xml:space="preserve"> and systemic symptoms after starting steroid therapy and was ultimately discharged in stable condition. </w:t>
      </w:r>
      <w:r w:rsidRPr="001703BA">
        <w:rPr>
          <w:b/>
          <w:bCs/>
        </w:rPr>
        <w:t>Close monitoring</w:t>
      </w:r>
      <w:r w:rsidRPr="001703BA">
        <w:t xml:space="preserve"> is essential to detect any potential complications or relapses, and follow-up care is recommended to ensure complete resolution of symptoms. </w:t>
      </w:r>
      <w:r w:rsidRPr="001703BA">
        <w:rPr>
          <w:b/>
          <w:bCs/>
        </w:rPr>
        <w:t>Relapse</w:t>
      </w:r>
      <w:r w:rsidRPr="001703BA">
        <w:t xml:space="preserve"> of Kikuchi’s disease is often seen in patients with associated autoimmune disorders, such as </w:t>
      </w:r>
      <w:r w:rsidRPr="001703BA">
        <w:rPr>
          <w:b/>
          <w:bCs/>
        </w:rPr>
        <w:t>SLE</w:t>
      </w:r>
      <w:r w:rsidRPr="001703BA">
        <w:t>, but our patient had no known comorbidities, and recovery was uneventful.</w:t>
      </w:r>
    </w:p>
    <w:p w14:paraId="7DCC5FDD" w14:textId="10AC5796" w:rsidR="001703BA" w:rsidRPr="001703BA" w:rsidRDefault="001703BA" w:rsidP="001703BA">
      <w:r w:rsidRPr="001703BA">
        <w:t xml:space="preserve">Kikuchi’s disease shares clinical and histological features with other </w:t>
      </w:r>
      <w:r w:rsidR="004E6892">
        <w:t xml:space="preserve">common </w:t>
      </w:r>
      <w:r w:rsidRPr="001703BA">
        <w:t xml:space="preserve">conditions, including </w:t>
      </w:r>
      <w:r w:rsidRPr="001703BA">
        <w:rPr>
          <w:b/>
          <w:bCs/>
        </w:rPr>
        <w:t>systemic lupus erythematosus (SLE)</w:t>
      </w:r>
      <w:r w:rsidRPr="001703BA">
        <w:t xml:space="preserve">, </w:t>
      </w:r>
      <w:r w:rsidRPr="001703BA">
        <w:rPr>
          <w:b/>
          <w:bCs/>
        </w:rPr>
        <w:t>tuberculosis</w:t>
      </w:r>
      <w:r w:rsidRPr="001703BA">
        <w:t xml:space="preserve">, and </w:t>
      </w:r>
      <w:r w:rsidRPr="001703BA">
        <w:rPr>
          <w:b/>
          <w:bCs/>
        </w:rPr>
        <w:t>lymphoma</w:t>
      </w:r>
      <w:r w:rsidR="004E6892">
        <w:rPr>
          <w:b/>
          <w:bCs/>
        </w:rPr>
        <w:t>.</w:t>
      </w:r>
      <w:r w:rsidRPr="001703BA">
        <w:t xml:space="preserve"> Therefore, it is important to distinguish Kikuchi’s disease from these other conditions through a combination of clinical evaluation, imaging studies, and </w:t>
      </w:r>
      <w:r w:rsidRPr="001703BA">
        <w:rPr>
          <w:b/>
          <w:bCs/>
        </w:rPr>
        <w:t>histopathological</w:t>
      </w:r>
      <w:r w:rsidRPr="001703BA">
        <w:t xml:space="preserve"> and </w:t>
      </w:r>
      <w:r w:rsidRPr="001703BA">
        <w:rPr>
          <w:b/>
          <w:bCs/>
        </w:rPr>
        <w:t>immunohistochemical</w:t>
      </w:r>
      <w:r w:rsidRPr="001703BA">
        <w:t xml:space="preserve"> findings. While Kikuchi’s disease can present with similar clinical features to </w:t>
      </w:r>
      <w:r w:rsidRPr="001703BA">
        <w:rPr>
          <w:b/>
          <w:bCs/>
        </w:rPr>
        <w:t>Hodgkin’s lymphoma</w:t>
      </w:r>
      <w:r w:rsidRPr="001703BA">
        <w:t xml:space="preserve">, the absence of </w:t>
      </w:r>
      <w:r w:rsidRPr="001703BA">
        <w:rPr>
          <w:b/>
          <w:bCs/>
        </w:rPr>
        <w:t>Reed-Sternberg cells</w:t>
      </w:r>
      <w:r w:rsidRPr="001703BA">
        <w:t xml:space="preserve"> in the biopsy specimen and the specific IHC pattern in Kikuchi’s disease are key differentiators.</w:t>
      </w:r>
      <w:r w:rsidR="007E3E50" w:rsidRPr="00B2228C">
        <w:rPr>
          <w:vertAlign w:val="superscript"/>
        </w:rPr>
        <w:t>(17)</w:t>
      </w:r>
    </w:p>
    <w:p w14:paraId="24868B50" w14:textId="77777777" w:rsidR="001703BA" w:rsidRPr="001703BA" w:rsidRDefault="001703BA" w:rsidP="001703BA">
      <w:r w:rsidRPr="001703BA">
        <w:rPr>
          <w:b/>
          <w:bCs/>
        </w:rPr>
        <w:t>Conclusion</w:t>
      </w:r>
    </w:p>
    <w:p w14:paraId="589B3070" w14:textId="46AC19B5" w:rsidR="001703BA" w:rsidRPr="001703BA" w:rsidRDefault="001703BA" w:rsidP="001703BA">
      <w:r w:rsidRPr="001703BA">
        <w:t xml:space="preserve">Kikuchi’s disease remains a challenging diagnosis, particularly in young adults presenting with fever, generalized weakness, weight loss, and lymphadenopathy. A high index of suspicion is essential, and diagnosis is confirmed through </w:t>
      </w:r>
      <w:r w:rsidRPr="001703BA">
        <w:rPr>
          <w:b/>
          <w:bCs/>
        </w:rPr>
        <w:t>histopathological examination</w:t>
      </w:r>
      <w:r w:rsidRPr="001703BA">
        <w:t xml:space="preserve"> </w:t>
      </w:r>
      <w:r w:rsidRPr="001703BA">
        <w:lastRenderedPageBreak/>
        <w:t xml:space="preserve">and </w:t>
      </w:r>
      <w:r w:rsidRPr="001703BA">
        <w:rPr>
          <w:b/>
          <w:bCs/>
        </w:rPr>
        <w:t>immunohistochemical</w:t>
      </w:r>
      <w:r w:rsidRPr="001703BA">
        <w:t xml:space="preserve"> analysis of affected lymph nodes. As demonstrated in this case, timely diagnosis and supportive management, including the use of steroids in selected cases, can lead to a </w:t>
      </w:r>
      <w:r w:rsidR="00075B99" w:rsidRPr="001703BA">
        <w:t>favourable</w:t>
      </w:r>
      <w:r w:rsidRPr="001703BA">
        <w:t xml:space="preserve"> outcome. Given the nonspecific nature of the symptoms and the overlap with other more serious conditions, Kikuchi’s disease should be included in the differential diagnosis of patients with lymphadenopathy and fever. Future research into the pathophysiology and optimal management of this condition will help refine therapeutic approaches and improve patient outcomes.</w:t>
      </w:r>
    </w:p>
    <w:p w14:paraId="549E1140" w14:textId="77777777" w:rsidR="001703BA" w:rsidRPr="001703BA" w:rsidRDefault="00135C4C" w:rsidP="001703BA">
      <w:r>
        <w:rPr>
          <w:noProof/>
        </w:rPr>
        <w:pict w14:anchorId="313F29A2">
          <v:rect id="_x0000_i1025" alt="" style="width:451.3pt;height:.05pt;mso-width-percent:0;mso-height-percent:0;mso-width-percent:0;mso-height-percent:0" o:hralign="center" o:hrstd="t" o:hr="t" fillcolor="#a0a0a0" stroked="f"/>
        </w:pict>
      </w:r>
    </w:p>
    <w:p w14:paraId="4F08B8EA" w14:textId="24573138" w:rsidR="001703BA" w:rsidRPr="001703BA" w:rsidRDefault="001703BA" w:rsidP="001703BA">
      <w:r w:rsidRPr="001703BA">
        <w:rPr>
          <w:b/>
          <w:bCs/>
        </w:rPr>
        <w:t>References:</w:t>
      </w:r>
      <w:r w:rsidR="001166A6">
        <w:rPr>
          <w:b/>
          <w:bCs/>
        </w:rPr>
        <w:t xml:space="preserve"> </w:t>
      </w:r>
    </w:p>
    <w:p w14:paraId="59E0D12F" w14:textId="61C4DC26" w:rsidR="00534395" w:rsidRPr="00075B99" w:rsidRDefault="00534395" w:rsidP="00075B99">
      <w:pPr>
        <w:numPr>
          <w:ilvl w:val="0"/>
          <w:numId w:val="21"/>
        </w:numPr>
        <w:spacing w:line="480" w:lineRule="auto"/>
        <w:jc w:val="both"/>
        <w:rPr>
          <w:rFonts w:cstheme="minorHAnsi"/>
          <w:szCs w:val="24"/>
        </w:rPr>
      </w:pPr>
      <w:r w:rsidRPr="00075B99">
        <w:rPr>
          <w:rFonts w:cstheme="minorHAnsi"/>
          <w:szCs w:val="24"/>
        </w:rPr>
        <w:t>Fujimoto Y. Cervical subacute necrotizing lymphadenitis. Naika. 1972;30:920-7.</w:t>
      </w:r>
    </w:p>
    <w:p w14:paraId="0CDD2C28" w14:textId="405361EE" w:rsidR="00A91DA1" w:rsidRPr="00075B99" w:rsidRDefault="00A91DA1" w:rsidP="00075B99">
      <w:pPr>
        <w:numPr>
          <w:ilvl w:val="0"/>
          <w:numId w:val="21"/>
        </w:numPr>
        <w:spacing w:line="480" w:lineRule="auto"/>
        <w:jc w:val="both"/>
        <w:rPr>
          <w:rFonts w:cstheme="minorHAnsi"/>
          <w:szCs w:val="24"/>
        </w:rPr>
      </w:pPr>
      <w:proofErr w:type="spellStart"/>
      <w:r w:rsidRPr="00075B99">
        <w:rPr>
          <w:rFonts w:cstheme="minorHAnsi"/>
          <w:szCs w:val="24"/>
        </w:rPr>
        <w:t>Masab</w:t>
      </w:r>
      <w:proofErr w:type="spellEnd"/>
      <w:r w:rsidRPr="00075B99">
        <w:rPr>
          <w:rFonts w:cstheme="minorHAnsi"/>
          <w:szCs w:val="24"/>
        </w:rPr>
        <w:t xml:space="preserve"> M, </w:t>
      </w:r>
      <w:proofErr w:type="spellStart"/>
      <w:r w:rsidRPr="00075B99">
        <w:rPr>
          <w:rFonts w:cstheme="minorHAnsi"/>
          <w:szCs w:val="24"/>
        </w:rPr>
        <w:t>Surmachevska</w:t>
      </w:r>
      <w:proofErr w:type="spellEnd"/>
      <w:r w:rsidRPr="00075B99">
        <w:rPr>
          <w:rFonts w:cstheme="minorHAnsi"/>
          <w:szCs w:val="24"/>
        </w:rPr>
        <w:t xml:space="preserve"> N, Farooq H. Kikuchi-Fujimoto Disease. [Updated 2023 Oct 29]. In: </w:t>
      </w:r>
      <w:proofErr w:type="spellStart"/>
      <w:r w:rsidRPr="00075B99">
        <w:rPr>
          <w:rFonts w:cstheme="minorHAnsi"/>
          <w:szCs w:val="24"/>
        </w:rPr>
        <w:t>StatPearls</w:t>
      </w:r>
      <w:proofErr w:type="spellEnd"/>
      <w:r w:rsidRPr="00075B99">
        <w:rPr>
          <w:rFonts w:cstheme="minorHAnsi"/>
          <w:szCs w:val="24"/>
        </w:rPr>
        <w:t xml:space="preserve"> [Internet]. Treasure Island (FL): </w:t>
      </w:r>
      <w:proofErr w:type="spellStart"/>
      <w:r w:rsidRPr="00075B99">
        <w:rPr>
          <w:rFonts w:cstheme="minorHAnsi"/>
          <w:szCs w:val="24"/>
        </w:rPr>
        <w:t>StatPearls</w:t>
      </w:r>
      <w:proofErr w:type="spellEnd"/>
      <w:r w:rsidRPr="00075B99">
        <w:rPr>
          <w:rFonts w:cstheme="minorHAnsi"/>
          <w:szCs w:val="24"/>
        </w:rPr>
        <w:t xml:space="preserve"> Publishing; 2025 Jan-Available from: https://www.ncbi.nlm.nih.gov/books/NBK430830/ </w:t>
      </w:r>
    </w:p>
    <w:p w14:paraId="21564541" w14:textId="1AF6AA8A" w:rsidR="00A91DA1" w:rsidRPr="00075B99" w:rsidRDefault="00A91DA1" w:rsidP="00075B99">
      <w:pPr>
        <w:numPr>
          <w:ilvl w:val="0"/>
          <w:numId w:val="21"/>
        </w:numPr>
        <w:spacing w:line="480" w:lineRule="auto"/>
        <w:jc w:val="both"/>
        <w:rPr>
          <w:rFonts w:cstheme="minorHAnsi"/>
          <w:szCs w:val="24"/>
        </w:rPr>
      </w:pPr>
      <w:proofErr w:type="spellStart"/>
      <w:r w:rsidRPr="00075B99">
        <w:rPr>
          <w:rFonts w:cstheme="minorHAnsi"/>
          <w:szCs w:val="24"/>
        </w:rPr>
        <w:t>Lencastre</w:t>
      </w:r>
      <w:proofErr w:type="spellEnd"/>
      <w:r w:rsidRPr="00075B99">
        <w:rPr>
          <w:rFonts w:cstheme="minorHAnsi"/>
          <w:szCs w:val="24"/>
        </w:rPr>
        <w:t xml:space="preserve"> Monteiro R, </w:t>
      </w:r>
      <w:proofErr w:type="spellStart"/>
      <w:r w:rsidRPr="00075B99">
        <w:rPr>
          <w:rFonts w:cstheme="minorHAnsi"/>
          <w:szCs w:val="24"/>
        </w:rPr>
        <w:t>Cabaço</w:t>
      </w:r>
      <w:proofErr w:type="spellEnd"/>
      <w:r w:rsidRPr="00075B99">
        <w:rPr>
          <w:rFonts w:cstheme="minorHAnsi"/>
          <w:szCs w:val="24"/>
        </w:rPr>
        <w:t xml:space="preserve"> S, Soares L, Inácio H, Nazário Leão R. Kikuchi-Fujimoto Disease: A Case of SARS-CoV-2 Infection Triggering the Rare Disease. </w:t>
      </w:r>
      <w:proofErr w:type="spellStart"/>
      <w:r w:rsidRPr="00075B99">
        <w:rPr>
          <w:rFonts w:cstheme="minorHAnsi"/>
          <w:szCs w:val="24"/>
        </w:rPr>
        <w:t>Cureus</w:t>
      </w:r>
      <w:proofErr w:type="spellEnd"/>
      <w:r w:rsidRPr="00075B99">
        <w:rPr>
          <w:rFonts w:cstheme="minorHAnsi"/>
          <w:szCs w:val="24"/>
        </w:rPr>
        <w:t>. 2023 Mar;15(3):e35858. [</w:t>
      </w:r>
      <w:hyperlink r:id="rId7" w:history="1">
        <w:r w:rsidRPr="00075B99">
          <w:rPr>
            <w:rStyle w:val="Hyperlink"/>
            <w:rFonts w:cstheme="minorHAnsi"/>
            <w:szCs w:val="24"/>
          </w:rPr>
          <w:t>PMC free article</w:t>
        </w:r>
      </w:hyperlink>
      <w:r w:rsidRPr="00075B99">
        <w:rPr>
          <w:rFonts w:cstheme="minorHAnsi"/>
          <w:szCs w:val="24"/>
        </w:rPr>
        <w:t>] [</w:t>
      </w:r>
      <w:hyperlink r:id="rId8" w:history="1">
        <w:r w:rsidRPr="00075B99">
          <w:rPr>
            <w:rStyle w:val="Hyperlink"/>
            <w:rFonts w:cstheme="minorHAnsi"/>
            <w:szCs w:val="24"/>
          </w:rPr>
          <w:t>PubMed</w:t>
        </w:r>
      </w:hyperlink>
      <w:r w:rsidRPr="00075B99">
        <w:rPr>
          <w:rFonts w:cstheme="minorHAnsi"/>
          <w:szCs w:val="24"/>
        </w:rPr>
        <w:t>] [</w:t>
      </w:r>
      <w:hyperlink r:id="rId9" w:anchor="article-23893.r9" w:tgtFrame="mainwindow" w:history="1">
        <w:r w:rsidRPr="00075B99">
          <w:rPr>
            <w:rStyle w:val="Hyperlink"/>
            <w:rFonts w:cstheme="minorHAnsi"/>
            <w:szCs w:val="24"/>
          </w:rPr>
          <w:t>Reference list</w:t>
        </w:r>
      </w:hyperlink>
      <w:r w:rsidRPr="00075B99">
        <w:rPr>
          <w:rFonts w:cstheme="minorHAnsi"/>
          <w:szCs w:val="24"/>
        </w:rPr>
        <w:t>]</w:t>
      </w:r>
    </w:p>
    <w:p w14:paraId="5731C931" w14:textId="313BA4F1" w:rsidR="00A91DA1" w:rsidRPr="00075B99" w:rsidRDefault="00A91DA1" w:rsidP="00075B99">
      <w:pPr>
        <w:numPr>
          <w:ilvl w:val="0"/>
          <w:numId w:val="21"/>
        </w:numPr>
        <w:spacing w:line="480" w:lineRule="auto"/>
        <w:jc w:val="both"/>
        <w:rPr>
          <w:rFonts w:cstheme="minorHAnsi"/>
          <w:szCs w:val="24"/>
        </w:rPr>
      </w:pPr>
      <w:proofErr w:type="spellStart"/>
      <w:r w:rsidRPr="00075B99">
        <w:rPr>
          <w:rFonts w:cstheme="minorHAnsi"/>
          <w:szCs w:val="24"/>
        </w:rPr>
        <w:t>Viallard</w:t>
      </w:r>
      <w:proofErr w:type="spellEnd"/>
      <w:r w:rsidRPr="00075B99">
        <w:rPr>
          <w:rFonts w:cstheme="minorHAnsi"/>
          <w:szCs w:val="24"/>
        </w:rPr>
        <w:t xml:space="preserve"> JF, </w:t>
      </w:r>
      <w:proofErr w:type="spellStart"/>
      <w:r w:rsidRPr="00075B99">
        <w:rPr>
          <w:rFonts w:cstheme="minorHAnsi"/>
          <w:szCs w:val="24"/>
        </w:rPr>
        <w:t>Parrens</w:t>
      </w:r>
      <w:proofErr w:type="spellEnd"/>
      <w:r w:rsidRPr="00075B99">
        <w:rPr>
          <w:rFonts w:cstheme="minorHAnsi"/>
          <w:szCs w:val="24"/>
        </w:rPr>
        <w:t xml:space="preserve"> M, Lazaro E, Caubet O, Pellegrin JL. </w:t>
      </w:r>
      <w:proofErr w:type="spellStart"/>
      <w:r w:rsidRPr="00075B99">
        <w:rPr>
          <w:rFonts w:cstheme="minorHAnsi"/>
          <w:szCs w:val="24"/>
        </w:rPr>
        <w:t>Lymphadénite</w:t>
      </w:r>
      <w:proofErr w:type="spellEnd"/>
      <w:r w:rsidRPr="00075B99">
        <w:rPr>
          <w:rFonts w:cstheme="minorHAnsi"/>
          <w:szCs w:val="24"/>
        </w:rPr>
        <w:t xml:space="preserve"> </w:t>
      </w:r>
      <w:proofErr w:type="spellStart"/>
      <w:r w:rsidRPr="00075B99">
        <w:rPr>
          <w:rFonts w:cstheme="minorHAnsi"/>
          <w:szCs w:val="24"/>
        </w:rPr>
        <w:t>histiocytaire</w:t>
      </w:r>
      <w:proofErr w:type="spellEnd"/>
      <w:r w:rsidRPr="00075B99">
        <w:rPr>
          <w:rFonts w:cstheme="minorHAnsi"/>
          <w:szCs w:val="24"/>
        </w:rPr>
        <w:t xml:space="preserve"> </w:t>
      </w:r>
      <w:proofErr w:type="spellStart"/>
      <w:r w:rsidRPr="00075B99">
        <w:rPr>
          <w:rFonts w:cstheme="minorHAnsi"/>
          <w:szCs w:val="24"/>
        </w:rPr>
        <w:t>nécrosante</w:t>
      </w:r>
      <w:proofErr w:type="spellEnd"/>
      <w:r w:rsidRPr="00075B99">
        <w:rPr>
          <w:rFonts w:cstheme="minorHAnsi"/>
          <w:szCs w:val="24"/>
        </w:rPr>
        <w:t xml:space="preserve"> </w:t>
      </w:r>
      <w:proofErr w:type="spellStart"/>
      <w:r w:rsidRPr="00075B99">
        <w:rPr>
          <w:rFonts w:cstheme="minorHAnsi"/>
          <w:szCs w:val="24"/>
        </w:rPr>
        <w:t>ou</w:t>
      </w:r>
      <w:proofErr w:type="spellEnd"/>
      <w:r w:rsidRPr="00075B99">
        <w:rPr>
          <w:rFonts w:cstheme="minorHAnsi"/>
          <w:szCs w:val="24"/>
        </w:rPr>
        <w:t xml:space="preserve"> </w:t>
      </w:r>
      <w:proofErr w:type="spellStart"/>
      <w:r w:rsidRPr="00075B99">
        <w:rPr>
          <w:rFonts w:cstheme="minorHAnsi"/>
          <w:szCs w:val="24"/>
        </w:rPr>
        <w:t>maladie</w:t>
      </w:r>
      <w:proofErr w:type="spellEnd"/>
      <w:r w:rsidRPr="00075B99">
        <w:rPr>
          <w:rFonts w:cstheme="minorHAnsi"/>
          <w:szCs w:val="24"/>
        </w:rPr>
        <w:t xml:space="preserve"> de Kikuchi-Fujimoto [Subacute necrotizing lymphadenitis or Kikuchi-Fujimoto disease]. Presse Med. 2007 Nov;36(11 Pt 2):1683-93. French. </w:t>
      </w:r>
      <w:proofErr w:type="spellStart"/>
      <w:r w:rsidRPr="00075B99">
        <w:rPr>
          <w:rFonts w:cstheme="minorHAnsi"/>
          <w:szCs w:val="24"/>
        </w:rPr>
        <w:t>doi</w:t>
      </w:r>
      <w:proofErr w:type="spellEnd"/>
      <w:r w:rsidRPr="00075B99">
        <w:rPr>
          <w:rFonts w:cstheme="minorHAnsi"/>
          <w:szCs w:val="24"/>
        </w:rPr>
        <w:t xml:space="preserve">: 10.1016/j.lpm.2007.06.004. </w:t>
      </w:r>
      <w:proofErr w:type="spellStart"/>
      <w:r w:rsidRPr="00075B99">
        <w:rPr>
          <w:rFonts w:cstheme="minorHAnsi"/>
          <w:szCs w:val="24"/>
        </w:rPr>
        <w:t>Epub</w:t>
      </w:r>
      <w:proofErr w:type="spellEnd"/>
      <w:r w:rsidRPr="00075B99">
        <w:rPr>
          <w:rFonts w:cstheme="minorHAnsi"/>
          <w:szCs w:val="24"/>
        </w:rPr>
        <w:t xml:space="preserve"> 2007 Jul 3. PMID: 17611068.</w:t>
      </w:r>
    </w:p>
    <w:p w14:paraId="262D6F0C" w14:textId="500C691C" w:rsidR="00534395" w:rsidRPr="00075B99" w:rsidRDefault="00534395" w:rsidP="00075B99">
      <w:pPr>
        <w:numPr>
          <w:ilvl w:val="0"/>
          <w:numId w:val="21"/>
        </w:numPr>
        <w:spacing w:line="480" w:lineRule="auto"/>
        <w:jc w:val="both"/>
        <w:rPr>
          <w:rFonts w:cstheme="minorHAnsi"/>
          <w:szCs w:val="24"/>
        </w:rPr>
      </w:pPr>
      <w:r w:rsidRPr="00075B99">
        <w:rPr>
          <w:rFonts w:cstheme="minorHAnsi"/>
          <w:szCs w:val="24"/>
        </w:rPr>
        <w:t xml:space="preserve">Magnani G, </w:t>
      </w:r>
      <w:proofErr w:type="spellStart"/>
      <w:r w:rsidRPr="00075B99">
        <w:rPr>
          <w:rFonts w:cstheme="minorHAnsi"/>
          <w:szCs w:val="24"/>
        </w:rPr>
        <w:t>Cocca</w:t>
      </w:r>
      <w:proofErr w:type="spellEnd"/>
      <w:r w:rsidRPr="00075B99">
        <w:rPr>
          <w:rFonts w:cstheme="minorHAnsi"/>
          <w:szCs w:val="24"/>
        </w:rPr>
        <w:t xml:space="preserve"> G, </w:t>
      </w:r>
      <w:proofErr w:type="spellStart"/>
      <w:r w:rsidRPr="00075B99">
        <w:rPr>
          <w:rFonts w:cstheme="minorHAnsi"/>
          <w:szCs w:val="24"/>
        </w:rPr>
        <w:t>Mezzadri</w:t>
      </w:r>
      <w:proofErr w:type="spellEnd"/>
      <w:r w:rsidRPr="00075B99">
        <w:rPr>
          <w:rFonts w:cstheme="minorHAnsi"/>
          <w:szCs w:val="24"/>
        </w:rPr>
        <w:t xml:space="preserve"> S, Pilato FP. Kikuchi's disease: an uncommon cause of fever of unknown origin. Ann Ital Med Int. 1999 Jul-Sep;14(3):205-8. PMID: 10566188.</w:t>
      </w:r>
    </w:p>
    <w:p w14:paraId="61401C02" w14:textId="77777777" w:rsidR="001166A6" w:rsidRPr="00075B99" w:rsidRDefault="001166A6" w:rsidP="00075B99">
      <w:pPr>
        <w:numPr>
          <w:ilvl w:val="0"/>
          <w:numId w:val="21"/>
        </w:numPr>
        <w:spacing w:line="480" w:lineRule="auto"/>
        <w:jc w:val="both"/>
        <w:rPr>
          <w:rFonts w:cstheme="minorHAnsi"/>
          <w:szCs w:val="24"/>
        </w:rPr>
      </w:pPr>
      <w:r w:rsidRPr="00075B99">
        <w:rPr>
          <w:rFonts w:cstheme="minorHAnsi"/>
          <w:szCs w:val="24"/>
        </w:rPr>
        <w:t xml:space="preserve">Deb A, Fernandez V, </w:t>
      </w:r>
      <w:proofErr w:type="spellStart"/>
      <w:r w:rsidRPr="00075B99">
        <w:rPr>
          <w:rFonts w:cstheme="minorHAnsi"/>
          <w:szCs w:val="24"/>
        </w:rPr>
        <w:t>Kilinc</w:t>
      </w:r>
      <w:proofErr w:type="spellEnd"/>
      <w:r w:rsidRPr="00075B99">
        <w:rPr>
          <w:rFonts w:cstheme="minorHAnsi"/>
          <w:szCs w:val="24"/>
        </w:rPr>
        <w:t xml:space="preserve"> E, </w:t>
      </w:r>
      <w:proofErr w:type="spellStart"/>
      <w:r w:rsidRPr="00075B99">
        <w:rPr>
          <w:rFonts w:cstheme="minorHAnsi"/>
          <w:szCs w:val="24"/>
        </w:rPr>
        <w:t>Bahmad</w:t>
      </w:r>
      <w:proofErr w:type="spellEnd"/>
      <w:r w:rsidRPr="00075B99">
        <w:rPr>
          <w:rFonts w:cstheme="minorHAnsi"/>
          <w:szCs w:val="24"/>
        </w:rPr>
        <w:t xml:space="preserve"> HF, Camps NS, Sriganeshan V, Medina AM. Kikuchi-Fujimoto Disease: A Case Series and Review of the Literature. Diseases. 2024 </w:t>
      </w:r>
      <w:r w:rsidRPr="00075B99">
        <w:rPr>
          <w:rFonts w:cstheme="minorHAnsi"/>
          <w:szCs w:val="24"/>
        </w:rPr>
        <w:lastRenderedPageBreak/>
        <w:t xml:space="preserve">Nov 1;12(11):271. </w:t>
      </w:r>
      <w:proofErr w:type="spellStart"/>
      <w:r w:rsidRPr="00075B99">
        <w:rPr>
          <w:rFonts w:cstheme="minorHAnsi"/>
          <w:szCs w:val="24"/>
        </w:rPr>
        <w:t>doi</w:t>
      </w:r>
      <w:proofErr w:type="spellEnd"/>
      <w:r w:rsidRPr="00075B99">
        <w:rPr>
          <w:rFonts w:cstheme="minorHAnsi"/>
          <w:szCs w:val="24"/>
        </w:rPr>
        <w:t>: 10.3390/diseases12110271. PMID: 39589945; PMCID: PMC11592699.</w:t>
      </w:r>
    </w:p>
    <w:p w14:paraId="09A6DA8A" w14:textId="0B88A40D" w:rsidR="006C64FF" w:rsidRPr="00075B99" w:rsidRDefault="006C64FF" w:rsidP="00075B99">
      <w:pPr>
        <w:pStyle w:val="NormalWeb"/>
        <w:numPr>
          <w:ilvl w:val="0"/>
          <w:numId w:val="21"/>
        </w:numPr>
        <w:spacing w:before="0" w:beforeAutospacing="0" w:after="0" w:afterAutospacing="0" w:line="480" w:lineRule="auto"/>
        <w:jc w:val="both"/>
        <w:rPr>
          <w:rStyle w:val="url"/>
          <w:rFonts w:asciiTheme="minorHAnsi" w:hAnsiTheme="minorHAnsi" w:cstheme="minorHAnsi"/>
        </w:rPr>
      </w:pPr>
      <w:r w:rsidRPr="00075B99">
        <w:rPr>
          <w:rFonts w:asciiTheme="minorHAnsi" w:hAnsiTheme="minorHAnsi" w:cstheme="minorHAnsi"/>
        </w:rPr>
        <w:t xml:space="preserve">Hoan, L., Hang, L. M., Linh, L. T., My, T. T. T., Minh, T. N., Thinh, D. D., &amp; Cuong, N. N. (2021). A rare case of Kikuchi-Fujimoto disease in a young female patient. </w:t>
      </w:r>
      <w:r w:rsidRPr="00075B99">
        <w:rPr>
          <w:rFonts w:asciiTheme="minorHAnsi" w:hAnsiTheme="minorHAnsi" w:cstheme="minorHAnsi"/>
          <w:i/>
          <w:iCs/>
        </w:rPr>
        <w:t>American Journal of Case Reports</w:t>
      </w:r>
      <w:r w:rsidRPr="00075B99">
        <w:rPr>
          <w:rFonts w:asciiTheme="minorHAnsi" w:hAnsiTheme="minorHAnsi" w:cstheme="minorHAnsi"/>
        </w:rPr>
        <w:t xml:space="preserve">, </w:t>
      </w:r>
      <w:r w:rsidRPr="00075B99">
        <w:rPr>
          <w:rFonts w:asciiTheme="minorHAnsi" w:hAnsiTheme="minorHAnsi" w:cstheme="minorHAnsi"/>
          <w:i/>
          <w:iCs/>
        </w:rPr>
        <w:t>22</w:t>
      </w:r>
      <w:r w:rsidRPr="00075B99">
        <w:rPr>
          <w:rFonts w:asciiTheme="minorHAnsi" w:hAnsiTheme="minorHAnsi" w:cstheme="minorHAnsi"/>
        </w:rPr>
        <w:t xml:space="preserve">. </w:t>
      </w:r>
      <w:hyperlink r:id="rId10" w:history="1">
        <w:r w:rsidRPr="00075B99">
          <w:rPr>
            <w:rStyle w:val="Hyperlink"/>
            <w:rFonts w:asciiTheme="minorHAnsi" w:eastAsiaTheme="majorEastAsia" w:hAnsiTheme="minorHAnsi" w:cstheme="minorHAnsi"/>
          </w:rPr>
          <w:t>https://doi.org/10.12659/ajcr.933377</w:t>
        </w:r>
      </w:hyperlink>
    </w:p>
    <w:p w14:paraId="2C0161BD" w14:textId="3765A7D8" w:rsidR="006C64FF" w:rsidRPr="00075B99" w:rsidRDefault="006C64FF" w:rsidP="00075B99">
      <w:pPr>
        <w:pStyle w:val="NormalWeb"/>
        <w:numPr>
          <w:ilvl w:val="0"/>
          <w:numId w:val="21"/>
        </w:numPr>
        <w:spacing w:before="0" w:beforeAutospacing="0" w:after="0" w:afterAutospacing="0" w:line="480" w:lineRule="auto"/>
        <w:jc w:val="both"/>
        <w:rPr>
          <w:rFonts w:asciiTheme="minorHAnsi" w:hAnsiTheme="minorHAnsi" w:cstheme="minorHAnsi"/>
        </w:rPr>
      </w:pPr>
      <w:r w:rsidRPr="00075B99">
        <w:rPr>
          <w:rFonts w:asciiTheme="minorHAnsi" w:hAnsiTheme="minorHAnsi" w:cstheme="minorHAnsi"/>
        </w:rPr>
        <w:t>Sudhakar M K, Sathyamurthy P, Indhumathi E, Rajendran A, Vivek B. Kikuchi's disease: A case report from south India. International Journal of Case Reports and Images 2011;2(2):15-18</w:t>
      </w:r>
    </w:p>
    <w:p w14:paraId="176F7639" w14:textId="09C94BD2" w:rsidR="006C64FF" w:rsidRPr="00075B99" w:rsidRDefault="006C64FF" w:rsidP="00075B99">
      <w:pPr>
        <w:pStyle w:val="NormalWeb"/>
        <w:numPr>
          <w:ilvl w:val="0"/>
          <w:numId w:val="21"/>
        </w:numPr>
        <w:spacing w:before="0" w:beforeAutospacing="0" w:after="0" w:afterAutospacing="0" w:line="480" w:lineRule="auto"/>
        <w:jc w:val="both"/>
        <w:rPr>
          <w:rFonts w:asciiTheme="minorHAnsi" w:hAnsiTheme="minorHAnsi" w:cstheme="minorHAnsi"/>
        </w:rPr>
      </w:pPr>
      <w:r w:rsidRPr="00075B99">
        <w:rPr>
          <w:rFonts w:asciiTheme="minorHAnsi" w:hAnsiTheme="minorHAnsi" w:cstheme="minorHAnsi"/>
        </w:rPr>
        <w:t xml:space="preserve">Mohamad AA, Zahid M, Khan AA, Alani B, Khalil M, Saeed A, </w:t>
      </w:r>
      <w:proofErr w:type="spellStart"/>
      <w:r w:rsidRPr="00075B99">
        <w:rPr>
          <w:rFonts w:asciiTheme="minorHAnsi" w:hAnsiTheme="minorHAnsi" w:cstheme="minorHAnsi"/>
        </w:rPr>
        <w:t>Elzouki</w:t>
      </w:r>
      <w:proofErr w:type="spellEnd"/>
      <w:r w:rsidRPr="00075B99">
        <w:rPr>
          <w:rFonts w:asciiTheme="minorHAnsi" w:hAnsiTheme="minorHAnsi" w:cstheme="minorHAnsi"/>
        </w:rPr>
        <w:t xml:space="preserve"> AN. Kikuchi-Fujimoto disease: review of 11 cases diagnosed over 10 years at a tertiary care hospital in Doha, Qatar.</w:t>
      </w:r>
      <w:r w:rsidRPr="00075B99">
        <w:rPr>
          <w:rFonts w:asciiTheme="minorHAnsi" w:hAnsiTheme="minorHAnsi" w:cstheme="minorHAnsi"/>
          <w:i/>
          <w:iCs/>
        </w:rPr>
        <w:t> EJCRIM</w:t>
      </w:r>
      <w:r w:rsidRPr="00075B99">
        <w:rPr>
          <w:rFonts w:asciiTheme="minorHAnsi" w:hAnsiTheme="minorHAnsi" w:cstheme="minorHAnsi"/>
        </w:rPr>
        <w:t> 2020;</w:t>
      </w:r>
      <w:r w:rsidRPr="00075B99">
        <w:rPr>
          <w:rFonts w:asciiTheme="minorHAnsi" w:hAnsiTheme="minorHAnsi" w:cstheme="minorHAnsi"/>
          <w:b/>
          <w:bCs/>
        </w:rPr>
        <w:t>7</w:t>
      </w:r>
      <w:r w:rsidRPr="00075B99">
        <w:rPr>
          <w:rFonts w:asciiTheme="minorHAnsi" w:hAnsiTheme="minorHAnsi" w:cstheme="minorHAnsi"/>
        </w:rPr>
        <w:t> doi:10.12890/2020_001598.</w:t>
      </w:r>
    </w:p>
    <w:p w14:paraId="5085DAC9" w14:textId="2463EECF" w:rsidR="006C64FF" w:rsidRPr="00075B99" w:rsidRDefault="006C64FF" w:rsidP="00075B99">
      <w:pPr>
        <w:numPr>
          <w:ilvl w:val="0"/>
          <w:numId w:val="21"/>
        </w:numPr>
        <w:spacing w:line="480" w:lineRule="auto"/>
        <w:jc w:val="both"/>
        <w:rPr>
          <w:rFonts w:cstheme="minorHAnsi"/>
          <w:szCs w:val="24"/>
        </w:rPr>
      </w:pPr>
      <w:r w:rsidRPr="00075B99">
        <w:rPr>
          <w:rFonts w:cstheme="minorHAnsi"/>
          <w:szCs w:val="24"/>
        </w:rPr>
        <w:t xml:space="preserve">Kikuchi M. Lymphadenitis showing focal hyperplasia with nuclear debris and phagocytes: a clinicopathological study. Acta </w:t>
      </w:r>
      <w:proofErr w:type="spellStart"/>
      <w:r w:rsidRPr="00075B99">
        <w:rPr>
          <w:rFonts w:cstheme="minorHAnsi"/>
          <w:szCs w:val="24"/>
        </w:rPr>
        <w:t>Haematol</w:t>
      </w:r>
      <w:proofErr w:type="spellEnd"/>
      <w:r w:rsidRPr="00075B99">
        <w:rPr>
          <w:rFonts w:cstheme="minorHAnsi"/>
          <w:szCs w:val="24"/>
        </w:rPr>
        <w:t xml:space="preserve"> </w:t>
      </w:r>
      <w:proofErr w:type="spellStart"/>
      <w:r w:rsidRPr="00075B99">
        <w:rPr>
          <w:rFonts w:cstheme="minorHAnsi"/>
          <w:szCs w:val="24"/>
        </w:rPr>
        <w:t>Jpn</w:t>
      </w:r>
      <w:proofErr w:type="spellEnd"/>
      <w:r w:rsidRPr="00075B99">
        <w:rPr>
          <w:rFonts w:cstheme="minorHAnsi"/>
          <w:szCs w:val="24"/>
        </w:rPr>
        <w:t>. 1972;35:379.</w:t>
      </w:r>
    </w:p>
    <w:p w14:paraId="283F4AB5" w14:textId="678D6022" w:rsidR="00F705D7" w:rsidRPr="00075B99" w:rsidRDefault="00F705D7" w:rsidP="00075B99">
      <w:pPr>
        <w:pStyle w:val="NormalWeb"/>
        <w:numPr>
          <w:ilvl w:val="0"/>
          <w:numId w:val="21"/>
        </w:numPr>
        <w:spacing w:before="0" w:beforeAutospacing="0" w:after="0" w:afterAutospacing="0" w:line="480" w:lineRule="auto"/>
        <w:jc w:val="both"/>
        <w:rPr>
          <w:rStyle w:val="url"/>
          <w:rFonts w:asciiTheme="minorHAnsi" w:hAnsiTheme="minorHAnsi" w:cstheme="minorHAnsi"/>
        </w:rPr>
      </w:pPr>
      <w:r w:rsidRPr="00075B99">
        <w:rPr>
          <w:rFonts w:asciiTheme="minorHAnsi" w:hAnsiTheme="minorHAnsi" w:cstheme="minorHAnsi"/>
        </w:rPr>
        <w:t xml:space="preserve">Kristiani, E., Natalia, S., </w:t>
      </w:r>
      <w:proofErr w:type="spellStart"/>
      <w:r w:rsidRPr="00075B99">
        <w:rPr>
          <w:rFonts w:asciiTheme="minorHAnsi" w:hAnsiTheme="minorHAnsi" w:cstheme="minorHAnsi"/>
        </w:rPr>
        <w:t>Ritonga</w:t>
      </w:r>
      <w:proofErr w:type="spellEnd"/>
      <w:r w:rsidRPr="00075B99">
        <w:rPr>
          <w:rFonts w:asciiTheme="minorHAnsi" w:hAnsiTheme="minorHAnsi" w:cstheme="minorHAnsi"/>
        </w:rPr>
        <w:t xml:space="preserve">, E. V. F., </w:t>
      </w:r>
      <w:proofErr w:type="spellStart"/>
      <w:r w:rsidRPr="00075B99">
        <w:rPr>
          <w:rFonts w:asciiTheme="minorHAnsi" w:hAnsiTheme="minorHAnsi" w:cstheme="minorHAnsi"/>
        </w:rPr>
        <w:t>Djokomuljanto</w:t>
      </w:r>
      <w:proofErr w:type="spellEnd"/>
      <w:r w:rsidRPr="00075B99">
        <w:rPr>
          <w:rFonts w:asciiTheme="minorHAnsi" w:hAnsiTheme="minorHAnsi" w:cstheme="minorHAnsi"/>
        </w:rPr>
        <w:t xml:space="preserve">, S., &amp; Kan, E. F. (2021). Kikuchi-Fujimoto Disease in </w:t>
      </w:r>
      <w:proofErr w:type="spellStart"/>
      <w:r w:rsidRPr="00075B99">
        <w:rPr>
          <w:rFonts w:asciiTheme="minorHAnsi" w:hAnsiTheme="minorHAnsi" w:cstheme="minorHAnsi"/>
        </w:rPr>
        <w:t>pediatrics</w:t>
      </w:r>
      <w:proofErr w:type="spellEnd"/>
      <w:r w:rsidRPr="00075B99">
        <w:rPr>
          <w:rFonts w:asciiTheme="minorHAnsi" w:hAnsiTheme="minorHAnsi" w:cstheme="minorHAnsi"/>
        </w:rPr>
        <w:t xml:space="preserve">. </w:t>
      </w:r>
      <w:r w:rsidRPr="00075B99">
        <w:rPr>
          <w:rFonts w:asciiTheme="minorHAnsi" w:hAnsiTheme="minorHAnsi" w:cstheme="minorHAnsi"/>
          <w:i/>
          <w:iCs/>
        </w:rPr>
        <w:t>Journal of Pediatric Surgery Case Reports</w:t>
      </w:r>
      <w:r w:rsidRPr="00075B99">
        <w:rPr>
          <w:rFonts w:asciiTheme="minorHAnsi" w:hAnsiTheme="minorHAnsi" w:cstheme="minorHAnsi"/>
        </w:rPr>
        <w:t xml:space="preserve">, </w:t>
      </w:r>
      <w:r w:rsidRPr="00075B99">
        <w:rPr>
          <w:rFonts w:asciiTheme="minorHAnsi" w:hAnsiTheme="minorHAnsi" w:cstheme="minorHAnsi"/>
          <w:i/>
          <w:iCs/>
        </w:rPr>
        <w:t>73</w:t>
      </w:r>
      <w:r w:rsidRPr="00075B99">
        <w:rPr>
          <w:rFonts w:asciiTheme="minorHAnsi" w:hAnsiTheme="minorHAnsi" w:cstheme="minorHAnsi"/>
        </w:rPr>
        <w:t xml:space="preserve">, 101989. </w:t>
      </w:r>
      <w:hyperlink r:id="rId11" w:history="1">
        <w:r w:rsidR="001B5490" w:rsidRPr="00075B99">
          <w:rPr>
            <w:rStyle w:val="Hyperlink"/>
            <w:rFonts w:asciiTheme="minorHAnsi" w:eastAsiaTheme="majorEastAsia" w:hAnsiTheme="minorHAnsi" w:cstheme="minorHAnsi"/>
          </w:rPr>
          <w:t>https://doi.org/10.1016/j.epsc.2021.101989</w:t>
        </w:r>
      </w:hyperlink>
    </w:p>
    <w:p w14:paraId="7D21BD03" w14:textId="2E9426E9" w:rsidR="001B5490" w:rsidRPr="00075B99" w:rsidRDefault="001B5490" w:rsidP="00075B99">
      <w:pPr>
        <w:pStyle w:val="NormalWeb"/>
        <w:numPr>
          <w:ilvl w:val="0"/>
          <w:numId w:val="21"/>
        </w:numPr>
        <w:spacing w:before="0" w:beforeAutospacing="0" w:after="0" w:afterAutospacing="0" w:line="480" w:lineRule="auto"/>
        <w:jc w:val="both"/>
        <w:rPr>
          <w:rFonts w:asciiTheme="minorHAnsi" w:hAnsiTheme="minorHAnsi" w:cstheme="minorHAnsi"/>
        </w:rPr>
      </w:pPr>
      <w:r w:rsidRPr="00075B99">
        <w:rPr>
          <w:rFonts w:asciiTheme="minorHAnsi" w:hAnsiTheme="minorHAnsi" w:cstheme="minorHAnsi"/>
        </w:rPr>
        <w:t>Hassan M, Anees A, Zaheer S. Kikuchi-</w:t>
      </w:r>
      <w:proofErr w:type="spellStart"/>
      <w:r w:rsidRPr="00075B99">
        <w:rPr>
          <w:rFonts w:asciiTheme="minorHAnsi" w:hAnsiTheme="minorHAnsi" w:cstheme="minorHAnsi"/>
        </w:rPr>
        <w:t>fujimoto</w:t>
      </w:r>
      <w:proofErr w:type="spellEnd"/>
      <w:r w:rsidRPr="00075B99">
        <w:rPr>
          <w:rFonts w:asciiTheme="minorHAnsi" w:hAnsiTheme="minorHAnsi" w:cstheme="minorHAnsi"/>
        </w:rPr>
        <w:t xml:space="preserve"> disease: diagnostic dilemma and the role of immunohistochemistry. J Clin Med Res. 2009 Oct;1(4):244-6. </w:t>
      </w:r>
      <w:proofErr w:type="spellStart"/>
      <w:r w:rsidRPr="00075B99">
        <w:rPr>
          <w:rFonts w:asciiTheme="minorHAnsi" w:hAnsiTheme="minorHAnsi" w:cstheme="minorHAnsi"/>
        </w:rPr>
        <w:t>doi</w:t>
      </w:r>
      <w:proofErr w:type="spellEnd"/>
      <w:r w:rsidRPr="00075B99">
        <w:rPr>
          <w:rFonts w:asciiTheme="minorHAnsi" w:hAnsiTheme="minorHAnsi" w:cstheme="minorHAnsi"/>
        </w:rPr>
        <w:t xml:space="preserve">: 10.4021/jocmr2009.09.1258. </w:t>
      </w:r>
      <w:proofErr w:type="spellStart"/>
      <w:r w:rsidRPr="00075B99">
        <w:rPr>
          <w:rFonts w:asciiTheme="minorHAnsi" w:hAnsiTheme="minorHAnsi" w:cstheme="minorHAnsi"/>
        </w:rPr>
        <w:t>Epub</w:t>
      </w:r>
      <w:proofErr w:type="spellEnd"/>
      <w:r w:rsidRPr="00075B99">
        <w:rPr>
          <w:rFonts w:asciiTheme="minorHAnsi" w:hAnsiTheme="minorHAnsi" w:cstheme="minorHAnsi"/>
        </w:rPr>
        <w:t xml:space="preserve"> 2009 Oct 16. PMID: 22461878; PMCID: PMC3299190.</w:t>
      </w:r>
    </w:p>
    <w:p w14:paraId="51BD16F4" w14:textId="7D610F5D" w:rsidR="001B5490" w:rsidRPr="00075B99" w:rsidRDefault="001B5490" w:rsidP="00075B99">
      <w:pPr>
        <w:pStyle w:val="NormalWeb"/>
        <w:numPr>
          <w:ilvl w:val="0"/>
          <w:numId w:val="21"/>
        </w:numPr>
        <w:spacing w:before="0" w:beforeAutospacing="0" w:after="0" w:afterAutospacing="0" w:line="480" w:lineRule="auto"/>
        <w:jc w:val="both"/>
        <w:rPr>
          <w:rStyle w:val="url"/>
          <w:rFonts w:asciiTheme="minorHAnsi" w:hAnsiTheme="minorHAnsi" w:cstheme="minorHAnsi"/>
        </w:rPr>
      </w:pPr>
      <w:r w:rsidRPr="00075B99">
        <w:rPr>
          <w:rFonts w:asciiTheme="minorHAnsi" w:hAnsiTheme="minorHAnsi" w:cstheme="minorHAnsi"/>
        </w:rPr>
        <w:t xml:space="preserve">Sumiyoshi, Y., Kikuchi, M., Takeshita, M., Ohshima, K., Masuda, Y., &amp; </w:t>
      </w:r>
      <w:proofErr w:type="spellStart"/>
      <w:r w:rsidRPr="00075B99">
        <w:rPr>
          <w:rFonts w:asciiTheme="minorHAnsi" w:hAnsiTheme="minorHAnsi" w:cstheme="minorHAnsi"/>
        </w:rPr>
        <w:t>Parwaresch</w:t>
      </w:r>
      <w:proofErr w:type="spellEnd"/>
      <w:r w:rsidRPr="00075B99">
        <w:rPr>
          <w:rFonts w:asciiTheme="minorHAnsi" w:hAnsiTheme="minorHAnsi" w:cstheme="minorHAnsi"/>
        </w:rPr>
        <w:t xml:space="preserve">, M. R. (1993). </w:t>
      </w:r>
      <w:proofErr w:type="spellStart"/>
      <w:r w:rsidRPr="00075B99">
        <w:rPr>
          <w:rFonts w:asciiTheme="minorHAnsi" w:hAnsiTheme="minorHAnsi" w:cstheme="minorHAnsi"/>
        </w:rPr>
        <w:t>Immunohistologic</w:t>
      </w:r>
      <w:proofErr w:type="spellEnd"/>
      <w:r w:rsidRPr="00075B99">
        <w:rPr>
          <w:rFonts w:asciiTheme="minorHAnsi" w:hAnsiTheme="minorHAnsi" w:cstheme="minorHAnsi"/>
        </w:rPr>
        <w:t xml:space="preserve"> studies of Kikuchi’s disease. </w:t>
      </w:r>
      <w:r w:rsidRPr="00075B99">
        <w:rPr>
          <w:rFonts w:asciiTheme="minorHAnsi" w:hAnsiTheme="minorHAnsi" w:cstheme="minorHAnsi"/>
          <w:i/>
          <w:iCs/>
        </w:rPr>
        <w:t>Human Pathology</w:t>
      </w:r>
      <w:r w:rsidRPr="00075B99">
        <w:rPr>
          <w:rFonts w:asciiTheme="minorHAnsi" w:hAnsiTheme="minorHAnsi" w:cstheme="minorHAnsi"/>
        </w:rPr>
        <w:t xml:space="preserve">, </w:t>
      </w:r>
      <w:r w:rsidRPr="00075B99">
        <w:rPr>
          <w:rFonts w:asciiTheme="minorHAnsi" w:hAnsiTheme="minorHAnsi" w:cstheme="minorHAnsi"/>
          <w:i/>
          <w:iCs/>
        </w:rPr>
        <w:t>24</w:t>
      </w:r>
      <w:r w:rsidRPr="00075B99">
        <w:rPr>
          <w:rFonts w:asciiTheme="minorHAnsi" w:hAnsiTheme="minorHAnsi" w:cstheme="minorHAnsi"/>
        </w:rPr>
        <w:t xml:space="preserve">(10), 1114–1119. </w:t>
      </w:r>
      <w:hyperlink r:id="rId12" w:history="1">
        <w:r w:rsidRPr="00075B99">
          <w:rPr>
            <w:rStyle w:val="Hyperlink"/>
            <w:rFonts w:asciiTheme="minorHAnsi" w:eastAsiaTheme="majorEastAsia" w:hAnsiTheme="minorHAnsi" w:cstheme="minorHAnsi"/>
          </w:rPr>
          <w:t>https://doi.org/10.1016/0046-8177(93)90192-j</w:t>
        </w:r>
      </w:hyperlink>
    </w:p>
    <w:p w14:paraId="47F8029A" w14:textId="439B16DD" w:rsidR="001B5490" w:rsidRPr="00075B99" w:rsidRDefault="001B5490" w:rsidP="00075B99">
      <w:pPr>
        <w:pStyle w:val="NormalWeb"/>
        <w:numPr>
          <w:ilvl w:val="0"/>
          <w:numId w:val="21"/>
        </w:numPr>
        <w:spacing w:before="0" w:beforeAutospacing="0" w:after="0" w:afterAutospacing="0" w:line="480" w:lineRule="auto"/>
        <w:jc w:val="both"/>
        <w:rPr>
          <w:rStyle w:val="url"/>
          <w:rFonts w:asciiTheme="minorHAnsi" w:hAnsiTheme="minorHAnsi" w:cstheme="minorHAnsi"/>
        </w:rPr>
      </w:pPr>
      <w:r w:rsidRPr="00075B99">
        <w:rPr>
          <w:rFonts w:asciiTheme="minorHAnsi" w:hAnsiTheme="minorHAnsi" w:cstheme="minorHAnsi"/>
        </w:rPr>
        <w:lastRenderedPageBreak/>
        <w:t xml:space="preserve">Yalcin, S., Toprak, S. K., </w:t>
      </w:r>
      <w:proofErr w:type="spellStart"/>
      <w:r w:rsidRPr="00075B99">
        <w:rPr>
          <w:rFonts w:asciiTheme="minorHAnsi" w:hAnsiTheme="minorHAnsi" w:cstheme="minorHAnsi"/>
        </w:rPr>
        <w:t>Erismis</w:t>
      </w:r>
      <w:proofErr w:type="spellEnd"/>
      <w:r w:rsidRPr="00075B99">
        <w:rPr>
          <w:rFonts w:asciiTheme="minorHAnsi" w:hAnsiTheme="minorHAnsi" w:cstheme="minorHAnsi"/>
        </w:rPr>
        <w:t xml:space="preserve">, B., </w:t>
      </w:r>
      <w:proofErr w:type="spellStart"/>
      <w:r w:rsidRPr="00075B99">
        <w:rPr>
          <w:rFonts w:asciiTheme="minorHAnsi" w:hAnsiTheme="minorHAnsi" w:cstheme="minorHAnsi"/>
        </w:rPr>
        <w:t>Altundag</w:t>
      </w:r>
      <w:proofErr w:type="spellEnd"/>
      <w:r w:rsidRPr="00075B99">
        <w:rPr>
          <w:rFonts w:asciiTheme="minorHAnsi" w:hAnsiTheme="minorHAnsi" w:cstheme="minorHAnsi"/>
        </w:rPr>
        <w:t xml:space="preserve">, O., Ozdemir, H., &amp; </w:t>
      </w:r>
      <w:proofErr w:type="spellStart"/>
      <w:r w:rsidRPr="00075B99">
        <w:rPr>
          <w:rFonts w:asciiTheme="minorHAnsi" w:hAnsiTheme="minorHAnsi" w:cstheme="minorHAnsi"/>
        </w:rPr>
        <w:t>Topcuoglu</w:t>
      </w:r>
      <w:proofErr w:type="spellEnd"/>
      <w:r w:rsidRPr="00075B99">
        <w:rPr>
          <w:rFonts w:asciiTheme="minorHAnsi" w:hAnsiTheme="minorHAnsi" w:cstheme="minorHAnsi"/>
        </w:rPr>
        <w:t xml:space="preserve">, N. (2011). Management of Kikuchi-Fujimoto Disease using glucocorticoid: a case report. </w:t>
      </w:r>
      <w:r w:rsidRPr="00075B99">
        <w:rPr>
          <w:rFonts w:asciiTheme="minorHAnsi" w:hAnsiTheme="minorHAnsi" w:cstheme="minorHAnsi"/>
          <w:i/>
          <w:iCs/>
        </w:rPr>
        <w:t>Case Reports in Medicine</w:t>
      </w:r>
      <w:r w:rsidRPr="00075B99">
        <w:rPr>
          <w:rFonts w:asciiTheme="minorHAnsi" w:hAnsiTheme="minorHAnsi" w:cstheme="minorHAnsi"/>
        </w:rPr>
        <w:t xml:space="preserve">, </w:t>
      </w:r>
      <w:r w:rsidRPr="00075B99">
        <w:rPr>
          <w:rFonts w:asciiTheme="minorHAnsi" w:hAnsiTheme="minorHAnsi" w:cstheme="minorHAnsi"/>
          <w:i/>
          <w:iCs/>
        </w:rPr>
        <w:t>2011</w:t>
      </w:r>
      <w:r w:rsidRPr="00075B99">
        <w:rPr>
          <w:rFonts w:asciiTheme="minorHAnsi" w:hAnsiTheme="minorHAnsi" w:cstheme="minorHAnsi"/>
        </w:rPr>
        <w:t xml:space="preserve">, 1–3. </w:t>
      </w:r>
      <w:hyperlink r:id="rId13" w:history="1">
        <w:r w:rsidR="000C5AAA" w:rsidRPr="00075B99">
          <w:rPr>
            <w:rStyle w:val="Hyperlink"/>
            <w:rFonts w:asciiTheme="minorHAnsi" w:eastAsiaTheme="majorEastAsia" w:hAnsiTheme="minorHAnsi" w:cstheme="minorHAnsi"/>
          </w:rPr>
          <w:t>https://doi.org/10.1155/2011/230840</w:t>
        </w:r>
      </w:hyperlink>
    </w:p>
    <w:p w14:paraId="7152BFEF" w14:textId="77777777" w:rsidR="000C5AAA" w:rsidRPr="00075B99" w:rsidRDefault="000C5AAA" w:rsidP="00075B99">
      <w:pPr>
        <w:pStyle w:val="NormalWeb"/>
        <w:numPr>
          <w:ilvl w:val="0"/>
          <w:numId w:val="21"/>
        </w:numPr>
        <w:spacing w:before="0" w:beforeAutospacing="0" w:after="0" w:afterAutospacing="0" w:line="480" w:lineRule="auto"/>
        <w:jc w:val="both"/>
        <w:rPr>
          <w:rFonts w:asciiTheme="minorHAnsi" w:hAnsiTheme="minorHAnsi" w:cstheme="minorHAnsi"/>
        </w:rPr>
      </w:pPr>
      <w:proofErr w:type="spellStart"/>
      <w:r w:rsidRPr="00075B99">
        <w:rPr>
          <w:rFonts w:asciiTheme="minorHAnsi" w:hAnsiTheme="minorHAnsi" w:cstheme="minorHAnsi"/>
        </w:rPr>
        <w:t>Semavi</w:t>
      </w:r>
      <w:proofErr w:type="spellEnd"/>
      <w:r w:rsidRPr="00075B99">
        <w:rPr>
          <w:rFonts w:asciiTheme="minorHAnsi" w:hAnsiTheme="minorHAnsi" w:cstheme="minorHAnsi"/>
        </w:rPr>
        <w:t xml:space="preserve">̇, D. G., &amp; Ulaş, T. (2022). Highlighting steroid indications for Kikuchi Fujimoto disease: a case report. </w:t>
      </w:r>
      <w:proofErr w:type="spellStart"/>
      <w:r w:rsidRPr="00075B99">
        <w:rPr>
          <w:rFonts w:asciiTheme="minorHAnsi" w:hAnsiTheme="minorHAnsi" w:cstheme="minorHAnsi"/>
          <w:i/>
          <w:iCs/>
        </w:rPr>
        <w:t>ÇUkurova</w:t>
      </w:r>
      <w:proofErr w:type="spellEnd"/>
      <w:r w:rsidRPr="00075B99">
        <w:rPr>
          <w:rFonts w:asciiTheme="minorHAnsi" w:hAnsiTheme="minorHAnsi" w:cstheme="minorHAnsi"/>
          <w:i/>
          <w:iCs/>
        </w:rPr>
        <w:t xml:space="preserve"> Medical Journal (Online)/</w:t>
      </w:r>
      <w:proofErr w:type="spellStart"/>
      <w:r w:rsidRPr="00075B99">
        <w:rPr>
          <w:rFonts w:asciiTheme="minorHAnsi" w:hAnsiTheme="minorHAnsi" w:cstheme="minorHAnsi"/>
          <w:i/>
          <w:iCs/>
        </w:rPr>
        <w:t>ÇUkurova</w:t>
      </w:r>
      <w:proofErr w:type="spellEnd"/>
      <w:r w:rsidRPr="00075B99">
        <w:rPr>
          <w:rFonts w:asciiTheme="minorHAnsi" w:hAnsiTheme="minorHAnsi" w:cstheme="minorHAnsi"/>
          <w:i/>
          <w:iCs/>
        </w:rPr>
        <w:t xml:space="preserve"> Medical Journal</w:t>
      </w:r>
      <w:r w:rsidRPr="00075B99">
        <w:rPr>
          <w:rFonts w:asciiTheme="minorHAnsi" w:hAnsiTheme="minorHAnsi" w:cstheme="minorHAnsi"/>
        </w:rPr>
        <w:t xml:space="preserve">, </w:t>
      </w:r>
      <w:r w:rsidRPr="00075B99">
        <w:rPr>
          <w:rFonts w:asciiTheme="minorHAnsi" w:hAnsiTheme="minorHAnsi" w:cstheme="minorHAnsi"/>
          <w:i/>
          <w:iCs/>
        </w:rPr>
        <w:t>47</w:t>
      </w:r>
      <w:r w:rsidRPr="00075B99">
        <w:rPr>
          <w:rFonts w:asciiTheme="minorHAnsi" w:hAnsiTheme="minorHAnsi" w:cstheme="minorHAnsi"/>
        </w:rPr>
        <w:t xml:space="preserve">(4), 1753–1755. </w:t>
      </w:r>
      <w:r w:rsidRPr="00075B99">
        <w:rPr>
          <w:rStyle w:val="url"/>
          <w:rFonts w:asciiTheme="minorHAnsi" w:eastAsiaTheme="majorEastAsia" w:hAnsiTheme="minorHAnsi" w:cstheme="minorHAnsi"/>
        </w:rPr>
        <w:t>https://doi.org/10.17826/cumj.1176368</w:t>
      </w:r>
    </w:p>
    <w:p w14:paraId="62702447" w14:textId="3508BA6F" w:rsidR="000C5AAA" w:rsidRPr="00075B99" w:rsidRDefault="004E6892" w:rsidP="00075B99">
      <w:pPr>
        <w:pStyle w:val="NormalWeb"/>
        <w:numPr>
          <w:ilvl w:val="0"/>
          <w:numId w:val="21"/>
        </w:numPr>
        <w:spacing w:before="0" w:beforeAutospacing="0" w:after="0" w:afterAutospacing="0" w:line="480" w:lineRule="auto"/>
        <w:jc w:val="both"/>
        <w:rPr>
          <w:rFonts w:asciiTheme="minorHAnsi" w:hAnsiTheme="minorHAnsi" w:cstheme="minorHAnsi"/>
        </w:rPr>
      </w:pPr>
      <w:r w:rsidRPr="00075B99">
        <w:rPr>
          <w:rFonts w:asciiTheme="minorHAnsi" w:hAnsiTheme="minorHAnsi" w:cstheme="minorHAnsi"/>
        </w:rPr>
        <w:t xml:space="preserve">Faria C, Fernandes M, Cunha R, Moreira H, Costa R. Kikuchi-Fujimoto Disease: Diagnosis in a Relapsing Case. </w:t>
      </w:r>
      <w:proofErr w:type="spellStart"/>
      <w:r w:rsidRPr="00075B99">
        <w:rPr>
          <w:rFonts w:asciiTheme="minorHAnsi" w:hAnsiTheme="minorHAnsi" w:cstheme="minorHAnsi"/>
        </w:rPr>
        <w:t>Cureus</w:t>
      </w:r>
      <w:proofErr w:type="spellEnd"/>
      <w:r w:rsidRPr="00075B99">
        <w:rPr>
          <w:rFonts w:asciiTheme="minorHAnsi" w:hAnsiTheme="minorHAnsi" w:cstheme="minorHAnsi"/>
        </w:rPr>
        <w:t xml:space="preserve">. 2021 Nov 13;13(11):e19542. </w:t>
      </w:r>
      <w:proofErr w:type="spellStart"/>
      <w:r w:rsidRPr="00075B99">
        <w:rPr>
          <w:rFonts w:asciiTheme="minorHAnsi" w:hAnsiTheme="minorHAnsi" w:cstheme="minorHAnsi"/>
        </w:rPr>
        <w:t>doi</w:t>
      </w:r>
      <w:proofErr w:type="spellEnd"/>
      <w:r w:rsidRPr="00075B99">
        <w:rPr>
          <w:rFonts w:asciiTheme="minorHAnsi" w:hAnsiTheme="minorHAnsi" w:cstheme="minorHAnsi"/>
        </w:rPr>
        <w:t>: 10.7759/cureus.19542. PMID: 34934560; PMCID: PMC8668199.</w:t>
      </w:r>
    </w:p>
    <w:p w14:paraId="6B2D0F88" w14:textId="386AB2E5" w:rsidR="007E3E50" w:rsidRDefault="007E3E50" w:rsidP="00075B99">
      <w:pPr>
        <w:pStyle w:val="NormalWeb"/>
        <w:numPr>
          <w:ilvl w:val="0"/>
          <w:numId w:val="21"/>
        </w:numPr>
        <w:spacing w:before="0" w:beforeAutospacing="0" w:after="0" w:afterAutospacing="0" w:line="480" w:lineRule="auto"/>
        <w:jc w:val="both"/>
        <w:rPr>
          <w:rFonts w:asciiTheme="minorHAnsi" w:hAnsiTheme="minorHAnsi" w:cstheme="minorHAnsi"/>
        </w:rPr>
      </w:pPr>
      <w:r w:rsidRPr="00075B99">
        <w:rPr>
          <w:rFonts w:asciiTheme="minorHAnsi" w:hAnsiTheme="minorHAnsi" w:cstheme="minorHAnsi"/>
        </w:rPr>
        <w:t xml:space="preserve">Dumas G, </w:t>
      </w:r>
      <w:proofErr w:type="spellStart"/>
      <w:r w:rsidRPr="00075B99">
        <w:rPr>
          <w:rFonts w:asciiTheme="minorHAnsi" w:hAnsiTheme="minorHAnsi" w:cstheme="minorHAnsi"/>
        </w:rPr>
        <w:t>Prendki</w:t>
      </w:r>
      <w:proofErr w:type="spellEnd"/>
      <w:r w:rsidRPr="00075B99">
        <w:rPr>
          <w:rFonts w:asciiTheme="minorHAnsi" w:hAnsiTheme="minorHAnsi" w:cstheme="minorHAnsi"/>
        </w:rPr>
        <w:t xml:space="preserve"> V, </w:t>
      </w:r>
      <w:proofErr w:type="spellStart"/>
      <w:r w:rsidRPr="00075B99">
        <w:rPr>
          <w:rFonts w:asciiTheme="minorHAnsi" w:hAnsiTheme="minorHAnsi" w:cstheme="minorHAnsi"/>
        </w:rPr>
        <w:t>Haroche</w:t>
      </w:r>
      <w:proofErr w:type="spellEnd"/>
      <w:r w:rsidRPr="00075B99">
        <w:rPr>
          <w:rFonts w:asciiTheme="minorHAnsi" w:hAnsiTheme="minorHAnsi" w:cstheme="minorHAnsi"/>
        </w:rPr>
        <w:t xml:space="preserve"> J, </w:t>
      </w:r>
      <w:proofErr w:type="spellStart"/>
      <w:r w:rsidRPr="00075B99">
        <w:rPr>
          <w:rFonts w:asciiTheme="minorHAnsi" w:hAnsiTheme="minorHAnsi" w:cstheme="minorHAnsi"/>
        </w:rPr>
        <w:t>Amoura</w:t>
      </w:r>
      <w:proofErr w:type="spellEnd"/>
      <w:r w:rsidRPr="00075B99">
        <w:rPr>
          <w:rFonts w:asciiTheme="minorHAnsi" w:hAnsiTheme="minorHAnsi" w:cstheme="minorHAnsi"/>
        </w:rPr>
        <w:t xml:space="preserve"> Z, </w:t>
      </w:r>
      <w:proofErr w:type="spellStart"/>
      <w:r w:rsidRPr="00075B99">
        <w:rPr>
          <w:rFonts w:asciiTheme="minorHAnsi" w:hAnsiTheme="minorHAnsi" w:cstheme="minorHAnsi"/>
        </w:rPr>
        <w:t>Cacoub</w:t>
      </w:r>
      <w:proofErr w:type="spellEnd"/>
      <w:r w:rsidRPr="00075B99">
        <w:rPr>
          <w:rFonts w:asciiTheme="minorHAnsi" w:hAnsiTheme="minorHAnsi" w:cstheme="minorHAnsi"/>
        </w:rPr>
        <w:t xml:space="preserve"> P, </w:t>
      </w:r>
      <w:proofErr w:type="spellStart"/>
      <w:r w:rsidRPr="00075B99">
        <w:rPr>
          <w:rFonts w:asciiTheme="minorHAnsi" w:hAnsiTheme="minorHAnsi" w:cstheme="minorHAnsi"/>
        </w:rPr>
        <w:t>Galicier</w:t>
      </w:r>
      <w:proofErr w:type="spellEnd"/>
      <w:r w:rsidRPr="00075B99">
        <w:rPr>
          <w:rFonts w:asciiTheme="minorHAnsi" w:hAnsiTheme="minorHAnsi" w:cstheme="minorHAnsi"/>
        </w:rPr>
        <w:t xml:space="preserve"> L, Meyer O, Rapp C, </w:t>
      </w:r>
      <w:proofErr w:type="spellStart"/>
      <w:r w:rsidRPr="00075B99">
        <w:rPr>
          <w:rFonts w:asciiTheme="minorHAnsi" w:hAnsiTheme="minorHAnsi" w:cstheme="minorHAnsi"/>
        </w:rPr>
        <w:t>Deligny</w:t>
      </w:r>
      <w:proofErr w:type="spellEnd"/>
      <w:r w:rsidRPr="00075B99">
        <w:rPr>
          <w:rFonts w:asciiTheme="minorHAnsi" w:hAnsiTheme="minorHAnsi" w:cstheme="minorHAnsi"/>
        </w:rPr>
        <w:t xml:space="preserve"> C, </w:t>
      </w:r>
      <w:proofErr w:type="spellStart"/>
      <w:r w:rsidRPr="00075B99">
        <w:rPr>
          <w:rFonts w:asciiTheme="minorHAnsi" w:hAnsiTheme="minorHAnsi" w:cstheme="minorHAnsi"/>
        </w:rPr>
        <w:t>Godeau</w:t>
      </w:r>
      <w:proofErr w:type="spellEnd"/>
      <w:r w:rsidRPr="00075B99">
        <w:rPr>
          <w:rFonts w:asciiTheme="minorHAnsi" w:hAnsiTheme="minorHAnsi" w:cstheme="minorHAnsi"/>
        </w:rPr>
        <w:t xml:space="preserve"> B, </w:t>
      </w:r>
      <w:proofErr w:type="spellStart"/>
      <w:r w:rsidRPr="00075B99">
        <w:rPr>
          <w:rFonts w:asciiTheme="minorHAnsi" w:hAnsiTheme="minorHAnsi" w:cstheme="minorHAnsi"/>
        </w:rPr>
        <w:t>Aslangul</w:t>
      </w:r>
      <w:proofErr w:type="spellEnd"/>
      <w:r w:rsidRPr="00075B99">
        <w:rPr>
          <w:rFonts w:asciiTheme="minorHAnsi" w:hAnsiTheme="minorHAnsi" w:cstheme="minorHAnsi"/>
        </w:rPr>
        <w:t xml:space="preserve"> E, </w:t>
      </w:r>
      <w:proofErr w:type="spellStart"/>
      <w:r w:rsidRPr="00075B99">
        <w:rPr>
          <w:rFonts w:asciiTheme="minorHAnsi" w:hAnsiTheme="minorHAnsi" w:cstheme="minorHAnsi"/>
        </w:rPr>
        <w:t>Lambotte</w:t>
      </w:r>
      <w:proofErr w:type="spellEnd"/>
      <w:r w:rsidRPr="00075B99">
        <w:rPr>
          <w:rFonts w:asciiTheme="minorHAnsi" w:hAnsiTheme="minorHAnsi" w:cstheme="minorHAnsi"/>
        </w:rPr>
        <w:t xml:space="preserve"> O, </w:t>
      </w:r>
      <w:proofErr w:type="spellStart"/>
      <w:r w:rsidRPr="00075B99">
        <w:rPr>
          <w:rFonts w:asciiTheme="minorHAnsi" w:hAnsiTheme="minorHAnsi" w:cstheme="minorHAnsi"/>
        </w:rPr>
        <w:t>Papo</w:t>
      </w:r>
      <w:proofErr w:type="spellEnd"/>
      <w:r w:rsidRPr="00075B99">
        <w:rPr>
          <w:rFonts w:asciiTheme="minorHAnsi" w:hAnsiTheme="minorHAnsi" w:cstheme="minorHAnsi"/>
        </w:rPr>
        <w:t xml:space="preserve"> T, </w:t>
      </w:r>
      <w:proofErr w:type="spellStart"/>
      <w:r w:rsidRPr="00075B99">
        <w:rPr>
          <w:rFonts w:asciiTheme="minorHAnsi" w:hAnsiTheme="minorHAnsi" w:cstheme="minorHAnsi"/>
        </w:rPr>
        <w:t>Pouchot</w:t>
      </w:r>
      <w:proofErr w:type="spellEnd"/>
      <w:r w:rsidRPr="00075B99">
        <w:rPr>
          <w:rFonts w:asciiTheme="minorHAnsi" w:hAnsiTheme="minorHAnsi" w:cstheme="minorHAnsi"/>
        </w:rPr>
        <w:t xml:space="preserve"> J, </w:t>
      </w:r>
      <w:proofErr w:type="spellStart"/>
      <w:r w:rsidRPr="00075B99">
        <w:rPr>
          <w:rFonts w:asciiTheme="minorHAnsi" w:hAnsiTheme="minorHAnsi" w:cstheme="minorHAnsi"/>
        </w:rPr>
        <w:t>Hamidou</w:t>
      </w:r>
      <w:proofErr w:type="spellEnd"/>
      <w:r w:rsidRPr="00075B99">
        <w:rPr>
          <w:rFonts w:asciiTheme="minorHAnsi" w:hAnsiTheme="minorHAnsi" w:cstheme="minorHAnsi"/>
        </w:rPr>
        <w:t xml:space="preserve"> M, </w:t>
      </w:r>
      <w:proofErr w:type="spellStart"/>
      <w:r w:rsidRPr="00075B99">
        <w:rPr>
          <w:rFonts w:asciiTheme="minorHAnsi" w:hAnsiTheme="minorHAnsi" w:cstheme="minorHAnsi"/>
        </w:rPr>
        <w:t>Bachmeyer</w:t>
      </w:r>
      <w:proofErr w:type="spellEnd"/>
      <w:r w:rsidRPr="00075B99">
        <w:rPr>
          <w:rFonts w:asciiTheme="minorHAnsi" w:hAnsiTheme="minorHAnsi" w:cstheme="minorHAnsi"/>
        </w:rPr>
        <w:t xml:space="preserve"> C, </w:t>
      </w:r>
      <w:proofErr w:type="spellStart"/>
      <w:r w:rsidRPr="00075B99">
        <w:rPr>
          <w:rFonts w:asciiTheme="minorHAnsi" w:hAnsiTheme="minorHAnsi" w:cstheme="minorHAnsi"/>
        </w:rPr>
        <w:t>Hachulla</w:t>
      </w:r>
      <w:proofErr w:type="spellEnd"/>
      <w:r w:rsidRPr="00075B99">
        <w:rPr>
          <w:rFonts w:asciiTheme="minorHAnsi" w:hAnsiTheme="minorHAnsi" w:cstheme="minorHAnsi"/>
        </w:rPr>
        <w:t xml:space="preserve"> E, </w:t>
      </w:r>
      <w:proofErr w:type="spellStart"/>
      <w:r w:rsidRPr="00075B99">
        <w:rPr>
          <w:rFonts w:asciiTheme="minorHAnsi" w:hAnsiTheme="minorHAnsi" w:cstheme="minorHAnsi"/>
        </w:rPr>
        <w:t>Carmoi</w:t>
      </w:r>
      <w:proofErr w:type="spellEnd"/>
      <w:r w:rsidRPr="00075B99">
        <w:rPr>
          <w:rFonts w:asciiTheme="minorHAnsi" w:hAnsiTheme="minorHAnsi" w:cstheme="minorHAnsi"/>
        </w:rPr>
        <w:t xml:space="preserve"> T, </w:t>
      </w:r>
      <w:proofErr w:type="spellStart"/>
      <w:r w:rsidRPr="00075B99">
        <w:rPr>
          <w:rFonts w:asciiTheme="minorHAnsi" w:hAnsiTheme="minorHAnsi" w:cstheme="minorHAnsi"/>
        </w:rPr>
        <w:t>Dhote</w:t>
      </w:r>
      <w:proofErr w:type="spellEnd"/>
      <w:r w:rsidRPr="00075B99">
        <w:rPr>
          <w:rFonts w:asciiTheme="minorHAnsi" w:hAnsiTheme="minorHAnsi" w:cstheme="minorHAnsi"/>
        </w:rPr>
        <w:t xml:space="preserve"> R, </w:t>
      </w:r>
      <w:proofErr w:type="spellStart"/>
      <w:r w:rsidRPr="00075B99">
        <w:rPr>
          <w:rFonts w:asciiTheme="minorHAnsi" w:hAnsiTheme="minorHAnsi" w:cstheme="minorHAnsi"/>
        </w:rPr>
        <w:t>Gerin</w:t>
      </w:r>
      <w:proofErr w:type="spellEnd"/>
      <w:r w:rsidRPr="00075B99">
        <w:rPr>
          <w:rFonts w:asciiTheme="minorHAnsi" w:hAnsiTheme="minorHAnsi" w:cstheme="minorHAnsi"/>
        </w:rPr>
        <w:t xml:space="preserve"> M, </w:t>
      </w:r>
      <w:proofErr w:type="spellStart"/>
      <w:r w:rsidRPr="00075B99">
        <w:rPr>
          <w:rFonts w:asciiTheme="minorHAnsi" w:hAnsiTheme="minorHAnsi" w:cstheme="minorHAnsi"/>
        </w:rPr>
        <w:t>Mekinian</w:t>
      </w:r>
      <w:proofErr w:type="spellEnd"/>
      <w:r w:rsidRPr="00075B99">
        <w:rPr>
          <w:rFonts w:asciiTheme="minorHAnsi" w:hAnsiTheme="minorHAnsi" w:cstheme="minorHAnsi"/>
        </w:rPr>
        <w:t xml:space="preserve"> A, Stirnemann J, Charlotte F, Farge D, Molina T, Fain O. Kikuchi-Fujimoto disease: retrospective study of 91 cases and review of the literature. Medicine (Baltimore). 2014 Nov;93(24):372-382. </w:t>
      </w:r>
      <w:proofErr w:type="spellStart"/>
      <w:r w:rsidRPr="00075B99">
        <w:rPr>
          <w:rFonts w:asciiTheme="minorHAnsi" w:hAnsiTheme="minorHAnsi" w:cstheme="minorHAnsi"/>
        </w:rPr>
        <w:t>doi</w:t>
      </w:r>
      <w:proofErr w:type="spellEnd"/>
      <w:r w:rsidRPr="00075B99">
        <w:rPr>
          <w:rFonts w:asciiTheme="minorHAnsi" w:hAnsiTheme="minorHAnsi" w:cstheme="minorHAnsi"/>
        </w:rPr>
        <w:t>: 10.1097/MD.0000000000000220. Erratum in: Medicine (Baltimore). 2014 Nov;93(24):414. PMID: 25500707; PMCID: PMC4602439.</w:t>
      </w:r>
    </w:p>
    <w:p w14:paraId="705DD51A" w14:textId="5AC54573" w:rsidR="00025902" w:rsidRDefault="00025902" w:rsidP="00025902">
      <w:pPr>
        <w:pStyle w:val="NormalWeb"/>
        <w:spacing w:before="0" w:beforeAutospacing="0" w:after="0" w:afterAutospacing="0" w:line="480" w:lineRule="auto"/>
        <w:jc w:val="both"/>
        <w:rPr>
          <w:rFonts w:asciiTheme="minorHAnsi" w:hAnsiTheme="minorHAnsi" w:cstheme="minorHAnsi"/>
        </w:rPr>
      </w:pPr>
    </w:p>
    <w:p w14:paraId="45EA2B7B" w14:textId="77777777" w:rsidR="00025902" w:rsidRPr="00025902" w:rsidRDefault="00025902" w:rsidP="00025902">
      <w:pPr>
        <w:spacing w:before="100" w:beforeAutospacing="1" w:after="100" w:afterAutospacing="1" w:line="240" w:lineRule="auto"/>
        <w:ind w:left="360"/>
        <w:rPr>
          <w:rFonts w:ascii="Times New Roman" w:eastAsia="Times New Roman" w:hAnsi="Times New Roman" w:cs="Times New Roman"/>
          <w:kern w:val="0"/>
          <w:szCs w:val="24"/>
          <w:lang w:val="en-US" w:bidi="ar-SA"/>
          <w14:ligatures w14:val="none"/>
        </w:rPr>
      </w:pPr>
      <w:r w:rsidRPr="00025902">
        <w:rPr>
          <w:rFonts w:ascii="Times New Roman" w:eastAsia="Times New Roman" w:hAnsi="Times New Roman" w:cs="Times New Roman"/>
          <w:noProof/>
          <w:kern w:val="0"/>
          <w:szCs w:val="24"/>
          <w:lang w:val="en-US" w:bidi="ar-SA"/>
          <w14:ligatures w14:val="none"/>
        </w:rPr>
        <w:lastRenderedPageBreak/>
        <w:drawing>
          <wp:inline distT="0" distB="0" distL="0" distR="0" wp14:anchorId="2957C9AA" wp14:editId="27E04544">
            <wp:extent cx="4682516" cy="3179654"/>
            <wp:effectExtent l="0" t="0" r="3810" b="1905"/>
            <wp:docPr id="1" name="Picture 1" descr="D:\Gopal Patra\Submission\2025\March\19-03-2025\lymph node kikuchi diseas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Gopal Patra\Submission\2025\March\19-03-2025\lymph node kikuchi disease.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00602" cy="3191935"/>
                    </a:xfrm>
                    <a:prstGeom prst="rect">
                      <a:avLst/>
                    </a:prstGeom>
                    <a:noFill/>
                    <a:ln>
                      <a:noFill/>
                    </a:ln>
                  </pic:spPr>
                </pic:pic>
              </a:graphicData>
            </a:graphic>
          </wp:inline>
        </w:drawing>
      </w:r>
    </w:p>
    <w:p w14:paraId="4392DE28" w14:textId="77777777" w:rsidR="00025902" w:rsidRPr="00025902" w:rsidRDefault="00025902" w:rsidP="00025902">
      <w:pPr>
        <w:spacing w:before="100" w:beforeAutospacing="1" w:after="100" w:afterAutospacing="1" w:line="240" w:lineRule="auto"/>
        <w:ind w:left="360"/>
        <w:rPr>
          <w:rFonts w:ascii="Times New Roman" w:eastAsia="Times New Roman" w:hAnsi="Times New Roman" w:cs="Times New Roman"/>
          <w:kern w:val="0"/>
          <w:szCs w:val="24"/>
          <w:lang w:val="en-US" w:bidi="ar-SA"/>
          <w14:ligatures w14:val="none"/>
        </w:rPr>
      </w:pPr>
      <w:r w:rsidRPr="00025902">
        <w:rPr>
          <w:rFonts w:ascii="Times New Roman" w:eastAsia="Times New Roman" w:hAnsi="Times New Roman" w:cs="Times New Roman"/>
          <w:kern w:val="0"/>
          <w:szCs w:val="24"/>
          <w:lang w:val="en-US" w:bidi="ar-SA"/>
          <w14:ligatures w14:val="none"/>
        </w:rPr>
        <w:t xml:space="preserve">Fig. 1. Lymph node </w:t>
      </w:r>
      <w:proofErr w:type="spellStart"/>
      <w:r w:rsidRPr="00025902">
        <w:rPr>
          <w:rFonts w:ascii="Times New Roman" w:eastAsia="Times New Roman" w:hAnsi="Times New Roman" w:cs="Times New Roman"/>
          <w:kern w:val="0"/>
          <w:szCs w:val="24"/>
          <w:lang w:val="en-US" w:bidi="ar-SA"/>
          <w14:ligatures w14:val="none"/>
        </w:rPr>
        <w:t>kikuchi</w:t>
      </w:r>
      <w:proofErr w:type="spellEnd"/>
      <w:r w:rsidRPr="00025902">
        <w:rPr>
          <w:rFonts w:ascii="Times New Roman" w:eastAsia="Times New Roman" w:hAnsi="Times New Roman" w:cs="Times New Roman"/>
          <w:kern w:val="0"/>
          <w:szCs w:val="24"/>
          <w:lang w:val="en-US" w:bidi="ar-SA"/>
          <w14:ligatures w14:val="none"/>
        </w:rPr>
        <w:t xml:space="preserve"> disease</w:t>
      </w:r>
    </w:p>
    <w:p w14:paraId="74618184" w14:textId="77777777" w:rsidR="00025902" w:rsidRPr="00025902" w:rsidRDefault="00025902" w:rsidP="00025902">
      <w:pPr>
        <w:spacing w:before="100" w:beforeAutospacing="1" w:after="100" w:afterAutospacing="1" w:line="240" w:lineRule="auto"/>
        <w:rPr>
          <w:rFonts w:ascii="Times New Roman" w:eastAsia="Times New Roman" w:hAnsi="Times New Roman" w:cs="Times New Roman"/>
          <w:kern w:val="0"/>
          <w:szCs w:val="24"/>
          <w:lang w:val="en-US" w:bidi="ar-SA"/>
          <w14:ligatures w14:val="none"/>
        </w:rPr>
      </w:pPr>
      <w:r w:rsidRPr="00025902">
        <w:rPr>
          <w:rFonts w:ascii="Times New Roman" w:eastAsia="Times New Roman" w:hAnsi="Times New Roman" w:cs="Times New Roman"/>
          <w:noProof/>
          <w:kern w:val="0"/>
          <w:szCs w:val="24"/>
          <w:lang w:val="en-US" w:bidi="ar-SA"/>
          <w14:ligatures w14:val="none"/>
        </w:rPr>
        <w:drawing>
          <wp:inline distT="0" distB="0" distL="0" distR="0" wp14:anchorId="61CE189E" wp14:editId="3A935A36">
            <wp:extent cx="3388250" cy="959812"/>
            <wp:effectExtent l="0" t="0" r="3175" b="0"/>
            <wp:docPr id="3" name="Picture 3" descr="D:\Gopal Patra\Submission\2025\March\19-03-2025\oncopathology re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Gopal Patra\Submission\2025\March\19-03-2025\oncopathology report.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17288" cy="968038"/>
                    </a:xfrm>
                    <a:prstGeom prst="rect">
                      <a:avLst/>
                    </a:prstGeom>
                    <a:noFill/>
                    <a:ln>
                      <a:noFill/>
                    </a:ln>
                  </pic:spPr>
                </pic:pic>
              </a:graphicData>
            </a:graphic>
          </wp:inline>
        </w:drawing>
      </w:r>
    </w:p>
    <w:p w14:paraId="5BB28EC0" w14:textId="77777777" w:rsidR="00025902" w:rsidRPr="00025902" w:rsidRDefault="00025902" w:rsidP="00025902">
      <w:pPr>
        <w:spacing w:before="100" w:beforeAutospacing="1" w:after="100" w:afterAutospacing="1" w:line="240" w:lineRule="auto"/>
        <w:ind w:left="360"/>
        <w:rPr>
          <w:rFonts w:ascii="Times New Roman" w:eastAsia="Times New Roman" w:hAnsi="Times New Roman" w:cs="Times New Roman"/>
          <w:kern w:val="0"/>
          <w:szCs w:val="24"/>
          <w:lang w:val="en-US" w:bidi="ar-SA"/>
          <w14:ligatures w14:val="none"/>
        </w:rPr>
      </w:pPr>
      <w:r w:rsidRPr="00025902">
        <w:rPr>
          <w:rFonts w:ascii="Times New Roman" w:eastAsia="Times New Roman" w:hAnsi="Times New Roman" w:cs="Times New Roman"/>
          <w:kern w:val="0"/>
          <w:szCs w:val="24"/>
          <w:lang w:val="en-US" w:bidi="ar-SA"/>
          <w14:ligatures w14:val="none"/>
        </w:rPr>
        <w:t xml:space="preserve">Fig. 2. </w:t>
      </w:r>
      <w:proofErr w:type="spellStart"/>
      <w:r w:rsidRPr="00025902">
        <w:rPr>
          <w:rFonts w:ascii="Times New Roman" w:eastAsia="Times New Roman" w:hAnsi="Times New Roman" w:cs="Times New Roman"/>
          <w:kern w:val="0"/>
          <w:szCs w:val="24"/>
          <w:lang w:val="en-US" w:bidi="ar-SA"/>
          <w14:ligatures w14:val="none"/>
        </w:rPr>
        <w:t>Oncopathology</w:t>
      </w:r>
      <w:proofErr w:type="spellEnd"/>
      <w:r w:rsidRPr="00025902">
        <w:rPr>
          <w:rFonts w:ascii="Times New Roman" w:eastAsia="Times New Roman" w:hAnsi="Times New Roman" w:cs="Times New Roman"/>
          <w:kern w:val="0"/>
          <w:szCs w:val="24"/>
          <w:lang w:val="en-US" w:bidi="ar-SA"/>
          <w14:ligatures w14:val="none"/>
        </w:rPr>
        <w:t xml:space="preserve"> report </w:t>
      </w:r>
    </w:p>
    <w:p w14:paraId="6C1B47DF" w14:textId="77777777" w:rsidR="00025902" w:rsidRPr="00025902" w:rsidRDefault="00025902" w:rsidP="00025902">
      <w:pPr>
        <w:spacing w:before="100" w:beforeAutospacing="1" w:after="100" w:afterAutospacing="1" w:line="240" w:lineRule="auto"/>
        <w:ind w:left="360"/>
        <w:rPr>
          <w:rFonts w:ascii="Times New Roman" w:eastAsia="Times New Roman" w:hAnsi="Times New Roman" w:cs="Times New Roman"/>
          <w:kern w:val="0"/>
          <w:szCs w:val="24"/>
          <w:lang w:val="en-US" w:bidi="ar-SA"/>
          <w14:ligatures w14:val="none"/>
        </w:rPr>
      </w:pPr>
    </w:p>
    <w:p w14:paraId="6DA113F8" w14:textId="77777777" w:rsidR="00025902" w:rsidRPr="00025902" w:rsidRDefault="00025902" w:rsidP="00025902">
      <w:pPr>
        <w:spacing w:before="100" w:beforeAutospacing="1" w:after="100" w:afterAutospacing="1" w:line="240" w:lineRule="auto"/>
        <w:rPr>
          <w:rFonts w:ascii="Times New Roman" w:eastAsia="Times New Roman" w:hAnsi="Times New Roman" w:cs="Times New Roman"/>
          <w:kern w:val="0"/>
          <w:szCs w:val="24"/>
          <w:lang w:val="en-US" w:bidi="ar-SA"/>
          <w14:ligatures w14:val="none"/>
        </w:rPr>
      </w:pPr>
      <w:r w:rsidRPr="00025902">
        <w:rPr>
          <w:rFonts w:ascii="Times New Roman" w:eastAsia="Times New Roman" w:hAnsi="Times New Roman" w:cs="Times New Roman"/>
          <w:noProof/>
          <w:kern w:val="0"/>
          <w:szCs w:val="24"/>
          <w:lang w:val="en-US" w:bidi="ar-SA"/>
          <w14:ligatures w14:val="none"/>
        </w:rPr>
        <w:drawing>
          <wp:inline distT="0" distB="0" distL="0" distR="0" wp14:anchorId="41F8AA46" wp14:editId="7BA92567">
            <wp:extent cx="4039912" cy="1239874"/>
            <wp:effectExtent l="0" t="0" r="0" b="0"/>
            <wp:docPr id="2" name="Picture 2" descr="D:\Gopal Patra\Submission\2025\March\19-03-2025\oncopathology repor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Gopal Patra\Submission\2025\March\19-03-2025\oncopathology report 2.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38250" cy="1270055"/>
                    </a:xfrm>
                    <a:prstGeom prst="rect">
                      <a:avLst/>
                    </a:prstGeom>
                    <a:noFill/>
                    <a:ln>
                      <a:noFill/>
                    </a:ln>
                  </pic:spPr>
                </pic:pic>
              </a:graphicData>
            </a:graphic>
          </wp:inline>
        </w:drawing>
      </w:r>
    </w:p>
    <w:p w14:paraId="578808E7" w14:textId="77777777" w:rsidR="00025902" w:rsidRPr="00025902" w:rsidRDefault="00025902" w:rsidP="00025902">
      <w:pPr>
        <w:spacing w:before="100" w:beforeAutospacing="1" w:after="100" w:afterAutospacing="1" w:line="240" w:lineRule="auto"/>
        <w:rPr>
          <w:rFonts w:ascii="Times New Roman" w:eastAsia="Times New Roman" w:hAnsi="Times New Roman" w:cs="Times New Roman"/>
          <w:kern w:val="0"/>
          <w:szCs w:val="24"/>
          <w:lang w:val="en-US" w:bidi="ar-SA"/>
          <w14:ligatures w14:val="none"/>
        </w:rPr>
      </w:pPr>
    </w:p>
    <w:p w14:paraId="18CA70D8" w14:textId="77777777" w:rsidR="00025902" w:rsidRPr="00025902" w:rsidRDefault="00025902" w:rsidP="00025902">
      <w:pPr>
        <w:spacing w:before="100" w:beforeAutospacing="1" w:after="100" w:afterAutospacing="1" w:line="240" w:lineRule="auto"/>
        <w:rPr>
          <w:rFonts w:ascii="Times New Roman" w:eastAsia="Times New Roman" w:hAnsi="Times New Roman" w:cs="Times New Roman"/>
          <w:kern w:val="0"/>
          <w:szCs w:val="24"/>
          <w:lang w:val="en-US" w:bidi="ar-SA"/>
          <w14:ligatures w14:val="none"/>
        </w:rPr>
      </w:pPr>
      <w:r w:rsidRPr="00025902">
        <w:rPr>
          <w:rFonts w:ascii="Times New Roman" w:eastAsia="Times New Roman" w:hAnsi="Times New Roman" w:cs="Times New Roman"/>
          <w:kern w:val="0"/>
          <w:szCs w:val="24"/>
          <w:lang w:val="en-US" w:bidi="ar-SA"/>
          <w14:ligatures w14:val="none"/>
        </w:rPr>
        <w:t xml:space="preserve">Fig. 3. </w:t>
      </w:r>
      <w:proofErr w:type="spellStart"/>
      <w:r w:rsidRPr="00025902">
        <w:rPr>
          <w:rFonts w:ascii="Times New Roman" w:eastAsia="Times New Roman" w:hAnsi="Times New Roman" w:cs="Times New Roman"/>
          <w:kern w:val="0"/>
          <w:szCs w:val="24"/>
          <w:lang w:val="en-US" w:bidi="ar-SA"/>
          <w14:ligatures w14:val="none"/>
        </w:rPr>
        <w:t>Oncopathology</w:t>
      </w:r>
      <w:proofErr w:type="spellEnd"/>
      <w:r w:rsidRPr="00025902">
        <w:rPr>
          <w:rFonts w:ascii="Times New Roman" w:eastAsia="Times New Roman" w:hAnsi="Times New Roman" w:cs="Times New Roman"/>
          <w:kern w:val="0"/>
          <w:szCs w:val="24"/>
          <w:lang w:val="en-US" w:bidi="ar-SA"/>
          <w14:ligatures w14:val="none"/>
        </w:rPr>
        <w:t xml:space="preserve"> report 2</w:t>
      </w:r>
    </w:p>
    <w:p w14:paraId="5D06221F" w14:textId="77777777" w:rsidR="00025902" w:rsidRPr="00075B99" w:rsidRDefault="00025902" w:rsidP="00025902">
      <w:pPr>
        <w:pStyle w:val="NormalWeb"/>
        <w:spacing w:before="0" w:beforeAutospacing="0" w:after="0" w:afterAutospacing="0" w:line="480" w:lineRule="auto"/>
        <w:jc w:val="both"/>
        <w:rPr>
          <w:rFonts w:asciiTheme="minorHAnsi" w:hAnsiTheme="minorHAnsi" w:cstheme="minorHAnsi"/>
        </w:rPr>
      </w:pPr>
    </w:p>
    <w:p w14:paraId="3D477790" w14:textId="77777777" w:rsidR="004455D5" w:rsidRDefault="004455D5"/>
    <w:p w14:paraId="3ED028AD" w14:textId="77777777" w:rsidR="004455D5" w:rsidRDefault="004455D5"/>
    <w:p w14:paraId="158E381E" w14:textId="77777777" w:rsidR="004455D5" w:rsidRDefault="004455D5"/>
    <w:sectPr w:rsidR="004455D5">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DA7366" w14:textId="77777777" w:rsidR="00135C4C" w:rsidRDefault="00135C4C" w:rsidP="008579BF">
      <w:pPr>
        <w:spacing w:after="0" w:line="240" w:lineRule="auto"/>
      </w:pPr>
      <w:r>
        <w:separator/>
      </w:r>
    </w:p>
  </w:endnote>
  <w:endnote w:type="continuationSeparator" w:id="0">
    <w:p w14:paraId="680ECC30" w14:textId="77777777" w:rsidR="00135C4C" w:rsidRDefault="00135C4C" w:rsidP="00857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5F61F" w14:textId="77777777" w:rsidR="00EE6233" w:rsidRDefault="00EE62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37727" w14:textId="77777777" w:rsidR="00EE6233" w:rsidRDefault="00EE62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CC911" w14:textId="77777777" w:rsidR="00EE6233" w:rsidRDefault="00EE62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A5A5D" w14:textId="77777777" w:rsidR="00135C4C" w:rsidRDefault="00135C4C" w:rsidP="008579BF">
      <w:pPr>
        <w:spacing w:after="0" w:line="240" w:lineRule="auto"/>
      </w:pPr>
      <w:r>
        <w:separator/>
      </w:r>
    </w:p>
  </w:footnote>
  <w:footnote w:type="continuationSeparator" w:id="0">
    <w:p w14:paraId="03D96F4F" w14:textId="77777777" w:rsidR="00135C4C" w:rsidRDefault="00135C4C" w:rsidP="008579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1D27A" w14:textId="0AF3103B" w:rsidR="00EE6233" w:rsidRDefault="00EE6233">
    <w:pPr>
      <w:pStyle w:val="Header"/>
    </w:pPr>
    <w:r>
      <w:rPr>
        <w:noProof/>
      </w:rPr>
      <w:pict w14:anchorId="2BFFAF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32678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CA499" w14:textId="7F687A56" w:rsidR="00EE6233" w:rsidRDefault="00EE6233">
    <w:pPr>
      <w:pStyle w:val="Header"/>
    </w:pPr>
    <w:r>
      <w:rPr>
        <w:noProof/>
      </w:rPr>
      <w:pict w14:anchorId="66D473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32678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FD0DC" w14:textId="67A1E397" w:rsidR="00EE6233" w:rsidRDefault="00EE6233">
    <w:pPr>
      <w:pStyle w:val="Header"/>
    </w:pPr>
    <w:r>
      <w:rPr>
        <w:noProof/>
      </w:rPr>
      <w:pict w14:anchorId="04CDD6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32678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0243B"/>
    <w:multiLevelType w:val="multilevel"/>
    <w:tmpl w:val="3536B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A3B95"/>
    <w:multiLevelType w:val="multilevel"/>
    <w:tmpl w:val="FAC85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BA7BA7"/>
    <w:multiLevelType w:val="multilevel"/>
    <w:tmpl w:val="27E6F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7F4FDC"/>
    <w:multiLevelType w:val="multilevel"/>
    <w:tmpl w:val="C2B63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3E40D4"/>
    <w:multiLevelType w:val="multilevel"/>
    <w:tmpl w:val="734C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777A33"/>
    <w:multiLevelType w:val="multilevel"/>
    <w:tmpl w:val="961E9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7F6A53"/>
    <w:multiLevelType w:val="multilevel"/>
    <w:tmpl w:val="72A00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661466"/>
    <w:multiLevelType w:val="multilevel"/>
    <w:tmpl w:val="672A2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D772EA"/>
    <w:multiLevelType w:val="multilevel"/>
    <w:tmpl w:val="79AC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514E66"/>
    <w:multiLevelType w:val="multilevel"/>
    <w:tmpl w:val="E9F02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AC664B"/>
    <w:multiLevelType w:val="multilevel"/>
    <w:tmpl w:val="3BB2A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1E7A65"/>
    <w:multiLevelType w:val="multilevel"/>
    <w:tmpl w:val="8FEAA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5A53BC"/>
    <w:multiLevelType w:val="multilevel"/>
    <w:tmpl w:val="36F021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521C80"/>
    <w:multiLevelType w:val="multilevel"/>
    <w:tmpl w:val="2D882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492067"/>
    <w:multiLevelType w:val="multilevel"/>
    <w:tmpl w:val="7B481A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96704C"/>
    <w:multiLevelType w:val="multilevel"/>
    <w:tmpl w:val="CC0EA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A9798E"/>
    <w:multiLevelType w:val="multilevel"/>
    <w:tmpl w:val="04CC4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1969E4"/>
    <w:multiLevelType w:val="multilevel"/>
    <w:tmpl w:val="4080F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217BB2"/>
    <w:multiLevelType w:val="multilevel"/>
    <w:tmpl w:val="5A6C7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FB4596"/>
    <w:multiLevelType w:val="multilevel"/>
    <w:tmpl w:val="8D464C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985105"/>
    <w:multiLevelType w:val="multilevel"/>
    <w:tmpl w:val="00422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952A75"/>
    <w:multiLevelType w:val="multilevel"/>
    <w:tmpl w:val="F6C8E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DB7794"/>
    <w:multiLevelType w:val="multilevel"/>
    <w:tmpl w:val="8B944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0"/>
  </w:num>
  <w:num w:numId="4">
    <w:abstractNumId w:val="21"/>
  </w:num>
  <w:num w:numId="5">
    <w:abstractNumId w:val="7"/>
  </w:num>
  <w:num w:numId="6">
    <w:abstractNumId w:val="20"/>
  </w:num>
  <w:num w:numId="7">
    <w:abstractNumId w:val="3"/>
  </w:num>
  <w:num w:numId="8">
    <w:abstractNumId w:val="14"/>
  </w:num>
  <w:num w:numId="9">
    <w:abstractNumId w:val="4"/>
  </w:num>
  <w:num w:numId="10">
    <w:abstractNumId w:val="2"/>
  </w:num>
  <w:num w:numId="11">
    <w:abstractNumId w:val="12"/>
  </w:num>
  <w:num w:numId="12">
    <w:abstractNumId w:val="18"/>
  </w:num>
  <w:num w:numId="13">
    <w:abstractNumId w:val="15"/>
  </w:num>
  <w:num w:numId="14">
    <w:abstractNumId w:val="9"/>
  </w:num>
  <w:num w:numId="15">
    <w:abstractNumId w:val="13"/>
  </w:num>
  <w:num w:numId="16">
    <w:abstractNumId w:val="22"/>
  </w:num>
  <w:num w:numId="17">
    <w:abstractNumId w:val="5"/>
  </w:num>
  <w:num w:numId="18">
    <w:abstractNumId w:val="19"/>
  </w:num>
  <w:num w:numId="19">
    <w:abstractNumId w:val="11"/>
  </w:num>
  <w:num w:numId="20">
    <w:abstractNumId w:val="8"/>
  </w:num>
  <w:num w:numId="21">
    <w:abstractNumId w:val="10"/>
  </w:num>
  <w:num w:numId="22">
    <w:abstractNumId w:val="17"/>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E7C"/>
    <w:rsid w:val="00025902"/>
    <w:rsid w:val="00075B99"/>
    <w:rsid w:val="00080F28"/>
    <w:rsid w:val="000C5AAA"/>
    <w:rsid w:val="000C6E27"/>
    <w:rsid w:val="001166A6"/>
    <w:rsid w:val="001323D8"/>
    <w:rsid w:val="00135C4C"/>
    <w:rsid w:val="001703BA"/>
    <w:rsid w:val="001714C5"/>
    <w:rsid w:val="001B5490"/>
    <w:rsid w:val="002D0049"/>
    <w:rsid w:val="002F4F91"/>
    <w:rsid w:val="00314A0B"/>
    <w:rsid w:val="00333A3B"/>
    <w:rsid w:val="003B3B1A"/>
    <w:rsid w:val="003C0E7C"/>
    <w:rsid w:val="00410B68"/>
    <w:rsid w:val="004455D5"/>
    <w:rsid w:val="004722CF"/>
    <w:rsid w:val="004D24AC"/>
    <w:rsid w:val="004E4B91"/>
    <w:rsid w:val="004E6892"/>
    <w:rsid w:val="00534395"/>
    <w:rsid w:val="00657FC2"/>
    <w:rsid w:val="00677C36"/>
    <w:rsid w:val="006C64FF"/>
    <w:rsid w:val="006D2B82"/>
    <w:rsid w:val="006F1E57"/>
    <w:rsid w:val="00787BAB"/>
    <w:rsid w:val="007B6C51"/>
    <w:rsid w:val="007E3E50"/>
    <w:rsid w:val="00825932"/>
    <w:rsid w:val="008579BF"/>
    <w:rsid w:val="008722C8"/>
    <w:rsid w:val="008B0104"/>
    <w:rsid w:val="008B7377"/>
    <w:rsid w:val="00916768"/>
    <w:rsid w:val="00920B3C"/>
    <w:rsid w:val="009717D0"/>
    <w:rsid w:val="009E0E11"/>
    <w:rsid w:val="00A91DA1"/>
    <w:rsid w:val="00A941EA"/>
    <w:rsid w:val="00AE0527"/>
    <w:rsid w:val="00B2228C"/>
    <w:rsid w:val="00CD5C5A"/>
    <w:rsid w:val="00D003E1"/>
    <w:rsid w:val="00D70F63"/>
    <w:rsid w:val="00D84CE4"/>
    <w:rsid w:val="00D87D45"/>
    <w:rsid w:val="00E971A6"/>
    <w:rsid w:val="00EE6233"/>
    <w:rsid w:val="00F705D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B65CDFB"/>
  <w15:chartTrackingRefBased/>
  <w15:docId w15:val="{D5BE2540-EC19-44A7-91C9-1D75C1790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1"/>
        <w:lang w:val="en-IN" w:eastAsia="en-US" w:bidi="hi-IN"/>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0E7C"/>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3C0E7C"/>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3C0E7C"/>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3C0E7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C0E7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C0E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0E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0E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0E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0E7C"/>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3C0E7C"/>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3C0E7C"/>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3C0E7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C0E7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C0E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0E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0E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0E7C"/>
    <w:rPr>
      <w:rFonts w:eastAsiaTheme="majorEastAsia" w:cstheme="majorBidi"/>
      <w:color w:val="272727" w:themeColor="text1" w:themeTint="D8"/>
    </w:rPr>
  </w:style>
  <w:style w:type="paragraph" w:styleId="Title">
    <w:name w:val="Title"/>
    <w:basedOn w:val="Normal"/>
    <w:next w:val="Normal"/>
    <w:link w:val="TitleChar"/>
    <w:uiPriority w:val="10"/>
    <w:qFormat/>
    <w:rsid w:val="003C0E7C"/>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3C0E7C"/>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3C0E7C"/>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3C0E7C"/>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3C0E7C"/>
    <w:pPr>
      <w:spacing w:before="160"/>
      <w:jc w:val="center"/>
    </w:pPr>
    <w:rPr>
      <w:i/>
      <w:iCs/>
      <w:color w:val="404040" w:themeColor="text1" w:themeTint="BF"/>
    </w:rPr>
  </w:style>
  <w:style w:type="character" w:customStyle="1" w:styleId="QuoteChar">
    <w:name w:val="Quote Char"/>
    <w:basedOn w:val="DefaultParagraphFont"/>
    <w:link w:val="Quote"/>
    <w:uiPriority w:val="29"/>
    <w:rsid w:val="003C0E7C"/>
    <w:rPr>
      <w:i/>
      <w:iCs/>
      <w:color w:val="404040" w:themeColor="text1" w:themeTint="BF"/>
    </w:rPr>
  </w:style>
  <w:style w:type="paragraph" w:styleId="ListParagraph">
    <w:name w:val="List Paragraph"/>
    <w:basedOn w:val="Normal"/>
    <w:uiPriority w:val="34"/>
    <w:qFormat/>
    <w:rsid w:val="003C0E7C"/>
    <w:pPr>
      <w:ind w:left="720"/>
      <w:contextualSpacing/>
    </w:pPr>
  </w:style>
  <w:style w:type="character" w:styleId="IntenseEmphasis">
    <w:name w:val="Intense Emphasis"/>
    <w:basedOn w:val="DefaultParagraphFont"/>
    <w:uiPriority w:val="21"/>
    <w:qFormat/>
    <w:rsid w:val="003C0E7C"/>
    <w:rPr>
      <w:i/>
      <w:iCs/>
      <w:color w:val="2F5496" w:themeColor="accent1" w:themeShade="BF"/>
    </w:rPr>
  </w:style>
  <w:style w:type="paragraph" w:styleId="IntenseQuote">
    <w:name w:val="Intense Quote"/>
    <w:basedOn w:val="Normal"/>
    <w:next w:val="Normal"/>
    <w:link w:val="IntenseQuoteChar"/>
    <w:uiPriority w:val="30"/>
    <w:qFormat/>
    <w:rsid w:val="003C0E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C0E7C"/>
    <w:rPr>
      <w:i/>
      <w:iCs/>
      <w:color w:val="2F5496" w:themeColor="accent1" w:themeShade="BF"/>
    </w:rPr>
  </w:style>
  <w:style w:type="character" w:styleId="IntenseReference">
    <w:name w:val="Intense Reference"/>
    <w:basedOn w:val="DefaultParagraphFont"/>
    <w:uiPriority w:val="32"/>
    <w:qFormat/>
    <w:rsid w:val="003C0E7C"/>
    <w:rPr>
      <w:b/>
      <w:bCs/>
      <w:smallCaps/>
      <w:color w:val="2F5496" w:themeColor="accent1" w:themeShade="BF"/>
      <w:spacing w:val="5"/>
    </w:rPr>
  </w:style>
  <w:style w:type="paragraph" w:styleId="Header">
    <w:name w:val="header"/>
    <w:basedOn w:val="Normal"/>
    <w:link w:val="HeaderChar"/>
    <w:uiPriority w:val="99"/>
    <w:unhideWhenUsed/>
    <w:rsid w:val="008579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9BF"/>
  </w:style>
  <w:style w:type="paragraph" w:styleId="Footer">
    <w:name w:val="footer"/>
    <w:basedOn w:val="Normal"/>
    <w:link w:val="FooterChar"/>
    <w:uiPriority w:val="99"/>
    <w:unhideWhenUsed/>
    <w:rsid w:val="008579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79BF"/>
  </w:style>
  <w:style w:type="character" w:styleId="Hyperlink">
    <w:name w:val="Hyperlink"/>
    <w:basedOn w:val="DefaultParagraphFont"/>
    <w:uiPriority w:val="99"/>
    <w:unhideWhenUsed/>
    <w:rsid w:val="00A91DA1"/>
    <w:rPr>
      <w:color w:val="0563C1" w:themeColor="hyperlink"/>
      <w:u w:val="single"/>
    </w:rPr>
  </w:style>
  <w:style w:type="character" w:styleId="UnresolvedMention">
    <w:name w:val="Unresolved Mention"/>
    <w:basedOn w:val="DefaultParagraphFont"/>
    <w:uiPriority w:val="99"/>
    <w:semiHidden/>
    <w:unhideWhenUsed/>
    <w:rsid w:val="00A91DA1"/>
    <w:rPr>
      <w:color w:val="605E5C"/>
      <w:shd w:val="clear" w:color="auto" w:fill="E1DFDD"/>
    </w:rPr>
  </w:style>
  <w:style w:type="paragraph" w:styleId="NormalWeb">
    <w:name w:val="Normal (Web)"/>
    <w:basedOn w:val="Normal"/>
    <w:uiPriority w:val="99"/>
    <w:unhideWhenUsed/>
    <w:rsid w:val="006C64FF"/>
    <w:pPr>
      <w:spacing w:before="100" w:beforeAutospacing="1" w:after="100" w:afterAutospacing="1" w:line="240" w:lineRule="auto"/>
    </w:pPr>
    <w:rPr>
      <w:rFonts w:ascii="Times New Roman" w:eastAsia="Times New Roman" w:hAnsi="Times New Roman" w:cs="Times New Roman"/>
      <w:kern w:val="0"/>
      <w:szCs w:val="24"/>
      <w:lang w:eastAsia="en-IN"/>
      <w14:ligatures w14:val="none"/>
    </w:rPr>
  </w:style>
  <w:style w:type="character" w:customStyle="1" w:styleId="url">
    <w:name w:val="url"/>
    <w:basedOn w:val="DefaultParagraphFont"/>
    <w:rsid w:val="006C6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165272">
      <w:bodyDiv w:val="1"/>
      <w:marLeft w:val="0"/>
      <w:marRight w:val="0"/>
      <w:marTop w:val="0"/>
      <w:marBottom w:val="0"/>
      <w:divBdr>
        <w:top w:val="none" w:sz="0" w:space="0" w:color="auto"/>
        <w:left w:val="none" w:sz="0" w:space="0" w:color="auto"/>
        <w:bottom w:val="none" w:sz="0" w:space="0" w:color="auto"/>
        <w:right w:val="none" w:sz="0" w:space="0" w:color="auto"/>
      </w:divBdr>
    </w:div>
    <w:div w:id="212011907">
      <w:bodyDiv w:val="1"/>
      <w:marLeft w:val="0"/>
      <w:marRight w:val="0"/>
      <w:marTop w:val="0"/>
      <w:marBottom w:val="0"/>
      <w:divBdr>
        <w:top w:val="none" w:sz="0" w:space="0" w:color="auto"/>
        <w:left w:val="none" w:sz="0" w:space="0" w:color="auto"/>
        <w:bottom w:val="none" w:sz="0" w:space="0" w:color="auto"/>
        <w:right w:val="none" w:sz="0" w:space="0" w:color="auto"/>
      </w:divBdr>
    </w:div>
    <w:div w:id="287323366">
      <w:bodyDiv w:val="1"/>
      <w:marLeft w:val="0"/>
      <w:marRight w:val="0"/>
      <w:marTop w:val="0"/>
      <w:marBottom w:val="0"/>
      <w:divBdr>
        <w:top w:val="none" w:sz="0" w:space="0" w:color="auto"/>
        <w:left w:val="none" w:sz="0" w:space="0" w:color="auto"/>
        <w:bottom w:val="none" w:sz="0" w:space="0" w:color="auto"/>
        <w:right w:val="none" w:sz="0" w:space="0" w:color="auto"/>
      </w:divBdr>
    </w:div>
    <w:div w:id="421875064">
      <w:bodyDiv w:val="1"/>
      <w:marLeft w:val="0"/>
      <w:marRight w:val="0"/>
      <w:marTop w:val="0"/>
      <w:marBottom w:val="0"/>
      <w:divBdr>
        <w:top w:val="none" w:sz="0" w:space="0" w:color="auto"/>
        <w:left w:val="none" w:sz="0" w:space="0" w:color="auto"/>
        <w:bottom w:val="none" w:sz="0" w:space="0" w:color="auto"/>
        <w:right w:val="none" w:sz="0" w:space="0" w:color="auto"/>
      </w:divBdr>
    </w:div>
    <w:div w:id="599877004">
      <w:bodyDiv w:val="1"/>
      <w:marLeft w:val="0"/>
      <w:marRight w:val="0"/>
      <w:marTop w:val="0"/>
      <w:marBottom w:val="0"/>
      <w:divBdr>
        <w:top w:val="none" w:sz="0" w:space="0" w:color="auto"/>
        <w:left w:val="none" w:sz="0" w:space="0" w:color="auto"/>
        <w:bottom w:val="none" w:sz="0" w:space="0" w:color="auto"/>
        <w:right w:val="none" w:sz="0" w:space="0" w:color="auto"/>
      </w:divBdr>
      <w:divsChild>
        <w:div w:id="797066522">
          <w:marLeft w:val="-720"/>
          <w:marRight w:val="0"/>
          <w:marTop w:val="0"/>
          <w:marBottom w:val="0"/>
          <w:divBdr>
            <w:top w:val="none" w:sz="0" w:space="0" w:color="auto"/>
            <w:left w:val="none" w:sz="0" w:space="0" w:color="auto"/>
            <w:bottom w:val="none" w:sz="0" w:space="0" w:color="auto"/>
            <w:right w:val="none" w:sz="0" w:space="0" w:color="auto"/>
          </w:divBdr>
        </w:div>
      </w:divsChild>
    </w:div>
    <w:div w:id="690497881">
      <w:bodyDiv w:val="1"/>
      <w:marLeft w:val="0"/>
      <w:marRight w:val="0"/>
      <w:marTop w:val="0"/>
      <w:marBottom w:val="0"/>
      <w:divBdr>
        <w:top w:val="none" w:sz="0" w:space="0" w:color="auto"/>
        <w:left w:val="none" w:sz="0" w:space="0" w:color="auto"/>
        <w:bottom w:val="none" w:sz="0" w:space="0" w:color="auto"/>
        <w:right w:val="none" w:sz="0" w:space="0" w:color="auto"/>
      </w:divBdr>
    </w:div>
    <w:div w:id="1163011923">
      <w:bodyDiv w:val="1"/>
      <w:marLeft w:val="0"/>
      <w:marRight w:val="0"/>
      <w:marTop w:val="0"/>
      <w:marBottom w:val="0"/>
      <w:divBdr>
        <w:top w:val="none" w:sz="0" w:space="0" w:color="auto"/>
        <w:left w:val="none" w:sz="0" w:space="0" w:color="auto"/>
        <w:bottom w:val="none" w:sz="0" w:space="0" w:color="auto"/>
        <w:right w:val="none" w:sz="0" w:space="0" w:color="auto"/>
      </w:divBdr>
    </w:div>
    <w:div w:id="1209873397">
      <w:bodyDiv w:val="1"/>
      <w:marLeft w:val="0"/>
      <w:marRight w:val="0"/>
      <w:marTop w:val="0"/>
      <w:marBottom w:val="0"/>
      <w:divBdr>
        <w:top w:val="none" w:sz="0" w:space="0" w:color="auto"/>
        <w:left w:val="none" w:sz="0" w:space="0" w:color="auto"/>
        <w:bottom w:val="none" w:sz="0" w:space="0" w:color="auto"/>
        <w:right w:val="none" w:sz="0" w:space="0" w:color="auto"/>
      </w:divBdr>
    </w:div>
    <w:div w:id="1275752594">
      <w:bodyDiv w:val="1"/>
      <w:marLeft w:val="0"/>
      <w:marRight w:val="0"/>
      <w:marTop w:val="0"/>
      <w:marBottom w:val="0"/>
      <w:divBdr>
        <w:top w:val="none" w:sz="0" w:space="0" w:color="auto"/>
        <w:left w:val="none" w:sz="0" w:space="0" w:color="auto"/>
        <w:bottom w:val="none" w:sz="0" w:space="0" w:color="auto"/>
        <w:right w:val="none" w:sz="0" w:space="0" w:color="auto"/>
      </w:divBdr>
      <w:divsChild>
        <w:div w:id="223105145">
          <w:marLeft w:val="-720"/>
          <w:marRight w:val="0"/>
          <w:marTop w:val="0"/>
          <w:marBottom w:val="0"/>
          <w:divBdr>
            <w:top w:val="none" w:sz="0" w:space="0" w:color="auto"/>
            <w:left w:val="none" w:sz="0" w:space="0" w:color="auto"/>
            <w:bottom w:val="none" w:sz="0" w:space="0" w:color="auto"/>
            <w:right w:val="none" w:sz="0" w:space="0" w:color="auto"/>
          </w:divBdr>
        </w:div>
      </w:divsChild>
    </w:div>
    <w:div w:id="1297755460">
      <w:bodyDiv w:val="1"/>
      <w:marLeft w:val="0"/>
      <w:marRight w:val="0"/>
      <w:marTop w:val="0"/>
      <w:marBottom w:val="0"/>
      <w:divBdr>
        <w:top w:val="none" w:sz="0" w:space="0" w:color="auto"/>
        <w:left w:val="none" w:sz="0" w:space="0" w:color="auto"/>
        <w:bottom w:val="none" w:sz="0" w:space="0" w:color="auto"/>
        <w:right w:val="none" w:sz="0" w:space="0" w:color="auto"/>
      </w:divBdr>
    </w:div>
    <w:div w:id="1305089187">
      <w:bodyDiv w:val="1"/>
      <w:marLeft w:val="0"/>
      <w:marRight w:val="0"/>
      <w:marTop w:val="0"/>
      <w:marBottom w:val="0"/>
      <w:divBdr>
        <w:top w:val="none" w:sz="0" w:space="0" w:color="auto"/>
        <w:left w:val="none" w:sz="0" w:space="0" w:color="auto"/>
        <w:bottom w:val="none" w:sz="0" w:space="0" w:color="auto"/>
        <w:right w:val="none" w:sz="0" w:space="0" w:color="auto"/>
      </w:divBdr>
    </w:div>
    <w:div w:id="1312560830">
      <w:bodyDiv w:val="1"/>
      <w:marLeft w:val="0"/>
      <w:marRight w:val="0"/>
      <w:marTop w:val="0"/>
      <w:marBottom w:val="0"/>
      <w:divBdr>
        <w:top w:val="none" w:sz="0" w:space="0" w:color="auto"/>
        <w:left w:val="none" w:sz="0" w:space="0" w:color="auto"/>
        <w:bottom w:val="none" w:sz="0" w:space="0" w:color="auto"/>
        <w:right w:val="none" w:sz="0" w:space="0" w:color="auto"/>
      </w:divBdr>
    </w:div>
    <w:div w:id="1500268421">
      <w:bodyDiv w:val="1"/>
      <w:marLeft w:val="0"/>
      <w:marRight w:val="0"/>
      <w:marTop w:val="0"/>
      <w:marBottom w:val="0"/>
      <w:divBdr>
        <w:top w:val="none" w:sz="0" w:space="0" w:color="auto"/>
        <w:left w:val="none" w:sz="0" w:space="0" w:color="auto"/>
        <w:bottom w:val="none" w:sz="0" w:space="0" w:color="auto"/>
        <w:right w:val="none" w:sz="0" w:space="0" w:color="auto"/>
      </w:divBdr>
    </w:div>
    <w:div w:id="1737193885">
      <w:bodyDiv w:val="1"/>
      <w:marLeft w:val="0"/>
      <w:marRight w:val="0"/>
      <w:marTop w:val="0"/>
      <w:marBottom w:val="0"/>
      <w:divBdr>
        <w:top w:val="none" w:sz="0" w:space="0" w:color="auto"/>
        <w:left w:val="none" w:sz="0" w:space="0" w:color="auto"/>
        <w:bottom w:val="none" w:sz="0" w:space="0" w:color="auto"/>
        <w:right w:val="none" w:sz="0" w:space="0" w:color="auto"/>
      </w:divBdr>
    </w:div>
    <w:div w:id="1753425209">
      <w:bodyDiv w:val="1"/>
      <w:marLeft w:val="0"/>
      <w:marRight w:val="0"/>
      <w:marTop w:val="0"/>
      <w:marBottom w:val="0"/>
      <w:divBdr>
        <w:top w:val="none" w:sz="0" w:space="0" w:color="auto"/>
        <w:left w:val="none" w:sz="0" w:space="0" w:color="auto"/>
        <w:bottom w:val="none" w:sz="0" w:space="0" w:color="auto"/>
        <w:right w:val="none" w:sz="0" w:space="0" w:color="auto"/>
      </w:divBdr>
    </w:div>
    <w:div w:id="1835335943">
      <w:bodyDiv w:val="1"/>
      <w:marLeft w:val="0"/>
      <w:marRight w:val="0"/>
      <w:marTop w:val="0"/>
      <w:marBottom w:val="0"/>
      <w:divBdr>
        <w:top w:val="none" w:sz="0" w:space="0" w:color="auto"/>
        <w:left w:val="none" w:sz="0" w:space="0" w:color="auto"/>
        <w:bottom w:val="none" w:sz="0" w:space="0" w:color="auto"/>
        <w:right w:val="none" w:sz="0" w:space="0" w:color="auto"/>
      </w:divBdr>
    </w:div>
    <w:div w:id="1865092367">
      <w:bodyDiv w:val="1"/>
      <w:marLeft w:val="0"/>
      <w:marRight w:val="0"/>
      <w:marTop w:val="0"/>
      <w:marBottom w:val="0"/>
      <w:divBdr>
        <w:top w:val="none" w:sz="0" w:space="0" w:color="auto"/>
        <w:left w:val="none" w:sz="0" w:space="0" w:color="auto"/>
        <w:bottom w:val="none" w:sz="0" w:space="0" w:color="auto"/>
        <w:right w:val="none" w:sz="0" w:space="0" w:color="auto"/>
      </w:divBdr>
      <w:divsChild>
        <w:div w:id="1850371309">
          <w:marLeft w:val="-720"/>
          <w:marRight w:val="0"/>
          <w:marTop w:val="0"/>
          <w:marBottom w:val="0"/>
          <w:divBdr>
            <w:top w:val="none" w:sz="0" w:space="0" w:color="auto"/>
            <w:left w:val="none" w:sz="0" w:space="0" w:color="auto"/>
            <w:bottom w:val="none" w:sz="0" w:space="0" w:color="auto"/>
            <w:right w:val="none" w:sz="0" w:space="0" w:color="auto"/>
          </w:divBdr>
        </w:div>
      </w:divsChild>
    </w:div>
    <w:div w:id="1919361196">
      <w:bodyDiv w:val="1"/>
      <w:marLeft w:val="0"/>
      <w:marRight w:val="0"/>
      <w:marTop w:val="0"/>
      <w:marBottom w:val="0"/>
      <w:divBdr>
        <w:top w:val="none" w:sz="0" w:space="0" w:color="auto"/>
        <w:left w:val="none" w:sz="0" w:space="0" w:color="auto"/>
        <w:bottom w:val="none" w:sz="0" w:space="0" w:color="auto"/>
        <w:right w:val="none" w:sz="0" w:space="0" w:color="auto"/>
      </w:divBdr>
      <w:divsChild>
        <w:div w:id="2044819127">
          <w:marLeft w:val="-720"/>
          <w:marRight w:val="0"/>
          <w:marTop w:val="0"/>
          <w:marBottom w:val="0"/>
          <w:divBdr>
            <w:top w:val="none" w:sz="0" w:space="0" w:color="auto"/>
            <w:left w:val="none" w:sz="0" w:space="0" w:color="auto"/>
            <w:bottom w:val="none" w:sz="0" w:space="0" w:color="auto"/>
            <w:right w:val="none" w:sz="0" w:space="0" w:color="auto"/>
          </w:divBdr>
        </w:div>
      </w:divsChild>
    </w:div>
    <w:div w:id="2022856613">
      <w:bodyDiv w:val="1"/>
      <w:marLeft w:val="0"/>
      <w:marRight w:val="0"/>
      <w:marTop w:val="0"/>
      <w:marBottom w:val="0"/>
      <w:divBdr>
        <w:top w:val="none" w:sz="0" w:space="0" w:color="auto"/>
        <w:left w:val="none" w:sz="0" w:space="0" w:color="auto"/>
        <w:bottom w:val="none" w:sz="0" w:space="0" w:color="auto"/>
        <w:right w:val="none" w:sz="0" w:space="0" w:color="auto"/>
      </w:divBdr>
    </w:div>
    <w:div w:id="2141340064">
      <w:bodyDiv w:val="1"/>
      <w:marLeft w:val="0"/>
      <w:marRight w:val="0"/>
      <w:marTop w:val="0"/>
      <w:marBottom w:val="0"/>
      <w:divBdr>
        <w:top w:val="none" w:sz="0" w:space="0" w:color="auto"/>
        <w:left w:val="none" w:sz="0" w:space="0" w:color="auto"/>
        <w:bottom w:val="none" w:sz="0" w:space="0" w:color="auto"/>
        <w:right w:val="none" w:sz="0" w:space="0" w:color="auto"/>
      </w:divBdr>
      <w:divsChild>
        <w:div w:id="62504706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37033518" TargetMode="External"/><Relationship Id="rId13" Type="http://schemas.openxmlformats.org/officeDocument/2006/relationships/hyperlink" Target="https://doi.org/10.1155/2011/230840"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ncbi.nlm.nih.gov/pmc/articles/PMC10077921/" TargetMode="External"/><Relationship Id="rId12" Type="http://schemas.openxmlformats.org/officeDocument/2006/relationships/hyperlink" Target="https://doi.org/10.1016/0046-8177(93)90192-j"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epsc.2021.101989"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hyperlink" Target="https://doi.org/10.12659/ajcr.933377"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ncbi.nlm.nih.gov/books/NBK430830/" TargetMode="External"/><Relationship Id="rId14" Type="http://schemas.openxmlformats.org/officeDocument/2006/relationships/image" Target="media/image1.jpe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9</Pages>
  <Words>2398</Words>
  <Characters>13669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Saurabh Khare</dc:creator>
  <cp:keywords/>
  <dc:description/>
  <cp:lastModifiedBy>SDI 1084</cp:lastModifiedBy>
  <cp:revision>13</cp:revision>
  <dcterms:created xsi:type="dcterms:W3CDTF">2025-03-01T14:04:00Z</dcterms:created>
  <dcterms:modified xsi:type="dcterms:W3CDTF">2025-03-27T12:59:00Z</dcterms:modified>
</cp:coreProperties>
</file>