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B217D" w14:textId="4B90FB09" w:rsidR="000810B5" w:rsidRDefault="000810B5" w:rsidP="00544244">
      <w:pPr>
        <w:jc w:val="right"/>
        <w:rPr>
          <w:rFonts w:ascii="Arial" w:hAnsi="Arial" w:cs="Arial"/>
          <w:b/>
          <w:bCs/>
          <w:i/>
          <w:iCs/>
          <w:sz w:val="36"/>
          <w:szCs w:val="36"/>
          <w:u w:val="single"/>
        </w:rPr>
      </w:pPr>
      <w:r w:rsidRPr="000810B5">
        <w:rPr>
          <w:rFonts w:ascii="Arial" w:hAnsi="Arial" w:cs="Arial"/>
          <w:b/>
          <w:bCs/>
          <w:i/>
          <w:iCs/>
          <w:sz w:val="36"/>
          <w:szCs w:val="36"/>
          <w:u w:val="single"/>
        </w:rPr>
        <w:t>Original Research Article</w:t>
      </w:r>
    </w:p>
    <w:p w14:paraId="27897B34" w14:textId="77777777" w:rsidR="000810B5" w:rsidRDefault="000810B5" w:rsidP="00544244">
      <w:pPr>
        <w:jc w:val="right"/>
        <w:rPr>
          <w:rFonts w:ascii="Arial" w:hAnsi="Arial" w:cs="Arial"/>
          <w:b/>
          <w:bCs/>
          <w:sz w:val="36"/>
          <w:szCs w:val="36"/>
        </w:rPr>
      </w:pPr>
    </w:p>
    <w:p w14:paraId="6CA79B64" w14:textId="4CA1753A" w:rsidR="00544244" w:rsidRPr="00544244" w:rsidRDefault="00544244" w:rsidP="00544244">
      <w:pPr>
        <w:jc w:val="right"/>
        <w:rPr>
          <w:rFonts w:ascii="Arial" w:hAnsi="Arial" w:cs="Arial"/>
          <w:b/>
        </w:rPr>
      </w:pPr>
      <w:r w:rsidRPr="00544244">
        <w:rPr>
          <w:rFonts w:ascii="Arial" w:hAnsi="Arial" w:cs="Arial"/>
          <w:b/>
          <w:bCs/>
          <w:sz w:val="36"/>
          <w:szCs w:val="36"/>
        </w:rPr>
        <w:t xml:space="preserve">Kinetic and Isotherm Studies of Oil Removal by Raw and Modified </w:t>
      </w:r>
      <w:proofErr w:type="spellStart"/>
      <w:r w:rsidRPr="00544244">
        <w:rPr>
          <w:rFonts w:ascii="Arial" w:hAnsi="Arial" w:cs="Arial"/>
          <w:b/>
          <w:bCs/>
          <w:i/>
          <w:sz w:val="36"/>
          <w:szCs w:val="36"/>
        </w:rPr>
        <w:t>Pentaclethra</w:t>
      </w:r>
      <w:proofErr w:type="spellEnd"/>
      <w:r w:rsidRPr="00544244">
        <w:rPr>
          <w:rFonts w:ascii="Arial" w:hAnsi="Arial" w:cs="Arial"/>
          <w:b/>
          <w:bCs/>
          <w:i/>
          <w:sz w:val="36"/>
          <w:szCs w:val="36"/>
        </w:rPr>
        <w:t xml:space="preserve"> macrophylla </w:t>
      </w:r>
      <w:r w:rsidRPr="00544244">
        <w:rPr>
          <w:rFonts w:ascii="Arial" w:hAnsi="Arial" w:cs="Arial"/>
          <w:b/>
          <w:bCs/>
          <w:sz w:val="36"/>
          <w:szCs w:val="36"/>
        </w:rPr>
        <w:t>Seed Pod</w:t>
      </w:r>
      <w:bookmarkStart w:id="0" w:name="_GoBack"/>
      <w:bookmarkEnd w:id="0"/>
      <w:r w:rsidRPr="00544244">
        <w:rPr>
          <w:rFonts w:ascii="Arial" w:hAnsi="Arial" w:cs="Arial"/>
          <w:b/>
        </w:rPr>
        <w:t xml:space="preserve"> </w:t>
      </w:r>
    </w:p>
    <w:p w14:paraId="75013B31" w14:textId="77777777" w:rsidR="00A258C3" w:rsidRPr="00790ADA" w:rsidRDefault="00A258C3" w:rsidP="00441B6F">
      <w:pPr>
        <w:pStyle w:val="Author"/>
        <w:spacing w:line="240" w:lineRule="auto"/>
        <w:jc w:val="both"/>
        <w:rPr>
          <w:rFonts w:ascii="Arial" w:hAnsi="Arial" w:cs="Arial"/>
          <w:sz w:val="36"/>
        </w:rPr>
      </w:pPr>
    </w:p>
    <w:p w14:paraId="306A92C3" w14:textId="7A5DD39A" w:rsidR="009D6255" w:rsidRDefault="009D6255" w:rsidP="00441B6F">
      <w:pPr>
        <w:pStyle w:val="Affiliation"/>
        <w:spacing w:after="0" w:line="240" w:lineRule="auto"/>
        <w:rPr>
          <w:rFonts w:ascii="Arial" w:hAnsi="Arial" w:cs="Arial"/>
          <w:i/>
        </w:rPr>
      </w:pPr>
    </w:p>
    <w:p w14:paraId="7C8BA198" w14:textId="13C33EBB" w:rsidR="00895B35" w:rsidRDefault="00895B35" w:rsidP="00441B6F">
      <w:pPr>
        <w:pStyle w:val="Affiliation"/>
        <w:spacing w:after="0" w:line="240" w:lineRule="auto"/>
        <w:rPr>
          <w:rFonts w:ascii="Arial" w:hAnsi="Arial" w:cs="Arial"/>
          <w:i/>
        </w:rPr>
      </w:pPr>
    </w:p>
    <w:p w14:paraId="444A3ECF" w14:textId="77777777" w:rsidR="00895B35" w:rsidRPr="0083216F" w:rsidRDefault="00895B35" w:rsidP="00441B6F">
      <w:pPr>
        <w:pStyle w:val="Affiliation"/>
        <w:spacing w:after="0" w:line="240" w:lineRule="auto"/>
        <w:rPr>
          <w:rFonts w:ascii="Arial" w:hAnsi="Arial" w:cs="Arial"/>
          <w:i/>
        </w:rPr>
      </w:pPr>
    </w:p>
    <w:p w14:paraId="6D620461" w14:textId="77777777" w:rsidR="002C57D2" w:rsidRPr="00FB3A86" w:rsidRDefault="002C57D2" w:rsidP="00441B6F">
      <w:pPr>
        <w:pStyle w:val="Affiliation"/>
        <w:spacing w:after="0" w:line="240" w:lineRule="auto"/>
        <w:jc w:val="both"/>
        <w:rPr>
          <w:rFonts w:ascii="Arial" w:hAnsi="Arial" w:cs="Arial"/>
        </w:rPr>
      </w:pPr>
    </w:p>
    <w:p w14:paraId="644EEFE0" w14:textId="77777777" w:rsidR="00B01FCD" w:rsidRDefault="007C12B4"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00CAA25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3556148" w14:textId="77777777" w:rsidR="00A03B11" w:rsidRDefault="00A03B11" w:rsidP="00441B6F">
      <w:pPr>
        <w:pStyle w:val="Copyright"/>
        <w:spacing w:after="0" w:line="240" w:lineRule="auto"/>
        <w:jc w:val="both"/>
        <w:rPr>
          <w:rFonts w:ascii="Arial" w:hAnsi="Arial" w:cs="Arial"/>
        </w:rPr>
      </w:pPr>
    </w:p>
    <w:p w14:paraId="3D81D921" w14:textId="77777777" w:rsidR="00A03B11" w:rsidRPr="00FB3A86" w:rsidRDefault="00A03B11" w:rsidP="00441B6F">
      <w:pPr>
        <w:pStyle w:val="Copyright"/>
        <w:spacing w:after="0" w:line="240" w:lineRule="auto"/>
        <w:jc w:val="both"/>
        <w:rPr>
          <w:rFonts w:ascii="Arial" w:hAnsi="Arial" w:cs="Arial"/>
        </w:rPr>
        <w:sectPr w:rsidR="00A03B11" w:rsidRPr="00FB3A86" w:rsidSect="00895B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97395E3" w14:textId="77777777" w:rsidR="00790ADA" w:rsidRDefault="00B01FCD" w:rsidP="00A03B11">
      <w:pPr>
        <w:pStyle w:val="AbstHead"/>
        <w:spacing w:after="0"/>
        <w:ind w:left="1260"/>
        <w:jc w:val="both"/>
        <w:rPr>
          <w:rFonts w:ascii="Arial" w:hAnsi="Arial" w:cs="Arial"/>
        </w:rPr>
      </w:pPr>
      <w:r w:rsidRPr="00FB3A86">
        <w:rPr>
          <w:rFonts w:ascii="Arial" w:hAnsi="Arial" w:cs="Arial"/>
        </w:rPr>
        <w:t>ABSTRACT</w:t>
      </w:r>
      <w:r w:rsidR="0066510A">
        <w:rPr>
          <w:rFonts w:ascii="Arial" w:hAnsi="Arial" w:cs="Arial"/>
        </w:rPr>
        <w:t xml:space="preserve"> </w:t>
      </w:r>
    </w:p>
    <w:p w14:paraId="224A0992" w14:textId="77777777" w:rsidR="00A03B11" w:rsidRPr="00FB3A86" w:rsidRDefault="00A03B11" w:rsidP="00A03B11">
      <w:pPr>
        <w:pStyle w:val="AbstHead"/>
        <w:spacing w:after="0"/>
        <w:ind w:left="1260"/>
        <w:jc w:val="both"/>
        <w:rPr>
          <w:rFonts w:ascii="Arial" w:hAnsi="Arial" w:cs="Arial"/>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8"/>
      </w:tblGrid>
      <w:tr w:rsidR="00296529" w:rsidRPr="001E44FE" w14:paraId="684B4222" w14:textId="77777777" w:rsidTr="00A03B11">
        <w:tc>
          <w:tcPr>
            <w:tcW w:w="8208" w:type="dxa"/>
            <w:shd w:val="clear" w:color="auto" w:fill="F2F2F2"/>
          </w:tcPr>
          <w:p w14:paraId="0D5DF34B" w14:textId="77777777" w:rsidR="00505F06" w:rsidRPr="00414A25" w:rsidRDefault="00414A25" w:rsidP="00414A25">
            <w:pPr>
              <w:jc w:val="both"/>
              <w:rPr>
                <w:rFonts w:ascii="Arial" w:hAnsi="Arial" w:cs="Arial"/>
              </w:rPr>
            </w:pPr>
            <w:r w:rsidRPr="00414A25">
              <w:rPr>
                <w:rFonts w:ascii="Arial" w:hAnsi="Arial" w:cs="Arial"/>
              </w:rPr>
              <w:t xml:space="preserve">Oil spill remediation using agricultural wastes has become an attractive technique due to its simplicity, low cost and effectiveness. In this work, </w:t>
            </w:r>
            <w:proofErr w:type="spellStart"/>
            <w:r w:rsidRPr="00414A25">
              <w:rPr>
                <w:rFonts w:ascii="Arial" w:hAnsi="Arial" w:cs="Arial"/>
                <w:i/>
              </w:rPr>
              <w:t>Pentaclethra</w:t>
            </w:r>
            <w:proofErr w:type="spellEnd"/>
            <w:r w:rsidRPr="00414A25">
              <w:rPr>
                <w:rFonts w:ascii="Arial" w:hAnsi="Arial" w:cs="Arial"/>
                <w:i/>
              </w:rPr>
              <w:t xml:space="preserve"> macrophylla</w:t>
            </w:r>
            <w:r w:rsidRPr="00414A25">
              <w:rPr>
                <w:rFonts w:ascii="Arial" w:hAnsi="Arial" w:cs="Arial"/>
              </w:rPr>
              <w:t xml:space="preserve"> seed pods, which are readily available agricultural wastes were modified in order to increase their hydrophobicity. The effect of the modification was studied using FTIR analysis. Batch oil sorption tests were conducted using both the raw and modified pods. Results from the FTIR analysis provided evidence of successful modification of the pods and the adsorption of oil onto the raw and modified pods. Isotherm studies revealed that the oil sorption on the raw pods was best described by the Freundlich isotherm, whereas for the modified pods, the Langmuir isotherm gave the best fit.</w:t>
            </w:r>
            <w:r w:rsidRPr="00414A25">
              <w:rPr>
                <w:rFonts w:ascii="Arial" w:hAnsi="Arial" w:cs="Arial"/>
                <w:b/>
              </w:rPr>
              <w:t xml:space="preserve"> </w:t>
            </w:r>
            <w:r w:rsidRPr="00414A25">
              <w:rPr>
                <w:rFonts w:ascii="Arial" w:hAnsi="Arial" w:cs="Arial"/>
              </w:rPr>
              <w:t xml:space="preserve">Pseudo-first order kinetic model best described the oil sorption on the raw seed pods, with equilibrium oil sorption capacity of 6281 mg/g. For the modified pods, pseudo-second order model best suited the sorption, with equilibrium oil sorption capacity of </w:t>
            </w:r>
            <w:r w:rsidR="007A2634">
              <w:rPr>
                <w:rFonts w:ascii="Arial" w:hAnsi="Arial" w:cs="Arial"/>
              </w:rPr>
              <w:t>14</w:t>
            </w:r>
            <w:r w:rsidRPr="00414A25">
              <w:rPr>
                <w:rFonts w:ascii="Arial" w:hAnsi="Arial" w:cs="Arial"/>
              </w:rPr>
              <w:t>286 mg/g. The sorption on both the raw and modified pods was partly controlled by intra-particle diffusion mechanism. The higher oil sorption capacity of the modified pods indicates their higher potential for application as an environmentally friendly alternative for oil spill remediation and treatment of industrial effluents before disposal.</w:t>
            </w:r>
          </w:p>
        </w:tc>
      </w:tr>
    </w:tbl>
    <w:p w14:paraId="2A3513E7" w14:textId="77777777" w:rsidR="00636EB2" w:rsidRDefault="00636EB2" w:rsidP="00441B6F">
      <w:pPr>
        <w:pStyle w:val="Body"/>
        <w:spacing w:after="0"/>
        <w:rPr>
          <w:rFonts w:ascii="Arial" w:hAnsi="Arial" w:cs="Arial"/>
          <w:i/>
        </w:rPr>
      </w:pPr>
    </w:p>
    <w:p w14:paraId="514960EE" w14:textId="77777777" w:rsidR="00790ADA" w:rsidRDefault="00A24E7E" w:rsidP="00A03B11">
      <w:pPr>
        <w:pStyle w:val="Body"/>
        <w:spacing w:after="0"/>
        <w:ind w:left="1260"/>
        <w:rPr>
          <w:rFonts w:ascii="Arial" w:hAnsi="Arial" w:cs="Arial"/>
          <w:i/>
        </w:rPr>
      </w:pPr>
      <w:r>
        <w:rPr>
          <w:rFonts w:ascii="Arial" w:hAnsi="Arial" w:cs="Arial"/>
          <w:i/>
        </w:rPr>
        <w:t xml:space="preserve">Keywords: </w:t>
      </w:r>
      <w:r w:rsidR="00414A25" w:rsidRPr="00414A25">
        <w:rPr>
          <w:rFonts w:ascii="Arial" w:hAnsi="Arial" w:cs="Arial"/>
          <w:i/>
        </w:rPr>
        <w:t xml:space="preserve">Oil removal, </w:t>
      </w:r>
      <w:proofErr w:type="spellStart"/>
      <w:r w:rsidR="00414A25" w:rsidRPr="00414A25">
        <w:rPr>
          <w:rFonts w:ascii="Arial" w:hAnsi="Arial" w:cs="Arial"/>
          <w:i/>
        </w:rPr>
        <w:t>Pentaclethra</w:t>
      </w:r>
      <w:proofErr w:type="spellEnd"/>
      <w:r w:rsidR="00414A25" w:rsidRPr="00414A25">
        <w:rPr>
          <w:rFonts w:ascii="Arial" w:hAnsi="Arial" w:cs="Arial"/>
          <w:i/>
        </w:rPr>
        <w:t xml:space="preserve"> macrophylla, kinetics, isotherm</w:t>
      </w:r>
      <w:r w:rsidR="0066510A">
        <w:rPr>
          <w:rFonts w:ascii="Arial" w:hAnsi="Arial" w:cs="Arial"/>
          <w:i/>
        </w:rPr>
        <w:t xml:space="preserve"> </w:t>
      </w:r>
    </w:p>
    <w:p w14:paraId="07186667" w14:textId="77777777" w:rsidR="0024282C" w:rsidRDefault="0024282C" w:rsidP="00A03B11">
      <w:pPr>
        <w:pStyle w:val="Body"/>
        <w:spacing w:after="0"/>
        <w:ind w:left="1260"/>
        <w:rPr>
          <w:rFonts w:ascii="Arial" w:hAnsi="Arial" w:cs="Arial"/>
          <w:i/>
          <w:sz w:val="18"/>
        </w:rPr>
      </w:pPr>
    </w:p>
    <w:p w14:paraId="4E1D2C06" w14:textId="77777777" w:rsidR="00505F06" w:rsidRPr="00A24E7E" w:rsidRDefault="00505F06" w:rsidP="00A03B11">
      <w:pPr>
        <w:pStyle w:val="Body"/>
        <w:spacing w:after="0"/>
        <w:ind w:left="1260"/>
        <w:rPr>
          <w:rFonts w:ascii="Arial" w:hAnsi="Arial" w:cs="Arial"/>
          <w:i/>
        </w:rPr>
      </w:pPr>
    </w:p>
    <w:p w14:paraId="502EBB45" w14:textId="77777777" w:rsidR="007F7B32" w:rsidRDefault="00902823" w:rsidP="00A03B11">
      <w:pPr>
        <w:pStyle w:val="AbstHead"/>
        <w:spacing w:after="0"/>
        <w:ind w:left="126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D31EC8" w14:textId="77777777" w:rsidR="00790ADA" w:rsidRPr="00FB3A86" w:rsidRDefault="00790ADA" w:rsidP="00A03B11">
      <w:pPr>
        <w:pStyle w:val="AbstHead"/>
        <w:spacing w:after="0"/>
        <w:ind w:left="1260"/>
        <w:jc w:val="both"/>
        <w:rPr>
          <w:rFonts w:ascii="Arial" w:hAnsi="Arial" w:cs="Arial"/>
        </w:rPr>
      </w:pPr>
    </w:p>
    <w:p w14:paraId="5D50BAE4" w14:textId="77777777" w:rsidR="009B7378" w:rsidRPr="009B7378" w:rsidRDefault="009B7378" w:rsidP="00A03B11">
      <w:pPr>
        <w:shd w:val="clear" w:color="auto" w:fill="FFFFFF" w:themeFill="background1"/>
        <w:ind w:left="1260"/>
        <w:jc w:val="both"/>
        <w:rPr>
          <w:rFonts w:ascii="Arial" w:hAnsi="Arial" w:cs="Arial"/>
        </w:rPr>
      </w:pPr>
      <w:r w:rsidRPr="009B7378">
        <w:rPr>
          <w:rFonts w:ascii="Arial" w:hAnsi="Arial" w:cs="Arial"/>
        </w:rPr>
        <w:t>Oil spills can occur at any point during the extraction, shipping, refining, storage, and usage processes, causing environmental degradation. According to estimates, up to 100 million gallons of crude oil leak i</w:t>
      </w:r>
      <w:r w:rsidR="00B34A3D">
        <w:rPr>
          <w:rFonts w:ascii="Arial" w:hAnsi="Arial" w:cs="Arial"/>
        </w:rPr>
        <w:t>nto marine habitats annually (Barros et al., 2014)</w:t>
      </w:r>
      <w:r w:rsidRPr="009B7378">
        <w:rPr>
          <w:rFonts w:ascii="Arial" w:hAnsi="Arial" w:cs="Arial"/>
        </w:rPr>
        <w:t>. This has a negative impact on human life, aquatic life, local economy, tou</w:t>
      </w:r>
      <w:r w:rsidR="00B34A3D">
        <w:rPr>
          <w:rFonts w:ascii="Arial" w:hAnsi="Arial" w:cs="Arial"/>
        </w:rPr>
        <w:t>rism, and leisure activities (</w:t>
      </w:r>
      <w:proofErr w:type="spellStart"/>
      <w:r w:rsidR="00B34A3D">
        <w:rPr>
          <w:rFonts w:ascii="Arial" w:hAnsi="Arial" w:cs="Arial"/>
        </w:rPr>
        <w:t>Machalowski</w:t>
      </w:r>
      <w:proofErr w:type="spellEnd"/>
      <w:r w:rsidR="00B34A3D">
        <w:rPr>
          <w:rFonts w:ascii="Arial" w:hAnsi="Arial" w:cs="Arial"/>
        </w:rPr>
        <w:t xml:space="preserve"> et al., 2020)</w:t>
      </w:r>
      <w:r w:rsidRPr="009B7378">
        <w:rPr>
          <w:rFonts w:ascii="Arial" w:hAnsi="Arial" w:cs="Arial"/>
        </w:rPr>
        <w:t>. As a result, enormous efforts are being made to create an effective way of cleaning up oil spills. In aquatic environments, a variety of mechanical, biological, chemical, and adsorption techniques are employed to remove oil spills. Adsorption technology has been the method of choice due to its efficiency, affordability, and ea</w:t>
      </w:r>
      <w:r w:rsidR="00B34A3D">
        <w:rPr>
          <w:rFonts w:ascii="Arial" w:hAnsi="Arial" w:cs="Arial"/>
        </w:rPr>
        <w:t>se of use (</w:t>
      </w:r>
      <w:proofErr w:type="spellStart"/>
      <w:r w:rsidR="00B34A3D">
        <w:rPr>
          <w:rFonts w:ascii="Arial" w:hAnsi="Arial" w:cs="Arial"/>
        </w:rPr>
        <w:t>Lv</w:t>
      </w:r>
      <w:proofErr w:type="spellEnd"/>
      <w:r w:rsidR="00B34A3D">
        <w:rPr>
          <w:rFonts w:ascii="Arial" w:hAnsi="Arial" w:cs="Arial"/>
        </w:rPr>
        <w:t xml:space="preserve"> et al., 2018)</w:t>
      </w:r>
      <w:r w:rsidRPr="009B7378">
        <w:rPr>
          <w:rFonts w:ascii="Arial" w:hAnsi="Arial" w:cs="Arial"/>
        </w:rPr>
        <w:t xml:space="preserve">. Owing to their availability, renewability, and biodegradability, agricultural waste materials are becoming increasingly common as sorbents. Both the wastes themselves and how they are disposed of typically pose environmental risks. As a result, turning them into useful items will contribute to the development of pollution-reduction solutions. The main drawback of using agricultural materials in oil spill mop is that they are </w:t>
      </w:r>
      <w:r w:rsidRPr="009B7378">
        <w:rPr>
          <w:rFonts w:ascii="Arial" w:hAnsi="Arial" w:cs="Arial"/>
        </w:rPr>
        <w:lastRenderedPageBreak/>
        <w:t>hydrophilic due to</w:t>
      </w:r>
      <w:r w:rsidR="00B34A3D">
        <w:rPr>
          <w:rFonts w:ascii="Arial" w:hAnsi="Arial" w:cs="Arial"/>
        </w:rPr>
        <w:t xml:space="preserve"> their high hydroxyl content (Omer et al., 2020)</w:t>
      </w:r>
      <w:r w:rsidRPr="009B7378">
        <w:rPr>
          <w:rFonts w:ascii="Arial" w:hAnsi="Arial" w:cs="Arial"/>
        </w:rPr>
        <w:t>. However, this can be remedied by modification techniques that give the ma</w:t>
      </w:r>
      <w:r w:rsidR="00B34A3D">
        <w:rPr>
          <w:rFonts w:ascii="Arial" w:hAnsi="Arial" w:cs="Arial"/>
        </w:rPr>
        <w:t>terials hydrophobic qualities (Yusof et al., 2015)</w:t>
      </w:r>
      <w:r w:rsidRPr="009B7378">
        <w:rPr>
          <w:rFonts w:ascii="Arial" w:hAnsi="Arial" w:cs="Arial"/>
        </w:rPr>
        <w:t>. One of the most popular methods of modification is acetylation, which converts lignocellulosic materials from hydrophilic to hydrophobic by substituting hydrophobic acetyl group for hydrophilic hydroxyl group. In the acetylation reaction, the lignocellulosic material is heated together with acetic anhydride in the pres</w:t>
      </w:r>
      <w:r w:rsidR="00B34A3D">
        <w:rPr>
          <w:rFonts w:ascii="Arial" w:hAnsi="Arial" w:cs="Arial"/>
        </w:rPr>
        <w:t>ence or absence of a catalyst (</w:t>
      </w:r>
      <w:proofErr w:type="spellStart"/>
      <w:r w:rsidR="00B34A3D">
        <w:rPr>
          <w:rFonts w:ascii="Arial" w:hAnsi="Arial" w:cs="Arial"/>
        </w:rPr>
        <w:t>Nwadiogbu</w:t>
      </w:r>
      <w:proofErr w:type="spellEnd"/>
      <w:r w:rsidR="00B34A3D">
        <w:rPr>
          <w:rFonts w:ascii="Arial" w:hAnsi="Arial" w:cs="Arial"/>
        </w:rPr>
        <w:t xml:space="preserve"> et al., 2014)</w:t>
      </w:r>
      <w:r w:rsidRPr="009B7378">
        <w:rPr>
          <w:rFonts w:ascii="Arial" w:hAnsi="Arial" w:cs="Arial"/>
        </w:rPr>
        <w:t>.</w:t>
      </w:r>
    </w:p>
    <w:p w14:paraId="7D1EADAB" w14:textId="77777777" w:rsidR="009B7378" w:rsidRPr="009B7378" w:rsidRDefault="009B7378" w:rsidP="00A03B11">
      <w:pPr>
        <w:shd w:val="clear" w:color="auto" w:fill="FFFFFF" w:themeFill="background1"/>
        <w:spacing w:before="240"/>
        <w:ind w:left="1260"/>
        <w:jc w:val="both"/>
        <w:rPr>
          <w:rFonts w:ascii="Arial" w:hAnsi="Arial" w:cs="Arial"/>
        </w:rPr>
      </w:pPr>
      <w:r w:rsidRPr="009B7378">
        <w:rPr>
          <w:rFonts w:ascii="Arial" w:hAnsi="Arial" w:cs="Arial"/>
        </w:rPr>
        <w:t>A variety of agricultural materials have undergone acetylation to increase their ability to absorb oil. Thes</w:t>
      </w:r>
      <w:r w:rsidR="006D5593">
        <w:rPr>
          <w:rFonts w:ascii="Arial" w:hAnsi="Arial" w:cs="Arial"/>
        </w:rPr>
        <w:t xml:space="preserve">e materials include corn silk (Asadpour et al., 2015), jute </w:t>
      </w:r>
      <w:proofErr w:type="spellStart"/>
      <w:r w:rsidR="006D5593">
        <w:rPr>
          <w:rFonts w:ascii="Arial" w:hAnsi="Arial" w:cs="Arial"/>
        </w:rPr>
        <w:t>fibre</w:t>
      </w:r>
      <w:proofErr w:type="spellEnd"/>
      <w:r w:rsidR="006D5593">
        <w:rPr>
          <w:rFonts w:ascii="Arial" w:hAnsi="Arial" w:cs="Arial"/>
        </w:rPr>
        <w:t xml:space="preserve"> (</w:t>
      </w:r>
      <w:proofErr w:type="spellStart"/>
      <w:r w:rsidR="006D5593">
        <w:rPr>
          <w:rFonts w:ascii="Arial" w:hAnsi="Arial" w:cs="Arial"/>
        </w:rPr>
        <w:t>Teli</w:t>
      </w:r>
      <w:proofErr w:type="spellEnd"/>
      <w:r w:rsidR="006D5593">
        <w:rPr>
          <w:rFonts w:ascii="Arial" w:hAnsi="Arial" w:cs="Arial"/>
        </w:rPr>
        <w:t xml:space="preserve"> and Valia, 2016)</w:t>
      </w:r>
      <w:r w:rsidRPr="009B7378">
        <w:rPr>
          <w:rFonts w:ascii="Arial" w:hAnsi="Arial" w:cs="Arial"/>
        </w:rPr>
        <w:t xml:space="preserve">, </w:t>
      </w:r>
      <w:proofErr w:type="spellStart"/>
      <w:r w:rsidRPr="009B7378">
        <w:rPr>
          <w:rFonts w:ascii="Arial" w:hAnsi="Arial" w:cs="Arial"/>
          <w:i/>
        </w:rPr>
        <w:t>Borassus</w:t>
      </w:r>
      <w:proofErr w:type="spellEnd"/>
      <w:r w:rsidRPr="009B7378">
        <w:rPr>
          <w:rFonts w:ascii="Arial" w:hAnsi="Arial" w:cs="Arial"/>
          <w:i/>
        </w:rPr>
        <w:t xml:space="preserve"> </w:t>
      </w:r>
      <w:proofErr w:type="spellStart"/>
      <w:r w:rsidRPr="009B7378">
        <w:rPr>
          <w:rFonts w:ascii="Arial" w:hAnsi="Arial" w:cs="Arial"/>
          <w:i/>
        </w:rPr>
        <w:t>aethopum</w:t>
      </w:r>
      <w:proofErr w:type="spellEnd"/>
      <w:r w:rsidR="00806C13">
        <w:rPr>
          <w:rFonts w:ascii="Arial" w:hAnsi="Arial" w:cs="Arial"/>
        </w:rPr>
        <w:t xml:space="preserve"> coir (Arinze-Nwosu et al., 2019)</w:t>
      </w:r>
      <w:r w:rsidRPr="009B7378">
        <w:rPr>
          <w:rFonts w:ascii="Arial" w:hAnsi="Arial" w:cs="Arial"/>
        </w:rPr>
        <w:t>, cocoa pods an</w:t>
      </w:r>
      <w:r w:rsidR="00806C13">
        <w:rPr>
          <w:rFonts w:ascii="Arial" w:hAnsi="Arial" w:cs="Arial"/>
        </w:rPr>
        <w:t>d oil palm fruit empty bunch (Onwuka et al., 2018)</w:t>
      </w:r>
      <w:r w:rsidRPr="009B7378">
        <w:rPr>
          <w:rFonts w:ascii="Arial" w:hAnsi="Arial" w:cs="Arial"/>
        </w:rPr>
        <w:t xml:space="preserve">. </w:t>
      </w:r>
      <w:proofErr w:type="spellStart"/>
      <w:r w:rsidRPr="009B7378">
        <w:rPr>
          <w:rFonts w:ascii="Arial" w:hAnsi="Arial" w:cs="Arial"/>
          <w:i/>
        </w:rPr>
        <w:t>Pentaclethra</w:t>
      </w:r>
      <w:proofErr w:type="spellEnd"/>
      <w:r w:rsidRPr="009B7378">
        <w:rPr>
          <w:rFonts w:ascii="Arial" w:hAnsi="Arial" w:cs="Arial"/>
          <w:i/>
        </w:rPr>
        <w:t xml:space="preserve"> macrophylla</w:t>
      </w:r>
      <w:r w:rsidRPr="009B7378">
        <w:rPr>
          <w:rFonts w:ascii="Arial" w:hAnsi="Arial" w:cs="Arial"/>
        </w:rPr>
        <w:t xml:space="preserve"> (commonly called African oil bean) is a leguminous tree belonging to the </w:t>
      </w:r>
      <w:r w:rsidRPr="009B7378">
        <w:rPr>
          <w:rFonts w:ascii="Arial" w:hAnsi="Arial" w:cs="Arial"/>
          <w:i/>
        </w:rPr>
        <w:t>Leguminosae</w:t>
      </w:r>
      <w:r w:rsidRPr="009B7378">
        <w:rPr>
          <w:rFonts w:ascii="Arial" w:hAnsi="Arial" w:cs="Arial"/>
        </w:rPr>
        <w:t xml:space="preserve"> family and </w:t>
      </w:r>
      <w:r w:rsidRPr="009B7378">
        <w:rPr>
          <w:rFonts w:ascii="Arial" w:hAnsi="Arial" w:cs="Arial"/>
          <w:i/>
        </w:rPr>
        <w:t>Mimosoideae</w:t>
      </w:r>
      <w:r w:rsidR="00806C13">
        <w:rPr>
          <w:rFonts w:ascii="Arial" w:hAnsi="Arial" w:cs="Arial"/>
        </w:rPr>
        <w:t xml:space="preserve"> subfamily (Yusuf-Babatunde et al., 2020)</w:t>
      </w:r>
      <w:r w:rsidRPr="009B7378">
        <w:rPr>
          <w:rFonts w:ascii="Arial" w:hAnsi="Arial" w:cs="Arial"/>
        </w:rPr>
        <w:t xml:space="preserve">. Typically found in the wet lowlands of West and Central Africa, it is </w:t>
      </w:r>
      <w:r w:rsidR="00806C13">
        <w:rPr>
          <w:rFonts w:ascii="Arial" w:hAnsi="Arial" w:cs="Arial"/>
        </w:rPr>
        <w:t>the sole member of the genus (Nwokocha et al., 2023)</w:t>
      </w:r>
      <w:r w:rsidRPr="009B7378">
        <w:rPr>
          <w:rFonts w:ascii="Arial" w:hAnsi="Arial" w:cs="Arial"/>
        </w:rPr>
        <w:t>. The tree usually grows on soils that have sufficient drainage and receive between 1500 and 2700 mm</w:t>
      </w:r>
      <w:r w:rsidR="003E71A6">
        <w:rPr>
          <w:rFonts w:ascii="Arial" w:hAnsi="Arial" w:cs="Arial"/>
        </w:rPr>
        <w:t xml:space="preserve"> of rainfall annually (</w:t>
      </w:r>
      <w:proofErr w:type="spellStart"/>
      <w:r w:rsidR="003E71A6">
        <w:rPr>
          <w:rFonts w:ascii="Arial" w:hAnsi="Arial" w:cs="Arial"/>
        </w:rPr>
        <w:t>Iloabachie</w:t>
      </w:r>
      <w:proofErr w:type="spellEnd"/>
      <w:r w:rsidR="003E71A6">
        <w:rPr>
          <w:rFonts w:ascii="Arial" w:hAnsi="Arial" w:cs="Arial"/>
        </w:rPr>
        <w:t xml:space="preserve"> et al., 2022)</w:t>
      </w:r>
      <w:r w:rsidRPr="009B7378">
        <w:rPr>
          <w:rFonts w:ascii="Arial" w:hAnsi="Arial" w:cs="Arial"/>
        </w:rPr>
        <w:t xml:space="preserve">. This species exists in both wild and cultivated forms, with a maximum height of approximately 21 meters and a maximum circumference of roughly 6 meters. </w:t>
      </w:r>
    </w:p>
    <w:p w14:paraId="1CF96818" w14:textId="77777777" w:rsidR="009B7378" w:rsidRPr="009B7378" w:rsidRDefault="009B7378" w:rsidP="00A03B11">
      <w:pPr>
        <w:shd w:val="clear" w:color="auto" w:fill="FFFFFF" w:themeFill="background1"/>
        <w:spacing w:before="240"/>
        <w:ind w:left="1260"/>
        <w:jc w:val="both"/>
        <w:rPr>
          <w:rFonts w:ascii="Arial" w:hAnsi="Arial" w:cs="Arial"/>
        </w:rPr>
      </w:pPr>
      <w:proofErr w:type="spellStart"/>
      <w:r w:rsidRPr="009B7378">
        <w:rPr>
          <w:rFonts w:ascii="Arial" w:hAnsi="Arial" w:cs="Arial"/>
          <w:i/>
        </w:rPr>
        <w:t>Pentaclethra</w:t>
      </w:r>
      <w:proofErr w:type="spellEnd"/>
      <w:r w:rsidRPr="009B7378">
        <w:rPr>
          <w:rFonts w:ascii="Arial" w:hAnsi="Arial" w:cs="Arial"/>
          <w:i/>
        </w:rPr>
        <w:t xml:space="preserve"> macrophylla</w:t>
      </w:r>
      <w:r w:rsidRPr="009B7378">
        <w:rPr>
          <w:rFonts w:ascii="Arial" w:hAnsi="Arial" w:cs="Arial"/>
        </w:rPr>
        <w:t xml:space="preserve"> is primarily grown for its edible seed, which can be processed to produce oil. The fruit is a green pod that grows darker with age, measuring up to 36–46 cm in length and 5–10 cm in breadth. At maturity, each pod has eight to ten seeds, which are released as the pod cracks open violently and the valves curl up. Usually used as a snack or culinary garnish, these seeds are roasted or fermented. The roots, stem bark, leaves, fruits and seeds of the tree have been reported to be major ingredients for herb</w:t>
      </w:r>
      <w:r w:rsidR="003E71A6">
        <w:rPr>
          <w:rFonts w:ascii="Arial" w:hAnsi="Arial" w:cs="Arial"/>
        </w:rPr>
        <w:t>al medicines in many countries (</w:t>
      </w:r>
      <w:proofErr w:type="spellStart"/>
      <w:r w:rsidR="003E71A6">
        <w:rPr>
          <w:rFonts w:ascii="Arial" w:hAnsi="Arial" w:cs="Arial"/>
        </w:rPr>
        <w:t>Onyenibe</w:t>
      </w:r>
      <w:proofErr w:type="spellEnd"/>
      <w:r w:rsidR="003E71A6">
        <w:rPr>
          <w:rFonts w:ascii="Arial" w:hAnsi="Arial" w:cs="Arial"/>
        </w:rPr>
        <w:t xml:space="preserve"> et al., 2022; Nnamani et al., 2020)</w:t>
      </w:r>
      <w:r w:rsidRPr="009B7378">
        <w:rPr>
          <w:rFonts w:ascii="Arial" w:hAnsi="Arial" w:cs="Arial"/>
        </w:rPr>
        <w:t xml:space="preserve">. The empty dry seed pods decompose slowly and usually pollute the surrounding area, though they are used in certain areas as cooking fuel. There have been reports on the application of the seed pods for </w:t>
      </w:r>
      <w:r w:rsidR="003E71A6">
        <w:rPr>
          <w:rFonts w:ascii="Arial" w:hAnsi="Arial" w:cs="Arial"/>
        </w:rPr>
        <w:t xml:space="preserve">the adsorption of heavy metals (Uchechukwu et al., 2015; </w:t>
      </w:r>
      <w:proofErr w:type="spellStart"/>
      <w:r w:rsidR="003E71A6">
        <w:rPr>
          <w:rFonts w:ascii="Arial" w:hAnsi="Arial" w:cs="Arial"/>
        </w:rPr>
        <w:t>Nsude</w:t>
      </w:r>
      <w:proofErr w:type="spellEnd"/>
      <w:r w:rsidR="003E71A6">
        <w:rPr>
          <w:rFonts w:ascii="Arial" w:hAnsi="Arial" w:cs="Arial"/>
        </w:rPr>
        <w:t xml:space="preserve"> et al., 2024)</w:t>
      </w:r>
      <w:r w:rsidRPr="009B7378">
        <w:rPr>
          <w:rFonts w:ascii="Arial" w:hAnsi="Arial" w:cs="Arial"/>
        </w:rPr>
        <w:t xml:space="preserve"> and the generation of activated carbon </w:t>
      </w:r>
      <w:r w:rsidR="003E71A6">
        <w:rPr>
          <w:rFonts w:ascii="Arial" w:hAnsi="Arial" w:cs="Arial"/>
        </w:rPr>
        <w:t>(</w:t>
      </w:r>
      <w:proofErr w:type="spellStart"/>
      <w:r w:rsidR="003E71A6">
        <w:rPr>
          <w:rFonts w:ascii="Arial" w:hAnsi="Arial" w:cs="Arial"/>
        </w:rPr>
        <w:t>Okey-Onyesolu</w:t>
      </w:r>
      <w:proofErr w:type="spellEnd"/>
      <w:r w:rsidR="003E71A6">
        <w:rPr>
          <w:rFonts w:ascii="Arial" w:hAnsi="Arial" w:cs="Arial"/>
        </w:rPr>
        <w:t xml:space="preserve"> et al.,</w:t>
      </w:r>
      <w:r w:rsidR="003E71A6" w:rsidRPr="009B7378">
        <w:rPr>
          <w:rFonts w:ascii="Arial" w:hAnsi="Arial" w:cs="Arial"/>
        </w:rPr>
        <w:t xml:space="preserve"> </w:t>
      </w:r>
      <w:r w:rsidR="003E71A6">
        <w:rPr>
          <w:rFonts w:ascii="Arial" w:hAnsi="Arial" w:cs="Arial"/>
        </w:rPr>
        <w:t xml:space="preserve"> 2016; Chimi et al.,</w:t>
      </w:r>
      <w:r w:rsidR="003E71A6" w:rsidRPr="009B7378">
        <w:rPr>
          <w:rFonts w:ascii="Arial" w:hAnsi="Arial" w:cs="Arial"/>
        </w:rPr>
        <w:t xml:space="preserve"> </w:t>
      </w:r>
      <w:r w:rsidR="003E71A6">
        <w:rPr>
          <w:rFonts w:ascii="Arial" w:hAnsi="Arial" w:cs="Arial"/>
        </w:rPr>
        <w:t xml:space="preserve"> 2023; Ogbeh et al.,</w:t>
      </w:r>
      <w:r w:rsidR="003E71A6" w:rsidRPr="009B7378">
        <w:rPr>
          <w:rFonts w:ascii="Arial" w:hAnsi="Arial" w:cs="Arial"/>
        </w:rPr>
        <w:t xml:space="preserve"> </w:t>
      </w:r>
      <w:r w:rsidR="003E71A6">
        <w:rPr>
          <w:rFonts w:ascii="Arial" w:hAnsi="Arial" w:cs="Arial"/>
        </w:rPr>
        <w:t>2024)</w:t>
      </w:r>
      <w:r w:rsidRPr="009B7378">
        <w:rPr>
          <w:rFonts w:ascii="Arial" w:hAnsi="Arial" w:cs="Arial"/>
        </w:rPr>
        <w:t xml:space="preserve">. This work focuses on the application and modification of the seed pod for crude oil sorption. </w:t>
      </w:r>
    </w:p>
    <w:p w14:paraId="271B14A5" w14:textId="77777777" w:rsidR="00790ADA" w:rsidRPr="00FB3A86" w:rsidRDefault="00790ADA" w:rsidP="00A03B11">
      <w:pPr>
        <w:pStyle w:val="Body"/>
        <w:spacing w:after="0"/>
        <w:ind w:left="1260"/>
        <w:rPr>
          <w:rFonts w:ascii="Arial" w:hAnsi="Arial" w:cs="Arial"/>
        </w:rPr>
      </w:pPr>
    </w:p>
    <w:p w14:paraId="54F3D30F" w14:textId="77777777" w:rsidR="007F7B32" w:rsidRDefault="00902823" w:rsidP="00A03B11">
      <w:pPr>
        <w:pStyle w:val="AbstHead"/>
        <w:spacing w:after="0"/>
        <w:ind w:left="126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8F4CD7A" w14:textId="77777777" w:rsidR="00790ADA" w:rsidRPr="00FB3A86" w:rsidRDefault="00790ADA" w:rsidP="00A03B11">
      <w:pPr>
        <w:pStyle w:val="AbstHead"/>
        <w:spacing w:after="0"/>
        <w:ind w:left="1260"/>
        <w:jc w:val="both"/>
        <w:rPr>
          <w:rFonts w:ascii="Arial" w:hAnsi="Arial" w:cs="Arial"/>
        </w:rPr>
      </w:pPr>
    </w:p>
    <w:p w14:paraId="527B91CB" w14:textId="77777777" w:rsidR="007A2634" w:rsidRPr="007A2634" w:rsidRDefault="00AA74E0" w:rsidP="00A03B11">
      <w:pPr>
        <w:pStyle w:val="Body"/>
        <w:spacing w:after="0"/>
        <w:ind w:left="1260"/>
        <w:rPr>
          <w:rFonts w:ascii="Arial" w:hAnsi="Arial" w:cs="Arial"/>
          <w:b/>
          <w:i/>
          <w:sz w:val="22"/>
          <w:szCs w:val="22"/>
        </w:rPr>
      </w:pPr>
      <w:r w:rsidRPr="00C30A0F">
        <w:rPr>
          <w:rFonts w:ascii="Arial" w:hAnsi="Arial" w:cs="Arial"/>
          <w:b/>
          <w:caps/>
          <w:sz w:val="22"/>
        </w:rPr>
        <w:t xml:space="preserve">2.1 </w:t>
      </w:r>
      <w:r w:rsidR="007A2634" w:rsidRPr="007A2634">
        <w:rPr>
          <w:rFonts w:ascii="Arial" w:eastAsiaTheme="minorHAnsi" w:hAnsi="Arial" w:cs="Arial"/>
          <w:b/>
          <w:bCs/>
          <w:sz w:val="22"/>
          <w:szCs w:val="22"/>
        </w:rPr>
        <w:t>Preparation and Characterization of Adsorbents</w:t>
      </w:r>
    </w:p>
    <w:p w14:paraId="6994F5BB" w14:textId="77777777" w:rsidR="007A2634" w:rsidRPr="007A2634" w:rsidRDefault="007A2634" w:rsidP="00A03B11">
      <w:pPr>
        <w:pStyle w:val="NormalWeb"/>
        <w:shd w:val="clear" w:color="auto" w:fill="FFFFFF" w:themeFill="background1"/>
        <w:spacing w:before="0" w:beforeAutospacing="0" w:after="0" w:afterAutospacing="0"/>
        <w:ind w:left="1260"/>
        <w:jc w:val="both"/>
        <w:rPr>
          <w:rFonts w:ascii="Arial" w:hAnsi="Arial" w:cs="Arial"/>
          <w:sz w:val="20"/>
          <w:szCs w:val="20"/>
        </w:rPr>
      </w:pPr>
      <w:proofErr w:type="spellStart"/>
      <w:r w:rsidRPr="007A2634">
        <w:rPr>
          <w:rFonts w:ascii="Arial" w:hAnsi="Arial" w:cs="Arial"/>
          <w:i/>
          <w:sz w:val="20"/>
          <w:szCs w:val="20"/>
        </w:rPr>
        <w:t>Pentaclethra</w:t>
      </w:r>
      <w:proofErr w:type="spellEnd"/>
      <w:r w:rsidRPr="007A2634">
        <w:rPr>
          <w:rFonts w:ascii="Arial" w:hAnsi="Arial" w:cs="Arial"/>
          <w:i/>
          <w:sz w:val="20"/>
          <w:szCs w:val="20"/>
        </w:rPr>
        <w:t xml:space="preserve"> macrophylla</w:t>
      </w:r>
      <w:r w:rsidRPr="007A2634">
        <w:rPr>
          <w:rFonts w:ascii="Arial" w:hAnsi="Arial" w:cs="Arial"/>
          <w:sz w:val="20"/>
          <w:szCs w:val="20"/>
        </w:rPr>
        <w:t xml:space="preserve"> seed pods were obtained from the environment of </w:t>
      </w:r>
      <w:proofErr w:type="spellStart"/>
      <w:r w:rsidRPr="007A2634">
        <w:rPr>
          <w:rFonts w:ascii="Arial" w:hAnsi="Arial" w:cs="Arial"/>
          <w:sz w:val="20"/>
          <w:szCs w:val="20"/>
        </w:rPr>
        <w:t>Awka</w:t>
      </w:r>
      <w:proofErr w:type="spellEnd"/>
      <w:r w:rsidRPr="007A2634">
        <w:rPr>
          <w:rFonts w:ascii="Arial" w:hAnsi="Arial" w:cs="Arial"/>
          <w:sz w:val="20"/>
          <w:szCs w:val="20"/>
        </w:rPr>
        <w:t xml:space="preserve"> town in Anambra State, Nigeria. They were washed with tap water to remove dust and extraneous materials. Then they were washed with distilled water and sundried for 12 hours, after which they were oven dried to constant weight at 65⁰C. The dried samples were ground and then sieved with BS410/1986 laboratory sieves using a mechanical shaker to obtain particles of size 425 – 600 microns. </w:t>
      </w:r>
    </w:p>
    <w:p w14:paraId="12A3F0BC" w14:textId="77777777" w:rsidR="007A2634" w:rsidRPr="007A2634" w:rsidRDefault="007A2634" w:rsidP="00A03B11">
      <w:pPr>
        <w:pStyle w:val="NormalWeb"/>
        <w:shd w:val="clear" w:color="auto" w:fill="FFFFFF" w:themeFill="background1"/>
        <w:spacing w:before="240" w:beforeAutospacing="0" w:after="0" w:afterAutospacing="0"/>
        <w:ind w:left="1260"/>
        <w:jc w:val="both"/>
        <w:rPr>
          <w:rFonts w:ascii="Arial" w:hAnsi="Arial" w:cs="Arial"/>
          <w:sz w:val="20"/>
          <w:szCs w:val="20"/>
        </w:rPr>
      </w:pPr>
      <w:r w:rsidRPr="007A2634">
        <w:rPr>
          <w:rFonts w:ascii="Arial" w:hAnsi="Arial" w:cs="Arial"/>
          <w:sz w:val="20"/>
          <w:szCs w:val="20"/>
        </w:rPr>
        <w:t xml:space="preserve">A portion of the ground samples were modified using acetic anhydride under moderate conditions according to the solvent-free acetylation </w:t>
      </w:r>
      <w:r w:rsidR="00C35FC4">
        <w:rPr>
          <w:rFonts w:ascii="Arial" w:hAnsi="Arial" w:cs="Arial"/>
          <w:sz w:val="20"/>
          <w:szCs w:val="20"/>
        </w:rPr>
        <w:t>process described by (</w:t>
      </w:r>
      <w:r w:rsidR="00C35FC4" w:rsidRPr="00C35FC4">
        <w:rPr>
          <w:rFonts w:ascii="Arial" w:hAnsi="Arial" w:cs="Arial"/>
          <w:sz w:val="20"/>
          <w:szCs w:val="20"/>
        </w:rPr>
        <w:t>Asadpour et al., 2015)</w:t>
      </w:r>
      <w:r w:rsidRPr="00C35FC4">
        <w:rPr>
          <w:rFonts w:ascii="Arial" w:hAnsi="Arial" w:cs="Arial"/>
          <w:sz w:val="20"/>
          <w:szCs w:val="20"/>
        </w:rPr>
        <w:t>. The</w:t>
      </w:r>
      <w:r w:rsidRPr="007A2634">
        <w:rPr>
          <w:rFonts w:ascii="Arial" w:hAnsi="Arial" w:cs="Arial"/>
          <w:sz w:val="20"/>
          <w:szCs w:val="20"/>
        </w:rPr>
        <w:t xml:space="preserve"> substrate was contacted with the modifier in a ratio of 1:20 (g dry PMSP/mL acetic anhydride) at 30</w:t>
      </w:r>
      <w:r w:rsidRPr="007A2634">
        <w:rPr>
          <w:rFonts w:ascii="Arial" w:hAnsi="Arial" w:cs="Arial"/>
          <w:sz w:val="20"/>
          <w:szCs w:val="20"/>
          <w:vertAlign w:val="superscript"/>
        </w:rPr>
        <w:t>o</w:t>
      </w:r>
      <w:r w:rsidRPr="007A2634">
        <w:rPr>
          <w:rFonts w:ascii="Arial" w:hAnsi="Arial" w:cs="Arial"/>
          <w:sz w:val="20"/>
          <w:szCs w:val="20"/>
        </w:rPr>
        <w:t xml:space="preserve">C for 1 hour in the presence of 1% iodine as a catalyst. The modified sample was then dried to constant weight and cooled. </w:t>
      </w:r>
    </w:p>
    <w:p w14:paraId="3657220E" w14:textId="77777777" w:rsidR="007A2634" w:rsidRPr="007A2634" w:rsidRDefault="007A2634" w:rsidP="00A03B11">
      <w:pPr>
        <w:pStyle w:val="NormalWeb"/>
        <w:shd w:val="clear" w:color="auto" w:fill="FFFFFF" w:themeFill="background1"/>
        <w:spacing w:before="240" w:beforeAutospacing="0" w:after="0" w:afterAutospacing="0"/>
        <w:ind w:left="1260"/>
        <w:jc w:val="both"/>
        <w:rPr>
          <w:rFonts w:ascii="Arial" w:hAnsi="Arial" w:cs="Arial"/>
          <w:sz w:val="20"/>
          <w:szCs w:val="20"/>
        </w:rPr>
      </w:pPr>
      <w:r w:rsidRPr="007A2634">
        <w:rPr>
          <w:rFonts w:ascii="Arial" w:hAnsi="Arial" w:cs="Arial"/>
          <w:sz w:val="20"/>
          <w:szCs w:val="20"/>
        </w:rPr>
        <w:t>Using an attenuated total reflection (ATR) mode on a Nicolet iS5 spectrometer, Fourier-Transform Infrared (FTIR) spectra were obtained over the spectral range of 4000-400cm</w:t>
      </w:r>
      <w:r w:rsidRPr="007A2634">
        <w:rPr>
          <w:rFonts w:ascii="Arial" w:hAnsi="Arial" w:cs="Arial"/>
          <w:sz w:val="20"/>
          <w:szCs w:val="20"/>
          <w:vertAlign w:val="superscript"/>
        </w:rPr>
        <w:t>-1</w:t>
      </w:r>
      <w:r w:rsidRPr="007A2634">
        <w:rPr>
          <w:rFonts w:ascii="Arial" w:hAnsi="Arial" w:cs="Arial"/>
          <w:sz w:val="20"/>
          <w:szCs w:val="20"/>
        </w:rPr>
        <w:t xml:space="preserve">. </w:t>
      </w:r>
    </w:p>
    <w:p w14:paraId="47C2510C" w14:textId="77777777" w:rsidR="007A2634" w:rsidRPr="007A2634" w:rsidRDefault="007A2634" w:rsidP="00A03B11">
      <w:pPr>
        <w:spacing w:before="240"/>
        <w:ind w:left="1260"/>
        <w:rPr>
          <w:rFonts w:ascii="Arial" w:hAnsi="Arial" w:cs="Arial"/>
          <w:b/>
          <w:sz w:val="22"/>
          <w:szCs w:val="22"/>
        </w:rPr>
      </w:pPr>
      <w:r>
        <w:rPr>
          <w:rFonts w:ascii="Arial" w:hAnsi="Arial" w:cs="Arial"/>
          <w:b/>
          <w:bCs/>
          <w:sz w:val="22"/>
          <w:szCs w:val="22"/>
        </w:rPr>
        <w:t xml:space="preserve">2.2 </w:t>
      </w:r>
      <w:r w:rsidRPr="007A2634">
        <w:rPr>
          <w:rFonts w:ascii="Arial" w:hAnsi="Arial" w:cs="Arial"/>
          <w:b/>
          <w:bCs/>
          <w:sz w:val="22"/>
          <w:szCs w:val="22"/>
        </w:rPr>
        <w:t>Batch Adsorption Tests</w:t>
      </w:r>
    </w:p>
    <w:p w14:paraId="04AC0AA9" w14:textId="77777777" w:rsidR="007A2634" w:rsidRPr="007A2634" w:rsidRDefault="007A2634" w:rsidP="00A03B11">
      <w:pPr>
        <w:ind w:left="1260"/>
        <w:jc w:val="both"/>
        <w:rPr>
          <w:rFonts w:ascii="Arial" w:hAnsi="Arial" w:cs="Arial"/>
        </w:rPr>
      </w:pPr>
      <w:r w:rsidRPr="007A2634">
        <w:rPr>
          <w:rFonts w:ascii="Arial" w:hAnsi="Arial" w:cs="Arial"/>
        </w:rPr>
        <w:t>In order to mimic an actual oil spill, the crude oil for the sorption experiments were exposed to air for 24 hours. A weighed portion (0.2 g) of the raw and modified PMSP were contacted with 100 g/L of the crude oil at room temperature following the method</w:t>
      </w:r>
      <w:r w:rsidR="00121EBD">
        <w:rPr>
          <w:rFonts w:ascii="Arial" w:hAnsi="Arial" w:cs="Arial"/>
        </w:rPr>
        <w:t xml:space="preserve"> of (Onwuka et al., 2016). </w:t>
      </w:r>
      <w:r w:rsidRPr="007A2634">
        <w:rPr>
          <w:rFonts w:ascii="Arial" w:hAnsi="Arial" w:cs="Arial"/>
        </w:rPr>
        <w:t xml:space="preserve">The sorbents were taken out using sifting nets after the allotted amount of time, dried for 30 minutes at 60 </w:t>
      </w:r>
      <w:proofErr w:type="spellStart"/>
      <w:r w:rsidRPr="007A2634">
        <w:rPr>
          <w:rFonts w:ascii="Arial" w:hAnsi="Arial" w:cs="Arial"/>
          <w:vertAlign w:val="superscript"/>
        </w:rPr>
        <w:t>o</w:t>
      </w:r>
      <w:r w:rsidRPr="007A2634">
        <w:rPr>
          <w:rFonts w:ascii="Arial" w:hAnsi="Arial" w:cs="Arial"/>
        </w:rPr>
        <w:t>C</w:t>
      </w:r>
      <w:proofErr w:type="spellEnd"/>
      <w:r w:rsidRPr="007A2634">
        <w:rPr>
          <w:rFonts w:ascii="Arial" w:hAnsi="Arial" w:cs="Arial"/>
        </w:rPr>
        <w:t>, and then weighed again. Using equations 1 and 2, the o</w:t>
      </w:r>
      <w:r w:rsidRPr="007A2634">
        <w:rPr>
          <w:rFonts w:ascii="Arial" w:eastAsiaTheme="minorEastAsia" w:hAnsi="Arial" w:cs="Arial"/>
        </w:rPr>
        <w:t xml:space="preserve">il sorption </w:t>
      </w:r>
      <w:r w:rsidRPr="007A2634">
        <w:rPr>
          <w:rFonts w:ascii="Arial" w:eastAsiaTheme="minorEastAsia" w:hAnsi="Arial" w:cs="Arial"/>
        </w:rPr>
        <w:lastRenderedPageBreak/>
        <w:t xml:space="preserve">capacity and the </w:t>
      </w:r>
      <w:r w:rsidRPr="007A2634">
        <w:rPr>
          <w:rFonts w:ascii="Arial" w:hAnsi="Arial" w:cs="Arial"/>
        </w:rPr>
        <w:t>amount of crude oil adsorbed per unit weight of adsorbent (q)</w:t>
      </w:r>
      <w:r w:rsidRPr="007A2634">
        <w:rPr>
          <w:rFonts w:ascii="Arial" w:eastAsiaTheme="minorEastAsia" w:hAnsi="Arial" w:cs="Arial"/>
        </w:rPr>
        <w:t xml:space="preserve"> were calculated.</w:t>
      </w:r>
    </w:p>
    <w:p w14:paraId="5721ABF1" w14:textId="77777777" w:rsidR="007A2634" w:rsidRPr="007A2634" w:rsidRDefault="007A2634" w:rsidP="00A03B11">
      <w:pPr>
        <w:pStyle w:val="Displayedequation"/>
        <w:spacing w:before="120" w:after="120" w:line="240" w:lineRule="auto"/>
        <w:ind w:left="1260"/>
        <w:jc w:val="both"/>
        <w:rPr>
          <w:rFonts w:ascii="Arial" w:hAnsi="Arial" w:cs="Arial"/>
          <w:sz w:val="20"/>
          <w:szCs w:val="20"/>
        </w:rPr>
      </w:pPr>
      <w:r w:rsidRPr="007A2634">
        <w:rPr>
          <w:rFonts w:ascii="Arial" w:eastAsiaTheme="minorEastAsia" w:hAnsi="Arial" w:cs="Arial"/>
          <w:sz w:val="20"/>
          <w:szCs w:val="20"/>
        </w:rPr>
        <w:t xml:space="preserve">Oil sorption capacity =  </w:t>
      </w:r>
      <m:oMath>
        <m:f>
          <m:fPr>
            <m:ctrlPr>
              <w:rPr>
                <w:rFonts w:ascii="Cambria Math" w:eastAsiaTheme="minorEastAsia" w:hAnsi="Cambria Math" w:cs="Arial"/>
                <w:i/>
                <w:sz w:val="20"/>
                <w:szCs w:val="20"/>
              </w:rPr>
            </m:ctrlPr>
          </m:fPr>
          <m:num>
            <m:r>
              <m:rPr>
                <m:nor/>
              </m:rPr>
              <w:rPr>
                <w:rFonts w:ascii="Arial" w:hAnsi="Arial" w:cs="Arial"/>
                <w:sz w:val="20"/>
                <w:szCs w:val="20"/>
              </w:rPr>
              <m:t>W</m:t>
            </m:r>
            <m:r>
              <m:rPr>
                <m:nor/>
              </m:rPr>
              <w:rPr>
                <w:rFonts w:ascii="Arial" w:hAnsi="Arial" w:cs="Arial"/>
                <w:sz w:val="20"/>
                <w:szCs w:val="20"/>
                <w:vertAlign w:val="subscript"/>
              </w:rPr>
              <m:t xml:space="preserve">1 </m:t>
            </m:r>
            <m:r>
              <m:rPr>
                <m:nor/>
              </m:rPr>
              <w:rPr>
                <w:rFonts w:ascii="Arial" w:hAnsi="Arial" w:cs="Arial"/>
                <w:sz w:val="20"/>
                <w:szCs w:val="20"/>
              </w:rPr>
              <m:t>-</m:t>
            </m:r>
            <m:r>
              <m:rPr>
                <m:nor/>
              </m:rPr>
              <w:rPr>
                <w:rFonts w:ascii="Arial" w:hAnsi="Arial" w:cs="Arial"/>
                <w:sz w:val="20"/>
                <w:szCs w:val="20"/>
                <w:vertAlign w:val="subscript"/>
              </w:rPr>
              <m:t xml:space="preserve"> </m:t>
            </m:r>
            <m:r>
              <m:rPr>
                <m:nor/>
              </m:rPr>
              <w:rPr>
                <w:rFonts w:ascii="Arial" w:hAnsi="Arial" w:cs="Arial"/>
                <w:sz w:val="20"/>
                <w:szCs w:val="20"/>
              </w:rPr>
              <m:t>W</m:t>
            </m:r>
            <m:r>
              <m:rPr>
                <m:nor/>
              </m:rPr>
              <w:rPr>
                <w:rFonts w:ascii="Arial" w:hAnsi="Arial" w:cs="Arial"/>
                <w:sz w:val="20"/>
                <w:szCs w:val="20"/>
                <w:vertAlign w:val="subscript"/>
              </w:rPr>
              <m:t>0</m:t>
            </m:r>
          </m:num>
          <m:den>
            <m:r>
              <m:rPr>
                <m:nor/>
              </m:rPr>
              <w:rPr>
                <w:rFonts w:ascii="Arial" w:hAnsi="Arial" w:cs="Arial"/>
                <w:sz w:val="20"/>
                <w:szCs w:val="20"/>
              </w:rPr>
              <m:t>W</m:t>
            </m:r>
            <m:r>
              <m:rPr>
                <m:nor/>
              </m:rPr>
              <w:rPr>
                <w:rFonts w:ascii="Arial" w:hAnsi="Arial" w:cs="Arial"/>
                <w:sz w:val="20"/>
                <w:szCs w:val="20"/>
                <w:vertAlign w:val="subscript"/>
              </w:rPr>
              <m:t>0</m:t>
            </m:r>
          </m:den>
        </m:f>
      </m:oMath>
      <w:r w:rsidRPr="007A2634">
        <w:rPr>
          <w:rFonts w:ascii="Arial" w:hAnsi="Arial" w:cs="Arial"/>
          <w:sz w:val="20"/>
          <w:szCs w:val="20"/>
        </w:rPr>
        <w:tab/>
        <w:t>(1)</w:t>
      </w:r>
    </w:p>
    <w:p w14:paraId="41CE1F62" w14:textId="77777777" w:rsidR="007A2634" w:rsidRPr="007A2634" w:rsidRDefault="007A2634" w:rsidP="00A03B11">
      <w:pPr>
        <w:pStyle w:val="Displayedequation"/>
        <w:spacing w:before="120" w:after="120" w:line="240" w:lineRule="auto"/>
        <w:ind w:left="1260"/>
        <w:jc w:val="both"/>
        <w:rPr>
          <w:rFonts w:ascii="Arial" w:hAnsi="Arial" w:cs="Arial"/>
          <w:sz w:val="20"/>
          <w:szCs w:val="20"/>
        </w:rPr>
      </w:pPr>
      <w:proofErr w:type="gramStart"/>
      <w:r w:rsidRPr="007A2634">
        <w:rPr>
          <w:rFonts w:ascii="Arial" w:hAnsi="Arial" w:cs="Arial"/>
          <w:sz w:val="20"/>
          <w:szCs w:val="20"/>
        </w:rPr>
        <w:t>q</w:t>
      </w:r>
      <w:r w:rsidRPr="007A2634">
        <w:rPr>
          <w:rFonts w:ascii="Arial" w:hAnsi="Arial" w:cs="Arial"/>
          <w:sz w:val="20"/>
          <w:szCs w:val="20"/>
          <w:vertAlign w:val="subscript"/>
        </w:rPr>
        <w:t>t</w:t>
      </w:r>
      <w:r w:rsidRPr="007A2634">
        <w:rPr>
          <w:rFonts w:ascii="Arial" w:hAnsi="Arial" w:cs="Arial"/>
          <w:sz w:val="20"/>
          <w:szCs w:val="20"/>
        </w:rPr>
        <w:t xml:space="preserve">  =</w:t>
      </w:r>
      <w:proofErr w:type="gramEnd"/>
      <w:r w:rsidRPr="007A2634">
        <w:rPr>
          <w:rFonts w:ascii="Arial" w:hAnsi="Arial" w:cs="Arial"/>
          <w:sz w:val="20"/>
          <w:szCs w:val="20"/>
        </w:rPr>
        <w:t xml:space="preserve"> </w:t>
      </w:r>
      <w:r w:rsidRPr="007A2634">
        <w:rPr>
          <w:rFonts w:ascii="Arial" w:eastAsiaTheme="minorEastAsia" w:hAnsi="Arial" w:cs="Arial"/>
          <w:sz w:val="20"/>
          <w:szCs w:val="20"/>
        </w:rPr>
        <w:t xml:space="preserve"> </w:t>
      </w:r>
      <m:oMath>
        <m:f>
          <m:fPr>
            <m:ctrlPr>
              <w:rPr>
                <w:rFonts w:ascii="Cambria Math" w:hAnsi="Cambria Math" w:cs="Arial"/>
                <w:i/>
                <w:sz w:val="20"/>
                <w:szCs w:val="20"/>
              </w:rPr>
            </m:ctrlPr>
          </m:fPr>
          <m:num>
            <m:r>
              <m:rPr>
                <m:nor/>
              </m:rPr>
              <w:rPr>
                <w:rFonts w:ascii="Arial" w:hAnsi="Arial" w:cs="Arial"/>
                <w:sz w:val="20"/>
                <w:szCs w:val="20"/>
              </w:rPr>
              <m:t>(C</m:t>
            </m:r>
            <m:r>
              <m:rPr>
                <m:nor/>
              </m:rPr>
              <w:rPr>
                <w:rFonts w:ascii="Arial" w:hAnsi="Arial" w:cs="Arial"/>
                <w:sz w:val="20"/>
                <w:szCs w:val="20"/>
                <w:vertAlign w:val="subscript"/>
              </w:rPr>
              <m:t xml:space="preserve">o </m:t>
            </m:r>
            <m:r>
              <m:rPr>
                <m:nor/>
              </m:rPr>
              <w:rPr>
                <w:rFonts w:ascii="Arial" w:hAnsi="Arial" w:cs="Arial"/>
                <w:sz w:val="20"/>
                <w:szCs w:val="20"/>
              </w:rPr>
              <m:t>- C</m:t>
            </m:r>
            <m:r>
              <m:rPr>
                <m:nor/>
              </m:rPr>
              <w:rPr>
                <w:rFonts w:ascii="Arial" w:hAnsi="Arial" w:cs="Arial"/>
                <w:sz w:val="20"/>
                <w:szCs w:val="20"/>
                <w:vertAlign w:val="subscript"/>
              </w:rPr>
              <m:t>t</m:t>
            </m:r>
            <m:r>
              <m:rPr>
                <m:nor/>
              </m:rPr>
              <w:rPr>
                <w:rFonts w:ascii="Arial" w:hAnsi="Arial" w:cs="Arial"/>
                <w:sz w:val="20"/>
                <w:szCs w:val="20"/>
              </w:rPr>
              <m:t>)V</m:t>
            </m:r>
          </m:num>
          <m:den>
            <m:r>
              <m:rPr>
                <m:nor/>
              </m:rPr>
              <w:rPr>
                <w:rFonts w:ascii="Arial" w:hAnsi="Arial" w:cs="Arial"/>
                <w:sz w:val="20"/>
                <w:szCs w:val="20"/>
              </w:rPr>
              <m:t>m</m:t>
            </m:r>
          </m:den>
        </m:f>
      </m:oMath>
      <w:r w:rsidRPr="007A2634">
        <w:rPr>
          <w:rFonts w:ascii="Arial" w:hAnsi="Arial" w:cs="Arial"/>
          <w:sz w:val="20"/>
          <w:szCs w:val="20"/>
        </w:rPr>
        <w:tab/>
        <w:t>(2)</w:t>
      </w:r>
    </w:p>
    <w:p w14:paraId="1B96BC7C" w14:textId="77777777" w:rsidR="007A2634" w:rsidRDefault="007A2634" w:rsidP="00A03B11">
      <w:pPr>
        <w:pStyle w:val="Paragraph"/>
        <w:spacing w:before="120" w:line="240" w:lineRule="auto"/>
        <w:ind w:left="1260"/>
        <w:jc w:val="both"/>
        <w:rPr>
          <w:rFonts w:ascii="Arial" w:hAnsi="Arial" w:cs="Arial"/>
          <w:sz w:val="20"/>
          <w:szCs w:val="20"/>
        </w:rPr>
      </w:pPr>
    </w:p>
    <w:p w14:paraId="00C99846" w14:textId="77777777" w:rsidR="007A2634" w:rsidRDefault="007A2634" w:rsidP="00A03B11">
      <w:pPr>
        <w:pStyle w:val="Paragraph"/>
        <w:spacing w:before="120" w:line="240" w:lineRule="auto"/>
        <w:ind w:left="1260"/>
        <w:jc w:val="both"/>
        <w:rPr>
          <w:rFonts w:ascii="Arial" w:eastAsiaTheme="minorEastAsia" w:hAnsi="Arial" w:cs="Arial"/>
          <w:sz w:val="20"/>
          <w:szCs w:val="20"/>
        </w:rPr>
      </w:pPr>
      <w:r w:rsidRPr="007A2634">
        <w:rPr>
          <w:rFonts w:ascii="Arial" w:hAnsi="Arial" w:cs="Arial"/>
          <w:sz w:val="20"/>
          <w:szCs w:val="20"/>
        </w:rPr>
        <w:t xml:space="preserve">where: </w:t>
      </w:r>
      <w:r w:rsidRPr="007A2634">
        <w:rPr>
          <w:rFonts w:ascii="Arial" w:eastAsiaTheme="minorEastAsia" w:hAnsi="Arial" w:cs="Arial"/>
          <w:sz w:val="20"/>
          <w:szCs w:val="20"/>
        </w:rPr>
        <w:t>W</w:t>
      </w:r>
      <w:r w:rsidRPr="007A2634">
        <w:rPr>
          <w:rFonts w:ascii="Arial" w:eastAsiaTheme="minorEastAsia" w:hAnsi="Arial" w:cs="Arial"/>
          <w:sz w:val="20"/>
          <w:szCs w:val="20"/>
          <w:vertAlign w:val="subscript"/>
        </w:rPr>
        <w:t xml:space="preserve">0 </w:t>
      </w:r>
      <w:r w:rsidRPr="007A2634">
        <w:rPr>
          <w:rFonts w:ascii="Arial" w:eastAsiaTheme="minorEastAsia" w:hAnsi="Arial" w:cs="Arial"/>
          <w:sz w:val="20"/>
          <w:szCs w:val="20"/>
        </w:rPr>
        <w:t xml:space="preserve">(g) </w:t>
      </w:r>
      <w:r w:rsidRPr="007A2634">
        <w:rPr>
          <w:rFonts w:ascii="Arial" w:hAnsi="Arial" w:cs="Arial"/>
          <w:sz w:val="20"/>
          <w:szCs w:val="20"/>
        </w:rPr>
        <w:t xml:space="preserve">– </w:t>
      </w:r>
      <w:r w:rsidRPr="007A2634">
        <w:rPr>
          <w:rFonts w:ascii="Arial" w:eastAsiaTheme="minorEastAsia" w:hAnsi="Arial" w:cs="Arial"/>
          <w:sz w:val="20"/>
          <w:szCs w:val="20"/>
        </w:rPr>
        <w:t>weight of adsorbent before oil sorption, W</w:t>
      </w:r>
      <w:r w:rsidRPr="007A2634">
        <w:rPr>
          <w:rFonts w:ascii="Arial" w:eastAsiaTheme="minorEastAsia" w:hAnsi="Arial" w:cs="Arial"/>
          <w:sz w:val="20"/>
          <w:szCs w:val="20"/>
          <w:vertAlign w:val="subscript"/>
        </w:rPr>
        <w:t>1</w:t>
      </w:r>
      <w:r w:rsidRPr="007A2634">
        <w:rPr>
          <w:rFonts w:ascii="Arial" w:eastAsiaTheme="minorEastAsia" w:hAnsi="Arial" w:cs="Arial"/>
          <w:sz w:val="20"/>
          <w:szCs w:val="20"/>
        </w:rPr>
        <w:t xml:space="preserve"> (g) </w:t>
      </w:r>
      <w:r w:rsidRPr="007A2634">
        <w:rPr>
          <w:rFonts w:ascii="Arial" w:hAnsi="Arial" w:cs="Arial"/>
          <w:sz w:val="20"/>
          <w:szCs w:val="20"/>
        </w:rPr>
        <w:t xml:space="preserve">– </w:t>
      </w:r>
      <w:r w:rsidRPr="007A2634">
        <w:rPr>
          <w:rFonts w:ascii="Arial" w:eastAsiaTheme="minorEastAsia" w:hAnsi="Arial" w:cs="Arial"/>
          <w:sz w:val="20"/>
          <w:szCs w:val="20"/>
        </w:rPr>
        <w:t>weight of the oil-loaded sorbent, C</w:t>
      </w:r>
      <w:r w:rsidRPr="007A2634">
        <w:rPr>
          <w:rFonts w:ascii="Arial" w:eastAsiaTheme="minorEastAsia" w:hAnsi="Arial" w:cs="Arial"/>
          <w:sz w:val="20"/>
          <w:szCs w:val="20"/>
          <w:vertAlign w:val="subscript"/>
        </w:rPr>
        <w:t>o</w:t>
      </w:r>
      <w:r w:rsidRPr="007A2634">
        <w:rPr>
          <w:rFonts w:ascii="Arial" w:eastAsiaTheme="minorEastAsia" w:hAnsi="Arial" w:cs="Arial"/>
          <w:sz w:val="20"/>
          <w:szCs w:val="20"/>
        </w:rPr>
        <w:t xml:space="preserve"> (mg/L</w:t>
      </w:r>
      <w:r w:rsidRPr="007A2634">
        <w:rPr>
          <w:rFonts w:ascii="Arial" w:hAnsi="Arial" w:cs="Arial"/>
          <w:sz w:val="20"/>
          <w:szCs w:val="20"/>
        </w:rPr>
        <w:t xml:space="preserve"> – </w:t>
      </w:r>
      <w:r w:rsidRPr="007A2634">
        <w:rPr>
          <w:rFonts w:ascii="Arial" w:eastAsiaTheme="minorEastAsia" w:hAnsi="Arial" w:cs="Arial"/>
          <w:sz w:val="20"/>
          <w:szCs w:val="20"/>
        </w:rPr>
        <w:t>initial crude oil concentration, C</w:t>
      </w:r>
      <w:r w:rsidRPr="007A2634">
        <w:rPr>
          <w:rFonts w:ascii="Arial" w:eastAsiaTheme="minorEastAsia" w:hAnsi="Arial" w:cs="Arial"/>
          <w:sz w:val="20"/>
          <w:szCs w:val="20"/>
          <w:vertAlign w:val="subscript"/>
        </w:rPr>
        <w:t xml:space="preserve">t </w:t>
      </w:r>
      <w:r w:rsidRPr="007A2634">
        <w:rPr>
          <w:rFonts w:ascii="Arial" w:eastAsiaTheme="minorEastAsia" w:hAnsi="Arial" w:cs="Arial"/>
          <w:sz w:val="20"/>
          <w:szCs w:val="20"/>
        </w:rPr>
        <w:t xml:space="preserve">(mg/L) </w:t>
      </w:r>
      <w:r w:rsidRPr="007A2634">
        <w:rPr>
          <w:rFonts w:ascii="Arial" w:hAnsi="Arial" w:cs="Arial"/>
          <w:sz w:val="20"/>
          <w:szCs w:val="20"/>
        </w:rPr>
        <w:t xml:space="preserve">– </w:t>
      </w:r>
      <w:r w:rsidRPr="007A2634">
        <w:rPr>
          <w:rFonts w:ascii="Arial" w:eastAsiaTheme="minorEastAsia" w:hAnsi="Arial" w:cs="Arial"/>
          <w:sz w:val="20"/>
          <w:szCs w:val="20"/>
        </w:rPr>
        <w:t xml:space="preserve">crude oil concentration at time t, V (L) </w:t>
      </w:r>
      <w:r w:rsidRPr="007A2634">
        <w:rPr>
          <w:rFonts w:ascii="Arial" w:hAnsi="Arial" w:cs="Arial"/>
          <w:sz w:val="20"/>
          <w:szCs w:val="20"/>
        </w:rPr>
        <w:t xml:space="preserve">– </w:t>
      </w:r>
      <w:r w:rsidRPr="007A2634">
        <w:rPr>
          <w:rFonts w:ascii="Arial" w:eastAsiaTheme="minorEastAsia" w:hAnsi="Arial" w:cs="Arial"/>
          <w:sz w:val="20"/>
          <w:szCs w:val="20"/>
        </w:rPr>
        <w:t xml:space="preserve">volume of the solution, and m (g) </w:t>
      </w:r>
      <w:r w:rsidRPr="007A2634">
        <w:rPr>
          <w:rFonts w:ascii="Arial" w:hAnsi="Arial" w:cs="Arial"/>
          <w:sz w:val="20"/>
          <w:szCs w:val="20"/>
        </w:rPr>
        <w:t xml:space="preserve">– </w:t>
      </w:r>
      <w:r w:rsidRPr="007A2634">
        <w:rPr>
          <w:rFonts w:ascii="Arial" w:eastAsiaTheme="minorEastAsia" w:hAnsi="Arial" w:cs="Arial"/>
          <w:sz w:val="20"/>
          <w:szCs w:val="20"/>
        </w:rPr>
        <w:t>mass of the sorbent.</w:t>
      </w:r>
    </w:p>
    <w:p w14:paraId="50E363E2" w14:textId="77777777" w:rsidR="007A2634" w:rsidRPr="007A2634" w:rsidRDefault="007A2634" w:rsidP="00A03B11">
      <w:pPr>
        <w:ind w:left="1260"/>
        <w:rPr>
          <w:rFonts w:eastAsiaTheme="minorEastAsia"/>
          <w:lang w:val="en-GB" w:eastAsia="en-GB"/>
        </w:rPr>
      </w:pPr>
    </w:p>
    <w:p w14:paraId="3E7BC69F" w14:textId="77777777" w:rsidR="00902823" w:rsidRDefault="00000F8F" w:rsidP="00A03B11">
      <w:pPr>
        <w:pStyle w:val="Head1"/>
        <w:spacing w:after="0"/>
        <w:ind w:left="126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7F87D2" w14:textId="77777777" w:rsidR="00790ADA" w:rsidRPr="00FB3A86" w:rsidRDefault="00790ADA" w:rsidP="00A03B11">
      <w:pPr>
        <w:pStyle w:val="Head1"/>
        <w:spacing w:after="0"/>
        <w:ind w:left="1260"/>
        <w:jc w:val="both"/>
        <w:rPr>
          <w:rFonts w:ascii="Arial" w:hAnsi="Arial" w:cs="Arial"/>
        </w:rPr>
      </w:pPr>
    </w:p>
    <w:p w14:paraId="108A56C3" w14:textId="77777777" w:rsidR="00C45E06" w:rsidRPr="007F4DA1" w:rsidRDefault="00C45E06" w:rsidP="00A03B11">
      <w:pPr>
        <w:pStyle w:val="Body"/>
        <w:spacing w:after="0"/>
        <w:ind w:left="1260"/>
        <w:rPr>
          <w:rFonts w:asciiTheme="minorBidi" w:hAnsiTheme="minorBidi"/>
          <w:b/>
        </w:rPr>
      </w:pPr>
      <w:r>
        <w:rPr>
          <w:rFonts w:ascii="Arial" w:hAnsi="Arial" w:cs="Arial"/>
          <w:b/>
          <w:caps/>
          <w:sz w:val="22"/>
        </w:rPr>
        <w:t>3</w:t>
      </w:r>
      <w:r w:rsidRPr="00C30A0F">
        <w:rPr>
          <w:rFonts w:ascii="Arial" w:hAnsi="Arial" w:cs="Arial"/>
          <w:b/>
          <w:caps/>
          <w:sz w:val="22"/>
        </w:rPr>
        <w:t xml:space="preserve">.1 </w:t>
      </w:r>
      <w:r w:rsidRPr="00C45E06">
        <w:rPr>
          <w:rFonts w:ascii="Arial" w:hAnsi="Arial" w:cs="Arial"/>
          <w:b/>
          <w:bCs/>
          <w:sz w:val="22"/>
          <w:szCs w:val="22"/>
        </w:rPr>
        <w:t>Infra-red spectroscopy</w:t>
      </w:r>
    </w:p>
    <w:p w14:paraId="262F37A8" w14:textId="77777777" w:rsidR="00C45E06" w:rsidRPr="00C45E06" w:rsidRDefault="00C45E06" w:rsidP="00A03B11">
      <w:pPr>
        <w:ind w:left="1260"/>
        <w:jc w:val="both"/>
        <w:rPr>
          <w:rFonts w:ascii="Arial" w:hAnsi="Arial" w:cs="Arial"/>
        </w:rPr>
      </w:pPr>
      <w:r w:rsidRPr="00C45E06">
        <w:rPr>
          <w:rFonts w:ascii="Arial" w:hAnsi="Arial" w:cs="Arial"/>
        </w:rPr>
        <w:t xml:space="preserve">The Fourier-Transform Infrared (FTIR) spectra of raw PMSP (RPMSP) and modified PMSP (MPMSP), before and after crude oil sorption, are shown in Figs. 1 and 2, respectively. </w:t>
      </w:r>
    </w:p>
    <w:p w14:paraId="7C76E013" w14:textId="77777777" w:rsidR="00C45E06" w:rsidRPr="00C45E06" w:rsidRDefault="00C45E06" w:rsidP="00A03B11">
      <w:pPr>
        <w:spacing w:after="120"/>
        <w:ind w:left="1260"/>
        <w:jc w:val="both"/>
        <w:rPr>
          <w:rFonts w:ascii="Arial" w:hAnsi="Arial" w:cs="Arial"/>
          <w:b/>
          <w:bCs/>
        </w:rPr>
      </w:pPr>
    </w:p>
    <w:p w14:paraId="777F3402" w14:textId="77777777" w:rsidR="00C45E06" w:rsidRPr="00C45E06" w:rsidRDefault="00C45E06" w:rsidP="00A03B11">
      <w:pPr>
        <w:spacing w:after="120"/>
        <w:ind w:left="1260"/>
        <w:jc w:val="center"/>
        <w:rPr>
          <w:rFonts w:ascii="Arial" w:hAnsi="Arial" w:cs="Arial"/>
          <w:b/>
          <w:bCs/>
        </w:rPr>
      </w:pPr>
      <w:r w:rsidRPr="00C45E06">
        <w:rPr>
          <w:rFonts w:ascii="Arial" w:hAnsi="Arial" w:cs="Arial"/>
          <w:noProof/>
        </w:rPr>
        <w:drawing>
          <wp:inline distT="0" distB="0" distL="0" distR="0" wp14:anchorId="78C32FDB" wp14:editId="730FEA9B">
            <wp:extent cx="5166360" cy="4076700"/>
            <wp:effectExtent l="0" t="0" r="0" b="0"/>
            <wp:docPr id="13" name="Picture 13" descr="C:\Users\IFY OBI\Desktop\Fig 3-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FY OBI\Desktop\Fig 3-1-0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936"/>
                    <a:stretch/>
                  </pic:blipFill>
                  <pic:spPr bwMode="auto">
                    <a:xfrm>
                      <a:off x="0" y="0"/>
                      <a:ext cx="5168413" cy="4078320"/>
                    </a:xfrm>
                    <a:prstGeom prst="rect">
                      <a:avLst/>
                    </a:prstGeom>
                    <a:noFill/>
                    <a:ln>
                      <a:noFill/>
                    </a:ln>
                    <a:extLst>
                      <a:ext uri="{53640926-AAD7-44D8-BBD7-CCE9431645EC}">
                        <a14:shadowObscured xmlns:a14="http://schemas.microsoft.com/office/drawing/2010/main"/>
                      </a:ext>
                    </a:extLst>
                  </pic:spPr>
                </pic:pic>
              </a:graphicData>
            </a:graphic>
          </wp:inline>
        </w:drawing>
      </w:r>
    </w:p>
    <w:p w14:paraId="65FB1B59" w14:textId="77777777" w:rsidR="00C45E06" w:rsidRDefault="00C45E06" w:rsidP="00A03B11">
      <w:pPr>
        <w:spacing w:after="120"/>
        <w:ind w:left="1260"/>
        <w:jc w:val="center"/>
        <w:rPr>
          <w:rFonts w:ascii="Arial" w:hAnsi="Arial" w:cs="Arial"/>
          <w:b/>
          <w:bCs/>
        </w:rPr>
      </w:pPr>
      <w:r w:rsidRPr="00C45E06">
        <w:rPr>
          <w:rFonts w:ascii="Arial" w:hAnsi="Arial" w:cs="Arial"/>
          <w:b/>
          <w:bCs/>
        </w:rPr>
        <w:t>Fig. 1. FTIR spectra of raw and modified PMSP before crude oil sorption</w:t>
      </w:r>
    </w:p>
    <w:p w14:paraId="6D551173" w14:textId="77777777" w:rsidR="00121EBD" w:rsidRPr="00C45E06" w:rsidRDefault="00121EBD" w:rsidP="00A03B11">
      <w:pPr>
        <w:spacing w:after="120"/>
        <w:ind w:left="1260"/>
        <w:jc w:val="center"/>
        <w:rPr>
          <w:rFonts w:ascii="Arial" w:hAnsi="Arial" w:cs="Arial"/>
          <w:b/>
          <w:bCs/>
        </w:rPr>
      </w:pPr>
    </w:p>
    <w:p w14:paraId="738B6D19" w14:textId="77777777" w:rsidR="00C45E06" w:rsidRPr="00C45E06" w:rsidRDefault="00C45E06" w:rsidP="00A03B11">
      <w:pPr>
        <w:spacing w:after="120"/>
        <w:ind w:left="1260"/>
        <w:jc w:val="center"/>
        <w:rPr>
          <w:rFonts w:ascii="Arial" w:hAnsi="Arial" w:cs="Arial"/>
          <w:b/>
          <w:bCs/>
        </w:rPr>
      </w:pPr>
      <w:r w:rsidRPr="00C45E06">
        <w:rPr>
          <w:rFonts w:ascii="Arial" w:hAnsi="Arial" w:cs="Arial"/>
          <w:b/>
          <w:noProof/>
        </w:rPr>
        <w:lastRenderedPageBreak/>
        <w:drawing>
          <wp:inline distT="0" distB="0" distL="0" distR="0" wp14:anchorId="44A8200A" wp14:editId="00E1F07C">
            <wp:extent cx="5143500" cy="3832860"/>
            <wp:effectExtent l="0" t="0" r="0" b="0"/>
            <wp:docPr id="14" name="Picture 14" descr="C:\Users\IFY OBI\Desktop\POLLUTION JOURNAL\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FY OBI\Desktop\POLLUTION JOURNAL\Fig. 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7076" cy="3835525"/>
                    </a:xfrm>
                    <a:prstGeom prst="rect">
                      <a:avLst/>
                    </a:prstGeom>
                    <a:noFill/>
                    <a:ln>
                      <a:noFill/>
                    </a:ln>
                  </pic:spPr>
                </pic:pic>
              </a:graphicData>
            </a:graphic>
          </wp:inline>
        </w:drawing>
      </w:r>
    </w:p>
    <w:p w14:paraId="46E54FE4" w14:textId="77777777" w:rsidR="00C45E06" w:rsidRPr="00C45E06" w:rsidRDefault="00C45E06" w:rsidP="00A03B11">
      <w:pPr>
        <w:ind w:left="1260"/>
        <w:jc w:val="center"/>
        <w:rPr>
          <w:rFonts w:ascii="Arial" w:hAnsi="Arial" w:cs="Arial"/>
          <w:b/>
          <w:bCs/>
        </w:rPr>
      </w:pPr>
      <w:r w:rsidRPr="00C45E06">
        <w:rPr>
          <w:rFonts w:ascii="Arial" w:hAnsi="Arial" w:cs="Arial"/>
          <w:b/>
          <w:bCs/>
        </w:rPr>
        <w:t>Fig. 2. FTIR spectra of raw and modified PMSP after crude oil sorption</w:t>
      </w:r>
    </w:p>
    <w:p w14:paraId="6636C8C0" w14:textId="77777777" w:rsidR="00CD7752" w:rsidRDefault="00CD7752" w:rsidP="00A03B11">
      <w:pPr>
        <w:ind w:left="1260"/>
        <w:jc w:val="both"/>
        <w:rPr>
          <w:rFonts w:ascii="Arial" w:hAnsi="Arial" w:cs="Arial"/>
        </w:rPr>
      </w:pPr>
    </w:p>
    <w:p w14:paraId="5EC04F4E" w14:textId="77777777" w:rsidR="00C45E06" w:rsidRPr="00C45E06" w:rsidRDefault="00C45E06" w:rsidP="00A03B11">
      <w:pPr>
        <w:ind w:left="1260"/>
        <w:jc w:val="both"/>
        <w:rPr>
          <w:rFonts w:ascii="Arial" w:hAnsi="Arial" w:cs="Arial"/>
        </w:rPr>
      </w:pPr>
      <w:r w:rsidRPr="00C45E06">
        <w:rPr>
          <w:rFonts w:ascii="Arial" w:hAnsi="Arial" w:cs="Arial"/>
        </w:rPr>
        <w:t>The absorption band at the region of 3300 – 3400 cm</w:t>
      </w:r>
      <w:r w:rsidRPr="00C45E06">
        <w:rPr>
          <w:rFonts w:ascii="Arial" w:hAnsi="Arial" w:cs="Arial"/>
          <w:vertAlign w:val="superscript"/>
        </w:rPr>
        <w:t>-1</w:t>
      </w:r>
      <w:r w:rsidRPr="00C45E06">
        <w:rPr>
          <w:rFonts w:ascii="Arial" w:hAnsi="Arial" w:cs="Arial"/>
        </w:rPr>
        <w:t xml:space="preserve"> and the peak at 1610 cm</w:t>
      </w:r>
      <w:r w:rsidRPr="00C45E06">
        <w:rPr>
          <w:rFonts w:ascii="Arial" w:hAnsi="Arial" w:cs="Arial"/>
          <w:vertAlign w:val="superscript"/>
        </w:rPr>
        <w:t>-1</w:t>
      </w:r>
      <w:r w:rsidRPr="00C45E06">
        <w:rPr>
          <w:rFonts w:ascii="Arial" w:hAnsi="Arial" w:cs="Arial"/>
        </w:rPr>
        <w:t xml:space="preserve"> are attributed to O-H stretching and bend</w:t>
      </w:r>
      <w:r w:rsidR="004126AB">
        <w:rPr>
          <w:rFonts w:ascii="Arial" w:hAnsi="Arial" w:cs="Arial"/>
        </w:rPr>
        <w:t>ing vibrations, respectively (</w:t>
      </w:r>
      <w:proofErr w:type="spellStart"/>
      <w:r w:rsidR="004126AB">
        <w:rPr>
          <w:rFonts w:ascii="Arial" w:hAnsi="Arial" w:cs="Arial"/>
        </w:rPr>
        <w:t>Purwaningrum</w:t>
      </w:r>
      <w:proofErr w:type="spellEnd"/>
      <w:r w:rsidR="004126AB">
        <w:rPr>
          <w:rFonts w:ascii="Arial" w:hAnsi="Arial" w:cs="Arial"/>
        </w:rPr>
        <w:t xml:space="preserve"> et al., 2021)</w:t>
      </w:r>
      <w:r w:rsidRPr="00C45E06">
        <w:rPr>
          <w:rFonts w:ascii="Arial" w:hAnsi="Arial" w:cs="Arial"/>
        </w:rPr>
        <w:t>. The peaks at 2910 cm</w:t>
      </w:r>
      <w:r w:rsidRPr="00C45E06">
        <w:rPr>
          <w:rFonts w:ascii="Arial" w:hAnsi="Arial" w:cs="Arial"/>
          <w:vertAlign w:val="superscript"/>
        </w:rPr>
        <w:t>-1</w:t>
      </w:r>
      <w:r w:rsidRPr="00C45E06">
        <w:rPr>
          <w:rFonts w:ascii="Arial" w:hAnsi="Arial" w:cs="Arial"/>
        </w:rPr>
        <w:t xml:space="preserve"> and in the range of 1317 – 1426 cm</w:t>
      </w:r>
      <w:r w:rsidRPr="00C45E06">
        <w:rPr>
          <w:rFonts w:ascii="Arial" w:hAnsi="Arial" w:cs="Arial"/>
          <w:vertAlign w:val="superscript"/>
        </w:rPr>
        <w:t>-1</w:t>
      </w:r>
      <w:r w:rsidRPr="00C45E06">
        <w:rPr>
          <w:rFonts w:ascii="Arial" w:hAnsi="Arial" w:cs="Arial"/>
        </w:rPr>
        <w:t xml:space="preserve"> correspond to the C-H stretching and bending vibrations, respectively, which constitute the basic structure </w:t>
      </w:r>
      <w:r w:rsidR="004126AB">
        <w:rPr>
          <w:rFonts w:ascii="Arial" w:hAnsi="Arial" w:cs="Arial"/>
        </w:rPr>
        <w:t>of lignocellulosic materials (El-</w:t>
      </w:r>
      <w:proofErr w:type="spellStart"/>
      <w:r w:rsidR="004126AB">
        <w:rPr>
          <w:rFonts w:ascii="Arial" w:hAnsi="Arial" w:cs="Arial"/>
        </w:rPr>
        <w:t>Gheriany</w:t>
      </w:r>
      <w:proofErr w:type="spellEnd"/>
      <w:r w:rsidR="004126AB">
        <w:rPr>
          <w:rFonts w:ascii="Arial" w:hAnsi="Arial" w:cs="Arial"/>
        </w:rPr>
        <w:t xml:space="preserve"> et al., 2020)</w:t>
      </w:r>
      <w:r w:rsidRPr="00C45E06">
        <w:rPr>
          <w:rFonts w:ascii="Arial" w:hAnsi="Arial" w:cs="Arial"/>
        </w:rPr>
        <w:t>. The peaks at 1724 cm</w:t>
      </w:r>
      <w:r w:rsidRPr="00C45E06">
        <w:rPr>
          <w:rFonts w:ascii="Arial" w:hAnsi="Arial" w:cs="Arial"/>
          <w:vertAlign w:val="superscript"/>
        </w:rPr>
        <w:t xml:space="preserve">-1 </w:t>
      </w:r>
      <w:r w:rsidRPr="00C45E06">
        <w:rPr>
          <w:rFonts w:ascii="Arial" w:hAnsi="Arial" w:cs="Arial"/>
        </w:rPr>
        <w:t>and 1508 cm</w:t>
      </w:r>
      <w:r w:rsidRPr="00C45E06">
        <w:rPr>
          <w:rFonts w:ascii="Arial" w:hAnsi="Arial" w:cs="Arial"/>
          <w:vertAlign w:val="superscript"/>
        </w:rPr>
        <w:t xml:space="preserve">-1 </w:t>
      </w:r>
      <w:r w:rsidRPr="00C45E06">
        <w:rPr>
          <w:rFonts w:ascii="Arial" w:hAnsi="Arial" w:cs="Arial"/>
        </w:rPr>
        <w:t>correspond to the C=O stretching vibration of acetyl group and C=C stretching of</w:t>
      </w:r>
      <w:r w:rsidR="004126AB">
        <w:rPr>
          <w:rFonts w:ascii="Arial" w:hAnsi="Arial" w:cs="Arial"/>
        </w:rPr>
        <w:t xml:space="preserve"> aromatic ring, respectively (Roy et al., 2024)</w:t>
      </w:r>
      <w:r w:rsidRPr="00C45E06">
        <w:rPr>
          <w:rFonts w:ascii="Arial" w:hAnsi="Arial" w:cs="Arial"/>
        </w:rPr>
        <w:t>. The peaks in the region of 1029 – 1232 cm</w:t>
      </w:r>
      <w:r w:rsidRPr="00C45E06">
        <w:rPr>
          <w:rFonts w:ascii="Arial" w:hAnsi="Arial" w:cs="Arial"/>
          <w:vertAlign w:val="superscript"/>
        </w:rPr>
        <w:t xml:space="preserve">-1 </w:t>
      </w:r>
      <w:r w:rsidRPr="00C45E06">
        <w:rPr>
          <w:rFonts w:ascii="Arial" w:hAnsi="Arial" w:cs="Arial"/>
        </w:rPr>
        <w:t>are attributed to C-O stretch</w:t>
      </w:r>
      <w:r w:rsidR="004126AB">
        <w:rPr>
          <w:rFonts w:ascii="Arial" w:hAnsi="Arial" w:cs="Arial"/>
        </w:rPr>
        <w:t>ing vibration of acetyl group (Abdullah et al., 2015)</w:t>
      </w:r>
      <w:r w:rsidRPr="00C45E06">
        <w:rPr>
          <w:rFonts w:ascii="Arial" w:hAnsi="Arial" w:cs="Arial"/>
        </w:rPr>
        <w:t>. The spectra of the modified PMSP showed increased intensity of the peaks owing to the acetylation effect. The FTIR spectra of the raw and modified PMSP are consistent with those of other cellulosic materials</w:t>
      </w:r>
      <w:r w:rsidR="000C7D68">
        <w:rPr>
          <w:rFonts w:ascii="Arial" w:hAnsi="Arial" w:cs="Arial"/>
        </w:rPr>
        <w:t xml:space="preserve"> reported by other researchers </w:t>
      </w:r>
      <w:r w:rsidR="004126AB">
        <w:rPr>
          <w:rFonts w:ascii="Arial" w:hAnsi="Arial" w:cs="Arial"/>
        </w:rPr>
        <w:t>(Mahmoud, 2020; Onwuka et al., 2018)</w:t>
      </w:r>
      <w:r w:rsidRPr="00C45E06">
        <w:rPr>
          <w:rFonts w:ascii="Arial" w:hAnsi="Arial" w:cs="Arial"/>
        </w:rPr>
        <w:t>.</w:t>
      </w:r>
    </w:p>
    <w:p w14:paraId="12AF5036" w14:textId="77777777" w:rsidR="00C45E06" w:rsidRPr="00C45E06" w:rsidRDefault="00C45E06" w:rsidP="00A03B11">
      <w:pPr>
        <w:spacing w:before="240"/>
        <w:ind w:left="1260"/>
        <w:jc w:val="both"/>
        <w:rPr>
          <w:rFonts w:ascii="Arial" w:hAnsi="Arial" w:cs="Arial"/>
          <w:b/>
        </w:rPr>
      </w:pPr>
      <w:r w:rsidRPr="00C45E06">
        <w:rPr>
          <w:rFonts w:ascii="Arial" w:hAnsi="Arial" w:cs="Arial"/>
        </w:rPr>
        <w:t>The spectra of the oil-treated RPMSP and MPMSP (Fig. 2) show the appearance of intense and sharp peaks at 2921cm</w:t>
      </w:r>
      <w:r w:rsidRPr="00C45E06">
        <w:rPr>
          <w:rFonts w:ascii="Arial" w:hAnsi="Arial" w:cs="Arial"/>
          <w:vertAlign w:val="superscript"/>
        </w:rPr>
        <w:t>−1</w:t>
      </w:r>
      <w:r w:rsidRPr="00C45E06">
        <w:rPr>
          <w:rFonts w:ascii="Arial" w:hAnsi="Arial" w:cs="Arial"/>
        </w:rPr>
        <w:t>, 2852 cm</w:t>
      </w:r>
      <w:r w:rsidRPr="00C45E06">
        <w:rPr>
          <w:rFonts w:ascii="Arial" w:hAnsi="Arial" w:cs="Arial"/>
          <w:vertAlign w:val="superscript"/>
        </w:rPr>
        <w:t>−1</w:t>
      </w:r>
      <w:r w:rsidRPr="00C45E06">
        <w:rPr>
          <w:rFonts w:ascii="Arial" w:hAnsi="Arial" w:cs="Arial"/>
        </w:rPr>
        <w:t xml:space="preserve"> and 1376.12 – 1456.40 cm</w:t>
      </w:r>
      <w:r w:rsidRPr="00C45E06">
        <w:rPr>
          <w:rFonts w:ascii="Arial" w:hAnsi="Arial" w:cs="Arial"/>
          <w:vertAlign w:val="superscript"/>
        </w:rPr>
        <w:t xml:space="preserve">−1 </w:t>
      </w:r>
      <w:r w:rsidRPr="00C45E06">
        <w:rPr>
          <w:rFonts w:ascii="Arial" w:hAnsi="Arial" w:cs="Arial"/>
        </w:rPr>
        <w:t>which correspond to CH</w:t>
      </w:r>
      <w:r w:rsidRPr="00C45E06">
        <w:rPr>
          <w:rFonts w:ascii="Arial" w:hAnsi="Arial" w:cs="Arial"/>
          <w:vertAlign w:val="subscript"/>
        </w:rPr>
        <w:t>3</w:t>
      </w:r>
      <w:r w:rsidRPr="00C45E06">
        <w:rPr>
          <w:rFonts w:ascii="Arial" w:hAnsi="Arial" w:cs="Arial"/>
        </w:rPr>
        <w:t>, CH</w:t>
      </w:r>
      <w:r w:rsidRPr="00C45E06">
        <w:rPr>
          <w:rFonts w:ascii="Arial" w:hAnsi="Arial" w:cs="Arial"/>
          <w:vertAlign w:val="subscript"/>
        </w:rPr>
        <w:t>2</w:t>
      </w:r>
      <w:r w:rsidRPr="00C45E06">
        <w:rPr>
          <w:rFonts w:ascii="Arial" w:hAnsi="Arial" w:cs="Arial"/>
        </w:rPr>
        <w:t xml:space="preserve"> and C-H bending of crude oil. This provides evidence that crude oil actu</w:t>
      </w:r>
      <w:r w:rsidR="004126AB">
        <w:rPr>
          <w:rFonts w:ascii="Arial" w:hAnsi="Arial" w:cs="Arial"/>
        </w:rPr>
        <w:t>ally adsorbed on the sorbents (Kudaybergenov et al., 2013)</w:t>
      </w:r>
      <w:r w:rsidRPr="00C45E06">
        <w:rPr>
          <w:rFonts w:ascii="Arial" w:hAnsi="Arial" w:cs="Arial"/>
        </w:rPr>
        <w:t xml:space="preserve">. </w:t>
      </w:r>
    </w:p>
    <w:p w14:paraId="6AA4D82B" w14:textId="77777777" w:rsidR="00C45E06" w:rsidRPr="00C45E06" w:rsidRDefault="00C45E06" w:rsidP="00A03B11">
      <w:pPr>
        <w:ind w:left="1260"/>
        <w:rPr>
          <w:rFonts w:ascii="Arial" w:hAnsi="Arial" w:cs="Arial"/>
          <w:b/>
          <w:bCs/>
        </w:rPr>
      </w:pPr>
    </w:p>
    <w:p w14:paraId="5105DE6F" w14:textId="77777777" w:rsidR="00C45E06" w:rsidRPr="00C45E06" w:rsidRDefault="00C45E06" w:rsidP="00A03B11">
      <w:pPr>
        <w:ind w:left="1260"/>
        <w:rPr>
          <w:rFonts w:ascii="Arial" w:hAnsi="Arial" w:cs="Arial"/>
          <w:b/>
          <w:sz w:val="22"/>
          <w:szCs w:val="22"/>
        </w:rPr>
      </w:pPr>
      <w:r w:rsidRPr="00C45E06">
        <w:rPr>
          <w:rFonts w:ascii="Arial" w:hAnsi="Arial" w:cs="Arial"/>
          <w:b/>
          <w:caps/>
          <w:sz w:val="22"/>
          <w:szCs w:val="22"/>
        </w:rPr>
        <w:t xml:space="preserve">3.2 </w:t>
      </w:r>
      <w:r w:rsidRPr="00C45E06">
        <w:rPr>
          <w:rFonts w:ascii="Arial" w:hAnsi="Arial" w:cs="Arial"/>
          <w:b/>
          <w:bCs/>
          <w:sz w:val="22"/>
          <w:szCs w:val="22"/>
        </w:rPr>
        <w:t>Effect of Initial Crude Oil Concentration and Isotherm Studies</w:t>
      </w:r>
    </w:p>
    <w:p w14:paraId="693328FB" w14:textId="77777777" w:rsidR="00C45E06" w:rsidRPr="00C45E06" w:rsidRDefault="00C45E06" w:rsidP="00A03B11">
      <w:pPr>
        <w:ind w:left="1260"/>
        <w:jc w:val="both"/>
        <w:rPr>
          <w:rFonts w:ascii="Arial" w:hAnsi="Arial" w:cs="Arial"/>
        </w:rPr>
      </w:pPr>
      <w:r w:rsidRPr="00C45E06">
        <w:rPr>
          <w:rFonts w:ascii="Arial" w:hAnsi="Arial" w:cs="Arial"/>
        </w:rPr>
        <w:t>The effect of initial crude oil concentration</w:t>
      </w:r>
      <w:r w:rsidRPr="00C45E06">
        <w:rPr>
          <w:rFonts w:ascii="Arial" w:hAnsi="Arial" w:cs="Arial"/>
          <w:b/>
        </w:rPr>
        <w:t xml:space="preserve"> </w:t>
      </w:r>
      <w:r w:rsidRPr="00C45E06">
        <w:rPr>
          <w:rFonts w:ascii="Arial" w:hAnsi="Arial" w:cs="Arial"/>
        </w:rPr>
        <w:t xml:space="preserve">on the oil sorption capacity of RPMSP and MPMSP is shown in Fig. 3. The oil sorption capacity of the adsorbents increased with an increase in the initial crude oil concentration from 50 to 125 g/L. Further increase in the oil concentration resulted in lower oil sorption capacity. This finding is similar to that of </w:t>
      </w:r>
      <w:r w:rsidR="004126AB">
        <w:rPr>
          <w:rFonts w:ascii="Arial" w:hAnsi="Arial" w:cs="Arial"/>
        </w:rPr>
        <w:t>Onwuka et al. (2018)</w:t>
      </w:r>
      <w:r w:rsidRPr="00C45E06">
        <w:rPr>
          <w:rFonts w:ascii="Arial" w:hAnsi="Arial" w:cs="Arial"/>
        </w:rPr>
        <w:t xml:space="preserve">, who observed that as initial crude oil concentration increased to 2.5 g/100 mL, the oil sorption capacity of unmodified cocoa pods (CP) and modified oil palm empty fruit bunch (OPEFB) increased. Sorption equilibrium was reached for both the modified CP and unmodified OPEFB at 1.25 and 3.75 g/100 mL, respectively. Subsequently, the oil sorption capacity declined as the initial crude oil concentration increased. </w:t>
      </w:r>
    </w:p>
    <w:p w14:paraId="6AB80B29" w14:textId="77777777" w:rsidR="00C45E06" w:rsidRPr="00C45E06" w:rsidRDefault="00C45E06" w:rsidP="00A03B11">
      <w:pPr>
        <w:spacing w:before="240"/>
        <w:ind w:left="1260"/>
        <w:jc w:val="both"/>
        <w:rPr>
          <w:rFonts w:ascii="Arial" w:hAnsi="Arial" w:cs="Arial"/>
        </w:rPr>
      </w:pPr>
      <w:r w:rsidRPr="00C45E06">
        <w:rPr>
          <w:rFonts w:ascii="Arial" w:hAnsi="Arial" w:cs="Arial"/>
        </w:rPr>
        <w:t xml:space="preserve">The oil sorption capacity increased with increase in initial oil concentration because the concentration gradient caused mass transfer of the oil from the bulk to the adsorbent's surface. However, there are only a finite number of active sites in each adsorbent, and these </w:t>
      </w:r>
      <w:r w:rsidRPr="00C45E06">
        <w:rPr>
          <w:rFonts w:ascii="Arial" w:hAnsi="Arial" w:cs="Arial"/>
        </w:rPr>
        <w:lastRenderedPageBreak/>
        <w:t>sites saturate at increasing oil concentrations, leaving a lar</w:t>
      </w:r>
      <w:r w:rsidR="00BE47C2">
        <w:rPr>
          <w:rFonts w:ascii="Arial" w:hAnsi="Arial" w:cs="Arial"/>
        </w:rPr>
        <w:t>ge amount of oil un-adsorbed (</w:t>
      </w:r>
      <w:proofErr w:type="spellStart"/>
      <w:r w:rsidR="00BE47C2">
        <w:rPr>
          <w:rFonts w:ascii="Arial" w:hAnsi="Arial" w:cs="Arial"/>
        </w:rPr>
        <w:t>Najaa-Syuhada</w:t>
      </w:r>
      <w:proofErr w:type="spellEnd"/>
      <w:r w:rsidR="00BE47C2">
        <w:rPr>
          <w:rFonts w:ascii="Arial" w:hAnsi="Arial" w:cs="Arial"/>
        </w:rPr>
        <w:t xml:space="preserve"> et al., 2017)</w:t>
      </w:r>
      <w:r w:rsidRPr="00C45E06">
        <w:rPr>
          <w:rFonts w:ascii="Arial" w:hAnsi="Arial" w:cs="Arial"/>
        </w:rPr>
        <w:t>. Furthermore, resistance to the mass transfer driving force for adsorption may result from the saturation of the adsorbent's surface, which could cause the adsorbed oil to desorb, resulting in</w:t>
      </w:r>
      <w:r w:rsidR="00BE47C2">
        <w:rPr>
          <w:rFonts w:ascii="Arial" w:hAnsi="Arial" w:cs="Arial"/>
        </w:rPr>
        <w:t xml:space="preserve"> lower oil sorption capacity (Basu et al., 2018)</w:t>
      </w:r>
      <w:r w:rsidRPr="00C45E06">
        <w:rPr>
          <w:rFonts w:ascii="Arial" w:hAnsi="Arial" w:cs="Arial"/>
        </w:rPr>
        <w:t>. For the different initial crude oil concentrations considered, MPMSP had higher oil sorption capacity than RPMSP. This is likely due to the increased surface area and pore volume of MPMSP, as earlier observed, which provided more active area for sorption.</w:t>
      </w:r>
    </w:p>
    <w:p w14:paraId="319105E7" w14:textId="77777777" w:rsidR="00C45E06" w:rsidRPr="00C45E06" w:rsidRDefault="00C45E06" w:rsidP="00A03B11">
      <w:pPr>
        <w:spacing w:before="240"/>
        <w:ind w:left="1260"/>
        <w:jc w:val="center"/>
        <w:rPr>
          <w:rFonts w:ascii="Arial" w:hAnsi="Arial" w:cs="Arial"/>
        </w:rPr>
      </w:pPr>
      <w:r w:rsidRPr="00C45E06">
        <w:rPr>
          <w:rFonts w:ascii="Arial" w:hAnsi="Arial" w:cs="Arial"/>
          <w:b/>
          <w:noProof/>
        </w:rPr>
        <w:drawing>
          <wp:inline distT="0" distB="0" distL="0" distR="0" wp14:anchorId="76D37825" wp14:editId="29B51F00">
            <wp:extent cx="5158740" cy="3178810"/>
            <wp:effectExtent l="0" t="0" r="0" b="0"/>
            <wp:docPr id="23" name="Picture 23" descr="C:\Users\IFY OBI\Desktop\PMSP\NEW\Fig 6. Raw-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FY OBI\Desktop\PMSP\NEW\Fig 6. Raw-1_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4262"/>
                    <a:stretch/>
                  </pic:blipFill>
                  <pic:spPr bwMode="auto">
                    <a:xfrm>
                      <a:off x="0" y="0"/>
                      <a:ext cx="5165795" cy="3183157"/>
                    </a:xfrm>
                    <a:prstGeom prst="rect">
                      <a:avLst/>
                    </a:prstGeom>
                    <a:noFill/>
                    <a:ln>
                      <a:noFill/>
                    </a:ln>
                    <a:extLst>
                      <a:ext uri="{53640926-AAD7-44D8-BBD7-CCE9431645EC}">
                        <a14:shadowObscured xmlns:a14="http://schemas.microsoft.com/office/drawing/2010/main"/>
                      </a:ext>
                    </a:extLst>
                  </pic:spPr>
                </pic:pic>
              </a:graphicData>
            </a:graphic>
          </wp:inline>
        </w:drawing>
      </w:r>
    </w:p>
    <w:p w14:paraId="239C38E0" w14:textId="77777777" w:rsidR="00C45E06" w:rsidRPr="00C45E06" w:rsidRDefault="00C45E06" w:rsidP="00A03B11">
      <w:pPr>
        <w:ind w:left="1260"/>
        <w:jc w:val="center"/>
        <w:rPr>
          <w:rFonts w:ascii="Arial" w:hAnsi="Arial" w:cs="Arial"/>
          <w:b/>
          <w:bCs/>
        </w:rPr>
      </w:pPr>
      <w:r w:rsidRPr="00C45E06">
        <w:rPr>
          <w:rFonts w:ascii="Arial" w:hAnsi="Arial" w:cs="Arial"/>
          <w:b/>
          <w:bCs/>
        </w:rPr>
        <w:t>Fig. 3. Effect of initial oil concentration on the oil sorption capacity of raw and modified PMSP</w:t>
      </w:r>
    </w:p>
    <w:p w14:paraId="3B3EA791" w14:textId="77777777" w:rsidR="00C45E06" w:rsidRPr="00C45E06" w:rsidRDefault="00C45E06" w:rsidP="00A03B11">
      <w:pPr>
        <w:ind w:left="1260"/>
        <w:jc w:val="center"/>
        <w:rPr>
          <w:rFonts w:ascii="Arial" w:hAnsi="Arial" w:cs="Arial"/>
          <w:b/>
          <w:bCs/>
        </w:rPr>
      </w:pPr>
    </w:p>
    <w:p w14:paraId="6DAF365F" w14:textId="77777777" w:rsidR="00C45E06" w:rsidRPr="00C45E06" w:rsidRDefault="00C45E06" w:rsidP="00A03B11">
      <w:pPr>
        <w:ind w:left="1260"/>
        <w:jc w:val="both"/>
        <w:rPr>
          <w:rFonts w:ascii="Arial" w:hAnsi="Arial" w:cs="Arial"/>
        </w:rPr>
      </w:pPr>
      <w:r w:rsidRPr="00C45E06">
        <w:rPr>
          <w:rFonts w:ascii="Arial" w:hAnsi="Arial" w:cs="Arial"/>
        </w:rPr>
        <w:t>The sorption equilibrium was further studied by applying various isotherm models to the experimental data. Adsorption isotherms can be used to establish the surface properties of a sorbent an</w:t>
      </w:r>
      <w:r w:rsidR="00CE0F46">
        <w:rPr>
          <w:rFonts w:ascii="Arial" w:hAnsi="Arial" w:cs="Arial"/>
        </w:rPr>
        <w:t>d its affinity for a sorbate (Amrutha et al., 2023)</w:t>
      </w:r>
      <w:r w:rsidRPr="00C45E06">
        <w:rPr>
          <w:rFonts w:ascii="Arial" w:hAnsi="Arial" w:cs="Arial"/>
        </w:rPr>
        <w:t xml:space="preserve">. The isotherm models applied were the Freundlich, Langmuir, Temkin, and </w:t>
      </w:r>
      <w:proofErr w:type="spellStart"/>
      <w:r w:rsidRPr="00C45E06">
        <w:rPr>
          <w:rFonts w:ascii="Arial" w:hAnsi="Arial" w:cs="Arial"/>
        </w:rPr>
        <w:t>Dubinin-Radushkevich</w:t>
      </w:r>
      <w:proofErr w:type="spellEnd"/>
      <w:r w:rsidRPr="00C45E06">
        <w:rPr>
          <w:rFonts w:ascii="Arial" w:hAnsi="Arial" w:cs="Arial"/>
        </w:rPr>
        <w:t xml:space="preserve"> isotherm plots as expressed in equations (3) – (6), respectively </w:t>
      </w:r>
      <w:r w:rsidR="00CE0F46">
        <w:rPr>
          <w:rFonts w:ascii="Arial" w:hAnsi="Arial" w:cs="Arial"/>
        </w:rPr>
        <w:t>(Santos et al</w:t>
      </w:r>
      <w:r w:rsidR="00CE0F46" w:rsidRPr="00400138">
        <w:rPr>
          <w:rFonts w:ascii="Arial" w:hAnsi="Arial" w:cs="Arial"/>
        </w:rPr>
        <w:t xml:space="preserve">., 2015; </w:t>
      </w:r>
      <w:r w:rsidR="00400138" w:rsidRPr="00400138">
        <w:rPr>
          <w:rFonts w:ascii="Arial" w:hAnsi="Arial" w:cs="Arial"/>
        </w:rPr>
        <w:t>Shah et al., 2021</w:t>
      </w:r>
      <w:r w:rsidR="00CE0F46" w:rsidRPr="00400138">
        <w:rPr>
          <w:rFonts w:ascii="Arial" w:hAnsi="Arial" w:cs="Arial"/>
        </w:rPr>
        <w:t>).</w:t>
      </w:r>
      <w:r w:rsidRPr="00C45E06">
        <w:rPr>
          <w:rFonts w:ascii="Arial" w:hAnsi="Arial" w:cs="Arial"/>
        </w:rPr>
        <w:t xml:space="preserve"> </w:t>
      </w:r>
    </w:p>
    <w:p w14:paraId="75C5CC66" w14:textId="77777777" w:rsidR="00C45E06" w:rsidRPr="00C45E06" w:rsidRDefault="007C12B4" w:rsidP="00A03B11">
      <w:pPr>
        <w:pStyle w:val="Displayedequation"/>
        <w:spacing w:before="120" w:after="120" w:line="240" w:lineRule="auto"/>
        <w:ind w:left="1260"/>
        <w:rPr>
          <w:rFonts w:ascii="Arial" w:hAnsi="Arial" w:cs="Arial"/>
          <w:sz w:val="20"/>
          <w:szCs w:val="20"/>
        </w:rPr>
      </w:pPr>
      <m:oMath>
        <m:f>
          <m:fPr>
            <m:ctrlPr>
              <w:rPr>
                <w:rFonts w:ascii="Cambria Math" w:hAnsi="Cambria Math" w:cs="Arial"/>
                <w:i/>
                <w:sz w:val="20"/>
                <w:szCs w:val="20"/>
              </w:rPr>
            </m:ctrlPr>
          </m:fPr>
          <m:num>
            <m:r>
              <m:rPr>
                <m:nor/>
              </m:rPr>
              <w:rPr>
                <w:rFonts w:ascii="Arial" w:hAnsi="Arial" w:cs="Arial"/>
                <w:sz w:val="20"/>
                <w:szCs w:val="20"/>
              </w:rPr>
              <m:t>C</m:t>
            </m:r>
            <m:r>
              <m:rPr>
                <m:nor/>
              </m:rPr>
              <w:rPr>
                <w:rFonts w:ascii="Arial" w:hAnsi="Arial" w:cs="Arial"/>
                <w:sz w:val="20"/>
                <w:szCs w:val="20"/>
                <w:vertAlign w:val="subscript"/>
              </w:rPr>
              <m:t>e</m:t>
            </m:r>
          </m:num>
          <m:den>
            <m:r>
              <m:rPr>
                <m:nor/>
              </m:rPr>
              <w:rPr>
                <w:rFonts w:ascii="Arial" w:hAnsi="Arial" w:cs="Arial"/>
                <w:sz w:val="20"/>
                <w:szCs w:val="20"/>
              </w:rPr>
              <m:t>q</m:t>
            </m:r>
            <m:r>
              <m:rPr>
                <m:nor/>
              </m:rPr>
              <w:rPr>
                <w:rFonts w:ascii="Arial" w:hAnsi="Arial" w:cs="Arial"/>
                <w:sz w:val="20"/>
                <w:szCs w:val="20"/>
                <w:vertAlign w:val="subscript"/>
              </w:rPr>
              <m:t xml:space="preserve">e </m:t>
            </m:r>
          </m:den>
        </m:f>
        <m:r>
          <m:rPr>
            <m:nor/>
          </m:rPr>
          <w:rPr>
            <w:rFonts w:ascii="Arial" w:hAnsi="Arial" w:cs="Arial"/>
            <w:sz w:val="20"/>
            <w:szCs w:val="20"/>
          </w:rPr>
          <m:t xml:space="preserve">  =  </m:t>
        </m:r>
        <m:f>
          <m:fPr>
            <m:ctrlPr>
              <w:rPr>
                <w:rFonts w:ascii="Cambria Math" w:hAnsi="Cambria Math" w:cs="Arial"/>
                <w:i/>
                <w:sz w:val="20"/>
                <w:szCs w:val="20"/>
              </w:rPr>
            </m:ctrlPr>
          </m:fPr>
          <m:num>
            <m:r>
              <m:rPr>
                <m:nor/>
              </m:rPr>
              <w:rPr>
                <w:rFonts w:ascii="Arial" w:hAnsi="Arial" w:cs="Arial"/>
                <w:sz w:val="20"/>
                <w:szCs w:val="20"/>
              </w:rPr>
              <m:t>1</m:t>
            </m:r>
          </m:num>
          <m:den>
            <m:r>
              <m:rPr>
                <m:nor/>
              </m:rPr>
              <w:rPr>
                <w:rFonts w:ascii="Arial" w:hAnsi="Arial" w:cs="Arial"/>
                <w:sz w:val="20"/>
                <w:szCs w:val="20"/>
              </w:rPr>
              <m:t>K</m:t>
            </m:r>
            <m:r>
              <m:rPr>
                <m:nor/>
              </m:rPr>
              <w:rPr>
                <w:rFonts w:ascii="Arial" w:hAnsi="Arial" w:cs="Arial"/>
                <w:sz w:val="20"/>
                <w:szCs w:val="20"/>
                <w:vertAlign w:val="subscript"/>
              </w:rPr>
              <m:t>L</m:t>
            </m:r>
            <m:r>
              <m:rPr>
                <m:nor/>
              </m:rPr>
              <w:rPr>
                <w:rFonts w:ascii="Arial" w:hAnsi="Arial" w:cs="Arial"/>
                <w:sz w:val="20"/>
                <w:szCs w:val="20"/>
              </w:rPr>
              <m:t>.q</m:t>
            </m:r>
            <m:r>
              <m:rPr>
                <m:nor/>
              </m:rPr>
              <w:rPr>
                <w:rFonts w:ascii="Arial" w:hAnsi="Arial" w:cs="Arial"/>
                <w:sz w:val="20"/>
                <w:szCs w:val="20"/>
                <w:vertAlign w:val="subscript"/>
              </w:rPr>
              <m:t>m</m:t>
            </m:r>
          </m:den>
        </m:f>
        <m:r>
          <m:rPr>
            <m:nor/>
          </m:rPr>
          <w:rPr>
            <w:rFonts w:ascii="Arial" w:hAnsi="Arial" w:cs="Arial"/>
            <w:sz w:val="20"/>
            <w:szCs w:val="20"/>
          </w:rPr>
          <m:t xml:space="preserve"> +  </m:t>
        </m:r>
        <m:f>
          <m:fPr>
            <m:ctrlPr>
              <w:rPr>
                <w:rFonts w:ascii="Cambria Math" w:hAnsi="Cambria Math" w:cs="Arial"/>
                <w:i/>
                <w:sz w:val="20"/>
                <w:szCs w:val="20"/>
              </w:rPr>
            </m:ctrlPr>
          </m:fPr>
          <m:num>
            <m:r>
              <m:rPr>
                <m:nor/>
              </m:rPr>
              <w:rPr>
                <w:rFonts w:ascii="Arial" w:hAnsi="Arial" w:cs="Arial"/>
                <w:sz w:val="20"/>
                <w:szCs w:val="20"/>
              </w:rPr>
              <m:t>C</m:t>
            </m:r>
            <m:r>
              <m:rPr>
                <m:nor/>
              </m:rPr>
              <w:rPr>
                <w:rFonts w:ascii="Arial" w:hAnsi="Arial" w:cs="Arial"/>
                <w:sz w:val="20"/>
                <w:szCs w:val="20"/>
                <w:vertAlign w:val="subscript"/>
              </w:rPr>
              <m:t>e</m:t>
            </m:r>
          </m:num>
          <m:den>
            <m:r>
              <m:rPr>
                <m:nor/>
              </m:rPr>
              <w:rPr>
                <w:rFonts w:ascii="Arial" w:hAnsi="Arial" w:cs="Arial"/>
                <w:sz w:val="20"/>
                <w:szCs w:val="20"/>
              </w:rPr>
              <m:t>q</m:t>
            </m:r>
            <m:r>
              <m:rPr>
                <m:nor/>
              </m:rPr>
              <w:rPr>
                <w:rFonts w:ascii="Arial" w:hAnsi="Arial" w:cs="Arial"/>
                <w:sz w:val="20"/>
                <w:szCs w:val="20"/>
                <w:vertAlign w:val="subscript"/>
              </w:rPr>
              <m:t>m</m:t>
            </m:r>
          </m:den>
        </m:f>
      </m:oMath>
      <w:r w:rsidR="00C45E06" w:rsidRPr="00C45E06">
        <w:rPr>
          <w:rFonts w:ascii="Arial" w:hAnsi="Arial" w:cs="Arial"/>
          <w:sz w:val="20"/>
          <w:szCs w:val="20"/>
        </w:rPr>
        <w:tab/>
        <w:t>(3)</w:t>
      </w:r>
    </w:p>
    <w:p w14:paraId="403F68DB" w14:textId="77777777" w:rsidR="00C45E06" w:rsidRPr="00C45E06" w:rsidRDefault="00C45E06" w:rsidP="00A03B11">
      <w:pPr>
        <w:pStyle w:val="Displayedequation"/>
        <w:spacing w:before="120" w:after="120" w:line="240" w:lineRule="auto"/>
        <w:ind w:left="1260"/>
        <w:rPr>
          <w:rFonts w:ascii="Arial" w:hAnsi="Arial" w:cs="Arial"/>
          <w:sz w:val="20"/>
          <w:szCs w:val="20"/>
        </w:rPr>
      </w:pPr>
      <w:r w:rsidRPr="00C45E06">
        <w:rPr>
          <w:rFonts w:ascii="Arial" w:hAnsi="Arial" w:cs="Arial"/>
          <w:sz w:val="20"/>
          <w:szCs w:val="20"/>
        </w:rPr>
        <w:t xml:space="preserve">ln </w:t>
      </w:r>
      <w:proofErr w:type="spellStart"/>
      <w:proofErr w:type="gramStart"/>
      <w:r w:rsidRPr="00C45E06">
        <w:rPr>
          <w:rFonts w:ascii="Arial" w:hAnsi="Arial" w:cs="Arial"/>
          <w:sz w:val="20"/>
          <w:szCs w:val="20"/>
        </w:rPr>
        <w:t>q</w:t>
      </w:r>
      <w:r w:rsidRPr="00C45E06">
        <w:rPr>
          <w:rFonts w:ascii="Arial" w:hAnsi="Arial" w:cs="Arial"/>
          <w:sz w:val="20"/>
          <w:szCs w:val="20"/>
          <w:vertAlign w:val="subscript"/>
        </w:rPr>
        <w:t>e</w:t>
      </w:r>
      <w:proofErr w:type="spellEnd"/>
      <w:r w:rsidRPr="00C45E06">
        <w:rPr>
          <w:rFonts w:ascii="Arial" w:hAnsi="Arial" w:cs="Arial"/>
          <w:sz w:val="20"/>
          <w:szCs w:val="20"/>
        </w:rPr>
        <w:t xml:space="preserve">  =</w:t>
      </w:r>
      <w:proofErr w:type="gramEnd"/>
      <w:r w:rsidRPr="00C45E06">
        <w:rPr>
          <w:rFonts w:ascii="Arial" w:hAnsi="Arial" w:cs="Arial"/>
          <w:sz w:val="20"/>
          <w:szCs w:val="20"/>
        </w:rPr>
        <w:t xml:space="preserve">  ln K</w:t>
      </w:r>
      <w:r w:rsidRPr="00C45E06">
        <w:rPr>
          <w:rFonts w:ascii="Arial" w:hAnsi="Arial" w:cs="Arial"/>
          <w:sz w:val="20"/>
          <w:szCs w:val="20"/>
          <w:vertAlign w:val="subscript"/>
        </w:rPr>
        <w:t xml:space="preserve">F </w:t>
      </w:r>
      <w:r w:rsidRPr="00C45E06">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oMath>
      <w:r w:rsidRPr="00C45E06">
        <w:rPr>
          <w:rFonts w:ascii="Arial" w:hAnsi="Arial" w:cs="Arial"/>
          <w:sz w:val="20"/>
          <w:szCs w:val="20"/>
        </w:rPr>
        <w:t xml:space="preserve"> ln C</w:t>
      </w:r>
      <w:r w:rsidRPr="00C45E06">
        <w:rPr>
          <w:rFonts w:ascii="Arial" w:hAnsi="Arial" w:cs="Arial"/>
          <w:sz w:val="20"/>
          <w:szCs w:val="20"/>
          <w:vertAlign w:val="subscript"/>
        </w:rPr>
        <w:t>e</w:t>
      </w:r>
      <w:r w:rsidRPr="00C45E06">
        <w:rPr>
          <w:rFonts w:ascii="Arial" w:hAnsi="Arial" w:cs="Arial"/>
          <w:sz w:val="20"/>
          <w:szCs w:val="20"/>
        </w:rPr>
        <w:tab/>
        <w:t>(4)</w:t>
      </w:r>
    </w:p>
    <w:p w14:paraId="5BA66084" w14:textId="77777777" w:rsidR="00C45E06" w:rsidRPr="00C45E06" w:rsidRDefault="00C45E06" w:rsidP="00A03B11">
      <w:pPr>
        <w:pStyle w:val="Displayedequation"/>
        <w:spacing w:before="120" w:after="120" w:line="240" w:lineRule="auto"/>
        <w:ind w:left="1260"/>
        <w:rPr>
          <w:rFonts w:ascii="Arial" w:hAnsi="Arial" w:cs="Arial"/>
          <w:sz w:val="20"/>
          <w:szCs w:val="20"/>
        </w:rPr>
      </w:pPr>
      <w:proofErr w:type="spellStart"/>
      <w:r w:rsidRPr="00C45E06">
        <w:rPr>
          <w:rFonts w:ascii="Arial" w:hAnsi="Arial" w:cs="Arial"/>
          <w:sz w:val="20"/>
          <w:szCs w:val="20"/>
        </w:rPr>
        <w:t>q</w:t>
      </w:r>
      <w:r w:rsidRPr="00C45E06">
        <w:rPr>
          <w:rFonts w:ascii="Arial" w:hAnsi="Arial" w:cs="Arial"/>
          <w:sz w:val="20"/>
          <w:szCs w:val="20"/>
          <w:vertAlign w:val="subscript"/>
        </w:rPr>
        <w:t>e</w:t>
      </w:r>
      <w:proofErr w:type="spellEnd"/>
      <w:r w:rsidRPr="00C45E06">
        <w:rPr>
          <w:rFonts w:ascii="Arial" w:hAnsi="Arial" w:cs="Arial"/>
          <w:sz w:val="20"/>
          <w:szCs w:val="20"/>
        </w:rPr>
        <w:t xml:space="preserve"> =  </w:t>
      </w:r>
      <m:oMath>
        <m:r>
          <m:rPr>
            <m:sty m:val="p"/>
          </m:rPr>
          <w:rPr>
            <w:rFonts w:ascii="Cambria Math" w:hAnsi="Cambria Math" w:cs="Arial"/>
            <w:sz w:val="20"/>
            <w:szCs w:val="20"/>
          </w:rPr>
          <m:t xml:space="preserve">B </m:t>
        </m:r>
      </m:oMath>
      <w:r w:rsidRPr="00C45E06">
        <w:rPr>
          <w:rFonts w:ascii="Arial" w:hAnsi="Arial" w:cs="Arial"/>
          <w:sz w:val="20"/>
          <w:szCs w:val="20"/>
        </w:rPr>
        <w:t xml:space="preserve">ln </w:t>
      </w:r>
      <w:proofErr w:type="gramStart"/>
      <w:r w:rsidRPr="00C45E06">
        <w:rPr>
          <w:rFonts w:ascii="Arial" w:hAnsi="Arial" w:cs="Arial"/>
          <w:sz w:val="20"/>
          <w:szCs w:val="20"/>
        </w:rPr>
        <w:t>K</w:t>
      </w:r>
      <w:r w:rsidRPr="00C45E06">
        <w:rPr>
          <w:rFonts w:ascii="Arial" w:hAnsi="Arial" w:cs="Arial"/>
          <w:sz w:val="20"/>
          <w:szCs w:val="20"/>
          <w:vertAlign w:val="subscript"/>
        </w:rPr>
        <w:t>T</w:t>
      </w:r>
      <w:r w:rsidRPr="00C45E06">
        <w:rPr>
          <w:rFonts w:ascii="Arial" w:hAnsi="Arial" w:cs="Arial"/>
          <w:sz w:val="20"/>
          <w:szCs w:val="20"/>
        </w:rPr>
        <w:t xml:space="preserve">  +</w:t>
      </w:r>
      <w:proofErr w:type="gramEnd"/>
      <w:r w:rsidRPr="00C45E06">
        <w:rPr>
          <w:rFonts w:ascii="Arial" w:hAnsi="Arial" w:cs="Arial"/>
          <w:sz w:val="20"/>
          <w:szCs w:val="20"/>
        </w:rPr>
        <w:t xml:space="preserve">   </w:t>
      </w:r>
      <m:oMath>
        <m:r>
          <w:rPr>
            <w:rFonts w:ascii="Cambria Math" w:hAnsi="Cambria Math" w:cs="Arial"/>
            <w:sz w:val="20"/>
            <w:szCs w:val="20"/>
          </w:rPr>
          <m:t>B</m:t>
        </m:r>
      </m:oMath>
      <w:r w:rsidRPr="00C45E06">
        <w:rPr>
          <w:rFonts w:ascii="Arial" w:hAnsi="Arial" w:cs="Arial"/>
          <w:sz w:val="20"/>
          <w:szCs w:val="20"/>
        </w:rPr>
        <w:t xml:space="preserve"> ln C</w:t>
      </w:r>
      <w:r w:rsidRPr="00C45E06">
        <w:rPr>
          <w:rFonts w:ascii="Arial" w:hAnsi="Arial" w:cs="Arial"/>
          <w:sz w:val="20"/>
          <w:szCs w:val="20"/>
          <w:vertAlign w:val="subscript"/>
        </w:rPr>
        <w:t>e</w:t>
      </w:r>
      <w:r w:rsidRPr="00C45E06">
        <w:rPr>
          <w:rFonts w:ascii="Arial" w:hAnsi="Arial" w:cs="Arial"/>
          <w:sz w:val="20"/>
          <w:szCs w:val="20"/>
        </w:rPr>
        <w:tab/>
        <w:t>(5)</w:t>
      </w:r>
    </w:p>
    <w:p w14:paraId="18D18252" w14:textId="77777777" w:rsidR="00C45E06" w:rsidRPr="00C45E06" w:rsidRDefault="007C12B4" w:rsidP="00A03B11">
      <w:pPr>
        <w:pStyle w:val="Displayedequation"/>
        <w:spacing w:before="120" w:after="120" w:line="240" w:lineRule="auto"/>
        <w:ind w:left="1260"/>
        <w:rPr>
          <w:rFonts w:ascii="Arial" w:hAnsi="Arial" w:cs="Arial"/>
          <w:sz w:val="20"/>
          <w:szCs w:val="20"/>
        </w:rPr>
      </w:pPr>
      <m:oMath>
        <m:func>
          <m:funcPr>
            <m:ctrlPr>
              <w:rPr>
                <w:rFonts w:ascii="Cambria Math" w:hAnsi="Cambria Math" w:cs="Arial"/>
                <w:i/>
                <w:sz w:val="20"/>
                <w:szCs w:val="20"/>
              </w:rPr>
            </m:ctrlPr>
          </m:funcPr>
          <m:fName>
            <m:r>
              <m:rPr>
                <m:nor/>
              </m:rPr>
              <w:rPr>
                <w:rFonts w:ascii="Arial" w:hAnsi="Arial" w:cs="Arial"/>
                <w:sz w:val="20"/>
                <w:szCs w:val="20"/>
              </w:rPr>
              <m:t>ln</m:t>
            </m:r>
          </m:fName>
          <m:e>
            <m:sSub>
              <m:sSubPr>
                <m:ctrlPr>
                  <w:rPr>
                    <w:rFonts w:ascii="Cambria Math" w:hAnsi="Cambria Math" w:cs="Arial"/>
                    <w:i/>
                    <w:sz w:val="20"/>
                    <w:szCs w:val="20"/>
                  </w:rPr>
                </m:ctrlPr>
              </m:sSubPr>
              <m:e>
                <m:r>
                  <m:rPr>
                    <m:nor/>
                  </m:rPr>
                  <w:rPr>
                    <w:rFonts w:ascii="Arial" w:hAnsi="Arial" w:cs="Arial"/>
                    <w:sz w:val="20"/>
                    <w:szCs w:val="20"/>
                  </w:rPr>
                  <m:t>q</m:t>
                </m:r>
              </m:e>
              <m:sub>
                <m:r>
                  <m:rPr>
                    <m:nor/>
                  </m:rPr>
                  <w:rPr>
                    <w:rFonts w:ascii="Arial" w:hAnsi="Arial" w:cs="Arial"/>
                    <w:sz w:val="20"/>
                    <w:szCs w:val="20"/>
                  </w:rPr>
                  <m:t>e</m:t>
                </m:r>
              </m:sub>
            </m:sSub>
          </m:e>
        </m:func>
        <m:r>
          <m:rPr>
            <m:nor/>
          </m:rPr>
          <w:rPr>
            <w:rFonts w:ascii="Arial" w:hAnsi="Arial" w:cs="Arial"/>
            <w:sz w:val="20"/>
            <w:szCs w:val="20"/>
          </w:rPr>
          <m:t xml:space="preserve">= </m:t>
        </m:r>
        <m:func>
          <m:funcPr>
            <m:ctrlPr>
              <w:rPr>
                <w:rFonts w:ascii="Cambria Math" w:hAnsi="Cambria Math" w:cs="Arial"/>
                <w:i/>
                <w:sz w:val="20"/>
                <w:szCs w:val="20"/>
              </w:rPr>
            </m:ctrlPr>
          </m:funcPr>
          <m:fName>
            <m:r>
              <m:rPr>
                <m:nor/>
              </m:rPr>
              <w:rPr>
                <w:rFonts w:ascii="Arial" w:hAnsi="Arial" w:cs="Arial"/>
                <w:sz w:val="20"/>
                <w:szCs w:val="20"/>
              </w:rPr>
              <m:t>ln</m:t>
            </m:r>
          </m:fName>
          <m:e>
            <m:sSub>
              <m:sSubPr>
                <m:ctrlPr>
                  <w:rPr>
                    <w:rFonts w:ascii="Cambria Math" w:hAnsi="Cambria Math" w:cs="Arial"/>
                    <w:i/>
                    <w:sz w:val="20"/>
                    <w:szCs w:val="20"/>
                  </w:rPr>
                </m:ctrlPr>
              </m:sSubPr>
              <m:e>
                <m:r>
                  <m:rPr>
                    <m:nor/>
                  </m:rPr>
                  <w:rPr>
                    <w:rFonts w:ascii="Arial" w:hAnsi="Arial" w:cs="Arial"/>
                    <w:sz w:val="20"/>
                    <w:szCs w:val="20"/>
                  </w:rPr>
                  <m:t>q</m:t>
                </m:r>
              </m:e>
              <m:sub>
                <m:r>
                  <m:rPr>
                    <m:nor/>
                  </m:rPr>
                  <w:rPr>
                    <w:rFonts w:ascii="Arial" w:hAnsi="Arial" w:cs="Arial"/>
                    <w:sz w:val="20"/>
                    <w:szCs w:val="20"/>
                  </w:rPr>
                  <m:t>m</m:t>
                </m:r>
              </m:sub>
            </m:sSub>
          </m:e>
        </m:func>
        <m:r>
          <w:rPr>
            <w:rFonts w:ascii="Cambria Math" w:hAnsi="Cambria Math" w:cs="Arial"/>
            <w:sz w:val="20"/>
            <w:szCs w:val="20"/>
          </w:rPr>
          <m:t>-</m:t>
        </m:r>
        <m:r>
          <m:rPr>
            <m:nor/>
          </m:rPr>
          <w:rPr>
            <w:rFonts w:ascii="Arial" w:hAnsi="Arial" w:cs="Arial"/>
            <w:sz w:val="20"/>
            <w:szCs w:val="20"/>
          </w:rPr>
          <m:t xml:space="preserve"> β</m:t>
        </m:r>
        <m:sSup>
          <m:sSupPr>
            <m:ctrlPr>
              <w:rPr>
                <w:rFonts w:ascii="Cambria Math" w:hAnsi="Cambria Math" w:cs="Arial"/>
                <w:i/>
                <w:sz w:val="20"/>
                <w:szCs w:val="20"/>
              </w:rPr>
            </m:ctrlPr>
          </m:sSupPr>
          <m:e>
            <m:r>
              <m:rPr>
                <m:nor/>
              </m:rPr>
              <w:rPr>
                <w:rFonts w:ascii="Arial" w:hAnsi="Arial" w:cs="Arial"/>
                <w:sz w:val="20"/>
                <w:szCs w:val="20"/>
              </w:rPr>
              <m:t>ε</m:t>
            </m:r>
          </m:e>
          <m:sup>
            <m:r>
              <m:rPr>
                <m:nor/>
              </m:rPr>
              <w:rPr>
                <w:rFonts w:ascii="Arial" w:hAnsi="Arial" w:cs="Arial"/>
                <w:sz w:val="20"/>
                <w:szCs w:val="20"/>
              </w:rPr>
              <m:t>2</m:t>
            </m:r>
          </m:sup>
        </m:sSup>
      </m:oMath>
      <w:r w:rsidR="00C45E06" w:rsidRPr="00C45E06">
        <w:rPr>
          <w:rFonts w:ascii="Arial" w:hAnsi="Arial" w:cs="Arial"/>
          <w:sz w:val="20"/>
          <w:szCs w:val="20"/>
        </w:rPr>
        <w:tab/>
        <w:t>(6)</w:t>
      </w:r>
    </w:p>
    <w:p w14:paraId="38813983" w14:textId="77777777" w:rsidR="00C45E06" w:rsidRPr="00C45E06" w:rsidRDefault="00C45E06" w:rsidP="00A03B11">
      <w:pPr>
        <w:pStyle w:val="Displayedequation"/>
        <w:spacing w:before="120" w:after="120" w:line="240" w:lineRule="auto"/>
        <w:ind w:left="1260"/>
        <w:rPr>
          <w:rFonts w:ascii="Arial" w:hAnsi="Arial" w:cs="Arial"/>
          <w:sz w:val="20"/>
          <w:szCs w:val="20"/>
        </w:rPr>
      </w:pPr>
      <m:oMath>
        <m:r>
          <w:rPr>
            <w:rFonts w:ascii="Cambria Math" w:hAnsi="Cambria Math" w:cs="Arial"/>
            <w:sz w:val="20"/>
            <w:szCs w:val="20"/>
          </w:rPr>
          <m:t>ε= RTln</m:t>
        </m:r>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1</m:t>
                </m:r>
              </m:num>
              <m:den>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e</m:t>
                    </m:r>
                  </m:sub>
                </m:sSub>
              </m:den>
            </m:f>
          </m:e>
        </m:d>
      </m:oMath>
      <w:r w:rsidRPr="00C45E06">
        <w:rPr>
          <w:rFonts w:ascii="Arial" w:hAnsi="Arial" w:cs="Arial"/>
          <w:sz w:val="20"/>
          <w:szCs w:val="20"/>
        </w:rPr>
        <w:tab/>
        <w:t>(7)</w:t>
      </w:r>
    </w:p>
    <w:p w14:paraId="5088397F" w14:textId="77777777" w:rsidR="00C45E06" w:rsidRPr="00C45E06" w:rsidRDefault="00C45E06" w:rsidP="00A03B11">
      <w:pPr>
        <w:ind w:left="1260"/>
        <w:jc w:val="both"/>
        <w:rPr>
          <w:rFonts w:ascii="Arial" w:hAnsi="Arial" w:cs="Arial"/>
        </w:rPr>
      </w:pPr>
      <w:r w:rsidRPr="00C45E06">
        <w:rPr>
          <w:rFonts w:ascii="Arial" w:hAnsi="Arial" w:cs="Arial"/>
        </w:rPr>
        <w:t>where: C</w:t>
      </w:r>
      <w:r w:rsidRPr="00C45E06">
        <w:rPr>
          <w:rFonts w:ascii="Arial" w:hAnsi="Arial" w:cs="Arial"/>
          <w:vertAlign w:val="subscript"/>
        </w:rPr>
        <w:t xml:space="preserve">e </w:t>
      </w:r>
      <w:r w:rsidRPr="00C45E06">
        <w:rPr>
          <w:rFonts w:ascii="Arial" w:eastAsiaTheme="minorEastAsia" w:hAnsi="Arial" w:cs="Arial"/>
        </w:rPr>
        <w:t xml:space="preserve"> </w:t>
      </w:r>
      <w:r w:rsidRPr="00C45E06">
        <w:rPr>
          <w:rFonts w:ascii="Arial" w:hAnsi="Arial" w:cs="Arial"/>
        </w:rPr>
        <w:t xml:space="preserve">– equilibrium concentration of the adsorbate, </w:t>
      </w:r>
      <w:proofErr w:type="spellStart"/>
      <w:r w:rsidRPr="00C45E06">
        <w:rPr>
          <w:rFonts w:ascii="Arial" w:hAnsi="Arial" w:cs="Arial"/>
        </w:rPr>
        <w:t>q</w:t>
      </w:r>
      <w:r w:rsidRPr="00C45E06">
        <w:rPr>
          <w:rFonts w:ascii="Arial" w:hAnsi="Arial" w:cs="Arial"/>
          <w:vertAlign w:val="subscript"/>
        </w:rPr>
        <w:t>m</w:t>
      </w:r>
      <w:proofErr w:type="spellEnd"/>
      <w:r w:rsidRPr="00C45E06">
        <w:rPr>
          <w:rFonts w:ascii="Arial" w:hAnsi="Arial" w:cs="Arial"/>
          <w:vertAlign w:val="subscript"/>
        </w:rPr>
        <w:t xml:space="preserve"> </w:t>
      </w:r>
      <w:r w:rsidRPr="00C45E06">
        <w:rPr>
          <w:rFonts w:ascii="Arial" w:hAnsi="Arial" w:cs="Arial"/>
        </w:rPr>
        <w:t xml:space="preserve">and </w:t>
      </w:r>
      <w:proofErr w:type="spellStart"/>
      <w:r w:rsidRPr="00C45E06">
        <w:rPr>
          <w:rFonts w:ascii="Arial" w:hAnsi="Arial" w:cs="Arial"/>
        </w:rPr>
        <w:t>q</w:t>
      </w:r>
      <w:r w:rsidRPr="00C45E06">
        <w:rPr>
          <w:rFonts w:ascii="Arial" w:hAnsi="Arial" w:cs="Arial"/>
          <w:vertAlign w:val="subscript"/>
        </w:rPr>
        <w:t>e</w:t>
      </w:r>
      <w:proofErr w:type="spellEnd"/>
      <w:r w:rsidRPr="00C45E06">
        <w:rPr>
          <w:rFonts w:ascii="Arial" w:hAnsi="Arial" w:cs="Arial"/>
          <w:vertAlign w:val="subscript"/>
        </w:rPr>
        <w:t xml:space="preserve"> </w:t>
      </w:r>
      <w:r w:rsidRPr="00C45E06">
        <w:rPr>
          <w:rFonts w:ascii="Arial" w:eastAsiaTheme="minorEastAsia" w:hAnsi="Arial" w:cs="Arial"/>
        </w:rPr>
        <w:t xml:space="preserve"> </w:t>
      </w:r>
      <w:r w:rsidRPr="00C45E06">
        <w:rPr>
          <w:rFonts w:ascii="Arial" w:hAnsi="Arial" w:cs="Arial"/>
        </w:rPr>
        <w:t>– maximum monolayer and equilibrium adsorption capacity, respectively, K</w:t>
      </w:r>
      <w:r w:rsidRPr="00C45E06">
        <w:rPr>
          <w:rFonts w:ascii="Arial" w:hAnsi="Arial" w:cs="Arial"/>
          <w:vertAlign w:val="subscript"/>
        </w:rPr>
        <w:t>L</w:t>
      </w:r>
      <w:r w:rsidRPr="00C45E06">
        <w:rPr>
          <w:rFonts w:ascii="Arial" w:eastAsiaTheme="minorEastAsia" w:hAnsi="Arial" w:cs="Arial"/>
        </w:rPr>
        <w:t xml:space="preserve"> </w:t>
      </w:r>
      <w:r w:rsidRPr="00C45E06">
        <w:rPr>
          <w:rFonts w:ascii="Arial" w:hAnsi="Arial" w:cs="Arial"/>
        </w:rPr>
        <w:t>– Langmuir or equilibrium constant of adsorption, K</w:t>
      </w:r>
      <w:r w:rsidRPr="00C45E06">
        <w:rPr>
          <w:rFonts w:ascii="Arial" w:hAnsi="Arial" w:cs="Arial"/>
          <w:vertAlign w:val="subscript"/>
        </w:rPr>
        <w:t>F</w:t>
      </w:r>
      <w:r w:rsidRPr="00C45E06">
        <w:rPr>
          <w:rFonts w:ascii="Arial" w:hAnsi="Arial" w:cs="Arial"/>
        </w:rPr>
        <w:t xml:space="preserve"> – Freundlich constant, n – measure of the intensity of adsorption, K</w:t>
      </w:r>
      <w:r w:rsidRPr="00C45E06">
        <w:rPr>
          <w:rFonts w:ascii="Arial" w:hAnsi="Arial" w:cs="Arial"/>
          <w:vertAlign w:val="subscript"/>
        </w:rPr>
        <w:t>T</w:t>
      </w:r>
      <w:r w:rsidRPr="00C45E06">
        <w:rPr>
          <w:rFonts w:ascii="Arial" w:hAnsi="Arial" w:cs="Arial"/>
        </w:rPr>
        <w:t xml:space="preserve"> – equilibrium binding constant, B</w:t>
      </w:r>
      <w:r w:rsidRPr="00C45E06">
        <w:rPr>
          <w:rFonts w:ascii="Arial" w:eastAsiaTheme="minorEastAsia" w:hAnsi="Arial" w:cs="Arial"/>
        </w:rPr>
        <w:t xml:space="preserve"> </w:t>
      </w:r>
      <w:r w:rsidRPr="00C45E06">
        <w:rPr>
          <w:rFonts w:ascii="Arial" w:hAnsi="Arial" w:cs="Arial"/>
        </w:rPr>
        <w:t>– Temkin constant, K</w:t>
      </w:r>
      <w:r w:rsidRPr="00C45E06">
        <w:rPr>
          <w:rFonts w:ascii="Arial" w:hAnsi="Arial" w:cs="Arial"/>
          <w:vertAlign w:val="subscript"/>
        </w:rPr>
        <w:t>D</w:t>
      </w:r>
      <w:r w:rsidRPr="00C45E06">
        <w:rPr>
          <w:rFonts w:ascii="Arial" w:eastAsiaTheme="minorEastAsia" w:hAnsi="Arial" w:cs="Arial"/>
        </w:rPr>
        <w:t xml:space="preserve"> </w:t>
      </w:r>
      <w:r w:rsidRPr="00C45E06">
        <w:rPr>
          <w:rFonts w:ascii="Arial" w:hAnsi="Arial" w:cs="Arial"/>
        </w:rPr>
        <w:t xml:space="preserve">– </w:t>
      </w:r>
      <w:proofErr w:type="spellStart"/>
      <w:r w:rsidRPr="00C45E06">
        <w:rPr>
          <w:rFonts w:ascii="Arial" w:eastAsia="Calibri" w:hAnsi="Arial" w:cs="Arial"/>
        </w:rPr>
        <w:t>Dubinin-Radushkevich</w:t>
      </w:r>
      <w:proofErr w:type="spellEnd"/>
      <w:r w:rsidRPr="00C45E06">
        <w:rPr>
          <w:rFonts w:ascii="Arial" w:hAnsi="Arial" w:cs="Arial"/>
        </w:rPr>
        <w:t xml:space="preserve"> constant, and </w:t>
      </w:r>
      <m:oMath>
        <m:r>
          <m:rPr>
            <m:nor/>
          </m:rPr>
          <w:rPr>
            <w:rFonts w:ascii="Arial" w:hAnsi="Arial" w:cs="Arial"/>
          </w:rPr>
          <m:t>ε</m:t>
        </m:r>
      </m:oMath>
      <w:r w:rsidRPr="00C45E06">
        <w:rPr>
          <w:rFonts w:ascii="Arial" w:eastAsiaTheme="minorEastAsia" w:hAnsi="Arial" w:cs="Arial"/>
        </w:rPr>
        <w:t xml:space="preserve"> </w:t>
      </w:r>
      <w:r w:rsidRPr="00C45E06">
        <w:rPr>
          <w:rFonts w:ascii="Arial" w:hAnsi="Arial" w:cs="Arial"/>
        </w:rPr>
        <w:t>– Polanyi potential.</w:t>
      </w:r>
    </w:p>
    <w:p w14:paraId="15128DFD" w14:textId="77777777" w:rsidR="00FB0945" w:rsidRPr="00C45E06" w:rsidRDefault="00C45E06" w:rsidP="00A03B11">
      <w:pPr>
        <w:spacing w:before="240"/>
        <w:ind w:left="1260"/>
        <w:jc w:val="both"/>
        <w:rPr>
          <w:rFonts w:ascii="Arial" w:hAnsi="Arial" w:cs="Arial"/>
        </w:rPr>
      </w:pPr>
      <w:r w:rsidRPr="00C45E06">
        <w:rPr>
          <w:rFonts w:ascii="Arial" w:hAnsi="Arial" w:cs="Arial"/>
        </w:rPr>
        <w:t xml:space="preserve">The isotherm plots for the oil adsorption on raw and modified PMSP are shown in Fig. 4 and the isotherm parameters obtained from the plots are listed in Table 1. </w:t>
      </w:r>
      <w:r w:rsidR="00FB0945" w:rsidRPr="00C45E06">
        <w:rPr>
          <w:rFonts w:ascii="Arial" w:hAnsi="Arial" w:cs="Arial"/>
        </w:rPr>
        <w:t>Fig. 4 shows that for adsorption on RPMSP, the Freundlich isotherm gave the highest R</w:t>
      </w:r>
      <w:r w:rsidR="00FB0945" w:rsidRPr="00C45E06">
        <w:rPr>
          <w:rFonts w:ascii="Arial" w:hAnsi="Arial" w:cs="Arial"/>
          <w:vertAlign w:val="superscript"/>
        </w:rPr>
        <w:t xml:space="preserve">2 </w:t>
      </w:r>
      <w:r w:rsidR="00FB0945" w:rsidRPr="00C45E06">
        <w:rPr>
          <w:rFonts w:ascii="Arial" w:hAnsi="Arial" w:cs="Arial"/>
        </w:rPr>
        <w:t>value (0.8599), suggesting that it is the most suitable isotherm for describing crude oil sorption on RPMSP. This implies that the surface of RPMSP is heterogeneous in nature.</w:t>
      </w:r>
      <w:r w:rsidR="00FB0945">
        <w:rPr>
          <w:rFonts w:ascii="Arial" w:hAnsi="Arial" w:cs="Arial"/>
        </w:rPr>
        <w:t xml:space="preserve"> </w:t>
      </w:r>
      <w:r w:rsidR="00FB0945" w:rsidRPr="00C45E06">
        <w:rPr>
          <w:rFonts w:ascii="Arial" w:hAnsi="Arial" w:cs="Arial"/>
        </w:rPr>
        <w:t>The obtained value of n is 1.984</w:t>
      </w:r>
      <w:r w:rsidR="00FB0945">
        <w:rPr>
          <w:rFonts w:ascii="Arial" w:hAnsi="Arial" w:cs="Arial"/>
        </w:rPr>
        <w:t xml:space="preserve"> (Table 1). This value is</w:t>
      </w:r>
      <w:r w:rsidR="00FB0945" w:rsidRPr="00C45E06">
        <w:rPr>
          <w:rFonts w:ascii="Arial" w:hAnsi="Arial" w:cs="Arial"/>
        </w:rPr>
        <w:t xml:space="preserve"> greater than 1, suggesting that the oil sor</w:t>
      </w:r>
      <w:r w:rsidR="00491A4E">
        <w:rPr>
          <w:rFonts w:ascii="Arial" w:hAnsi="Arial" w:cs="Arial"/>
        </w:rPr>
        <w:t xml:space="preserve">ption process was </w:t>
      </w:r>
      <w:r w:rsidR="00491A4E">
        <w:rPr>
          <w:rFonts w:ascii="Arial" w:hAnsi="Arial" w:cs="Arial"/>
        </w:rPr>
        <w:lastRenderedPageBreak/>
        <w:t>favorable (Samson et al., 2022)</w:t>
      </w:r>
      <w:r w:rsidR="00FB0945" w:rsidRPr="00C45E06">
        <w:rPr>
          <w:rFonts w:ascii="Arial" w:hAnsi="Arial" w:cs="Arial"/>
        </w:rPr>
        <w:t>. However, fo</w:t>
      </w:r>
      <w:r w:rsidR="00FB0945">
        <w:rPr>
          <w:rFonts w:ascii="Arial" w:hAnsi="Arial" w:cs="Arial"/>
        </w:rPr>
        <w:t>r adsorption on MPMSP, Fig. 4</w:t>
      </w:r>
      <w:r w:rsidR="00FB0945" w:rsidRPr="00C45E06">
        <w:rPr>
          <w:rFonts w:ascii="Arial" w:hAnsi="Arial" w:cs="Arial"/>
        </w:rPr>
        <w:t xml:space="preserve"> shows that the Langmuir isotherm gave the highest R</w:t>
      </w:r>
      <w:r w:rsidR="00FB0945" w:rsidRPr="00C45E06">
        <w:rPr>
          <w:rFonts w:ascii="Arial" w:hAnsi="Arial" w:cs="Arial"/>
          <w:vertAlign w:val="superscript"/>
        </w:rPr>
        <w:t xml:space="preserve">2 </w:t>
      </w:r>
      <w:r w:rsidR="00FB0945" w:rsidRPr="00C45E06">
        <w:rPr>
          <w:rFonts w:ascii="Arial" w:hAnsi="Arial" w:cs="Arial"/>
        </w:rPr>
        <w:t>value (0.9950), showing that it is the most suitable isotherm for describing crude oil sorption on MPMSP. Thus, the crude oil sorption on MPMSP took place by monolayer coverage. The maximum monolayer sorption capacity of MPMSP is 11.990 g/g. A dimensionless constant called the separation factor (R</w:t>
      </w:r>
      <w:r w:rsidR="00FB0945" w:rsidRPr="00C45E06">
        <w:rPr>
          <w:rFonts w:ascii="Arial" w:hAnsi="Arial" w:cs="Arial"/>
          <w:vertAlign w:val="subscript"/>
        </w:rPr>
        <w:t>L</w:t>
      </w:r>
      <w:r w:rsidR="00FB0945" w:rsidRPr="00C45E06">
        <w:rPr>
          <w:rFonts w:ascii="Arial" w:hAnsi="Arial" w:cs="Arial"/>
        </w:rPr>
        <w:t xml:space="preserve">), which is expressed in equation 8 can be used to estimate the affinity between MPMSP and crude oil. </w:t>
      </w:r>
    </w:p>
    <w:p w14:paraId="03DDD604" w14:textId="77777777" w:rsidR="00FB0945" w:rsidRPr="00C45E06" w:rsidRDefault="00FB0945" w:rsidP="00A03B11">
      <w:pPr>
        <w:pStyle w:val="Displayedequation"/>
        <w:spacing w:before="120" w:after="120" w:line="240" w:lineRule="auto"/>
        <w:ind w:left="1260"/>
        <w:jc w:val="both"/>
        <w:rPr>
          <w:rFonts w:ascii="Arial" w:hAnsi="Arial" w:cs="Arial"/>
          <w:sz w:val="20"/>
          <w:szCs w:val="20"/>
        </w:rPr>
      </w:pPr>
      <w:r w:rsidRPr="00C45E06">
        <w:rPr>
          <w:rFonts w:ascii="Arial" w:hAnsi="Arial" w:cs="Arial"/>
          <w:sz w:val="20"/>
          <w:szCs w:val="20"/>
        </w:rPr>
        <w:t>R</w:t>
      </w:r>
      <w:r w:rsidRPr="00C45E06">
        <w:rPr>
          <w:rFonts w:ascii="Arial" w:hAnsi="Arial" w:cs="Arial"/>
          <w:sz w:val="20"/>
          <w:szCs w:val="20"/>
          <w:vertAlign w:val="subscript"/>
        </w:rPr>
        <w:t xml:space="preserve">L   </w:t>
      </w:r>
      <w:r w:rsidRPr="00C45E06">
        <w:rPr>
          <w:rFonts w:ascii="Arial" w:hAnsi="Arial" w:cs="Arial"/>
          <w:sz w:val="20"/>
          <w:szCs w:val="20"/>
        </w:rPr>
        <w:t xml:space="preserve">=   </w:t>
      </w:r>
      <m:oMath>
        <m:f>
          <m:fPr>
            <m:ctrlPr>
              <w:rPr>
                <w:rFonts w:ascii="Cambria Math" w:hAnsi="Cambria Math" w:cs="Arial"/>
                <w:i/>
                <w:sz w:val="20"/>
                <w:szCs w:val="20"/>
              </w:rPr>
            </m:ctrlPr>
          </m:fPr>
          <m:num>
            <m:r>
              <m:rPr>
                <m:nor/>
              </m:rPr>
              <w:rPr>
                <w:rFonts w:ascii="Arial" w:hAnsi="Arial" w:cs="Arial"/>
                <w:sz w:val="20"/>
                <w:szCs w:val="20"/>
              </w:rPr>
              <m:t>1</m:t>
            </m:r>
          </m:num>
          <m:den>
            <m:r>
              <m:rPr>
                <m:nor/>
              </m:rPr>
              <w:rPr>
                <w:rFonts w:ascii="Arial" w:hAnsi="Arial" w:cs="Arial"/>
                <w:sz w:val="20"/>
                <w:szCs w:val="20"/>
              </w:rPr>
              <m:t>1 + k</m:t>
            </m:r>
            <m:r>
              <m:rPr>
                <m:nor/>
              </m:rPr>
              <w:rPr>
                <w:rFonts w:ascii="Arial" w:hAnsi="Arial" w:cs="Arial"/>
                <w:sz w:val="20"/>
                <w:szCs w:val="20"/>
                <w:vertAlign w:val="subscript"/>
              </w:rPr>
              <m:t>L</m:t>
            </m:r>
            <m:r>
              <m:rPr>
                <m:nor/>
              </m:rPr>
              <w:rPr>
                <w:rFonts w:ascii="Arial" w:hAnsi="Arial" w:cs="Arial"/>
                <w:sz w:val="20"/>
                <w:szCs w:val="20"/>
              </w:rPr>
              <m:t>.C</m:t>
            </m:r>
            <m:r>
              <m:rPr>
                <m:nor/>
              </m:rPr>
              <w:rPr>
                <w:rFonts w:ascii="Arial" w:hAnsi="Arial" w:cs="Arial"/>
                <w:sz w:val="20"/>
                <w:szCs w:val="20"/>
                <w:vertAlign w:val="subscript"/>
              </w:rPr>
              <m:t>o</m:t>
            </m:r>
          </m:den>
        </m:f>
      </m:oMath>
      <w:r w:rsidRPr="00C45E06">
        <w:rPr>
          <w:rFonts w:ascii="Arial" w:hAnsi="Arial" w:cs="Arial"/>
          <w:sz w:val="20"/>
          <w:szCs w:val="20"/>
        </w:rPr>
        <w:tab/>
        <w:t>(8)</w:t>
      </w:r>
    </w:p>
    <w:p w14:paraId="70680648" w14:textId="77777777" w:rsidR="00FB0945" w:rsidRPr="00C45E06" w:rsidRDefault="00FB0945" w:rsidP="00A03B11">
      <w:pPr>
        <w:ind w:left="1260"/>
        <w:jc w:val="both"/>
        <w:outlineLvl w:val="1"/>
        <w:rPr>
          <w:rFonts w:ascii="Arial" w:hAnsi="Arial" w:cs="Arial"/>
        </w:rPr>
      </w:pPr>
      <w:r w:rsidRPr="00C45E06">
        <w:rPr>
          <w:rFonts w:ascii="Arial" w:hAnsi="Arial" w:cs="Arial"/>
        </w:rPr>
        <w:t xml:space="preserve">where: </w:t>
      </w:r>
      <w:proofErr w:type="gramStart"/>
      <w:r w:rsidRPr="00C45E06">
        <w:rPr>
          <w:rFonts w:ascii="Arial" w:hAnsi="Arial" w:cs="Arial"/>
        </w:rPr>
        <w:t>C</w:t>
      </w:r>
      <w:r w:rsidRPr="00C45E06">
        <w:rPr>
          <w:rFonts w:ascii="Arial" w:hAnsi="Arial" w:cs="Arial"/>
          <w:vertAlign w:val="subscript"/>
        </w:rPr>
        <w:t xml:space="preserve">o </w:t>
      </w:r>
      <w:r w:rsidRPr="00C45E06">
        <w:rPr>
          <w:rFonts w:ascii="Arial" w:eastAsiaTheme="minorEastAsia" w:hAnsi="Arial" w:cs="Arial"/>
        </w:rPr>
        <w:t xml:space="preserve"> </w:t>
      </w:r>
      <w:r w:rsidRPr="00C45E06">
        <w:rPr>
          <w:rFonts w:ascii="Arial" w:hAnsi="Arial" w:cs="Arial"/>
        </w:rPr>
        <w:t>–</w:t>
      </w:r>
      <w:proofErr w:type="gramEnd"/>
      <w:r w:rsidRPr="00C45E06">
        <w:rPr>
          <w:rFonts w:ascii="Arial" w:hAnsi="Arial" w:cs="Arial"/>
        </w:rPr>
        <w:t xml:space="preserve"> initial oil concentration. The adsorption is favorable if 0&lt;R</w:t>
      </w:r>
      <w:r w:rsidRPr="00C45E06">
        <w:rPr>
          <w:rFonts w:ascii="Arial" w:hAnsi="Arial" w:cs="Arial"/>
          <w:vertAlign w:val="subscript"/>
        </w:rPr>
        <w:t>L</w:t>
      </w:r>
      <w:r w:rsidRPr="00C45E06">
        <w:rPr>
          <w:rFonts w:ascii="Arial" w:hAnsi="Arial" w:cs="Arial"/>
        </w:rPr>
        <w:t>&lt;1, unfavorable if R</w:t>
      </w:r>
      <w:r w:rsidRPr="00C45E06">
        <w:rPr>
          <w:rFonts w:ascii="Arial" w:hAnsi="Arial" w:cs="Arial"/>
          <w:vertAlign w:val="subscript"/>
        </w:rPr>
        <w:t>L</w:t>
      </w:r>
      <w:r w:rsidRPr="00C45E06">
        <w:rPr>
          <w:rFonts w:ascii="Arial" w:hAnsi="Arial" w:cs="Arial"/>
        </w:rPr>
        <w:t>&gt;1, irreversible if R</w:t>
      </w:r>
      <w:r w:rsidRPr="00C45E06">
        <w:rPr>
          <w:rFonts w:ascii="Arial" w:hAnsi="Arial" w:cs="Arial"/>
          <w:vertAlign w:val="subscript"/>
        </w:rPr>
        <w:t>L</w:t>
      </w:r>
      <w:r w:rsidRPr="00C45E06">
        <w:rPr>
          <w:rFonts w:ascii="Arial" w:hAnsi="Arial" w:cs="Arial"/>
        </w:rPr>
        <w:t>=0, and linear if R</w:t>
      </w:r>
      <w:r w:rsidRPr="00C45E06">
        <w:rPr>
          <w:rFonts w:ascii="Arial" w:hAnsi="Arial" w:cs="Arial"/>
          <w:vertAlign w:val="subscript"/>
        </w:rPr>
        <w:t>L</w:t>
      </w:r>
      <w:r w:rsidR="00491A4E">
        <w:rPr>
          <w:rFonts w:ascii="Arial" w:hAnsi="Arial" w:cs="Arial"/>
        </w:rPr>
        <w:t>=1 (Santos et al., 2017)</w:t>
      </w:r>
      <w:r w:rsidRPr="00C45E06">
        <w:rPr>
          <w:rFonts w:ascii="Arial" w:hAnsi="Arial" w:cs="Arial"/>
        </w:rPr>
        <w:t>. The R</w:t>
      </w:r>
      <w:r w:rsidRPr="00C45E06">
        <w:rPr>
          <w:rFonts w:ascii="Arial" w:hAnsi="Arial" w:cs="Arial"/>
          <w:vertAlign w:val="subscript"/>
        </w:rPr>
        <w:t>L</w:t>
      </w:r>
      <w:r w:rsidRPr="00C45E06">
        <w:rPr>
          <w:rFonts w:ascii="Arial" w:hAnsi="Arial" w:cs="Arial"/>
        </w:rPr>
        <w:t xml:space="preserve"> values obtained using various initial concentrations of crude oil for adsorption on MPMSP are between 0 and 1 (Table 1). This indicates the favorability of the oil sorption. </w:t>
      </w:r>
    </w:p>
    <w:p w14:paraId="61C5E626" w14:textId="77777777" w:rsidR="00C45E06" w:rsidRPr="00C45E06" w:rsidRDefault="00C45E06" w:rsidP="00A03B11">
      <w:pPr>
        <w:spacing w:before="100" w:beforeAutospacing="1"/>
        <w:ind w:left="1260"/>
        <w:jc w:val="center"/>
        <w:rPr>
          <w:rFonts w:ascii="Arial" w:hAnsi="Arial" w:cs="Arial"/>
        </w:rPr>
      </w:pPr>
      <w:r w:rsidRPr="00C45E06">
        <w:rPr>
          <w:rFonts w:ascii="Arial" w:hAnsi="Arial" w:cs="Arial"/>
          <w:noProof/>
        </w:rPr>
        <w:drawing>
          <wp:inline distT="0" distB="0" distL="0" distR="0" wp14:anchorId="2473163F" wp14:editId="3DBA8CCA">
            <wp:extent cx="5211394" cy="4357370"/>
            <wp:effectExtent l="0" t="0" r="0" b="0"/>
            <wp:docPr id="6" name="Picture 6" descr="C:\Users\IFY OBI\Desktop\Fig. 5 Raw-1-01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FY OBI\Desktop\Fig. 5 Raw-1-01 smal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40363" cy="4381592"/>
                    </a:xfrm>
                    <a:prstGeom prst="rect">
                      <a:avLst/>
                    </a:prstGeom>
                    <a:noFill/>
                    <a:ln>
                      <a:noFill/>
                    </a:ln>
                  </pic:spPr>
                </pic:pic>
              </a:graphicData>
            </a:graphic>
          </wp:inline>
        </w:drawing>
      </w:r>
    </w:p>
    <w:p w14:paraId="001B3286" w14:textId="77777777" w:rsidR="00C45E06" w:rsidRPr="00C45E06" w:rsidRDefault="00C45E06" w:rsidP="00A03B11">
      <w:pPr>
        <w:ind w:left="1260"/>
        <w:jc w:val="center"/>
        <w:rPr>
          <w:rFonts w:ascii="Arial" w:hAnsi="Arial" w:cs="Arial"/>
          <w:b/>
          <w:bCs/>
        </w:rPr>
      </w:pPr>
      <w:r w:rsidRPr="00C45E06">
        <w:rPr>
          <w:rFonts w:ascii="Arial" w:hAnsi="Arial" w:cs="Arial"/>
          <w:b/>
          <w:bCs/>
        </w:rPr>
        <w:t xml:space="preserve">Fig. 4. a) Freundlich, b) Langmuir, c) Temkin, d) </w:t>
      </w:r>
      <w:proofErr w:type="spellStart"/>
      <w:r w:rsidRPr="00C45E06">
        <w:rPr>
          <w:rFonts w:ascii="Arial" w:hAnsi="Arial" w:cs="Arial"/>
          <w:b/>
          <w:bCs/>
        </w:rPr>
        <w:t>Dubinin-Radushkevich</w:t>
      </w:r>
      <w:proofErr w:type="spellEnd"/>
      <w:r w:rsidRPr="00C45E06">
        <w:rPr>
          <w:rFonts w:ascii="Arial" w:hAnsi="Arial" w:cs="Arial"/>
          <w:b/>
          <w:bCs/>
        </w:rPr>
        <w:t xml:space="preserve"> isotherms for oil sorption on raw and modified PMSP</w:t>
      </w:r>
    </w:p>
    <w:p w14:paraId="2E6DF5AE" w14:textId="77777777" w:rsidR="00863BD3" w:rsidRDefault="00863BD3" w:rsidP="00A03B11">
      <w:pPr>
        <w:pStyle w:val="Body"/>
        <w:spacing w:after="0"/>
        <w:ind w:left="1260"/>
        <w:rPr>
          <w:rFonts w:ascii="Arial" w:hAnsi="Arial" w:cs="Arial"/>
          <w:b/>
        </w:rPr>
      </w:pPr>
    </w:p>
    <w:p w14:paraId="4B76D420" w14:textId="77777777" w:rsidR="00FB0945" w:rsidRPr="00C45E06" w:rsidRDefault="00FB0945" w:rsidP="00A03B11">
      <w:pPr>
        <w:pStyle w:val="Body"/>
        <w:spacing w:after="0"/>
        <w:ind w:left="1260"/>
        <w:rPr>
          <w:rFonts w:ascii="Arial" w:hAnsi="Arial" w:cs="Arial"/>
          <w:b/>
        </w:rPr>
      </w:pPr>
    </w:p>
    <w:p w14:paraId="28B4B587" w14:textId="77777777" w:rsidR="00863BD3" w:rsidRDefault="00863BD3" w:rsidP="00A03B11">
      <w:pPr>
        <w:pStyle w:val="BodyText3"/>
        <w:tabs>
          <w:tab w:val="left" w:pos="1080"/>
        </w:tabs>
        <w:spacing w:after="0"/>
        <w:ind w:left="1260"/>
        <w:jc w:val="both"/>
        <w:rPr>
          <w:rFonts w:ascii="Arial" w:hAnsi="Arial"/>
          <w:b/>
          <w:sz w:val="20"/>
          <w:szCs w:val="20"/>
        </w:rPr>
      </w:pPr>
    </w:p>
    <w:p w14:paraId="37A4D715" w14:textId="77777777" w:rsidR="007A2634" w:rsidRDefault="007A2634" w:rsidP="00A03B11">
      <w:pPr>
        <w:spacing w:after="120"/>
        <w:ind w:left="1260"/>
        <w:jc w:val="center"/>
        <w:rPr>
          <w:rFonts w:ascii="Arial" w:hAnsi="Arial" w:cs="Arial"/>
          <w:b/>
          <w:bCs/>
        </w:rPr>
      </w:pPr>
      <w:r>
        <w:rPr>
          <w:rFonts w:ascii="Arial" w:hAnsi="Arial"/>
          <w:b/>
        </w:rPr>
        <w:t>Tabl</w:t>
      </w:r>
      <w:r w:rsidRPr="00C45E06">
        <w:rPr>
          <w:rFonts w:ascii="Arial" w:hAnsi="Arial" w:cs="Arial"/>
          <w:b/>
        </w:rPr>
        <w:t>e 1.</w:t>
      </w:r>
      <w:r w:rsidRPr="00C45E06">
        <w:rPr>
          <w:rFonts w:ascii="Arial" w:hAnsi="Arial" w:cs="Arial"/>
          <w:b/>
        </w:rPr>
        <w:tab/>
      </w:r>
      <w:r w:rsidRPr="00C45E06">
        <w:rPr>
          <w:rFonts w:ascii="Arial" w:hAnsi="Arial" w:cs="Arial"/>
          <w:b/>
          <w:bCs/>
        </w:rPr>
        <w:t>Isotherm parameters for oil sorption on raw and modified PMSP</w:t>
      </w:r>
    </w:p>
    <w:tbl>
      <w:tblPr>
        <w:tblW w:w="7944" w:type="dxa"/>
        <w:jc w:val="center"/>
        <w:tblBorders>
          <w:top w:val="single" w:sz="4" w:space="0" w:color="auto"/>
          <w:bottom w:val="single" w:sz="4" w:space="0" w:color="auto"/>
        </w:tblBorders>
        <w:tblLook w:val="01E0" w:firstRow="1" w:lastRow="1" w:firstColumn="1" w:lastColumn="1" w:noHBand="0" w:noVBand="0"/>
      </w:tblPr>
      <w:tblGrid>
        <w:gridCol w:w="3063"/>
        <w:gridCol w:w="1551"/>
        <w:gridCol w:w="1675"/>
        <w:gridCol w:w="1655"/>
      </w:tblGrid>
      <w:tr w:rsidR="00293013" w:rsidRPr="00DC3180" w14:paraId="36081DBC" w14:textId="77777777" w:rsidTr="003B57F2">
        <w:trPr>
          <w:jc w:val="center"/>
        </w:trPr>
        <w:tc>
          <w:tcPr>
            <w:tcW w:w="3063" w:type="dxa"/>
            <w:tcBorders>
              <w:top w:val="single" w:sz="4" w:space="0" w:color="auto"/>
              <w:bottom w:val="single" w:sz="4" w:space="0" w:color="auto"/>
            </w:tcBorders>
          </w:tcPr>
          <w:p w14:paraId="49DC0EB4" w14:textId="77777777" w:rsidR="00293013" w:rsidRPr="00DC3180" w:rsidRDefault="00293013" w:rsidP="003B57F2">
            <w:pPr>
              <w:jc w:val="both"/>
              <w:rPr>
                <w:rFonts w:ascii="Arial" w:hAnsi="Arial"/>
                <w:b/>
                <w:bCs/>
              </w:rPr>
            </w:pPr>
            <w:r>
              <w:rPr>
                <w:rFonts w:ascii="Arial" w:hAnsi="Arial" w:cs="Arial"/>
                <w:b/>
                <w:bCs/>
              </w:rPr>
              <w:tab/>
            </w:r>
            <w:r>
              <w:rPr>
                <w:rFonts w:ascii="Arial" w:hAnsi="Arial"/>
                <w:b/>
              </w:rPr>
              <w:t>Isotherm model</w:t>
            </w:r>
          </w:p>
        </w:tc>
        <w:tc>
          <w:tcPr>
            <w:tcW w:w="1551" w:type="dxa"/>
            <w:tcBorders>
              <w:top w:val="single" w:sz="4" w:space="0" w:color="auto"/>
              <w:bottom w:val="single" w:sz="4" w:space="0" w:color="auto"/>
            </w:tcBorders>
          </w:tcPr>
          <w:p w14:paraId="1A2CF393" w14:textId="77777777" w:rsidR="00293013" w:rsidRPr="00DC3180" w:rsidRDefault="00293013" w:rsidP="003B57F2">
            <w:pPr>
              <w:jc w:val="both"/>
              <w:rPr>
                <w:rFonts w:ascii="Arial" w:hAnsi="Arial"/>
                <w:b/>
                <w:bCs/>
              </w:rPr>
            </w:pPr>
            <w:r>
              <w:rPr>
                <w:rFonts w:ascii="Arial" w:hAnsi="Arial"/>
                <w:b/>
                <w:bCs/>
              </w:rPr>
              <w:t>Parameter</w:t>
            </w:r>
          </w:p>
        </w:tc>
        <w:tc>
          <w:tcPr>
            <w:tcW w:w="1675" w:type="dxa"/>
            <w:tcBorders>
              <w:top w:val="single" w:sz="4" w:space="0" w:color="auto"/>
              <w:bottom w:val="single" w:sz="4" w:space="0" w:color="auto"/>
            </w:tcBorders>
          </w:tcPr>
          <w:p w14:paraId="4988FC42" w14:textId="77777777" w:rsidR="00293013" w:rsidRPr="00DC3180" w:rsidRDefault="00293013" w:rsidP="003B57F2">
            <w:pPr>
              <w:jc w:val="both"/>
              <w:rPr>
                <w:rFonts w:ascii="Arial" w:hAnsi="Arial"/>
                <w:b/>
                <w:bCs/>
              </w:rPr>
            </w:pPr>
            <w:r w:rsidRPr="00DC3180">
              <w:rPr>
                <w:rFonts w:ascii="Arial" w:hAnsi="Arial"/>
                <w:b/>
                <w:bCs/>
              </w:rPr>
              <w:t>M</w:t>
            </w:r>
            <w:r>
              <w:rPr>
                <w:rFonts w:ascii="Arial" w:hAnsi="Arial"/>
                <w:b/>
                <w:bCs/>
              </w:rPr>
              <w:t>PMSP</w:t>
            </w:r>
          </w:p>
        </w:tc>
        <w:tc>
          <w:tcPr>
            <w:tcW w:w="1655" w:type="dxa"/>
            <w:tcBorders>
              <w:top w:val="single" w:sz="4" w:space="0" w:color="auto"/>
              <w:bottom w:val="single" w:sz="4" w:space="0" w:color="auto"/>
            </w:tcBorders>
          </w:tcPr>
          <w:p w14:paraId="2742501D" w14:textId="77777777" w:rsidR="00293013" w:rsidRPr="00DC3180" w:rsidRDefault="00293013" w:rsidP="003B57F2">
            <w:pPr>
              <w:jc w:val="both"/>
              <w:rPr>
                <w:rFonts w:ascii="Arial" w:hAnsi="Arial"/>
                <w:b/>
                <w:bCs/>
              </w:rPr>
            </w:pPr>
            <w:r>
              <w:rPr>
                <w:rFonts w:ascii="Arial" w:hAnsi="Arial"/>
                <w:b/>
                <w:bCs/>
              </w:rPr>
              <w:t>RPMSP</w:t>
            </w:r>
          </w:p>
        </w:tc>
      </w:tr>
      <w:tr w:rsidR="00293013" w:rsidRPr="00DC3180" w14:paraId="09CC7818" w14:textId="77777777" w:rsidTr="003B57F2">
        <w:trPr>
          <w:trHeight w:val="197"/>
          <w:jc w:val="center"/>
        </w:trPr>
        <w:tc>
          <w:tcPr>
            <w:tcW w:w="3063" w:type="dxa"/>
            <w:tcBorders>
              <w:top w:val="single" w:sz="4" w:space="0" w:color="auto"/>
            </w:tcBorders>
          </w:tcPr>
          <w:p w14:paraId="70698DC9" w14:textId="77777777" w:rsidR="00293013" w:rsidRPr="00DC3180" w:rsidRDefault="00293013" w:rsidP="003B57F2">
            <w:pPr>
              <w:jc w:val="both"/>
              <w:rPr>
                <w:rFonts w:ascii="Arial" w:hAnsi="Arial"/>
                <w:vanish/>
              </w:rPr>
            </w:pPr>
            <w:r>
              <w:rPr>
                <w:rFonts w:ascii="Arial" w:hAnsi="Arial"/>
              </w:rPr>
              <w:t>Freundlich isotherm</w:t>
            </w:r>
          </w:p>
          <w:p w14:paraId="1C7145B8" w14:textId="77777777" w:rsidR="00293013" w:rsidRPr="00021AF2" w:rsidRDefault="00293013" w:rsidP="003B57F2">
            <w:pPr>
              <w:jc w:val="both"/>
              <w:rPr>
                <w:rFonts w:ascii="Arial" w:hAnsi="Arial"/>
              </w:rPr>
            </w:pPr>
            <w:r>
              <w:rPr>
                <w:rFonts w:ascii="Arial" w:hAnsi="Arial"/>
                <w:vanish/>
              </w:rPr>
              <w:t>F</w:t>
            </w:r>
          </w:p>
        </w:tc>
        <w:tc>
          <w:tcPr>
            <w:tcW w:w="1551" w:type="dxa"/>
            <w:tcBorders>
              <w:top w:val="single" w:sz="4" w:space="0" w:color="auto"/>
            </w:tcBorders>
          </w:tcPr>
          <w:p w14:paraId="408C5453" w14:textId="77777777" w:rsidR="00293013" w:rsidRPr="00DC3180" w:rsidRDefault="00293013" w:rsidP="003B57F2">
            <w:pPr>
              <w:jc w:val="both"/>
              <w:rPr>
                <w:rFonts w:ascii="Arial" w:hAnsi="Arial"/>
                <w:b/>
                <w:bCs/>
              </w:rPr>
            </w:pPr>
            <w:r>
              <w:rPr>
                <w:rFonts w:ascii="Arial" w:hAnsi="Arial"/>
              </w:rPr>
              <w:t>K</w:t>
            </w:r>
            <w:r w:rsidRPr="00C111E7">
              <w:rPr>
                <w:rFonts w:ascii="Arial" w:hAnsi="Arial"/>
                <w:vertAlign w:val="subscript"/>
              </w:rPr>
              <w:t>F</w:t>
            </w:r>
            <w:r>
              <w:rPr>
                <w:rFonts w:ascii="Arial" w:hAnsi="Arial"/>
              </w:rPr>
              <w:t xml:space="preserve"> (g/g)(L/g)</w:t>
            </w:r>
            <w:r w:rsidRPr="00C111E7">
              <w:rPr>
                <w:rFonts w:ascii="Arial" w:hAnsi="Arial"/>
                <w:vertAlign w:val="superscript"/>
              </w:rPr>
              <w:t>1/n</w:t>
            </w:r>
          </w:p>
        </w:tc>
        <w:tc>
          <w:tcPr>
            <w:tcW w:w="1675" w:type="dxa"/>
            <w:tcBorders>
              <w:top w:val="single" w:sz="4" w:space="0" w:color="auto"/>
            </w:tcBorders>
          </w:tcPr>
          <w:p w14:paraId="628BBBA2" w14:textId="77777777" w:rsidR="00293013" w:rsidRPr="00DC3180" w:rsidRDefault="00293013" w:rsidP="003B57F2">
            <w:pPr>
              <w:jc w:val="both"/>
              <w:rPr>
                <w:rFonts w:ascii="Arial" w:hAnsi="Arial"/>
                <w:b/>
                <w:bCs/>
              </w:rPr>
            </w:pPr>
            <w:r>
              <w:rPr>
                <w:rFonts w:ascii="Arial" w:hAnsi="Arial" w:cs="Arial"/>
              </w:rPr>
              <w:t>2.778</w:t>
            </w:r>
          </w:p>
        </w:tc>
        <w:tc>
          <w:tcPr>
            <w:tcW w:w="1655" w:type="dxa"/>
            <w:tcBorders>
              <w:top w:val="single" w:sz="4" w:space="0" w:color="auto"/>
            </w:tcBorders>
          </w:tcPr>
          <w:p w14:paraId="25AA1AA2" w14:textId="77777777" w:rsidR="00293013" w:rsidRPr="00DC3180" w:rsidRDefault="00293013" w:rsidP="003B57F2">
            <w:pPr>
              <w:jc w:val="both"/>
              <w:rPr>
                <w:rFonts w:ascii="Arial" w:hAnsi="Arial" w:cs="Arial"/>
              </w:rPr>
            </w:pPr>
            <w:r>
              <w:rPr>
                <w:rFonts w:ascii="Arial" w:hAnsi="Arial" w:cs="Arial"/>
              </w:rPr>
              <w:t>0.431</w:t>
            </w:r>
          </w:p>
        </w:tc>
      </w:tr>
      <w:tr w:rsidR="00293013" w:rsidRPr="00DC3180" w14:paraId="59347354" w14:textId="77777777" w:rsidTr="003B57F2">
        <w:trPr>
          <w:jc w:val="center"/>
          <w:hidden/>
        </w:trPr>
        <w:tc>
          <w:tcPr>
            <w:tcW w:w="3063" w:type="dxa"/>
          </w:tcPr>
          <w:p w14:paraId="0427EFE3" w14:textId="77777777" w:rsidR="00293013" w:rsidRPr="00DC3180" w:rsidRDefault="00293013" w:rsidP="003B57F2">
            <w:pPr>
              <w:jc w:val="both"/>
              <w:rPr>
                <w:rFonts w:ascii="Arial" w:hAnsi="Arial" w:cs="Arial"/>
                <w:vanish/>
              </w:rPr>
            </w:pPr>
          </w:p>
          <w:p w14:paraId="0B2A8FAA" w14:textId="77777777" w:rsidR="00293013" w:rsidRPr="00DC3180" w:rsidRDefault="00293013" w:rsidP="003B57F2">
            <w:pPr>
              <w:jc w:val="both"/>
              <w:rPr>
                <w:rFonts w:ascii="Arial" w:hAnsi="Arial" w:cs="Arial"/>
              </w:rPr>
            </w:pPr>
          </w:p>
        </w:tc>
        <w:tc>
          <w:tcPr>
            <w:tcW w:w="1551" w:type="dxa"/>
          </w:tcPr>
          <w:p w14:paraId="7AD62912" w14:textId="77777777" w:rsidR="00293013" w:rsidRPr="00DC3180" w:rsidRDefault="00293013" w:rsidP="003B57F2">
            <w:pPr>
              <w:jc w:val="both"/>
              <w:rPr>
                <w:rFonts w:ascii="Arial" w:hAnsi="Arial" w:cs="Arial"/>
              </w:rPr>
            </w:pPr>
            <w:r>
              <w:rPr>
                <w:rFonts w:ascii="Arial" w:hAnsi="Arial" w:cs="Arial"/>
              </w:rPr>
              <w:t>n</w:t>
            </w:r>
          </w:p>
        </w:tc>
        <w:tc>
          <w:tcPr>
            <w:tcW w:w="1675" w:type="dxa"/>
          </w:tcPr>
          <w:p w14:paraId="04F2A036" w14:textId="77777777" w:rsidR="00293013" w:rsidRDefault="00293013" w:rsidP="003B57F2">
            <w:pPr>
              <w:jc w:val="both"/>
              <w:rPr>
                <w:rFonts w:ascii="Arial" w:hAnsi="Arial" w:cs="Arial"/>
              </w:rPr>
            </w:pPr>
            <w:r>
              <w:rPr>
                <w:rFonts w:ascii="Arial" w:hAnsi="Arial" w:cs="Arial"/>
              </w:rPr>
              <w:t>3.647</w:t>
            </w:r>
          </w:p>
          <w:p w14:paraId="6AF8F714" w14:textId="77777777" w:rsidR="00293013" w:rsidRPr="00DC3180" w:rsidRDefault="00293013" w:rsidP="003B57F2">
            <w:pPr>
              <w:jc w:val="both"/>
              <w:rPr>
                <w:rFonts w:ascii="Arial" w:hAnsi="Arial" w:cs="Arial"/>
                <w:vanish/>
              </w:rPr>
            </w:pPr>
          </w:p>
          <w:p w14:paraId="6C2BB4B2" w14:textId="77777777" w:rsidR="00293013" w:rsidRPr="00DC3180" w:rsidRDefault="00293013" w:rsidP="003B57F2">
            <w:pPr>
              <w:jc w:val="both"/>
              <w:rPr>
                <w:rFonts w:ascii="Arial" w:hAnsi="Arial"/>
              </w:rPr>
            </w:pPr>
          </w:p>
        </w:tc>
        <w:tc>
          <w:tcPr>
            <w:tcW w:w="1655" w:type="dxa"/>
          </w:tcPr>
          <w:p w14:paraId="63C0095F" w14:textId="77777777" w:rsidR="00293013" w:rsidRPr="00DC3180" w:rsidRDefault="00293013" w:rsidP="003B57F2">
            <w:pPr>
              <w:jc w:val="both"/>
              <w:rPr>
                <w:rFonts w:ascii="Arial" w:hAnsi="Arial" w:cs="Arial"/>
              </w:rPr>
            </w:pPr>
            <w:r>
              <w:rPr>
                <w:rFonts w:ascii="Arial" w:hAnsi="Arial" w:cs="Arial"/>
              </w:rPr>
              <w:t>1.984</w:t>
            </w:r>
          </w:p>
        </w:tc>
      </w:tr>
      <w:tr w:rsidR="00293013" w:rsidRPr="00DC3180" w14:paraId="73DB4575" w14:textId="77777777" w:rsidTr="003B57F2">
        <w:trPr>
          <w:jc w:val="center"/>
        </w:trPr>
        <w:tc>
          <w:tcPr>
            <w:tcW w:w="3063" w:type="dxa"/>
          </w:tcPr>
          <w:p w14:paraId="4C3933FC" w14:textId="77777777" w:rsidR="00293013" w:rsidRPr="00DC3180" w:rsidRDefault="00293013" w:rsidP="003B57F2">
            <w:pPr>
              <w:jc w:val="both"/>
              <w:rPr>
                <w:rFonts w:ascii="Arial" w:hAnsi="Arial"/>
                <w:vanish/>
              </w:rPr>
            </w:pPr>
            <w:r>
              <w:rPr>
                <w:rFonts w:ascii="Arial" w:hAnsi="Arial"/>
              </w:rPr>
              <w:t>Langmuir isotherm</w:t>
            </w:r>
          </w:p>
          <w:p w14:paraId="498C158D" w14:textId="77777777" w:rsidR="00293013" w:rsidRPr="00DC3180" w:rsidRDefault="00293013" w:rsidP="003B57F2">
            <w:pPr>
              <w:jc w:val="both"/>
              <w:rPr>
                <w:rFonts w:ascii="Arial" w:hAnsi="Arial"/>
              </w:rPr>
            </w:pPr>
          </w:p>
        </w:tc>
        <w:tc>
          <w:tcPr>
            <w:tcW w:w="1551" w:type="dxa"/>
          </w:tcPr>
          <w:p w14:paraId="1E23953F" w14:textId="77777777" w:rsidR="00293013" w:rsidRPr="00DC3180" w:rsidRDefault="00293013" w:rsidP="003B57F2">
            <w:pPr>
              <w:jc w:val="both"/>
              <w:rPr>
                <w:rFonts w:ascii="Arial" w:hAnsi="Arial"/>
              </w:rPr>
            </w:pPr>
            <w:proofErr w:type="spellStart"/>
            <w:r>
              <w:rPr>
                <w:rFonts w:ascii="Arial" w:hAnsi="Arial"/>
              </w:rPr>
              <w:t>q</w:t>
            </w:r>
            <w:r w:rsidRPr="00C111E7">
              <w:rPr>
                <w:rFonts w:ascii="Arial" w:hAnsi="Arial"/>
                <w:vertAlign w:val="subscript"/>
              </w:rPr>
              <w:t>m</w:t>
            </w:r>
            <w:proofErr w:type="spellEnd"/>
            <w:r>
              <w:rPr>
                <w:rFonts w:ascii="Arial" w:hAnsi="Arial"/>
              </w:rPr>
              <w:t xml:space="preserve"> (g/g)</w:t>
            </w:r>
          </w:p>
        </w:tc>
        <w:tc>
          <w:tcPr>
            <w:tcW w:w="1675" w:type="dxa"/>
          </w:tcPr>
          <w:p w14:paraId="56214F41" w14:textId="77777777" w:rsidR="00293013" w:rsidRPr="00DC3180" w:rsidRDefault="00293013" w:rsidP="003B57F2">
            <w:pPr>
              <w:jc w:val="both"/>
              <w:rPr>
                <w:rFonts w:ascii="Arial" w:hAnsi="Arial" w:cs="Arial"/>
              </w:rPr>
            </w:pPr>
            <w:r>
              <w:rPr>
                <w:rFonts w:ascii="Arial" w:hAnsi="Arial" w:cs="Arial"/>
              </w:rPr>
              <w:t>11.990</w:t>
            </w:r>
          </w:p>
        </w:tc>
        <w:tc>
          <w:tcPr>
            <w:tcW w:w="1655" w:type="dxa"/>
          </w:tcPr>
          <w:p w14:paraId="56EA4163" w14:textId="77777777" w:rsidR="00293013" w:rsidRPr="00DC3180" w:rsidRDefault="00293013" w:rsidP="003B57F2">
            <w:pPr>
              <w:jc w:val="both"/>
              <w:rPr>
                <w:rFonts w:ascii="Arial" w:hAnsi="Arial" w:cs="Arial"/>
              </w:rPr>
            </w:pPr>
            <w:r>
              <w:rPr>
                <w:rFonts w:ascii="Arial" w:hAnsi="Arial" w:cs="Arial"/>
              </w:rPr>
              <w:t>7.911</w:t>
            </w:r>
          </w:p>
        </w:tc>
      </w:tr>
      <w:tr w:rsidR="00293013" w:rsidRPr="00DC3180" w14:paraId="76A7BAE2" w14:textId="77777777" w:rsidTr="003B57F2">
        <w:trPr>
          <w:jc w:val="center"/>
        </w:trPr>
        <w:tc>
          <w:tcPr>
            <w:tcW w:w="3063" w:type="dxa"/>
          </w:tcPr>
          <w:p w14:paraId="3E04992F" w14:textId="77777777" w:rsidR="00293013" w:rsidRPr="00DC3180" w:rsidRDefault="00293013" w:rsidP="003B57F2">
            <w:pPr>
              <w:jc w:val="both"/>
              <w:rPr>
                <w:rFonts w:ascii="Arial" w:hAnsi="Arial"/>
              </w:rPr>
            </w:pPr>
          </w:p>
        </w:tc>
        <w:tc>
          <w:tcPr>
            <w:tcW w:w="1551" w:type="dxa"/>
          </w:tcPr>
          <w:p w14:paraId="51756755" w14:textId="77777777" w:rsidR="00293013" w:rsidRPr="00DC3180" w:rsidRDefault="00293013" w:rsidP="003B57F2">
            <w:pPr>
              <w:jc w:val="both"/>
              <w:rPr>
                <w:rFonts w:ascii="Arial" w:hAnsi="Arial"/>
              </w:rPr>
            </w:pPr>
            <w:r>
              <w:rPr>
                <w:rFonts w:ascii="Arial" w:hAnsi="Arial"/>
              </w:rPr>
              <w:t>b (L/g)</w:t>
            </w:r>
          </w:p>
        </w:tc>
        <w:tc>
          <w:tcPr>
            <w:tcW w:w="1675" w:type="dxa"/>
          </w:tcPr>
          <w:p w14:paraId="2009F7C1" w14:textId="77777777" w:rsidR="00293013" w:rsidRPr="00DC3180" w:rsidRDefault="00293013" w:rsidP="003B57F2">
            <w:pPr>
              <w:jc w:val="both"/>
              <w:rPr>
                <w:rFonts w:ascii="Arial" w:hAnsi="Arial" w:cs="Arial"/>
              </w:rPr>
            </w:pPr>
            <w:r>
              <w:rPr>
                <w:rFonts w:ascii="Arial" w:hAnsi="Arial" w:cs="Arial"/>
              </w:rPr>
              <w:t>4.52 x 10</w:t>
            </w:r>
            <w:r w:rsidRPr="00C111E7">
              <w:rPr>
                <w:rFonts w:ascii="Arial" w:hAnsi="Arial" w:cs="Arial"/>
                <w:vertAlign w:val="superscript"/>
              </w:rPr>
              <w:t>-2</w:t>
            </w:r>
          </w:p>
        </w:tc>
        <w:tc>
          <w:tcPr>
            <w:tcW w:w="1655" w:type="dxa"/>
          </w:tcPr>
          <w:p w14:paraId="397272B7" w14:textId="77777777" w:rsidR="00293013" w:rsidRPr="00DC3180" w:rsidRDefault="00293013" w:rsidP="003B57F2">
            <w:pPr>
              <w:jc w:val="both"/>
              <w:rPr>
                <w:rFonts w:ascii="Arial" w:hAnsi="Arial" w:cs="Arial"/>
              </w:rPr>
            </w:pPr>
            <w:r>
              <w:rPr>
                <w:rFonts w:ascii="Arial" w:hAnsi="Arial" w:cs="Arial"/>
              </w:rPr>
              <w:t>1.28 x 10</w:t>
            </w:r>
            <w:r w:rsidRPr="00C111E7">
              <w:rPr>
                <w:rFonts w:ascii="Arial" w:hAnsi="Arial" w:cs="Arial"/>
                <w:vertAlign w:val="superscript"/>
              </w:rPr>
              <w:t>-2</w:t>
            </w:r>
          </w:p>
        </w:tc>
      </w:tr>
      <w:tr w:rsidR="00293013" w:rsidRPr="00DC3180" w14:paraId="697192ED" w14:textId="77777777" w:rsidTr="003B57F2">
        <w:trPr>
          <w:trHeight w:val="404"/>
          <w:jc w:val="center"/>
        </w:trPr>
        <w:tc>
          <w:tcPr>
            <w:tcW w:w="3063" w:type="dxa"/>
          </w:tcPr>
          <w:p w14:paraId="1BB9593A" w14:textId="77777777" w:rsidR="00293013" w:rsidRPr="00DC3180" w:rsidRDefault="00293013" w:rsidP="003B57F2">
            <w:pPr>
              <w:jc w:val="both"/>
              <w:rPr>
                <w:rFonts w:ascii="Arial" w:hAnsi="Arial"/>
              </w:rPr>
            </w:pPr>
          </w:p>
        </w:tc>
        <w:tc>
          <w:tcPr>
            <w:tcW w:w="1551" w:type="dxa"/>
          </w:tcPr>
          <w:p w14:paraId="30A0D9EB" w14:textId="77777777" w:rsidR="00293013" w:rsidRPr="00DC3180" w:rsidRDefault="00293013" w:rsidP="003B57F2">
            <w:pPr>
              <w:jc w:val="both"/>
              <w:rPr>
                <w:rFonts w:ascii="Arial" w:hAnsi="Arial"/>
              </w:rPr>
            </w:pPr>
            <w:r>
              <w:rPr>
                <w:rFonts w:ascii="Arial" w:hAnsi="Arial"/>
              </w:rPr>
              <w:t>R</w:t>
            </w:r>
            <w:r w:rsidRPr="00C111E7">
              <w:rPr>
                <w:rFonts w:ascii="Arial" w:hAnsi="Arial"/>
                <w:vertAlign w:val="subscript"/>
              </w:rPr>
              <w:t>L</w:t>
            </w:r>
          </w:p>
        </w:tc>
        <w:tc>
          <w:tcPr>
            <w:tcW w:w="1675" w:type="dxa"/>
          </w:tcPr>
          <w:p w14:paraId="25D4C9AA" w14:textId="77777777" w:rsidR="00293013" w:rsidRPr="00DC3180" w:rsidRDefault="00293013" w:rsidP="003B57F2">
            <w:pPr>
              <w:jc w:val="both"/>
              <w:rPr>
                <w:rFonts w:ascii="Arial" w:hAnsi="Arial" w:cs="Arial"/>
              </w:rPr>
            </w:pPr>
            <w:r>
              <w:rPr>
                <w:rFonts w:ascii="Arial" w:hAnsi="Arial" w:cs="Arial"/>
              </w:rPr>
              <w:t>0.307 – 0.129</w:t>
            </w:r>
          </w:p>
        </w:tc>
        <w:tc>
          <w:tcPr>
            <w:tcW w:w="1655" w:type="dxa"/>
          </w:tcPr>
          <w:p w14:paraId="6F49488F" w14:textId="77777777" w:rsidR="00293013" w:rsidRPr="00DC3180" w:rsidRDefault="00293013" w:rsidP="003B57F2">
            <w:pPr>
              <w:jc w:val="both"/>
              <w:rPr>
                <w:rFonts w:ascii="Arial" w:hAnsi="Arial" w:cs="Arial"/>
              </w:rPr>
            </w:pPr>
            <w:r>
              <w:rPr>
                <w:rFonts w:ascii="Arial" w:hAnsi="Arial" w:cs="Arial"/>
              </w:rPr>
              <w:t>0.610 – 0.342</w:t>
            </w:r>
          </w:p>
        </w:tc>
      </w:tr>
      <w:tr w:rsidR="00293013" w:rsidRPr="00DC3180" w14:paraId="321D5E22" w14:textId="77777777" w:rsidTr="003B57F2">
        <w:trPr>
          <w:jc w:val="center"/>
        </w:trPr>
        <w:tc>
          <w:tcPr>
            <w:tcW w:w="3063" w:type="dxa"/>
          </w:tcPr>
          <w:p w14:paraId="451E8D67" w14:textId="77777777" w:rsidR="00293013" w:rsidRPr="00DC3180" w:rsidRDefault="00293013" w:rsidP="003B57F2">
            <w:pPr>
              <w:jc w:val="both"/>
              <w:rPr>
                <w:rFonts w:ascii="Arial" w:hAnsi="Arial"/>
              </w:rPr>
            </w:pPr>
            <w:r>
              <w:rPr>
                <w:rFonts w:ascii="Arial" w:hAnsi="Arial"/>
              </w:rPr>
              <w:t>Temkin isotherm</w:t>
            </w:r>
          </w:p>
        </w:tc>
        <w:tc>
          <w:tcPr>
            <w:tcW w:w="1551" w:type="dxa"/>
          </w:tcPr>
          <w:p w14:paraId="40237332" w14:textId="77777777" w:rsidR="00293013" w:rsidRPr="00DC3180" w:rsidRDefault="00293013" w:rsidP="003B57F2">
            <w:pPr>
              <w:jc w:val="both"/>
              <w:rPr>
                <w:rFonts w:ascii="Arial" w:hAnsi="Arial"/>
              </w:rPr>
            </w:pPr>
            <w:r>
              <w:rPr>
                <w:rFonts w:ascii="Arial" w:hAnsi="Arial"/>
              </w:rPr>
              <w:t>K</w:t>
            </w:r>
            <w:r w:rsidRPr="00C111E7">
              <w:rPr>
                <w:rFonts w:ascii="Arial" w:hAnsi="Arial"/>
                <w:vertAlign w:val="subscript"/>
              </w:rPr>
              <w:t>T</w:t>
            </w:r>
            <w:r>
              <w:rPr>
                <w:rFonts w:ascii="Arial" w:hAnsi="Arial"/>
              </w:rPr>
              <w:t xml:space="preserve"> (L/g)</w:t>
            </w:r>
          </w:p>
        </w:tc>
        <w:tc>
          <w:tcPr>
            <w:tcW w:w="1675" w:type="dxa"/>
          </w:tcPr>
          <w:p w14:paraId="2B0729A5" w14:textId="77777777" w:rsidR="00293013" w:rsidRPr="00DC3180" w:rsidRDefault="00293013" w:rsidP="003B57F2">
            <w:pPr>
              <w:jc w:val="both"/>
              <w:rPr>
                <w:rFonts w:ascii="Arial" w:hAnsi="Arial" w:cs="Arial"/>
              </w:rPr>
            </w:pPr>
            <w:r>
              <w:rPr>
                <w:rFonts w:ascii="Arial" w:hAnsi="Arial" w:cs="Arial"/>
              </w:rPr>
              <w:t>0.639</w:t>
            </w:r>
          </w:p>
        </w:tc>
        <w:tc>
          <w:tcPr>
            <w:tcW w:w="1655" w:type="dxa"/>
          </w:tcPr>
          <w:p w14:paraId="4CD568AC" w14:textId="77777777" w:rsidR="00293013" w:rsidRPr="00DC3180" w:rsidRDefault="00293013" w:rsidP="003B57F2">
            <w:pPr>
              <w:jc w:val="both"/>
              <w:rPr>
                <w:rFonts w:ascii="Arial" w:hAnsi="Arial" w:cs="Arial"/>
              </w:rPr>
            </w:pPr>
            <w:r>
              <w:rPr>
                <w:rFonts w:ascii="Arial" w:hAnsi="Arial" w:cs="Arial"/>
              </w:rPr>
              <w:t>0.094</w:t>
            </w:r>
          </w:p>
        </w:tc>
      </w:tr>
      <w:tr w:rsidR="00293013" w:rsidRPr="00DC3180" w14:paraId="6048F291" w14:textId="77777777" w:rsidTr="003B57F2">
        <w:trPr>
          <w:trHeight w:val="377"/>
          <w:jc w:val="center"/>
        </w:trPr>
        <w:tc>
          <w:tcPr>
            <w:tcW w:w="3063" w:type="dxa"/>
          </w:tcPr>
          <w:p w14:paraId="2BB11B6A" w14:textId="77777777" w:rsidR="00293013" w:rsidRPr="00DC3180" w:rsidRDefault="00293013" w:rsidP="003B57F2">
            <w:pPr>
              <w:jc w:val="both"/>
              <w:rPr>
                <w:rFonts w:ascii="Arial" w:hAnsi="Arial"/>
              </w:rPr>
            </w:pPr>
          </w:p>
        </w:tc>
        <w:tc>
          <w:tcPr>
            <w:tcW w:w="1551" w:type="dxa"/>
          </w:tcPr>
          <w:p w14:paraId="44757BE9" w14:textId="77777777" w:rsidR="00293013" w:rsidRPr="00DC3180" w:rsidRDefault="00293013" w:rsidP="003B57F2">
            <w:pPr>
              <w:jc w:val="both"/>
              <w:rPr>
                <w:rFonts w:ascii="Arial" w:hAnsi="Arial"/>
              </w:rPr>
            </w:pPr>
            <w:r>
              <w:rPr>
                <w:rFonts w:ascii="Arial" w:hAnsi="Arial"/>
              </w:rPr>
              <w:t>B</w:t>
            </w:r>
          </w:p>
        </w:tc>
        <w:tc>
          <w:tcPr>
            <w:tcW w:w="1675" w:type="dxa"/>
          </w:tcPr>
          <w:p w14:paraId="6A1F81A5" w14:textId="77777777" w:rsidR="00293013" w:rsidRPr="00DC3180" w:rsidRDefault="00293013" w:rsidP="003B57F2">
            <w:pPr>
              <w:jc w:val="both"/>
              <w:rPr>
                <w:rFonts w:ascii="Arial" w:hAnsi="Arial" w:cs="Arial"/>
              </w:rPr>
            </w:pPr>
            <w:r>
              <w:rPr>
                <w:rFonts w:ascii="Arial" w:hAnsi="Arial" w:cs="Arial"/>
              </w:rPr>
              <w:t>1.9951</w:t>
            </w:r>
          </w:p>
        </w:tc>
        <w:tc>
          <w:tcPr>
            <w:tcW w:w="1655" w:type="dxa"/>
          </w:tcPr>
          <w:p w14:paraId="55BD7546" w14:textId="77777777" w:rsidR="00293013" w:rsidRPr="00DC3180" w:rsidRDefault="00293013" w:rsidP="003B57F2">
            <w:pPr>
              <w:jc w:val="both"/>
              <w:rPr>
                <w:rFonts w:ascii="Arial" w:hAnsi="Arial" w:cs="Arial"/>
              </w:rPr>
            </w:pPr>
            <w:r>
              <w:rPr>
                <w:rFonts w:ascii="Arial" w:hAnsi="Arial" w:cs="Arial"/>
              </w:rPr>
              <w:t>2.3636</w:t>
            </w:r>
          </w:p>
        </w:tc>
      </w:tr>
      <w:tr w:rsidR="00293013" w:rsidRPr="00DC3180" w14:paraId="47BA950B" w14:textId="77777777" w:rsidTr="003B57F2">
        <w:trPr>
          <w:jc w:val="center"/>
        </w:trPr>
        <w:tc>
          <w:tcPr>
            <w:tcW w:w="3063" w:type="dxa"/>
          </w:tcPr>
          <w:p w14:paraId="698E9358" w14:textId="77777777" w:rsidR="00293013" w:rsidRPr="00DC3180" w:rsidRDefault="00293013" w:rsidP="003B57F2">
            <w:pPr>
              <w:jc w:val="both"/>
              <w:rPr>
                <w:rFonts w:ascii="Arial" w:hAnsi="Arial"/>
              </w:rPr>
            </w:pPr>
            <w:proofErr w:type="spellStart"/>
            <w:r>
              <w:rPr>
                <w:rFonts w:ascii="Arial" w:hAnsi="Arial"/>
              </w:rPr>
              <w:t>Dubinin-Radushkevich</w:t>
            </w:r>
            <w:proofErr w:type="spellEnd"/>
            <w:r>
              <w:rPr>
                <w:rFonts w:ascii="Arial" w:hAnsi="Arial"/>
              </w:rPr>
              <w:t xml:space="preserve"> isotherm</w:t>
            </w:r>
          </w:p>
        </w:tc>
        <w:tc>
          <w:tcPr>
            <w:tcW w:w="1551" w:type="dxa"/>
          </w:tcPr>
          <w:p w14:paraId="1DB77BAD" w14:textId="77777777" w:rsidR="00293013" w:rsidRPr="00DC3180" w:rsidRDefault="00293013" w:rsidP="003B57F2">
            <w:pPr>
              <w:jc w:val="both"/>
              <w:rPr>
                <w:rFonts w:ascii="Arial" w:hAnsi="Arial"/>
              </w:rPr>
            </w:pPr>
            <w:proofErr w:type="spellStart"/>
            <w:r>
              <w:rPr>
                <w:rFonts w:ascii="Arial" w:hAnsi="Arial"/>
              </w:rPr>
              <w:t>q</w:t>
            </w:r>
            <w:r w:rsidRPr="00C111E7">
              <w:rPr>
                <w:rFonts w:ascii="Arial" w:hAnsi="Arial"/>
                <w:vertAlign w:val="subscript"/>
              </w:rPr>
              <w:t>m</w:t>
            </w:r>
            <w:proofErr w:type="spellEnd"/>
            <w:r>
              <w:rPr>
                <w:rFonts w:ascii="Arial" w:hAnsi="Arial"/>
              </w:rPr>
              <w:t xml:space="preserve"> (g/g)</w:t>
            </w:r>
          </w:p>
        </w:tc>
        <w:tc>
          <w:tcPr>
            <w:tcW w:w="1675" w:type="dxa"/>
          </w:tcPr>
          <w:p w14:paraId="2310541F" w14:textId="77777777" w:rsidR="00293013" w:rsidRPr="00DC3180" w:rsidRDefault="00293013" w:rsidP="003B57F2">
            <w:pPr>
              <w:jc w:val="both"/>
              <w:rPr>
                <w:rFonts w:ascii="Arial" w:hAnsi="Arial" w:cs="Arial"/>
              </w:rPr>
            </w:pPr>
            <w:r>
              <w:rPr>
                <w:rFonts w:ascii="Arial" w:hAnsi="Arial" w:cs="Arial"/>
              </w:rPr>
              <w:t>10.371</w:t>
            </w:r>
          </w:p>
        </w:tc>
        <w:tc>
          <w:tcPr>
            <w:tcW w:w="1655" w:type="dxa"/>
          </w:tcPr>
          <w:p w14:paraId="4477EC8C" w14:textId="77777777" w:rsidR="00293013" w:rsidRPr="00DC3180" w:rsidRDefault="00293013" w:rsidP="003B57F2">
            <w:pPr>
              <w:jc w:val="both"/>
              <w:rPr>
                <w:rFonts w:ascii="Arial" w:hAnsi="Arial" w:cs="Arial"/>
              </w:rPr>
            </w:pPr>
            <w:r>
              <w:rPr>
                <w:rFonts w:ascii="Arial" w:hAnsi="Arial" w:cs="Arial"/>
              </w:rPr>
              <w:t>5.081</w:t>
            </w:r>
          </w:p>
        </w:tc>
      </w:tr>
      <w:tr w:rsidR="00293013" w:rsidRPr="00DC3180" w14:paraId="7B2C874A" w14:textId="77777777" w:rsidTr="003B57F2">
        <w:trPr>
          <w:jc w:val="center"/>
        </w:trPr>
        <w:tc>
          <w:tcPr>
            <w:tcW w:w="3063" w:type="dxa"/>
          </w:tcPr>
          <w:p w14:paraId="5BF4AD32" w14:textId="77777777" w:rsidR="00293013" w:rsidRDefault="00293013" w:rsidP="003B57F2">
            <w:pPr>
              <w:jc w:val="both"/>
              <w:rPr>
                <w:rFonts w:ascii="Arial" w:hAnsi="Arial"/>
              </w:rPr>
            </w:pPr>
          </w:p>
        </w:tc>
        <w:tc>
          <w:tcPr>
            <w:tcW w:w="1551" w:type="dxa"/>
          </w:tcPr>
          <w:p w14:paraId="54A54E13" w14:textId="77777777" w:rsidR="00293013" w:rsidRPr="00DC3180" w:rsidRDefault="00293013" w:rsidP="003B57F2">
            <w:pPr>
              <w:jc w:val="both"/>
              <w:rPr>
                <w:rFonts w:ascii="Arial" w:hAnsi="Arial"/>
              </w:rPr>
            </w:pPr>
            <w:r>
              <w:rPr>
                <w:rFonts w:ascii="Arial" w:hAnsi="Arial"/>
              </w:rPr>
              <w:t>K</w:t>
            </w:r>
            <w:r w:rsidRPr="00021AF2">
              <w:rPr>
                <w:rFonts w:ascii="Arial" w:hAnsi="Arial"/>
                <w:vertAlign w:val="subscript"/>
              </w:rPr>
              <w:t>D</w:t>
            </w:r>
            <w:r>
              <w:rPr>
                <w:rFonts w:ascii="Arial" w:hAnsi="Arial"/>
              </w:rPr>
              <w:t xml:space="preserve"> (mol</w:t>
            </w:r>
            <w:r w:rsidRPr="00021AF2">
              <w:rPr>
                <w:rFonts w:ascii="Arial" w:hAnsi="Arial"/>
                <w:vertAlign w:val="superscript"/>
              </w:rPr>
              <w:t>2</w:t>
            </w:r>
            <w:r>
              <w:rPr>
                <w:rFonts w:ascii="Arial" w:hAnsi="Arial"/>
              </w:rPr>
              <w:t>/kJ</w:t>
            </w:r>
            <w:r w:rsidRPr="00021AF2">
              <w:rPr>
                <w:rFonts w:ascii="Arial" w:hAnsi="Arial"/>
                <w:vertAlign w:val="superscript"/>
              </w:rPr>
              <w:t>2</w:t>
            </w:r>
            <w:r>
              <w:rPr>
                <w:rFonts w:ascii="Arial" w:hAnsi="Arial"/>
              </w:rPr>
              <w:t>)</w:t>
            </w:r>
          </w:p>
        </w:tc>
        <w:tc>
          <w:tcPr>
            <w:tcW w:w="1675" w:type="dxa"/>
          </w:tcPr>
          <w:p w14:paraId="64B112DB" w14:textId="77777777" w:rsidR="00293013" w:rsidRPr="00DC3180" w:rsidRDefault="00293013" w:rsidP="003B57F2">
            <w:pPr>
              <w:jc w:val="both"/>
              <w:rPr>
                <w:rFonts w:ascii="Arial" w:hAnsi="Arial" w:cs="Arial"/>
              </w:rPr>
            </w:pPr>
            <w:r>
              <w:rPr>
                <w:rFonts w:ascii="Arial" w:hAnsi="Arial" w:cs="Arial"/>
              </w:rPr>
              <w:t>0.081</w:t>
            </w:r>
          </w:p>
        </w:tc>
        <w:tc>
          <w:tcPr>
            <w:tcW w:w="1655" w:type="dxa"/>
          </w:tcPr>
          <w:p w14:paraId="782D413C" w14:textId="77777777" w:rsidR="00293013" w:rsidRPr="00DC3180" w:rsidRDefault="00293013" w:rsidP="003B57F2">
            <w:pPr>
              <w:jc w:val="both"/>
              <w:rPr>
                <w:rFonts w:ascii="Arial" w:hAnsi="Arial" w:cs="Arial"/>
              </w:rPr>
            </w:pPr>
            <w:r>
              <w:rPr>
                <w:rFonts w:ascii="Arial" w:hAnsi="Arial" w:cs="Arial"/>
              </w:rPr>
              <w:t>0.192</w:t>
            </w:r>
          </w:p>
        </w:tc>
      </w:tr>
    </w:tbl>
    <w:p w14:paraId="764F22AE" w14:textId="77777777" w:rsidR="00C45E06" w:rsidRPr="00C45E06" w:rsidRDefault="00C45E06" w:rsidP="00A03B11">
      <w:pPr>
        <w:spacing w:before="240"/>
        <w:ind w:left="1260"/>
        <w:jc w:val="both"/>
        <w:rPr>
          <w:rFonts w:ascii="Arial" w:hAnsi="Arial" w:cs="Arial"/>
          <w:b/>
        </w:rPr>
      </w:pPr>
      <w:r w:rsidRPr="00FB0945">
        <w:rPr>
          <w:rFonts w:ascii="Arial" w:hAnsi="Arial" w:cs="Arial"/>
          <w:b/>
          <w:caps/>
          <w:sz w:val="22"/>
          <w:szCs w:val="22"/>
        </w:rPr>
        <w:t>3.3</w:t>
      </w:r>
      <w:r w:rsidRPr="00C45E06">
        <w:rPr>
          <w:rFonts w:ascii="Arial" w:hAnsi="Arial" w:cs="Arial"/>
          <w:b/>
          <w:caps/>
        </w:rPr>
        <w:t xml:space="preserve"> </w:t>
      </w:r>
      <w:r w:rsidRPr="00FB0945">
        <w:rPr>
          <w:rFonts w:ascii="Arial" w:hAnsi="Arial" w:cs="Arial"/>
          <w:b/>
          <w:bCs/>
          <w:sz w:val="22"/>
          <w:szCs w:val="22"/>
        </w:rPr>
        <w:t>Effect of Contact Time and Kinetic Studies</w:t>
      </w:r>
    </w:p>
    <w:p w14:paraId="54F276B4" w14:textId="77777777" w:rsidR="00C45E06" w:rsidRPr="00C45E06" w:rsidRDefault="00C45E06" w:rsidP="00A03B11">
      <w:pPr>
        <w:ind w:left="1260"/>
        <w:jc w:val="both"/>
        <w:rPr>
          <w:rFonts w:ascii="Arial" w:hAnsi="Arial" w:cs="Arial"/>
        </w:rPr>
      </w:pPr>
      <w:r w:rsidRPr="00C45E06">
        <w:rPr>
          <w:rFonts w:ascii="Arial" w:hAnsi="Arial" w:cs="Arial"/>
        </w:rPr>
        <w:t>The effect of contact time on crude oil sorption capacity of the raw and modified PMSP is shown in Fig. 5.</w:t>
      </w:r>
    </w:p>
    <w:p w14:paraId="74C0BD37" w14:textId="77777777" w:rsidR="00C45E06" w:rsidRPr="00C45E06" w:rsidRDefault="00C45E06" w:rsidP="00A03B11">
      <w:pPr>
        <w:ind w:left="1260"/>
        <w:jc w:val="both"/>
        <w:rPr>
          <w:rFonts w:ascii="Arial" w:hAnsi="Arial" w:cs="Arial"/>
        </w:rPr>
      </w:pPr>
      <w:r w:rsidRPr="00C45E06">
        <w:rPr>
          <w:rFonts w:ascii="Arial" w:hAnsi="Arial" w:cs="Arial"/>
          <w:noProof/>
        </w:rPr>
        <w:drawing>
          <wp:inline distT="0" distB="0" distL="0" distR="0" wp14:anchorId="3FB5864E" wp14:editId="31EE3208">
            <wp:extent cx="5196840" cy="3177540"/>
            <wp:effectExtent l="0" t="0" r="0" b="0"/>
            <wp:docPr id="25" name="Picture 25" descr="C:\Users\IFY OBI\Desktop\PMSP\NEW\Fig 8. Raw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FY OBI\Desktop\PMSP\NEW\Fig 8. Raw_1.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439"/>
                    <a:stretch/>
                  </pic:blipFill>
                  <pic:spPr bwMode="auto">
                    <a:xfrm>
                      <a:off x="0" y="0"/>
                      <a:ext cx="5225494" cy="3195060"/>
                    </a:xfrm>
                    <a:prstGeom prst="rect">
                      <a:avLst/>
                    </a:prstGeom>
                    <a:noFill/>
                    <a:ln>
                      <a:noFill/>
                    </a:ln>
                    <a:extLst>
                      <a:ext uri="{53640926-AAD7-44D8-BBD7-CCE9431645EC}">
                        <a14:shadowObscured xmlns:a14="http://schemas.microsoft.com/office/drawing/2010/main"/>
                      </a:ext>
                    </a:extLst>
                  </pic:spPr>
                </pic:pic>
              </a:graphicData>
            </a:graphic>
          </wp:inline>
        </w:drawing>
      </w:r>
    </w:p>
    <w:p w14:paraId="2127E16A" w14:textId="77777777" w:rsidR="00C45E06" w:rsidRPr="00FB0945" w:rsidRDefault="00C45E06" w:rsidP="00A03B11">
      <w:pPr>
        <w:ind w:left="1260"/>
        <w:jc w:val="center"/>
        <w:rPr>
          <w:rFonts w:ascii="Arial" w:hAnsi="Arial" w:cs="Arial"/>
          <w:b/>
          <w:bCs/>
        </w:rPr>
      </w:pPr>
      <w:r w:rsidRPr="00FB0945">
        <w:rPr>
          <w:rFonts w:ascii="Arial" w:hAnsi="Arial" w:cs="Arial"/>
          <w:b/>
          <w:bCs/>
        </w:rPr>
        <w:t>Fig. 5. Effect of contact time on the oil sorption capacity of raw and modified PMSP</w:t>
      </w:r>
    </w:p>
    <w:p w14:paraId="11FF71DB" w14:textId="77777777" w:rsidR="00C45E06" w:rsidRPr="00C45E06" w:rsidRDefault="00C45E06" w:rsidP="00A03B11">
      <w:pPr>
        <w:spacing w:before="240"/>
        <w:ind w:left="1260"/>
        <w:jc w:val="both"/>
        <w:rPr>
          <w:rFonts w:ascii="Arial" w:hAnsi="Arial" w:cs="Arial"/>
        </w:rPr>
      </w:pPr>
      <w:r w:rsidRPr="00C45E06">
        <w:rPr>
          <w:rFonts w:ascii="Arial" w:hAnsi="Arial" w:cs="Arial"/>
        </w:rPr>
        <w:t>The oil sorption capacity of MPMSP and RPMSP increased with an increase in contact time. The sorption process was fast at first and then slowed down. This could be because of the high concentration gradient at the beginning which drove the diffusion of the oil from the bulk to the sorbent’s surface and pores. However, with time, the adsorbed oil began to clog the sorbent’s pores, making it challenging for oil to diffuse into t</w:t>
      </w:r>
      <w:r w:rsidR="0042670E">
        <w:rPr>
          <w:rFonts w:ascii="Arial" w:hAnsi="Arial" w:cs="Arial"/>
        </w:rPr>
        <w:t>he interiors of the sorbent (Basu et al., 2018)</w:t>
      </w:r>
      <w:r w:rsidRPr="00C45E06">
        <w:rPr>
          <w:rFonts w:ascii="Arial" w:hAnsi="Arial" w:cs="Arial"/>
        </w:rPr>
        <w:t xml:space="preserve">. MPMSP exhibited a higher oil sorption capacity than RPMSP for the entire sorption duration. The sorption capacities of RPMSP and MPMSP were 7.43 and 11.80 g/g, respectively, after 15 minutes of contact. The higher oil sorption capacity of MPMSP is likely due to the increment of its surface area and hydrophobicity by the acetylation process. A similar trend was reported for crude oil adsorption on raw and acetylated </w:t>
      </w:r>
      <w:proofErr w:type="spellStart"/>
      <w:r w:rsidRPr="00C45E06">
        <w:rPr>
          <w:rFonts w:ascii="Arial" w:hAnsi="Arial" w:cs="Arial"/>
          <w:i/>
        </w:rPr>
        <w:t>Borassus</w:t>
      </w:r>
      <w:proofErr w:type="spellEnd"/>
      <w:r w:rsidRPr="00C45E06">
        <w:rPr>
          <w:rFonts w:ascii="Arial" w:hAnsi="Arial" w:cs="Arial"/>
          <w:i/>
        </w:rPr>
        <w:t xml:space="preserve"> </w:t>
      </w:r>
      <w:proofErr w:type="spellStart"/>
      <w:r w:rsidRPr="00C45E06">
        <w:rPr>
          <w:rFonts w:ascii="Arial" w:hAnsi="Arial" w:cs="Arial"/>
          <w:i/>
        </w:rPr>
        <w:t>aethopum</w:t>
      </w:r>
      <w:proofErr w:type="spellEnd"/>
      <w:r w:rsidR="0042670E">
        <w:rPr>
          <w:rFonts w:ascii="Arial" w:hAnsi="Arial" w:cs="Arial"/>
        </w:rPr>
        <w:t xml:space="preserve"> coir (Arinze-Nwosu et al., 2019)</w:t>
      </w:r>
      <w:r w:rsidRPr="00C45E06">
        <w:rPr>
          <w:rFonts w:ascii="Arial" w:hAnsi="Arial" w:cs="Arial"/>
        </w:rPr>
        <w:t xml:space="preserve"> </w:t>
      </w:r>
      <w:r w:rsidR="0042670E">
        <w:rPr>
          <w:rFonts w:ascii="Arial" w:hAnsi="Arial" w:cs="Arial"/>
        </w:rPr>
        <w:t>and Siamese senna seed pods (Obi et al., 2024)</w:t>
      </w:r>
      <w:r w:rsidRPr="00C45E06">
        <w:rPr>
          <w:rFonts w:ascii="Arial" w:hAnsi="Arial" w:cs="Arial"/>
        </w:rPr>
        <w:t>.</w:t>
      </w:r>
    </w:p>
    <w:p w14:paraId="0FBFA9F1" w14:textId="77777777" w:rsidR="00C45E06" w:rsidRPr="00C45E06" w:rsidRDefault="00C45E06" w:rsidP="00A03B11">
      <w:pPr>
        <w:spacing w:before="240"/>
        <w:ind w:left="1260"/>
        <w:jc w:val="both"/>
        <w:rPr>
          <w:rFonts w:ascii="Arial" w:hAnsi="Arial" w:cs="Arial"/>
        </w:rPr>
      </w:pPr>
      <w:r w:rsidRPr="00C45E06">
        <w:rPr>
          <w:rFonts w:ascii="Arial" w:hAnsi="Arial" w:cs="Arial"/>
        </w:rPr>
        <w:t xml:space="preserve">To understand the kinetics of the oil sorption on RPMSP and MPMSP, various kinetic models were applied to the sorption data. These models are the pseudo first order, pseudo second order, intra-particle diffusion, and film diffusion kinetic models as expressed in equations (9) – (12), respectively </w:t>
      </w:r>
      <w:r w:rsidR="0042670E">
        <w:rPr>
          <w:rFonts w:ascii="Arial" w:hAnsi="Arial" w:cs="Arial"/>
        </w:rPr>
        <w:t>(</w:t>
      </w:r>
      <w:r w:rsidR="008C2FA5">
        <w:rPr>
          <w:rFonts w:ascii="Arial" w:hAnsi="Arial" w:cs="Arial"/>
        </w:rPr>
        <w:t>Oladimeji et al., 2019</w:t>
      </w:r>
      <w:r w:rsidR="0042670E">
        <w:rPr>
          <w:rFonts w:ascii="Arial" w:hAnsi="Arial" w:cs="Arial"/>
        </w:rPr>
        <w:t>; Nnaji et al., 2016)</w:t>
      </w:r>
      <w:r w:rsidRPr="00C45E06">
        <w:rPr>
          <w:rFonts w:ascii="Arial" w:hAnsi="Arial" w:cs="Arial"/>
        </w:rPr>
        <w:t>:</w:t>
      </w:r>
    </w:p>
    <w:p w14:paraId="46E72BB0" w14:textId="77777777" w:rsidR="00C45E06" w:rsidRPr="00C45E06" w:rsidRDefault="00C45E06" w:rsidP="00A03B11">
      <w:pPr>
        <w:pStyle w:val="Displayedequation"/>
        <w:spacing w:before="120" w:after="120" w:line="240" w:lineRule="auto"/>
        <w:ind w:left="1260"/>
        <w:jc w:val="both"/>
        <w:rPr>
          <w:rFonts w:ascii="Arial" w:hAnsi="Arial" w:cs="Arial"/>
          <w:sz w:val="20"/>
          <w:szCs w:val="20"/>
        </w:rPr>
      </w:pPr>
      <w:r w:rsidRPr="00C45E06">
        <w:rPr>
          <w:rFonts w:ascii="Arial" w:hAnsi="Arial" w:cs="Arial"/>
          <w:sz w:val="20"/>
          <w:szCs w:val="20"/>
        </w:rPr>
        <w:t>ln (</w:t>
      </w:r>
      <w:proofErr w:type="spellStart"/>
      <w:r w:rsidRPr="00C45E06">
        <w:rPr>
          <w:rFonts w:ascii="Arial" w:hAnsi="Arial" w:cs="Arial"/>
          <w:sz w:val="20"/>
          <w:szCs w:val="20"/>
        </w:rPr>
        <w:t>q</w:t>
      </w:r>
      <w:r w:rsidRPr="00C45E06">
        <w:rPr>
          <w:rFonts w:ascii="Arial" w:hAnsi="Arial" w:cs="Arial"/>
          <w:sz w:val="20"/>
          <w:szCs w:val="20"/>
          <w:vertAlign w:val="subscript"/>
        </w:rPr>
        <w:t>e</w:t>
      </w:r>
      <w:proofErr w:type="spellEnd"/>
      <w:r w:rsidRPr="00C45E06">
        <w:rPr>
          <w:rFonts w:ascii="Arial" w:hAnsi="Arial" w:cs="Arial"/>
          <w:sz w:val="20"/>
          <w:szCs w:val="20"/>
        </w:rPr>
        <w:t xml:space="preserve"> – q</w:t>
      </w:r>
      <w:r w:rsidRPr="00C45E06">
        <w:rPr>
          <w:rFonts w:ascii="Arial" w:hAnsi="Arial" w:cs="Arial"/>
          <w:sz w:val="20"/>
          <w:szCs w:val="20"/>
          <w:vertAlign w:val="subscript"/>
        </w:rPr>
        <w:t>t</w:t>
      </w:r>
      <w:r w:rsidRPr="00C45E06">
        <w:rPr>
          <w:rFonts w:ascii="Arial" w:hAnsi="Arial" w:cs="Arial"/>
          <w:sz w:val="20"/>
          <w:szCs w:val="20"/>
        </w:rPr>
        <w:t xml:space="preserve">) = ln </w:t>
      </w:r>
      <w:proofErr w:type="spellStart"/>
      <w:r w:rsidRPr="00C45E06">
        <w:rPr>
          <w:rFonts w:ascii="Arial" w:hAnsi="Arial" w:cs="Arial"/>
          <w:sz w:val="20"/>
          <w:szCs w:val="20"/>
        </w:rPr>
        <w:t>q</w:t>
      </w:r>
      <w:r w:rsidRPr="00C45E06">
        <w:rPr>
          <w:rFonts w:ascii="Arial" w:hAnsi="Arial" w:cs="Arial"/>
          <w:sz w:val="20"/>
          <w:szCs w:val="20"/>
          <w:vertAlign w:val="subscript"/>
        </w:rPr>
        <w:t>e</w:t>
      </w:r>
      <w:proofErr w:type="spellEnd"/>
      <w:r w:rsidRPr="00C45E06">
        <w:rPr>
          <w:rFonts w:ascii="Arial" w:hAnsi="Arial" w:cs="Arial"/>
          <w:sz w:val="20"/>
          <w:szCs w:val="20"/>
        </w:rPr>
        <w:t xml:space="preserve"> – k</w:t>
      </w:r>
      <w:r w:rsidRPr="00C45E06">
        <w:rPr>
          <w:rFonts w:ascii="Arial" w:hAnsi="Arial" w:cs="Arial"/>
          <w:sz w:val="20"/>
          <w:szCs w:val="20"/>
          <w:vertAlign w:val="subscript"/>
        </w:rPr>
        <w:t>1</w:t>
      </w:r>
      <w:r w:rsidRPr="00C45E06">
        <w:rPr>
          <w:rFonts w:ascii="Arial" w:hAnsi="Arial" w:cs="Arial"/>
          <w:sz w:val="20"/>
          <w:szCs w:val="20"/>
        </w:rPr>
        <w:t>t</w:t>
      </w:r>
      <w:r w:rsidRPr="00C45E06">
        <w:rPr>
          <w:rFonts w:ascii="Arial" w:hAnsi="Arial" w:cs="Arial"/>
          <w:sz w:val="20"/>
          <w:szCs w:val="20"/>
        </w:rPr>
        <w:tab/>
        <w:t>(9)</w:t>
      </w:r>
    </w:p>
    <w:p w14:paraId="2D83CE10" w14:textId="77777777" w:rsidR="00C45E06" w:rsidRPr="00C45E06" w:rsidRDefault="007C12B4" w:rsidP="00A03B11">
      <w:pPr>
        <w:pStyle w:val="Displayedequation"/>
        <w:spacing w:before="120" w:after="120" w:line="240" w:lineRule="auto"/>
        <w:ind w:left="1260"/>
        <w:jc w:val="both"/>
        <w:rPr>
          <w:rFonts w:ascii="Arial" w:hAnsi="Arial" w:cs="Arial"/>
          <w:sz w:val="20"/>
          <w:szCs w:val="20"/>
        </w:rPr>
      </w:pPr>
      <m:oMath>
        <m:f>
          <m:fPr>
            <m:ctrlPr>
              <w:rPr>
                <w:rFonts w:ascii="Cambria Math" w:hAnsi="Cambria Math" w:cs="Arial"/>
                <w:i/>
                <w:sz w:val="20"/>
                <w:szCs w:val="20"/>
              </w:rPr>
            </m:ctrlPr>
          </m:fPr>
          <m:num>
            <m:r>
              <m:rPr>
                <m:nor/>
              </m:rPr>
              <w:rPr>
                <w:rFonts w:ascii="Arial" w:hAnsi="Arial" w:cs="Arial"/>
                <w:sz w:val="20"/>
                <w:szCs w:val="20"/>
              </w:rPr>
              <m:t>t</m:t>
            </m:r>
          </m:num>
          <m:den>
            <m:r>
              <m:rPr>
                <m:nor/>
              </m:rPr>
              <w:rPr>
                <w:rFonts w:ascii="Arial" w:hAnsi="Arial" w:cs="Arial"/>
                <w:sz w:val="20"/>
                <w:szCs w:val="20"/>
              </w:rPr>
              <m:t xml:space="preserve"> q</m:t>
            </m:r>
            <m:r>
              <m:rPr>
                <m:nor/>
              </m:rPr>
              <w:rPr>
                <w:rFonts w:ascii="Arial" w:eastAsiaTheme="minorEastAsia" w:hAnsi="Arial" w:cs="Arial"/>
                <w:sz w:val="20"/>
                <w:szCs w:val="20"/>
                <w:vertAlign w:val="subscript"/>
              </w:rPr>
              <m:t>t</m:t>
            </m:r>
            <m:r>
              <m:rPr>
                <m:nor/>
              </m:rPr>
              <w:rPr>
                <w:rFonts w:ascii="Arial" w:hAnsi="Arial" w:cs="Arial"/>
                <w:sz w:val="20"/>
                <w:szCs w:val="20"/>
                <w:vertAlign w:val="subscript"/>
              </w:rPr>
              <m:t xml:space="preserve">  </m:t>
            </m:r>
            <m:r>
              <m:rPr>
                <m:nor/>
              </m:rPr>
              <w:rPr>
                <w:rFonts w:ascii="Arial" w:hAnsi="Arial" w:cs="Arial"/>
                <w:sz w:val="20"/>
                <w:szCs w:val="20"/>
              </w:rPr>
              <m:t xml:space="preserve"> </m:t>
            </m:r>
          </m:den>
        </m:f>
        <m:r>
          <m:rPr>
            <m:nor/>
          </m:rPr>
          <w:rPr>
            <w:rFonts w:ascii="Arial" w:hAnsi="Arial" w:cs="Arial"/>
            <w:sz w:val="20"/>
            <w:szCs w:val="20"/>
          </w:rPr>
          <m:t xml:space="preserve"> = </m:t>
        </m:r>
        <m:f>
          <m:fPr>
            <m:ctrlPr>
              <w:rPr>
                <w:rFonts w:ascii="Cambria Math" w:hAnsi="Cambria Math" w:cs="Arial"/>
                <w:i/>
                <w:sz w:val="20"/>
                <w:szCs w:val="20"/>
              </w:rPr>
            </m:ctrlPr>
          </m:fPr>
          <m:num>
            <m:r>
              <m:rPr>
                <m:nor/>
              </m:rPr>
              <w:rPr>
                <w:rFonts w:ascii="Arial" w:hAnsi="Arial" w:cs="Arial"/>
                <w:sz w:val="20"/>
                <w:szCs w:val="20"/>
              </w:rPr>
              <m:t>1</m:t>
            </m:r>
          </m:num>
          <m:den>
            <m:r>
              <m:rPr>
                <m:nor/>
              </m:rPr>
              <w:rPr>
                <w:rFonts w:ascii="Arial" w:hAnsi="Arial" w:cs="Arial"/>
                <w:sz w:val="20"/>
                <w:szCs w:val="20"/>
              </w:rPr>
              <m:t>k</m:t>
            </m:r>
            <m:r>
              <m:rPr>
                <m:nor/>
              </m:rPr>
              <w:rPr>
                <w:rFonts w:ascii="Arial" w:hAnsi="Arial" w:cs="Arial"/>
                <w:sz w:val="20"/>
                <w:szCs w:val="20"/>
                <w:vertAlign w:val="subscript"/>
              </w:rPr>
              <m:t>2</m:t>
            </m:r>
            <m:r>
              <m:rPr>
                <m:nor/>
              </m:rPr>
              <w:rPr>
                <w:rFonts w:ascii="Arial" w:hAnsi="Arial" w:cs="Arial"/>
                <w:sz w:val="20"/>
                <w:szCs w:val="20"/>
              </w:rPr>
              <m:t>.q</m:t>
            </m:r>
            <m:r>
              <m:rPr>
                <m:nor/>
              </m:rPr>
              <w:rPr>
                <w:rFonts w:ascii="Arial" w:hAnsi="Arial" w:cs="Arial"/>
                <w:sz w:val="20"/>
                <w:szCs w:val="20"/>
                <w:vertAlign w:val="subscript"/>
              </w:rPr>
              <m:t>e</m:t>
            </m:r>
            <m:r>
              <m:rPr>
                <m:nor/>
              </m:rPr>
              <w:rPr>
                <w:rFonts w:ascii="Arial" w:hAnsi="Arial" w:cs="Arial"/>
                <w:sz w:val="20"/>
                <w:szCs w:val="20"/>
                <w:vertAlign w:val="superscript"/>
              </w:rPr>
              <m:t>2</m:t>
            </m:r>
            <m:r>
              <m:rPr>
                <m:nor/>
              </m:rPr>
              <w:rPr>
                <w:rFonts w:ascii="Arial" w:hAnsi="Arial" w:cs="Arial"/>
                <w:sz w:val="20"/>
                <w:szCs w:val="20"/>
              </w:rPr>
              <m:t xml:space="preserve"> </m:t>
            </m:r>
          </m:den>
        </m:f>
        <m:r>
          <m:rPr>
            <m:nor/>
          </m:rPr>
          <w:rPr>
            <w:rFonts w:ascii="Arial" w:hAnsi="Arial" w:cs="Arial"/>
            <w:sz w:val="20"/>
            <w:szCs w:val="20"/>
          </w:rPr>
          <m:t xml:space="preserve"> + </m:t>
        </m:r>
        <m:f>
          <m:fPr>
            <m:ctrlPr>
              <w:rPr>
                <w:rFonts w:ascii="Cambria Math" w:hAnsi="Cambria Math" w:cs="Arial"/>
                <w:i/>
                <w:sz w:val="20"/>
                <w:szCs w:val="20"/>
              </w:rPr>
            </m:ctrlPr>
          </m:fPr>
          <m:num>
            <m:r>
              <m:rPr>
                <m:nor/>
              </m:rPr>
              <w:rPr>
                <w:rFonts w:ascii="Arial" w:hAnsi="Arial" w:cs="Arial"/>
                <w:sz w:val="20"/>
                <w:szCs w:val="20"/>
              </w:rPr>
              <m:t>t</m:t>
            </m:r>
          </m:num>
          <m:den>
            <m:r>
              <m:rPr>
                <m:nor/>
              </m:rPr>
              <w:rPr>
                <w:rFonts w:ascii="Arial" w:hAnsi="Arial" w:cs="Arial"/>
                <w:sz w:val="20"/>
                <w:szCs w:val="20"/>
              </w:rPr>
              <m:t>q</m:t>
            </m:r>
            <m:r>
              <m:rPr>
                <m:nor/>
              </m:rPr>
              <w:rPr>
                <w:rFonts w:ascii="Arial" w:hAnsi="Arial" w:cs="Arial"/>
                <w:sz w:val="20"/>
                <w:szCs w:val="20"/>
                <w:vertAlign w:val="subscript"/>
              </w:rPr>
              <m:t xml:space="preserve">e </m:t>
            </m:r>
          </m:den>
        </m:f>
      </m:oMath>
      <w:r w:rsidR="00C45E06" w:rsidRPr="00C45E06">
        <w:rPr>
          <w:rFonts w:ascii="Arial" w:eastAsiaTheme="minorEastAsia" w:hAnsi="Arial" w:cs="Arial"/>
          <w:sz w:val="20"/>
          <w:szCs w:val="20"/>
        </w:rPr>
        <w:t xml:space="preserve">    </w:t>
      </w:r>
      <w:r w:rsidR="00C45E06" w:rsidRPr="00C45E06">
        <w:rPr>
          <w:rFonts w:ascii="Arial" w:hAnsi="Arial" w:cs="Arial"/>
          <w:sz w:val="20"/>
          <w:szCs w:val="20"/>
        </w:rPr>
        <w:tab/>
        <w:t>(10)</w:t>
      </w:r>
    </w:p>
    <w:p w14:paraId="34850E76" w14:textId="77777777" w:rsidR="00C45E06" w:rsidRPr="00C45E06" w:rsidRDefault="00C45E06" w:rsidP="00A03B11">
      <w:pPr>
        <w:pStyle w:val="Displayedequation"/>
        <w:spacing w:before="120" w:after="120" w:line="240" w:lineRule="auto"/>
        <w:ind w:left="1260"/>
        <w:jc w:val="both"/>
        <w:rPr>
          <w:rFonts w:ascii="Arial" w:hAnsi="Arial" w:cs="Arial"/>
          <w:sz w:val="20"/>
          <w:szCs w:val="20"/>
        </w:rPr>
      </w:pPr>
      <w:r w:rsidRPr="00C45E06">
        <w:rPr>
          <w:rFonts w:ascii="Arial" w:hAnsi="Arial" w:cs="Arial"/>
          <w:sz w:val="20"/>
          <w:szCs w:val="20"/>
        </w:rPr>
        <w:t>q</w:t>
      </w:r>
      <w:r w:rsidRPr="00C45E06">
        <w:rPr>
          <w:rFonts w:ascii="Arial" w:hAnsi="Arial" w:cs="Arial"/>
          <w:sz w:val="20"/>
          <w:szCs w:val="20"/>
          <w:vertAlign w:val="subscript"/>
        </w:rPr>
        <w:t>t</w:t>
      </w:r>
      <w:r w:rsidRPr="00C45E06">
        <w:rPr>
          <w:rFonts w:ascii="Arial" w:hAnsi="Arial" w:cs="Arial"/>
          <w:sz w:val="20"/>
          <w:szCs w:val="20"/>
        </w:rPr>
        <w:t xml:space="preserve"> = K</w:t>
      </w:r>
      <w:r w:rsidRPr="00C45E06">
        <w:rPr>
          <w:rFonts w:ascii="Arial" w:hAnsi="Arial" w:cs="Arial"/>
          <w:sz w:val="20"/>
          <w:szCs w:val="20"/>
          <w:vertAlign w:val="subscript"/>
        </w:rPr>
        <w:t>id</w:t>
      </w:r>
      <w:r w:rsidRPr="00C45E06">
        <w:rPr>
          <w:rFonts w:ascii="Arial" w:hAnsi="Arial" w:cs="Arial"/>
          <w:sz w:val="20"/>
          <w:szCs w:val="20"/>
        </w:rPr>
        <w:t xml:space="preserve"> t</w:t>
      </w:r>
      <w:r w:rsidRPr="00C45E06">
        <w:rPr>
          <w:rFonts w:ascii="Arial" w:hAnsi="Arial" w:cs="Arial"/>
          <w:sz w:val="20"/>
          <w:szCs w:val="20"/>
          <w:vertAlign w:val="superscript"/>
        </w:rPr>
        <w:t xml:space="preserve">0.5 </w:t>
      </w:r>
      <w:r w:rsidRPr="00C45E06">
        <w:rPr>
          <w:rFonts w:ascii="Arial" w:hAnsi="Arial" w:cs="Arial"/>
          <w:sz w:val="20"/>
          <w:szCs w:val="20"/>
        </w:rPr>
        <w:t>+ C</w:t>
      </w:r>
      <w:r w:rsidRPr="00C45E06">
        <w:rPr>
          <w:rFonts w:ascii="Arial" w:hAnsi="Arial" w:cs="Arial"/>
          <w:sz w:val="20"/>
          <w:szCs w:val="20"/>
        </w:rPr>
        <w:tab/>
        <w:t>(11)</w:t>
      </w:r>
    </w:p>
    <w:p w14:paraId="6F8885C1" w14:textId="77777777" w:rsidR="00C45E06" w:rsidRPr="00C45E06" w:rsidRDefault="00C45E06" w:rsidP="00A03B11">
      <w:pPr>
        <w:pStyle w:val="Displayedequation"/>
        <w:spacing w:before="120" w:after="120" w:line="240" w:lineRule="auto"/>
        <w:ind w:left="1260"/>
        <w:jc w:val="both"/>
        <w:rPr>
          <w:rFonts w:ascii="Arial" w:hAnsi="Arial" w:cs="Arial"/>
          <w:sz w:val="20"/>
          <w:szCs w:val="20"/>
        </w:rPr>
      </w:pPr>
      <w:r w:rsidRPr="00C45E06">
        <w:rPr>
          <w:rFonts w:ascii="Arial" w:hAnsi="Arial" w:cs="Arial"/>
          <w:sz w:val="20"/>
          <w:szCs w:val="20"/>
        </w:rPr>
        <w:t xml:space="preserve">ln (1 – F) =  </w:t>
      </w:r>
      <m:oMath>
        <m:r>
          <m:rPr>
            <m:sty m:val="p"/>
          </m:rPr>
          <w:rPr>
            <w:rFonts w:ascii="Cambria Math" w:hAnsi="Cambria Math" w:cs="Arial"/>
            <w:sz w:val="20"/>
            <w:szCs w:val="20"/>
          </w:rPr>
          <m:t>-</m:t>
        </m:r>
        <m:sSub>
          <m:sSubPr>
            <m:ctrlPr>
              <w:rPr>
                <w:rFonts w:ascii="Cambria Math" w:hAnsi="Cambria Math" w:cs="Arial"/>
                <w:sz w:val="20"/>
                <w:szCs w:val="20"/>
                <w:vertAlign w:val="subscript"/>
              </w:rPr>
            </m:ctrlPr>
          </m:sSubPr>
          <m:e>
            <m:r>
              <w:rPr>
                <w:rFonts w:ascii="Cambria Math" w:hAnsi="Cambria Math" w:cs="Arial"/>
                <w:sz w:val="20"/>
                <w:szCs w:val="20"/>
                <w:vertAlign w:val="subscript"/>
              </w:rPr>
              <m:t>K</m:t>
            </m:r>
          </m:e>
          <m:sub>
            <m:r>
              <w:rPr>
                <w:rFonts w:ascii="Cambria Math" w:hAnsi="Cambria Math" w:cs="Arial"/>
                <w:sz w:val="20"/>
                <w:szCs w:val="20"/>
                <w:vertAlign w:val="subscript"/>
              </w:rPr>
              <m:t>fd</m:t>
            </m:r>
          </m:sub>
        </m:sSub>
      </m:oMath>
      <w:r w:rsidRPr="00C45E06">
        <w:rPr>
          <w:rFonts w:ascii="Arial" w:hAnsi="Arial" w:cs="Arial"/>
          <w:sz w:val="20"/>
          <w:szCs w:val="20"/>
        </w:rPr>
        <w:t>t</w:t>
      </w:r>
      <w:r w:rsidRPr="00C45E06">
        <w:rPr>
          <w:rFonts w:ascii="Arial" w:hAnsi="Arial" w:cs="Arial"/>
          <w:sz w:val="20"/>
          <w:szCs w:val="20"/>
        </w:rPr>
        <w:tab/>
        <w:t>(12)</w:t>
      </w:r>
    </w:p>
    <w:p w14:paraId="6380227D" w14:textId="77777777" w:rsidR="00C45E06" w:rsidRPr="00C45E06" w:rsidRDefault="00C45E06" w:rsidP="00A03B11">
      <w:pPr>
        <w:ind w:left="1260"/>
        <w:jc w:val="both"/>
        <w:rPr>
          <w:rFonts w:ascii="Arial" w:hAnsi="Arial" w:cs="Arial"/>
        </w:rPr>
      </w:pPr>
      <w:r w:rsidRPr="00C45E06">
        <w:rPr>
          <w:rFonts w:ascii="Arial" w:hAnsi="Arial" w:cs="Arial"/>
        </w:rPr>
        <w:t>where: q</w:t>
      </w:r>
      <w:r w:rsidRPr="00C45E06">
        <w:rPr>
          <w:rFonts w:ascii="Arial" w:hAnsi="Arial" w:cs="Arial"/>
          <w:vertAlign w:val="subscript"/>
        </w:rPr>
        <w:t>t</w:t>
      </w:r>
      <w:r w:rsidRPr="00C45E06">
        <w:rPr>
          <w:rFonts w:ascii="Arial" w:hAnsi="Arial" w:cs="Arial"/>
        </w:rPr>
        <w:t xml:space="preserve"> and </w:t>
      </w:r>
      <w:proofErr w:type="spellStart"/>
      <w:r w:rsidRPr="00C45E06">
        <w:rPr>
          <w:rFonts w:ascii="Arial" w:hAnsi="Arial" w:cs="Arial"/>
        </w:rPr>
        <w:t>q</w:t>
      </w:r>
      <w:r w:rsidRPr="00C45E06">
        <w:rPr>
          <w:rFonts w:ascii="Arial" w:hAnsi="Arial" w:cs="Arial"/>
          <w:vertAlign w:val="subscript"/>
        </w:rPr>
        <w:t>e</w:t>
      </w:r>
      <w:proofErr w:type="spellEnd"/>
      <w:r w:rsidRPr="00C45E06">
        <w:rPr>
          <w:rFonts w:ascii="Arial" w:hAnsi="Arial" w:cs="Arial"/>
          <w:vertAlign w:val="subscript"/>
        </w:rPr>
        <w:t xml:space="preserve"> </w:t>
      </w:r>
      <w:r w:rsidRPr="00C45E06">
        <w:rPr>
          <w:rFonts w:ascii="Arial" w:hAnsi="Arial" w:cs="Arial"/>
        </w:rPr>
        <w:t>– amounts of oil adsorbed in mg/g at time t (min) and at equilibrium, respectively, k</w:t>
      </w:r>
      <w:r w:rsidRPr="00C45E06">
        <w:rPr>
          <w:rFonts w:ascii="Arial" w:hAnsi="Arial" w:cs="Arial"/>
          <w:vertAlign w:val="subscript"/>
        </w:rPr>
        <w:t>1</w:t>
      </w:r>
      <w:r w:rsidRPr="00C45E06">
        <w:rPr>
          <w:rFonts w:ascii="Arial" w:hAnsi="Arial" w:cs="Arial"/>
        </w:rPr>
        <w:t>, k</w:t>
      </w:r>
      <w:r w:rsidRPr="00C45E06">
        <w:rPr>
          <w:rFonts w:ascii="Arial" w:hAnsi="Arial" w:cs="Arial"/>
          <w:vertAlign w:val="subscript"/>
        </w:rPr>
        <w:t>2</w:t>
      </w:r>
      <w:r w:rsidRPr="00C45E06">
        <w:rPr>
          <w:rFonts w:ascii="Arial" w:hAnsi="Arial" w:cs="Arial"/>
        </w:rPr>
        <w:t>, K</w:t>
      </w:r>
      <w:r w:rsidRPr="00C45E06">
        <w:rPr>
          <w:rFonts w:ascii="Arial" w:hAnsi="Arial" w:cs="Arial"/>
          <w:vertAlign w:val="subscript"/>
        </w:rPr>
        <w:t>id</w:t>
      </w:r>
      <w:r w:rsidRPr="00C45E06">
        <w:rPr>
          <w:rFonts w:ascii="Arial" w:hAnsi="Arial" w:cs="Arial"/>
        </w:rPr>
        <w:t xml:space="preserve">, and </w:t>
      </w:r>
      <w:proofErr w:type="spellStart"/>
      <w:r w:rsidRPr="00C45E06">
        <w:rPr>
          <w:rFonts w:ascii="Arial" w:hAnsi="Arial" w:cs="Arial"/>
        </w:rPr>
        <w:t>K</w:t>
      </w:r>
      <w:r w:rsidRPr="00C45E06">
        <w:rPr>
          <w:rFonts w:ascii="Arial" w:hAnsi="Arial" w:cs="Arial"/>
          <w:vertAlign w:val="subscript"/>
        </w:rPr>
        <w:t>fd</w:t>
      </w:r>
      <w:proofErr w:type="spellEnd"/>
      <w:r w:rsidRPr="00C45E06">
        <w:rPr>
          <w:rFonts w:ascii="Arial" w:hAnsi="Arial" w:cs="Arial"/>
        </w:rPr>
        <w:t xml:space="preserve"> – pseudo first order, pseudo-second order, intraparticle diffusion, and film diffusion rate constants, respectively, C – an integration constant which </w:t>
      </w:r>
      <w:r w:rsidRPr="00C45E06">
        <w:rPr>
          <w:rFonts w:ascii="Arial" w:hAnsi="Arial" w:cs="Arial"/>
        </w:rPr>
        <w:lastRenderedPageBreak/>
        <w:t xml:space="preserve">gives information about sorption mechanism, and F </w:t>
      </w:r>
      <m:oMath>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m:rPr>
                        <m:nor/>
                      </m:rPr>
                      <w:rPr>
                        <w:rFonts w:ascii="Arial" w:hAnsi="Arial" w:cs="Arial"/>
                      </w:rPr>
                      <m:t>q</m:t>
                    </m:r>
                  </m:e>
                  <m:sub>
                    <m:r>
                      <m:rPr>
                        <m:nor/>
                      </m:rPr>
                      <w:rPr>
                        <w:rFonts w:ascii="Arial" w:hAnsi="Arial" w:cs="Arial"/>
                      </w:rPr>
                      <m:t>t</m:t>
                    </m:r>
                  </m:sub>
                </m:sSub>
              </m:num>
              <m:den>
                <m:sSub>
                  <m:sSubPr>
                    <m:ctrlPr>
                      <w:rPr>
                        <w:rFonts w:ascii="Cambria Math" w:hAnsi="Cambria Math" w:cs="Arial"/>
                        <w:i/>
                      </w:rPr>
                    </m:ctrlPr>
                  </m:sSubPr>
                  <m:e>
                    <m:r>
                      <m:rPr>
                        <m:nor/>
                      </m:rPr>
                      <w:rPr>
                        <w:rFonts w:ascii="Arial" w:hAnsi="Arial" w:cs="Arial"/>
                      </w:rPr>
                      <m:t>q</m:t>
                    </m:r>
                  </m:e>
                  <m:sub>
                    <m:r>
                      <m:rPr>
                        <m:nor/>
                      </m:rPr>
                      <w:rPr>
                        <w:rFonts w:ascii="Arial" w:hAnsi="Arial" w:cs="Arial"/>
                      </w:rPr>
                      <m:t>e</m:t>
                    </m:r>
                  </m:sub>
                </m:sSub>
              </m:den>
            </m:f>
          </m:e>
        </m:d>
        <m:r>
          <w:rPr>
            <w:rFonts w:ascii="Cambria Math" w:hAnsi="Cambria Math" w:cs="Arial"/>
          </w:rPr>
          <m:t xml:space="preserve"> </m:t>
        </m:r>
      </m:oMath>
      <w:r w:rsidRPr="00C45E06">
        <w:rPr>
          <w:rFonts w:ascii="Arial" w:hAnsi="Arial" w:cs="Arial"/>
        </w:rPr>
        <w:t>–  fractional equilibrium attainment.</w:t>
      </w:r>
    </w:p>
    <w:p w14:paraId="45B80C79" w14:textId="77777777" w:rsidR="00C45E06" w:rsidRPr="00C45E06" w:rsidRDefault="00C45E06" w:rsidP="00A03B11">
      <w:pPr>
        <w:spacing w:before="240"/>
        <w:ind w:left="1260"/>
        <w:jc w:val="both"/>
        <w:rPr>
          <w:rFonts w:ascii="Arial" w:hAnsi="Arial" w:cs="Arial"/>
        </w:rPr>
      </w:pPr>
      <w:r w:rsidRPr="00C45E06">
        <w:rPr>
          <w:rFonts w:ascii="Arial" w:hAnsi="Arial" w:cs="Arial"/>
        </w:rPr>
        <w:t>The kinetic plots for crude oil adsorption on raw and modified PMSP are shown in Figure 6 and the kinetic parameters obtained from the plots are listed in Table 2.</w:t>
      </w:r>
    </w:p>
    <w:p w14:paraId="40C3497C" w14:textId="77777777" w:rsidR="00C45E06" w:rsidRPr="00C45E06" w:rsidRDefault="00C45E06" w:rsidP="00A03B11">
      <w:pPr>
        <w:spacing w:before="100" w:beforeAutospacing="1"/>
        <w:ind w:left="1260"/>
        <w:jc w:val="both"/>
        <w:rPr>
          <w:rFonts w:ascii="Arial" w:hAnsi="Arial" w:cs="Arial"/>
        </w:rPr>
      </w:pPr>
      <w:r w:rsidRPr="00C45E06">
        <w:rPr>
          <w:rFonts w:ascii="Arial" w:hAnsi="Arial" w:cs="Arial"/>
          <w:noProof/>
        </w:rPr>
        <w:drawing>
          <wp:inline distT="0" distB="0" distL="0" distR="0" wp14:anchorId="1A0232A0" wp14:editId="615CF62B">
            <wp:extent cx="5196840" cy="3759701"/>
            <wp:effectExtent l="0" t="0" r="0" b="0"/>
            <wp:docPr id="7" name="Picture 7" descr="C:\Users\IFY OBI\Desktop\Fig. 7 Raw-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FY OBI\Desktop\Fig. 7 Raw-1-0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07911" cy="3767710"/>
                    </a:xfrm>
                    <a:prstGeom prst="rect">
                      <a:avLst/>
                    </a:prstGeom>
                    <a:noFill/>
                    <a:ln>
                      <a:noFill/>
                    </a:ln>
                  </pic:spPr>
                </pic:pic>
              </a:graphicData>
            </a:graphic>
          </wp:inline>
        </w:drawing>
      </w:r>
    </w:p>
    <w:p w14:paraId="1EE6F77C" w14:textId="77777777" w:rsidR="00C45E06" w:rsidRPr="00C45E06" w:rsidRDefault="00C45E06" w:rsidP="00A03B11">
      <w:pPr>
        <w:ind w:left="1260"/>
        <w:jc w:val="both"/>
        <w:rPr>
          <w:rFonts w:ascii="Arial" w:hAnsi="Arial" w:cs="Arial"/>
        </w:rPr>
      </w:pPr>
    </w:p>
    <w:p w14:paraId="1DB116EE" w14:textId="77777777" w:rsidR="00C45E06" w:rsidRPr="00FB0945" w:rsidRDefault="00C45E06" w:rsidP="00A03B11">
      <w:pPr>
        <w:ind w:left="1260"/>
        <w:jc w:val="center"/>
        <w:rPr>
          <w:rFonts w:ascii="Arial" w:hAnsi="Arial" w:cs="Arial"/>
          <w:b/>
          <w:bCs/>
        </w:rPr>
      </w:pPr>
      <w:r w:rsidRPr="00FB0945">
        <w:rPr>
          <w:rFonts w:ascii="Arial" w:hAnsi="Arial" w:cs="Arial"/>
          <w:b/>
          <w:bCs/>
        </w:rPr>
        <w:t>Fig. 6. a) Pseudo-first order, b) Pseudo-second order, c) Intra-particle diffusion, d) Film diffusion kinetic plots for oil sorption on raw and modified PMSP</w:t>
      </w:r>
    </w:p>
    <w:p w14:paraId="2DC97BDC" w14:textId="77777777" w:rsidR="00C45E06" w:rsidRDefault="00C45E06" w:rsidP="00A03B11">
      <w:pPr>
        <w:spacing w:after="120"/>
        <w:ind w:left="1260"/>
        <w:jc w:val="both"/>
        <w:rPr>
          <w:rFonts w:ascii="Arial" w:hAnsi="Arial"/>
          <w:b/>
        </w:rPr>
      </w:pPr>
    </w:p>
    <w:p w14:paraId="25A160C5" w14:textId="77777777" w:rsidR="00C45E06" w:rsidRDefault="00C45E06" w:rsidP="00A03B11">
      <w:pPr>
        <w:spacing w:after="120"/>
        <w:ind w:left="1260"/>
        <w:jc w:val="center"/>
        <w:rPr>
          <w:rFonts w:ascii="Arial" w:hAnsi="Arial"/>
          <w:b/>
        </w:rPr>
      </w:pPr>
    </w:p>
    <w:p w14:paraId="3B0A21BC" w14:textId="77777777" w:rsidR="004E2A10" w:rsidRDefault="004E2A10" w:rsidP="00A03B11">
      <w:pPr>
        <w:spacing w:after="120"/>
        <w:ind w:left="1260"/>
        <w:jc w:val="center"/>
        <w:rPr>
          <w:rFonts w:ascii="Arial" w:hAnsi="Arial" w:cs="Arial"/>
          <w:b/>
          <w:bCs/>
        </w:rPr>
      </w:pPr>
      <w:r>
        <w:rPr>
          <w:rFonts w:ascii="Arial" w:hAnsi="Arial"/>
          <w:b/>
        </w:rPr>
        <w:t>Table 2.</w:t>
      </w:r>
      <w:r w:rsidRPr="00DC3180">
        <w:rPr>
          <w:rFonts w:ascii="Arial" w:hAnsi="Arial"/>
          <w:b/>
        </w:rPr>
        <w:tab/>
      </w:r>
      <w:r>
        <w:rPr>
          <w:rFonts w:ascii="Arial" w:hAnsi="Arial" w:cs="Arial"/>
          <w:b/>
          <w:bCs/>
        </w:rPr>
        <w:t>Kinetic</w:t>
      </w:r>
      <w:r w:rsidRPr="007A2634">
        <w:rPr>
          <w:rFonts w:ascii="Arial" w:hAnsi="Arial" w:cs="Arial"/>
          <w:b/>
          <w:bCs/>
        </w:rPr>
        <w:t xml:space="preserve"> parameters for oil sorption on raw and modified PMSP </w:t>
      </w:r>
    </w:p>
    <w:tbl>
      <w:tblPr>
        <w:tblW w:w="7944" w:type="dxa"/>
        <w:jc w:val="center"/>
        <w:tblBorders>
          <w:top w:val="single" w:sz="4" w:space="0" w:color="auto"/>
          <w:bottom w:val="single" w:sz="4" w:space="0" w:color="auto"/>
        </w:tblBorders>
        <w:tblLook w:val="01E0" w:firstRow="1" w:lastRow="1" w:firstColumn="1" w:lastColumn="1" w:noHBand="0" w:noVBand="0"/>
      </w:tblPr>
      <w:tblGrid>
        <w:gridCol w:w="2871"/>
        <w:gridCol w:w="1767"/>
        <w:gridCol w:w="1651"/>
        <w:gridCol w:w="1655"/>
      </w:tblGrid>
      <w:tr w:rsidR="003C61A2" w:rsidRPr="00DC3180" w14:paraId="0EE98957" w14:textId="77777777" w:rsidTr="003B57F2">
        <w:trPr>
          <w:jc w:val="center"/>
        </w:trPr>
        <w:tc>
          <w:tcPr>
            <w:tcW w:w="2871" w:type="dxa"/>
            <w:tcBorders>
              <w:top w:val="single" w:sz="4" w:space="0" w:color="auto"/>
              <w:bottom w:val="single" w:sz="4" w:space="0" w:color="auto"/>
            </w:tcBorders>
          </w:tcPr>
          <w:p w14:paraId="0EBCFDAB" w14:textId="77777777" w:rsidR="003C61A2" w:rsidRPr="00DC3180" w:rsidRDefault="003C61A2" w:rsidP="003B57F2">
            <w:pPr>
              <w:jc w:val="both"/>
              <w:rPr>
                <w:rFonts w:ascii="Arial" w:hAnsi="Arial"/>
                <w:b/>
                <w:bCs/>
              </w:rPr>
            </w:pPr>
            <w:r>
              <w:rPr>
                <w:rFonts w:ascii="Arial" w:hAnsi="Arial"/>
                <w:b/>
              </w:rPr>
              <w:t>Kinetic model</w:t>
            </w:r>
          </w:p>
        </w:tc>
        <w:tc>
          <w:tcPr>
            <w:tcW w:w="1767" w:type="dxa"/>
            <w:tcBorders>
              <w:top w:val="single" w:sz="4" w:space="0" w:color="auto"/>
              <w:bottom w:val="single" w:sz="4" w:space="0" w:color="auto"/>
            </w:tcBorders>
          </w:tcPr>
          <w:p w14:paraId="035C50D5" w14:textId="77777777" w:rsidR="003C61A2" w:rsidRPr="00DC3180" w:rsidRDefault="003C61A2" w:rsidP="003B57F2">
            <w:pPr>
              <w:jc w:val="both"/>
              <w:rPr>
                <w:rFonts w:ascii="Arial" w:hAnsi="Arial"/>
                <w:b/>
                <w:bCs/>
              </w:rPr>
            </w:pPr>
            <w:r>
              <w:rPr>
                <w:rFonts w:ascii="Arial" w:hAnsi="Arial"/>
                <w:b/>
                <w:bCs/>
              </w:rPr>
              <w:t>Parameter</w:t>
            </w:r>
          </w:p>
        </w:tc>
        <w:tc>
          <w:tcPr>
            <w:tcW w:w="1651" w:type="dxa"/>
            <w:tcBorders>
              <w:top w:val="single" w:sz="4" w:space="0" w:color="auto"/>
              <w:bottom w:val="single" w:sz="4" w:space="0" w:color="auto"/>
            </w:tcBorders>
          </w:tcPr>
          <w:p w14:paraId="0795A857" w14:textId="77777777" w:rsidR="003C61A2" w:rsidRPr="00DC3180" w:rsidRDefault="003C61A2" w:rsidP="003B57F2">
            <w:pPr>
              <w:jc w:val="both"/>
              <w:rPr>
                <w:rFonts w:ascii="Arial" w:hAnsi="Arial"/>
                <w:b/>
                <w:bCs/>
              </w:rPr>
            </w:pPr>
            <w:r w:rsidRPr="00DC3180">
              <w:rPr>
                <w:rFonts w:ascii="Arial" w:hAnsi="Arial"/>
                <w:b/>
                <w:bCs/>
              </w:rPr>
              <w:t>M</w:t>
            </w:r>
            <w:r>
              <w:rPr>
                <w:rFonts w:ascii="Arial" w:hAnsi="Arial"/>
                <w:b/>
                <w:bCs/>
              </w:rPr>
              <w:t>PMSP</w:t>
            </w:r>
          </w:p>
        </w:tc>
        <w:tc>
          <w:tcPr>
            <w:tcW w:w="1655" w:type="dxa"/>
            <w:tcBorders>
              <w:top w:val="single" w:sz="4" w:space="0" w:color="auto"/>
              <w:bottom w:val="single" w:sz="4" w:space="0" w:color="auto"/>
            </w:tcBorders>
          </w:tcPr>
          <w:p w14:paraId="1367C47C" w14:textId="77777777" w:rsidR="003C61A2" w:rsidRPr="00DC3180" w:rsidRDefault="003C61A2" w:rsidP="003B57F2">
            <w:pPr>
              <w:jc w:val="both"/>
              <w:rPr>
                <w:rFonts w:ascii="Arial" w:hAnsi="Arial"/>
                <w:b/>
                <w:bCs/>
              </w:rPr>
            </w:pPr>
            <w:r>
              <w:rPr>
                <w:rFonts w:ascii="Arial" w:hAnsi="Arial"/>
                <w:b/>
                <w:bCs/>
              </w:rPr>
              <w:t>RPMSP</w:t>
            </w:r>
          </w:p>
        </w:tc>
      </w:tr>
      <w:tr w:rsidR="003C61A2" w:rsidRPr="00DC3180" w14:paraId="28595610" w14:textId="77777777" w:rsidTr="003B57F2">
        <w:trPr>
          <w:trHeight w:val="332"/>
          <w:jc w:val="center"/>
        </w:trPr>
        <w:tc>
          <w:tcPr>
            <w:tcW w:w="2871" w:type="dxa"/>
            <w:tcBorders>
              <w:top w:val="single" w:sz="4" w:space="0" w:color="auto"/>
            </w:tcBorders>
          </w:tcPr>
          <w:p w14:paraId="30467C3D" w14:textId="77777777" w:rsidR="003C61A2" w:rsidRPr="00021AF2" w:rsidRDefault="003C61A2" w:rsidP="003B57F2">
            <w:pPr>
              <w:jc w:val="both"/>
              <w:rPr>
                <w:rFonts w:ascii="Arial" w:hAnsi="Arial"/>
              </w:rPr>
            </w:pPr>
          </w:p>
        </w:tc>
        <w:tc>
          <w:tcPr>
            <w:tcW w:w="1767" w:type="dxa"/>
            <w:tcBorders>
              <w:top w:val="single" w:sz="4" w:space="0" w:color="auto"/>
            </w:tcBorders>
          </w:tcPr>
          <w:p w14:paraId="1B18FB64" w14:textId="77777777" w:rsidR="003C61A2" w:rsidRPr="00DC3180" w:rsidRDefault="003C61A2" w:rsidP="003B57F2">
            <w:pPr>
              <w:jc w:val="both"/>
              <w:rPr>
                <w:rFonts w:ascii="Arial" w:hAnsi="Arial"/>
                <w:b/>
                <w:bCs/>
              </w:rPr>
            </w:pPr>
            <w:proofErr w:type="spellStart"/>
            <w:r w:rsidRPr="004E2A10">
              <w:rPr>
                <w:rFonts w:ascii="Arial" w:eastAsia="Calibri" w:hAnsi="Arial" w:cs="Arial"/>
              </w:rPr>
              <w:t>q</w:t>
            </w:r>
            <w:r w:rsidRPr="004E2A10">
              <w:rPr>
                <w:rFonts w:ascii="Arial" w:eastAsia="Calibri" w:hAnsi="Arial" w:cs="Arial"/>
                <w:vertAlign w:val="subscript"/>
              </w:rPr>
              <w:t>e</w:t>
            </w:r>
            <w:proofErr w:type="spellEnd"/>
            <w:r w:rsidRPr="004E2A10">
              <w:rPr>
                <w:rFonts w:ascii="Arial" w:eastAsia="Calibri" w:hAnsi="Arial" w:cs="Arial"/>
              </w:rPr>
              <w:t>, exp (mg/g)</w:t>
            </w:r>
          </w:p>
        </w:tc>
        <w:tc>
          <w:tcPr>
            <w:tcW w:w="1651" w:type="dxa"/>
            <w:tcBorders>
              <w:top w:val="single" w:sz="4" w:space="0" w:color="auto"/>
            </w:tcBorders>
          </w:tcPr>
          <w:p w14:paraId="2870ECE4" w14:textId="77777777" w:rsidR="003C61A2" w:rsidRPr="00DC3180" w:rsidRDefault="003C61A2" w:rsidP="003B57F2">
            <w:pPr>
              <w:jc w:val="both"/>
              <w:rPr>
                <w:rFonts w:ascii="Arial" w:hAnsi="Arial"/>
                <w:b/>
                <w:bCs/>
              </w:rPr>
            </w:pPr>
            <w:r w:rsidRPr="004E2A10">
              <w:rPr>
                <w:rFonts w:ascii="Arial" w:hAnsi="Arial" w:cs="Arial"/>
                <w:bCs/>
                <w:color w:val="000000" w:themeColor="text1"/>
              </w:rPr>
              <w:t>11795</w:t>
            </w:r>
          </w:p>
        </w:tc>
        <w:tc>
          <w:tcPr>
            <w:tcW w:w="1655" w:type="dxa"/>
            <w:tcBorders>
              <w:top w:val="single" w:sz="4" w:space="0" w:color="auto"/>
            </w:tcBorders>
          </w:tcPr>
          <w:p w14:paraId="0F3CBE33" w14:textId="77777777" w:rsidR="003C61A2" w:rsidRPr="00DC3180" w:rsidRDefault="003C61A2" w:rsidP="003B57F2">
            <w:pPr>
              <w:jc w:val="both"/>
              <w:rPr>
                <w:rFonts w:ascii="Arial" w:hAnsi="Arial" w:cs="Arial"/>
              </w:rPr>
            </w:pPr>
            <w:r w:rsidRPr="004E2A10">
              <w:rPr>
                <w:rFonts w:ascii="Arial" w:hAnsi="Arial" w:cs="Arial"/>
                <w:color w:val="000000"/>
                <w:lang w:eastAsia="pl-PL"/>
              </w:rPr>
              <w:t>7430</w:t>
            </w:r>
          </w:p>
        </w:tc>
      </w:tr>
      <w:tr w:rsidR="003C61A2" w:rsidRPr="00DC3180" w14:paraId="047CC398" w14:textId="77777777" w:rsidTr="003B57F2">
        <w:trPr>
          <w:jc w:val="center"/>
        </w:trPr>
        <w:tc>
          <w:tcPr>
            <w:tcW w:w="2871" w:type="dxa"/>
          </w:tcPr>
          <w:p w14:paraId="06476BBF" w14:textId="77777777" w:rsidR="003C61A2" w:rsidRPr="00DC3180" w:rsidRDefault="003C61A2" w:rsidP="003B57F2">
            <w:pPr>
              <w:jc w:val="both"/>
              <w:rPr>
                <w:rFonts w:ascii="Arial" w:hAnsi="Arial" w:cs="Arial"/>
              </w:rPr>
            </w:pPr>
            <w:r w:rsidRPr="004E2A10">
              <w:rPr>
                <w:rFonts w:ascii="Arial" w:eastAsia="Calibri" w:hAnsi="Arial" w:cs="Arial"/>
              </w:rPr>
              <w:t>Pseudo-first order model</w:t>
            </w:r>
          </w:p>
        </w:tc>
        <w:tc>
          <w:tcPr>
            <w:tcW w:w="1767" w:type="dxa"/>
          </w:tcPr>
          <w:p w14:paraId="7CFD403F" w14:textId="77777777" w:rsidR="003C61A2" w:rsidRPr="00DC3180" w:rsidRDefault="003C61A2" w:rsidP="003B57F2">
            <w:pPr>
              <w:jc w:val="both"/>
              <w:rPr>
                <w:rFonts w:ascii="Arial" w:hAnsi="Arial" w:cs="Arial"/>
              </w:rPr>
            </w:pPr>
            <w:proofErr w:type="spellStart"/>
            <w:r w:rsidRPr="004E2A10">
              <w:rPr>
                <w:rFonts w:ascii="Arial" w:eastAsia="Calibri" w:hAnsi="Arial" w:cs="Arial"/>
              </w:rPr>
              <w:t>q</w:t>
            </w:r>
            <w:r w:rsidRPr="004E2A10">
              <w:rPr>
                <w:rFonts w:ascii="Arial" w:eastAsia="Calibri" w:hAnsi="Arial" w:cs="Arial"/>
                <w:vertAlign w:val="subscript"/>
              </w:rPr>
              <w:t>e</w:t>
            </w:r>
            <w:proofErr w:type="spellEnd"/>
            <w:r w:rsidRPr="004E2A10">
              <w:rPr>
                <w:rFonts w:ascii="Arial" w:eastAsia="Calibri" w:hAnsi="Arial" w:cs="Arial"/>
              </w:rPr>
              <w:t xml:space="preserve"> (mg/g)</w:t>
            </w:r>
          </w:p>
        </w:tc>
        <w:tc>
          <w:tcPr>
            <w:tcW w:w="1651" w:type="dxa"/>
          </w:tcPr>
          <w:p w14:paraId="1A96A421" w14:textId="77777777" w:rsidR="003C61A2" w:rsidRPr="00DC3180" w:rsidRDefault="003C61A2" w:rsidP="003B57F2">
            <w:pPr>
              <w:jc w:val="both"/>
              <w:rPr>
                <w:rFonts w:ascii="Arial" w:hAnsi="Arial"/>
              </w:rPr>
            </w:pPr>
            <w:r w:rsidRPr="004E2A10">
              <w:rPr>
                <w:rFonts w:ascii="Arial" w:hAnsi="Arial" w:cs="Arial"/>
                <w:bCs/>
                <w:color w:val="000000" w:themeColor="text1"/>
              </w:rPr>
              <w:t>9463</w:t>
            </w:r>
          </w:p>
        </w:tc>
        <w:tc>
          <w:tcPr>
            <w:tcW w:w="1655" w:type="dxa"/>
          </w:tcPr>
          <w:p w14:paraId="2023478E" w14:textId="77777777" w:rsidR="003C61A2" w:rsidRPr="00DC3180" w:rsidRDefault="003C61A2" w:rsidP="003B57F2">
            <w:pPr>
              <w:jc w:val="both"/>
              <w:rPr>
                <w:rFonts w:ascii="Arial" w:hAnsi="Arial" w:cs="Arial"/>
              </w:rPr>
            </w:pPr>
            <w:r w:rsidRPr="004E2A10">
              <w:rPr>
                <w:rFonts w:ascii="Arial" w:hAnsi="Arial" w:cs="Arial"/>
                <w:color w:val="000000"/>
                <w:lang w:eastAsia="pl-PL"/>
              </w:rPr>
              <w:t>6281</w:t>
            </w:r>
          </w:p>
        </w:tc>
      </w:tr>
      <w:tr w:rsidR="003C61A2" w:rsidRPr="00DC3180" w14:paraId="0004720F" w14:textId="77777777" w:rsidTr="003B57F2">
        <w:trPr>
          <w:trHeight w:val="377"/>
          <w:jc w:val="center"/>
        </w:trPr>
        <w:tc>
          <w:tcPr>
            <w:tcW w:w="2871" w:type="dxa"/>
          </w:tcPr>
          <w:p w14:paraId="416849C1" w14:textId="77777777" w:rsidR="003C61A2" w:rsidRPr="00DC3180" w:rsidRDefault="003C61A2" w:rsidP="003B57F2">
            <w:pPr>
              <w:jc w:val="both"/>
              <w:rPr>
                <w:rFonts w:ascii="Arial" w:hAnsi="Arial"/>
              </w:rPr>
            </w:pPr>
          </w:p>
        </w:tc>
        <w:tc>
          <w:tcPr>
            <w:tcW w:w="1767" w:type="dxa"/>
          </w:tcPr>
          <w:p w14:paraId="58E2390B" w14:textId="77777777" w:rsidR="003C61A2" w:rsidRPr="00DC3180" w:rsidRDefault="003C61A2" w:rsidP="003B57F2">
            <w:pPr>
              <w:jc w:val="both"/>
              <w:rPr>
                <w:rFonts w:ascii="Arial" w:hAnsi="Arial"/>
              </w:rPr>
            </w:pPr>
            <w:r w:rsidRPr="004E2A10">
              <w:rPr>
                <w:rFonts w:ascii="Arial" w:eastAsia="Calibri" w:hAnsi="Arial" w:cs="Arial"/>
              </w:rPr>
              <w:t>k</w:t>
            </w:r>
            <w:r w:rsidRPr="004E2A10">
              <w:rPr>
                <w:rFonts w:ascii="Arial" w:eastAsia="Calibri" w:hAnsi="Arial" w:cs="Arial"/>
                <w:vertAlign w:val="subscript"/>
              </w:rPr>
              <w:t>1</w:t>
            </w:r>
            <w:r w:rsidRPr="004E2A10">
              <w:rPr>
                <w:rFonts w:ascii="Arial" w:eastAsia="Calibri" w:hAnsi="Arial" w:cs="Arial"/>
              </w:rPr>
              <w:t xml:space="preserve"> (min</w:t>
            </w:r>
            <w:r w:rsidRPr="004E2A10">
              <w:rPr>
                <w:rFonts w:ascii="Arial" w:eastAsia="Calibri" w:hAnsi="Arial" w:cs="Arial"/>
                <w:vertAlign w:val="superscript"/>
              </w:rPr>
              <w:t>-1</w:t>
            </w:r>
            <w:r w:rsidRPr="004E2A10">
              <w:rPr>
                <w:rFonts w:ascii="Arial" w:eastAsia="Calibri" w:hAnsi="Arial" w:cs="Arial"/>
              </w:rPr>
              <w:t>)</w:t>
            </w:r>
          </w:p>
        </w:tc>
        <w:tc>
          <w:tcPr>
            <w:tcW w:w="1651" w:type="dxa"/>
          </w:tcPr>
          <w:p w14:paraId="79B34338" w14:textId="77777777" w:rsidR="003C61A2" w:rsidRPr="00DC3180" w:rsidRDefault="003C61A2" w:rsidP="003B57F2">
            <w:pPr>
              <w:jc w:val="both"/>
              <w:rPr>
                <w:rFonts w:ascii="Arial" w:hAnsi="Arial" w:cs="Arial"/>
              </w:rPr>
            </w:pPr>
            <w:r w:rsidRPr="004E2A10">
              <w:rPr>
                <w:rFonts w:ascii="Arial" w:hAnsi="Arial" w:cs="Arial"/>
                <w:bCs/>
                <w:color w:val="000000" w:themeColor="text1"/>
              </w:rPr>
              <w:t>0.2347</w:t>
            </w:r>
          </w:p>
        </w:tc>
        <w:tc>
          <w:tcPr>
            <w:tcW w:w="1655" w:type="dxa"/>
          </w:tcPr>
          <w:p w14:paraId="6D26AE95" w14:textId="77777777" w:rsidR="003C61A2" w:rsidRPr="00DC3180" w:rsidRDefault="003C61A2" w:rsidP="003B57F2">
            <w:pPr>
              <w:jc w:val="both"/>
              <w:rPr>
                <w:rFonts w:ascii="Arial" w:hAnsi="Arial" w:cs="Arial"/>
              </w:rPr>
            </w:pPr>
            <w:r w:rsidRPr="004E2A10">
              <w:rPr>
                <w:rFonts w:ascii="Arial" w:hAnsi="Arial" w:cs="Arial"/>
                <w:color w:val="000000"/>
                <w:lang w:eastAsia="pl-PL"/>
              </w:rPr>
              <w:t>0.0882</w:t>
            </w:r>
          </w:p>
        </w:tc>
      </w:tr>
      <w:tr w:rsidR="003C61A2" w:rsidRPr="00DC3180" w14:paraId="68032CA6" w14:textId="77777777" w:rsidTr="003B57F2">
        <w:trPr>
          <w:jc w:val="center"/>
        </w:trPr>
        <w:tc>
          <w:tcPr>
            <w:tcW w:w="2871" w:type="dxa"/>
          </w:tcPr>
          <w:p w14:paraId="45985A87" w14:textId="77777777" w:rsidR="003C61A2" w:rsidRPr="00DC3180" w:rsidRDefault="003C61A2" w:rsidP="003B57F2">
            <w:pPr>
              <w:jc w:val="both"/>
              <w:rPr>
                <w:rFonts w:ascii="Arial" w:hAnsi="Arial"/>
              </w:rPr>
            </w:pPr>
            <w:r w:rsidRPr="004E2A10">
              <w:rPr>
                <w:rFonts w:ascii="Arial" w:eastAsia="Calibri" w:hAnsi="Arial" w:cs="Arial"/>
              </w:rPr>
              <w:t>Pseudo-second order model</w:t>
            </w:r>
          </w:p>
        </w:tc>
        <w:tc>
          <w:tcPr>
            <w:tcW w:w="1767" w:type="dxa"/>
          </w:tcPr>
          <w:p w14:paraId="00D5C5EA" w14:textId="77777777" w:rsidR="003C61A2" w:rsidRPr="00DC3180" w:rsidRDefault="003C61A2" w:rsidP="003B57F2">
            <w:pPr>
              <w:jc w:val="both"/>
              <w:rPr>
                <w:rFonts w:ascii="Arial" w:hAnsi="Arial"/>
              </w:rPr>
            </w:pPr>
            <w:proofErr w:type="spellStart"/>
            <w:r w:rsidRPr="004E2A10">
              <w:rPr>
                <w:rFonts w:ascii="Arial" w:eastAsia="Calibri" w:hAnsi="Arial" w:cs="Arial"/>
              </w:rPr>
              <w:t>q</w:t>
            </w:r>
            <w:r w:rsidRPr="004E2A10">
              <w:rPr>
                <w:rFonts w:ascii="Arial" w:eastAsia="Calibri" w:hAnsi="Arial" w:cs="Arial"/>
                <w:vertAlign w:val="subscript"/>
              </w:rPr>
              <w:t>e</w:t>
            </w:r>
            <w:proofErr w:type="spellEnd"/>
            <w:r w:rsidRPr="004E2A10">
              <w:rPr>
                <w:rFonts w:ascii="Arial" w:eastAsia="Calibri" w:hAnsi="Arial" w:cs="Arial"/>
              </w:rPr>
              <w:t xml:space="preserve"> (mg/g)</w:t>
            </w:r>
          </w:p>
        </w:tc>
        <w:tc>
          <w:tcPr>
            <w:tcW w:w="1651" w:type="dxa"/>
          </w:tcPr>
          <w:p w14:paraId="24164D52" w14:textId="77777777" w:rsidR="003C61A2" w:rsidRPr="00DC3180" w:rsidRDefault="003C61A2" w:rsidP="003B57F2">
            <w:pPr>
              <w:jc w:val="both"/>
              <w:rPr>
                <w:rFonts w:ascii="Arial" w:hAnsi="Arial" w:cs="Arial"/>
              </w:rPr>
            </w:pPr>
            <w:r w:rsidRPr="004E2A10">
              <w:rPr>
                <w:rFonts w:ascii="Arial" w:hAnsi="Arial" w:cs="Arial"/>
                <w:bCs/>
                <w:color w:val="000000" w:themeColor="text1"/>
              </w:rPr>
              <w:t>14286</w:t>
            </w:r>
          </w:p>
        </w:tc>
        <w:tc>
          <w:tcPr>
            <w:tcW w:w="1655" w:type="dxa"/>
          </w:tcPr>
          <w:p w14:paraId="06A0F5D2" w14:textId="77777777" w:rsidR="003C61A2" w:rsidRPr="00DC3180" w:rsidRDefault="003C61A2" w:rsidP="003B57F2">
            <w:pPr>
              <w:jc w:val="both"/>
              <w:rPr>
                <w:rFonts w:ascii="Arial" w:hAnsi="Arial" w:cs="Arial"/>
              </w:rPr>
            </w:pPr>
            <w:r w:rsidRPr="004E2A10">
              <w:rPr>
                <w:rFonts w:ascii="Arial" w:hAnsi="Arial" w:cs="Arial"/>
                <w:color w:val="000000"/>
                <w:lang w:eastAsia="pl-PL"/>
              </w:rPr>
              <w:t>10000</w:t>
            </w:r>
          </w:p>
        </w:tc>
      </w:tr>
      <w:tr w:rsidR="003C61A2" w:rsidRPr="00DC3180" w14:paraId="0373FA13" w14:textId="77777777" w:rsidTr="003B57F2">
        <w:trPr>
          <w:trHeight w:val="404"/>
          <w:jc w:val="center"/>
        </w:trPr>
        <w:tc>
          <w:tcPr>
            <w:tcW w:w="2871" w:type="dxa"/>
          </w:tcPr>
          <w:p w14:paraId="5CD4DD11" w14:textId="77777777" w:rsidR="003C61A2" w:rsidRPr="00DC3180" w:rsidRDefault="003C61A2" w:rsidP="003B57F2">
            <w:pPr>
              <w:jc w:val="both"/>
              <w:rPr>
                <w:rFonts w:ascii="Arial" w:hAnsi="Arial"/>
              </w:rPr>
            </w:pPr>
          </w:p>
        </w:tc>
        <w:tc>
          <w:tcPr>
            <w:tcW w:w="1767" w:type="dxa"/>
          </w:tcPr>
          <w:p w14:paraId="6D31C7F7" w14:textId="77777777" w:rsidR="003C61A2" w:rsidRPr="00DC3180" w:rsidRDefault="003C61A2" w:rsidP="003B57F2">
            <w:pPr>
              <w:jc w:val="both"/>
              <w:rPr>
                <w:rFonts w:ascii="Arial" w:hAnsi="Arial"/>
              </w:rPr>
            </w:pPr>
            <w:r w:rsidRPr="004E2A10">
              <w:rPr>
                <w:rFonts w:ascii="Arial" w:eastAsia="Calibri" w:hAnsi="Arial" w:cs="Arial"/>
              </w:rPr>
              <w:t>k</w:t>
            </w:r>
            <w:r w:rsidRPr="004E2A10">
              <w:rPr>
                <w:rFonts w:ascii="Arial" w:eastAsia="Calibri" w:hAnsi="Arial" w:cs="Arial"/>
                <w:vertAlign w:val="subscript"/>
              </w:rPr>
              <w:t>2</w:t>
            </w:r>
            <w:r w:rsidRPr="004E2A10">
              <w:rPr>
                <w:rFonts w:ascii="Arial" w:eastAsia="Calibri" w:hAnsi="Arial" w:cs="Arial"/>
              </w:rPr>
              <w:t xml:space="preserve"> (g/</w:t>
            </w:r>
            <w:proofErr w:type="spellStart"/>
            <w:r w:rsidRPr="004E2A10">
              <w:rPr>
                <w:rFonts w:ascii="Arial" w:eastAsia="Calibri" w:hAnsi="Arial" w:cs="Arial"/>
              </w:rPr>
              <w:t>mg.min</w:t>
            </w:r>
            <w:proofErr w:type="spellEnd"/>
            <w:r w:rsidRPr="004E2A10">
              <w:rPr>
                <w:rFonts w:ascii="Arial" w:eastAsia="Calibri" w:hAnsi="Arial" w:cs="Arial"/>
              </w:rPr>
              <w:t>)</w:t>
            </w:r>
          </w:p>
        </w:tc>
        <w:tc>
          <w:tcPr>
            <w:tcW w:w="1651" w:type="dxa"/>
          </w:tcPr>
          <w:p w14:paraId="29D13310" w14:textId="77777777" w:rsidR="003C61A2" w:rsidRPr="00DC3180" w:rsidRDefault="003C61A2" w:rsidP="003B57F2">
            <w:pPr>
              <w:jc w:val="both"/>
              <w:rPr>
                <w:rFonts w:ascii="Arial" w:hAnsi="Arial" w:cs="Arial"/>
              </w:rPr>
            </w:pPr>
            <w:r w:rsidRPr="004E2A10">
              <w:rPr>
                <w:rFonts w:ascii="Arial" w:hAnsi="Arial" w:cs="Arial"/>
                <w:bCs/>
                <w:color w:val="000000" w:themeColor="text1"/>
              </w:rPr>
              <w:t>2.45 x 10</w:t>
            </w:r>
            <w:r w:rsidRPr="004E2A10">
              <w:rPr>
                <w:rFonts w:ascii="Arial" w:hAnsi="Arial" w:cs="Arial"/>
                <w:bCs/>
                <w:color w:val="000000" w:themeColor="text1"/>
                <w:vertAlign w:val="superscript"/>
              </w:rPr>
              <w:t>-5</w:t>
            </w:r>
          </w:p>
        </w:tc>
        <w:tc>
          <w:tcPr>
            <w:tcW w:w="1655" w:type="dxa"/>
          </w:tcPr>
          <w:p w14:paraId="59A0A8AE" w14:textId="77777777" w:rsidR="003C61A2" w:rsidRPr="00DC3180" w:rsidRDefault="003C61A2" w:rsidP="003B57F2">
            <w:pPr>
              <w:jc w:val="both"/>
              <w:rPr>
                <w:rFonts w:ascii="Arial" w:hAnsi="Arial" w:cs="Arial"/>
              </w:rPr>
            </w:pPr>
            <w:r w:rsidRPr="004E2A10">
              <w:rPr>
                <w:rFonts w:ascii="Arial" w:hAnsi="Arial" w:cs="Arial"/>
                <w:bCs/>
              </w:rPr>
              <w:t>1.67</w:t>
            </w:r>
            <w:r w:rsidRPr="004E2A10">
              <w:rPr>
                <w:rFonts w:ascii="Arial" w:hAnsi="Arial" w:cs="Arial"/>
                <w:bCs/>
                <w:color w:val="000000" w:themeColor="text1"/>
              </w:rPr>
              <w:t xml:space="preserve"> x 10</w:t>
            </w:r>
            <w:r w:rsidRPr="004E2A10">
              <w:rPr>
                <w:rFonts w:ascii="Arial" w:hAnsi="Arial" w:cs="Arial"/>
                <w:bCs/>
                <w:color w:val="000000" w:themeColor="text1"/>
                <w:vertAlign w:val="superscript"/>
              </w:rPr>
              <w:t>-5</w:t>
            </w:r>
          </w:p>
        </w:tc>
      </w:tr>
      <w:tr w:rsidR="003C61A2" w:rsidRPr="00DC3180" w14:paraId="0644E0ED" w14:textId="77777777" w:rsidTr="003B57F2">
        <w:trPr>
          <w:jc w:val="center"/>
        </w:trPr>
        <w:tc>
          <w:tcPr>
            <w:tcW w:w="2871" w:type="dxa"/>
          </w:tcPr>
          <w:p w14:paraId="134D5CBC" w14:textId="77777777" w:rsidR="003C61A2" w:rsidRPr="00DC3180" w:rsidRDefault="003C61A2" w:rsidP="003B57F2">
            <w:pPr>
              <w:jc w:val="both"/>
              <w:rPr>
                <w:rFonts w:ascii="Arial" w:hAnsi="Arial"/>
              </w:rPr>
            </w:pPr>
            <w:r w:rsidRPr="004E2A10">
              <w:rPr>
                <w:rFonts w:ascii="Arial" w:eastAsia="Calibri" w:hAnsi="Arial" w:cs="Arial"/>
              </w:rPr>
              <w:t>Intra-particle diffusion model</w:t>
            </w:r>
          </w:p>
        </w:tc>
        <w:tc>
          <w:tcPr>
            <w:tcW w:w="1767" w:type="dxa"/>
          </w:tcPr>
          <w:p w14:paraId="19EB43C2" w14:textId="77777777" w:rsidR="003C61A2" w:rsidRPr="00DC3180" w:rsidRDefault="003C61A2" w:rsidP="003B57F2">
            <w:pPr>
              <w:jc w:val="both"/>
              <w:rPr>
                <w:rFonts w:ascii="Arial" w:hAnsi="Arial"/>
              </w:rPr>
            </w:pPr>
            <w:r w:rsidRPr="004E2A10">
              <w:rPr>
                <w:rFonts w:ascii="Arial" w:eastAsia="Calibri" w:hAnsi="Arial" w:cs="Arial"/>
              </w:rPr>
              <w:t>k</w:t>
            </w:r>
            <w:r w:rsidRPr="004E2A10">
              <w:rPr>
                <w:rFonts w:ascii="Arial" w:eastAsia="Calibri" w:hAnsi="Arial" w:cs="Arial"/>
                <w:vertAlign w:val="subscript"/>
              </w:rPr>
              <w:t>id</w:t>
            </w:r>
            <w:r w:rsidRPr="004E2A10">
              <w:rPr>
                <w:rFonts w:ascii="Arial" w:eastAsia="Calibri" w:hAnsi="Arial" w:cs="Arial"/>
              </w:rPr>
              <w:t xml:space="preserve"> (mg/(g.min</w:t>
            </w:r>
            <w:r w:rsidRPr="004E2A10">
              <w:rPr>
                <w:rFonts w:ascii="Arial" w:eastAsia="Calibri" w:hAnsi="Arial" w:cs="Arial"/>
                <w:vertAlign w:val="superscript"/>
              </w:rPr>
              <w:t>1/2</w:t>
            </w:r>
            <w:r w:rsidRPr="004E2A10">
              <w:rPr>
                <w:rFonts w:ascii="Arial" w:eastAsia="Calibri" w:hAnsi="Arial" w:cs="Arial"/>
              </w:rPr>
              <w:t>))</w:t>
            </w:r>
          </w:p>
        </w:tc>
        <w:tc>
          <w:tcPr>
            <w:tcW w:w="1651" w:type="dxa"/>
          </w:tcPr>
          <w:p w14:paraId="71932A70" w14:textId="77777777" w:rsidR="003C61A2" w:rsidRPr="00DC3180" w:rsidRDefault="003C61A2" w:rsidP="003B57F2">
            <w:pPr>
              <w:jc w:val="both"/>
              <w:rPr>
                <w:rFonts w:ascii="Arial" w:hAnsi="Arial" w:cs="Arial"/>
              </w:rPr>
            </w:pPr>
            <w:r w:rsidRPr="004E2A10">
              <w:rPr>
                <w:rFonts w:ascii="Arial" w:hAnsi="Arial" w:cs="Arial"/>
                <w:bCs/>
                <w:color w:val="000000" w:themeColor="text1"/>
              </w:rPr>
              <w:t>2261.50</w:t>
            </w:r>
          </w:p>
        </w:tc>
        <w:tc>
          <w:tcPr>
            <w:tcW w:w="1655" w:type="dxa"/>
          </w:tcPr>
          <w:p w14:paraId="35CFF709" w14:textId="77777777" w:rsidR="003C61A2" w:rsidRPr="00DC3180" w:rsidRDefault="003C61A2" w:rsidP="003B57F2">
            <w:pPr>
              <w:jc w:val="both"/>
              <w:rPr>
                <w:rFonts w:ascii="Arial" w:hAnsi="Arial" w:cs="Arial"/>
              </w:rPr>
            </w:pPr>
            <w:r w:rsidRPr="004E2A10">
              <w:rPr>
                <w:rFonts w:ascii="Arial" w:hAnsi="Arial" w:cs="Arial"/>
                <w:bCs/>
              </w:rPr>
              <w:t>1774.50</w:t>
            </w:r>
          </w:p>
        </w:tc>
      </w:tr>
      <w:tr w:rsidR="003C61A2" w:rsidRPr="00DC3180" w14:paraId="76C2F564" w14:textId="77777777" w:rsidTr="003B57F2">
        <w:trPr>
          <w:trHeight w:val="377"/>
          <w:jc w:val="center"/>
        </w:trPr>
        <w:tc>
          <w:tcPr>
            <w:tcW w:w="2871" w:type="dxa"/>
          </w:tcPr>
          <w:p w14:paraId="1B75909C" w14:textId="77777777" w:rsidR="003C61A2" w:rsidRPr="00DC3180" w:rsidRDefault="003C61A2" w:rsidP="003B57F2">
            <w:pPr>
              <w:jc w:val="both"/>
              <w:rPr>
                <w:rFonts w:ascii="Arial" w:hAnsi="Arial"/>
              </w:rPr>
            </w:pPr>
          </w:p>
        </w:tc>
        <w:tc>
          <w:tcPr>
            <w:tcW w:w="1767" w:type="dxa"/>
          </w:tcPr>
          <w:p w14:paraId="0839601B" w14:textId="77777777" w:rsidR="003C61A2" w:rsidRPr="00DC3180" w:rsidRDefault="003C61A2" w:rsidP="003B57F2">
            <w:pPr>
              <w:jc w:val="both"/>
              <w:rPr>
                <w:rFonts w:ascii="Arial" w:hAnsi="Arial"/>
              </w:rPr>
            </w:pPr>
            <w:r>
              <w:rPr>
                <w:rFonts w:ascii="Arial" w:hAnsi="Arial"/>
              </w:rPr>
              <w:t>C</w:t>
            </w:r>
          </w:p>
        </w:tc>
        <w:tc>
          <w:tcPr>
            <w:tcW w:w="1651" w:type="dxa"/>
          </w:tcPr>
          <w:p w14:paraId="1C289E76" w14:textId="77777777" w:rsidR="003C61A2" w:rsidRPr="00DC3180" w:rsidRDefault="003C61A2" w:rsidP="003B57F2">
            <w:pPr>
              <w:jc w:val="both"/>
              <w:rPr>
                <w:rFonts w:ascii="Arial" w:hAnsi="Arial" w:cs="Arial"/>
              </w:rPr>
            </w:pPr>
            <w:r w:rsidRPr="004E2A10">
              <w:rPr>
                <w:rFonts w:ascii="Arial" w:hAnsi="Arial" w:cs="Arial"/>
                <w:bCs/>
                <w:color w:val="000000" w:themeColor="text1"/>
              </w:rPr>
              <w:t>3422.00</w:t>
            </w:r>
          </w:p>
        </w:tc>
        <w:tc>
          <w:tcPr>
            <w:tcW w:w="1655" w:type="dxa"/>
          </w:tcPr>
          <w:p w14:paraId="5D53E69D" w14:textId="77777777" w:rsidR="003C61A2" w:rsidRPr="00DC3180" w:rsidRDefault="003C61A2" w:rsidP="003B57F2">
            <w:pPr>
              <w:jc w:val="both"/>
              <w:rPr>
                <w:rFonts w:ascii="Arial" w:hAnsi="Arial" w:cs="Arial"/>
              </w:rPr>
            </w:pPr>
            <w:r w:rsidRPr="004E2A10">
              <w:rPr>
                <w:rFonts w:ascii="Arial" w:hAnsi="Arial" w:cs="Arial"/>
                <w:bCs/>
              </w:rPr>
              <w:t>-101.93</w:t>
            </w:r>
          </w:p>
        </w:tc>
      </w:tr>
      <w:tr w:rsidR="003C61A2" w:rsidRPr="00DC3180" w14:paraId="518CA784" w14:textId="77777777" w:rsidTr="003B57F2">
        <w:trPr>
          <w:jc w:val="center"/>
        </w:trPr>
        <w:tc>
          <w:tcPr>
            <w:tcW w:w="2871" w:type="dxa"/>
          </w:tcPr>
          <w:p w14:paraId="304CEDCC" w14:textId="77777777" w:rsidR="003C61A2" w:rsidRPr="00DC3180" w:rsidRDefault="003C61A2" w:rsidP="003B57F2">
            <w:pPr>
              <w:jc w:val="both"/>
              <w:rPr>
                <w:rFonts w:ascii="Arial" w:hAnsi="Arial"/>
              </w:rPr>
            </w:pPr>
            <w:r w:rsidRPr="004E2A10">
              <w:rPr>
                <w:rFonts w:ascii="Arial" w:eastAsia="Calibri" w:hAnsi="Arial" w:cs="Arial"/>
              </w:rPr>
              <w:t>Film diffusion model</w:t>
            </w:r>
          </w:p>
        </w:tc>
        <w:tc>
          <w:tcPr>
            <w:tcW w:w="1767" w:type="dxa"/>
          </w:tcPr>
          <w:p w14:paraId="124B7751" w14:textId="77777777" w:rsidR="003C61A2" w:rsidRPr="00DC3180" w:rsidRDefault="003C61A2" w:rsidP="003B57F2">
            <w:pPr>
              <w:jc w:val="both"/>
              <w:rPr>
                <w:rFonts w:ascii="Arial" w:hAnsi="Arial"/>
              </w:rPr>
            </w:pPr>
            <w:proofErr w:type="spellStart"/>
            <w:r w:rsidRPr="004E2A10">
              <w:rPr>
                <w:rFonts w:ascii="Arial" w:eastAsia="Calibri" w:hAnsi="Arial" w:cs="Arial"/>
              </w:rPr>
              <w:t>K</w:t>
            </w:r>
            <w:r w:rsidRPr="004E2A10">
              <w:rPr>
                <w:rFonts w:ascii="Arial" w:eastAsia="Calibri" w:hAnsi="Arial" w:cs="Arial"/>
                <w:vertAlign w:val="subscript"/>
              </w:rPr>
              <w:t>fd</w:t>
            </w:r>
            <w:proofErr w:type="spellEnd"/>
            <w:r w:rsidRPr="004E2A10">
              <w:rPr>
                <w:rFonts w:ascii="Arial" w:eastAsia="Calibri" w:hAnsi="Arial" w:cs="Arial"/>
              </w:rPr>
              <w:t xml:space="preserve"> (min</w:t>
            </w:r>
            <w:r w:rsidRPr="004E2A10">
              <w:rPr>
                <w:rFonts w:ascii="Arial" w:eastAsia="Calibri" w:hAnsi="Arial" w:cs="Arial"/>
                <w:vertAlign w:val="superscript"/>
              </w:rPr>
              <w:t>-1</w:t>
            </w:r>
            <w:r w:rsidRPr="004E2A10">
              <w:rPr>
                <w:rFonts w:ascii="Arial" w:eastAsia="Calibri" w:hAnsi="Arial" w:cs="Arial"/>
              </w:rPr>
              <w:t>)</w:t>
            </w:r>
          </w:p>
        </w:tc>
        <w:tc>
          <w:tcPr>
            <w:tcW w:w="1651" w:type="dxa"/>
          </w:tcPr>
          <w:p w14:paraId="742D077C" w14:textId="77777777" w:rsidR="003C61A2" w:rsidRPr="00DC3180" w:rsidRDefault="003C61A2" w:rsidP="003B57F2">
            <w:pPr>
              <w:jc w:val="both"/>
              <w:rPr>
                <w:rFonts w:ascii="Arial" w:hAnsi="Arial" w:cs="Arial"/>
              </w:rPr>
            </w:pPr>
            <w:r w:rsidRPr="004E2A10">
              <w:rPr>
                <w:rFonts w:ascii="Arial" w:hAnsi="Arial" w:cs="Arial"/>
                <w:bCs/>
                <w:color w:val="000000" w:themeColor="text1"/>
              </w:rPr>
              <w:t>0.2348</w:t>
            </w:r>
          </w:p>
        </w:tc>
        <w:tc>
          <w:tcPr>
            <w:tcW w:w="1655" w:type="dxa"/>
          </w:tcPr>
          <w:p w14:paraId="7E850E90" w14:textId="77777777" w:rsidR="003C61A2" w:rsidRPr="00DC3180" w:rsidRDefault="003C61A2" w:rsidP="003B57F2">
            <w:pPr>
              <w:jc w:val="both"/>
              <w:rPr>
                <w:rFonts w:ascii="Arial" w:hAnsi="Arial" w:cs="Arial"/>
              </w:rPr>
            </w:pPr>
            <w:r w:rsidRPr="004E2A10">
              <w:rPr>
                <w:rFonts w:ascii="Arial" w:hAnsi="Arial" w:cs="Arial"/>
                <w:bCs/>
              </w:rPr>
              <w:t>0.0883</w:t>
            </w:r>
          </w:p>
        </w:tc>
      </w:tr>
    </w:tbl>
    <w:p w14:paraId="1C0360E0" w14:textId="77777777" w:rsidR="003C61A2" w:rsidRPr="007A2634" w:rsidRDefault="003C61A2" w:rsidP="00A03B11">
      <w:pPr>
        <w:spacing w:after="120"/>
        <w:ind w:left="1260"/>
        <w:jc w:val="center"/>
        <w:rPr>
          <w:rFonts w:ascii="Arial" w:hAnsi="Arial" w:cs="Arial"/>
          <w:b/>
          <w:bCs/>
        </w:rPr>
      </w:pPr>
    </w:p>
    <w:p w14:paraId="48A836C2" w14:textId="77777777" w:rsidR="00FB0945" w:rsidRPr="00FB0945" w:rsidRDefault="00FB0945" w:rsidP="00A03B11">
      <w:pPr>
        <w:widowControl w:val="0"/>
        <w:ind w:left="1260"/>
        <w:jc w:val="both"/>
        <w:rPr>
          <w:rFonts w:ascii="Arial" w:eastAsia="Calibri" w:hAnsi="Arial" w:cs="Arial"/>
        </w:rPr>
      </w:pPr>
      <w:r w:rsidRPr="00FB0945">
        <w:rPr>
          <w:rFonts w:ascii="Arial" w:hAnsi="Arial" w:cs="Arial"/>
        </w:rPr>
        <w:t xml:space="preserve">Fig. 6 shows that for </w:t>
      </w:r>
      <w:r w:rsidRPr="00FB0945">
        <w:rPr>
          <w:rFonts w:ascii="Arial" w:eastAsiaTheme="minorEastAsia" w:hAnsi="Arial" w:cs="Arial"/>
        </w:rPr>
        <w:t>adsorption on RPMSP</w:t>
      </w:r>
      <w:r w:rsidRPr="00FB0945">
        <w:rPr>
          <w:rFonts w:ascii="Arial" w:hAnsi="Arial" w:cs="Arial"/>
        </w:rPr>
        <w:t>, t</w:t>
      </w:r>
      <w:r w:rsidRPr="00FB0945">
        <w:rPr>
          <w:rFonts w:ascii="Arial" w:eastAsiaTheme="minorEastAsia" w:hAnsi="Arial" w:cs="Arial"/>
        </w:rPr>
        <w:t xml:space="preserve">he pseudo-first order model yielded higher </w:t>
      </w:r>
      <w:r w:rsidRPr="00FB0945">
        <w:rPr>
          <w:rFonts w:ascii="Arial" w:hAnsi="Arial" w:cs="Arial"/>
        </w:rPr>
        <w:t>R</w:t>
      </w:r>
      <w:r w:rsidRPr="00FB0945">
        <w:rPr>
          <w:rFonts w:ascii="Arial" w:hAnsi="Arial" w:cs="Arial"/>
          <w:vertAlign w:val="superscript"/>
        </w:rPr>
        <w:t>2</w:t>
      </w:r>
      <w:r w:rsidRPr="00FB0945">
        <w:rPr>
          <w:rFonts w:ascii="Arial" w:hAnsi="Arial" w:cs="Arial"/>
        </w:rPr>
        <w:t xml:space="preserve"> value</w:t>
      </w:r>
      <w:r w:rsidRPr="00FB0945">
        <w:rPr>
          <w:rFonts w:ascii="Arial" w:eastAsiaTheme="minorEastAsia" w:hAnsi="Arial" w:cs="Arial"/>
        </w:rPr>
        <w:t xml:space="preserve"> than the pseudo-second order model. This shows that the oil sorption on RPMSP obeyed </w:t>
      </w:r>
      <w:r w:rsidRPr="00FB0945">
        <w:rPr>
          <w:rFonts w:ascii="Arial" w:hAnsi="Arial" w:cs="Arial"/>
        </w:rPr>
        <w:t>t</w:t>
      </w:r>
      <w:r w:rsidRPr="00FB0945">
        <w:rPr>
          <w:rFonts w:ascii="Arial" w:eastAsiaTheme="minorEastAsia" w:hAnsi="Arial" w:cs="Arial"/>
        </w:rPr>
        <w:t>he pseudo-first order model. The conformity to the pseudo-first order model suggests that the oil sorption process on R</w:t>
      </w:r>
      <w:r w:rsidR="0042670E">
        <w:rPr>
          <w:rFonts w:ascii="Arial" w:eastAsiaTheme="minorEastAsia" w:hAnsi="Arial" w:cs="Arial"/>
        </w:rPr>
        <w:t>PMSP involved physisorption (Onwuka et al., 2016)</w:t>
      </w:r>
      <w:r w:rsidRPr="00FB0945">
        <w:rPr>
          <w:rFonts w:ascii="Arial" w:eastAsiaTheme="minorEastAsia" w:hAnsi="Arial" w:cs="Arial"/>
        </w:rPr>
        <w:t>. The equilibrium sorption capacity and rate constant were 6281 mg/g and 0.0882</w:t>
      </w:r>
      <w:r w:rsidRPr="00FB0945">
        <w:rPr>
          <w:rFonts w:ascii="Arial" w:eastAsia="Calibri" w:hAnsi="Arial" w:cs="Arial"/>
        </w:rPr>
        <w:t xml:space="preserve"> min</w:t>
      </w:r>
      <w:r w:rsidRPr="00FB0945">
        <w:rPr>
          <w:rFonts w:ascii="Arial" w:eastAsia="Calibri" w:hAnsi="Arial" w:cs="Arial"/>
          <w:vertAlign w:val="superscript"/>
        </w:rPr>
        <w:t>-1</w:t>
      </w:r>
      <w:r w:rsidRPr="00FB0945">
        <w:rPr>
          <w:rFonts w:ascii="Arial" w:eastAsia="Calibri" w:hAnsi="Arial" w:cs="Arial"/>
        </w:rPr>
        <w:t>, respectively (Table 2).</w:t>
      </w:r>
      <w:r w:rsidRPr="00FB0945">
        <w:rPr>
          <w:rFonts w:ascii="Arial" w:eastAsiaTheme="minorEastAsia" w:hAnsi="Arial" w:cs="Arial"/>
        </w:rPr>
        <w:t xml:space="preserve"> For adsorption on MPMSP, the pseudo-second order model gave higher </w:t>
      </w:r>
      <w:r w:rsidRPr="00FB0945">
        <w:rPr>
          <w:rFonts w:ascii="Arial" w:hAnsi="Arial" w:cs="Arial"/>
        </w:rPr>
        <w:t>R</w:t>
      </w:r>
      <w:r w:rsidRPr="00FB0945">
        <w:rPr>
          <w:rFonts w:ascii="Arial" w:hAnsi="Arial" w:cs="Arial"/>
          <w:vertAlign w:val="superscript"/>
        </w:rPr>
        <w:t>2</w:t>
      </w:r>
      <w:r w:rsidRPr="00FB0945">
        <w:rPr>
          <w:rFonts w:ascii="Arial" w:hAnsi="Arial" w:cs="Arial"/>
        </w:rPr>
        <w:t xml:space="preserve"> value</w:t>
      </w:r>
      <w:r w:rsidRPr="00FB0945">
        <w:rPr>
          <w:rFonts w:ascii="Arial" w:eastAsiaTheme="minorEastAsia" w:hAnsi="Arial" w:cs="Arial"/>
        </w:rPr>
        <w:t xml:space="preserve"> than the pseudo-first order model (Fig. 6). This shows that the oil sorption on </w:t>
      </w:r>
      <w:r w:rsidRPr="00FB0945">
        <w:rPr>
          <w:rFonts w:ascii="Arial" w:eastAsiaTheme="minorEastAsia" w:hAnsi="Arial" w:cs="Arial"/>
        </w:rPr>
        <w:lastRenderedPageBreak/>
        <w:t xml:space="preserve">MPMSP obeyed </w:t>
      </w:r>
      <w:r w:rsidRPr="00FB0945">
        <w:rPr>
          <w:rFonts w:ascii="Arial" w:hAnsi="Arial" w:cs="Arial"/>
        </w:rPr>
        <w:t>t</w:t>
      </w:r>
      <w:r w:rsidRPr="00FB0945">
        <w:rPr>
          <w:rFonts w:ascii="Arial" w:eastAsiaTheme="minorEastAsia" w:hAnsi="Arial" w:cs="Arial"/>
        </w:rPr>
        <w:t xml:space="preserve">he pseudo-second order model. The conformity to the pseudo-second order model suggests that the oil sorption process on MPMSP was by </w:t>
      </w:r>
      <w:r w:rsidRPr="00FB0945">
        <w:rPr>
          <w:rFonts w:ascii="Arial" w:hAnsi="Arial" w:cs="Arial"/>
        </w:rPr>
        <w:t xml:space="preserve">chemisorption. </w:t>
      </w:r>
      <w:r w:rsidRPr="00FB0945">
        <w:rPr>
          <w:rFonts w:ascii="Arial" w:eastAsiaTheme="minorEastAsia" w:hAnsi="Arial" w:cs="Arial"/>
        </w:rPr>
        <w:t xml:space="preserve">The equilibrium sorption capacity and rate constant were 14286 mg/g and </w:t>
      </w:r>
      <w:r w:rsidRPr="00FB0945">
        <w:rPr>
          <w:rFonts w:ascii="Arial" w:eastAsia="Calibri" w:hAnsi="Arial" w:cs="Arial"/>
        </w:rPr>
        <w:t>2.45 x 10</w:t>
      </w:r>
      <w:r w:rsidRPr="00FB0945">
        <w:rPr>
          <w:rFonts w:ascii="Arial" w:eastAsia="Calibri" w:hAnsi="Arial" w:cs="Arial"/>
          <w:vertAlign w:val="superscript"/>
        </w:rPr>
        <w:t>-5</w:t>
      </w:r>
      <w:r w:rsidRPr="00FB0945">
        <w:rPr>
          <w:rFonts w:ascii="Arial" w:hAnsi="Arial" w:cs="Arial"/>
          <w:vertAlign w:val="superscript"/>
        </w:rPr>
        <w:t xml:space="preserve"> </w:t>
      </w:r>
      <w:r w:rsidRPr="00FB0945">
        <w:rPr>
          <w:rFonts w:ascii="Arial" w:eastAsia="Calibri" w:hAnsi="Arial" w:cs="Arial"/>
        </w:rPr>
        <w:t>g/</w:t>
      </w:r>
      <w:proofErr w:type="spellStart"/>
      <w:r w:rsidRPr="00FB0945">
        <w:rPr>
          <w:rFonts w:ascii="Arial" w:eastAsia="Calibri" w:hAnsi="Arial" w:cs="Arial"/>
        </w:rPr>
        <w:t>mg.min</w:t>
      </w:r>
      <w:proofErr w:type="spellEnd"/>
      <w:r w:rsidRPr="00FB0945">
        <w:rPr>
          <w:rFonts w:ascii="Arial" w:eastAsiaTheme="minorEastAsia" w:hAnsi="Arial" w:cs="Arial"/>
        </w:rPr>
        <w:t xml:space="preserve">, respectively </w:t>
      </w:r>
      <w:r w:rsidRPr="00FB0945">
        <w:rPr>
          <w:rFonts w:ascii="Arial" w:eastAsia="Calibri" w:hAnsi="Arial" w:cs="Arial"/>
        </w:rPr>
        <w:t>(Table 2).</w:t>
      </w:r>
    </w:p>
    <w:p w14:paraId="784991F5" w14:textId="77777777" w:rsidR="00FB0945" w:rsidRPr="00FB0945" w:rsidRDefault="00FB0945" w:rsidP="00A03B11">
      <w:pPr>
        <w:widowControl w:val="0"/>
        <w:spacing w:before="240"/>
        <w:ind w:left="1260"/>
        <w:jc w:val="both"/>
        <w:rPr>
          <w:rFonts w:ascii="Arial" w:hAnsi="Arial" w:cs="Arial"/>
          <w:vertAlign w:val="superscript"/>
        </w:rPr>
      </w:pPr>
      <w:r w:rsidRPr="00FB0945">
        <w:rPr>
          <w:rFonts w:ascii="Arial" w:hAnsi="Arial" w:cs="Arial"/>
        </w:rPr>
        <w:t>The intra-particle diffusion and film diffusion model plots (Fig. 6 c and d) were linear but did not pass through the origin. This shows that intra-particle diffusion took part in controlling the rate of oil sorption on both MPMSP and RPMSP, but it was not the sole mechanism</w:t>
      </w:r>
      <w:r w:rsidR="000C7D68">
        <w:rPr>
          <w:rFonts w:ascii="Arial" w:eastAsiaTheme="minorEastAsia" w:hAnsi="Arial" w:cs="Arial"/>
        </w:rPr>
        <w:t xml:space="preserve"> (</w:t>
      </w:r>
      <w:r w:rsidR="000C7D68">
        <w:rPr>
          <w:rFonts w:ascii="Arial" w:hAnsi="Arial" w:cs="Arial"/>
        </w:rPr>
        <w:t>Shin and Kim, 2016)</w:t>
      </w:r>
      <w:r w:rsidRPr="00FB0945">
        <w:rPr>
          <w:rFonts w:ascii="Arial" w:eastAsiaTheme="minorEastAsia" w:hAnsi="Arial" w:cs="Arial"/>
        </w:rPr>
        <w:t>.</w:t>
      </w:r>
      <w:r w:rsidRPr="00FB0945">
        <w:rPr>
          <w:rFonts w:ascii="Arial" w:hAnsi="Arial" w:cs="Arial"/>
        </w:rPr>
        <w:t xml:space="preserve"> Low value of integration constant (-101.93) was obtained for the sorption on RPMSP whereas a high value (3422.00) was obtained for the sorption on MPMSP. The low and high values of integration constant point to the possibility of physisorption and chemisorption being involved in the sorption on RPMSP and MPMSP, respectively </w:t>
      </w:r>
      <w:r w:rsidR="0042670E">
        <w:rPr>
          <w:rFonts w:ascii="Arial" w:hAnsi="Arial" w:cs="Arial"/>
        </w:rPr>
        <w:t>(Nnaji et al., 2016)</w:t>
      </w:r>
      <w:r w:rsidRPr="00FB0945">
        <w:rPr>
          <w:rFonts w:ascii="Arial" w:hAnsi="Arial" w:cs="Arial"/>
        </w:rPr>
        <w:t xml:space="preserve">. This is in agreement with the observation that the sorption on RPMSP obeyed the </w:t>
      </w:r>
      <w:r w:rsidRPr="00FB0945">
        <w:rPr>
          <w:rFonts w:ascii="Arial" w:eastAsiaTheme="minorEastAsia" w:hAnsi="Arial" w:cs="Arial"/>
        </w:rPr>
        <w:t>pseudo-first order model whereas the sorption on MPMSP obeyed the pseudo-second order model.</w:t>
      </w:r>
      <w:r w:rsidRPr="00FB0945">
        <w:rPr>
          <w:rFonts w:ascii="Arial" w:hAnsi="Arial" w:cs="Arial"/>
        </w:rPr>
        <w:t xml:space="preserve"> </w:t>
      </w:r>
      <w:r w:rsidRPr="00FB0945">
        <w:rPr>
          <w:rFonts w:ascii="Arial" w:eastAsiaTheme="minorEastAsia" w:hAnsi="Arial" w:cs="Arial"/>
        </w:rPr>
        <w:t>T</w:t>
      </w:r>
      <w:r w:rsidRPr="00FB0945">
        <w:rPr>
          <w:rFonts w:ascii="Arial" w:hAnsi="Arial" w:cs="Arial"/>
        </w:rPr>
        <w:t>he K</w:t>
      </w:r>
      <w:r w:rsidRPr="00FB0945">
        <w:rPr>
          <w:rFonts w:ascii="Arial" w:hAnsi="Arial" w:cs="Arial"/>
          <w:vertAlign w:val="subscript"/>
        </w:rPr>
        <w:t>id</w:t>
      </w:r>
      <w:r w:rsidRPr="00FB0945">
        <w:rPr>
          <w:rFonts w:ascii="Arial" w:hAnsi="Arial" w:cs="Arial"/>
        </w:rPr>
        <w:t xml:space="preserve"> value for sorption onto MPMSP</w:t>
      </w:r>
      <w:r w:rsidRPr="00FB0945">
        <w:rPr>
          <w:rFonts w:ascii="Arial" w:eastAsiaTheme="minorEastAsia" w:hAnsi="Arial" w:cs="Arial"/>
        </w:rPr>
        <w:t xml:space="preserve"> (2261.50 </w:t>
      </w:r>
      <w:r w:rsidRPr="00FB0945">
        <w:rPr>
          <w:rFonts w:ascii="Arial" w:hAnsi="Arial" w:cs="Arial"/>
        </w:rPr>
        <w:t>mg/g.min</w:t>
      </w:r>
      <w:r w:rsidRPr="00FB0945">
        <w:rPr>
          <w:rFonts w:ascii="Arial" w:hAnsi="Arial" w:cs="Arial"/>
          <w:vertAlign w:val="superscript"/>
        </w:rPr>
        <w:t>1/2</w:t>
      </w:r>
      <w:r w:rsidRPr="00FB0945">
        <w:rPr>
          <w:rFonts w:ascii="Arial" w:hAnsi="Arial" w:cs="Arial"/>
        </w:rPr>
        <w:t>)</w:t>
      </w:r>
      <w:r w:rsidRPr="00FB0945">
        <w:rPr>
          <w:rFonts w:ascii="Arial" w:eastAsiaTheme="minorEastAsia" w:hAnsi="Arial" w:cs="Arial"/>
        </w:rPr>
        <w:t xml:space="preserve"> was </w:t>
      </w:r>
      <w:r w:rsidRPr="00FB0945">
        <w:rPr>
          <w:rFonts w:ascii="Arial" w:hAnsi="Arial" w:cs="Arial"/>
        </w:rPr>
        <w:t>higher than that for RPMSP (1774.50 mg/g.min</w:t>
      </w:r>
      <w:r w:rsidRPr="00FB0945">
        <w:rPr>
          <w:rFonts w:ascii="Arial" w:hAnsi="Arial" w:cs="Arial"/>
          <w:vertAlign w:val="superscript"/>
        </w:rPr>
        <w:t>1/2</w:t>
      </w:r>
      <w:r w:rsidRPr="00FB0945">
        <w:rPr>
          <w:rFonts w:ascii="Arial" w:hAnsi="Arial" w:cs="Arial"/>
        </w:rPr>
        <w:t xml:space="preserve">). Likewise, the </w:t>
      </w:r>
      <w:proofErr w:type="spellStart"/>
      <w:r w:rsidRPr="00FB0945">
        <w:rPr>
          <w:rFonts w:ascii="Arial" w:hAnsi="Arial" w:cs="Arial"/>
        </w:rPr>
        <w:t>K</w:t>
      </w:r>
      <w:r w:rsidRPr="00FB0945">
        <w:rPr>
          <w:rFonts w:ascii="Arial" w:hAnsi="Arial" w:cs="Arial"/>
          <w:vertAlign w:val="subscript"/>
        </w:rPr>
        <w:t>fd</w:t>
      </w:r>
      <w:proofErr w:type="spellEnd"/>
      <w:r w:rsidRPr="00FB0945">
        <w:rPr>
          <w:rFonts w:ascii="Arial" w:hAnsi="Arial" w:cs="Arial"/>
        </w:rPr>
        <w:t xml:space="preserve"> value for sorption onto MPMSP</w:t>
      </w:r>
      <w:r w:rsidRPr="00FB0945">
        <w:rPr>
          <w:rFonts w:ascii="Arial" w:eastAsiaTheme="minorEastAsia" w:hAnsi="Arial" w:cs="Arial"/>
        </w:rPr>
        <w:t xml:space="preserve"> (0.2348 </w:t>
      </w:r>
      <w:r w:rsidRPr="00FB0945">
        <w:rPr>
          <w:rFonts w:ascii="Arial" w:hAnsi="Arial" w:cs="Arial"/>
        </w:rPr>
        <w:t>min</w:t>
      </w:r>
      <w:r w:rsidRPr="00FB0945">
        <w:rPr>
          <w:rFonts w:ascii="Arial" w:hAnsi="Arial" w:cs="Arial"/>
          <w:vertAlign w:val="superscript"/>
        </w:rPr>
        <w:t>-1</w:t>
      </w:r>
      <w:r w:rsidRPr="00FB0945">
        <w:rPr>
          <w:rFonts w:ascii="Arial" w:hAnsi="Arial" w:cs="Arial"/>
        </w:rPr>
        <w:t>)</w:t>
      </w:r>
      <w:r w:rsidRPr="00FB0945">
        <w:rPr>
          <w:rFonts w:ascii="Arial" w:eastAsiaTheme="minorEastAsia" w:hAnsi="Arial" w:cs="Arial"/>
        </w:rPr>
        <w:t xml:space="preserve"> was </w:t>
      </w:r>
      <w:r w:rsidRPr="00FB0945">
        <w:rPr>
          <w:rFonts w:ascii="Arial" w:hAnsi="Arial" w:cs="Arial"/>
        </w:rPr>
        <w:t>higher than that for RPMSP (0.0883 min</w:t>
      </w:r>
      <w:r w:rsidRPr="00FB0945">
        <w:rPr>
          <w:rFonts w:ascii="Arial" w:hAnsi="Arial" w:cs="Arial"/>
          <w:vertAlign w:val="superscript"/>
        </w:rPr>
        <w:t>-1</w:t>
      </w:r>
      <w:r w:rsidRPr="00FB0945">
        <w:rPr>
          <w:rFonts w:ascii="Arial" w:hAnsi="Arial" w:cs="Arial"/>
        </w:rPr>
        <w:t xml:space="preserve">). This shows that acetylation improved the adsorptive potential of </w:t>
      </w:r>
      <w:r w:rsidRPr="00FB0945">
        <w:rPr>
          <w:rFonts w:ascii="Arial" w:eastAsiaTheme="minorEastAsia" w:hAnsi="Arial" w:cs="Arial"/>
        </w:rPr>
        <w:t>PMSP since</w:t>
      </w:r>
      <w:r w:rsidRPr="00FB0945">
        <w:rPr>
          <w:rFonts w:ascii="Arial" w:hAnsi="Arial" w:cs="Arial"/>
        </w:rPr>
        <w:t xml:space="preserve"> higher K</w:t>
      </w:r>
      <w:r w:rsidRPr="00FB0945">
        <w:rPr>
          <w:rFonts w:ascii="Arial" w:hAnsi="Arial" w:cs="Arial"/>
          <w:vertAlign w:val="subscript"/>
        </w:rPr>
        <w:t xml:space="preserve"> </w:t>
      </w:r>
      <w:r w:rsidRPr="00FB0945">
        <w:rPr>
          <w:rFonts w:ascii="Arial" w:hAnsi="Arial" w:cs="Arial"/>
        </w:rPr>
        <w:t>values indicate an increase in the adsorption rate and a better adsorption mechanism.</w:t>
      </w:r>
    </w:p>
    <w:p w14:paraId="397149E8" w14:textId="77777777" w:rsidR="00FB0945" w:rsidRPr="00FB0945" w:rsidRDefault="00FB0945" w:rsidP="00A03B11">
      <w:pPr>
        <w:spacing w:before="240"/>
        <w:ind w:left="1260"/>
        <w:rPr>
          <w:rFonts w:ascii="Arial" w:hAnsi="Arial" w:cs="Arial"/>
          <w:b/>
          <w:sz w:val="22"/>
          <w:szCs w:val="22"/>
        </w:rPr>
      </w:pPr>
      <w:r w:rsidRPr="00FB0945">
        <w:rPr>
          <w:rFonts w:ascii="Arial" w:hAnsi="Arial" w:cs="Arial"/>
          <w:b/>
          <w:caps/>
          <w:sz w:val="22"/>
          <w:szCs w:val="22"/>
        </w:rPr>
        <w:t xml:space="preserve">3.3 </w:t>
      </w:r>
      <w:r w:rsidRPr="00FB0945">
        <w:rPr>
          <w:rFonts w:ascii="Arial" w:hAnsi="Arial" w:cs="Arial"/>
          <w:b/>
          <w:bCs/>
          <w:sz w:val="22"/>
          <w:szCs w:val="22"/>
        </w:rPr>
        <w:t>Effect of Adsorbent Dose on Sorption Capacity</w:t>
      </w:r>
    </w:p>
    <w:p w14:paraId="4A2D2452" w14:textId="77777777" w:rsidR="00FB0945" w:rsidRDefault="00FB0945" w:rsidP="00A03B11">
      <w:pPr>
        <w:ind w:left="1260"/>
        <w:jc w:val="both"/>
        <w:rPr>
          <w:rFonts w:ascii="Arial" w:hAnsi="Arial" w:cs="Arial"/>
        </w:rPr>
      </w:pPr>
      <w:r w:rsidRPr="00FB0945">
        <w:rPr>
          <w:rFonts w:ascii="Arial" w:hAnsi="Arial" w:cs="Arial"/>
        </w:rPr>
        <w:t>The effect of adsorbent dose on crude oil sorption capacity of the raw and modified PMSP is shown in Fig. 7.</w:t>
      </w:r>
    </w:p>
    <w:p w14:paraId="40D72BDD" w14:textId="77777777" w:rsidR="00091DC0" w:rsidRDefault="00091DC0" w:rsidP="00A03B11">
      <w:pPr>
        <w:ind w:left="1260"/>
        <w:jc w:val="center"/>
        <w:rPr>
          <w:rFonts w:asciiTheme="minorBidi" w:hAnsiTheme="minorBidi"/>
        </w:rPr>
      </w:pPr>
      <w:r w:rsidRPr="00E06A6E">
        <w:rPr>
          <w:rFonts w:ascii="Times New Roman" w:hAnsi="Times New Roman"/>
          <w:b/>
          <w:noProof/>
          <w:sz w:val="24"/>
          <w:szCs w:val="24"/>
        </w:rPr>
        <w:drawing>
          <wp:inline distT="0" distB="0" distL="0" distR="0" wp14:anchorId="465CCBDA" wp14:editId="71054A2D">
            <wp:extent cx="5218700" cy="3230880"/>
            <wp:effectExtent l="0" t="0" r="0" b="0"/>
            <wp:docPr id="26" name="Picture 26" descr="C:\Users\IFY OBI\Desktop\PMSP\NEW\Fig 10 Raw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IFY OBI\Desktop\PMSP\NEW\Fig 10 Raw_1.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3002"/>
                    <a:stretch/>
                  </pic:blipFill>
                  <pic:spPr bwMode="auto">
                    <a:xfrm>
                      <a:off x="0" y="0"/>
                      <a:ext cx="5252419" cy="3251755"/>
                    </a:xfrm>
                    <a:prstGeom prst="rect">
                      <a:avLst/>
                    </a:prstGeom>
                    <a:noFill/>
                    <a:ln>
                      <a:noFill/>
                    </a:ln>
                    <a:extLst>
                      <a:ext uri="{53640926-AAD7-44D8-BBD7-CCE9431645EC}">
                        <a14:shadowObscured xmlns:a14="http://schemas.microsoft.com/office/drawing/2010/main"/>
                      </a:ext>
                    </a:extLst>
                  </pic:spPr>
                </pic:pic>
              </a:graphicData>
            </a:graphic>
          </wp:inline>
        </w:drawing>
      </w:r>
    </w:p>
    <w:p w14:paraId="19BAA178" w14:textId="77777777" w:rsidR="00091DC0" w:rsidRPr="00091DC0" w:rsidRDefault="00091DC0" w:rsidP="00A03B11">
      <w:pPr>
        <w:ind w:left="1260"/>
        <w:jc w:val="center"/>
        <w:rPr>
          <w:rFonts w:ascii="Arial" w:hAnsi="Arial" w:cs="Arial"/>
          <w:b/>
          <w:bCs/>
        </w:rPr>
      </w:pPr>
      <w:r w:rsidRPr="00091DC0">
        <w:rPr>
          <w:rFonts w:ascii="Arial" w:hAnsi="Arial" w:cs="Arial"/>
          <w:b/>
          <w:bCs/>
        </w:rPr>
        <w:t>Fig. 7. Effect of adsorbent dose on the oil sorption capacity of raw and modified PMSP</w:t>
      </w:r>
    </w:p>
    <w:p w14:paraId="27D12674" w14:textId="77777777" w:rsidR="00091DC0" w:rsidRPr="00091DC0" w:rsidRDefault="00091DC0" w:rsidP="00A03B11">
      <w:pPr>
        <w:spacing w:before="240"/>
        <w:ind w:left="1260"/>
        <w:jc w:val="both"/>
        <w:rPr>
          <w:rFonts w:ascii="Arial" w:hAnsi="Arial" w:cs="Arial"/>
          <w:b/>
        </w:rPr>
      </w:pPr>
      <w:r w:rsidRPr="00091DC0">
        <w:rPr>
          <w:rFonts w:ascii="Arial" w:hAnsi="Arial" w:cs="Arial"/>
        </w:rPr>
        <w:t xml:space="preserve">Increasing the adsorbent dose from 0.2 to 1.0 g resulted in reduction of the oil sorption capacity of RPMSP and MPMSP from 3.97 to 3.11 g/g and 9.54 to 6.86 g/g, respectively. This drop in oil sorption capacity could be the result of sorption sites aggregating and overlapping as sorbent dose increases, which lowers the total exposed surface area. As a consequence, there is a decrease in the amount of sorbate absorbed per unit mass of sorbent, which lowers the sorption capacity </w:t>
      </w:r>
      <w:r w:rsidR="0042670E">
        <w:rPr>
          <w:rFonts w:ascii="Arial" w:hAnsi="Arial" w:cs="Arial"/>
        </w:rPr>
        <w:t>(Nnaji et al., 2016; Basu et al., 2018)</w:t>
      </w:r>
      <w:r w:rsidRPr="00091DC0">
        <w:rPr>
          <w:rFonts w:ascii="Arial" w:hAnsi="Arial" w:cs="Arial"/>
        </w:rPr>
        <w:t xml:space="preserve">. A comparable pattern was reported by </w:t>
      </w:r>
      <w:r w:rsidR="0042670E">
        <w:rPr>
          <w:rFonts w:ascii="Arial" w:hAnsi="Arial" w:cs="Arial"/>
        </w:rPr>
        <w:t>Shittu et al. (2020)</w:t>
      </w:r>
      <w:r w:rsidRPr="00091DC0">
        <w:rPr>
          <w:rFonts w:ascii="Arial" w:hAnsi="Arial" w:cs="Arial"/>
        </w:rPr>
        <w:t>, who discovered that increasing the sorbent dosage from 1 g</w:t>
      </w:r>
      <w:hyperlink r:id="rId21" w:history="1"/>
      <w:r w:rsidRPr="00091DC0">
        <w:rPr>
          <w:rFonts w:ascii="Arial" w:hAnsi="Arial" w:cs="Arial"/>
        </w:rPr>
        <w:t xml:space="preserve"> to 5 g caused the crude oil sorption capacity of alkaline treated sponge gourd to decline from 3528.6 mg/g to 834.3 mg/g. Similarly, </w:t>
      </w:r>
      <w:r w:rsidR="0042670E">
        <w:rPr>
          <w:rFonts w:ascii="Arial" w:hAnsi="Arial" w:cs="Arial"/>
        </w:rPr>
        <w:t>Obi et al. (2023)</w:t>
      </w:r>
      <w:r w:rsidRPr="00091DC0">
        <w:rPr>
          <w:rFonts w:ascii="Arial" w:hAnsi="Arial" w:cs="Arial"/>
        </w:rPr>
        <w:t xml:space="preserve"> reported a decrease in the crude oil sorption capacity of unmodified and modified Napier grass from 5.414 to 4.276 g/g and 6.825 to 5.268 g/g, respectively, on increasing the sorbent dose from 0.2 to 1.0 g.</w:t>
      </w:r>
    </w:p>
    <w:p w14:paraId="1DBCE9EA" w14:textId="77777777" w:rsidR="00091DC0" w:rsidRPr="00FB0945" w:rsidRDefault="00091DC0" w:rsidP="00A03B11">
      <w:pPr>
        <w:ind w:left="1260"/>
        <w:jc w:val="both"/>
        <w:rPr>
          <w:rFonts w:ascii="Arial" w:hAnsi="Arial" w:cs="Arial"/>
        </w:rPr>
      </w:pPr>
    </w:p>
    <w:p w14:paraId="73666B34" w14:textId="77777777" w:rsidR="00376BBE" w:rsidRDefault="00376BBE" w:rsidP="00A03B11">
      <w:pPr>
        <w:pStyle w:val="Body"/>
        <w:spacing w:after="0"/>
        <w:ind w:left="1260"/>
        <w:rPr>
          <w:rFonts w:ascii="Arial" w:hAnsi="Arial" w:cs="Arial"/>
        </w:rPr>
      </w:pPr>
    </w:p>
    <w:p w14:paraId="3B2BA8BF" w14:textId="77777777" w:rsidR="00B01FCD" w:rsidRDefault="00000F8F" w:rsidP="00A03B11">
      <w:pPr>
        <w:pStyle w:val="ConcHead"/>
        <w:spacing w:after="0"/>
        <w:ind w:left="1260"/>
        <w:jc w:val="both"/>
        <w:rPr>
          <w:rFonts w:ascii="Arial" w:hAnsi="Arial" w:cs="Arial"/>
        </w:rPr>
      </w:pPr>
      <w:r>
        <w:rPr>
          <w:rFonts w:ascii="Arial" w:hAnsi="Arial" w:cs="Arial"/>
        </w:rPr>
        <w:t xml:space="preserve">4. </w:t>
      </w:r>
      <w:r w:rsidR="00B01FCD" w:rsidRPr="00FB3A86">
        <w:rPr>
          <w:rFonts w:ascii="Arial" w:hAnsi="Arial" w:cs="Arial"/>
        </w:rPr>
        <w:t>Conclusion</w:t>
      </w:r>
    </w:p>
    <w:p w14:paraId="14F56ECC" w14:textId="77777777" w:rsidR="00790ADA" w:rsidRPr="00091DC0" w:rsidRDefault="00790ADA" w:rsidP="00A03B11">
      <w:pPr>
        <w:pStyle w:val="ConcHead"/>
        <w:spacing w:after="0"/>
        <w:ind w:left="1260"/>
        <w:jc w:val="both"/>
        <w:rPr>
          <w:rFonts w:ascii="Arial" w:hAnsi="Arial" w:cs="Arial"/>
        </w:rPr>
      </w:pPr>
    </w:p>
    <w:p w14:paraId="26A83F8F" w14:textId="77777777" w:rsidR="00091DC0" w:rsidRPr="00091DC0" w:rsidRDefault="00091DC0" w:rsidP="00A03B11">
      <w:pPr>
        <w:ind w:left="1260"/>
        <w:jc w:val="both"/>
        <w:rPr>
          <w:rFonts w:ascii="Arial" w:hAnsi="Arial" w:cs="Arial"/>
        </w:rPr>
      </w:pPr>
      <w:proofErr w:type="spellStart"/>
      <w:r w:rsidRPr="00091DC0">
        <w:rPr>
          <w:rFonts w:ascii="Arial" w:hAnsi="Arial" w:cs="Arial"/>
          <w:i/>
        </w:rPr>
        <w:t>Pentaclethra</w:t>
      </w:r>
      <w:proofErr w:type="spellEnd"/>
      <w:r w:rsidRPr="00091DC0">
        <w:rPr>
          <w:rFonts w:ascii="Arial" w:hAnsi="Arial" w:cs="Arial"/>
          <w:i/>
        </w:rPr>
        <w:t xml:space="preserve"> macrophylla</w:t>
      </w:r>
      <w:r w:rsidRPr="00091DC0">
        <w:rPr>
          <w:rFonts w:ascii="Arial" w:hAnsi="Arial" w:cs="Arial"/>
        </w:rPr>
        <w:t xml:space="preserve"> seed pod, a readily available agricultural waste, was discovered in this study to be an effective sorbent for removing crude oil from an aqueous solution. The sorption capacity of the pod increased significantly after modification by acetylation. Oil sorption on both the raw and modified pods were affected by changes in the initial oil concentration, contact time, and sorbent dosage. Adsorption on the raw pod was best described by the Freundlich isotherm, whereas for the modified pod, the Langmuir isotherm gave the best fit. Kinetic analysis revealed that the pseudo first order kinetic model best represented adsorption on the raw pod, while the pseudo second order model best suited adsorption on the modified pod. The sorption on both the raw and modified pods was partly controlled by intra-particle diffusion mechanism. Due to its high oil sorption capacity, availability, and biodegradability, modified PMSP can serve as a substitute sorbent for oil spill clean-up. </w:t>
      </w:r>
    </w:p>
    <w:p w14:paraId="1F9B1450" w14:textId="77777777" w:rsidR="00790ADA" w:rsidRPr="00FB3A86" w:rsidRDefault="00790ADA" w:rsidP="00A03B11">
      <w:pPr>
        <w:pStyle w:val="Body"/>
        <w:spacing w:after="0"/>
        <w:ind w:left="1260"/>
        <w:rPr>
          <w:rFonts w:ascii="Arial" w:hAnsi="Arial" w:cs="Arial"/>
        </w:rPr>
      </w:pPr>
    </w:p>
    <w:p w14:paraId="1B66FFDB" w14:textId="77777777" w:rsidR="00315186" w:rsidRPr="00315186" w:rsidRDefault="00315186" w:rsidP="00A03B11">
      <w:pPr>
        <w:ind w:left="1260"/>
      </w:pPr>
    </w:p>
    <w:p w14:paraId="59723046" w14:textId="77777777" w:rsidR="00860000" w:rsidRPr="00786D36" w:rsidRDefault="00860000" w:rsidP="00A03B11">
      <w:pPr>
        <w:pStyle w:val="ReferHead"/>
        <w:spacing w:after="0"/>
        <w:ind w:left="1260"/>
        <w:jc w:val="both"/>
        <w:rPr>
          <w:rFonts w:ascii="Arial" w:hAnsi="Arial" w:cs="Arial"/>
          <w:bCs/>
        </w:rPr>
      </w:pPr>
      <w:r w:rsidRPr="00786D36">
        <w:rPr>
          <w:rFonts w:ascii="Arial" w:hAnsi="Arial" w:cs="Arial"/>
          <w:bCs/>
        </w:rPr>
        <w:t>Competing interests</w:t>
      </w:r>
    </w:p>
    <w:p w14:paraId="0CB2E4B8" w14:textId="77777777" w:rsidR="00860000" w:rsidRPr="00786D36" w:rsidRDefault="00860000" w:rsidP="00A03B11">
      <w:pPr>
        <w:pStyle w:val="ReferHead"/>
        <w:spacing w:after="0"/>
        <w:ind w:left="1260"/>
        <w:jc w:val="both"/>
        <w:rPr>
          <w:rFonts w:ascii="Arial" w:hAnsi="Arial" w:cs="Arial"/>
        </w:rPr>
      </w:pPr>
    </w:p>
    <w:p w14:paraId="45FD20EA" w14:textId="77777777" w:rsidR="00860000" w:rsidRPr="00946FFF" w:rsidRDefault="00E66E10" w:rsidP="00A03B11">
      <w:pPr>
        <w:pStyle w:val="ReferHead"/>
        <w:spacing w:after="0"/>
        <w:ind w:left="1260"/>
        <w:jc w:val="both"/>
        <w:rPr>
          <w:rFonts w:ascii="Arial" w:hAnsi="Arial" w:cs="Arial"/>
          <w:b w:val="0"/>
          <w:caps w:val="0"/>
          <w:sz w:val="20"/>
        </w:rPr>
      </w:pPr>
      <w:r w:rsidRPr="00946FFF">
        <w:rPr>
          <w:rFonts w:ascii="Arial" w:hAnsi="Arial" w:cs="Arial"/>
          <w:b w:val="0"/>
          <w:caps w:val="0"/>
          <w:sz w:val="20"/>
        </w:rPr>
        <w:t>Authors have declared tha</w:t>
      </w:r>
      <w:r w:rsidR="00946FFF" w:rsidRPr="00946FFF">
        <w:rPr>
          <w:rFonts w:ascii="Arial" w:hAnsi="Arial" w:cs="Arial"/>
          <w:b w:val="0"/>
          <w:caps w:val="0"/>
          <w:sz w:val="20"/>
        </w:rPr>
        <w:t>t no competing interests exist.</w:t>
      </w:r>
    </w:p>
    <w:p w14:paraId="1AE48215" w14:textId="77777777" w:rsidR="00371FB6" w:rsidRDefault="00371FB6" w:rsidP="00A03B11">
      <w:pPr>
        <w:pStyle w:val="ReferHead"/>
        <w:spacing w:after="0"/>
        <w:ind w:left="1260"/>
        <w:jc w:val="both"/>
        <w:rPr>
          <w:rFonts w:ascii="Arial" w:hAnsi="Arial" w:cs="Arial"/>
          <w:b w:val="0"/>
          <w:caps w:val="0"/>
          <w:sz w:val="20"/>
        </w:rPr>
      </w:pPr>
    </w:p>
    <w:p w14:paraId="20E48AB0" w14:textId="77777777" w:rsidR="002B685A" w:rsidRDefault="002B685A" w:rsidP="00895B35">
      <w:pPr>
        <w:pStyle w:val="ReferHead"/>
        <w:spacing w:after="0"/>
        <w:jc w:val="both"/>
        <w:rPr>
          <w:rFonts w:ascii="Arial" w:hAnsi="Arial" w:cs="Arial"/>
          <w:b w:val="0"/>
          <w:caps w:val="0"/>
          <w:sz w:val="20"/>
        </w:rPr>
      </w:pPr>
    </w:p>
    <w:p w14:paraId="7AA947D8" w14:textId="77777777" w:rsidR="00B01FCD" w:rsidRDefault="00B01FCD" w:rsidP="00A03B11">
      <w:pPr>
        <w:pStyle w:val="ReferHead"/>
        <w:spacing w:after="0"/>
        <w:ind w:left="1260"/>
        <w:jc w:val="both"/>
        <w:rPr>
          <w:rFonts w:ascii="Arial" w:hAnsi="Arial" w:cs="Arial"/>
        </w:rPr>
      </w:pPr>
      <w:r w:rsidRPr="00FB3A86">
        <w:rPr>
          <w:rFonts w:ascii="Arial" w:hAnsi="Arial" w:cs="Arial"/>
        </w:rPr>
        <w:t>References</w:t>
      </w:r>
    </w:p>
    <w:p w14:paraId="4B36155D" w14:textId="77777777" w:rsidR="00790ADA" w:rsidRPr="00FB3A86" w:rsidRDefault="00790ADA" w:rsidP="00A03B11">
      <w:pPr>
        <w:pStyle w:val="ReferHead"/>
        <w:spacing w:after="0"/>
        <w:ind w:left="1260"/>
        <w:jc w:val="both"/>
        <w:rPr>
          <w:rFonts w:ascii="Arial" w:hAnsi="Arial" w:cs="Arial"/>
        </w:rPr>
      </w:pPr>
    </w:p>
    <w:p w14:paraId="74DE8033" w14:textId="77777777" w:rsidR="000E6757" w:rsidRDefault="00DF4DA0" w:rsidP="000E6757">
      <w:pPr>
        <w:ind w:left="1890" w:hanging="630"/>
        <w:jc w:val="both"/>
        <w:rPr>
          <w:rFonts w:ascii="Arial" w:hAnsi="Arial" w:cs="Arial"/>
        </w:rPr>
      </w:pPr>
      <w:r w:rsidRPr="004940B5">
        <w:rPr>
          <w:rFonts w:ascii="Arial" w:hAnsi="Arial" w:cs="Arial"/>
        </w:rPr>
        <w:t xml:space="preserve">Abdullah, M. A., Afzaal, M., Ismail, Z., Ahmad, A., Nazir, M. S. &amp; Bhat, A. H. (2015). Comparative study on structural modification of </w:t>
      </w:r>
      <w:r w:rsidRPr="004940B5">
        <w:rPr>
          <w:rFonts w:ascii="Arial" w:hAnsi="Arial" w:cs="Arial"/>
          <w:i/>
        </w:rPr>
        <w:t>Ceiba pentandra</w:t>
      </w:r>
      <w:r w:rsidRPr="004940B5">
        <w:rPr>
          <w:rFonts w:ascii="Arial" w:hAnsi="Arial" w:cs="Arial"/>
        </w:rPr>
        <w:t xml:space="preserve"> for oil sorption and palm oil mill effluent </w:t>
      </w:r>
      <w:r w:rsidR="00AA7D1F">
        <w:rPr>
          <w:rFonts w:ascii="Arial" w:hAnsi="Arial" w:cs="Arial"/>
        </w:rPr>
        <w:t>treatment. Desalination and Water Treatment</w:t>
      </w:r>
      <w:r w:rsidRPr="004940B5">
        <w:rPr>
          <w:rFonts w:ascii="Arial" w:hAnsi="Arial" w:cs="Arial"/>
        </w:rPr>
        <w:t>, 54(11), 3044–3053.</w:t>
      </w:r>
      <w:r w:rsidR="00AA7D1F">
        <w:rPr>
          <w:rFonts w:ascii="Arial" w:hAnsi="Arial" w:cs="Arial"/>
        </w:rPr>
        <w:t xml:space="preserve"> </w:t>
      </w:r>
      <w:hyperlink r:id="rId22" w:history="1">
        <w:r w:rsidR="000E6757" w:rsidRPr="006450DB">
          <w:rPr>
            <w:rStyle w:val="Hyperlink"/>
            <w:rFonts w:ascii="Arial" w:hAnsi="Arial" w:cs="Arial"/>
          </w:rPr>
          <w:t>https://doi.org/10.1080/19443994.2014.906326</w:t>
        </w:r>
      </w:hyperlink>
    </w:p>
    <w:p w14:paraId="16E9288E" w14:textId="77777777" w:rsidR="00DF4DA0" w:rsidRPr="004940B5" w:rsidRDefault="00DF4DA0" w:rsidP="00AA7D1F">
      <w:pPr>
        <w:ind w:left="1890" w:hanging="630"/>
        <w:jc w:val="both"/>
        <w:rPr>
          <w:rFonts w:ascii="Arial" w:hAnsi="Arial" w:cs="Arial"/>
        </w:rPr>
      </w:pPr>
      <w:r w:rsidRPr="004940B5">
        <w:rPr>
          <w:rFonts w:ascii="Arial" w:hAnsi="Arial" w:cs="Arial"/>
        </w:rPr>
        <w:t xml:space="preserve">Amrutha, A., </w:t>
      </w:r>
      <w:proofErr w:type="spellStart"/>
      <w:r w:rsidRPr="004940B5">
        <w:rPr>
          <w:rFonts w:ascii="Arial" w:hAnsi="Arial" w:cs="Arial"/>
        </w:rPr>
        <w:t>Jeppu</w:t>
      </w:r>
      <w:proofErr w:type="spellEnd"/>
      <w:r w:rsidRPr="004940B5">
        <w:rPr>
          <w:rFonts w:ascii="Arial" w:hAnsi="Arial" w:cs="Arial"/>
        </w:rPr>
        <w:t>, G., Girish, C. R., Prabhu, B., &amp; Mayer K. (2023). Mayer, Multi-component adsorption isotherms: review and mod</w:t>
      </w:r>
      <w:r w:rsidR="00AA7D1F">
        <w:rPr>
          <w:rFonts w:ascii="Arial" w:hAnsi="Arial" w:cs="Arial"/>
        </w:rPr>
        <w:t>eling studies. Environmental Processes</w:t>
      </w:r>
      <w:r w:rsidRPr="004940B5">
        <w:rPr>
          <w:rFonts w:ascii="Arial" w:hAnsi="Arial" w:cs="Arial"/>
        </w:rPr>
        <w:t>, 10(38), 1–52.</w:t>
      </w:r>
      <w:r w:rsidR="00AA7D1F">
        <w:rPr>
          <w:rFonts w:ascii="Arial" w:hAnsi="Arial" w:cs="Arial"/>
        </w:rPr>
        <w:t xml:space="preserve"> </w:t>
      </w:r>
      <w:hyperlink r:id="rId23" w:history="1">
        <w:r w:rsidR="000E6757" w:rsidRPr="000E6757">
          <w:t xml:space="preserve"> </w:t>
        </w:r>
        <w:r w:rsidR="000E6757" w:rsidRPr="000E6757">
          <w:rPr>
            <w:rStyle w:val="Hyperlink"/>
            <w:rFonts w:ascii="Arial" w:hAnsi="Arial" w:cs="Arial"/>
          </w:rPr>
          <w:t>https://doi.org/</w:t>
        </w:r>
        <w:r w:rsidR="00AA7D1F" w:rsidRPr="00F95779">
          <w:rPr>
            <w:rStyle w:val="Hyperlink"/>
            <w:rFonts w:ascii="Arial" w:hAnsi="Arial" w:cs="Arial"/>
          </w:rPr>
          <w:t>10.1007/s40710-023-00631-0</w:t>
        </w:r>
      </w:hyperlink>
      <w:r w:rsidR="00AA7D1F" w:rsidRPr="00F95779">
        <w:rPr>
          <w:rFonts w:ascii="Arial" w:hAnsi="Arial" w:cs="Arial"/>
        </w:rPr>
        <w:t>.</w:t>
      </w:r>
    </w:p>
    <w:p w14:paraId="09C5852A" w14:textId="77777777" w:rsidR="00DF4DA0" w:rsidRPr="004940B5" w:rsidRDefault="00DF4DA0" w:rsidP="00DF4DA0">
      <w:pPr>
        <w:ind w:left="1890" w:hanging="630"/>
        <w:jc w:val="both"/>
        <w:rPr>
          <w:rFonts w:ascii="Arial" w:hAnsi="Arial" w:cs="Arial"/>
        </w:rPr>
      </w:pPr>
      <w:r w:rsidRPr="004940B5">
        <w:rPr>
          <w:rFonts w:ascii="Arial" w:hAnsi="Arial" w:cs="Arial"/>
        </w:rPr>
        <w:t xml:space="preserve">Arinze-Nwosu, U. L., </w:t>
      </w:r>
      <w:proofErr w:type="spellStart"/>
      <w:r w:rsidRPr="004940B5">
        <w:rPr>
          <w:rFonts w:ascii="Arial" w:hAnsi="Arial" w:cs="Arial"/>
        </w:rPr>
        <w:t>Ajiwe</w:t>
      </w:r>
      <w:proofErr w:type="spellEnd"/>
      <w:r w:rsidRPr="004940B5">
        <w:rPr>
          <w:rFonts w:ascii="Arial" w:hAnsi="Arial" w:cs="Arial"/>
        </w:rPr>
        <w:t xml:space="preserve">, V. I. E., Okoye, P. A. C., &amp; </w:t>
      </w:r>
      <w:proofErr w:type="spellStart"/>
      <w:r w:rsidRPr="004940B5">
        <w:rPr>
          <w:rFonts w:ascii="Arial" w:hAnsi="Arial" w:cs="Arial"/>
        </w:rPr>
        <w:t>Nwadiogbu</w:t>
      </w:r>
      <w:proofErr w:type="spellEnd"/>
      <w:r w:rsidRPr="004940B5">
        <w:rPr>
          <w:rFonts w:ascii="Arial" w:hAnsi="Arial" w:cs="Arial"/>
        </w:rPr>
        <w:t xml:space="preserve">, J. O. (2019). Kinetics and equilibrium of crude oil sorption from aqueous solution using </w:t>
      </w:r>
      <w:proofErr w:type="spellStart"/>
      <w:r w:rsidRPr="004940B5">
        <w:rPr>
          <w:rFonts w:ascii="Arial" w:hAnsi="Arial" w:cs="Arial"/>
          <w:i/>
        </w:rPr>
        <w:t>Borassus</w:t>
      </w:r>
      <w:proofErr w:type="spellEnd"/>
      <w:r w:rsidRPr="004940B5">
        <w:rPr>
          <w:rFonts w:ascii="Arial" w:hAnsi="Arial" w:cs="Arial"/>
          <w:i/>
        </w:rPr>
        <w:t xml:space="preserve"> </w:t>
      </w:r>
      <w:proofErr w:type="spellStart"/>
      <w:r w:rsidRPr="004940B5">
        <w:rPr>
          <w:rFonts w:ascii="Arial" w:hAnsi="Arial" w:cs="Arial"/>
          <w:i/>
        </w:rPr>
        <w:t>aeothopum</w:t>
      </w:r>
      <w:proofErr w:type="spellEnd"/>
      <w:r w:rsidRPr="004940B5">
        <w:rPr>
          <w:rFonts w:ascii="Arial" w:hAnsi="Arial" w:cs="Arial"/>
          <w:i/>
        </w:rPr>
        <w:t xml:space="preserve"> </w:t>
      </w:r>
      <w:r w:rsidR="00AA7D1F">
        <w:rPr>
          <w:rFonts w:ascii="Arial" w:hAnsi="Arial" w:cs="Arial"/>
        </w:rPr>
        <w:t>coir. Chemistry and Materials Research Journal</w:t>
      </w:r>
      <w:r w:rsidRPr="004940B5">
        <w:rPr>
          <w:rFonts w:ascii="Arial" w:hAnsi="Arial" w:cs="Arial"/>
        </w:rPr>
        <w:t>, 11(2), 12–19.</w:t>
      </w:r>
      <w:r w:rsidR="00AA7D1F">
        <w:rPr>
          <w:rFonts w:ascii="Arial" w:hAnsi="Arial" w:cs="Arial"/>
        </w:rPr>
        <w:t xml:space="preserve"> </w:t>
      </w:r>
      <w:hyperlink r:id="rId24" w:history="1">
        <w:r w:rsidR="000E6757" w:rsidRPr="000E6757">
          <w:t xml:space="preserve"> </w:t>
        </w:r>
        <w:r w:rsidR="000E6757" w:rsidRPr="000E6757">
          <w:rPr>
            <w:rStyle w:val="Hyperlink"/>
            <w:rFonts w:ascii="Arial" w:hAnsi="Arial" w:cs="Arial"/>
          </w:rPr>
          <w:t>https://doi.org/</w:t>
        </w:r>
        <w:r w:rsidR="00AA7D1F" w:rsidRPr="00F95779">
          <w:rPr>
            <w:rStyle w:val="Hyperlink"/>
            <w:rFonts w:ascii="Arial" w:hAnsi="Arial" w:cs="Arial"/>
          </w:rPr>
          <w:t>10.7176/CMR</w:t>
        </w:r>
      </w:hyperlink>
      <w:r w:rsidR="00AA7D1F" w:rsidRPr="00F95779">
        <w:rPr>
          <w:rFonts w:ascii="Arial" w:hAnsi="Arial" w:cs="Arial"/>
        </w:rPr>
        <w:t>.</w:t>
      </w:r>
    </w:p>
    <w:p w14:paraId="79924ADC" w14:textId="77777777" w:rsidR="00AA7D1F" w:rsidRDefault="00DF4DA0" w:rsidP="00DF4DA0">
      <w:pPr>
        <w:ind w:left="1890" w:hanging="630"/>
        <w:jc w:val="both"/>
        <w:rPr>
          <w:rFonts w:ascii="Arial" w:hAnsi="Arial" w:cs="Arial"/>
        </w:rPr>
      </w:pPr>
      <w:r w:rsidRPr="004940B5">
        <w:rPr>
          <w:rFonts w:ascii="Arial" w:hAnsi="Arial" w:cs="Arial"/>
        </w:rPr>
        <w:t xml:space="preserve">Asadpour, R., </w:t>
      </w:r>
      <w:proofErr w:type="spellStart"/>
      <w:r w:rsidRPr="004940B5">
        <w:rPr>
          <w:rFonts w:ascii="Arial" w:hAnsi="Arial" w:cs="Arial"/>
        </w:rPr>
        <w:t>Sapari</w:t>
      </w:r>
      <w:proofErr w:type="spellEnd"/>
      <w:r w:rsidRPr="004940B5">
        <w:rPr>
          <w:rFonts w:ascii="Arial" w:hAnsi="Arial" w:cs="Arial"/>
        </w:rPr>
        <w:t xml:space="preserve">, N. B., Isa, M. H., </w:t>
      </w:r>
      <w:proofErr w:type="spellStart"/>
      <w:r w:rsidRPr="004940B5">
        <w:rPr>
          <w:rFonts w:ascii="Arial" w:hAnsi="Arial" w:cs="Arial"/>
        </w:rPr>
        <w:t>Kakooei</w:t>
      </w:r>
      <w:proofErr w:type="spellEnd"/>
      <w:r w:rsidRPr="004940B5">
        <w:rPr>
          <w:rFonts w:ascii="Arial" w:hAnsi="Arial" w:cs="Arial"/>
        </w:rPr>
        <w:t xml:space="preserve">, S., &amp; Orji, K. U. (2015). Acetylation of corn silk and its application for oil sorption. Fibers </w:t>
      </w:r>
      <w:r w:rsidR="00A91213">
        <w:rPr>
          <w:rFonts w:ascii="Arial" w:hAnsi="Arial" w:cs="Arial"/>
        </w:rPr>
        <w:t xml:space="preserve">and </w:t>
      </w:r>
      <w:r w:rsidRPr="004940B5">
        <w:rPr>
          <w:rFonts w:ascii="Arial" w:hAnsi="Arial" w:cs="Arial"/>
        </w:rPr>
        <w:t>Polym</w:t>
      </w:r>
      <w:r w:rsidR="00A91213">
        <w:rPr>
          <w:rFonts w:ascii="Arial" w:hAnsi="Arial" w:cs="Arial"/>
        </w:rPr>
        <w:t>ers</w:t>
      </w:r>
      <w:r w:rsidRPr="004940B5">
        <w:rPr>
          <w:rFonts w:ascii="Arial" w:hAnsi="Arial" w:cs="Arial"/>
        </w:rPr>
        <w:t>, 16(9), 1830–1835.</w:t>
      </w:r>
      <w:r w:rsidR="00AA7D1F" w:rsidRPr="00AA7D1F">
        <w:rPr>
          <w:rFonts w:ascii="Arial" w:hAnsi="Arial" w:cs="Arial"/>
        </w:rPr>
        <w:t xml:space="preserve"> </w:t>
      </w:r>
      <w:hyperlink r:id="rId25" w:history="1">
        <w:r w:rsidR="000E6757" w:rsidRPr="000E6757">
          <w:t xml:space="preserve"> </w:t>
        </w:r>
        <w:r w:rsidR="000E6757" w:rsidRPr="000E6757">
          <w:rPr>
            <w:rStyle w:val="Hyperlink"/>
            <w:rFonts w:ascii="Arial" w:hAnsi="Arial" w:cs="Arial"/>
          </w:rPr>
          <w:t>https://doi.org/</w:t>
        </w:r>
        <w:r w:rsidR="00AA7D1F" w:rsidRPr="00F95779">
          <w:rPr>
            <w:rStyle w:val="Hyperlink"/>
            <w:rFonts w:ascii="Arial" w:hAnsi="Arial" w:cs="Arial"/>
          </w:rPr>
          <w:t>10.1007/s12221-015-4745-8</w:t>
        </w:r>
      </w:hyperlink>
      <w:r w:rsidR="00AA7D1F" w:rsidRPr="00F95779">
        <w:rPr>
          <w:rFonts w:ascii="Arial" w:hAnsi="Arial" w:cs="Arial"/>
        </w:rPr>
        <w:t>.</w:t>
      </w:r>
    </w:p>
    <w:p w14:paraId="7C4ED95F" w14:textId="77777777" w:rsidR="00DF4DA0" w:rsidRPr="004940B5" w:rsidRDefault="00DF4DA0" w:rsidP="00DF4DA0">
      <w:pPr>
        <w:ind w:left="1890" w:hanging="630"/>
        <w:jc w:val="both"/>
        <w:rPr>
          <w:rFonts w:ascii="Arial" w:hAnsi="Arial" w:cs="Arial"/>
        </w:rPr>
      </w:pPr>
      <w:r w:rsidRPr="004940B5">
        <w:rPr>
          <w:rFonts w:ascii="Arial" w:hAnsi="Arial" w:cs="Arial"/>
        </w:rPr>
        <w:t xml:space="preserve">Barros, F. C. D. F., Vasconcellos, L. C. G., Carvalho, T. V., &amp; Nascimento, R. F. D. (2014). Removal of petroleum spill in water by chitin and chitosan. Orbital: </w:t>
      </w:r>
      <w:r w:rsidR="00A91213">
        <w:rPr>
          <w:rFonts w:ascii="Arial" w:hAnsi="Arial" w:cs="Arial"/>
        </w:rPr>
        <w:t xml:space="preserve">The </w:t>
      </w:r>
      <w:r w:rsidRPr="004940B5">
        <w:rPr>
          <w:rFonts w:ascii="Arial" w:hAnsi="Arial" w:cs="Arial"/>
        </w:rPr>
        <w:t>Elec</w:t>
      </w:r>
      <w:r w:rsidR="00A91213">
        <w:rPr>
          <w:rFonts w:ascii="Arial" w:hAnsi="Arial" w:cs="Arial"/>
        </w:rPr>
        <w:t>tronic Journal of Chemistry</w:t>
      </w:r>
      <w:r w:rsidRPr="004940B5">
        <w:rPr>
          <w:rFonts w:ascii="Arial" w:hAnsi="Arial" w:cs="Arial"/>
        </w:rPr>
        <w:t>, 6(70), 70–74.</w:t>
      </w:r>
      <w:r w:rsidR="00AA7D1F">
        <w:rPr>
          <w:rFonts w:ascii="Arial" w:hAnsi="Arial" w:cs="Arial"/>
        </w:rPr>
        <w:t xml:space="preserve"> </w:t>
      </w:r>
      <w:hyperlink r:id="rId26" w:history="1">
        <w:r w:rsidR="000E6757" w:rsidRPr="000E6757">
          <w:t xml:space="preserve"> </w:t>
        </w:r>
        <w:r w:rsidR="000E6757" w:rsidRPr="000E6757">
          <w:rPr>
            <w:rStyle w:val="Hyperlink"/>
            <w:rFonts w:ascii="Arial" w:hAnsi="Arial" w:cs="Arial"/>
          </w:rPr>
          <w:t>https://doi.org/</w:t>
        </w:r>
        <w:r w:rsidR="00AA7D1F" w:rsidRPr="00F95779">
          <w:rPr>
            <w:rStyle w:val="Hyperlink"/>
            <w:rFonts w:ascii="Arial" w:hAnsi="Arial" w:cs="Arial"/>
          </w:rPr>
          <w:t>10.17807/orbital.v6i1.509</w:t>
        </w:r>
      </w:hyperlink>
      <w:r w:rsidR="00AA7D1F" w:rsidRPr="00F95779">
        <w:rPr>
          <w:rFonts w:ascii="Arial" w:hAnsi="Arial" w:cs="Arial"/>
        </w:rPr>
        <w:t>.</w:t>
      </w:r>
    </w:p>
    <w:p w14:paraId="77F610A9" w14:textId="77777777" w:rsidR="00DF4DA0" w:rsidRPr="004940B5" w:rsidRDefault="00DF4DA0" w:rsidP="00DF4DA0">
      <w:pPr>
        <w:ind w:left="1890" w:hanging="630"/>
        <w:jc w:val="both"/>
        <w:rPr>
          <w:rFonts w:ascii="Arial" w:hAnsi="Arial" w:cs="Arial"/>
        </w:rPr>
      </w:pPr>
      <w:r w:rsidRPr="004940B5">
        <w:rPr>
          <w:rFonts w:ascii="Arial" w:hAnsi="Arial" w:cs="Arial"/>
        </w:rPr>
        <w:t>Basu, S., Ghosh, G., &amp; Saha, S. (2018). Adsorption characteristics of phosphoric acid induced activation of bio-carbon: equilibrium, kinetics, thermodynamics and bat</w:t>
      </w:r>
      <w:r w:rsidR="00A91213">
        <w:rPr>
          <w:rFonts w:ascii="Arial" w:hAnsi="Arial" w:cs="Arial"/>
        </w:rPr>
        <w:t>ch absorber design. Process Safety and Environmental Protection</w:t>
      </w:r>
      <w:r w:rsidRPr="004940B5">
        <w:rPr>
          <w:rFonts w:ascii="Arial" w:hAnsi="Arial" w:cs="Arial"/>
        </w:rPr>
        <w:t>, 117, 125–142.</w:t>
      </w:r>
      <w:r w:rsidR="00AA7D1F">
        <w:rPr>
          <w:rFonts w:ascii="Arial" w:hAnsi="Arial" w:cs="Arial"/>
        </w:rPr>
        <w:t xml:space="preserve"> </w:t>
      </w:r>
      <w:hyperlink r:id="rId27" w:history="1">
        <w:r w:rsidR="000E6757" w:rsidRPr="000E6757">
          <w:t xml:space="preserve"> </w:t>
        </w:r>
        <w:r w:rsidR="000E6757" w:rsidRPr="000E6757">
          <w:rPr>
            <w:rStyle w:val="Hyperlink"/>
            <w:rFonts w:ascii="Arial" w:hAnsi="Arial" w:cs="Arial"/>
          </w:rPr>
          <w:t>https://doi.org/</w:t>
        </w:r>
        <w:r w:rsidR="00AA7D1F" w:rsidRPr="00F95779">
          <w:rPr>
            <w:rStyle w:val="Hyperlink"/>
            <w:rFonts w:ascii="Arial" w:hAnsi="Arial" w:cs="Arial"/>
          </w:rPr>
          <w:t>10.1016/j.psep.2018.04.015</w:t>
        </w:r>
      </w:hyperlink>
      <w:r w:rsidR="00AA7D1F" w:rsidRPr="00F95779">
        <w:rPr>
          <w:rFonts w:ascii="Arial" w:hAnsi="Arial" w:cs="Arial"/>
        </w:rPr>
        <w:t>.</w:t>
      </w:r>
    </w:p>
    <w:p w14:paraId="35EA2D0A" w14:textId="77777777" w:rsidR="00DF4DA0" w:rsidRPr="004940B5" w:rsidRDefault="00DF4DA0" w:rsidP="00DF4DA0">
      <w:pPr>
        <w:ind w:left="1890" w:hanging="630"/>
        <w:jc w:val="both"/>
        <w:rPr>
          <w:rFonts w:ascii="Arial" w:hAnsi="Arial" w:cs="Arial"/>
        </w:rPr>
      </w:pPr>
      <w:r w:rsidRPr="004940B5">
        <w:rPr>
          <w:rFonts w:ascii="Arial" w:hAnsi="Arial" w:cs="Arial"/>
        </w:rPr>
        <w:t xml:space="preserve">Chimi, T., </w:t>
      </w:r>
      <w:proofErr w:type="spellStart"/>
      <w:r w:rsidRPr="004940B5">
        <w:rPr>
          <w:rFonts w:ascii="Arial" w:hAnsi="Arial" w:cs="Arial"/>
        </w:rPr>
        <w:t>Lincold</w:t>
      </w:r>
      <w:proofErr w:type="spellEnd"/>
      <w:r w:rsidRPr="004940B5">
        <w:rPr>
          <w:rFonts w:ascii="Arial" w:hAnsi="Arial" w:cs="Arial"/>
        </w:rPr>
        <w:t xml:space="preserve">, N. M., Shikuku, V., Meva, F. E., Hanna, B. U., Jacques, M. B., </w:t>
      </w:r>
      <w:r w:rsidR="006B31B2">
        <w:rPr>
          <w:rFonts w:ascii="Arial" w:hAnsi="Arial" w:cs="Arial"/>
        </w:rPr>
        <w:t xml:space="preserve">et al. </w:t>
      </w:r>
      <w:r w:rsidRPr="004940B5">
        <w:rPr>
          <w:rFonts w:ascii="Arial" w:hAnsi="Arial" w:cs="Arial"/>
        </w:rPr>
        <w:t>(2023). Preparation, characterization and application of H</w:t>
      </w:r>
      <w:r w:rsidRPr="004940B5">
        <w:rPr>
          <w:rFonts w:ascii="Arial" w:hAnsi="Arial" w:cs="Arial"/>
          <w:vertAlign w:val="subscript"/>
        </w:rPr>
        <w:t>3</w:t>
      </w:r>
      <w:r w:rsidRPr="004940B5">
        <w:rPr>
          <w:rFonts w:ascii="Arial" w:hAnsi="Arial" w:cs="Arial"/>
        </w:rPr>
        <w:t>PO</w:t>
      </w:r>
      <w:r w:rsidRPr="004940B5">
        <w:rPr>
          <w:rFonts w:ascii="Arial" w:hAnsi="Arial" w:cs="Arial"/>
          <w:vertAlign w:val="subscript"/>
        </w:rPr>
        <w:t>4</w:t>
      </w:r>
      <w:r w:rsidRPr="004940B5">
        <w:rPr>
          <w:rFonts w:ascii="Arial" w:hAnsi="Arial" w:cs="Arial"/>
        </w:rPr>
        <w:t xml:space="preserve">-activated carbon from </w:t>
      </w:r>
      <w:proofErr w:type="spellStart"/>
      <w:r w:rsidRPr="004940B5">
        <w:rPr>
          <w:rFonts w:ascii="Arial" w:hAnsi="Arial" w:cs="Arial"/>
          <w:i/>
        </w:rPr>
        <w:t>Pentaclethra</w:t>
      </w:r>
      <w:proofErr w:type="spellEnd"/>
      <w:r w:rsidRPr="004940B5">
        <w:rPr>
          <w:rFonts w:ascii="Arial" w:hAnsi="Arial" w:cs="Arial"/>
          <w:i/>
        </w:rPr>
        <w:t xml:space="preserve"> macrophylla</w:t>
      </w:r>
      <w:r w:rsidRPr="004940B5">
        <w:rPr>
          <w:rFonts w:ascii="Arial" w:hAnsi="Arial" w:cs="Arial"/>
        </w:rPr>
        <w:t xml:space="preserve"> pods for the removal of </w:t>
      </w:r>
      <w:proofErr w:type="gramStart"/>
      <w:r w:rsidRPr="004940B5">
        <w:rPr>
          <w:rFonts w:ascii="Arial" w:hAnsi="Arial" w:cs="Arial"/>
        </w:rPr>
        <w:t>Cr(</w:t>
      </w:r>
      <w:proofErr w:type="gramEnd"/>
      <w:r w:rsidRPr="004940B5">
        <w:rPr>
          <w:rFonts w:ascii="Arial" w:hAnsi="Arial" w:cs="Arial"/>
        </w:rPr>
        <w:t>VI) in aqueous medium. J</w:t>
      </w:r>
      <w:r w:rsidR="00A91213">
        <w:rPr>
          <w:rFonts w:ascii="Arial" w:hAnsi="Arial" w:cs="Arial"/>
        </w:rPr>
        <w:t>ournal of the Iranian Chemical Society</w:t>
      </w:r>
      <w:r w:rsidRPr="004940B5">
        <w:rPr>
          <w:rFonts w:ascii="Arial" w:hAnsi="Arial" w:cs="Arial"/>
        </w:rPr>
        <w:t>, 20, 399–413</w:t>
      </w:r>
      <w:r w:rsidR="00A91213">
        <w:rPr>
          <w:rFonts w:ascii="Arial" w:hAnsi="Arial" w:cs="Arial"/>
        </w:rPr>
        <w:t xml:space="preserve">. </w:t>
      </w:r>
      <w:hyperlink r:id="rId28" w:history="1">
        <w:r w:rsidR="000E6757" w:rsidRPr="000E6757">
          <w:t xml:space="preserve"> </w:t>
        </w:r>
        <w:r w:rsidR="000E6757" w:rsidRPr="000E6757">
          <w:rPr>
            <w:rStyle w:val="Hyperlink"/>
            <w:rFonts w:ascii="Arial" w:hAnsi="Arial" w:cs="Arial"/>
          </w:rPr>
          <w:t>https://doi.org/</w:t>
        </w:r>
        <w:r w:rsidR="00A91213" w:rsidRPr="00F95779">
          <w:rPr>
            <w:rStyle w:val="Hyperlink"/>
            <w:rFonts w:ascii="Arial" w:hAnsi="Arial" w:cs="Arial"/>
          </w:rPr>
          <w:t>10.1007/s13738-022-02675-9</w:t>
        </w:r>
      </w:hyperlink>
      <w:r w:rsidR="00A91213" w:rsidRPr="00F95779">
        <w:rPr>
          <w:rFonts w:ascii="Arial" w:hAnsi="Arial" w:cs="Arial"/>
        </w:rPr>
        <w:t>.</w:t>
      </w:r>
    </w:p>
    <w:p w14:paraId="73CEA608" w14:textId="77777777" w:rsidR="00DF4DA0" w:rsidRDefault="00DF4DA0" w:rsidP="006F6D15">
      <w:pPr>
        <w:ind w:left="1980" w:hanging="720"/>
        <w:jc w:val="both"/>
        <w:rPr>
          <w:rFonts w:ascii="Arial" w:hAnsi="Arial" w:cs="Arial"/>
        </w:rPr>
      </w:pPr>
      <w:r w:rsidRPr="004940B5">
        <w:rPr>
          <w:rFonts w:ascii="Arial" w:hAnsi="Arial" w:cs="Arial"/>
        </w:rPr>
        <w:t>El-</w:t>
      </w:r>
      <w:proofErr w:type="spellStart"/>
      <w:r w:rsidRPr="004940B5">
        <w:rPr>
          <w:rFonts w:ascii="Arial" w:hAnsi="Arial" w:cs="Arial"/>
        </w:rPr>
        <w:t>Gheriany</w:t>
      </w:r>
      <w:proofErr w:type="spellEnd"/>
      <w:r w:rsidR="006F6D15">
        <w:rPr>
          <w:rFonts w:ascii="Arial" w:hAnsi="Arial" w:cs="Arial"/>
        </w:rPr>
        <w:t xml:space="preserve">, I. A., </w:t>
      </w:r>
      <w:r w:rsidR="004C538D">
        <w:rPr>
          <w:rFonts w:ascii="Arial" w:hAnsi="Arial" w:cs="Arial"/>
        </w:rPr>
        <w:t xml:space="preserve">Ahmad, E. F., </w:t>
      </w:r>
      <w:r w:rsidRPr="004940B5">
        <w:rPr>
          <w:rFonts w:ascii="Arial" w:hAnsi="Arial" w:cs="Arial"/>
        </w:rPr>
        <w:t>Razek, A. A.  &amp; Hussein, M.  (2020). Oil spill sorption capacity of raw and thermally m</w:t>
      </w:r>
      <w:r w:rsidR="00A91213">
        <w:rPr>
          <w:rFonts w:ascii="Arial" w:hAnsi="Arial" w:cs="Arial"/>
        </w:rPr>
        <w:t>odified orange peel waste. Alexandria Engineering Journal</w:t>
      </w:r>
      <w:r w:rsidRPr="004940B5">
        <w:rPr>
          <w:rFonts w:ascii="Arial" w:hAnsi="Arial" w:cs="Arial"/>
        </w:rPr>
        <w:t>, 59, 925–932.</w:t>
      </w:r>
      <w:r w:rsidR="006F6D15">
        <w:rPr>
          <w:rFonts w:ascii="Arial" w:hAnsi="Arial" w:cs="Arial"/>
        </w:rPr>
        <w:t xml:space="preserve"> </w:t>
      </w:r>
      <w:hyperlink r:id="rId29" w:history="1">
        <w:r w:rsidR="000E6757" w:rsidRPr="006450DB">
          <w:rPr>
            <w:rStyle w:val="Hyperlink"/>
            <w:rFonts w:ascii="Arial" w:hAnsi="Arial" w:cs="Arial"/>
          </w:rPr>
          <w:t>https://doi.org/10.1016/j.aej.2020.03.024</w:t>
        </w:r>
      </w:hyperlink>
    </w:p>
    <w:p w14:paraId="59C47319" w14:textId="77777777" w:rsidR="00DF4DA0" w:rsidRPr="004940B5" w:rsidRDefault="00DF4DA0" w:rsidP="00DF4DA0">
      <w:pPr>
        <w:ind w:left="1890" w:hanging="630"/>
        <w:jc w:val="both"/>
        <w:rPr>
          <w:rFonts w:ascii="Arial" w:hAnsi="Arial" w:cs="Arial"/>
        </w:rPr>
      </w:pPr>
      <w:proofErr w:type="spellStart"/>
      <w:r w:rsidRPr="004940B5">
        <w:rPr>
          <w:rFonts w:ascii="Arial" w:hAnsi="Arial" w:cs="Arial"/>
        </w:rPr>
        <w:t>Iloabachie</w:t>
      </w:r>
      <w:proofErr w:type="spellEnd"/>
      <w:r w:rsidRPr="004940B5">
        <w:rPr>
          <w:rFonts w:ascii="Arial" w:hAnsi="Arial" w:cs="Arial"/>
        </w:rPr>
        <w:t xml:space="preserve">, I. C. C., </w:t>
      </w:r>
      <w:proofErr w:type="spellStart"/>
      <w:r w:rsidRPr="004940B5">
        <w:rPr>
          <w:rFonts w:ascii="Arial" w:hAnsi="Arial" w:cs="Arial"/>
        </w:rPr>
        <w:t>Atuanya</w:t>
      </w:r>
      <w:proofErr w:type="spellEnd"/>
      <w:r w:rsidRPr="004940B5">
        <w:rPr>
          <w:rFonts w:ascii="Arial" w:hAnsi="Arial" w:cs="Arial"/>
        </w:rPr>
        <w:t xml:space="preserve">, C. U., &amp; Chime, C. E. (2022). Effect of heat treatment on the chemical composition of </w:t>
      </w:r>
      <w:proofErr w:type="spellStart"/>
      <w:r w:rsidRPr="004940B5">
        <w:rPr>
          <w:rFonts w:ascii="Arial" w:hAnsi="Arial" w:cs="Arial"/>
          <w:i/>
        </w:rPr>
        <w:t>Pentaclethra</w:t>
      </w:r>
      <w:proofErr w:type="spellEnd"/>
      <w:r w:rsidRPr="004940B5">
        <w:rPr>
          <w:rFonts w:ascii="Arial" w:hAnsi="Arial" w:cs="Arial"/>
          <w:i/>
        </w:rPr>
        <w:t xml:space="preserve"> macrophylla</w:t>
      </w:r>
      <w:r w:rsidR="00AF4599">
        <w:rPr>
          <w:rFonts w:ascii="Arial" w:hAnsi="Arial" w:cs="Arial"/>
        </w:rPr>
        <w:t xml:space="preserve"> pod. Engineering and Technology</w:t>
      </w:r>
      <w:r w:rsidRPr="004940B5">
        <w:rPr>
          <w:rFonts w:ascii="Arial" w:hAnsi="Arial" w:cs="Arial"/>
        </w:rPr>
        <w:t xml:space="preserve"> J</w:t>
      </w:r>
      <w:r w:rsidR="00AF4599">
        <w:rPr>
          <w:rFonts w:ascii="Arial" w:hAnsi="Arial" w:cs="Arial"/>
        </w:rPr>
        <w:t>ournal</w:t>
      </w:r>
      <w:r w:rsidRPr="004940B5">
        <w:rPr>
          <w:rFonts w:ascii="Arial" w:hAnsi="Arial" w:cs="Arial"/>
        </w:rPr>
        <w:t>, 7(9), 1437–1443.</w:t>
      </w:r>
      <w:r w:rsidR="00AF4599">
        <w:rPr>
          <w:rFonts w:ascii="Arial" w:hAnsi="Arial" w:cs="Arial"/>
        </w:rPr>
        <w:t xml:space="preserve"> </w:t>
      </w:r>
      <w:hyperlink r:id="rId30"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10.47191/etj/v7i9.01</w:t>
        </w:r>
      </w:hyperlink>
      <w:r w:rsidR="00AF4599" w:rsidRPr="00F95779">
        <w:rPr>
          <w:rFonts w:ascii="Arial" w:hAnsi="Arial" w:cs="Arial"/>
        </w:rPr>
        <w:t>.</w:t>
      </w:r>
    </w:p>
    <w:p w14:paraId="60805907" w14:textId="77777777" w:rsidR="00DF4DA0" w:rsidRPr="004940B5" w:rsidRDefault="00DF4DA0" w:rsidP="00DF4DA0">
      <w:pPr>
        <w:ind w:left="1890" w:hanging="630"/>
        <w:jc w:val="both"/>
        <w:rPr>
          <w:rFonts w:ascii="Arial" w:hAnsi="Arial" w:cs="Arial"/>
        </w:rPr>
      </w:pPr>
      <w:r w:rsidRPr="004940B5">
        <w:rPr>
          <w:rFonts w:ascii="Arial" w:hAnsi="Arial" w:cs="Arial"/>
        </w:rPr>
        <w:t xml:space="preserve">Kudaybergenov, K. K., </w:t>
      </w:r>
      <w:proofErr w:type="spellStart"/>
      <w:r w:rsidRPr="004940B5">
        <w:rPr>
          <w:rFonts w:ascii="Arial" w:hAnsi="Arial" w:cs="Arial"/>
        </w:rPr>
        <w:t>Ongarbayev</w:t>
      </w:r>
      <w:proofErr w:type="spellEnd"/>
      <w:r w:rsidRPr="004940B5">
        <w:rPr>
          <w:rFonts w:ascii="Arial" w:hAnsi="Arial" w:cs="Arial"/>
        </w:rPr>
        <w:t>, E. K., &amp; Mansurov, Z. A. (2013). Petroleum sorption by thermally treated rice husks derive</w:t>
      </w:r>
      <w:r w:rsidR="00AF4599">
        <w:rPr>
          <w:rFonts w:ascii="Arial" w:hAnsi="Arial" w:cs="Arial"/>
        </w:rPr>
        <w:t xml:space="preserve">d from agricultural byproducts, The Eurasian </w:t>
      </w:r>
      <w:proofErr w:type="spellStart"/>
      <w:r w:rsidR="00AF4599">
        <w:rPr>
          <w:rFonts w:ascii="Arial" w:hAnsi="Arial" w:cs="Arial"/>
        </w:rPr>
        <w:t>Chemico</w:t>
      </w:r>
      <w:proofErr w:type="spellEnd"/>
      <w:r w:rsidR="00AF4599">
        <w:rPr>
          <w:rFonts w:ascii="Arial" w:hAnsi="Arial" w:cs="Arial"/>
        </w:rPr>
        <w:t>-Technological Journal</w:t>
      </w:r>
      <w:r w:rsidRPr="004940B5">
        <w:rPr>
          <w:rFonts w:ascii="Arial" w:hAnsi="Arial" w:cs="Arial"/>
        </w:rPr>
        <w:t xml:space="preserve">, 15, 57–66. </w:t>
      </w:r>
      <w:hyperlink r:id="rId31"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10.18321/ectj141</w:t>
        </w:r>
      </w:hyperlink>
      <w:r w:rsidR="00AF4599" w:rsidRPr="00F95779">
        <w:rPr>
          <w:rFonts w:ascii="Arial" w:hAnsi="Arial" w:cs="Arial"/>
        </w:rPr>
        <w:t>.</w:t>
      </w:r>
    </w:p>
    <w:p w14:paraId="36E43E4E" w14:textId="77777777" w:rsidR="00DF4DA0" w:rsidRPr="004940B5" w:rsidRDefault="00DF4DA0" w:rsidP="00DF4DA0">
      <w:pPr>
        <w:ind w:left="1890" w:hanging="630"/>
        <w:jc w:val="both"/>
        <w:rPr>
          <w:rFonts w:ascii="Arial" w:hAnsi="Arial" w:cs="Arial"/>
        </w:rPr>
      </w:pPr>
      <w:proofErr w:type="spellStart"/>
      <w:r w:rsidRPr="004940B5">
        <w:rPr>
          <w:rFonts w:ascii="Arial" w:hAnsi="Arial" w:cs="Arial"/>
        </w:rPr>
        <w:lastRenderedPageBreak/>
        <w:t>Lv</w:t>
      </w:r>
      <w:proofErr w:type="spellEnd"/>
      <w:r w:rsidRPr="004940B5">
        <w:rPr>
          <w:rFonts w:ascii="Arial" w:hAnsi="Arial" w:cs="Arial"/>
        </w:rPr>
        <w:t>, N., Wang, X., Peng, S., Zhang, H., &amp; Luo, L. (2018). Study of the kinetics and equilibrium of the adsorption of oils onto hydrophobic jute fiber modi</w:t>
      </w:r>
      <w:r w:rsidR="00AF4599">
        <w:rPr>
          <w:rFonts w:ascii="Arial" w:hAnsi="Arial" w:cs="Arial"/>
        </w:rPr>
        <w:t xml:space="preserve">ﬁed via the sol-gel method. International Journal of </w:t>
      </w:r>
      <w:r w:rsidR="008F1D30">
        <w:rPr>
          <w:rFonts w:ascii="Arial" w:hAnsi="Arial" w:cs="Arial"/>
        </w:rPr>
        <w:t>Environmental</w:t>
      </w:r>
      <w:r w:rsidR="00AF4599">
        <w:rPr>
          <w:rFonts w:ascii="Arial" w:hAnsi="Arial" w:cs="Arial"/>
        </w:rPr>
        <w:t xml:space="preserve"> Research</w:t>
      </w:r>
      <w:r w:rsidRPr="004940B5">
        <w:rPr>
          <w:rFonts w:ascii="Arial" w:hAnsi="Arial" w:cs="Arial"/>
        </w:rPr>
        <w:t xml:space="preserve"> </w:t>
      </w:r>
      <w:r w:rsidR="00AF4599">
        <w:rPr>
          <w:rFonts w:ascii="Arial" w:hAnsi="Arial" w:cs="Arial"/>
        </w:rPr>
        <w:t xml:space="preserve">and </w:t>
      </w:r>
      <w:r w:rsidRPr="004940B5">
        <w:rPr>
          <w:rFonts w:ascii="Arial" w:hAnsi="Arial" w:cs="Arial"/>
        </w:rPr>
        <w:t>Public Health, 15(969), 1–14.</w:t>
      </w:r>
      <w:r w:rsidR="00AF4599">
        <w:rPr>
          <w:rFonts w:ascii="Arial" w:hAnsi="Arial" w:cs="Arial"/>
        </w:rPr>
        <w:t xml:space="preserve"> </w:t>
      </w:r>
      <w:hyperlink r:id="rId32"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10.3390/ijerph15050969</w:t>
        </w:r>
      </w:hyperlink>
      <w:r w:rsidR="00AF4599" w:rsidRPr="00F95779">
        <w:rPr>
          <w:rFonts w:ascii="Arial" w:hAnsi="Arial" w:cs="Arial"/>
        </w:rPr>
        <w:t>.</w:t>
      </w:r>
    </w:p>
    <w:p w14:paraId="6D370B3A" w14:textId="77777777" w:rsidR="00DF4DA0" w:rsidRPr="004940B5" w:rsidRDefault="00DF4DA0" w:rsidP="00DF4DA0">
      <w:pPr>
        <w:ind w:left="1890" w:hanging="630"/>
        <w:jc w:val="both"/>
        <w:rPr>
          <w:rFonts w:ascii="Arial" w:hAnsi="Arial" w:cs="Arial"/>
        </w:rPr>
      </w:pPr>
      <w:proofErr w:type="spellStart"/>
      <w:r w:rsidRPr="004940B5">
        <w:rPr>
          <w:rFonts w:ascii="Arial" w:hAnsi="Arial" w:cs="Arial"/>
        </w:rPr>
        <w:t>Machałowski</w:t>
      </w:r>
      <w:proofErr w:type="spellEnd"/>
      <w:r w:rsidRPr="004940B5">
        <w:rPr>
          <w:rFonts w:ascii="Arial" w:hAnsi="Arial" w:cs="Arial"/>
        </w:rPr>
        <w:t xml:space="preserve">, T., </w:t>
      </w:r>
      <w:proofErr w:type="spellStart"/>
      <w:r w:rsidRPr="004940B5">
        <w:rPr>
          <w:rFonts w:ascii="Arial" w:hAnsi="Arial" w:cs="Arial"/>
        </w:rPr>
        <w:t>Wysokowski</w:t>
      </w:r>
      <w:proofErr w:type="spellEnd"/>
      <w:r w:rsidRPr="004940B5">
        <w:rPr>
          <w:rFonts w:ascii="Arial" w:hAnsi="Arial" w:cs="Arial"/>
        </w:rPr>
        <w:t>, M., Petrenko, I., Fursov, A., Rahimi-</w:t>
      </w:r>
      <w:proofErr w:type="spellStart"/>
      <w:r w:rsidRPr="004940B5">
        <w:rPr>
          <w:rFonts w:ascii="Arial" w:hAnsi="Arial" w:cs="Arial"/>
        </w:rPr>
        <w:t>Nasrabadi</w:t>
      </w:r>
      <w:proofErr w:type="spellEnd"/>
      <w:r w:rsidRPr="004940B5">
        <w:rPr>
          <w:rFonts w:ascii="Arial" w:hAnsi="Arial" w:cs="Arial"/>
        </w:rPr>
        <w:t xml:space="preserve">, M., Amro, M. M., </w:t>
      </w:r>
      <w:r w:rsidR="004C538D">
        <w:rPr>
          <w:rFonts w:ascii="Arial" w:hAnsi="Arial" w:cs="Arial"/>
        </w:rPr>
        <w:t>et al</w:t>
      </w:r>
      <w:r w:rsidRPr="004940B5">
        <w:rPr>
          <w:rFonts w:ascii="Arial" w:hAnsi="Arial" w:cs="Arial"/>
        </w:rPr>
        <w:t xml:space="preserve">. (2020). Naturally pre-designed biomaterials: Spider molting cuticle as a </w:t>
      </w:r>
      <w:r w:rsidR="00AF4599">
        <w:rPr>
          <w:rFonts w:ascii="Arial" w:hAnsi="Arial" w:cs="Arial"/>
        </w:rPr>
        <w:t>functional crude oil sorbent. Journal of Environmental</w:t>
      </w:r>
      <w:r w:rsidRPr="004940B5">
        <w:rPr>
          <w:rFonts w:ascii="Arial" w:hAnsi="Arial" w:cs="Arial"/>
        </w:rPr>
        <w:t xml:space="preserve"> Manage</w:t>
      </w:r>
      <w:r w:rsidR="00AF4599">
        <w:rPr>
          <w:rFonts w:ascii="Arial" w:hAnsi="Arial" w:cs="Arial"/>
        </w:rPr>
        <w:t>ment</w:t>
      </w:r>
      <w:r w:rsidRPr="004940B5">
        <w:rPr>
          <w:rFonts w:ascii="Arial" w:hAnsi="Arial" w:cs="Arial"/>
        </w:rPr>
        <w:t>, 261(110218), 1–12.</w:t>
      </w:r>
      <w:r w:rsidR="00AF4599">
        <w:rPr>
          <w:rFonts w:ascii="Arial" w:hAnsi="Arial" w:cs="Arial"/>
        </w:rPr>
        <w:t xml:space="preserve"> </w:t>
      </w:r>
      <w:hyperlink r:id="rId33"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10.1016/j.jenvman.2020.110218</w:t>
        </w:r>
      </w:hyperlink>
      <w:r w:rsidR="00AF4599" w:rsidRPr="00F95779">
        <w:rPr>
          <w:rFonts w:ascii="Arial" w:hAnsi="Arial" w:cs="Arial"/>
        </w:rPr>
        <w:t>.</w:t>
      </w:r>
    </w:p>
    <w:p w14:paraId="73B6A88D" w14:textId="77777777" w:rsidR="00DF4DA0" w:rsidRPr="004940B5" w:rsidRDefault="00DF4DA0" w:rsidP="00DF4DA0">
      <w:pPr>
        <w:ind w:left="1890" w:hanging="630"/>
        <w:jc w:val="both"/>
        <w:rPr>
          <w:rFonts w:ascii="Arial" w:hAnsi="Arial" w:cs="Arial"/>
        </w:rPr>
      </w:pPr>
      <w:r w:rsidRPr="004940B5">
        <w:rPr>
          <w:rFonts w:ascii="Arial" w:hAnsi="Arial" w:cs="Arial"/>
        </w:rPr>
        <w:t>Mahmoud, M. A. (2020). Oil spill cleanup by waste flax fiber: modification effect, sorption isotherm, ki</w:t>
      </w:r>
      <w:r w:rsidR="00AF4599">
        <w:rPr>
          <w:rFonts w:ascii="Arial" w:hAnsi="Arial" w:cs="Arial"/>
        </w:rPr>
        <w:t>netics and thermodynamics, Arabian Journal of Chemistry</w:t>
      </w:r>
      <w:r w:rsidRPr="004940B5">
        <w:rPr>
          <w:rFonts w:ascii="Arial" w:hAnsi="Arial" w:cs="Arial"/>
        </w:rPr>
        <w:t>, 13(6), 5553–5563.</w:t>
      </w:r>
      <w:r w:rsidR="00AF4599">
        <w:rPr>
          <w:rFonts w:ascii="Arial" w:hAnsi="Arial" w:cs="Arial"/>
        </w:rPr>
        <w:t xml:space="preserve"> </w:t>
      </w:r>
      <w:hyperlink r:id="rId34"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10.1016/j.arabjc.2020.02.014</w:t>
        </w:r>
      </w:hyperlink>
      <w:r w:rsidR="00AF4599" w:rsidRPr="00F95779">
        <w:rPr>
          <w:rStyle w:val="Hyperlink"/>
          <w:rFonts w:ascii="Arial" w:hAnsi="Arial" w:cs="Arial"/>
        </w:rPr>
        <w:t>.</w:t>
      </w:r>
    </w:p>
    <w:p w14:paraId="416D2C6C" w14:textId="77777777" w:rsidR="00DF4DA0" w:rsidRPr="004940B5" w:rsidRDefault="00DF4DA0" w:rsidP="00DF4DA0">
      <w:pPr>
        <w:ind w:left="1890" w:hanging="630"/>
        <w:jc w:val="both"/>
        <w:rPr>
          <w:rFonts w:ascii="Arial" w:hAnsi="Arial" w:cs="Arial"/>
        </w:rPr>
      </w:pPr>
      <w:proofErr w:type="spellStart"/>
      <w:r w:rsidRPr="004940B5">
        <w:rPr>
          <w:rFonts w:ascii="Arial" w:hAnsi="Arial" w:cs="Arial"/>
        </w:rPr>
        <w:t>Najaa-Syuhada</w:t>
      </w:r>
      <w:proofErr w:type="spellEnd"/>
      <w:r w:rsidRPr="004940B5">
        <w:rPr>
          <w:rFonts w:ascii="Arial" w:hAnsi="Arial" w:cs="Arial"/>
        </w:rPr>
        <w:t xml:space="preserve">, M. T.  </w:t>
      </w:r>
      <w:proofErr w:type="spellStart"/>
      <w:r w:rsidRPr="004940B5">
        <w:rPr>
          <w:rFonts w:ascii="Arial" w:hAnsi="Arial" w:cs="Arial"/>
        </w:rPr>
        <w:t>Rozidaini</w:t>
      </w:r>
      <w:proofErr w:type="spellEnd"/>
      <w:r w:rsidRPr="004940B5">
        <w:rPr>
          <w:rFonts w:ascii="Arial" w:hAnsi="Arial" w:cs="Arial"/>
        </w:rPr>
        <w:t xml:space="preserve">, M. G., &amp; </w:t>
      </w:r>
      <w:proofErr w:type="spellStart"/>
      <w:r w:rsidRPr="004940B5">
        <w:rPr>
          <w:rFonts w:ascii="Arial" w:hAnsi="Arial" w:cs="Arial"/>
        </w:rPr>
        <w:t>Norhisyam</w:t>
      </w:r>
      <w:proofErr w:type="spellEnd"/>
      <w:r w:rsidRPr="004940B5">
        <w:rPr>
          <w:rFonts w:ascii="Arial" w:hAnsi="Arial" w:cs="Arial"/>
        </w:rPr>
        <w:t>, I. (2017). Response surface methodology optimization of oil removal using banana peel as biosorbent. Malay</w:t>
      </w:r>
      <w:r w:rsidR="00AF4599">
        <w:rPr>
          <w:rFonts w:ascii="Arial" w:hAnsi="Arial" w:cs="Arial"/>
        </w:rPr>
        <w:t>sian Journal of</w:t>
      </w:r>
      <w:r w:rsidR="00F07467">
        <w:rPr>
          <w:rFonts w:ascii="Arial" w:hAnsi="Arial" w:cs="Arial"/>
        </w:rPr>
        <w:t xml:space="preserve"> Analytical Sciences</w:t>
      </w:r>
      <w:r w:rsidRPr="004940B5">
        <w:rPr>
          <w:rFonts w:ascii="Arial" w:hAnsi="Arial" w:cs="Arial"/>
        </w:rPr>
        <w:t>, 21(5), 1101–1110.</w:t>
      </w:r>
      <w:r w:rsidR="00AF4599">
        <w:rPr>
          <w:rFonts w:ascii="Arial" w:hAnsi="Arial" w:cs="Arial"/>
        </w:rPr>
        <w:t xml:space="preserve"> </w:t>
      </w:r>
      <w:hyperlink r:id="rId35"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10.17576/mjas-2017-2105-12</w:t>
        </w:r>
      </w:hyperlink>
    </w:p>
    <w:p w14:paraId="144E072D" w14:textId="77777777" w:rsidR="00DF4DA0" w:rsidRPr="004940B5" w:rsidRDefault="00DF4DA0" w:rsidP="00DF4DA0">
      <w:pPr>
        <w:ind w:left="1890" w:hanging="630"/>
        <w:jc w:val="both"/>
        <w:rPr>
          <w:rFonts w:ascii="Arial" w:hAnsi="Arial" w:cs="Arial"/>
        </w:rPr>
      </w:pPr>
      <w:r w:rsidRPr="004940B5">
        <w:rPr>
          <w:rFonts w:ascii="Arial" w:hAnsi="Arial" w:cs="Arial"/>
        </w:rPr>
        <w:t xml:space="preserve">Nnaji, N. J. N., Onuegbu, T. U., </w:t>
      </w:r>
      <w:proofErr w:type="spellStart"/>
      <w:r w:rsidRPr="004940B5">
        <w:rPr>
          <w:rFonts w:ascii="Arial" w:hAnsi="Arial" w:cs="Arial"/>
        </w:rPr>
        <w:t>Edokwe</w:t>
      </w:r>
      <w:proofErr w:type="spellEnd"/>
      <w:r w:rsidRPr="004940B5">
        <w:rPr>
          <w:rFonts w:ascii="Arial" w:hAnsi="Arial" w:cs="Arial"/>
        </w:rPr>
        <w:t xml:space="preserve">, O., Ezeh, G. C., &amp; Ngwu, A. P. (2016). An approach for the reuse of </w:t>
      </w:r>
      <w:proofErr w:type="spellStart"/>
      <w:r w:rsidRPr="004940B5">
        <w:rPr>
          <w:rFonts w:ascii="Arial" w:hAnsi="Arial" w:cs="Arial"/>
          <w:i/>
        </w:rPr>
        <w:t>Dacryodes</w:t>
      </w:r>
      <w:proofErr w:type="spellEnd"/>
      <w:r w:rsidRPr="004940B5">
        <w:rPr>
          <w:rFonts w:ascii="Arial" w:hAnsi="Arial" w:cs="Arial"/>
          <w:i/>
        </w:rPr>
        <w:t xml:space="preserve"> edulis </w:t>
      </w:r>
      <w:r w:rsidRPr="004940B5">
        <w:rPr>
          <w:rFonts w:ascii="Arial" w:hAnsi="Arial" w:cs="Arial"/>
        </w:rPr>
        <w:t>leaf: characterization, acetylation an</w:t>
      </w:r>
      <w:r w:rsidR="00F07467">
        <w:rPr>
          <w:rFonts w:ascii="Arial" w:hAnsi="Arial" w:cs="Arial"/>
        </w:rPr>
        <w:t>d crude oil sorption studies, Journal of Environmental Chemical Engineering</w:t>
      </w:r>
      <w:r w:rsidRPr="004940B5">
        <w:rPr>
          <w:rFonts w:ascii="Arial" w:hAnsi="Arial" w:cs="Arial"/>
        </w:rPr>
        <w:t>, 4(3), 3205–3216.</w:t>
      </w:r>
      <w:r w:rsidR="00AF4599">
        <w:rPr>
          <w:rFonts w:ascii="Arial" w:hAnsi="Arial" w:cs="Arial"/>
        </w:rPr>
        <w:t xml:space="preserve"> </w:t>
      </w:r>
      <w:hyperlink r:id="rId36"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10.1016/j.jece.2016.06.010</w:t>
        </w:r>
      </w:hyperlink>
      <w:r w:rsidR="00AF4599" w:rsidRPr="00F95779">
        <w:rPr>
          <w:rFonts w:ascii="Arial" w:hAnsi="Arial" w:cs="Arial"/>
        </w:rPr>
        <w:t>.</w:t>
      </w:r>
    </w:p>
    <w:p w14:paraId="1075F7F5" w14:textId="77777777" w:rsidR="00DF4DA0" w:rsidRPr="004940B5" w:rsidRDefault="00DF4DA0" w:rsidP="00DF4DA0">
      <w:pPr>
        <w:ind w:left="1890" w:hanging="630"/>
        <w:jc w:val="both"/>
        <w:rPr>
          <w:rFonts w:ascii="Arial" w:hAnsi="Arial" w:cs="Arial"/>
        </w:rPr>
      </w:pPr>
      <w:r w:rsidRPr="004940B5">
        <w:rPr>
          <w:rFonts w:ascii="Arial" w:hAnsi="Arial" w:cs="Arial"/>
        </w:rPr>
        <w:t xml:space="preserve">Nnamani, P. O., Kenechukwu, F. C., Asogwa, F. O., Momoh, M. A., Lehr, C., &amp; </w:t>
      </w:r>
      <w:proofErr w:type="spellStart"/>
      <w:r w:rsidRPr="004940B5">
        <w:rPr>
          <w:rFonts w:ascii="Arial" w:hAnsi="Arial" w:cs="Arial"/>
        </w:rPr>
        <w:t>Attama</w:t>
      </w:r>
      <w:proofErr w:type="spellEnd"/>
      <w:r w:rsidRPr="004940B5">
        <w:rPr>
          <w:rFonts w:ascii="Arial" w:hAnsi="Arial" w:cs="Arial"/>
        </w:rPr>
        <w:t xml:space="preserve">, A. A. (2020). Novel anti-ulcer </w:t>
      </w:r>
      <w:proofErr w:type="spellStart"/>
      <w:r w:rsidRPr="004940B5">
        <w:rPr>
          <w:rFonts w:ascii="Arial" w:hAnsi="Arial" w:cs="Arial"/>
        </w:rPr>
        <w:t>phytosomal</w:t>
      </w:r>
      <w:proofErr w:type="spellEnd"/>
      <w:r w:rsidRPr="004940B5">
        <w:rPr>
          <w:rFonts w:ascii="Arial" w:hAnsi="Arial" w:cs="Arial"/>
        </w:rPr>
        <w:t xml:space="preserve"> formulation of ethanol extract of </w:t>
      </w:r>
      <w:proofErr w:type="spellStart"/>
      <w:r w:rsidRPr="004940B5">
        <w:rPr>
          <w:rFonts w:ascii="Arial" w:hAnsi="Arial" w:cs="Arial"/>
          <w:i/>
        </w:rPr>
        <w:t>Pentaclethra</w:t>
      </w:r>
      <w:proofErr w:type="spellEnd"/>
      <w:r w:rsidRPr="004940B5">
        <w:rPr>
          <w:rFonts w:ascii="Arial" w:hAnsi="Arial" w:cs="Arial"/>
          <w:i/>
        </w:rPr>
        <w:t xml:space="preserve"> macrophylla</w:t>
      </w:r>
      <w:r w:rsidR="00F07467">
        <w:rPr>
          <w:rFonts w:ascii="Arial" w:hAnsi="Arial" w:cs="Arial"/>
        </w:rPr>
        <w:t xml:space="preserve"> stem-bark. Tropical Journal of</w:t>
      </w:r>
      <w:r w:rsidRPr="004940B5">
        <w:rPr>
          <w:rFonts w:ascii="Arial" w:hAnsi="Arial" w:cs="Arial"/>
        </w:rPr>
        <w:t xml:space="preserve"> Nat</w:t>
      </w:r>
      <w:r w:rsidR="00F07467">
        <w:rPr>
          <w:rFonts w:ascii="Arial" w:hAnsi="Arial" w:cs="Arial"/>
        </w:rPr>
        <w:t>ural</w:t>
      </w:r>
      <w:r w:rsidRPr="004940B5">
        <w:rPr>
          <w:rFonts w:ascii="Arial" w:hAnsi="Arial" w:cs="Arial"/>
        </w:rPr>
        <w:t xml:space="preserve"> Prod</w:t>
      </w:r>
      <w:r w:rsidR="00F07467">
        <w:rPr>
          <w:rFonts w:ascii="Arial" w:hAnsi="Arial" w:cs="Arial"/>
        </w:rPr>
        <w:t>uct Research</w:t>
      </w:r>
      <w:r w:rsidRPr="004940B5">
        <w:rPr>
          <w:rFonts w:ascii="Arial" w:hAnsi="Arial" w:cs="Arial"/>
        </w:rPr>
        <w:t>, 4(8), 385–391.</w:t>
      </w:r>
      <w:r w:rsidR="00AF4599">
        <w:rPr>
          <w:rFonts w:ascii="Arial" w:hAnsi="Arial" w:cs="Arial"/>
        </w:rPr>
        <w:t xml:space="preserve"> </w:t>
      </w:r>
      <w:hyperlink r:id="rId37"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10.26538/tjnpr/v4i8.11</w:t>
        </w:r>
      </w:hyperlink>
      <w:r w:rsidR="00AF4599" w:rsidRPr="00F95779">
        <w:rPr>
          <w:rFonts w:ascii="Arial" w:hAnsi="Arial" w:cs="Arial"/>
        </w:rPr>
        <w:t>.</w:t>
      </w:r>
    </w:p>
    <w:p w14:paraId="18B624BC" w14:textId="77777777" w:rsidR="00DF4DA0" w:rsidRPr="004940B5" w:rsidRDefault="00DF4DA0" w:rsidP="00DF4DA0">
      <w:pPr>
        <w:ind w:left="1890" w:hanging="630"/>
        <w:jc w:val="both"/>
        <w:rPr>
          <w:rFonts w:ascii="Arial" w:hAnsi="Arial" w:cs="Arial"/>
        </w:rPr>
      </w:pPr>
      <w:proofErr w:type="spellStart"/>
      <w:r w:rsidRPr="004940B5">
        <w:rPr>
          <w:rFonts w:ascii="Arial" w:hAnsi="Arial" w:cs="Arial"/>
        </w:rPr>
        <w:t>Nsude</w:t>
      </w:r>
      <w:proofErr w:type="spellEnd"/>
      <w:r w:rsidRPr="004940B5">
        <w:rPr>
          <w:rFonts w:ascii="Arial" w:hAnsi="Arial" w:cs="Arial"/>
        </w:rPr>
        <w:t xml:space="preserve">, O. P., Osi, V., &amp; Orie, K. J. (2024). Kinetic, isotherm, and thermodynamic modeling of </w:t>
      </w:r>
      <w:proofErr w:type="gramStart"/>
      <w:r w:rsidRPr="004940B5">
        <w:rPr>
          <w:rFonts w:ascii="Arial" w:hAnsi="Arial" w:cs="Arial"/>
        </w:rPr>
        <w:t>Pb(</w:t>
      </w:r>
      <w:proofErr w:type="gramEnd"/>
      <w:r w:rsidRPr="004940B5">
        <w:rPr>
          <w:rFonts w:ascii="Arial" w:hAnsi="Arial" w:cs="Arial"/>
        </w:rPr>
        <w:t xml:space="preserve">II) removal from aqueous solutions using cellulose extracted from </w:t>
      </w:r>
      <w:proofErr w:type="spellStart"/>
      <w:r w:rsidRPr="004940B5">
        <w:rPr>
          <w:rFonts w:ascii="Arial" w:hAnsi="Arial" w:cs="Arial"/>
          <w:i/>
        </w:rPr>
        <w:t>Pentaclethra</w:t>
      </w:r>
      <w:proofErr w:type="spellEnd"/>
      <w:r w:rsidRPr="004940B5">
        <w:rPr>
          <w:rFonts w:ascii="Arial" w:hAnsi="Arial" w:cs="Arial"/>
          <w:i/>
        </w:rPr>
        <w:t xml:space="preserve"> macrophylla</w:t>
      </w:r>
      <w:r w:rsidR="00F07467">
        <w:rPr>
          <w:rFonts w:ascii="Arial" w:hAnsi="Arial" w:cs="Arial"/>
        </w:rPr>
        <w:t xml:space="preserve"> </w:t>
      </w:r>
      <w:proofErr w:type="spellStart"/>
      <w:r w:rsidR="00F07467">
        <w:rPr>
          <w:rFonts w:ascii="Arial" w:hAnsi="Arial" w:cs="Arial"/>
        </w:rPr>
        <w:t>Benth</w:t>
      </w:r>
      <w:proofErr w:type="spellEnd"/>
      <w:r w:rsidR="00F07467">
        <w:rPr>
          <w:rFonts w:ascii="Arial" w:hAnsi="Arial" w:cs="Arial"/>
        </w:rPr>
        <w:t xml:space="preserve"> pod. Chemistry Letters</w:t>
      </w:r>
      <w:r w:rsidRPr="004940B5">
        <w:rPr>
          <w:rFonts w:ascii="Arial" w:hAnsi="Arial" w:cs="Arial"/>
        </w:rPr>
        <w:t>, 5(2),</w:t>
      </w:r>
      <w:r w:rsidRPr="004940B5">
        <w:rPr>
          <w:rFonts w:ascii="Arial" w:hAnsi="Arial" w:cs="Arial"/>
          <w:b/>
        </w:rPr>
        <w:t xml:space="preserve"> </w:t>
      </w:r>
      <w:r w:rsidRPr="004940B5">
        <w:rPr>
          <w:rFonts w:ascii="Arial" w:hAnsi="Arial" w:cs="Arial"/>
        </w:rPr>
        <w:t>84–89.</w:t>
      </w:r>
      <w:r w:rsidR="00AF4599">
        <w:rPr>
          <w:rFonts w:ascii="Arial" w:hAnsi="Arial" w:cs="Arial"/>
        </w:rPr>
        <w:t xml:space="preserve"> </w:t>
      </w:r>
      <w:hyperlink r:id="rId38"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10.22034/JCHEMLETT.2024.431010.1152</w:t>
        </w:r>
      </w:hyperlink>
      <w:r w:rsidR="00AF4599" w:rsidRPr="00F95779">
        <w:rPr>
          <w:rFonts w:ascii="Arial" w:hAnsi="Arial" w:cs="Arial"/>
        </w:rPr>
        <w:t>.</w:t>
      </w:r>
    </w:p>
    <w:p w14:paraId="1EABF2A7" w14:textId="77777777" w:rsidR="00DF4DA0" w:rsidRPr="004940B5" w:rsidRDefault="00DF4DA0" w:rsidP="00DF4DA0">
      <w:pPr>
        <w:ind w:left="1890" w:hanging="630"/>
        <w:jc w:val="both"/>
        <w:rPr>
          <w:rFonts w:ascii="Arial" w:hAnsi="Arial" w:cs="Arial"/>
        </w:rPr>
      </w:pPr>
      <w:proofErr w:type="spellStart"/>
      <w:r w:rsidRPr="004940B5">
        <w:rPr>
          <w:rFonts w:ascii="Arial" w:hAnsi="Arial" w:cs="Arial"/>
        </w:rPr>
        <w:t>Nwadiogbu</w:t>
      </w:r>
      <w:proofErr w:type="spellEnd"/>
      <w:r w:rsidRPr="004940B5">
        <w:rPr>
          <w:rFonts w:ascii="Arial" w:hAnsi="Arial" w:cs="Arial"/>
        </w:rPr>
        <w:t xml:space="preserve">, J. O., </w:t>
      </w:r>
      <w:proofErr w:type="spellStart"/>
      <w:r w:rsidRPr="004940B5">
        <w:rPr>
          <w:rFonts w:ascii="Arial" w:hAnsi="Arial" w:cs="Arial"/>
        </w:rPr>
        <w:t>Ajiwe</w:t>
      </w:r>
      <w:proofErr w:type="spellEnd"/>
      <w:r w:rsidRPr="004940B5">
        <w:rPr>
          <w:rFonts w:ascii="Arial" w:hAnsi="Arial" w:cs="Arial"/>
        </w:rPr>
        <w:t xml:space="preserve">, V. I. E.  Okoye, P. A. C., &amp; Nnaji, N. (2014). Hydrophobic treatment of corncob by acetylation: kinetics and thermodynamics studies. </w:t>
      </w:r>
      <w:r w:rsidR="00F07467">
        <w:rPr>
          <w:rFonts w:ascii="Arial" w:hAnsi="Arial" w:cs="Arial"/>
        </w:rPr>
        <w:t>Journal of Environmental Chemical Engineering</w:t>
      </w:r>
      <w:r w:rsidRPr="004940B5">
        <w:rPr>
          <w:rFonts w:ascii="Arial" w:hAnsi="Arial" w:cs="Arial"/>
        </w:rPr>
        <w:t>, 2(3), 1699–1704.</w:t>
      </w:r>
      <w:r w:rsidR="000E6757">
        <w:rPr>
          <w:rFonts w:ascii="Arial" w:hAnsi="Arial" w:cs="Arial"/>
        </w:rPr>
        <w:t xml:space="preserve"> </w:t>
      </w:r>
      <w:hyperlink r:id="rId39" w:history="1">
        <w:r w:rsidR="000E6757" w:rsidRPr="006450DB">
          <w:rPr>
            <w:rStyle w:val="Hyperlink"/>
            <w:rFonts w:ascii="Arial" w:hAnsi="Arial" w:cs="Arial"/>
          </w:rPr>
          <w:t>https://doi.org/ 10.1016/j.jece.2014.06.003</w:t>
        </w:r>
      </w:hyperlink>
      <w:r w:rsidR="00AF4599" w:rsidRPr="00F95779">
        <w:rPr>
          <w:rFonts w:ascii="Arial" w:hAnsi="Arial" w:cs="Arial"/>
        </w:rPr>
        <w:t>.</w:t>
      </w:r>
    </w:p>
    <w:p w14:paraId="4588A68B" w14:textId="77777777" w:rsidR="00DF4DA0" w:rsidRPr="004940B5" w:rsidRDefault="00DF4DA0" w:rsidP="00DF4DA0">
      <w:pPr>
        <w:ind w:left="1890" w:hanging="630"/>
        <w:jc w:val="both"/>
        <w:rPr>
          <w:rFonts w:ascii="Arial" w:hAnsi="Arial" w:cs="Arial"/>
        </w:rPr>
      </w:pPr>
      <w:r w:rsidRPr="004940B5">
        <w:rPr>
          <w:rFonts w:ascii="Arial" w:hAnsi="Arial" w:cs="Arial"/>
        </w:rPr>
        <w:t xml:space="preserve">Nwokocha, B. C., </w:t>
      </w:r>
      <w:proofErr w:type="spellStart"/>
      <w:r w:rsidRPr="004940B5">
        <w:rPr>
          <w:rFonts w:ascii="Arial" w:hAnsi="Arial" w:cs="Arial"/>
        </w:rPr>
        <w:t>Chatzifragkou</w:t>
      </w:r>
      <w:proofErr w:type="spellEnd"/>
      <w:r w:rsidRPr="004940B5">
        <w:rPr>
          <w:rFonts w:ascii="Arial" w:hAnsi="Arial" w:cs="Arial"/>
        </w:rPr>
        <w:t>, A., &amp; Fagan, C. C. (2023). Impact of ultrasonication on African oil bean (</w:t>
      </w:r>
      <w:proofErr w:type="spellStart"/>
      <w:r w:rsidRPr="004940B5">
        <w:rPr>
          <w:rFonts w:ascii="Arial" w:hAnsi="Arial" w:cs="Arial"/>
          <w:i/>
        </w:rPr>
        <w:t>Pentaclethra</w:t>
      </w:r>
      <w:proofErr w:type="spellEnd"/>
      <w:r w:rsidRPr="004940B5">
        <w:rPr>
          <w:rFonts w:ascii="Arial" w:hAnsi="Arial" w:cs="Arial"/>
          <w:i/>
        </w:rPr>
        <w:t xml:space="preserve"> macrophylla</w:t>
      </w:r>
      <w:r w:rsidRPr="004940B5">
        <w:rPr>
          <w:rFonts w:ascii="Arial" w:hAnsi="Arial" w:cs="Arial"/>
        </w:rPr>
        <w:t xml:space="preserve"> </w:t>
      </w:r>
      <w:proofErr w:type="spellStart"/>
      <w:r w:rsidRPr="004940B5">
        <w:rPr>
          <w:rFonts w:ascii="Arial" w:hAnsi="Arial" w:cs="Arial"/>
        </w:rPr>
        <w:t>Benth</w:t>
      </w:r>
      <w:proofErr w:type="spellEnd"/>
      <w:r w:rsidRPr="004940B5">
        <w:rPr>
          <w:rFonts w:ascii="Arial" w:hAnsi="Arial" w:cs="Arial"/>
        </w:rPr>
        <w:t xml:space="preserve">) protein extraction and properties. Foods, 12(1627), 1–15. </w:t>
      </w:r>
      <w:hyperlink r:id="rId40" w:history="1">
        <w:r w:rsidR="000E6757" w:rsidRPr="000E6757">
          <w:t xml:space="preserve"> </w:t>
        </w:r>
        <w:r w:rsidR="000E6757" w:rsidRPr="000E6757">
          <w:rPr>
            <w:rStyle w:val="Hyperlink"/>
            <w:rFonts w:ascii="Arial" w:hAnsi="Arial" w:cs="Arial"/>
          </w:rPr>
          <w:t>https://doi.org/</w:t>
        </w:r>
        <w:r w:rsidR="00AF4599" w:rsidRPr="00F95779">
          <w:rPr>
            <w:rStyle w:val="Hyperlink"/>
            <w:rFonts w:ascii="Arial" w:hAnsi="Arial" w:cs="Arial"/>
          </w:rPr>
          <w:t>10.3390/foods12081627</w:t>
        </w:r>
      </w:hyperlink>
      <w:r w:rsidR="00AF4599" w:rsidRPr="00F95779">
        <w:rPr>
          <w:rFonts w:ascii="Arial" w:hAnsi="Arial" w:cs="Arial"/>
        </w:rPr>
        <w:t>.</w:t>
      </w:r>
    </w:p>
    <w:p w14:paraId="2669ECFA" w14:textId="77777777" w:rsidR="00F07467" w:rsidRDefault="00F07467" w:rsidP="008F1D30">
      <w:pPr>
        <w:ind w:left="1890" w:hanging="630"/>
        <w:jc w:val="both"/>
        <w:rPr>
          <w:rFonts w:ascii="Arial" w:hAnsi="Arial" w:cs="Arial"/>
        </w:rPr>
      </w:pPr>
      <w:r w:rsidRPr="00F95779">
        <w:rPr>
          <w:rFonts w:ascii="Arial" w:hAnsi="Arial" w:cs="Arial"/>
        </w:rPr>
        <w:t xml:space="preserve">Obi, </w:t>
      </w:r>
      <w:r>
        <w:rPr>
          <w:rFonts w:ascii="Arial" w:hAnsi="Arial" w:cs="Arial"/>
        </w:rPr>
        <w:t>A.</w:t>
      </w:r>
      <w:r w:rsidR="008F1D30">
        <w:rPr>
          <w:rFonts w:ascii="Arial" w:hAnsi="Arial" w:cs="Arial"/>
        </w:rPr>
        <w:t xml:space="preserve"> </w:t>
      </w:r>
      <w:r>
        <w:rPr>
          <w:rFonts w:ascii="Arial" w:hAnsi="Arial" w:cs="Arial"/>
        </w:rPr>
        <w:t xml:space="preserve">I., </w:t>
      </w:r>
      <w:proofErr w:type="spellStart"/>
      <w:r w:rsidRPr="00F95779">
        <w:rPr>
          <w:rFonts w:ascii="Arial" w:hAnsi="Arial" w:cs="Arial"/>
        </w:rPr>
        <w:t>Ajiwe</w:t>
      </w:r>
      <w:proofErr w:type="spellEnd"/>
      <w:r w:rsidRPr="00F95779">
        <w:rPr>
          <w:rFonts w:ascii="Arial" w:hAnsi="Arial" w:cs="Arial"/>
        </w:rPr>
        <w:t xml:space="preserve">, </w:t>
      </w:r>
      <w:r w:rsidR="008F1D30">
        <w:rPr>
          <w:rFonts w:ascii="Arial" w:hAnsi="Arial" w:cs="Arial"/>
        </w:rPr>
        <w:t>A. C.</w:t>
      </w:r>
      <w:r>
        <w:rPr>
          <w:rFonts w:ascii="Arial" w:hAnsi="Arial" w:cs="Arial"/>
        </w:rPr>
        <w:t xml:space="preserve">, </w:t>
      </w:r>
      <w:r w:rsidRPr="00F95779">
        <w:rPr>
          <w:rFonts w:ascii="Arial" w:hAnsi="Arial" w:cs="Arial"/>
        </w:rPr>
        <w:t>Okoye,</w:t>
      </w:r>
      <w:r w:rsidR="008F1D30">
        <w:rPr>
          <w:rFonts w:ascii="Arial" w:hAnsi="Arial" w:cs="Arial"/>
        </w:rPr>
        <w:t xml:space="preserve"> P. A. C.,</w:t>
      </w:r>
      <w:r w:rsidRPr="00F95779">
        <w:rPr>
          <w:rFonts w:ascii="Arial" w:hAnsi="Arial" w:cs="Arial"/>
        </w:rPr>
        <w:t xml:space="preserve"> Umeh, </w:t>
      </w:r>
      <w:r w:rsidR="008F1D30" w:rsidRPr="00F95779">
        <w:rPr>
          <w:rFonts w:ascii="Arial" w:hAnsi="Arial" w:cs="Arial"/>
        </w:rPr>
        <w:t>C. T.</w:t>
      </w:r>
      <w:r w:rsidR="008F1D30">
        <w:rPr>
          <w:rFonts w:ascii="Arial" w:hAnsi="Arial" w:cs="Arial"/>
        </w:rPr>
        <w:t>,</w:t>
      </w:r>
      <w:r w:rsidR="008F1D30" w:rsidRPr="00F95779">
        <w:rPr>
          <w:rFonts w:ascii="Arial" w:hAnsi="Arial" w:cs="Arial"/>
        </w:rPr>
        <w:t xml:space="preserve"> </w:t>
      </w:r>
      <w:r w:rsidR="008F1D30">
        <w:rPr>
          <w:rFonts w:ascii="Arial" w:hAnsi="Arial" w:cs="Arial"/>
        </w:rPr>
        <w:t xml:space="preserve">&amp; </w:t>
      </w:r>
      <w:r w:rsidRPr="00F95779">
        <w:rPr>
          <w:rFonts w:ascii="Arial" w:hAnsi="Arial" w:cs="Arial"/>
        </w:rPr>
        <w:t>Amadi,</w:t>
      </w:r>
      <w:r w:rsidR="008F1D30" w:rsidRPr="008F1D30">
        <w:rPr>
          <w:rFonts w:ascii="Arial" w:hAnsi="Arial" w:cs="Arial"/>
        </w:rPr>
        <w:t xml:space="preserve"> </w:t>
      </w:r>
      <w:r w:rsidR="008F1D30">
        <w:rPr>
          <w:rFonts w:ascii="Arial" w:hAnsi="Arial" w:cs="Arial"/>
        </w:rPr>
        <w:t xml:space="preserve">E. G. (2024). </w:t>
      </w:r>
      <w:r w:rsidRPr="00F95779">
        <w:rPr>
          <w:rFonts w:ascii="Arial" w:hAnsi="Arial" w:cs="Arial"/>
        </w:rPr>
        <w:t>Crude oil sorption performance of native and acet</w:t>
      </w:r>
      <w:r w:rsidR="008F1D30">
        <w:rPr>
          <w:rFonts w:ascii="Arial" w:hAnsi="Arial" w:cs="Arial"/>
        </w:rPr>
        <w:t xml:space="preserve">ylated Siamese senna seed pods. </w:t>
      </w:r>
      <w:r>
        <w:rPr>
          <w:rFonts w:ascii="Arial" w:hAnsi="Arial" w:cs="Arial"/>
        </w:rPr>
        <w:t xml:space="preserve">Sustainable </w:t>
      </w:r>
      <w:r w:rsidRPr="00F07467">
        <w:rPr>
          <w:rFonts w:ascii="Arial" w:hAnsi="Arial" w:cs="Arial"/>
        </w:rPr>
        <w:t>Chem</w:t>
      </w:r>
      <w:r>
        <w:rPr>
          <w:rFonts w:ascii="Arial" w:hAnsi="Arial" w:cs="Arial"/>
        </w:rPr>
        <w:t>istry for the</w:t>
      </w:r>
      <w:r w:rsidRPr="00F07467">
        <w:rPr>
          <w:rFonts w:ascii="Arial" w:hAnsi="Arial" w:cs="Arial"/>
        </w:rPr>
        <w:t xml:space="preserve"> Environ</w:t>
      </w:r>
      <w:r>
        <w:rPr>
          <w:rFonts w:ascii="Arial" w:hAnsi="Arial" w:cs="Arial"/>
        </w:rPr>
        <w:t>ment</w:t>
      </w:r>
      <w:r w:rsidRPr="00F95779">
        <w:rPr>
          <w:rFonts w:ascii="Arial" w:hAnsi="Arial" w:cs="Arial"/>
        </w:rPr>
        <w:t xml:space="preserve">, </w:t>
      </w:r>
      <w:r w:rsidR="008F1D30">
        <w:rPr>
          <w:rFonts w:ascii="Arial" w:hAnsi="Arial" w:cs="Arial"/>
        </w:rPr>
        <w:t>8(</w:t>
      </w:r>
      <w:r w:rsidRPr="00F95779">
        <w:rPr>
          <w:rFonts w:ascii="Arial" w:hAnsi="Arial" w:cs="Arial"/>
        </w:rPr>
        <w:t>100173</w:t>
      </w:r>
      <w:r w:rsidR="008F1D30">
        <w:rPr>
          <w:rFonts w:ascii="Arial" w:hAnsi="Arial" w:cs="Arial"/>
        </w:rPr>
        <w:t>)</w:t>
      </w:r>
      <w:r w:rsidRPr="00F95779">
        <w:rPr>
          <w:rFonts w:ascii="Arial" w:hAnsi="Arial" w:cs="Arial"/>
        </w:rPr>
        <w:t xml:space="preserve">, </w:t>
      </w:r>
      <w:r w:rsidR="008F1D30">
        <w:rPr>
          <w:rFonts w:ascii="Arial" w:hAnsi="Arial" w:cs="Arial"/>
        </w:rPr>
        <w:t>1- 13</w:t>
      </w:r>
      <w:r w:rsidRPr="00F95779">
        <w:rPr>
          <w:rFonts w:ascii="Arial" w:hAnsi="Arial" w:cs="Arial"/>
        </w:rPr>
        <w:t xml:space="preserve">. </w:t>
      </w:r>
      <w:hyperlink r:id="rId41" w:history="1">
        <w:r w:rsidR="000E6757" w:rsidRPr="006450DB">
          <w:rPr>
            <w:rStyle w:val="Hyperlink"/>
            <w:rFonts w:ascii="Arial" w:hAnsi="Arial" w:cs="Arial"/>
          </w:rPr>
          <w:t>https://doi.org/10.1016/j.scenv.2024.100173</w:t>
        </w:r>
      </w:hyperlink>
      <w:r>
        <w:rPr>
          <w:rFonts w:ascii="Arial" w:hAnsi="Arial" w:cs="Arial"/>
        </w:rPr>
        <w:t>.</w:t>
      </w:r>
    </w:p>
    <w:p w14:paraId="48B4FB6D" w14:textId="77777777" w:rsidR="00DF4DA0" w:rsidRDefault="00DF4DA0" w:rsidP="00DF4DA0">
      <w:pPr>
        <w:ind w:left="1890" w:hanging="630"/>
        <w:jc w:val="both"/>
        <w:rPr>
          <w:rFonts w:ascii="Arial" w:hAnsi="Arial" w:cs="Arial"/>
        </w:rPr>
      </w:pPr>
      <w:r w:rsidRPr="004940B5">
        <w:rPr>
          <w:rFonts w:ascii="Arial" w:hAnsi="Arial" w:cs="Arial"/>
        </w:rPr>
        <w:t xml:space="preserve">Obi, A. I., </w:t>
      </w:r>
      <w:proofErr w:type="spellStart"/>
      <w:r w:rsidRPr="004940B5">
        <w:rPr>
          <w:rFonts w:ascii="Arial" w:hAnsi="Arial" w:cs="Arial"/>
        </w:rPr>
        <w:t>Ajiwe</w:t>
      </w:r>
      <w:proofErr w:type="spellEnd"/>
      <w:r w:rsidRPr="004940B5">
        <w:rPr>
          <w:rFonts w:ascii="Arial" w:hAnsi="Arial" w:cs="Arial"/>
        </w:rPr>
        <w:t xml:space="preserve">, V. I. E., &amp; Okonkwo, C. P. (2023). Equilibrium and kinetic studies of crude oil sorption on unmodified and </w:t>
      </w:r>
      <w:r w:rsidR="008F1D30">
        <w:rPr>
          <w:rFonts w:ascii="Arial" w:hAnsi="Arial" w:cs="Arial"/>
        </w:rPr>
        <w:t>modified Napier grass, Makara Journal of Science</w:t>
      </w:r>
      <w:r w:rsidRPr="004940B5">
        <w:rPr>
          <w:rFonts w:ascii="Arial" w:hAnsi="Arial" w:cs="Arial"/>
        </w:rPr>
        <w:t>, 27(2), 115–128.</w:t>
      </w:r>
      <w:r w:rsidR="00F07467" w:rsidRPr="00F07467">
        <w:rPr>
          <w:rFonts w:ascii="Arial" w:hAnsi="Arial" w:cs="Arial"/>
        </w:rPr>
        <w:t xml:space="preserve"> </w:t>
      </w:r>
      <w:hyperlink r:id="rId42" w:history="1">
        <w:r w:rsidR="000E6757" w:rsidRPr="000E6757">
          <w:t xml:space="preserve"> </w:t>
        </w:r>
        <w:r w:rsidR="000E6757" w:rsidRPr="000E6757">
          <w:rPr>
            <w:rStyle w:val="Hyperlink"/>
            <w:rFonts w:ascii="Arial" w:hAnsi="Arial" w:cs="Arial"/>
          </w:rPr>
          <w:t>https://doi.org/</w:t>
        </w:r>
        <w:r w:rsidR="00F07467" w:rsidRPr="00F95779">
          <w:rPr>
            <w:rStyle w:val="Hyperlink"/>
            <w:rFonts w:ascii="Arial" w:hAnsi="Arial" w:cs="Arial"/>
          </w:rPr>
          <w:t>org/10.7454/mss.v27i2.1458</w:t>
        </w:r>
      </w:hyperlink>
      <w:r w:rsidR="00F07467" w:rsidRPr="00F95779">
        <w:rPr>
          <w:rFonts w:ascii="Arial" w:hAnsi="Arial" w:cs="Arial"/>
        </w:rPr>
        <w:t>.</w:t>
      </w:r>
    </w:p>
    <w:p w14:paraId="621E5ECF" w14:textId="77777777" w:rsidR="00F07467" w:rsidRPr="00F95779" w:rsidRDefault="00F07467" w:rsidP="00862D7A">
      <w:pPr>
        <w:ind w:left="1890" w:hanging="630"/>
        <w:jc w:val="both"/>
        <w:rPr>
          <w:rFonts w:ascii="Arial" w:hAnsi="Arial" w:cs="Arial"/>
        </w:rPr>
      </w:pPr>
      <w:r w:rsidRPr="00F95779">
        <w:rPr>
          <w:rFonts w:ascii="Arial" w:hAnsi="Arial" w:cs="Arial"/>
        </w:rPr>
        <w:t xml:space="preserve">Ogbeh, </w:t>
      </w:r>
      <w:r>
        <w:rPr>
          <w:rFonts w:ascii="Arial" w:hAnsi="Arial" w:cs="Arial"/>
        </w:rPr>
        <w:t>G.</w:t>
      </w:r>
      <w:r w:rsidR="00862D7A">
        <w:rPr>
          <w:rFonts w:ascii="Arial" w:hAnsi="Arial" w:cs="Arial"/>
        </w:rPr>
        <w:t xml:space="preserve"> </w:t>
      </w:r>
      <w:r>
        <w:rPr>
          <w:rFonts w:ascii="Arial" w:hAnsi="Arial" w:cs="Arial"/>
        </w:rPr>
        <w:t xml:space="preserve">O., </w:t>
      </w:r>
      <w:proofErr w:type="spellStart"/>
      <w:r w:rsidRPr="00F95779">
        <w:rPr>
          <w:rFonts w:ascii="Arial" w:hAnsi="Arial" w:cs="Arial"/>
        </w:rPr>
        <w:t>Ogunlela</w:t>
      </w:r>
      <w:proofErr w:type="spellEnd"/>
      <w:r w:rsidRPr="00F95779">
        <w:rPr>
          <w:rFonts w:ascii="Arial" w:hAnsi="Arial" w:cs="Arial"/>
        </w:rPr>
        <w:t xml:space="preserve">, </w:t>
      </w:r>
      <w:r w:rsidR="00862D7A" w:rsidRPr="00F95779">
        <w:rPr>
          <w:rFonts w:ascii="Arial" w:hAnsi="Arial" w:cs="Arial"/>
        </w:rPr>
        <w:t>A. O.</w:t>
      </w:r>
      <w:r w:rsidR="00862D7A">
        <w:rPr>
          <w:rFonts w:ascii="Arial" w:hAnsi="Arial" w:cs="Arial"/>
        </w:rPr>
        <w:t>, &amp;</w:t>
      </w:r>
      <w:r w:rsidRPr="00F95779">
        <w:rPr>
          <w:rFonts w:ascii="Arial" w:hAnsi="Arial" w:cs="Arial"/>
        </w:rPr>
        <w:t xml:space="preserve"> </w:t>
      </w:r>
      <w:proofErr w:type="spellStart"/>
      <w:r w:rsidRPr="00F95779">
        <w:rPr>
          <w:rFonts w:ascii="Arial" w:hAnsi="Arial" w:cs="Arial"/>
        </w:rPr>
        <w:t>Emaikwu</w:t>
      </w:r>
      <w:proofErr w:type="spellEnd"/>
      <w:r w:rsidRPr="00F95779">
        <w:rPr>
          <w:rFonts w:ascii="Arial" w:hAnsi="Arial" w:cs="Arial"/>
        </w:rPr>
        <w:t xml:space="preserve">, </w:t>
      </w:r>
      <w:r w:rsidR="00862D7A" w:rsidRPr="00F95779">
        <w:rPr>
          <w:rFonts w:ascii="Arial" w:hAnsi="Arial" w:cs="Arial"/>
        </w:rPr>
        <w:t xml:space="preserve">N. O. </w:t>
      </w:r>
      <w:r w:rsidR="00862D7A">
        <w:rPr>
          <w:rFonts w:ascii="Arial" w:hAnsi="Arial" w:cs="Arial"/>
        </w:rPr>
        <w:t xml:space="preserve">(2024). </w:t>
      </w:r>
      <w:r w:rsidRPr="00F95779">
        <w:rPr>
          <w:rFonts w:ascii="Arial" w:hAnsi="Arial" w:cs="Arial"/>
        </w:rPr>
        <w:t xml:space="preserve">Statistical optimization of iodine adsorption for </w:t>
      </w:r>
      <w:proofErr w:type="spellStart"/>
      <w:r w:rsidRPr="00F95779">
        <w:rPr>
          <w:rFonts w:ascii="Arial" w:hAnsi="Arial" w:cs="Arial"/>
          <w:i/>
        </w:rPr>
        <w:t>Pentaclethra</w:t>
      </w:r>
      <w:proofErr w:type="spellEnd"/>
      <w:r w:rsidRPr="00F95779">
        <w:rPr>
          <w:rFonts w:ascii="Arial" w:hAnsi="Arial" w:cs="Arial"/>
          <w:i/>
        </w:rPr>
        <w:t xml:space="preserve"> macrophylla</w:t>
      </w:r>
      <w:r w:rsidRPr="00F95779">
        <w:rPr>
          <w:rFonts w:ascii="Arial" w:hAnsi="Arial" w:cs="Arial"/>
        </w:rPr>
        <w:t xml:space="preserve"> pods activated carbon producti</w:t>
      </w:r>
      <w:r w:rsidR="00862D7A">
        <w:rPr>
          <w:rFonts w:ascii="Arial" w:hAnsi="Arial" w:cs="Arial"/>
        </w:rPr>
        <w:t>on.</w:t>
      </w:r>
      <w:r w:rsidRPr="00F95779">
        <w:rPr>
          <w:rFonts w:ascii="Arial" w:hAnsi="Arial" w:cs="Arial"/>
        </w:rPr>
        <w:t xml:space="preserve"> </w:t>
      </w:r>
      <w:r>
        <w:rPr>
          <w:rFonts w:ascii="Arial" w:hAnsi="Arial" w:cs="Arial"/>
        </w:rPr>
        <w:t>Science</w:t>
      </w:r>
      <w:r w:rsidRPr="00F07467">
        <w:rPr>
          <w:rFonts w:ascii="Arial" w:hAnsi="Arial" w:cs="Arial"/>
        </w:rPr>
        <w:t xml:space="preserve"> World J</w:t>
      </w:r>
      <w:r>
        <w:rPr>
          <w:rFonts w:ascii="Arial" w:hAnsi="Arial" w:cs="Arial"/>
        </w:rPr>
        <w:t>ournal</w:t>
      </w:r>
      <w:r w:rsidR="00862D7A">
        <w:rPr>
          <w:rFonts w:ascii="Arial" w:hAnsi="Arial" w:cs="Arial"/>
        </w:rPr>
        <w:t xml:space="preserve">, </w:t>
      </w:r>
      <w:r w:rsidRPr="00F95779">
        <w:rPr>
          <w:rFonts w:ascii="Arial" w:hAnsi="Arial" w:cs="Arial"/>
        </w:rPr>
        <w:t>18</w:t>
      </w:r>
      <w:r w:rsidR="00862D7A">
        <w:rPr>
          <w:rFonts w:ascii="Arial" w:hAnsi="Arial" w:cs="Arial"/>
        </w:rPr>
        <w:t>(</w:t>
      </w:r>
      <w:r w:rsidRPr="00F95779">
        <w:rPr>
          <w:rFonts w:ascii="Arial" w:hAnsi="Arial" w:cs="Arial"/>
        </w:rPr>
        <w:t>4</w:t>
      </w:r>
      <w:r w:rsidR="00862D7A">
        <w:rPr>
          <w:rFonts w:ascii="Arial" w:hAnsi="Arial" w:cs="Arial"/>
        </w:rPr>
        <w:t>), 678–693</w:t>
      </w:r>
      <w:r w:rsidRPr="00F95779">
        <w:rPr>
          <w:rFonts w:ascii="Arial" w:hAnsi="Arial" w:cs="Arial"/>
        </w:rPr>
        <w:t xml:space="preserve">. </w:t>
      </w:r>
      <w:hyperlink r:id="rId43" w:history="1">
        <w:r w:rsidR="000E6757" w:rsidRPr="000E6757">
          <w:t xml:space="preserve"> </w:t>
        </w:r>
        <w:r w:rsidR="000E6757" w:rsidRPr="000E6757">
          <w:rPr>
            <w:rStyle w:val="Hyperlink"/>
            <w:rFonts w:ascii="Arial" w:hAnsi="Arial" w:cs="Arial"/>
          </w:rPr>
          <w:t>https://doi.org/</w:t>
        </w:r>
        <w:r w:rsidRPr="00F95779">
          <w:rPr>
            <w:rStyle w:val="Hyperlink"/>
            <w:rFonts w:ascii="Arial" w:hAnsi="Arial" w:cs="Arial"/>
          </w:rPr>
          <w:t>10.4314/swj.v18i4.22</w:t>
        </w:r>
      </w:hyperlink>
      <w:r w:rsidRPr="00F95779">
        <w:rPr>
          <w:rFonts w:ascii="Arial" w:hAnsi="Arial" w:cs="Arial"/>
        </w:rPr>
        <w:t>.</w:t>
      </w:r>
    </w:p>
    <w:p w14:paraId="42281FB7" w14:textId="77777777" w:rsidR="00F07467" w:rsidRPr="00F95779" w:rsidRDefault="00F07467" w:rsidP="00862D7A">
      <w:pPr>
        <w:ind w:left="1890" w:hanging="630"/>
        <w:jc w:val="both"/>
        <w:rPr>
          <w:rFonts w:ascii="Arial" w:hAnsi="Arial" w:cs="Arial"/>
        </w:rPr>
      </w:pPr>
      <w:proofErr w:type="spellStart"/>
      <w:r w:rsidRPr="00F95779">
        <w:rPr>
          <w:rFonts w:ascii="Arial" w:hAnsi="Arial" w:cs="Arial"/>
        </w:rPr>
        <w:t>Okey-Onyesolu</w:t>
      </w:r>
      <w:proofErr w:type="spellEnd"/>
      <w:r w:rsidRPr="00F95779">
        <w:rPr>
          <w:rFonts w:ascii="Arial" w:hAnsi="Arial" w:cs="Arial"/>
        </w:rPr>
        <w:t xml:space="preserve">, </w:t>
      </w:r>
      <w:r>
        <w:rPr>
          <w:rFonts w:ascii="Arial" w:hAnsi="Arial" w:cs="Arial"/>
        </w:rPr>
        <w:t>C.</w:t>
      </w:r>
      <w:r w:rsidR="00862D7A">
        <w:rPr>
          <w:rFonts w:ascii="Arial" w:hAnsi="Arial" w:cs="Arial"/>
        </w:rPr>
        <w:t xml:space="preserve"> </w:t>
      </w:r>
      <w:r>
        <w:rPr>
          <w:rFonts w:ascii="Arial" w:hAnsi="Arial" w:cs="Arial"/>
        </w:rPr>
        <w:t xml:space="preserve">F., </w:t>
      </w:r>
      <w:proofErr w:type="spellStart"/>
      <w:r w:rsidRPr="00F95779">
        <w:rPr>
          <w:rFonts w:ascii="Arial" w:hAnsi="Arial" w:cs="Arial"/>
        </w:rPr>
        <w:t>Onukwuli</w:t>
      </w:r>
      <w:proofErr w:type="spellEnd"/>
      <w:r w:rsidRPr="00F95779">
        <w:rPr>
          <w:rFonts w:ascii="Arial" w:hAnsi="Arial" w:cs="Arial"/>
        </w:rPr>
        <w:t xml:space="preserve">, </w:t>
      </w:r>
      <w:r w:rsidR="00862D7A" w:rsidRPr="00F95779">
        <w:rPr>
          <w:rFonts w:ascii="Arial" w:hAnsi="Arial" w:cs="Arial"/>
        </w:rPr>
        <w:t xml:space="preserve">O. D. </w:t>
      </w:r>
      <w:r w:rsidRPr="00F95779">
        <w:rPr>
          <w:rFonts w:ascii="Arial" w:hAnsi="Arial" w:cs="Arial"/>
        </w:rPr>
        <w:t xml:space="preserve">Okoye, </w:t>
      </w:r>
      <w:r w:rsidR="00862D7A">
        <w:rPr>
          <w:rFonts w:ascii="Arial" w:hAnsi="Arial" w:cs="Arial"/>
        </w:rPr>
        <w:t>C. C., &amp;</w:t>
      </w:r>
      <w:r w:rsidRPr="00F95779">
        <w:rPr>
          <w:rFonts w:ascii="Arial" w:hAnsi="Arial" w:cs="Arial"/>
        </w:rPr>
        <w:t xml:space="preserve"> Nwokedi, </w:t>
      </w:r>
      <w:r w:rsidR="00862D7A" w:rsidRPr="00F95779">
        <w:rPr>
          <w:rFonts w:ascii="Arial" w:hAnsi="Arial" w:cs="Arial"/>
        </w:rPr>
        <w:t xml:space="preserve">I. C. </w:t>
      </w:r>
      <w:r w:rsidR="00862D7A">
        <w:rPr>
          <w:rFonts w:ascii="Arial" w:hAnsi="Arial" w:cs="Arial"/>
        </w:rPr>
        <w:t xml:space="preserve">(2016). </w:t>
      </w:r>
      <w:r w:rsidRPr="00F95779">
        <w:rPr>
          <w:rFonts w:ascii="Arial" w:hAnsi="Arial" w:cs="Arial"/>
        </w:rPr>
        <w:t xml:space="preserve">Removal of heavy metal </w:t>
      </w:r>
      <w:proofErr w:type="gramStart"/>
      <w:r w:rsidRPr="00F95779">
        <w:rPr>
          <w:rFonts w:ascii="Arial" w:hAnsi="Arial" w:cs="Arial"/>
        </w:rPr>
        <w:t>Pb(</w:t>
      </w:r>
      <w:proofErr w:type="gramEnd"/>
      <w:r w:rsidRPr="00F95779">
        <w:rPr>
          <w:rFonts w:ascii="Arial" w:hAnsi="Arial" w:cs="Arial"/>
        </w:rPr>
        <w:t xml:space="preserve">II) ions from aqueous solution using </w:t>
      </w:r>
      <w:proofErr w:type="spellStart"/>
      <w:r w:rsidRPr="00F95779">
        <w:rPr>
          <w:rFonts w:ascii="Arial" w:hAnsi="Arial" w:cs="Arial"/>
        </w:rPr>
        <w:t>Pentaclethra</w:t>
      </w:r>
      <w:proofErr w:type="spellEnd"/>
      <w:r w:rsidRPr="00F95779">
        <w:rPr>
          <w:rFonts w:ascii="Arial" w:hAnsi="Arial" w:cs="Arial"/>
        </w:rPr>
        <w:t xml:space="preserve"> macrophylla and </w:t>
      </w:r>
      <w:proofErr w:type="spellStart"/>
      <w:r w:rsidRPr="00F95779">
        <w:rPr>
          <w:rFonts w:ascii="Arial" w:hAnsi="Arial" w:cs="Arial"/>
        </w:rPr>
        <w:t>Tetracarpidium</w:t>
      </w:r>
      <w:proofErr w:type="spellEnd"/>
      <w:r w:rsidRPr="00F95779">
        <w:rPr>
          <w:rFonts w:ascii="Arial" w:hAnsi="Arial" w:cs="Arial"/>
        </w:rPr>
        <w:t xml:space="preserve"> </w:t>
      </w:r>
      <w:proofErr w:type="spellStart"/>
      <w:r w:rsidRPr="00F95779">
        <w:rPr>
          <w:rFonts w:ascii="Arial" w:hAnsi="Arial" w:cs="Arial"/>
        </w:rPr>
        <w:t>conophorum</w:t>
      </w:r>
      <w:proofErr w:type="spellEnd"/>
      <w:r w:rsidRPr="00F95779">
        <w:rPr>
          <w:rFonts w:ascii="Arial" w:hAnsi="Arial" w:cs="Arial"/>
        </w:rPr>
        <w:t xml:space="preserve"> seed shells based activated carbons: equilibrium, kinet</w:t>
      </w:r>
      <w:r w:rsidR="00862D7A">
        <w:rPr>
          <w:rFonts w:ascii="Arial" w:hAnsi="Arial" w:cs="Arial"/>
        </w:rPr>
        <w:t>ics and thermodynamics studies.</w:t>
      </w:r>
      <w:r w:rsidRPr="00F95779">
        <w:rPr>
          <w:rFonts w:ascii="Arial" w:hAnsi="Arial" w:cs="Arial"/>
        </w:rPr>
        <w:t xml:space="preserve"> </w:t>
      </w:r>
      <w:r w:rsidR="008F1D30">
        <w:rPr>
          <w:rFonts w:ascii="Arial" w:hAnsi="Arial" w:cs="Arial"/>
        </w:rPr>
        <w:t>British Journal of Applied Science and Technology</w:t>
      </w:r>
      <w:r w:rsidRPr="00F95779">
        <w:rPr>
          <w:rFonts w:ascii="Arial" w:hAnsi="Arial" w:cs="Arial"/>
        </w:rPr>
        <w:t>, 16</w:t>
      </w:r>
      <w:r w:rsidR="00862D7A">
        <w:rPr>
          <w:rFonts w:ascii="Arial" w:hAnsi="Arial" w:cs="Arial"/>
        </w:rPr>
        <w:t>(</w:t>
      </w:r>
      <w:r w:rsidRPr="00F95779">
        <w:rPr>
          <w:rFonts w:ascii="Arial" w:hAnsi="Arial" w:cs="Arial"/>
        </w:rPr>
        <w:t>6</w:t>
      </w:r>
      <w:r w:rsidR="00862D7A">
        <w:rPr>
          <w:rFonts w:ascii="Arial" w:hAnsi="Arial" w:cs="Arial"/>
        </w:rPr>
        <w:t>), 1–20</w:t>
      </w:r>
      <w:r w:rsidRPr="00F95779">
        <w:rPr>
          <w:rFonts w:ascii="Arial" w:hAnsi="Arial" w:cs="Arial"/>
        </w:rPr>
        <w:t xml:space="preserve">. </w:t>
      </w:r>
      <w:hyperlink r:id="rId44" w:history="1">
        <w:r w:rsidR="00AD7389" w:rsidRPr="006450DB">
          <w:rPr>
            <w:rStyle w:val="Hyperlink"/>
            <w:rFonts w:ascii="Arial" w:hAnsi="Arial" w:cs="Arial"/>
          </w:rPr>
          <w:t>https://doi.org/10.9734/BJAST/2016/27255</w:t>
        </w:r>
      </w:hyperlink>
      <w:r w:rsidRPr="00F95779">
        <w:rPr>
          <w:rFonts w:ascii="Arial" w:hAnsi="Arial" w:cs="Arial"/>
        </w:rPr>
        <w:t>.</w:t>
      </w:r>
    </w:p>
    <w:p w14:paraId="18557444" w14:textId="77777777" w:rsidR="00DF4DA0" w:rsidRPr="004940B5" w:rsidRDefault="00DF4DA0" w:rsidP="00DF4DA0">
      <w:pPr>
        <w:ind w:left="1890" w:hanging="630"/>
        <w:jc w:val="both"/>
        <w:rPr>
          <w:rFonts w:ascii="Arial" w:hAnsi="Arial" w:cs="Arial"/>
        </w:rPr>
      </w:pPr>
      <w:r w:rsidRPr="004940B5">
        <w:rPr>
          <w:rFonts w:ascii="Arial" w:hAnsi="Arial" w:cs="Arial"/>
        </w:rPr>
        <w:t xml:space="preserve">Omer, A. M., Khalifa, R. E., Tamer, T. M., Ali, A. A., Ammar, Y. A., &amp; Eldina, M. S. M. (2020). Kinetic and thermodynamic studies for the </w:t>
      </w:r>
      <w:proofErr w:type="spellStart"/>
      <w:r w:rsidRPr="004940B5">
        <w:rPr>
          <w:rFonts w:ascii="Arial" w:hAnsi="Arial" w:cs="Arial"/>
        </w:rPr>
        <w:t>sorptive</w:t>
      </w:r>
      <w:proofErr w:type="spellEnd"/>
      <w:r w:rsidRPr="004940B5">
        <w:rPr>
          <w:rFonts w:ascii="Arial" w:hAnsi="Arial" w:cs="Arial"/>
        </w:rPr>
        <w:t xml:space="preserve"> removal of crude oil spills using a low-cost chitosan-poly (butyl acr</w:t>
      </w:r>
      <w:r w:rsidR="008F1D30">
        <w:rPr>
          <w:rFonts w:ascii="Arial" w:hAnsi="Arial" w:cs="Arial"/>
        </w:rPr>
        <w:t>ylate) grafted copolymer. Desalination and</w:t>
      </w:r>
      <w:r w:rsidRPr="004940B5">
        <w:rPr>
          <w:rFonts w:ascii="Arial" w:hAnsi="Arial" w:cs="Arial"/>
        </w:rPr>
        <w:t xml:space="preserve"> Water Treat</w:t>
      </w:r>
      <w:r w:rsidR="008F1D30">
        <w:rPr>
          <w:rFonts w:ascii="Arial" w:hAnsi="Arial" w:cs="Arial"/>
        </w:rPr>
        <w:t>ment</w:t>
      </w:r>
      <w:r w:rsidRPr="004940B5">
        <w:rPr>
          <w:rFonts w:ascii="Arial" w:hAnsi="Arial" w:cs="Arial"/>
        </w:rPr>
        <w:t>, 192, 213–225.</w:t>
      </w:r>
      <w:r w:rsidR="008F1D30">
        <w:rPr>
          <w:rFonts w:ascii="Arial" w:hAnsi="Arial" w:cs="Arial"/>
        </w:rPr>
        <w:t xml:space="preserve"> </w:t>
      </w:r>
      <w:hyperlink r:id="rId45"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rPr>
          <w:t>10.5004/dwt.2020.25704</w:t>
        </w:r>
      </w:hyperlink>
      <w:r w:rsidR="008F1D30" w:rsidRPr="00F95779">
        <w:rPr>
          <w:rFonts w:ascii="Arial" w:hAnsi="Arial" w:cs="Arial"/>
        </w:rPr>
        <w:t>.</w:t>
      </w:r>
    </w:p>
    <w:p w14:paraId="215A24CE" w14:textId="77777777" w:rsidR="00DF4DA0" w:rsidRPr="004940B5" w:rsidRDefault="00DF4DA0" w:rsidP="00DF4DA0">
      <w:pPr>
        <w:ind w:left="1890" w:hanging="630"/>
        <w:jc w:val="both"/>
        <w:rPr>
          <w:rFonts w:ascii="Arial" w:hAnsi="Arial" w:cs="Arial"/>
        </w:rPr>
      </w:pPr>
      <w:r w:rsidRPr="004940B5">
        <w:rPr>
          <w:rFonts w:ascii="Arial" w:hAnsi="Arial" w:cs="Arial"/>
        </w:rPr>
        <w:t xml:space="preserve">Onwuka, J. C.  </w:t>
      </w:r>
      <w:proofErr w:type="spellStart"/>
      <w:r w:rsidRPr="004940B5">
        <w:rPr>
          <w:rFonts w:ascii="Arial" w:hAnsi="Arial" w:cs="Arial"/>
        </w:rPr>
        <w:t>Agbaji</w:t>
      </w:r>
      <w:proofErr w:type="spellEnd"/>
      <w:r w:rsidRPr="004940B5">
        <w:rPr>
          <w:rFonts w:ascii="Arial" w:hAnsi="Arial" w:cs="Arial"/>
        </w:rPr>
        <w:t xml:space="preserve">, E., Ajibola, V. O., &amp; </w:t>
      </w:r>
      <w:proofErr w:type="spellStart"/>
      <w:r w:rsidRPr="004940B5">
        <w:rPr>
          <w:rFonts w:ascii="Arial" w:hAnsi="Arial" w:cs="Arial"/>
        </w:rPr>
        <w:t>Okibe</w:t>
      </w:r>
      <w:proofErr w:type="spellEnd"/>
      <w:r w:rsidRPr="004940B5">
        <w:rPr>
          <w:rFonts w:ascii="Arial" w:hAnsi="Arial" w:cs="Arial"/>
        </w:rPr>
        <w:t xml:space="preserve">, F.  J. (2016). Kinetic studies of surface modification of lignocellulosic </w:t>
      </w:r>
      <w:proofErr w:type="spellStart"/>
      <w:r w:rsidRPr="004940B5">
        <w:rPr>
          <w:rFonts w:ascii="Arial" w:hAnsi="Arial" w:cs="Arial"/>
          <w:i/>
        </w:rPr>
        <w:t>Delonix</w:t>
      </w:r>
      <w:proofErr w:type="spellEnd"/>
      <w:r w:rsidRPr="004940B5">
        <w:rPr>
          <w:rFonts w:ascii="Arial" w:hAnsi="Arial" w:cs="Arial"/>
          <w:i/>
        </w:rPr>
        <w:t xml:space="preserve"> regia</w:t>
      </w:r>
      <w:r w:rsidRPr="004940B5">
        <w:rPr>
          <w:rFonts w:ascii="Arial" w:hAnsi="Arial" w:cs="Arial"/>
        </w:rPr>
        <w:t xml:space="preserve"> pods as sorbent for crude oil spill </w:t>
      </w:r>
      <w:r w:rsidR="008F1D30">
        <w:rPr>
          <w:rFonts w:ascii="Arial" w:hAnsi="Arial" w:cs="Arial"/>
        </w:rPr>
        <w:t>in water, Journal of Applied Research and Technology</w:t>
      </w:r>
      <w:r w:rsidRPr="004940B5">
        <w:rPr>
          <w:rFonts w:ascii="Arial" w:hAnsi="Arial" w:cs="Arial"/>
        </w:rPr>
        <w:t>,</w:t>
      </w:r>
      <w:r w:rsidRPr="004940B5">
        <w:rPr>
          <w:rFonts w:ascii="Arial" w:hAnsi="Arial" w:cs="Arial"/>
          <w:i/>
        </w:rPr>
        <w:t xml:space="preserve"> </w:t>
      </w:r>
      <w:r w:rsidRPr="004940B5">
        <w:rPr>
          <w:rFonts w:ascii="Arial" w:hAnsi="Arial" w:cs="Arial"/>
        </w:rPr>
        <w:t>14, 415–424.</w:t>
      </w:r>
      <w:r w:rsidR="008F1D30" w:rsidRPr="008F1D30">
        <w:rPr>
          <w:rFonts w:ascii="Arial" w:hAnsi="Arial" w:cs="Arial"/>
        </w:rPr>
        <w:t xml:space="preserve"> </w:t>
      </w:r>
      <w:hyperlink r:id="rId46"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rPr>
          <w:t xml:space="preserve"> 10.1016/j.jart.2016.09.004</w:t>
        </w:r>
      </w:hyperlink>
      <w:r w:rsidR="008F1D30" w:rsidRPr="00F95779">
        <w:rPr>
          <w:rFonts w:ascii="Arial" w:hAnsi="Arial" w:cs="Arial"/>
        </w:rPr>
        <w:t>.</w:t>
      </w:r>
    </w:p>
    <w:p w14:paraId="1A42ACFC" w14:textId="77777777" w:rsidR="00DF4DA0" w:rsidRPr="004940B5" w:rsidRDefault="00DF4DA0" w:rsidP="008F1D30">
      <w:pPr>
        <w:tabs>
          <w:tab w:val="left" w:pos="90"/>
        </w:tabs>
        <w:ind w:left="1890" w:hanging="630"/>
        <w:jc w:val="both"/>
        <w:rPr>
          <w:rFonts w:ascii="Arial" w:hAnsi="Arial" w:cs="Arial"/>
        </w:rPr>
      </w:pPr>
      <w:r w:rsidRPr="004940B5">
        <w:rPr>
          <w:rFonts w:ascii="Arial" w:hAnsi="Arial" w:cs="Arial"/>
        </w:rPr>
        <w:t xml:space="preserve">Onwuka, J. C., </w:t>
      </w:r>
      <w:proofErr w:type="spellStart"/>
      <w:r w:rsidRPr="004940B5">
        <w:rPr>
          <w:rFonts w:ascii="Arial" w:hAnsi="Arial" w:cs="Arial"/>
        </w:rPr>
        <w:t>Agbaji</w:t>
      </w:r>
      <w:proofErr w:type="spellEnd"/>
      <w:r w:rsidRPr="004940B5">
        <w:rPr>
          <w:rFonts w:ascii="Arial" w:hAnsi="Arial" w:cs="Arial"/>
        </w:rPr>
        <w:t xml:space="preserve">, E., Ajibola, V. O., &amp; </w:t>
      </w:r>
      <w:proofErr w:type="spellStart"/>
      <w:r w:rsidRPr="004940B5">
        <w:rPr>
          <w:rFonts w:ascii="Arial" w:hAnsi="Arial" w:cs="Arial"/>
        </w:rPr>
        <w:t>Okibe</w:t>
      </w:r>
      <w:proofErr w:type="spellEnd"/>
      <w:r w:rsidRPr="004940B5">
        <w:rPr>
          <w:rFonts w:ascii="Arial" w:hAnsi="Arial" w:cs="Arial"/>
        </w:rPr>
        <w:t>, F. (2018). Treatment of crude oil-contaminated water with chemically modified natural fiber. Appl</w:t>
      </w:r>
      <w:r w:rsidR="008F1D30">
        <w:rPr>
          <w:rFonts w:ascii="Arial" w:hAnsi="Arial" w:cs="Arial"/>
        </w:rPr>
        <w:t>ied Water Science</w:t>
      </w:r>
      <w:r w:rsidRPr="004940B5">
        <w:rPr>
          <w:rFonts w:ascii="Arial" w:hAnsi="Arial" w:cs="Arial"/>
        </w:rPr>
        <w:t>, 8(86), 1–10.</w:t>
      </w:r>
      <w:r w:rsidR="008F1D30" w:rsidRPr="008F1D30">
        <w:rPr>
          <w:rFonts w:ascii="Arial" w:hAnsi="Arial" w:cs="Arial"/>
        </w:rPr>
        <w:t xml:space="preserve"> </w:t>
      </w:r>
      <w:hyperlink r:id="rId47"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rPr>
          <w:t>10.1007/s13201-018-0727-5</w:t>
        </w:r>
      </w:hyperlink>
      <w:r w:rsidR="008F1D30" w:rsidRPr="00F95779">
        <w:rPr>
          <w:rFonts w:ascii="Arial" w:hAnsi="Arial" w:cs="Arial"/>
        </w:rPr>
        <w:t>.</w:t>
      </w:r>
    </w:p>
    <w:p w14:paraId="0AF2F13A" w14:textId="77777777" w:rsidR="004C538D" w:rsidRPr="008F1D30" w:rsidRDefault="004C538D" w:rsidP="004C538D">
      <w:pPr>
        <w:ind w:left="1890" w:hanging="630"/>
        <w:jc w:val="both"/>
        <w:rPr>
          <w:rFonts w:ascii="Arial" w:hAnsi="Arial" w:cs="Arial"/>
          <w:color w:val="FF0000"/>
        </w:rPr>
      </w:pPr>
      <w:proofErr w:type="spellStart"/>
      <w:r w:rsidRPr="004C538D">
        <w:rPr>
          <w:rFonts w:ascii="Arial" w:hAnsi="Arial" w:cs="Arial"/>
        </w:rPr>
        <w:lastRenderedPageBreak/>
        <w:t>Onyenibe</w:t>
      </w:r>
      <w:proofErr w:type="spellEnd"/>
      <w:r w:rsidRPr="004C538D">
        <w:rPr>
          <w:rFonts w:ascii="Arial" w:hAnsi="Arial" w:cs="Arial"/>
        </w:rPr>
        <w:t xml:space="preserve">, S. N., Ifie, J., &amp; </w:t>
      </w:r>
      <w:proofErr w:type="spellStart"/>
      <w:r w:rsidRPr="004C538D">
        <w:rPr>
          <w:rFonts w:ascii="Arial" w:hAnsi="Arial" w:cs="Arial"/>
        </w:rPr>
        <w:t>Oriabure</w:t>
      </w:r>
      <w:proofErr w:type="spellEnd"/>
      <w:r w:rsidRPr="004C538D">
        <w:rPr>
          <w:rFonts w:ascii="Arial" w:hAnsi="Arial" w:cs="Arial"/>
        </w:rPr>
        <w:t>, E.A., (2022). Use of plant foods from West Africa in the management of metabolic syndrome. In R. B. Singh, S. Watanabe, &amp; A. A. Isaza (Eds.), Functional foods and nutraceuticals in metabolic and non-communicable diseases (pp. 107-120). Massachusetts: Academic Press.</w:t>
      </w:r>
      <w:r>
        <w:rPr>
          <w:rFonts w:ascii="Arial" w:hAnsi="Arial" w:cs="Arial"/>
          <w:color w:val="FF0000"/>
        </w:rPr>
        <w:t xml:space="preserve"> </w:t>
      </w:r>
      <w:hyperlink r:id="rId48" w:history="1">
        <w:r w:rsidR="00AD7389" w:rsidRPr="00AD7389">
          <w:t xml:space="preserve"> </w:t>
        </w:r>
        <w:r w:rsidR="00AD7389" w:rsidRPr="00AD7389">
          <w:rPr>
            <w:rStyle w:val="Hyperlink"/>
            <w:rFonts w:ascii="Arial" w:hAnsi="Arial" w:cs="Arial"/>
          </w:rPr>
          <w:t>https://doi.org/</w:t>
        </w:r>
        <w:r w:rsidRPr="00F95779">
          <w:rPr>
            <w:rStyle w:val="Hyperlink"/>
            <w:rFonts w:ascii="Arial" w:hAnsi="Arial" w:cs="Arial"/>
          </w:rPr>
          <w:t>10.1016/B978-0-12-819815-5.00030-0</w:t>
        </w:r>
      </w:hyperlink>
      <w:r w:rsidRPr="00F95779">
        <w:rPr>
          <w:rFonts w:ascii="Arial" w:hAnsi="Arial" w:cs="Arial"/>
        </w:rPr>
        <w:t>.</w:t>
      </w:r>
    </w:p>
    <w:p w14:paraId="251D01F5" w14:textId="77777777" w:rsidR="00DF4DA0" w:rsidRPr="004940B5" w:rsidRDefault="00DF4DA0" w:rsidP="00DF4DA0">
      <w:pPr>
        <w:ind w:left="1890" w:hanging="630"/>
        <w:jc w:val="both"/>
        <w:rPr>
          <w:rFonts w:ascii="Arial" w:hAnsi="Arial" w:cs="Arial"/>
        </w:rPr>
      </w:pPr>
      <w:proofErr w:type="spellStart"/>
      <w:r w:rsidRPr="004940B5">
        <w:rPr>
          <w:rFonts w:ascii="Arial" w:hAnsi="Arial" w:cs="Arial"/>
        </w:rPr>
        <w:t>Purwaningrum</w:t>
      </w:r>
      <w:proofErr w:type="spellEnd"/>
      <w:r w:rsidRPr="004940B5">
        <w:rPr>
          <w:rFonts w:ascii="Arial" w:hAnsi="Arial" w:cs="Arial"/>
        </w:rPr>
        <w:t xml:space="preserve">, W., </w:t>
      </w:r>
      <w:proofErr w:type="spellStart"/>
      <w:r w:rsidRPr="004940B5">
        <w:rPr>
          <w:rFonts w:ascii="Arial" w:hAnsi="Arial" w:cs="Arial"/>
        </w:rPr>
        <w:t>Vilantina</w:t>
      </w:r>
      <w:proofErr w:type="spellEnd"/>
      <w:r w:rsidRPr="004940B5">
        <w:rPr>
          <w:rFonts w:ascii="Arial" w:hAnsi="Arial" w:cs="Arial"/>
        </w:rPr>
        <w:t xml:space="preserve">, V., </w:t>
      </w:r>
      <w:proofErr w:type="spellStart"/>
      <w:r w:rsidRPr="004940B5">
        <w:rPr>
          <w:rFonts w:ascii="Arial" w:hAnsi="Arial" w:cs="Arial"/>
        </w:rPr>
        <w:t>Rizki</w:t>
      </w:r>
      <w:proofErr w:type="spellEnd"/>
      <w:r w:rsidRPr="004940B5">
        <w:rPr>
          <w:rFonts w:ascii="Arial" w:hAnsi="Arial" w:cs="Arial"/>
        </w:rPr>
        <w:t xml:space="preserve">, W. T., </w:t>
      </w:r>
      <w:proofErr w:type="spellStart"/>
      <w:r w:rsidRPr="004940B5">
        <w:rPr>
          <w:rFonts w:ascii="Arial" w:hAnsi="Arial" w:cs="Arial"/>
        </w:rPr>
        <w:t>Desnelli</w:t>
      </w:r>
      <w:proofErr w:type="spellEnd"/>
      <w:r w:rsidRPr="004940B5">
        <w:rPr>
          <w:rFonts w:ascii="Arial" w:hAnsi="Arial" w:cs="Arial"/>
        </w:rPr>
        <w:t xml:space="preserve">, D., </w:t>
      </w:r>
      <w:proofErr w:type="spellStart"/>
      <w:r w:rsidRPr="004940B5">
        <w:rPr>
          <w:rFonts w:ascii="Arial" w:hAnsi="Arial" w:cs="Arial"/>
        </w:rPr>
        <w:t>Hariani</w:t>
      </w:r>
      <w:proofErr w:type="spellEnd"/>
      <w:r w:rsidRPr="004940B5">
        <w:rPr>
          <w:rFonts w:ascii="Arial" w:hAnsi="Arial" w:cs="Arial"/>
        </w:rPr>
        <w:t xml:space="preserve">, P. L., &amp; Said, M. (2021). </w:t>
      </w:r>
      <w:proofErr w:type="gramStart"/>
      <w:r w:rsidRPr="004940B5">
        <w:rPr>
          <w:rFonts w:ascii="Arial" w:hAnsi="Arial" w:cs="Arial"/>
        </w:rPr>
        <w:t>Cr(</w:t>
      </w:r>
      <w:proofErr w:type="gramEnd"/>
      <w:r w:rsidRPr="004940B5">
        <w:rPr>
          <w:rFonts w:ascii="Arial" w:hAnsi="Arial" w:cs="Arial"/>
        </w:rPr>
        <w:t>III)-doped bentonite: synthesis, characterization and applicati</w:t>
      </w:r>
      <w:r w:rsidR="008F1D30">
        <w:rPr>
          <w:rFonts w:ascii="Arial" w:hAnsi="Arial" w:cs="Arial"/>
        </w:rPr>
        <w:t>on for phenol removal, Makara Journal of</w:t>
      </w:r>
      <w:r w:rsidRPr="004940B5">
        <w:rPr>
          <w:rFonts w:ascii="Arial" w:hAnsi="Arial" w:cs="Arial"/>
        </w:rPr>
        <w:t xml:space="preserve"> Sci</w:t>
      </w:r>
      <w:r w:rsidR="008F1D30">
        <w:rPr>
          <w:rFonts w:ascii="Arial" w:hAnsi="Arial" w:cs="Arial"/>
        </w:rPr>
        <w:t>ence</w:t>
      </w:r>
      <w:r w:rsidRPr="004940B5">
        <w:rPr>
          <w:rFonts w:ascii="Arial" w:hAnsi="Arial" w:cs="Arial"/>
        </w:rPr>
        <w:t>, 25(2), 69–78.</w:t>
      </w:r>
      <w:r w:rsidR="008F1D30">
        <w:rPr>
          <w:rFonts w:ascii="Arial" w:hAnsi="Arial" w:cs="Arial"/>
        </w:rPr>
        <w:t xml:space="preserve"> </w:t>
      </w:r>
      <w:hyperlink r:id="rId49"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rPr>
          <w:t>10.7454/mss.v25i2.1171</w:t>
        </w:r>
      </w:hyperlink>
      <w:r w:rsidR="008F1D30" w:rsidRPr="00F95779">
        <w:rPr>
          <w:rStyle w:val="Hyperlink"/>
          <w:rFonts w:ascii="Arial" w:hAnsi="Arial" w:cs="Arial"/>
        </w:rPr>
        <w:t>.</w:t>
      </w:r>
    </w:p>
    <w:p w14:paraId="64E0DD35" w14:textId="77777777" w:rsidR="008C2FA5" w:rsidRDefault="008C2FA5" w:rsidP="008C2FA5">
      <w:pPr>
        <w:ind w:left="1890" w:hanging="630"/>
        <w:jc w:val="both"/>
        <w:rPr>
          <w:rFonts w:ascii="Arial" w:hAnsi="Arial" w:cs="Arial"/>
        </w:rPr>
      </w:pPr>
      <w:r w:rsidRPr="008C2FA5">
        <w:rPr>
          <w:rFonts w:ascii="Arial" w:hAnsi="Arial" w:cs="Arial"/>
        </w:rPr>
        <w:t>Oladimeji, A.</w:t>
      </w:r>
      <w:r w:rsidR="00862D7A">
        <w:rPr>
          <w:rFonts w:ascii="Arial" w:hAnsi="Arial" w:cs="Arial"/>
        </w:rPr>
        <w:t xml:space="preserve"> </w:t>
      </w:r>
      <w:r w:rsidRPr="008C2FA5">
        <w:rPr>
          <w:rFonts w:ascii="Arial" w:hAnsi="Arial" w:cs="Arial"/>
        </w:rPr>
        <w:t>S., Uzoamaka, I.</w:t>
      </w:r>
      <w:r w:rsidR="00862D7A">
        <w:rPr>
          <w:rFonts w:ascii="Arial" w:hAnsi="Arial" w:cs="Arial"/>
        </w:rPr>
        <w:t xml:space="preserve"> </w:t>
      </w:r>
      <w:r w:rsidRPr="008C2FA5">
        <w:rPr>
          <w:rFonts w:ascii="Arial" w:hAnsi="Arial" w:cs="Arial"/>
        </w:rPr>
        <w:t>E.</w:t>
      </w:r>
      <w:r w:rsidR="00862D7A">
        <w:rPr>
          <w:rFonts w:ascii="Arial" w:hAnsi="Arial" w:cs="Arial"/>
        </w:rPr>
        <w:t xml:space="preserve"> </w:t>
      </w:r>
      <w:r w:rsidRPr="008C2FA5">
        <w:rPr>
          <w:rFonts w:ascii="Arial" w:hAnsi="Arial" w:cs="Arial"/>
        </w:rPr>
        <w:t xml:space="preserve">M., &amp; Chidi, O. (2019). Decontamination of </w:t>
      </w:r>
      <w:proofErr w:type="gramStart"/>
      <w:r w:rsidRPr="008C2FA5">
        <w:rPr>
          <w:rFonts w:ascii="Arial" w:hAnsi="Arial" w:cs="Arial"/>
        </w:rPr>
        <w:t>Ni(</w:t>
      </w:r>
      <w:proofErr w:type="gramEnd"/>
      <w:r w:rsidRPr="008C2FA5">
        <w:rPr>
          <w:rFonts w:ascii="Arial" w:hAnsi="Arial" w:cs="Arial"/>
        </w:rPr>
        <w:t xml:space="preserve">II) and Co(II) ions from aqueous medium using the cola </w:t>
      </w:r>
      <w:proofErr w:type="spellStart"/>
      <w:r w:rsidRPr="008C2FA5">
        <w:rPr>
          <w:rFonts w:ascii="Arial" w:hAnsi="Arial" w:cs="Arial"/>
        </w:rPr>
        <w:t>lepidota</w:t>
      </w:r>
      <w:proofErr w:type="spellEnd"/>
      <w:r w:rsidRPr="008C2FA5">
        <w:rPr>
          <w:rFonts w:ascii="Arial" w:hAnsi="Arial" w:cs="Arial"/>
        </w:rPr>
        <w:t xml:space="preserve"> pericarp. Makara J</w:t>
      </w:r>
      <w:r w:rsidR="00862D7A">
        <w:rPr>
          <w:rFonts w:ascii="Arial" w:hAnsi="Arial" w:cs="Arial"/>
        </w:rPr>
        <w:t>ournal of Science</w:t>
      </w:r>
      <w:r w:rsidRPr="008C2FA5">
        <w:rPr>
          <w:rFonts w:ascii="Arial" w:hAnsi="Arial" w:cs="Arial"/>
        </w:rPr>
        <w:t xml:space="preserve">, 23(1), 51‒64. </w:t>
      </w:r>
      <w:hyperlink r:id="rId50" w:history="1">
        <w:r w:rsidR="00AD7389" w:rsidRPr="006450DB">
          <w:rPr>
            <w:rStyle w:val="Hyperlink"/>
            <w:rFonts w:ascii="Arial" w:hAnsi="Arial" w:cs="Arial"/>
          </w:rPr>
          <w:t>https://doi.org/10.7454/mss.v23i1.10865</w:t>
        </w:r>
      </w:hyperlink>
      <w:r w:rsidRPr="008C2FA5">
        <w:rPr>
          <w:rFonts w:ascii="Arial" w:hAnsi="Arial" w:cs="Arial"/>
        </w:rPr>
        <w:t>.</w:t>
      </w:r>
    </w:p>
    <w:p w14:paraId="219325DA" w14:textId="77777777" w:rsidR="00862D7A" w:rsidRDefault="008F1D30" w:rsidP="00862D7A">
      <w:pPr>
        <w:ind w:left="1890" w:hanging="630"/>
        <w:jc w:val="both"/>
        <w:rPr>
          <w:rFonts w:ascii="Arial" w:hAnsi="Arial" w:cs="Arial"/>
        </w:rPr>
      </w:pPr>
      <w:r w:rsidRPr="008C2FA5">
        <w:rPr>
          <w:rFonts w:ascii="Arial" w:hAnsi="Arial" w:cs="Arial"/>
        </w:rPr>
        <w:t>Roy, T.</w:t>
      </w:r>
      <w:r w:rsidR="00862D7A">
        <w:rPr>
          <w:rFonts w:ascii="Arial" w:hAnsi="Arial" w:cs="Arial"/>
        </w:rPr>
        <w:t xml:space="preserve"> </w:t>
      </w:r>
      <w:r w:rsidRPr="008C2FA5">
        <w:rPr>
          <w:rFonts w:ascii="Arial" w:hAnsi="Arial" w:cs="Arial"/>
        </w:rPr>
        <w:t xml:space="preserve">K., Mondal, </w:t>
      </w:r>
      <w:r w:rsidR="00862D7A">
        <w:rPr>
          <w:rFonts w:ascii="Arial" w:hAnsi="Arial" w:cs="Arial"/>
        </w:rPr>
        <w:t xml:space="preserve">A., &amp; </w:t>
      </w:r>
      <w:r w:rsidRPr="008C2FA5">
        <w:rPr>
          <w:rFonts w:ascii="Arial" w:hAnsi="Arial" w:cs="Arial"/>
        </w:rPr>
        <w:t xml:space="preserve">Mondal, </w:t>
      </w:r>
      <w:r w:rsidR="00862D7A" w:rsidRPr="008C2FA5">
        <w:rPr>
          <w:rFonts w:ascii="Arial" w:hAnsi="Arial" w:cs="Arial"/>
        </w:rPr>
        <w:t xml:space="preserve">N. K. </w:t>
      </w:r>
      <w:r w:rsidR="00862D7A">
        <w:rPr>
          <w:rFonts w:ascii="Arial" w:hAnsi="Arial" w:cs="Arial"/>
        </w:rPr>
        <w:t xml:space="preserve">(2024). </w:t>
      </w:r>
      <w:r w:rsidRPr="008C2FA5">
        <w:rPr>
          <w:rFonts w:ascii="Arial" w:hAnsi="Arial" w:cs="Arial"/>
        </w:rPr>
        <w:t xml:space="preserve">Removal of </w:t>
      </w:r>
      <w:proofErr w:type="spellStart"/>
      <w:r w:rsidRPr="008C2FA5">
        <w:rPr>
          <w:rFonts w:ascii="Arial" w:hAnsi="Arial" w:cs="Arial"/>
        </w:rPr>
        <w:t>congo</w:t>
      </w:r>
      <w:proofErr w:type="spellEnd"/>
      <w:r w:rsidRPr="008C2FA5">
        <w:rPr>
          <w:rFonts w:ascii="Arial" w:hAnsi="Arial" w:cs="Arial"/>
        </w:rPr>
        <w:t xml:space="preserve"> red by waste fish scale: isotherms, kinetics, thermodyn</w:t>
      </w:r>
      <w:r w:rsidR="00862D7A">
        <w:rPr>
          <w:rFonts w:ascii="Arial" w:hAnsi="Arial" w:cs="Arial"/>
        </w:rPr>
        <w:t>amics and optimization studies.</w:t>
      </w:r>
      <w:r w:rsidRPr="008C2FA5">
        <w:rPr>
          <w:rFonts w:ascii="Arial" w:hAnsi="Arial" w:cs="Arial"/>
        </w:rPr>
        <w:t xml:space="preserve"> </w:t>
      </w:r>
      <w:r w:rsidRPr="00862D7A">
        <w:rPr>
          <w:rFonts w:ascii="Arial" w:hAnsi="Arial" w:cs="Arial"/>
        </w:rPr>
        <w:t>Pollution</w:t>
      </w:r>
      <w:r w:rsidR="00862D7A">
        <w:rPr>
          <w:rFonts w:ascii="Arial" w:hAnsi="Arial" w:cs="Arial"/>
        </w:rPr>
        <w:t xml:space="preserve">, 10(1), 329–347. </w:t>
      </w:r>
      <w:hyperlink r:id="rId51" w:history="1">
        <w:r w:rsidR="00AD7389" w:rsidRPr="006450DB">
          <w:rPr>
            <w:rStyle w:val="Hyperlink"/>
            <w:rFonts w:ascii="Arial" w:hAnsi="Arial" w:cs="Arial"/>
          </w:rPr>
          <w:t>https://doi.org/10.22059/POLL.2023.361313.1963</w:t>
        </w:r>
      </w:hyperlink>
      <w:r w:rsidRPr="008C2FA5">
        <w:rPr>
          <w:rFonts w:ascii="Arial" w:hAnsi="Arial" w:cs="Arial"/>
        </w:rPr>
        <w:t>.</w:t>
      </w:r>
    </w:p>
    <w:p w14:paraId="251FEFBE" w14:textId="77777777" w:rsidR="00DF4DA0" w:rsidRDefault="00DF4DA0" w:rsidP="00DF4DA0">
      <w:pPr>
        <w:ind w:left="1890" w:hanging="630"/>
        <w:jc w:val="both"/>
        <w:rPr>
          <w:rFonts w:ascii="Arial" w:hAnsi="Arial" w:cs="Arial"/>
        </w:rPr>
      </w:pPr>
      <w:r w:rsidRPr="004940B5">
        <w:rPr>
          <w:rFonts w:ascii="Arial" w:hAnsi="Arial" w:cs="Arial"/>
        </w:rPr>
        <w:t xml:space="preserve">Samson Lall, A., Pandey, A. K., &amp; Mani, J. V. (2022). Biosorption potential of </w:t>
      </w:r>
      <w:proofErr w:type="spellStart"/>
      <w:r w:rsidRPr="004940B5">
        <w:rPr>
          <w:rFonts w:ascii="Arial" w:hAnsi="Arial" w:cs="Arial"/>
          <w:i/>
        </w:rPr>
        <w:t>Saraca</w:t>
      </w:r>
      <w:proofErr w:type="spellEnd"/>
      <w:r w:rsidRPr="004940B5">
        <w:rPr>
          <w:rFonts w:ascii="Arial" w:hAnsi="Arial" w:cs="Arial"/>
          <w:i/>
        </w:rPr>
        <w:t xml:space="preserve"> </w:t>
      </w:r>
      <w:proofErr w:type="spellStart"/>
      <w:r w:rsidRPr="004940B5">
        <w:rPr>
          <w:rFonts w:ascii="Arial" w:hAnsi="Arial" w:cs="Arial"/>
          <w:i/>
        </w:rPr>
        <w:t>asoca</w:t>
      </w:r>
      <w:proofErr w:type="spellEnd"/>
      <w:r w:rsidRPr="004940B5">
        <w:rPr>
          <w:rFonts w:ascii="Arial" w:hAnsi="Arial" w:cs="Arial"/>
        </w:rPr>
        <w:t xml:space="preserve"> bark powder for removal of Cr (VI) ions from aqueous solution. Pollution, 8(1), 249–267.</w:t>
      </w:r>
      <w:r w:rsidR="008F1D30" w:rsidRPr="008F1D30">
        <w:rPr>
          <w:rFonts w:ascii="Arial" w:hAnsi="Arial" w:cs="Arial"/>
        </w:rPr>
        <w:t xml:space="preserve"> </w:t>
      </w:r>
      <w:hyperlink r:id="rId52" w:history="1">
        <w:r w:rsidR="00AD7389" w:rsidRPr="006450DB">
          <w:rPr>
            <w:rStyle w:val="Hyperlink"/>
            <w:rFonts w:ascii="Arial" w:hAnsi="Arial" w:cs="Arial"/>
          </w:rPr>
          <w:t>https://doi.org/10.22059/POLL.2021.329212.1164</w:t>
        </w:r>
      </w:hyperlink>
      <w:r w:rsidR="008F1D30" w:rsidRPr="00F95779">
        <w:rPr>
          <w:rFonts w:ascii="Arial" w:hAnsi="Arial" w:cs="Arial"/>
        </w:rPr>
        <w:t>.</w:t>
      </w:r>
    </w:p>
    <w:p w14:paraId="553D13CE" w14:textId="77777777" w:rsidR="008F1D30" w:rsidRDefault="00DF4DA0" w:rsidP="00DF4DA0">
      <w:pPr>
        <w:ind w:left="1890" w:hanging="630"/>
        <w:jc w:val="both"/>
        <w:rPr>
          <w:rFonts w:ascii="Arial" w:hAnsi="Arial" w:cs="Arial"/>
          <w:shd w:val="clear" w:color="auto" w:fill="FFFFFF"/>
        </w:rPr>
      </w:pPr>
      <w:r w:rsidRPr="004940B5">
        <w:rPr>
          <w:rFonts w:ascii="Arial" w:hAnsi="Arial" w:cs="Arial"/>
        </w:rPr>
        <w:t>Santos, C. M., Dweck, J.  Viotto, R. S., Rosa, A. H., &amp; Morais, L.C.  (2015). Application of orange peel waste in the production of biof</w:t>
      </w:r>
      <w:r w:rsidR="008F1D30">
        <w:rPr>
          <w:rFonts w:ascii="Arial" w:hAnsi="Arial" w:cs="Arial"/>
        </w:rPr>
        <w:t>uels and biosorbents. Bioresource Technology</w:t>
      </w:r>
      <w:r w:rsidRPr="004940B5">
        <w:rPr>
          <w:rFonts w:ascii="Arial" w:hAnsi="Arial" w:cs="Arial"/>
        </w:rPr>
        <w:t>, 196, 469–479.</w:t>
      </w:r>
      <w:r w:rsidR="008F1D30" w:rsidRPr="008F1D30">
        <w:rPr>
          <w:rFonts w:ascii="Arial" w:hAnsi="Arial" w:cs="Arial"/>
        </w:rPr>
        <w:t xml:space="preserve"> </w:t>
      </w:r>
      <w:hyperlink r:id="rId53"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shd w:val="clear" w:color="auto" w:fill="FFFFFF"/>
          </w:rPr>
          <w:t>10.1016/j.biortech.2015.07.114</w:t>
        </w:r>
      </w:hyperlink>
      <w:r w:rsidR="008F1D30" w:rsidRPr="00F95779">
        <w:rPr>
          <w:rFonts w:ascii="Arial" w:hAnsi="Arial" w:cs="Arial"/>
          <w:shd w:val="clear" w:color="auto" w:fill="FFFFFF"/>
        </w:rPr>
        <w:t>.</w:t>
      </w:r>
    </w:p>
    <w:p w14:paraId="232DA020" w14:textId="77777777" w:rsidR="00DF4DA0" w:rsidRPr="004940B5" w:rsidRDefault="00DF4DA0" w:rsidP="00DF4DA0">
      <w:pPr>
        <w:ind w:left="1890" w:hanging="630"/>
        <w:jc w:val="both"/>
        <w:rPr>
          <w:rFonts w:ascii="Arial" w:hAnsi="Arial" w:cs="Arial"/>
        </w:rPr>
      </w:pPr>
      <w:r w:rsidRPr="004940B5">
        <w:rPr>
          <w:rFonts w:ascii="Arial" w:hAnsi="Arial" w:cs="Arial"/>
        </w:rPr>
        <w:t>Santos, O. S. H., Silva, M. C.</w:t>
      </w:r>
      <w:r w:rsidR="008F1D30">
        <w:rPr>
          <w:rFonts w:ascii="Arial" w:hAnsi="Arial" w:cs="Arial"/>
        </w:rPr>
        <w:t xml:space="preserve">, Silva, V. R., Mussel, W. N., </w:t>
      </w:r>
      <w:r w:rsidRPr="004940B5">
        <w:rPr>
          <w:rFonts w:ascii="Arial" w:hAnsi="Arial" w:cs="Arial"/>
        </w:rPr>
        <w:t>&amp; Yoshida, M. I.  (2017). Polyurethane foam impregnated with lignin as a filler for the removal of crude</w:t>
      </w:r>
      <w:r w:rsidR="008F1D30">
        <w:rPr>
          <w:rFonts w:ascii="Arial" w:hAnsi="Arial" w:cs="Arial"/>
        </w:rPr>
        <w:t xml:space="preserve"> oil from contaminated water, Journal of Hazardous Materials,</w:t>
      </w:r>
      <w:r w:rsidRPr="004940B5">
        <w:rPr>
          <w:rFonts w:ascii="Arial" w:hAnsi="Arial" w:cs="Arial"/>
        </w:rPr>
        <w:t xml:space="preserve"> 324(B), 406–413.</w:t>
      </w:r>
      <w:r w:rsidR="008F1D30" w:rsidRPr="008F1D30">
        <w:rPr>
          <w:rFonts w:ascii="Arial" w:hAnsi="Arial" w:cs="Arial"/>
        </w:rPr>
        <w:t xml:space="preserve"> </w:t>
      </w:r>
      <w:hyperlink r:id="rId54" w:history="1">
        <w:r w:rsidR="00AD7389" w:rsidRPr="00AD7389">
          <w:t xml:space="preserve"> </w:t>
        </w:r>
        <w:r w:rsidR="00AD7389" w:rsidRPr="00AD7389">
          <w:rPr>
            <w:rStyle w:val="Hyperlink"/>
            <w:rFonts w:ascii="Arial" w:hAnsi="Arial" w:cs="Arial"/>
          </w:rPr>
          <w:t>https://doi.org/</w:t>
        </w:r>
        <w:r w:rsidR="008F1D30" w:rsidRPr="00F95779">
          <w:rPr>
            <w:rStyle w:val="Hyperlink"/>
            <w:rFonts w:ascii="Arial" w:hAnsi="Arial" w:cs="Arial"/>
          </w:rPr>
          <w:t>10.1016/j.jhazmat.2016.11.004</w:t>
        </w:r>
      </w:hyperlink>
    </w:p>
    <w:p w14:paraId="2864C0BF" w14:textId="77777777" w:rsidR="00DF4DA0" w:rsidRDefault="00DF4DA0" w:rsidP="00DF4DA0">
      <w:pPr>
        <w:ind w:left="1890" w:hanging="630"/>
        <w:jc w:val="both"/>
        <w:rPr>
          <w:rFonts w:ascii="Arial" w:hAnsi="Arial" w:cs="Arial"/>
        </w:rPr>
      </w:pPr>
      <w:r w:rsidRPr="004940B5">
        <w:rPr>
          <w:rFonts w:ascii="Arial" w:hAnsi="Arial" w:cs="Arial"/>
        </w:rPr>
        <w:t>Shah,</w:t>
      </w:r>
      <w:r w:rsidRPr="004940B5">
        <w:rPr>
          <w:rFonts w:ascii="Arial" w:hAnsi="Arial" w:cs="Arial"/>
          <w:shd w:val="clear" w:color="auto" w:fill="FFFFFF"/>
        </w:rPr>
        <w:t xml:space="preserve"> A. J.,</w:t>
      </w:r>
      <w:r w:rsidRPr="004940B5">
        <w:rPr>
          <w:rFonts w:ascii="Arial" w:hAnsi="Arial" w:cs="Arial"/>
        </w:rPr>
        <w:t xml:space="preserve"> Soni, B., &amp; </w:t>
      </w:r>
      <w:proofErr w:type="spellStart"/>
      <w:r w:rsidRPr="004940B5">
        <w:rPr>
          <w:rFonts w:ascii="Arial" w:hAnsi="Arial" w:cs="Arial"/>
        </w:rPr>
        <w:t>Karmee</w:t>
      </w:r>
      <w:proofErr w:type="spellEnd"/>
      <w:r w:rsidRPr="004940B5">
        <w:rPr>
          <w:rFonts w:ascii="Arial" w:hAnsi="Arial" w:cs="Arial"/>
        </w:rPr>
        <w:t xml:space="preserve">, S. K. (2021). Locally available </w:t>
      </w:r>
      <w:proofErr w:type="spellStart"/>
      <w:r w:rsidRPr="004940B5">
        <w:rPr>
          <w:rFonts w:ascii="Arial" w:hAnsi="Arial" w:cs="Arial"/>
        </w:rPr>
        <w:t>agroresidues</w:t>
      </w:r>
      <w:proofErr w:type="spellEnd"/>
      <w:r w:rsidRPr="004940B5">
        <w:rPr>
          <w:rFonts w:ascii="Arial" w:hAnsi="Arial" w:cs="Arial"/>
        </w:rPr>
        <w:t xml:space="preserve"> as potential sorbents: modelling, column </w:t>
      </w:r>
      <w:r w:rsidR="00063D4C">
        <w:rPr>
          <w:rFonts w:ascii="Arial" w:hAnsi="Arial" w:cs="Arial"/>
        </w:rPr>
        <w:t>studies and scale-up. Bioresources and</w:t>
      </w:r>
      <w:r w:rsidRPr="004940B5">
        <w:rPr>
          <w:rFonts w:ascii="Arial" w:hAnsi="Arial" w:cs="Arial"/>
        </w:rPr>
        <w:t xml:space="preserve"> Bioprocess</w:t>
      </w:r>
      <w:r w:rsidR="00AD7389">
        <w:rPr>
          <w:rFonts w:ascii="Arial" w:hAnsi="Arial" w:cs="Arial"/>
        </w:rPr>
        <w:t>ing</w:t>
      </w:r>
      <w:r w:rsidRPr="004940B5">
        <w:rPr>
          <w:rFonts w:ascii="Arial" w:hAnsi="Arial" w:cs="Arial"/>
        </w:rPr>
        <w:t>, 8(34), 1–14.</w:t>
      </w:r>
      <w:r w:rsidR="00AD7389" w:rsidRPr="00AD7389">
        <w:t xml:space="preserve"> </w:t>
      </w:r>
      <w:hyperlink r:id="rId55" w:history="1">
        <w:r w:rsidR="00AD7389" w:rsidRPr="006450DB">
          <w:rPr>
            <w:rStyle w:val="Hyperlink"/>
            <w:rFonts w:ascii="Arial" w:hAnsi="Arial" w:cs="Arial"/>
          </w:rPr>
          <w:t>https://doi.org/10.1186/s40643-021-00387-1</w:t>
        </w:r>
      </w:hyperlink>
    </w:p>
    <w:p w14:paraId="3C43200D" w14:textId="77777777" w:rsidR="00063D4C" w:rsidRDefault="00DF4DA0" w:rsidP="00DF4DA0">
      <w:pPr>
        <w:ind w:left="1890" w:hanging="630"/>
        <w:jc w:val="both"/>
        <w:rPr>
          <w:rFonts w:ascii="Arial" w:hAnsi="Arial" w:cs="Arial"/>
        </w:rPr>
      </w:pPr>
      <w:r w:rsidRPr="004940B5">
        <w:rPr>
          <w:rFonts w:ascii="Arial" w:hAnsi="Arial" w:cs="Arial"/>
        </w:rPr>
        <w:t>Shin, H. S., &amp; Kim, J. (2016). Isotherm, kinetic and thermodynamic characteristics of adsorption of paclitaxel ont</w:t>
      </w:r>
      <w:r w:rsidR="00063D4C">
        <w:rPr>
          <w:rFonts w:ascii="Arial" w:hAnsi="Arial" w:cs="Arial"/>
        </w:rPr>
        <w:t xml:space="preserve">o </w:t>
      </w:r>
      <w:proofErr w:type="spellStart"/>
      <w:r w:rsidR="00063D4C">
        <w:rPr>
          <w:rFonts w:ascii="Arial" w:hAnsi="Arial" w:cs="Arial"/>
        </w:rPr>
        <w:t>Diaion</w:t>
      </w:r>
      <w:proofErr w:type="spellEnd"/>
      <w:r w:rsidR="00063D4C">
        <w:rPr>
          <w:rFonts w:ascii="Arial" w:hAnsi="Arial" w:cs="Arial"/>
        </w:rPr>
        <w:t xml:space="preserve"> HP-20. Process Biochemistry</w:t>
      </w:r>
      <w:r w:rsidRPr="004940B5">
        <w:rPr>
          <w:rFonts w:ascii="Arial" w:hAnsi="Arial" w:cs="Arial"/>
        </w:rPr>
        <w:t>, 51, 917–924.</w:t>
      </w:r>
      <w:r w:rsidR="00063D4C" w:rsidRPr="00063D4C">
        <w:rPr>
          <w:rFonts w:ascii="Arial" w:hAnsi="Arial" w:cs="Arial"/>
        </w:rPr>
        <w:t xml:space="preserve"> </w:t>
      </w:r>
      <w:hyperlink r:id="rId56"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10.1016/j.procbio.2016.03.013</w:t>
        </w:r>
      </w:hyperlink>
      <w:r w:rsidR="00063D4C" w:rsidRPr="00F95779">
        <w:rPr>
          <w:rFonts w:ascii="Arial" w:hAnsi="Arial" w:cs="Arial"/>
        </w:rPr>
        <w:t>.</w:t>
      </w:r>
    </w:p>
    <w:p w14:paraId="76316331" w14:textId="77777777" w:rsidR="00DF4DA0" w:rsidRPr="004940B5" w:rsidRDefault="00DF4DA0" w:rsidP="00DF4DA0">
      <w:pPr>
        <w:ind w:left="1890" w:hanging="630"/>
        <w:jc w:val="both"/>
        <w:rPr>
          <w:rFonts w:ascii="Arial" w:hAnsi="Arial" w:cs="Arial"/>
        </w:rPr>
      </w:pPr>
      <w:r w:rsidRPr="004940B5">
        <w:rPr>
          <w:rFonts w:ascii="Arial" w:hAnsi="Arial" w:cs="Arial"/>
        </w:rPr>
        <w:t xml:space="preserve">Shittu, T. D., </w:t>
      </w:r>
      <w:proofErr w:type="spellStart"/>
      <w:r w:rsidRPr="004940B5">
        <w:rPr>
          <w:rFonts w:ascii="Arial" w:hAnsi="Arial" w:cs="Arial"/>
        </w:rPr>
        <w:t>Aransiola</w:t>
      </w:r>
      <w:proofErr w:type="spellEnd"/>
      <w:r w:rsidRPr="004940B5">
        <w:rPr>
          <w:rFonts w:ascii="Arial" w:hAnsi="Arial" w:cs="Arial"/>
        </w:rPr>
        <w:t>, E. F. &amp; Alabi-Babalola, O. D. (2020). Adsorption performance of modified sponge gourd for crude oil removal, J</w:t>
      </w:r>
      <w:r w:rsidR="00063D4C">
        <w:rPr>
          <w:rFonts w:ascii="Arial" w:hAnsi="Arial" w:cs="Arial"/>
        </w:rPr>
        <w:t xml:space="preserve">ournal of Environmental </w:t>
      </w:r>
      <w:proofErr w:type="spellStart"/>
      <w:r w:rsidR="00063D4C">
        <w:rPr>
          <w:rFonts w:ascii="Arial" w:hAnsi="Arial" w:cs="Arial"/>
        </w:rPr>
        <w:t>Protectection</w:t>
      </w:r>
      <w:proofErr w:type="spellEnd"/>
      <w:r w:rsidRPr="004940B5">
        <w:rPr>
          <w:rFonts w:ascii="Arial" w:hAnsi="Arial" w:cs="Arial"/>
        </w:rPr>
        <w:t xml:space="preserve">, 11, 65–81. </w:t>
      </w:r>
      <w:hyperlink r:id="rId57"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10.4236/jep.2020.112006</w:t>
        </w:r>
      </w:hyperlink>
      <w:r w:rsidR="00063D4C" w:rsidRPr="00F95779">
        <w:rPr>
          <w:rFonts w:ascii="Arial" w:hAnsi="Arial" w:cs="Arial"/>
        </w:rPr>
        <w:t>.</w:t>
      </w:r>
    </w:p>
    <w:p w14:paraId="5FB75226" w14:textId="77777777" w:rsidR="00063D4C" w:rsidRDefault="00DF4DA0" w:rsidP="00DF4DA0">
      <w:pPr>
        <w:ind w:left="1890" w:hanging="630"/>
        <w:jc w:val="both"/>
        <w:rPr>
          <w:rFonts w:ascii="Arial" w:hAnsi="Arial" w:cs="Arial"/>
        </w:rPr>
      </w:pPr>
      <w:r w:rsidRPr="004940B5">
        <w:rPr>
          <w:rFonts w:ascii="Arial" w:hAnsi="Arial" w:cs="Arial"/>
        </w:rPr>
        <w:t>Teli, M. D., &amp; Valia, S. P. (2016). Effect of substrate geometry on oil sorption capacity of raw and chemical</w:t>
      </w:r>
      <w:r w:rsidR="00063D4C">
        <w:rPr>
          <w:rFonts w:ascii="Arial" w:hAnsi="Arial" w:cs="Arial"/>
        </w:rPr>
        <w:t xml:space="preserve">ly modified jute </w:t>
      </w:r>
      <w:proofErr w:type="spellStart"/>
      <w:r w:rsidR="00063D4C">
        <w:rPr>
          <w:rFonts w:ascii="Arial" w:hAnsi="Arial" w:cs="Arial"/>
        </w:rPr>
        <w:t>fibre</w:t>
      </w:r>
      <w:proofErr w:type="spellEnd"/>
      <w:r w:rsidR="00063D4C">
        <w:rPr>
          <w:rFonts w:ascii="Arial" w:hAnsi="Arial" w:cs="Arial"/>
        </w:rPr>
        <w:t>. IRA-International Journal of Technology and Engineering</w:t>
      </w:r>
      <w:r w:rsidRPr="004940B5">
        <w:rPr>
          <w:rFonts w:ascii="Arial" w:hAnsi="Arial" w:cs="Arial"/>
        </w:rPr>
        <w:t>, 3(3), 138–147.</w:t>
      </w:r>
      <w:r w:rsidR="00063D4C" w:rsidRPr="00063D4C">
        <w:rPr>
          <w:rFonts w:ascii="Arial" w:hAnsi="Arial" w:cs="Arial"/>
        </w:rPr>
        <w:t xml:space="preserve"> </w:t>
      </w:r>
      <w:hyperlink r:id="rId58"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10.21013/jte.v3.n3.p4</w:t>
        </w:r>
      </w:hyperlink>
      <w:r w:rsidR="00063D4C" w:rsidRPr="00F95779">
        <w:rPr>
          <w:rFonts w:ascii="Arial" w:hAnsi="Arial" w:cs="Arial"/>
        </w:rPr>
        <w:t>.</w:t>
      </w:r>
    </w:p>
    <w:p w14:paraId="16D765AE" w14:textId="77777777" w:rsidR="00DF4DA0" w:rsidRPr="004940B5" w:rsidRDefault="00DF4DA0" w:rsidP="00DF4DA0">
      <w:pPr>
        <w:ind w:left="1890" w:hanging="630"/>
        <w:jc w:val="both"/>
        <w:rPr>
          <w:rFonts w:ascii="Arial" w:hAnsi="Arial" w:cs="Arial"/>
        </w:rPr>
      </w:pPr>
      <w:r w:rsidRPr="004940B5">
        <w:rPr>
          <w:rFonts w:ascii="Arial" w:hAnsi="Arial" w:cs="Arial"/>
        </w:rPr>
        <w:t>Uchechukwu, O. F., Azubuike, O., &amp; Eddy, N. O. (2015). Biosorption of Cd</w:t>
      </w:r>
      <w:r w:rsidRPr="004940B5">
        <w:rPr>
          <w:rFonts w:ascii="Arial" w:hAnsi="Arial" w:cs="Arial"/>
          <w:vertAlign w:val="superscript"/>
        </w:rPr>
        <w:t>2+</w:t>
      </w:r>
      <w:r w:rsidRPr="004940B5">
        <w:rPr>
          <w:rFonts w:ascii="Arial" w:hAnsi="Arial" w:cs="Arial"/>
        </w:rPr>
        <w:t>, Ni</w:t>
      </w:r>
      <w:r w:rsidRPr="004940B5">
        <w:rPr>
          <w:rFonts w:ascii="Arial" w:hAnsi="Arial" w:cs="Arial"/>
          <w:vertAlign w:val="superscript"/>
        </w:rPr>
        <w:t>2+</w:t>
      </w:r>
      <w:r w:rsidRPr="004940B5">
        <w:rPr>
          <w:rFonts w:ascii="Arial" w:hAnsi="Arial" w:cs="Arial"/>
        </w:rPr>
        <w:t xml:space="preserve"> and Pb</w:t>
      </w:r>
      <w:r w:rsidRPr="004940B5">
        <w:rPr>
          <w:rFonts w:ascii="Arial" w:hAnsi="Arial" w:cs="Arial"/>
          <w:vertAlign w:val="superscript"/>
        </w:rPr>
        <w:t>2+</w:t>
      </w:r>
      <w:r w:rsidRPr="004940B5">
        <w:rPr>
          <w:rFonts w:ascii="Arial" w:hAnsi="Arial" w:cs="Arial"/>
        </w:rPr>
        <w:t xml:space="preserve"> by the shell of </w:t>
      </w:r>
      <w:proofErr w:type="spellStart"/>
      <w:r w:rsidRPr="004940B5">
        <w:rPr>
          <w:rFonts w:ascii="Arial" w:hAnsi="Arial" w:cs="Arial"/>
          <w:i/>
        </w:rPr>
        <w:t>Pentaclethra</w:t>
      </w:r>
      <w:proofErr w:type="spellEnd"/>
      <w:r w:rsidRPr="004940B5">
        <w:rPr>
          <w:rFonts w:ascii="Arial" w:hAnsi="Arial" w:cs="Arial"/>
          <w:i/>
        </w:rPr>
        <w:t xml:space="preserve"> macrophylla</w:t>
      </w:r>
      <w:r w:rsidRPr="004940B5">
        <w:rPr>
          <w:rFonts w:ascii="Arial" w:hAnsi="Arial" w:cs="Arial"/>
        </w:rPr>
        <w:t>: e</w:t>
      </w:r>
      <w:r w:rsidR="00C65CCE">
        <w:rPr>
          <w:rFonts w:ascii="Arial" w:hAnsi="Arial" w:cs="Arial"/>
        </w:rPr>
        <w:t>quilibrium isotherm studies.  Journal of</w:t>
      </w:r>
      <w:r w:rsidRPr="004940B5">
        <w:rPr>
          <w:rFonts w:ascii="Arial" w:hAnsi="Arial" w:cs="Arial"/>
        </w:rPr>
        <w:t xml:space="preserve"> </w:t>
      </w:r>
      <w:proofErr w:type="spellStart"/>
      <w:proofErr w:type="gramStart"/>
      <w:r w:rsidRPr="004940B5">
        <w:rPr>
          <w:rFonts w:ascii="Arial" w:hAnsi="Arial" w:cs="Arial"/>
        </w:rPr>
        <w:t>Sci</w:t>
      </w:r>
      <w:r w:rsidR="00C65CCE">
        <w:rPr>
          <w:rFonts w:ascii="Arial" w:hAnsi="Arial" w:cs="Arial"/>
        </w:rPr>
        <w:t>ence,Technology</w:t>
      </w:r>
      <w:proofErr w:type="spellEnd"/>
      <w:proofErr w:type="gramEnd"/>
      <w:r w:rsidR="00C65CCE">
        <w:rPr>
          <w:rFonts w:ascii="Arial" w:hAnsi="Arial" w:cs="Arial"/>
        </w:rPr>
        <w:t xml:space="preserve"> and Environment Informatics</w:t>
      </w:r>
      <w:r w:rsidRPr="004940B5">
        <w:rPr>
          <w:rFonts w:ascii="Arial" w:hAnsi="Arial" w:cs="Arial"/>
        </w:rPr>
        <w:t>, 2(1), 26–35.</w:t>
      </w:r>
      <w:r w:rsidR="00063D4C">
        <w:rPr>
          <w:rFonts w:ascii="Arial" w:hAnsi="Arial" w:cs="Arial"/>
        </w:rPr>
        <w:t xml:space="preserve"> </w:t>
      </w:r>
      <w:hyperlink r:id="rId59"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10.18801/jstei.020115.13</w:t>
        </w:r>
      </w:hyperlink>
      <w:r w:rsidR="00063D4C" w:rsidRPr="00F95779">
        <w:rPr>
          <w:rFonts w:ascii="Arial" w:hAnsi="Arial" w:cs="Arial"/>
        </w:rPr>
        <w:t>.</w:t>
      </w:r>
    </w:p>
    <w:p w14:paraId="606490F0" w14:textId="77777777" w:rsidR="00DF4DA0" w:rsidRPr="004940B5" w:rsidRDefault="00DF4DA0" w:rsidP="00DF4DA0">
      <w:pPr>
        <w:ind w:left="1890" w:hanging="630"/>
        <w:jc w:val="both"/>
        <w:rPr>
          <w:rFonts w:ascii="Arial" w:hAnsi="Arial" w:cs="Arial"/>
        </w:rPr>
      </w:pPr>
      <w:r w:rsidRPr="004940B5">
        <w:rPr>
          <w:rFonts w:ascii="Arial" w:hAnsi="Arial" w:cs="Arial"/>
        </w:rPr>
        <w:t xml:space="preserve">Yusof, N. A., </w:t>
      </w:r>
      <w:proofErr w:type="spellStart"/>
      <w:r w:rsidRPr="004940B5">
        <w:rPr>
          <w:rFonts w:ascii="Arial" w:hAnsi="Arial" w:cs="Arial"/>
        </w:rPr>
        <w:t>Mukhair</w:t>
      </w:r>
      <w:proofErr w:type="spellEnd"/>
      <w:r w:rsidRPr="004940B5">
        <w:rPr>
          <w:rFonts w:ascii="Arial" w:hAnsi="Arial" w:cs="Arial"/>
        </w:rPr>
        <w:t xml:space="preserve">, H., Malek, E. A., &amp; Mohammad, F. (2015). Esterified coconut coir by fatty acid chloride as biosorbent in oil spill removal. </w:t>
      </w:r>
      <w:proofErr w:type="spellStart"/>
      <w:r w:rsidRPr="004940B5">
        <w:rPr>
          <w:rFonts w:ascii="Arial" w:hAnsi="Arial" w:cs="Arial"/>
        </w:rPr>
        <w:t>BioR</w:t>
      </w:r>
      <w:r w:rsidR="00063D4C">
        <w:rPr>
          <w:rFonts w:ascii="Arial" w:hAnsi="Arial" w:cs="Arial"/>
        </w:rPr>
        <w:t>esources</w:t>
      </w:r>
      <w:proofErr w:type="spellEnd"/>
      <w:r w:rsidRPr="004940B5">
        <w:rPr>
          <w:rFonts w:ascii="Arial" w:hAnsi="Arial" w:cs="Arial"/>
        </w:rPr>
        <w:t>, 10(4), 8025 – 8038.</w:t>
      </w:r>
      <w:r w:rsidR="00063D4C">
        <w:rPr>
          <w:rFonts w:ascii="Arial" w:hAnsi="Arial" w:cs="Arial"/>
        </w:rPr>
        <w:t xml:space="preserve"> </w:t>
      </w:r>
      <w:hyperlink r:id="rId60"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10.15376/biores.10.4.8025-8038</w:t>
        </w:r>
      </w:hyperlink>
      <w:r w:rsidR="00063D4C" w:rsidRPr="00F95779">
        <w:rPr>
          <w:rFonts w:ascii="Arial" w:hAnsi="Arial" w:cs="Arial"/>
        </w:rPr>
        <w:t>.</w:t>
      </w:r>
    </w:p>
    <w:p w14:paraId="0D192108" w14:textId="77777777" w:rsidR="00DF4DA0" w:rsidRPr="004940B5" w:rsidRDefault="00DF4DA0" w:rsidP="00DF4DA0">
      <w:pPr>
        <w:ind w:left="1890" w:hanging="630"/>
        <w:jc w:val="both"/>
        <w:rPr>
          <w:rFonts w:ascii="Arial" w:hAnsi="Arial" w:cs="Arial"/>
        </w:rPr>
      </w:pPr>
      <w:r w:rsidRPr="004940B5">
        <w:rPr>
          <w:rFonts w:ascii="Arial" w:hAnsi="Arial" w:cs="Arial"/>
        </w:rPr>
        <w:t xml:space="preserve">Yusuf-Babatunde, A. M., Kasim, L. S., &amp; </w:t>
      </w:r>
      <w:proofErr w:type="spellStart"/>
      <w:r w:rsidRPr="004940B5">
        <w:rPr>
          <w:rFonts w:ascii="Arial" w:hAnsi="Arial" w:cs="Arial"/>
        </w:rPr>
        <w:t>Osuntokun</w:t>
      </w:r>
      <w:proofErr w:type="spellEnd"/>
      <w:r w:rsidRPr="004940B5">
        <w:rPr>
          <w:rFonts w:ascii="Arial" w:hAnsi="Arial" w:cs="Arial"/>
        </w:rPr>
        <w:t xml:space="preserve">, O. T. (2020). Short term toxicological evaluation of the </w:t>
      </w:r>
      <w:proofErr w:type="spellStart"/>
      <w:r w:rsidRPr="004940B5">
        <w:rPr>
          <w:rFonts w:ascii="Arial" w:hAnsi="Arial" w:cs="Arial"/>
          <w:i/>
        </w:rPr>
        <w:t>Pentaclethra</w:t>
      </w:r>
      <w:proofErr w:type="spellEnd"/>
      <w:r w:rsidRPr="004940B5">
        <w:rPr>
          <w:rFonts w:ascii="Arial" w:hAnsi="Arial" w:cs="Arial"/>
          <w:i/>
        </w:rPr>
        <w:t xml:space="preserve"> macrophylla</w:t>
      </w:r>
      <w:r w:rsidRPr="004940B5">
        <w:rPr>
          <w:rFonts w:ascii="Arial" w:hAnsi="Arial" w:cs="Arial"/>
        </w:rPr>
        <w:t xml:space="preserve"> (</w:t>
      </w:r>
      <w:proofErr w:type="spellStart"/>
      <w:r w:rsidRPr="004940B5">
        <w:rPr>
          <w:rFonts w:ascii="Arial" w:hAnsi="Arial" w:cs="Arial"/>
        </w:rPr>
        <w:t>Benth</w:t>
      </w:r>
      <w:proofErr w:type="spellEnd"/>
      <w:r w:rsidRPr="004940B5">
        <w:rPr>
          <w:rFonts w:ascii="Arial" w:hAnsi="Arial" w:cs="Arial"/>
        </w:rPr>
        <w:t>) essential oil (oil bean seed) on organ</w:t>
      </w:r>
      <w:r w:rsidR="00682261">
        <w:rPr>
          <w:rFonts w:ascii="Arial" w:hAnsi="Arial" w:cs="Arial"/>
        </w:rPr>
        <w:t>s of normal male albino rats, Journal of Advances in Medical and Pharmaceutical Sciences</w:t>
      </w:r>
      <w:r w:rsidRPr="004940B5">
        <w:rPr>
          <w:rFonts w:ascii="Arial" w:hAnsi="Arial" w:cs="Arial"/>
        </w:rPr>
        <w:t>, 22(3), 41–48.</w:t>
      </w:r>
      <w:r w:rsidR="00063D4C">
        <w:rPr>
          <w:rFonts w:ascii="Arial" w:hAnsi="Arial" w:cs="Arial"/>
        </w:rPr>
        <w:t xml:space="preserve"> </w:t>
      </w:r>
      <w:hyperlink r:id="rId61" w:history="1">
        <w:r w:rsidR="00AD7389" w:rsidRPr="00AD7389">
          <w:t xml:space="preserve"> </w:t>
        </w:r>
        <w:r w:rsidR="00AD7389" w:rsidRPr="00AD7389">
          <w:rPr>
            <w:rStyle w:val="Hyperlink"/>
            <w:rFonts w:ascii="Arial" w:hAnsi="Arial" w:cs="Arial"/>
          </w:rPr>
          <w:t>https://doi.org/</w:t>
        </w:r>
        <w:r w:rsidR="00063D4C" w:rsidRPr="00F95779">
          <w:rPr>
            <w:rStyle w:val="Hyperlink"/>
            <w:rFonts w:ascii="Arial" w:hAnsi="Arial" w:cs="Arial"/>
          </w:rPr>
          <w:t>10.9734/jamps/2020/v22i330163</w:t>
        </w:r>
      </w:hyperlink>
    </w:p>
    <w:p w14:paraId="1814DB38" w14:textId="77777777" w:rsidR="00DF4DA0" w:rsidRDefault="00DF4DA0" w:rsidP="00DF4DA0">
      <w:pPr>
        <w:ind w:left="1890" w:hanging="630"/>
        <w:jc w:val="both"/>
        <w:rPr>
          <w:rFonts w:ascii="Arial" w:hAnsi="Arial" w:cs="Arial"/>
        </w:rPr>
      </w:pPr>
    </w:p>
    <w:p w14:paraId="732AA65E" w14:textId="77777777" w:rsidR="00DF4DA0" w:rsidRPr="00DF4DA0" w:rsidRDefault="00DF4DA0" w:rsidP="00DF4DA0">
      <w:pPr>
        <w:ind w:left="1890" w:hanging="630"/>
        <w:jc w:val="both"/>
        <w:rPr>
          <w:rFonts w:ascii="Arial" w:hAnsi="Arial" w:cs="Arial"/>
          <w:b/>
        </w:rPr>
      </w:pPr>
      <w:r w:rsidRPr="00DF4DA0">
        <w:rPr>
          <w:rFonts w:ascii="Arial" w:hAnsi="Arial" w:cs="Arial"/>
          <w:b/>
        </w:rPr>
        <w:t>List of Figures</w:t>
      </w:r>
    </w:p>
    <w:p w14:paraId="463D58BD" w14:textId="77777777" w:rsidR="00DF4DA0" w:rsidRPr="00F95779" w:rsidRDefault="00DF4DA0" w:rsidP="00DF4DA0">
      <w:pPr>
        <w:ind w:left="1350" w:hanging="90"/>
        <w:jc w:val="both"/>
        <w:rPr>
          <w:rFonts w:ascii="Arial" w:hAnsi="Arial" w:cs="Arial"/>
        </w:rPr>
      </w:pPr>
      <w:r>
        <w:rPr>
          <w:rFonts w:ascii="Arial" w:hAnsi="Arial" w:cs="Arial"/>
        </w:rPr>
        <w:t xml:space="preserve">Fig. 1. </w:t>
      </w:r>
      <w:r w:rsidRPr="00F95779">
        <w:rPr>
          <w:rFonts w:ascii="Arial" w:hAnsi="Arial" w:cs="Arial"/>
        </w:rPr>
        <w:t>FTIR spectra of raw and modified PMSP before crude oil sorption</w:t>
      </w:r>
    </w:p>
    <w:p w14:paraId="3A82166A" w14:textId="77777777" w:rsidR="00DF4DA0" w:rsidRDefault="00DF4DA0" w:rsidP="00DF4DA0">
      <w:pPr>
        <w:ind w:left="1350" w:hanging="90"/>
        <w:jc w:val="both"/>
        <w:rPr>
          <w:rFonts w:ascii="Arial" w:hAnsi="Arial" w:cs="Arial"/>
        </w:rPr>
      </w:pPr>
      <w:r w:rsidRPr="00F95779">
        <w:rPr>
          <w:rFonts w:ascii="Arial" w:hAnsi="Arial" w:cs="Arial"/>
        </w:rPr>
        <w:t>Fig. 2. FTIR spectra of raw and modified PMSP after crude oil sorption</w:t>
      </w:r>
    </w:p>
    <w:p w14:paraId="2BA2AC7D" w14:textId="77777777" w:rsidR="00DF4DA0" w:rsidRPr="00F95779" w:rsidRDefault="00DF4DA0" w:rsidP="00DF4DA0">
      <w:pPr>
        <w:ind w:left="1260"/>
        <w:jc w:val="both"/>
        <w:rPr>
          <w:rFonts w:ascii="Arial" w:hAnsi="Arial" w:cs="Arial"/>
        </w:rPr>
      </w:pPr>
      <w:r w:rsidRPr="00F95779">
        <w:rPr>
          <w:rFonts w:ascii="Arial" w:hAnsi="Arial" w:cs="Arial"/>
        </w:rPr>
        <w:t>Fig. 3. Effect of initial crude oil concentration on the oil sorption capacity of raw and modified PMSP</w:t>
      </w:r>
    </w:p>
    <w:p w14:paraId="1ABFF1EF" w14:textId="77777777" w:rsidR="00DF4DA0" w:rsidRPr="00F95779" w:rsidRDefault="00DF4DA0" w:rsidP="00DF4DA0">
      <w:pPr>
        <w:tabs>
          <w:tab w:val="left" w:pos="3816"/>
        </w:tabs>
        <w:ind w:left="1260"/>
        <w:jc w:val="both"/>
        <w:rPr>
          <w:rFonts w:ascii="Arial" w:hAnsi="Arial" w:cs="Arial"/>
        </w:rPr>
      </w:pPr>
      <w:r w:rsidRPr="00F95779">
        <w:rPr>
          <w:rFonts w:ascii="Arial" w:hAnsi="Arial" w:cs="Arial"/>
        </w:rPr>
        <w:t xml:space="preserve">Fig. 4. (a) Freundlich (b) Langmuir (c) Temkin, and (d) </w:t>
      </w:r>
      <w:proofErr w:type="spellStart"/>
      <w:r w:rsidRPr="00F95779">
        <w:rPr>
          <w:rFonts w:ascii="Arial" w:hAnsi="Arial" w:cs="Arial"/>
        </w:rPr>
        <w:t>Dubinin-Radushkevich</w:t>
      </w:r>
      <w:proofErr w:type="spellEnd"/>
      <w:r w:rsidRPr="00F95779">
        <w:rPr>
          <w:rFonts w:ascii="Arial" w:hAnsi="Arial" w:cs="Arial"/>
        </w:rPr>
        <w:t xml:space="preserve"> isotherms for oil sorption on raw and modified PMSP</w:t>
      </w:r>
    </w:p>
    <w:p w14:paraId="50B10BFB" w14:textId="77777777" w:rsidR="00DF4DA0" w:rsidRPr="00F95779" w:rsidRDefault="00DF4DA0" w:rsidP="00DF4DA0">
      <w:pPr>
        <w:ind w:left="1260"/>
        <w:jc w:val="both"/>
        <w:rPr>
          <w:rFonts w:ascii="Arial" w:hAnsi="Arial" w:cs="Arial"/>
        </w:rPr>
      </w:pPr>
      <w:r w:rsidRPr="00F95779">
        <w:rPr>
          <w:rFonts w:ascii="Arial" w:hAnsi="Arial" w:cs="Arial"/>
        </w:rPr>
        <w:t>Fig. 5. Effect of contact time on the oil sorption capacity of raw and modified PMSP</w:t>
      </w:r>
    </w:p>
    <w:p w14:paraId="332571D4" w14:textId="77777777" w:rsidR="00DF4DA0" w:rsidRPr="00F95779" w:rsidRDefault="00DF4DA0" w:rsidP="00DF4DA0">
      <w:pPr>
        <w:ind w:left="1260"/>
        <w:jc w:val="both"/>
        <w:rPr>
          <w:rFonts w:ascii="Arial" w:hAnsi="Arial" w:cs="Arial"/>
        </w:rPr>
      </w:pPr>
      <w:r w:rsidRPr="00F95779">
        <w:rPr>
          <w:rFonts w:ascii="Arial" w:hAnsi="Arial" w:cs="Arial"/>
        </w:rPr>
        <w:t>Fig. 6. (a) Pseudo first order (b) Pseudo second order (c) Intraparticle diffusion, and (d) Film diffusion kinetic plots for oil sorption on raw and modified PMSP</w:t>
      </w:r>
    </w:p>
    <w:p w14:paraId="3E8C9D18" w14:textId="77777777" w:rsidR="00DF4DA0" w:rsidRPr="00F95779" w:rsidRDefault="00DF4DA0" w:rsidP="00DF4DA0">
      <w:pPr>
        <w:ind w:left="1260"/>
        <w:jc w:val="both"/>
        <w:rPr>
          <w:rFonts w:ascii="Arial" w:hAnsi="Arial" w:cs="Arial"/>
        </w:rPr>
      </w:pPr>
      <w:r w:rsidRPr="00F95779">
        <w:rPr>
          <w:rFonts w:ascii="Arial" w:hAnsi="Arial" w:cs="Arial"/>
        </w:rPr>
        <w:lastRenderedPageBreak/>
        <w:t>Fig. 7. Effect of adsorbent dose on the oil sorption capacity of raw and modified PMSP</w:t>
      </w:r>
    </w:p>
    <w:p w14:paraId="33737BB5" w14:textId="77777777" w:rsidR="00DF4DA0" w:rsidRPr="00F95779" w:rsidRDefault="00DF4DA0" w:rsidP="00DF4DA0">
      <w:pPr>
        <w:spacing w:before="240"/>
        <w:ind w:left="1260"/>
        <w:jc w:val="both"/>
        <w:rPr>
          <w:rFonts w:ascii="Arial" w:hAnsi="Arial" w:cs="Arial"/>
          <w:b/>
        </w:rPr>
      </w:pPr>
      <w:r w:rsidRPr="00F95779">
        <w:rPr>
          <w:rFonts w:ascii="Arial" w:hAnsi="Arial" w:cs="Arial"/>
          <w:b/>
        </w:rPr>
        <w:t>List of Tables</w:t>
      </w:r>
    </w:p>
    <w:p w14:paraId="705DAE5C" w14:textId="77777777" w:rsidR="00DF4DA0" w:rsidRPr="00F95779" w:rsidRDefault="00DF4DA0" w:rsidP="00DF4DA0">
      <w:pPr>
        <w:tabs>
          <w:tab w:val="left" w:pos="3816"/>
        </w:tabs>
        <w:ind w:left="1260"/>
        <w:jc w:val="both"/>
        <w:rPr>
          <w:rFonts w:ascii="Arial" w:hAnsi="Arial" w:cs="Arial"/>
        </w:rPr>
      </w:pPr>
      <w:r w:rsidRPr="00F95779">
        <w:rPr>
          <w:rFonts w:ascii="Arial" w:hAnsi="Arial" w:cs="Arial"/>
        </w:rPr>
        <w:t>Table 1. Isotherm parameters for oil adsorption on raw and modified PMSP</w:t>
      </w:r>
    </w:p>
    <w:p w14:paraId="54F6F6EE" w14:textId="77777777" w:rsidR="00DF4DA0" w:rsidRPr="00F95779" w:rsidRDefault="00DF4DA0" w:rsidP="00DF4DA0">
      <w:pPr>
        <w:tabs>
          <w:tab w:val="left" w:pos="3816"/>
        </w:tabs>
        <w:ind w:left="1260"/>
        <w:jc w:val="both"/>
        <w:rPr>
          <w:rFonts w:ascii="Arial" w:hAnsi="Arial" w:cs="Arial"/>
        </w:rPr>
      </w:pPr>
      <w:r w:rsidRPr="00F95779">
        <w:rPr>
          <w:rFonts w:ascii="Arial" w:hAnsi="Arial" w:cs="Arial"/>
        </w:rPr>
        <w:t>Table 2. Kinetic parameters for oil adsorption on raw and modified PMSP</w:t>
      </w:r>
    </w:p>
    <w:p w14:paraId="216BFDE0" w14:textId="77777777" w:rsidR="00DF4DA0" w:rsidRPr="00F95779" w:rsidRDefault="00DF4DA0" w:rsidP="00DF4DA0">
      <w:pPr>
        <w:ind w:left="1350" w:hanging="90"/>
        <w:jc w:val="both"/>
        <w:rPr>
          <w:rFonts w:ascii="Arial" w:hAnsi="Arial" w:cs="Arial"/>
        </w:rPr>
      </w:pPr>
    </w:p>
    <w:p w14:paraId="46F7460D" w14:textId="77777777" w:rsidR="00DF4DA0" w:rsidRPr="004940B5" w:rsidRDefault="00DF4DA0" w:rsidP="00DF4DA0">
      <w:pPr>
        <w:ind w:left="1890" w:hanging="630"/>
        <w:jc w:val="both"/>
        <w:rPr>
          <w:rFonts w:ascii="Arial" w:hAnsi="Arial" w:cs="Arial"/>
        </w:rPr>
      </w:pPr>
    </w:p>
    <w:p w14:paraId="17474C19" w14:textId="77777777" w:rsidR="003763C1" w:rsidRDefault="003763C1" w:rsidP="00A03B11">
      <w:pPr>
        <w:pStyle w:val="Body"/>
        <w:spacing w:after="0"/>
        <w:ind w:left="1260"/>
        <w:jc w:val="left"/>
      </w:pPr>
    </w:p>
    <w:sectPr w:rsidR="003763C1" w:rsidSect="00895B35">
      <w:headerReference w:type="even" r:id="rId62"/>
      <w:headerReference w:type="default" r:id="rId63"/>
      <w:footerReference w:type="default" r:id="rId64"/>
      <w:headerReference w:type="first" r:id="rId65"/>
      <w:type w:val="continuous"/>
      <w:pgSz w:w="12240" w:h="15840"/>
      <w:pgMar w:top="720" w:right="207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F6542" w14:textId="77777777" w:rsidR="007C12B4" w:rsidRDefault="007C12B4" w:rsidP="00C37E61">
      <w:r>
        <w:separator/>
      </w:r>
    </w:p>
  </w:endnote>
  <w:endnote w:type="continuationSeparator" w:id="0">
    <w:p w14:paraId="02DA1FCF" w14:textId="77777777" w:rsidR="007C12B4" w:rsidRDefault="007C12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F190" w14:textId="77777777" w:rsidR="00050D6D" w:rsidRDefault="00050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D8D16" w14:textId="77777777" w:rsidR="00050D6D" w:rsidRDefault="00050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DB1E6" w14:textId="77777777" w:rsidR="009E048A" w:rsidRDefault="009E048A">
    <w:pPr>
      <w:pStyle w:val="Footer"/>
      <w:rPr>
        <w:rFonts w:ascii="Arial" w:hAnsi="Arial" w:cs="Arial"/>
        <w:sz w:val="16"/>
      </w:rPr>
    </w:pPr>
  </w:p>
  <w:p w14:paraId="7D7E857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9D2256D" w14:textId="77777777" w:rsidR="009E048A" w:rsidRDefault="009E048A">
    <w:pPr>
      <w:pStyle w:val="Footer"/>
      <w:rPr>
        <w:rFonts w:ascii="Arial" w:hAnsi="Arial" w:cs="Arial"/>
        <w:sz w:val="16"/>
      </w:rPr>
    </w:pPr>
  </w:p>
  <w:p w14:paraId="0DF2BDA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66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4F399" w14:textId="77777777" w:rsidR="007C12B4" w:rsidRDefault="007C12B4" w:rsidP="00C37E61">
      <w:r>
        <w:separator/>
      </w:r>
    </w:p>
  </w:footnote>
  <w:footnote w:type="continuationSeparator" w:id="0">
    <w:p w14:paraId="071ABEBE" w14:textId="77777777" w:rsidR="007C12B4" w:rsidRDefault="007C12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A09C" w14:textId="14E621F3" w:rsidR="00050D6D" w:rsidRDefault="00050D6D">
    <w:pPr>
      <w:pStyle w:val="Header"/>
    </w:pPr>
    <w:r>
      <w:rPr>
        <w:noProof/>
      </w:rPr>
      <w:pict w14:anchorId="3E63C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D3F2F" w14:textId="46AC25A0" w:rsidR="00050D6D" w:rsidRDefault="00050D6D">
    <w:pPr>
      <w:pStyle w:val="Header"/>
    </w:pPr>
    <w:r>
      <w:rPr>
        <w:noProof/>
      </w:rPr>
      <w:pict w14:anchorId="11500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E01F" w14:textId="4ED6AAD7" w:rsidR="00296529" w:rsidRPr="00296529" w:rsidRDefault="00050D6D" w:rsidP="00296529">
    <w:pPr>
      <w:ind w:left="2160"/>
      <w:jc w:val="center"/>
      <w:rPr>
        <w:rFonts w:ascii="Times New Roman" w:eastAsia="Calibri" w:hAnsi="Times New Roman"/>
        <w:i/>
        <w:sz w:val="18"/>
        <w:szCs w:val="22"/>
      </w:rPr>
    </w:pPr>
    <w:r>
      <w:rPr>
        <w:noProof/>
      </w:rPr>
      <w:pict w14:anchorId="24C90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44E86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942A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2214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7D2A4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CC4AA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57AB9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D6CE" w14:textId="5BFAE73D" w:rsidR="00050D6D" w:rsidRDefault="00050D6D">
    <w:pPr>
      <w:pStyle w:val="Header"/>
    </w:pPr>
    <w:r>
      <w:rPr>
        <w:noProof/>
      </w:rPr>
      <w:pict w14:anchorId="72BD1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BFE6F" w14:textId="56F7696D" w:rsidR="00050D6D" w:rsidRDefault="00050D6D">
    <w:pPr>
      <w:pStyle w:val="Header"/>
    </w:pPr>
    <w:r>
      <w:rPr>
        <w:noProof/>
      </w:rPr>
      <w:pict w14:anchorId="1FF6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23686" w14:textId="6E57431F" w:rsidR="00050D6D" w:rsidRDefault="00050D6D">
    <w:pPr>
      <w:pStyle w:val="Header"/>
    </w:pPr>
    <w:r>
      <w:rPr>
        <w:noProof/>
      </w:rPr>
      <w:pict w14:anchorId="245F1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53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4D7"/>
    <w:rsid w:val="00030174"/>
    <w:rsid w:val="0004579C"/>
    <w:rsid w:val="00050D6D"/>
    <w:rsid w:val="0005216D"/>
    <w:rsid w:val="00063D4C"/>
    <w:rsid w:val="000810B5"/>
    <w:rsid w:val="00083A26"/>
    <w:rsid w:val="00091DC0"/>
    <w:rsid w:val="000A47FA"/>
    <w:rsid w:val="000A65D3"/>
    <w:rsid w:val="000B1E33"/>
    <w:rsid w:val="000C6CC6"/>
    <w:rsid w:val="000C7AD0"/>
    <w:rsid w:val="000C7D68"/>
    <w:rsid w:val="000D689F"/>
    <w:rsid w:val="000D6D48"/>
    <w:rsid w:val="000E08E5"/>
    <w:rsid w:val="000E6757"/>
    <w:rsid w:val="000E7B7B"/>
    <w:rsid w:val="000E7D62"/>
    <w:rsid w:val="00103357"/>
    <w:rsid w:val="00121EBD"/>
    <w:rsid w:val="00123C9F"/>
    <w:rsid w:val="00126190"/>
    <w:rsid w:val="00130AA8"/>
    <w:rsid w:val="00130F17"/>
    <w:rsid w:val="001320BF"/>
    <w:rsid w:val="00163BC4"/>
    <w:rsid w:val="00177BC7"/>
    <w:rsid w:val="00191062"/>
    <w:rsid w:val="00192B72"/>
    <w:rsid w:val="001964C5"/>
    <w:rsid w:val="001A29D8"/>
    <w:rsid w:val="001A5CAA"/>
    <w:rsid w:val="001B0427"/>
    <w:rsid w:val="001D3A51"/>
    <w:rsid w:val="001E10D2"/>
    <w:rsid w:val="001E25B4"/>
    <w:rsid w:val="001E44FE"/>
    <w:rsid w:val="00200595"/>
    <w:rsid w:val="00204835"/>
    <w:rsid w:val="00231920"/>
    <w:rsid w:val="0023195C"/>
    <w:rsid w:val="00235B1F"/>
    <w:rsid w:val="0024282C"/>
    <w:rsid w:val="002460DC"/>
    <w:rsid w:val="00250985"/>
    <w:rsid w:val="002556F6"/>
    <w:rsid w:val="00283105"/>
    <w:rsid w:val="00284C4C"/>
    <w:rsid w:val="00287E68"/>
    <w:rsid w:val="00293013"/>
    <w:rsid w:val="00296529"/>
    <w:rsid w:val="002B27FB"/>
    <w:rsid w:val="002B685A"/>
    <w:rsid w:val="002C57D2"/>
    <w:rsid w:val="002E0D56"/>
    <w:rsid w:val="00315186"/>
    <w:rsid w:val="0033343E"/>
    <w:rsid w:val="0034500E"/>
    <w:rsid w:val="003512C2"/>
    <w:rsid w:val="00371FB6"/>
    <w:rsid w:val="003763C1"/>
    <w:rsid w:val="00376BBE"/>
    <w:rsid w:val="0039224F"/>
    <w:rsid w:val="003A43A4"/>
    <w:rsid w:val="003A7E18"/>
    <w:rsid w:val="003B57F2"/>
    <w:rsid w:val="003C4C86"/>
    <w:rsid w:val="003C61A2"/>
    <w:rsid w:val="003C6258"/>
    <w:rsid w:val="003E2904"/>
    <w:rsid w:val="003E71A6"/>
    <w:rsid w:val="00400138"/>
    <w:rsid w:val="00401927"/>
    <w:rsid w:val="0041027F"/>
    <w:rsid w:val="00412475"/>
    <w:rsid w:val="004126AB"/>
    <w:rsid w:val="00414A25"/>
    <w:rsid w:val="00423789"/>
    <w:rsid w:val="0042670E"/>
    <w:rsid w:val="00440F43"/>
    <w:rsid w:val="00441B6F"/>
    <w:rsid w:val="00446221"/>
    <w:rsid w:val="00450E62"/>
    <w:rsid w:val="004539DB"/>
    <w:rsid w:val="00471A80"/>
    <w:rsid w:val="00491A4E"/>
    <w:rsid w:val="004C538D"/>
    <w:rsid w:val="004D305E"/>
    <w:rsid w:val="004D4277"/>
    <w:rsid w:val="004E2A10"/>
    <w:rsid w:val="00502516"/>
    <w:rsid w:val="00505F06"/>
    <w:rsid w:val="00506828"/>
    <w:rsid w:val="0053056E"/>
    <w:rsid w:val="00544244"/>
    <w:rsid w:val="00554FDA"/>
    <w:rsid w:val="005C784C"/>
    <w:rsid w:val="005D17F6"/>
    <w:rsid w:val="005E3482"/>
    <w:rsid w:val="005E5539"/>
    <w:rsid w:val="00602BF5"/>
    <w:rsid w:val="00617FDD"/>
    <w:rsid w:val="00633614"/>
    <w:rsid w:val="00633F68"/>
    <w:rsid w:val="00636EB2"/>
    <w:rsid w:val="006375B8"/>
    <w:rsid w:val="0066510A"/>
    <w:rsid w:val="00673F9F"/>
    <w:rsid w:val="00682261"/>
    <w:rsid w:val="00686953"/>
    <w:rsid w:val="00687DEA"/>
    <w:rsid w:val="00687E67"/>
    <w:rsid w:val="006967F7"/>
    <w:rsid w:val="006A250C"/>
    <w:rsid w:val="006B21D3"/>
    <w:rsid w:val="006B31B2"/>
    <w:rsid w:val="006B57D0"/>
    <w:rsid w:val="006D30FF"/>
    <w:rsid w:val="006D5593"/>
    <w:rsid w:val="006D6940"/>
    <w:rsid w:val="006E4AF1"/>
    <w:rsid w:val="006F11EC"/>
    <w:rsid w:val="006F6D15"/>
    <w:rsid w:val="0070082C"/>
    <w:rsid w:val="007218F5"/>
    <w:rsid w:val="007369E6"/>
    <w:rsid w:val="00746E59"/>
    <w:rsid w:val="00754C9A"/>
    <w:rsid w:val="0075599A"/>
    <w:rsid w:val="00761D52"/>
    <w:rsid w:val="0077749E"/>
    <w:rsid w:val="00790ADA"/>
    <w:rsid w:val="007A2634"/>
    <w:rsid w:val="007C12B4"/>
    <w:rsid w:val="007C7A42"/>
    <w:rsid w:val="007D2288"/>
    <w:rsid w:val="007E088F"/>
    <w:rsid w:val="007F7B32"/>
    <w:rsid w:val="00804BC2"/>
    <w:rsid w:val="00806C13"/>
    <w:rsid w:val="0081431A"/>
    <w:rsid w:val="0083216F"/>
    <w:rsid w:val="00860000"/>
    <w:rsid w:val="00862D7A"/>
    <w:rsid w:val="00863BD3"/>
    <w:rsid w:val="008641ED"/>
    <w:rsid w:val="00866D66"/>
    <w:rsid w:val="008671C6"/>
    <w:rsid w:val="00867523"/>
    <w:rsid w:val="00875803"/>
    <w:rsid w:val="00895B35"/>
    <w:rsid w:val="008B459E"/>
    <w:rsid w:val="008C2FA5"/>
    <w:rsid w:val="008E13AE"/>
    <w:rsid w:val="008E1506"/>
    <w:rsid w:val="008E386A"/>
    <w:rsid w:val="008E710C"/>
    <w:rsid w:val="008F1D30"/>
    <w:rsid w:val="008F51EB"/>
    <w:rsid w:val="008F69D6"/>
    <w:rsid w:val="00902823"/>
    <w:rsid w:val="00912467"/>
    <w:rsid w:val="00915CA6"/>
    <w:rsid w:val="00927834"/>
    <w:rsid w:val="00946FFF"/>
    <w:rsid w:val="009500A6"/>
    <w:rsid w:val="009522AA"/>
    <w:rsid w:val="00957C18"/>
    <w:rsid w:val="009659BA"/>
    <w:rsid w:val="00983040"/>
    <w:rsid w:val="00991322"/>
    <w:rsid w:val="009B3FB9"/>
    <w:rsid w:val="009B7378"/>
    <w:rsid w:val="009C2465"/>
    <w:rsid w:val="009D35A0"/>
    <w:rsid w:val="009D6255"/>
    <w:rsid w:val="009D7EB7"/>
    <w:rsid w:val="009E048A"/>
    <w:rsid w:val="009E08E9"/>
    <w:rsid w:val="009E3DB9"/>
    <w:rsid w:val="009E6E35"/>
    <w:rsid w:val="009F0EDA"/>
    <w:rsid w:val="00A03B11"/>
    <w:rsid w:val="00A03B96"/>
    <w:rsid w:val="00A05B19"/>
    <w:rsid w:val="00A1134E"/>
    <w:rsid w:val="00A24E7E"/>
    <w:rsid w:val="00A258C3"/>
    <w:rsid w:val="00A347C0"/>
    <w:rsid w:val="00A51431"/>
    <w:rsid w:val="00A539AD"/>
    <w:rsid w:val="00A91213"/>
    <w:rsid w:val="00A94063"/>
    <w:rsid w:val="00AA6219"/>
    <w:rsid w:val="00AA74E0"/>
    <w:rsid w:val="00AA7D1F"/>
    <w:rsid w:val="00AB703F"/>
    <w:rsid w:val="00AC6BB8"/>
    <w:rsid w:val="00AD7389"/>
    <w:rsid w:val="00AE008F"/>
    <w:rsid w:val="00AF1CEC"/>
    <w:rsid w:val="00AF4599"/>
    <w:rsid w:val="00B01FCD"/>
    <w:rsid w:val="00B1776C"/>
    <w:rsid w:val="00B34A3D"/>
    <w:rsid w:val="00B52583"/>
    <w:rsid w:val="00B52896"/>
    <w:rsid w:val="00B95236"/>
    <w:rsid w:val="00B96BD9"/>
    <w:rsid w:val="00BA1B01"/>
    <w:rsid w:val="00BA2641"/>
    <w:rsid w:val="00BB37AA"/>
    <w:rsid w:val="00BC53A0"/>
    <w:rsid w:val="00BE47C2"/>
    <w:rsid w:val="00BE62AD"/>
    <w:rsid w:val="00BF121F"/>
    <w:rsid w:val="00BF1F80"/>
    <w:rsid w:val="00C01D3F"/>
    <w:rsid w:val="00C166EF"/>
    <w:rsid w:val="00C17EB0"/>
    <w:rsid w:val="00C27F5F"/>
    <w:rsid w:val="00C30A0F"/>
    <w:rsid w:val="00C35FC4"/>
    <w:rsid w:val="00C37E61"/>
    <w:rsid w:val="00C45E06"/>
    <w:rsid w:val="00C65CCE"/>
    <w:rsid w:val="00C70F1B"/>
    <w:rsid w:val="00C71A47"/>
    <w:rsid w:val="00C7464C"/>
    <w:rsid w:val="00C85588"/>
    <w:rsid w:val="00CD6755"/>
    <w:rsid w:val="00CD6856"/>
    <w:rsid w:val="00CD7752"/>
    <w:rsid w:val="00CE0089"/>
    <w:rsid w:val="00CE0F46"/>
    <w:rsid w:val="00CE793C"/>
    <w:rsid w:val="00CF193C"/>
    <w:rsid w:val="00D173F1"/>
    <w:rsid w:val="00D74CB0"/>
    <w:rsid w:val="00D76FCF"/>
    <w:rsid w:val="00D8295D"/>
    <w:rsid w:val="00DC2A65"/>
    <w:rsid w:val="00DE15F0"/>
    <w:rsid w:val="00DE5663"/>
    <w:rsid w:val="00DE78AA"/>
    <w:rsid w:val="00DF4DA0"/>
    <w:rsid w:val="00E053D0"/>
    <w:rsid w:val="00E15994"/>
    <w:rsid w:val="00E3114E"/>
    <w:rsid w:val="00E31A70"/>
    <w:rsid w:val="00E35B02"/>
    <w:rsid w:val="00E43005"/>
    <w:rsid w:val="00E66496"/>
    <w:rsid w:val="00E66B35"/>
    <w:rsid w:val="00E66E10"/>
    <w:rsid w:val="00E769F6"/>
    <w:rsid w:val="00E8407C"/>
    <w:rsid w:val="00E84F3C"/>
    <w:rsid w:val="00EA012C"/>
    <w:rsid w:val="00EB5FCF"/>
    <w:rsid w:val="00EC6A55"/>
    <w:rsid w:val="00ED0288"/>
    <w:rsid w:val="00EE52CB"/>
    <w:rsid w:val="00EF581D"/>
    <w:rsid w:val="00EF7FD8"/>
    <w:rsid w:val="00F06F59"/>
    <w:rsid w:val="00F07467"/>
    <w:rsid w:val="00F17988"/>
    <w:rsid w:val="00F469F0"/>
    <w:rsid w:val="00F53273"/>
    <w:rsid w:val="00F755E4"/>
    <w:rsid w:val="00F77D02"/>
    <w:rsid w:val="00FB0945"/>
    <w:rsid w:val="00FB3A86"/>
    <w:rsid w:val="00FC6C9F"/>
    <w:rsid w:val="00FD36C8"/>
    <w:rsid w:val="00FF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F12B255"/>
  <w15:docId w15:val="{24734541-9164-4FD8-A767-FC5815F2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Paragraph">
    <w:name w:val="Paragraph"/>
    <w:basedOn w:val="Normal"/>
    <w:next w:val="Normal"/>
    <w:qFormat/>
    <w:rsid w:val="007A2634"/>
    <w:pPr>
      <w:widowControl w:val="0"/>
      <w:spacing w:before="240" w:line="480" w:lineRule="auto"/>
    </w:pPr>
    <w:rPr>
      <w:rFonts w:ascii="Times New Roman" w:hAnsi="Times New Roman"/>
      <w:sz w:val="24"/>
      <w:szCs w:val="24"/>
      <w:lang w:val="en-GB" w:eastAsia="en-GB"/>
    </w:rPr>
  </w:style>
  <w:style w:type="paragraph" w:customStyle="1" w:styleId="Displayedequation">
    <w:name w:val="Displayed equation"/>
    <w:basedOn w:val="Normal"/>
    <w:next w:val="Paragraph"/>
    <w:qFormat/>
    <w:rsid w:val="007A2634"/>
    <w:pPr>
      <w:tabs>
        <w:tab w:val="center" w:pos="4253"/>
        <w:tab w:val="right" w:pos="8222"/>
      </w:tabs>
      <w:spacing w:before="240" w:after="240" w:line="480" w:lineRule="auto"/>
      <w:jc w:val="center"/>
    </w:pPr>
    <w:rPr>
      <w:rFonts w:ascii="Times New Roman" w:hAnsi="Times New Roman"/>
      <w:sz w:val="24"/>
      <w:szCs w:val="24"/>
      <w:lang w:val="en-GB" w:eastAsia="en-GB"/>
    </w:rPr>
  </w:style>
  <w:style w:type="paragraph" w:styleId="NormalWeb">
    <w:name w:val="Normal (Web)"/>
    <w:basedOn w:val="Normal"/>
    <w:uiPriority w:val="99"/>
    <w:unhideWhenUsed/>
    <w:rsid w:val="007A2634"/>
    <w:pPr>
      <w:spacing w:before="100" w:beforeAutospacing="1" w:after="100" w:afterAutospacing="1"/>
    </w:pPr>
    <w:rPr>
      <w:rFonts w:ascii="Times New Roman" w:hAnsi="Times New Roman"/>
      <w:sz w:val="24"/>
      <w:szCs w:val="24"/>
      <w:shd w:val="clear" w:color="000000" w:fill="auto"/>
    </w:rPr>
  </w:style>
  <w:style w:type="character" w:styleId="UnresolvedMention">
    <w:name w:val="Unresolved Mention"/>
    <w:basedOn w:val="DefaultParagraphFont"/>
    <w:uiPriority w:val="99"/>
    <w:semiHidden/>
    <w:unhideWhenUsed/>
    <w:rsid w:val="009D6255"/>
    <w:rPr>
      <w:color w:val="605E5C"/>
      <w:shd w:val="clear" w:color="auto" w:fill="E1DFDD"/>
    </w:rPr>
  </w:style>
  <w:style w:type="paragraph" w:styleId="ListParagraph">
    <w:name w:val="List Paragraph"/>
    <w:basedOn w:val="Normal"/>
    <w:uiPriority w:val="34"/>
    <w:qFormat/>
    <w:rsid w:val="00FF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374832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780917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7807/orbital.v6i1.509" TargetMode="External"/><Relationship Id="rId21" Type="http://schemas.openxmlformats.org/officeDocument/2006/relationships/hyperlink" Target="tel:0.5" TargetMode="External"/><Relationship Id="rId34" Type="http://schemas.openxmlformats.org/officeDocument/2006/relationships/hyperlink" Target="https://doi.org/10.1016/j.arabjc.2020.02.014" TargetMode="External"/><Relationship Id="rId42" Type="http://schemas.openxmlformats.org/officeDocument/2006/relationships/hyperlink" Target="https://doi.org/10.7454/mss.v27i2.1458" TargetMode="External"/><Relationship Id="rId47" Type="http://schemas.openxmlformats.org/officeDocument/2006/relationships/hyperlink" Target="https://doi.org/10.1007/s13201-018-0727-5" TargetMode="External"/><Relationship Id="rId50" Type="http://schemas.openxmlformats.org/officeDocument/2006/relationships/hyperlink" Target="https://doi.org/10.7454/mss.v23i1.10865" TargetMode="External"/><Relationship Id="rId55" Type="http://schemas.openxmlformats.org/officeDocument/2006/relationships/hyperlink" Target="https://doi.org/10.1186/s40643-021-00387-1" TargetMode="External"/><Relationship Id="rId63"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16/j.aej.2020.03.024" TargetMode="External"/><Relationship Id="rId11" Type="http://schemas.openxmlformats.org/officeDocument/2006/relationships/footer" Target="footer2.xml"/><Relationship Id="rId24" Type="http://schemas.openxmlformats.org/officeDocument/2006/relationships/hyperlink" Target="https://doi.org/10.7176/CMR" TargetMode="External"/><Relationship Id="rId32" Type="http://schemas.openxmlformats.org/officeDocument/2006/relationships/hyperlink" Target="https://doi.org/10.3390/ijerph15050969" TargetMode="External"/><Relationship Id="rId37" Type="http://schemas.openxmlformats.org/officeDocument/2006/relationships/hyperlink" Target="https://doi.org/10.26538/tjnpr/v4i8.11" TargetMode="External"/><Relationship Id="rId40" Type="http://schemas.openxmlformats.org/officeDocument/2006/relationships/hyperlink" Target="https://doi.org/10.3390/foods12081627" TargetMode="External"/><Relationship Id="rId45" Type="http://schemas.openxmlformats.org/officeDocument/2006/relationships/hyperlink" Target="https://doi.org/10.5004/dwt.2020.25704" TargetMode="External"/><Relationship Id="rId53" Type="http://schemas.openxmlformats.org/officeDocument/2006/relationships/hyperlink" Target="https://doi.org/10.1016/j.biortech.2015.07.114" TargetMode="External"/><Relationship Id="rId58" Type="http://schemas.openxmlformats.org/officeDocument/2006/relationships/hyperlink" Target="https://doi.org/10.21013/jte.v3.n3.p4"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9734/jamps/2020/v22i330163" TargetMode="External"/><Relationship Id="rId19" Type="http://schemas.openxmlformats.org/officeDocument/2006/relationships/image" Target="media/image6.jpeg"/><Relationship Id="rId14" Type="http://schemas.openxmlformats.org/officeDocument/2006/relationships/image" Target="media/image1.jpeg"/><Relationship Id="rId22" Type="http://schemas.openxmlformats.org/officeDocument/2006/relationships/hyperlink" Target="https://doi.org/10.1080/19443994.2014.906326" TargetMode="External"/><Relationship Id="rId27" Type="http://schemas.openxmlformats.org/officeDocument/2006/relationships/hyperlink" Target="https://doi.org/10.1016/j.psep.2018.04.015" TargetMode="External"/><Relationship Id="rId30" Type="http://schemas.openxmlformats.org/officeDocument/2006/relationships/hyperlink" Target="https://doi.org/10.47191/etj/v7i9.01" TargetMode="External"/><Relationship Id="rId35" Type="http://schemas.openxmlformats.org/officeDocument/2006/relationships/hyperlink" Target="https://doi.org/10.17576/mjas-2017-2105-12" TargetMode="External"/><Relationship Id="rId43" Type="http://schemas.openxmlformats.org/officeDocument/2006/relationships/hyperlink" Target="https://doi.org/10.4314/swj.v18i4.22" TargetMode="External"/><Relationship Id="rId48" Type="http://schemas.openxmlformats.org/officeDocument/2006/relationships/hyperlink" Target="https://doi.org/10.1016/B978-0-12-819815-5.00030-0" TargetMode="External"/><Relationship Id="rId56" Type="http://schemas.openxmlformats.org/officeDocument/2006/relationships/hyperlink" Target="https://doi.org/10.1016/j.procbio.2016.03.013"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22059/POLL.2023.361313.196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07/s12221-015-4745-8" TargetMode="External"/><Relationship Id="rId33" Type="http://schemas.openxmlformats.org/officeDocument/2006/relationships/hyperlink" Target="https://doi.org/10.1016/j.jenvman.2020.110218" TargetMode="External"/><Relationship Id="rId38" Type="http://schemas.openxmlformats.org/officeDocument/2006/relationships/hyperlink" Target="https://doi.org/10.22034/JCHEMLETT.2024.431010.1152" TargetMode="External"/><Relationship Id="rId46" Type="http://schemas.openxmlformats.org/officeDocument/2006/relationships/hyperlink" Target="https://doi.org/10.1016/j.jart.2016.09.004" TargetMode="External"/><Relationship Id="rId59" Type="http://schemas.openxmlformats.org/officeDocument/2006/relationships/hyperlink" Target="https://doi.org/10.18801/jstei.020115.13" TargetMode="External"/><Relationship Id="rId67" Type="http://schemas.openxmlformats.org/officeDocument/2006/relationships/theme" Target="theme/theme1.xml"/><Relationship Id="rId20" Type="http://schemas.openxmlformats.org/officeDocument/2006/relationships/image" Target="media/image7.jpeg"/><Relationship Id="rId41" Type="http://schemas.openxmlformats.org/officeDocument/2006/relationships/hyperlink" Target="https://doi.org/10.1016/j.scenv.2024.100173" TargetMode="External"/><Relationship Id="rId54" Type="http://schemas.openxmlformats.org/officeDocument/2006/relationships/hyperlink" Target="http://dx.doi.org/10.1016/j.jhazmat.2016.11.004"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07/s40710-023-00631-0" TargetMode="External"/><Relationship Id="rId28" Type="http://schemas.openxmlformats.org/officeDocument/2006/relationships/hyperlink" Target="https://doi.org/10.1007/s13738-022-02675-9" TargetMode="External"/><Relationship Id="rId36" Type="http://schemas.openxmlformats.org/officeDocument/2006/relationships/hyperlink" Target="https://doi.org/10.1016/j.jece.2016.06.010" TargetMode="External"/><Relationship Id="rId49" Type="http://schemas.openxmlformats.org/officeDocument/2006/relationships/hyperlink" Target="https://doi.org/10.7454/mss.v25i2.1171" TargetMode="External"/><Relationship Id="rId57" Type="http://schemas.openxmlformats.org/officeDocument/2006/relationships/hyperlink" Target="https://doi.org/10.4236/jep.2020.112006" TargetMode="External"/><Relationship Id="rId10" Type="http://schemas.openxmlformats.org/officeDocument/2006/relationships/footer" Target="footer1.xml"/><Relationship Id="rId31" Type="http://schemas.openxmlformats.org/officeDocument/2006/relationships/hyperlink" Target="https://doi.org/10.18321/ectj141" TargetMode="External"/><Relationship Id="rId44" Type="http://schemas.openxmlformats.org/officeDocument/2006/relationships/hyperlink" Target="https://doi.org/10.9734/BJAST/2016/27255" TargetMode="External"/><Relationship Id="rId52" Type="http://schemas.openxmlformats.org/officeDocument/2006/relationships/hyperlink" Target="https://doi.org/10.22059/POLL.2021.329212.1164" TargetMode="External"/><Relationship Id="rId60" Type="http://schemas.openxmlformats.org/officeDocument/2006/relationships/hyperlink" Target="https://doi.org/10.15376/biores.10.4.8025-8038" TargetMode="External"/><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jpeg"/><Relationship Id="rId39" Type="http://schemas.openxmlformats.org/officeDocument/2006/relationships/hyperlink" Target="https://doi.org/%2010.1016/j.jece.2014.06.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B145-DF9A-4913-91C1-DFF21A1B6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289</TotalTime>
  <Pages>13</Pages>
  <Words>5257</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35158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15</cp:revision>
  <cp:lastPrinted>1999-07-06T11:00:00Z</cp:lastPrinted>
  <dcterms:created xsi:type="dcterms:W3CDTF">2025-04-14T15:17:00Z</dcterms:created>
  <dcterms:modified xsi:type="dcterms:W3CDTF">2025-04-17T07:21:00Z</dcterms:modified>
</cp:coreProperties>
</file>