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82D8" w14:textId="77777777" w:rsidR="003C07A0" w:rsidRDefault="0081733C" w:rsidP="003C07A0">
      <w:pPr>
        <w:pStyle w:val="Author"/>
        <w:spacing w:line="240" w:lineRule="auto"/>
        <w:jc w:val="both"/>
        <w:rPr>
          <w:rFonts w:ascii="Times New Roman" w:hAnsi="Times New Roman"/>
          <w:szCs w:val="24"/>
        </w:rPr>
      </w:pPr>
      <w:r w:rsidRPr="001308D2">
        <w:rPr>
          <w:rFonts w:ascii="Times New Roman" w:hAnsi="Times New Roman"/>
          <w:szCs w:val="24"/>
        </w:rPr>
        <w:t>Hypermetropia and Non-Strabismic Binocular Vision Anomalies: A Clinical Study</w:t>
      </w:r>
    </w:p>
    <w:p w14:paraId="5C1369B6" w14:textId="77777777" w:rsidR="003C07A0" w:rsidRDefault="003C07A0" w:rsidP="003C07A0">
      <w:pPr>
        <w:pStyle w:val="Author"/>
        <w:spacing w:line="240" w:lineRule="auto"/>
        <w:jc w:val="both"/>
        <w:rPr>
          <w:rFonts w:ascii="Arial" w:hAnsi="Arial" w:cs="Arial"/>
        </w:rPr>
      </w:pPr>
    </w:p>
    <w:p w14:paraId="2BEFC52D" w14:textId="30AF9C7E" w:rsidR="003E0D47" w:rsidRPr="0081733C" w:rsidRDefault="003E0D47" w:rsidP="003C07A0">
      <w:pPr>
        <w:pStyle w:val="Author"/>
        <w:spacing w:line="240" w:lineRule="auto"/>
        <w:jc w:val="both"/>
        <w:rPr>
          <w:rFonts w:ascii="Arial" w:hAnsi="Arial" w:cs="Arial"/>
        </w:rPr>
      </w:pPr>
      <w:r>
        <w:rPr>
          <w:rFonts w:ascii="Arial" w:hAnsi="Arial" w:cs="Arial"/>
        </w:rPr>
        <w:t xml:space="preserve"> </w:t>
      </w:r>
    </w:p>
    <w:p w14:paraId="15B1275A" w14:textId="77777777" w:rsidR="002C57D2" w:rsidRPr="00FB3A86" w:rsidRDefault="002C57D2" w:rsidP="00441B6F">
      <w:pPr>
        <w:pStyle w:val="Affiliation"/>
        <w:spacing w:after="0" w:line="240" w:lineRule="auto"/>
        <w:jc w:val="both"/>
        <w:rPr>
          <w:rFonts w:ascii="Arial" w:hAnsi="Arial" w:cs="Arial"/>
        </w:rPr>
      </w:pPr>
    </w:p>
    <w:p w14:paraId="483F7073" w14:textId="77777777" w:rsidR="00B01FCD" w:rsidRPr="00FB3A86" w:rsidRDefault="00EA4AE2" w:rsidP="00441B6F">
      <w:pPr>
        <w:pStyle w:val="Copyright"/>
        <w:spacing w:after="0" w:line="240" w:lineRule="auto"/>
        <w:jc w:val="both"/>
        <w:rPr>
          <w:rFonts w:ascii="Arial" w:hAnsi="Arial" w:cs="Arial"/>
        </w:rPr>
        <w:sectPr w:rsidR="00B01FCD" w:rsidRPr="00FB3A86" w:rsidSect="003C07A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558F0A9" wp14:editId="601557FD">
                <wp:extent cx="5303520" cy="0"/>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150BA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4C9D3ED"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DD4175F" w14:textId="77777777" w:rsidR="002C452A" w:rsidRPr="00FB3A86" w:rsidRDefault="002C452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296529" w:rsidRPr="0064297B" w14:paraId="3BA9122D" w14:textId="77777777" w:rsidTr="009C2BB7">
        <w:trPr>
          <w:trHeight w:val="4131"/>
        </w:trPr>
        <w:tc>
          <w:tcPr>
            <w:tcW w:w="8424" w:type="dxa"/>
            <w:shd w:val="clear" w:color="auto" w:fill="auto"/>
          </w:tcPr>
          <w:p w14:paraId="1C915D0C" w14:textId="77777777" w:rsidR="00467629" w:rsidRPr="002C452A" w:rsidRDefault="00467629" w:rsidP="00F53175">
            <w:pPr>
              <w:spacing w:after="60"/>
              <w:jc w:val="both"/>
              <w:rPr>
                <w:rFonts w:ascii="Arial" w:hAnsi="Arial" w:cs="Arial"/>
                <w:color w:val="000000"/>
                <w:shd w:val="clear" w:color="auto" w:fill="FFFFFF"/>
              </w:rPr>
            </w:pPr>
            <w:r w:rsidRPr="002C452A">
              <w:rPr>
                <w:rStyle w:val="Emphasis"/>
                <w:rFonts w:ascii="Arial" w:hAnsi="Arial" w:cs="Arial"/>
                <w:b/>
                <w:bCs/>
                <w:i w:val="0"/>
                <w:color w:val="000000"/>
                <w:shd w:val="clear" w:color="auto" w:fill="FFFFFF"/>
              </w:rPr>
              <w:t>Aim</w:t>
            </w:r>
            <w:r w:rsidRPr="002C452A">
              <w:rPr>
                <w:rFonts w:ascii="Arial" w:hAnsi="Arial" w:cs="Arial"/>
                <w:i/>
                <w:color w:val="000000"/>
                <w:shd w:val="clear" w:color="auto" w:fill="FFFFFF"/>
              </w:rPr>
              <w:t>:</w:t>
            </w:r>
            <w:r w:rsidRPr="002C452A">
              <w:rPr>
                <w:rFonts w:ascii="Arial" w:hAnsi="Arial" w:cs="Arial"/>
                <w:color w:val="000000"/>
                <w:shd w:val="clear" w:color="auto" w:fill="FFFFFF"/>
              </w:rPr>
              <w:t xml:space="preserve"> To assess the prevalence of </w:t>
            </w:r>
            <w:proofErr w:type="spellStart"/>
            <w:r w:rsidRPr="002C452A">
              <w:rPr>
                <w:rFonts w:ascii="Arial" w:hAnsi="Arial" w:cs="Arial"/>
                <w:color w:val="000000"/>
                <w:shd w:val="clear" w:color="auto" w:fill="FFFFFF"/>
              </w:rPr>
              <w:t>non strabismic</w:t>
            </w:r>
            <w:proofErr w:type="spellEnd"/>
            <w:r w:rsidRPr="002C452A">
              <w:rPr>
                <w:rFonts w:ascii="Arial" w:hAnsi="Arial" w:cs="Arial"/>
                <w:color w:val="000000"/>
                <w:shd w:val="clear" w:color="auto" w:fill="FFFFFF"/>
              </w:rPr>
              <w:t xml:space="preserve"> binocular vision anomalies among hypermetropic patients. </w:t>
            </w:r>
          </w:p>
          <w:p w14:paraId="0FAB5E6B" w14:textId="77777777" w:rsidR="00467629" w:rsidRPr="002C452A" w:rsidRDefault="0064297B" w:rsidP="00F53175">
            <w:pPr>
              <w:pStyle w:val="Body"/>
              <w:spacing w:after="0"/>
              <w:rPr>
                <w:rFonts w:ascii="Arial" w:eastAsia="Calibri" w:hAnsi="Arial" w:cs="Arial"/>
              </w:rPr>
            </w:pPr>
            <w:r w:rsidRPr="002C452A">
              <w:rPr>
                <w:rStyle w:val="Emphasis"/>
                <w:rFonts w:ascii="Arial" w:hAnsi="Arial" w:cs="Arial"/>
                <w:b/>
                <w:bCs/>
                <w:i w:val="0"/>
                <w:color w:val="000000"/>
                <w:shd w:val="clear" w:color="auto" w:fill="FFFFFF"/>
              </w:rPr>
              <w:t>Methodology:</w:t>
            </w:r>
            <w:r w:rsidRPr="002C452A">
              <w:rPr>
                <w:rStyle w:val="Emphasis"/>
                <w:rFonts w:ascii="Arial" w:hAnsi="Arial" w:cs="Arial"/>
                <w:bCs/>
                <w:i w:val="0"/>
                <w:color w:val="000000"/>
                <w:shd w:val="clear" w:color="auto" w:fill="FFFFFF"/>
              </w:rPr>
              <w:t xml:space="preserve"> </w:t>
            </w:r>
            <w:r w:rsidR="00467629" w:rsidRPr="002C452A">
              <w:rPr>
                <w:rStyle w:val="Emphasis"/>
                <w:rFonts w:ascii="Arial" w:hAnsi="Arial" w:cs="Arial"/>
                <w:bCs/>
                <w:i w:val="0"/>
                <w:color w:val="000000"/>
                <w:shd w:val="clear" w:color="auto" w:fill="FFFFFF"/>
              </w:rPr>
              <w:t>This</w:t>
            </w:r>
            <w:r w:rsidR="00467629" w:rsidRPr="002C452A">
              <w:rPr>
                <w:rStyle w:val="Emphasis"/>
                <w:rFonts w:ascii="Arial" w:hAnsi="Arial" w:cs="Arial"/>
                <w:b/>
                <w:bCs/>
                <w:color w:val="000000"/>
                <w:shd w:val="clear" w:color="auto" w:fill="FFFFFF"/>
              </w:rPr>
              <w:t xml:space="preserve"> </w:t>
            </w:r>
            <w:r w:rsidR="00467629" w:rsidRPr="002C452A">
              <w:rPr>
                <w:rFonts w:ascii="Arial" w:hAnsi="Arial" w:cs="Arial"/>
              </w:rPr>
              <w:t>prospective, cross-sectional study was conducted among 145 hyperopic patients in the age group 18-30 years visiting tertiary eye hospital</w:t>
            </w:r>
            <w:r w:rsidR="00747C4D" w:rsidRPr="002C452A">
              <w:rPr>
                <w:rFonts w:ascii="Arial" w:eastAsia="Calibri" w:hAnsi="Arial" w:cs="Arial"/>
              </w:rPr>
              <w:t xml:space="preserve"> between Jan 2024 and July 2024. </w:t>
            </w:r>
            <w:r w:rsidR="00467629" w:rsidRPr="002C452A">
              <w:rPr>
                <w:rFonts w:ascii="Arial" w:hAnsi="Arial" w:cs="Arial"/>
              </w:rPr>
              <w:t xml:space="preserve">The comprehensive eye examination followed by binocular vision assessment was performed on all the recruited subjects. Diagnosis of </w:t>
            </w:r>
            <w:proofErr w:type="spellStart"/>
            <w:r w:rsidR="00467629" w:rsidRPr="002C452A">
              <w:rPr>
                <w:rFonts w:ascii="Arial" w:hAnsi="Arial" w:cs="Arial"/>
                <w:color w:val="000000"/>
                <w:shd w:val="clear" w:color="auto" w:fill="FFFFFF"/>
              </w:rPr>
              <w:t>non strabismic</w:t>
            </w:r>
            <w:proofErr w:type="spellEnd"/>
            <w:r w:rsidR="00467629" w:rsidRPr="002C452A">
              <w:rPr>
                <w:rFonts w:ascii="Arial" w:hAnsi="Arial" w:cs="Arial"/>
                <w:color w:val="000000"/>
                <w:shd w:val="clear" w:color="auto" w:fill="FFFFFF"/>
              </w:rPr>
              <w:t xml:space="preserve"> binocular vision anomalies</w:t>
            </w:r>
            <w:r w:rsidR="00467629" w:rsidRPr="002C452A">
              <w:rPr>
                <w:rFonts w:ascii="Arial" w:hAnsi="Arial" w:cs="Arial"/>
              </w:rPr>
              <w:t xml:space="preserve"> was made on the basis of normative data and diagnostic criteria mentioned in the Scheiman and Wicks findings. Data was </w:t>
            </w:r>
            <w:r w:rsidR="00747C4D" w:rsidRPr="002C452A">
              <w:rPr>
                <w:rFonts w:ascii="Arial" w:hAnsi="Arial" w:cs="Arial"/>
              </w:rPr>
              <w:t>analyzed</w:t>
            </w:r>
            <w:r w:rsidR="00467629" w:rsidRPr="002C452A">
              <w:rPr>
                <w:rFonts w:ascii="Arial" w:hAnsi="Arial" w:cs="Arial"/>
              </w:rPr>
              <w:t xml:space="preserve"> using SPSS 23.0.</w:t>
            </w:r>
          </w:p>
          <w:p w14:paraId="3C51E62B" w14:textId="77777777" w:rsidR="00467629" w:rsidRPr="002C452A" w:rsidRDefault="0064297B" w:rsidP="00F53175">
            <w:pPr>
              <w:spacing w:after="60"/>
              <w:jc w:val="both"/>
              <w:rPr>
                <w:rFonts w:ascii="Arial" w:hAnsi="Arial" w:cs="Arial"/>
              </w:rPr>
            </w:pPr>
            <w:r w:rsidRPr="002C452A">
              <w:rPr>
                <w:rStyle w:val="Emphasis"/>
                <w:rFonts w:ascii="Arial" w:hAnsi="Arial" w:cs="Arial"/>
                <w:b/>
                <w:bCs/>
                <w:i w:val="0"/>
                <w:color w:val="000000"/>
                <w:shd w:val="clear" w:color="auto" w:fill="FFFFFF"/>
              </w:rPr>
              <w:t xml:space="preserve">Results: </w:t>
            </w:r>
            <w:r w:rsidR="00467629" w:rsidRPr="002C452A">
              <w:rPr>
                <w:rStyle w:val="Emphasis"/>
                <w:rFonts w:ascii="Arial" w:hAnsi="Arial" w:cs="Arial"/>
                <w:bCs/>
                <w:i w:val="0"/>
                <w:color w:val="000000"/>
                <w:shd w:val="clear" w:color="auto" w:fill="FFFFFF"/>
              </w:rPr>
              <w:t>The prevalence of</w:t>
            </w:r>
            <w:r w:rsidR="00467629" w:rsidRPr="002C452A">
              <w:rPr>
                <w:rStyle w:val="Emphasis"/>
                <w:rFonts w:ascii="Arial" w:hAnsi="Arial" w:cs="Arial"/>
                <w:b/>
                <w:bCs/>
                <w:color w:val="000000"/>
                <w:shd w:val="clear" w:color="auto" w:fill="FFFFFF"/>
              </w:rPr>
              <w:t xml:space="preserve"> </w:t>
            </w:r>
            <w:proofErr w:type="spellStart"/>
            <w:r w:rsidR="00467629" w:rsidRPr="002C452A">
              <w:rPr>
                <w:rFonts w:ascii="Arial" w:hAnsi="Arial" w:cs="Arial"/>
                <w:color w:val="000000"/>
                <w:shd w:val="clear" w:color="auto" w:fill="FFFFFF"/>
              </w:rPr>
              <w:t>non strabismic</w:t>
            </w:r>
            <w:proofErr w:type="spellEnd"/>
            <w:r w:rsidR="00467629" w:rsidRPr="002C452A">
              <w:rPr>
                <w:rFonts w:ascii="Arial" w:hAnsi="Arial" w:cs="Arial"/>
                <w:color w:val="000000"/>
                <w:shd w:val="clear" w:color="auto" w:fill="FFFFFF"/>
              </w:rPr>
              <w:t xml:space="preserve"> binocular vision anomalies was 46.91% among hyperopic patients. Commonest form </w:t>
            </w:r>
            <w:r w:rsidR="00467629" w:rsidRPr="002C452A">
              <w:rPr>
                <w:rStyle w:val="Emphasis"/>
                <w:rFonts w:ascii="Arial" w:hAnsi="Arial" w:cs="Arial"/>
                <w:bCs/>
                <w:color w:val="000000"/>
                <w:shd w:val="clear" w:color="auto" w:fill="FFFFFF"/>
              </w:rPr>
              <w:t>of</w:t>
            </w:r>
            <w:r w:rsidR="00467629" w:rsidRPr="002C452A">
              <w:rPr>
                <w:rStyle w:val="Emphasis"/>
                <w:rFonts w:ascii="Arial" w:hAnsi="Arial" w:cs="Arial"/>
                <w:b/>
                <w:bCs/>
                <w:color w:val="000000"/>
                <w:shd w:val="clear" w:color="auto" w:fill="FFFFFF"/>
              </w:rPr>
              <w:t xml:space="preserve"> </w:t>
            </w:r>
            <w:proofErr w:type="spellStart"/>
            <w:r w:rsidR="00467629" w:rsidRPr="002C452A">
              <w:rPr>
                <w:rFonts w:ascii="Arial" w:hAnsi="Arial" w:cs="Arial"/>
                <w:color w:val="000000"/>
                <w:shd w:val="clear" w:color="auto" w:fill="FFFFFF"/>
              </w:rPr>
              <w:t>non strabismic</w:t>
            </w:r>
            <w:proofErr w:type="spellEnd"/>
            <w:r w:rsidR="00467629" w:rsidRPr="002C452A">
              <w:rPr>
                <w:rFonts w:ascii="Arial" w:hAnsi="Arial" w:cs="Arial"/>
                <w:color w:val="000000"/>
                <w:shd w:val="clear" w:color="auto" w:fill="FFFFFF"/>
              </w:rPr>
              <w:t xml:space="preserve"> binocular vision anomalies was </w:t>
            </w:r>
            <w:r w:rsidR="00467629" w:rsidRPr="002C452A">
              <w:rPr>
                <w:rFonts w:ascii="Arial" w:hAnsi="Arial" w:cs="Arial"/>
                <w:color w:val="000000" w:themeColor="text1"/>
              </w:rPr>
              <w:t>accommodative excess (30.88%) followed by convergence insufficiency (22.06%), accommodative excess with convergence insufficiency (19.11%), convergence excess (</w:t>
            </w:r>
            <w:r w:rsidR="00467629" w:rsidRPr="002C452A">
              <w:rPr>
                <w:rFonts w:ascii="Arial" w:hAnsi="Arial" w:cs="Arial"/>
              </w:rPr>
              <w:t>14.70</w:t>
            </w:r>
            <w:r w:rsidR="00467629" w:rsidRPr="002C452A">
              <w:rPr>
                <w:rFonts w:ascii="Arial" w:hAnsi="Arial" w:cs="Arial"/>
                <w:color w:val="000000" w:themeColor="text1"/>
              </w:rPr>
              <w:t>%) and accommodative insufficiency (13.23%) respectively.</w:t>
            </w:r>
          </w:p>
          <w:p w14:paraId="2CF7DB69" w14:textId="77777777" w:rsidR="00505F06" w:rsidRPr="0064297B" w:rsidRDefault="0064297B" w:rsidP="00F53175">
            <w:pPr>
              <w:spacing w:after="60"/>
              <w:jc w:val="both"/>
              <w:rPr>
                <w:rFonts w:ascii="Arial" w:hAnsi="Arial" w:cs="Arial"/>
                <w:color w:val="000000"/>
                <w:shd w:val="clear" w:color="auto" w:fill="FFFFFF"/>
              </w:rPr>
            </w:pPr>
            <w:r w:rsidRPr="002C452A">
              <w:rPr>
                <w:rStyle w:val="Emphasis"/>
                <w:rFonts w:ascii="Arial" w:hAnsi="Arial" w:cs="Arial"/>
                <w:b/>
                <w:bCs/>
                <w:i w:val="0"/>
                <w:color w:val="000000"/>
                <w:shd w:val="clear" w:color="auto" w:fill="FFFFFF"/>
              </w:rPr>
              <w:t>Conclusion</w:t>
            </w:r>
            <w:r w:rsidRPr="002C452A">
              <w:rPr>
                <w:rFonts w:ascii="Arial" w:hAnsi="Arial" w:cs="Arial"/>
                <w:i/>
                <w:color w:val="000000"/>
                <w:shd w:val="clear" w:color="auto" w:fill="FFFFFF"/>
              </w:rPr>
              <w:t>:</w:t>
            </w:r>
            <w:r w:rsidRPr="002C452A">
              <w:rPr>
                <w:rFonts w:ascii="Arial" w:hAnsi="Arial" w:cs="Arial"/>
                <w:color w:val="000000"/>
                <w:shd w:val="clear" w:color="auto" w:fill="FFFFFF"/>
              </w:rPr>
              <w:t xml:space="preserve"> </w:t>
            </w:r>
            <w:r w:rsidR="00467629" w:rsidRPr="002C452A">
              <w:rPr>
                <w:rFonts w:ascii="Arial" w:hAnsi="Arial" w:cs="Arial"/>
                <w:color w:val="000000"/>
                <w:shd w:val="clear" w:color="auto" w:fill="FFFFFF"/>
              </w:rPr>
              <w:t>Findings of the current study revealed that non strabismic binocular vision anomalies are highly associated with the hypermetropia. So, it is crucial to assess the status of accommodation and vergence while prescribing the correction for hypermetropia in order to provide the appropriate correction and ultimately improve visual functioning of eye.</w:t>
            </w:r>
          </w:p>
        </w:tc>
      </w:tr>
    </w:tbl>
    <w:p w14:paraId="602B29AE" w14:textId="77777777" w:rsidR="009C2BB7" w:rsidRPr="009C2BB7" w:rsidRDefault="00A24E7E" w:rsidP="0081733C">
      <w:pPr>
        <w:pStyle w:val="Body"/>
        <w:spacing w:after="0"/>
        <w:rPr>
          <w:rFonts w:ascii="Arial" w:hAnsi="Arial" w:cs="Arial"/>
          <w:i/>
        </w:rPr>
      </w:pPr>
      <w:r w:rsidRPr="00EC5D00">
        <w:rPr>
          <w:rFonts w:ascii="Arial" w:hAnsi="Arial" w:cs="Arial"/>
          <w:b/>
          <w:i/>
        </w:rPr>
        <w:t>Keywords:</w:t>
      </w:r>
      <w:r>
        <w:rPr>
          <w:rFonts w:ascii="Arial" w:hAnsi="Arial" w:cs="Arial"/>
          <w:i/>
        </w:rPr>
        <w:t xml:space="preserve"> </w:t>
      </w:r>
      <w:r w:rsidR="0064297B" w:rsidRPr="0064297B">
        <w:rPr>
          <w:rFonts w:ascii="Arial" w:hAnsi="Arial" w:cs="Arial"/>
          <w:i/>
        </w:rPr>
        <w:t>Accommodation, Binocular Vision Anomalies</w:t>
      </w:r>
      <w:r w:rsidR="0064297B">
        <w:rPr>
          <w:rFonts w:ascii="Arial" w:hAnsi="Arial" w:cs="Arial"/>
          <w:i/>
        </w:rPr>
        <w:t>,</w:t>
      </w:r>
      <w:r w:rsidR="0064297B" w:rsidRPr="0064297B">
        <w:rPr>
          <w:rFonts w:ascii="Arial" w:hAnsi="Arial" w:cs="Arial"/>
          <w:i/>
        </w:rPr>
        <w:t xml:space="preserve"> Hypermetropia, </w:t>
      </w:r>
      <w:r w:rsidR="0064297B">
        <w:rPr>
          <w:rFonts w:ascii="Arial" w:hAnsi="Arial" w:cs="Arial"/>
          <w:i/>
        </w:rPr>
        <w:t>Vergence</w:t>
      </w:r>
    </w:p>
    <w:p w14:paraId="72EAD02D" w14:textId="77777777" w:rsidR="009C2BB7" w:rsidRDefault="009C2BB7" w:rsidP="00441B6F">
      <w:pPr>
        <w:pStyle w:val="AbstHead"/>
        <w:spacing w:after="0"/>
        <w:jc w:val="both"/>
        <w:rPr>
          <w:rFonts w:ascii="Arial" w:hAnsi="Arial" w:cs="Arial"/>
        </w:rPr>
      </w:pPr>
    </w:p>
    <w:p w14:paraId="354131A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19BAE4" w14:textId="77777777" w:rsidR="00790ADA" w:rsidRPr="00FB3A86" w:rsidRDefault="00790ADA" w:rsidP="00441B6F">
      <w:pPr>
        <w:pStyle w:val="AbstHead"/>
        <w:spacing w:after="0"/>
        <w:jc w:val="both"/>
        <w:rPr>
          <w:rFonts w:ascii="Arial" w:hAnsi="Arial" w:cs="Arial"/>
        </w:rPr>
      </w:pPr>
    </w:p>
    <w:p w14:paraId="732388A7"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When parallel light rays cannot be focused on the retina by the non-accommodating eyes, the condition is known as refractive error (RE</w:t>
      </w:r>
      <w:proofErr w:type="gramStart"/>
      <w:r w:rsidRPr="0081733C">
        <w:rPr>
          <w:rFonts w:ascii="Arial" w:hAnsi="Arial" w:cs="Arial"/>
          <w:b w:val="0"/>
          <w:caps w:val="0"/>
          <w:sz w:val="20"/>
        </w:rPr>
        <w:t>).[</w:t>
      </w:r>
      <w:proofErr w:type="gramEnd"/>
      <w:r w:rsidRPr="0081733C">
        <w:rPr>
          <w:rFonts w:ascii="Arial" w:hAnsi="Arial" w:cs="Arial"/>
          <w:b w:val="0"/>
          <w:caps w:val="0"/>
          <w:sz w:val="20"/>
        </w:rPr>
        <w:t>1] According to the American Academy of Ophthalmology, hyperopia is defined as "a condition in which the eye is shorter than normal or has a cornea that is too flat, so light rays focus behind the retina instead of on it".[2]</w:t>
      </w:r>
    </w:p>
    <w:p w14:paraId="353E67FA"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 xml:space="preserve">Hyperopia is a prevalent refractive error which depends on the child's race/ethnicity and geographic location. The development of children's vision, their ability to execute different visual activities, and their academic achievement have all been negatively impacted by hyperopia, especially moderate to severe </w:t>
      </w:r>
      <w:proofErr w:type="gramStart"/>
      <w:r w:rsidRPr="0081733C">
        <w:rPr>
          <w:rFonts w:ascii="Arial" w:hAnsi="Arial" w:cs="Arial"/>
          <w:b w:val="0"/>
          <w:caps w:val="0"/>
          <w:sz w:val="20"/>
        </w:rPr>
        <w:t>hyperopia.[</w:t>
      </w:r>
      <w:proofErr w:type="gramEnd"/>
      <w:r w:rsidRPr="0081733C">
        <w:rPr>
          <w:rFonts w:ascii="Arial" w:hAnsi="Arial" w:cs="Arial"/>
          <w:b w:val="0"/>
          <w:caps w:val="0"/>
          <w:sz w:val="20"/>
        </w:rPr>
        <w:t>3]</w:t>
      </w:r>
    </w:p>
    <w:p w14:paraId="3627BEA8"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 xml:space="preserve">Perception of any single object as a single entity by the simultaneous use of two eyes is called as Binocular Single Vision. Non-strabismic binocular vision anomalies (NSBVA) refer to a group of visual disorders that affect the ability of the eyes to work together properly without involving a misalignment of visual axis (strabismus). Binocular vision anomalies possess a dynamic etiology and treatment which are triggered by refractive errors. The visual efficiency system (VES) is made up of three distinct systems: accommodative mechanisms, vergence mechanisms, and refractive </w:t>
      </w:r>
      <w:proofErr w:type="gramStart"/>
      <w:r w:rsidRPr="0081733C">
        <w:rPr>
          <w:rFonts w:ascii="Arial" w:hAnsi="Arial" w:cs="Arial"/>
          <w:b w:val="0"/>
          <w:caps w:val="0"/>
          <w:sz w:val="20"/>
        </w:rPr>
        <w:t>errors.[</w:t>
      </w:r>
      <w:proofErr w:type="gramEnd"/>
      <w:r w:rsidRPr="0081733C">
        <w:rPr>
          <w:rFonts w:ascii="Arial" w:hAnsi="Arial" w:cs="Arial"/>
          <w:b w:val="0"/>
          <w:caps w:val="0"/>
          <w:sz w:val="20"/>
        </w:rPr>
        <w:t xml:space="preserve">4]  </w:t>
      </w:r>
    </w:p>
    <w:p w14:paraId="2DCA0EE5"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 xml:space="preserve">The visual system may not be able to carry out this type of activity effectively due to the emphasis on vision in today's society, which is associated with tasks requiring near vision. This can result in visual discomfort, fatigue, as well as impaired visual performance. Prolonged close work, is more frequent to report the symptoms and indicators of these </w:t>
      </w:r>
      <w:r w:rsidRPr="0081733C">
        <w:rPr>
          <w:rFonts w:ascii="Arial" w:hAnsi="Arial" w:cs="Arial"/>
          <w:b w:val="0"/>
          <w:caps w:val="0"/>
          <w:sz w:val="20"/>
        </w:rPr>
        <w:lastRenderedPageBreak/>
        <w:t>challenges when engaging in activities like reading or operating gadgets.[5,6] Headache, blurred vision, trouble concentrating at various distances, and ocular pain; asthenopia is the umbrella term used to describe all of these symptoms.[7,8] According to the Vision in Preschoolers-Hyperopia in Preschoolers (VIP-HIP) study, the percentage of children with reduced visual functions (visual acuity, near stereoacuity, and/or accommodative response) increased from 17% in emmetropic children to 82% in children with uncorrected hyperopia of ≥4.0 D to ≤6.0 D.[9]</w:t>
      </w:r>
    </w:p>
    <w:p w14:paraId="3BAA3531"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 xml:space="preserve">Individual with binocular vision anomalies (BVA) are more likely to experience learning problems, and after receiving vision therapy for BVA, academic </w:t>
      </w:r>
      <w:proofErr w:type="spellStart"/>
      <w:r w:rsidRPr="0081733C">
        <w:rPr>
          <w:rFonts w:ascii="Arial" w:hAnsi="Arial" w:cs="Arial"/>
          <w:b w:val="0"/>
          <w:caps w:val="0"/>
          <w:sz w:val="20"/>
        </w:rPr>
        <w:t>behaviour</w:t>
      </w:r>
      <w:proofErr w:type="spellEnd"/>
      <w:r w:rsidRPr="0081733C">
        <w:rPr>
          <w:rFonts w:ascii="Arial" w:hAnsi="Arial" w:cs="Arial"/>
          <w:b w:val="0"/>
          <w:caps w:val="0"/>
          <w:sz w:val="20"/>
        </w:rPr>
        <w:t xml:space="preserve">, as measured by an academic </w:t>
      </w:r>
      <w:proofErr w:type="spellStart"/>
      <w:r w:rsidRPr="0081733C">
        <w:rPr>
          <w:rFonts w:ascii="Arial" w:hAnsi="Arial" w:cs="Arial"/>
          <w:b w:val="0"/>
          <w:caps w:val="0"/>
          <w:sz w:val="20"/>
        </w:rPr>
        <w:t>behaviour</w:t>
      </w:r>
      <w:proofErr w:type="spellEnd"/>
      <w:r w:rsidRPr="0081733C">
        <w:rPr>
          <w:rFonts w:ascii="Arial" w:hAnsi="Arial" w:cs="Arial"/>
          <w:b w:val="0"/>
          <w:caps w:val="0"/>
          <w:sz w:val="20"/>
        </w:rPr>
        <w:t xml:space="preserve"> survey is significantly improved.[8,10] It has been found that NSBVA affect about 80% of children with learning disabilities.[11,12] Also, they may have a detrimental effect on a child’s intellectual development because they reduce visual efficiency, cause pain, and hinder effective near work.[13]</w:t>
      </w:r>
    </w:p>
    <w:p w14:paraId="0BC77604" w14:textId="77777777" w:rsidR="0081733C" w:rsidRDefault="0081733C" w:rsidP="0081733C">
      <w:pPr>
        <w:pStyle w:val="AbstHead"/>
        <w:spacing w:after="0"/>
        <w:jc w:val="both"/>
        <w:rPr>
          <w:rFonts w:ascii="Arial" w:hAnsi="Arial" w:cs="Arial"/>
          <w:b w:val="0"/>
          <w:caps w:val="0"/>
          <w:sz w:val="20"/>
        </w:rPr>
      </w:pPr>
      <w:r w:rsidRPr="0081733C">
        <w:rPr>
          <w:rFonts w:ascii="Arial" w:hAnsi="Arial" w:cs="Arial"/>
          <w:b w:val="0"/>
          <w:caps w:val="0"/>
          <w:sz w:val="20"/>
        </w:rPr>
        <w:t>It has been established that these dysfunctions can affect a reader's ability to read quickly, accurately, and efficiently. It is strongly advised to evaluate a child's binocular vision in youngsters with learning difficulties. The success of vision therapy in the treatment of binocular vision defects in student enrolled in regular stream education is well established.[14] If left undiagnosed, it will worsen the situation and can results to strabismus.[15] Timely diagnosis and treatments ensure adequate visual quality due to the rising prevalence of binocular vision anomalies and the increased demand for close work.[16] Previous studies focused on the pediatric population rather than young adults but nowadays it is an crucial part of ocular examination in young adult too. This study emphasizes on the Non-Strabismic Binocular Vision status among young adults due to their increased near work demand and exposure to digital screen.</w:t>
      </w:r>
    </w:p>
    <w:p w14:paraId="7E07296D" w14:textId="77777777" w:rsidR="0081733C" w:rsidRDefault="0081733C" w:rsidP="0081733C">
      <w:pPr>
        <w:pStyle w:val="AbstHead"/>
        <w:spacing w:after="0"/>
        <w:jc w:val="both"/>
        <w:rPr>
          <w:rFonts w:ascii="Arial" w:hAnsi="Arial" w:cs="Arial"/>
          <w:b w:val="0"/>
          <w:caps w:val="0"/>
          <w:sz w:val="20"/>
        </w:rPr>
      </w:pPr>
    </w:p>
    <w:p w14:paraId="73CD40B7" w14:textId="77777777" w:rsidR="007F7B32" w:rsidRDefault="00902823" w:rsidP="0081733C">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438B214" w14:textId="77777777" w:rsidR="00790ADA" w:rsidRPr="00FB3A86" w:rsidRDefault="00790ADA" w:rsidP="00441B6F">
      <w:pPr>
        <w:pStyle w:val="AbstHead"/>
        <w:spacing w:after="0"/>
        <w:jc w:val="both"/>
        <w:rPr>
          <w:rFonts w:ascii="Arial" w:hAnsi="Arial" w:cs="Arial"/>
        </w:rPr>
      </w:pPr>
    </w:p>
    <w:p w14:paraId="2E147E03" w14:textId="77777777" w:rsidR="0081733C" w:rsidRPr="0081733C" w:rsidRDefault="0081733C" w:rsidP="0081733C">
      <w:pPr>
        <w:pStyle w:val="Body"/>
        <w:rPr>
          <w:rFonts w:ascii="Arial" w:hAnsi="Arial" w:cs="Arial"/>
        </w:rPr>
      </w:pPr>
      <w:r w:rsidRPr="0081733C">
        <w:rPr>
          <w:rFonts w:ascii="Arial" w:hAnsi="Arial" w:cs="Arial"/>
        </w:rPr>
        <w:t xml:space="preserve">This prospective, cross-sectional study was conducted to assess the </w:t>
      </w:r>
      <w:proofErr w:type="spellStart"/>
      <w:r w:rsidRPr="0081733C">
        <w:rPr>
          <w:rFonts w:ascii="Arial" w:hAnsi="Arial" w:cs="Arial"/>
        </w:rPr>
        <w:t>non strabismic</w:t>
      </w:r>
      <w:proofErr w:type="spellEnd"/>
      <w:r w:rsidRPr="0081733C">
        <w:rPr>
          <w:rFonts w:ascii="Arial" w:hAnsi="Arial" w:cs="Arial"/>
        </w:rPr>
        <w:t xml:space="preserve"> binocular vision anomalies in hyperopic patients at tertiary eye hospital of west Uttar Pradesh in the year 2024. Ethical clearance was obtained by the Institutional Review Committee and the study was conducted in accordance to the Declaration of Helsinki regarding human research. Total 145 patients of 18-30 years of age were enrolled after obtaining the informed written consent. Inclusion criteria were hyperopic subject with best corrected visual acuity 0.0 or 6/6 or 20/20 and N6 at distance and near. Subject with any other ocular and systemic condition, refractive and ocular surgery were excluded from the study. Recruited patients underwent comprehensive eye examinations including history, visual acuity (Unaided/Aided at near and distance), refraction and torchlight examination. </w:t>
      </w:r>
    </w:p>
    <w:p w14:paraId="6332FD46" w14:textId="77777777" w:rsidR="0081733C" w:rsidRPr="0081733C" w:rsidRDefault="0081733C" w:rsidP="0081733C">
      <w:pPr>
        <w:pStyle w:val="Body"/>
        <w:rPr>
          <w:rFonts w:ascii="Arial" w:hAnsi="Arial" w:cs="Arial"/>
        </w:rPr>
      </w:pPr>
      <w:r w:rsidRPr="0081733C">
        <w:rPr>
          <w:rFonts w:ascii="Arial" w:hAnsi="Arial" w:cs="Arial"/>
        </w:rPr>
        <w:t xml:space="preserve">Distant visual acuity was measured using the </w:t>
      </w:r>
      <w:proofErr w:type="spellStart"/>
      <w:r w:rsidRPr="0081733C">
        <w:rPr>
          <w:rFonts w:ascii="Arial" w:hAnsi="Arial" w:cs="Arial"/>
        </w:rPr>
        <w:t>logMAR</w:t>
      </w:r>
      <w:proofErr w:type="spellEnd"/>
      <w:r w:rsidRPr="0081733C">
        <w:rPr>
          <w:rFonts w:ascii="Arial" w:hAnsi="Arial" w:cs="Arial"/>
        </w:rPr>
        <w:t xml:space="preserve"> chart from the distance of 4 meters and near visual acuity was measured using the reduced Snellen chart at 40cm. Objective refraction was performed using the retinoscope followed by cycloplegic refraction. Broad H test was used to check the ocular motility. Cover test was performed at near and distance to check the presence and type of phoria. The amount of phoria was measured with the help of Prism bar cover test. Suppression was assessed with the help of worth four dot test. Gross stereopsis was assessed with the help of TNO. Then tests for accommodation and vergence assessment were carried out.</w:t>
      </w:r>
    </w:p>
    <w:p w14:paraId="362B4B82" w14:textId="77777777" w:rsidR="0081733C" w:rsidRPr="0081733C" w:rsidRDefault="0081733C" w:rsidP="0081733C">
      <w:pPr>
        <w:pStyle w:val="Body"/>
        <w:rPr>
          <w:rFonts w:ascii="Arial" w:hAnsi="Arial" w:cs="Arial"/>
        </w:rPr>
      </w:pPr>
      <w:r w:rsidRPr="0081733C">
        <w:rPr>
          <w:rFonts w:ascii="Arial" w:hAnsi="Arial" w:cs="Arial"/>
        </w:rPr>
        <w:t xml:space="preserve">Vergence assessment includes NPC, VF, NFV and PFV. The </w:t>
      </w:r>
      <w:r w:rsidR="00D92121" w:rsidRPr="0081733C">
        <w:rPr>
          <w:rFonts w:ascii="Arial" w:hAnsi="Arial" w:cs="Arial"/>
        </w:rPr>
        <w:t xml:space="preserve">Near Point </w:t>
      </w:r>
      <w:proofErr w:type="gramStart"/>
      <w:r w:rsidR="00D92121" w:rsidRPr="0081733C">
        <w:rPr>
          <w:rFonts w:ascii="Arial" w:hAnsi="Arial" w:cs="Arial"/>
        </w:rPr>
        <w:t>Of</w:t>
      </w:r>
      <w:proofErr w:type="gramEnd"/>
      <w:r w:rsidR="00D92121" w:rsidRPr="0081733C">
        <w:rPr>
          <w:rFonts w:ascii="Arial" w:hAnsi="Arial" w:cs="Arial"/>
        </w:rPr>
        <w:t xml:space="preserve"> Convergence </w:t>
      </w:r>
      <w:r w:rsidRPr="0081733C">
        <w:rPr>
          <w:rFonts w:ascii="Arial" w:hAnsi="Arial" w:cs="Arial"/>
        </w:rPr>
        <w:t xml:space="preserve">(NPC) was assessed using the Royal Air Force Ruler (RAF). Negative </w:t>
      </w:r>
      <w:r w:rsidR="00D92121" w:rsidRPr="0081733C">
        <w:rPr>
          <w:rFonts w:ascii="Arial" w:hAnsi="Arial" w:cs="Arial"/>
        </w:rPr>
        <w:t xml:space="preserve">Fusional Vergence </w:t>
      </w:r>
      <w:r w:rsidRPr="0081733C">
        <w:rPr>
          <w:rFonts w:ascii="Arial" w:hAnsi="Arial" w:cs="Arial"/>
        </w:rPr>
        <w:t xml:space="preserve">(NFV) and </w:t>
      </w:r>
      <w:r w:rsidR="00D92121" w:rsidRPr="0081733C">
        <w:rPr>
          <w:rFonts w:ascii="Arial" w:hAnsi="Arial" w:cs="Arial"/>
        </w:rPr>
        <w:t xml:space="preserve">Positive Fusional Vergence </w:t>
      </w:r>
      <w:r w:rsidRPr="0081733C">
        <w:rPr>
          <w:rFonts w:ascii="Arial" w:hAnsi="Arial" w:cs="Arial"/>
        </w:rPr>
        <w:t xml:space="preserve">(PFV) at near and distance were measured with the help of horizontal prism bar with </w:t>
      </w:r>
      <w:r w:rsidR="00D92121">
        <w:rPr>
          <w:rFonts w:ascii="Arial" w:hAnsi="Arial" w:cs="Arial"/>
        </w:rPr>
        <w:t>Base In (</w:t>
      </w:r>
      <w:r w:rsidRPr="0081733C">
        <w:rPr>
          <w:rFonts w:ascii="Arial" w:hAnsi="Arial" w:cs="Arial"/>
        </w:rPr>
        <w:t>BI</w:t>
      </w:r>
      <w:r w:rsidR="00D92121">
        <w:rPr>
          <w:rFonts w:ascii="Arial" w:hAnsi="Arial" w:cs="Arial"/>
        </w:rPr>
        <w:t>)</w:t>
      </w:r>
      <w:r w:rsidRPr="0081733C">
        <w:rPr>
          <w:rFonts w:ascii="Arial" w:hAnsi="Arial" w:cs="Arial"/>
        </w:rPr>
        <w:t xml:space="preserve"> and </w:t>
      </w:r>
      <w:r w:rsidR="00D92121">
        <w:rPr>
          <w:rFonts w:ascii="Arial" w:hAnsi="Arial" w:cs="Arial"/>
        </w:rPr>
        <w:t>Base Out (</w:t>
      </w:r>
      <w:r w:rsidRPr="0081733C">
        <w:rPr>
          <w:rFonts w:ascii="Arial" w:hAnsi="Arial" w:cs="Arial"/>
        </w:rPr>
        <w:t>BO</w:t>
      </w:r>
      <w:r w:rsidR="00D92121">
        <w:rPr>
          <w:rFonts w:ascii="Arial" w:hAnsi="Arial" w:cs="Arial"/>
        </w:rPr>
        <w:t>)</w:t>
      </w:r>
      <w:r w:rsidRPr="0081733C">
        <w:rPr>
          <w:rFonts w:ascii="Arial" w:hAnsi="Arial" w:cs="Arial"/>
        </w:rPr>
        <w:t xml:space="preserve"> orientation. Vergence </w:t>
      </w:r>
      <w:r w:rsidR="00D92121" w:rsidRPr="0081733C">
        <w:rPr>
          <w:rFonts w:ascii="Arial" w:hAnsi="Arial" w:cs="Arial"/>
        </w:rPr>
        <w:lastRenderedPageBreak/>
        <w:t>Facility</w:t>
      </w:r>
      <w:r w:rsidRPr="0081733C">
        <w:rPr>
          <w:rFonts w:ascii="Arial" w:hAnsi="Arial" w:cs="Arial"/>
        </w:rPr>
        <w:t xml:space="preserve"> (VF) was assessed using the 3BI/12BO prism flipper. Accommodation assessment included Near Point of Accommodation (NPA) assessed using the Royal Air Force </w:t>
      </w:r>
      <w:r w:rsidR="00D92121" w:rsidRPr="0081733C">
        <w:rPr>
          <w:rFonts w:ascii="Arial" w:hAnsi="Arial" w:cs="Arial"/>
        </w:rPr>
        <w:t>(RAF)</w:t>
      </w:r>
      <w:r w:rsidR="00D92121">
        <w:rPr>
          <w:rFonts w:ascii="Arial" w:hAnsi="Arial" w:cs="Arial"/>
        </w:rPr>
        <w:t xml:space="preserve"> r</w:t>
      </w:r>
      <w:r w:rsidRPr="0081733C">
        <w:rPr>
          <w:rFonts w:ascii="Arial" w:hAnsi="Arial" w:cs="Arial"/>
        </w:rPr>
        <w:t xml:space="preserve">uler. Negative </w:t>
      </w:r>
      <w:r w:rsidR="00D92121" w:rsidRPr="0081733C">
        <w:rPr>
          <w:rFonts w:ascii="Arial" w:hAnsi="Arial" w:cs="Arial"/>
        </w:rPr>
        <w:t>Relative Accommodation</w:t>
      </w:r>
      <w:r w:rsidRPr="0081733C">
        <w:rPr>
          <w:rFonts w:ascii="Arial" w:hAnsi="Arial" w:cs="Arial"/>
        </w:rPr>
        <w:t xml:space="preserve"> (NRA) and Positive </w:t>
      </w:r>
      <w:r w:rsidR="00D92121" w:rsidRPr="0081733C">
        <w:rPr>
          <w:rFonts w:ascii="Arial" w:hAnsi="Arial" w:cs="Arial"/>
        </w:rPr>
        <w:t xml:space="preserve">Relative Accommodation </w:t>
      </w:r>
      <w:r w:rsidRPr="0081733C">
        <w:rPr>
          <w:rFonts w:ascii="Arial" w:hAnsi="Arial" w:cs="Arial"/>
        </w:rPr>
        <w:t xml:space="preserve">(PRA) was assessed using plus lens and minus lenses in increasing order respectively. Accommodative </w:t>
      </w:r>
      <w:r w:rsidR="00D92121" w:rsidRPr="0081733C">
        <w:rPr>
          <w:rFonts w:ascii="Arial" w:hAnsi="Arial" w:cs="Arial"/>
        </w:rPr>
        <w:t>Facility</w:t>
      </w:r>
      <w:r w:rsidRPr="0081733C">
        <w:rPr>
          <w:rFonts w:ascii="Arial" w:hAnsi="Arial" w:cs="Arial"/>
        </w:rPr>
        <w:t xml:space="preserve"> (AF) with the help of +-2.00D accommodative flipper. Monocular Estimation method (MEM) using retinoscope to rule out the lead and lag of accommodation. AC/A ratio were calculated using heterophoria method. Diagnostic criteria for accommodative and vergence anomalies as well as normative data was according to the Scheiman and </w:t>
      </w:r>
      <w:proofErr w:type="gramStart"/>
      <w:r w:rsidRPr="0081733C">
        <w:rPr>
          <w:rFonts w:ascii="Arial" w:hAnsi="Arial" w:cs="Arial"/>
        </w:rPr>
        <w:t>Wick.[</w:t>
      </w:r>
      <w:proofErr w:type="gramEnd"/>
      <w:r w:rsidRPr="0081733C">
        <w:rPr>
          <w:rFonts w:ascii="Arial" w:hAnsi="Arial" w:cs="Arial"/>
        </w:rPr>
        <w:t>17] Details of participants and their identities were kept confidential.</w:t>
      </w:r>
    </w:p>
    <w:p w14:paraId="35FC9557" w14:textId="77777777" w:rsidR="00790ADA" w:rsidRDefault="0081733C" w:rsidP="0081733C">
      <w:pPr>
        <w:pStyle w:val="Body"/>
        <w:spacing w:after="0"/>
        <w:rPr>
          <w:rFonts w:ascii="Arial" w:hAnsi="Arial" w:cs="Arial"/>
        </w:rPr>
      </w:pPr>
      <w:r w:rsidRPr="0081733C">
        <w:rPr>
          <w:rFonts w:ascii="Arial" w:hAnsi="Arial" w:cs="Arial"/>
        </w:rPr>
        <w:t xml:space="preserve">Statistical analysis: Data was recorded in MS Excel and was </w:t>
      </w:r>
      <w:r w:rsidR="00747C4D" w:rsidRPr="0081733C">
        <w:rPr>
          <w:rFonts w:ascii="Arial" w:hAnsi="Arial" w:cs="Arial"/>
        </w:rPr>
        <w:t>analyzed</w:t>
      </w:r>
      <w:r w:rsidRPr="0081733C">
        <w:rPr>
          <w:rFonts w:ascii="Arial" w:hAnsi="Arial" w:cs="Arial"/>
        </w:rPr>
        <w:t xml:space="preserve"> through SPSS version 23.0 (IBM, Armonk, New York, USA). Descriptive statistics including frequency, percentage, average and standard deviation were recorded.</w:t>
      </w:r>
    </w:p>
    <w:p w14:paraId="35F9FFA6" w14:textId="77777777" w:rsidR="00CC543C" w:rsidRPr="00FB3A86" w:rsidRDefault="00CC543C" w:rsidP="0081733C">
      <w:pPr>
        <w:pStyle w:val="Body"/>
        <w:spacing w:after="0"/>
        <w:rPr>
          <w:rFonts w:ascii="Arial" w:hAnsi="Arial" w:cs="Arial"/>
        </w:rPr>
      </w:pPr>
    </w:p>
    <w:p w14:paraId="52D1635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DDBB61" w14:textId="77777777" w:rsidR="00790ADA" w:rsidRPr="00FB3A86" w:rsidRDefault="00790ADA" w:rsidP="00441B6F">
      <w:pPr>
        <w:pStyle w:val="Head1"/>
        <w:spacing w:after="0"/>
        <w:jc w:val="both"/>
        <w:rPr>
          <w:rFonts w:ascii="Arial" w:hAnsi="Arial" w:cs="Arial"/>
        </w:rPr>
      </w:pPr>
    </w:p>
    <w:p w14:paraId="666A54D9" w14:textId="77777777" w:rsidR="00CC543C" w:rsidRPr="00CC543C" w:rsidRDefault="00CC543C" w:rsidP="00CC543C">
      <w:pPr>
        <w:pStyle w:val="Body"/>
        <w:rPr>
          <w:rFonts w:ascii="Arial" w:hAnsi="Arial" w:cs="Arial"/>
        </w:rPr>
      </w:pPr>
      <w:r w:rsidRPr="00CC543C">
        <w:rPr>
          <w:rFonts w:ascii="Arial" w:hAnsi="Arial" w:cs="Arial"/>
        </w:rPr>
        <w:t xml:space="preserve">The study comprised of total 145 patients diagnosed with hypermetropia. Of total 145 participants, number of male participants was 69(48%) and female was 76(52%) as shown in Figure 1. The age of recruited participants was 18-30 years. The mean age of study participants was 22.22±2.39year. The mean hyperopia of 2.14±1.17D spherical equivalent was found among recruited participants. </w:t>
      </w:r>
    </w:p>
    <w:p w14:paraId="1845F628" w14:textId="77777777" w:rsidR="00CC543C" w:rsidRPr="00CC543C" w:rsidRDefault="00CC543C" w:rsidP="00CC543C">
      <w:pPr>
        <w:pStyle w:val="Body"/>
        <w:rPr>
          <w:rFonts w:ascii="Arial" w:hAnsi="Arial" w:cs="Arial"/>
        </w:rPr>
      </w:pPr>
      <w:r w:rsidRPr="00CC543C">
        <w:rPr>
          <w:rFonts w:ascii="Arial" w:hAnsi="Arial" w:cs="Arial"/>
        </w:rPr>
        <w:t>Assessment of sensory status included worth four dot test for suppression and stereopsis. Most of the patient had normal fusion, only one patient showed suppression with WFDT test. The mean stereopsis of the participants was 31.634±9.159 seconds of arc. Similarly, motor evaluation was performed which included ocular motility and cover test. Assessment of ocular motility in the nine position of gaze showed that none of the patient showed under/over action of EOM as well as restricted eye movement.</w:t>
      </w:r>
    </w:p>
    <w:p w14:paraId="4F011088" w14:textId="77777777" w:rsidR="00CC543C" w:rsidRDefault="00CC543C" w:rsidP="00CC543C">
      <w:pPr>
        <w:pStyle w:val="Body"/>
        <w:rPr>
          <w:rFonts w:ascii="Arial" w:hAnsi="Arial" w:cs="Arial"/>
        </w:rPr>
      </w:pPr>
      <w:r w:rsidRPr="00CC543C">
        <w:rPr>
          <w:rFonts w:ascii="Arial" w:hAnsi="Arial" w:cs="Arial"/>
        </w:rPr>
        <w:t>Out of 145 hyperopic patients, 68(46.91%) had diagnosed with Non</w:t>
      </w:r>
      <w:r w:rsidR="00102928" w:rsidRPr="00CC543C">
        <w:rPr>
          <w:rFonts w:ascii="Arial" w:hAnsi="Arial" w:cs="Arial"/>
        </w:rPr>
        <w:t>-Strabismic Binocular Vision Anomalies.</w:t>
      </w:r>
      <w:r w:rsidRPr="00CC543C">
        <w:rPr>
          <w:rFonts w:ascii="Arial" w:hAnsi="Arial" w:cs="Arial"/>
        </w:rPr>
        <w:t xml:space="preserve"> Table 1 showed the majority of hyperopic patients had </w:t>
      </w:r>
      <w:r w:rsidR="00102928" w:rsidRPr="00CC543C">
        <w:rPr>
          <w:rFonts w:ascii="Arial" w:hAnsi="Arial" w:cs="Arial"/>
        </w:rPr>
        <w:t>Accommodative Excess</w:t>
      </w:r>
      <w:r w:rsidR="003F0FD4">
        <w:rPr>
          <w:rFonts w:ascii="Arial" w:hAnsi="Arial" w:cs="Arial"/>
        </w:rPr>
        <w:t xml:space="preserve"> (AE)</w:t>
      </w:r>
      <w:r w:rsidRPr="00CC543C">
        <w:rPr>
          <w:rFonts w:ascii="Arial" w:hAnsi="Arial" w:cs="Arial"/>
        </w:rPr>
        <w:t xml:space="preserve"> found in 21(30.88%) participants followed by </w:t>
      </w:r>
      <w:r w:rsidR="00102928" w:rsidRPr="00CC543C">
        <w:rPr>
          <w:rFonts w:ascii="Arial" w:hAnsi="Arial" w:cs="Arial"/>
        </w:rPr>
        <w:t>Convergence Insufficiency</w:t>
      </w:r>
      <w:r w:rsidR="00102928">
        <w:rPr>
          <w:rFonts w:ascii="Arial" w:hAnsi="Arial" w:cs="Arial"/>
        </w:rPr>
        <w:t xml:space="preserve"> </w:t>
      </w:r>
      <w:r w:rsidR="003F0FD4">
        <w:rPr>
          <w:rFonts w:ascii="Arial" w:hAnsi="Arial" w:cs="Arial"/>
        </w:rPr>
        <w:t>(CI)</w:t>
      </w:r>
      <w:r w:rsidRPr="00CC543C">
        <w:rPr>
          <w:rFonts w:ascii="Arial" w:hAnsi="Arial" w:cs="Arial"/>
        </w:rPr>
        <w:t xml:space="preserve"> in 15(22.06%), </w:t>
      </w:r>
      <w:r w:rsidR="00102928" w:rsidRPr="00CC543C">
        <w:rPr>
          <w:rFonts w:ascii="Arial" w:hAnsi="Arial" w:cs="Arial"/>
        </w:rPr>
        <w:t>Accommodative Excess</w:t>
      </w:r>
      <w:r w:rsidR="00102928">
        <w:rPr>
          <w:rFonts w:ascii="Arial" w:hAnsi="Arial" w:cs="Arial"/>
        </w:rPr>
        <w:t xml:space="preserve"> (</w:t>
      </w:r>
      <w:r w:rsidR="003F0FD4">
        <w:rPr>
          <w:rFonts w:ascii="Arial" w:hAnsi="Arial" w:cs="Arial"/>
        </w:rPr>
        <w:t>AE</w:t>
      </w:r>
      <w:r w:rsidR="00102928">
        <w:rPr>
          <w:rFonts w:ascii="Arial" w:hAnsi="Arial" w:cs="Arial"/>
        </w:rPr>
        <w:t>)</w:t>
      </w:r>
      <w:r w:rsidR="00102928" w:rsidRPr="00CC543C">
        <w:rPr>
          <w:rFonts w:ascii="Arial" w:hAnsi="Arial" w:cs="Arial"/>
        </w:rPr>
        <w:t xml:space="preserve"> With Convergence Insufficiency</w:t>
      </w:r>
      <w:r w:rsidR="003F0FD4">
        <w:rPr>
          <w:rFonts w:ascii="Arial" w:hAnsi="Arial" w:cs="Arial"/>
        </w:rPr>
        <w:t xml:space="preserve"> (CI)</w:t>
      </w:r>
      <w:r w:rsidRPr="00CC543C">
        <w:rPr>
          <w:rFonts w:ascii="Arial" w:hAnsi="Arial" w:cs="Arial"/>
        </w:rPr>
        <w:t xml:space="preserve"> in 13(19.11%), </w:t>
      </w:r>
      <w:r w:rsidR="00102928" w:rsidRPr="00CC543C">
        <w:rPr>
          <w:rFonts w:ascii="Arial" w:hAnsi="Arial" w:cs="Arial"/>
        </w:rPr>
        <w:t>Convergence Excess</w:t>
      </w:r>
      <w:r w:rsidR="00102928">
        <w:rPr>
          <w:rFonts w:ascii="Arial" w:hAnsi="Arial" w:cs="Arial"/>
        </w:rPr>
        <w:t xml:space="preserve"> (CE)</w:t>
      </w:r>
      <w:r w:rsidRPr="00CC543C">
        <w:rPr>
          <w:rFonts w:ascii="Arial" w:hAnsi="Arial" w:cs="Arial"/>
        </w:rPr>
        <w:t xml:space="preserve"> in 10(14.70%) and </w:t>
      </w:r>
      <w:r w:rsidR="00102928" w:rsidRPr="00CC543C">
        <w:rPr>
          <w:rFonts w:ascii="Arial" w:hAnsi="Arial" w:cs="Arial"/>
        </w:rPr>
        <w:t>Accommodative Insufficiency</w:t>
      </w:r>
      <w:r w:rsidR="00102928">
        <w:rPr>
          <w:rFonts w:ascii="Arial" w:hAnsi="Arial" w:cs="Arial"/>
        </w:rPr>
        <w:t xml:space="preserve"> (AI)</w:t>
      </w:r>
      <w:r w:rsidRPr="00CC543C">
        <w:rPr>
          <w:rFonts w:ascii="Arial" w:hAnsi="Arial" w:cs="Arial"/>
        </w:rPr>
        <w:t xml:space="preserve"> in 9(13.23%) respectively.</w:t>
      </w:r>
    </w:p>
    <w:p w14:paraId="76E40D7D" w14:textId="77777777" w:rsidR="00747C4D" w:rsidRPr="00AF5205" w:rsidRDefault="00747C4D" w:rsidP="00747C4D">
      <w:pPr>
        <w:pStyle w:val="Caption"/>
        <w:keepNext/>
        <w:spacing w:after="0" w:line="360" w:lineRule="auto"/>
        <w:jc w:val="both"/>
        <w:rPr>
          <w:rFonts w:ascii="Arial" w:hAnsi="Arial" w:cs="Arial"/>
          <w:b/>
          <w:i w:val="0"/>
          <w:color w:val="000000" w:themeColor="text1"/>
          <w:sz w:val="20"/>
          <w:szCs w:val="20"/>
        </w:rPr>
      </w:pPr>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1</w:t>
      </w:r>
      <w:r w:rsidRPr="00AF5205">
        <w:rPr>
          <w:rFonts w:ascii="Arial" w:hAnsi="Arial" w:cs="Arial"/>
          <w:b/>
          <w:i w:val="0"/>
          <w:color w:val="000000" w:themeColor="text1"/>
          <w:sz w:val="20"/>
          <w:szCs w:val="20"/>
        </w:rPr>
        <w:fldChar w:fldCharType="end"/>
      </w:r>
      <w:r>
        <w:rPr>
          <w:rFonts w:ascii="Arial" w:hAnsi="Arial" w:cs="Arial"/>
          <w:b/>
          <w:i w:val="0"/>
          <w:color w:val="000000" w:themeColor="text1"/>
          <w:sz w:val="20"/>
          <w:szCs w:val="20"/>
        </w:rPr>
        <w:t>.</w:t>
      </w:r>
      <w:r w:rsidRPr="00AF5205">
        <w:rPr>
          <w:rFonts w:ascii="Arial" w:hAnsi="Arial" w:cs="Arial"/>
          <w:b/>
          <w:i w:val="0"/>
          <w:color w:val="000000" w:themeColor="text1"/>
          <w:sz w:val="20"/>
          <w:szCs w:val="20"/>
        </w:rPr>
        <w:t xml:space="preserve">  Accommodative and vergence dysfunction in hyperopic patients</w:t>
      </w:r>
    </w:p>
    <w:tbl>
      <w:tblPr>
        <w:tblStyle w:val="TableGrid"/>
        <w:tblW w:w="9559" w:type="dxa"/>
        <w:jc w:val="center"/>
        <w:tblBorders>
          <w:left w:val="none" w:sz="0" w:space="0" w:color="auto"/>
          <w:right w:val="none" w:sz="0" w:space="0" w:color="auto"/>
        </w:tblBorders>
        <w:tblLook w:val="04A0" w:firstRow="1" w:lastRow="0" w:firstColumn="1" w:lastColumn="0" w:noHBand="0" w:noVBand="1"/>
      </w:tblPr>
      <w:tblGrid>
        <w:gridCol w:w="6378"/>
        <w:gridCol w:w="1633"/>
        <w:gridCol w:w="1548"/>
      </w:tblGrid>
      <w:tr w:rsidR="00747C4D" w:rsidRPr="00054FE1" w14:paraId="068A799A" w14:textId="77777777" w:rsidTr="00F53175">
        <w:trPr>
          <w:trHeight w:val="310"/>
          <w:jc w:val="center"/>
        </w:trPr>
        <w:tc>
          <w:tcPr>
            <w:tcW w:w="6378" w:type="dxa"/>
            <w:tcBorders>
              <w:right w:val="nil"/>
            </w:tcBorders>
            <w:vAlign w:val="center"/>
          </w:tcPr>
          <w:p w14:paraId="25E67DAE" w14:textId="77777777" w:rsidR="00747C4D" w:rsidRPr="00054FE1" w:rsidRDefault="00747C4D" w:rsidP="001D6C2F">
            <w:pPr>
              <w:spacing w:line="360" w:lineRule="auto"/>
              <w:jc w:val="center"/>
              <w:rPr>
                <w:rFonts w:ascii="Arial" w:hAnsi="Arial" w:cs="Arial"/>
                <w:b/>
                <w:bCs/>
                <w:color w:val="000000" w:themeColor="text1"/>
                <w:sz w:val="20"/>
                <w:szCs w:val="20"/>
              </w:rPr>
            </w:pPr>
            <w:r w:rsidRPr="00054FE1">
              <w:rPr>
                <w:rFonts w:ascii="Arial" w:hAnsi="Arial" w:cs="Arial"/>
                <w:b/>
                <w:bCs/>
                <w:color w:val="000000" w:themeColor="text1"/>
                <w:sz w:val="20"/>
                <w:szCs w:val="20"/>
              </w:rPr>
              <w:t>Accommodative/Vergence anomalies</w:t>
            </w:r>
          </w:p>
        </w:tc>
        <w:tc>
          <w:tcPr>
            <w:tcW w:w="1633" w:type="dxa"/>
            <w:tcBorders>
              <w:left w:val="nil"/>
              <w:right w:val="nil"/>
            </w:tcBorders>
            <w:vAlign w:val="center"/>
          </w:tcPr>
          <w:p w14:paraId="16704D10" w14:textId="77777777" w:rsidR="00747C4D"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Frequency </w:t>
            </w:r>
          </w:p>
          <w:p w14:paraId="6D4911E9" w14:textId="77777777" w:rsidR="00747C4D" w:rsidRPr="00054FE1"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w:t>
            </w:r>
            <w:r w:rsidRPr="00054FE1">
              <w:rPr>
                <w:rFonts w:ascii="Arial" w:hAnsi="Arial" w:cs="Arial"/>
                <w:b/>
                <w:bCs/>
                <w:color w:val="000000" w:themeColor="text1"/>
                <w:sz w:val="20"/>
                <w:szCs w:val="20"/>
              </w:rPr>
              <w:t>N</w:t>
            </w:r>
            <w:r>
              <w:rPr>
                <w:rFonts w:ascii="Arial" w:hAnsi="Arial" w:cs="Arial"/>
                <w:b/>
                <w:bCs/>
                <w:color w:val="000000" w:themeColor="text1"/>
                <w:sz w:val="20"/>
                <w:szCs w:val="20"/>
              </w:rPr>
              <w:t>)</w:t>
            </w:r>
          </w:p>
        </w:tc>
        <w:tc>
          <w:tcPr>
            <w:tcW w:w="1548" w:type="dxa"/>
            <w:tcBorders>
              <w:left w:val="nil"/>
            </w:tcBorders>
            <w:vAlign w:val="center"/>
          </w:tcPr>
          <w:p w14:paraId="27411334" w14:textId="77777777" w:rsidR="00747C4D" w:rsidRPr="00054FE1"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Percentage (</w:t>
            </w:r>
            <w:r w:rsidRPr="00054FE1">
              <w:rPr>
                <w:rFonts w:ascii="Arial" w:hAnsi="Arial" w:cs="Arial"/>
                <w:b/>
                <w:bCs/>
                <w:color w:val="000000" w:themeColor="text1"/>
                <w:sz w:val="20"/>
                <w:szCs w:val="20"/>
              </w:rPr>
              <w:t>%</w:t>
            </w:r>
            <w:r>
              <w:rPr>
                <w:rFonts w:ascii="Arial" w:hAnsi="Arial" w:cs="Arial"/>
                <w:b/>
                <w:bCs/>
                <w:color w:val="000000" w:themeColor="text1"/>
                <w:sz w:val="20"/>
                <w:szCs w:val="20"/>
              </w:rPr>
              <w:t>)</w:t>
            </w:r>
          </w:p>
        </w:tc>
      </w:tr>
      <w:tr w:rsidR="00747C4D" w:rsidRPr="00054FE1" w14:paraId="4E7D0811" w14:textId="77777777" w:rsidTr="00F53175">
        <w:trPr>
          <w:trHeight w:val="394"/>
          <w:jc w:val="center"/>
        </w:trPr>
        <w:tc>
          <w:tcPr>
            <w:tcW w:w="6378" w:type="dxa"/>
            <w:tcBorders>
              <w:right w:val="nil"/>
            </w:tcBorders>
            <w:vAlign w:val="center"/>
          </w:tcPr>
          <w:p w14:paraId="0967B5E8"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Accommodative Insufficiency</w:t>
            </w:r>
          </w:p>
        </w:tc>
        <w:tc>
          <w:tcPr>
            <w:tcW w:w="1633" w:type="dxa"/>
            <w:tcBorders>
              <w:left w:val="nil"/>
              <w:right w:val="nil"/>
            </w:tcBorders>
            <w:vAlign w:val="center"/>
          </w:tcPr>
          <w:p w14:paraId="6ABA3828"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9</w:t>
            </w:r>
          </w:p>
        </w:tc>
        <w:tc>
          <w:tcPr>
            <w:tcW w:w="1548" w:type="dxa"/>
            <w:tcBorders>
              <w:left w:val="nil"/>
            </w:tcBorders>
            <w:vAlign w:val="center"/>
          </w:tcPr>
          <w:p w14:paraId="05093D30"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13.23</w:t>
            </w:r>
          </w:p>
        </w:tc>
      </w:tr>
      <w:tr w:rsidR="00747C4D" w:rsidRPr="00054FE1" w14:paraId="224431F5" w14:textId="77777777" w:rsidTr="00F53175">
        <w:trPr>
          <w:trHeight w:val="394"/>
          <w:jc w:val="center"/>
        </w:trPr>
        <w:tc>
          <w:tcPr>
            <w:tcW w:w="6378" w:type="dxa"/>
            <w:tcBorders>
              <w:right w:val="nil"/>
            </w:tcBorders>
            <w:vAlign w:val="center"/>
          </w:tcPr>
          <w:p w14:paraId="2DAB65C5"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Accommodative Excess</w:t>
            </w:r>
          </w:p>
        </w:tc>
        <w:tc>
          <w:tcPr>
            <w:tcW w:w="1633" w:type="dxa"/>
            <w:tcBorders>
              <w:left w:val="nil"/>
              <w:right w:val="nil"/>
            </w:tcBorders>
            <w:vAlign w:val="center"/>
          </w:tcPr>
          <w:p w14:paraId="236BF821"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21</w:t>
            </w:r>
          </w:p>
        </w:tc>
        <w:tc>
          <w:tcPr>
            <w:tcW w:w="1548" w:type="dxa"/>
            <w:tcBorders>
              <w:left w:val="nil"/>
            </w:tcBorders>
            <w:vAlign w:val="center"/>
          </w:tcPr>
          <w:p w14:paraId="001AE15C"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30.88</w:t>
            </w:r>
          </w:p>
        </w:tc>
      </w:tr>
      <w:tr w:rsidR="00747C4D" w:rsidRPr="00054FE1" w14:paraId="43495B5D" w14:textId="77777777" w:rsidTr="00F53175">
        <w:trPr>
          <w:trHeight w:val="294"/>
          <w:jc w:val="center"/>
        </w:trPr>
        <w:tc>
          <w:tcPr>
            <w:tcW w:w="6378" w:type="dxa"/>
            <w:tcBorders>
              <w:right w:val="nil"/>
            </w:tcBorders>
            <w:vAlign w:val="center"/>
          </w:tcPr>
          <w:p w14:paraId="2D3D4BF0"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Excess</w:t>
            </w:r>
          </w:p>
        </w:tc>
        <w:tc>
          <w:tcPr>
            <w:tcW w:w="1633" w:type="dxa"/>
            <w:tcBorders>
              <w:left w:val="nil"/>
              <w:right w:val="nil"/>
            </w:tcBorders>
            <w:vAlign w:val="center"/>
          </w:tcPr>
          <w:p w14:paraId="23970670"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10</w:t>
            </w:r>
          </w:p>
        </w:tc>
        <w:tc>
          <w:tcPr>
            <w:tcW w:w="1548" w:type="dxa"/>
            <w:tcBorders>
              <w:left w:val="nil"/>
            </w:tcBorders>
            <w:vAlign w:val="center"/>
          </w:tcPr>
          <w:p w14:paraId="73DEBEC4"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14.70</w:t>
            </w:r>
          </w:p>
        </w:tc>
      </w:tr>
      <w:tr w:rsidR="00747C4D" w:rsidRPr="00054FE1" w14:paraId="4328855D" w14:textId="77777777" w:rsidTr="00F53175">
        <w:trPr>
          <w:trHeight w:val="336"/>
          <w:jc w:val="center"/>
        </w:trPr>
        <w:tc>
          <w:tcPr>
            <w:tcW w:w="6378" w:type="dxa"/>
            <w:tcBorders>
              <w:right w:val="nil"/>
            </w:tcBorders>
            <w:vAlign w:val="center"/>
          </w:tcPr>
          <w:p w14:paraId="7042E9DB"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Insufficiency</w:t>
            </w:r>
          </w:p>
        </w:tc>
        <w:tc>
          <w:tcPr>
            <w:tcW w:w="1633" w:type="dxa"/>
            <w:tcBorders>
              <w:left w:val="nil"/>
              <w:right w:val="nil"/>
            </w:tcBorders>
            <w:vAlign w:val="center"/>
          </w:tcPr>
          <w:p w14:paraId="5212660D"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15</w:t>
            </w:r>
          </w:p>
        </w:tc>
        <w:tc>
          <w:tcPr>
            <w:tcW w:w="1548" w:type="dxa"/>
            <w:tcBorders>
              <w:left w:val="nil"/>
            </w:tcBorders>
            <w:vAlign w:val="center"/>
          </w:tcPr>
          <w:p w14:paraId="26E1E55A"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22.06</w:t>
            </w:r>
          </w:p>
        </w:tc>
      </w:tr>
      <w:tr w:rsidR="00747C4D" w:rsidRPr="00054FE1" w14:paraId="105AAED9" w14:textId="77777777" w:rsidTr="00F53175">
        <w:trPr>
          <w:trHeight w:val="436"/>
          <w:jc w:val="center"/>
        </w:trPr>
        <w:tc>
          <w:tcPr>
            <w:tcW w:w="6378" w:type="dxa"/>
            <w:tcBorders>
              <w:right w:val="nil"/>
            </w:tcBorders>
            <w:vAlign w:val="center"/>
          </w:tcPr>
          <w:p w14:paraId="04910832"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Insufficiency with Accommodative Excess</w:t>
            </w:r>
          </w:p>
        </w:tc>
        <w:tc>
          <w:tcPr>
            <w:tcW w:w="1633" w:type="dxa"/>
            <w:tcBorders>
              <w:left w:val="nil"/>
              <w:right w:val="nil"/>
            </w:tcBorders>
            <w:vAlign w:val="center"/>
          </w:tcPr>
          <w:p w14:paraId="4AF41D9C"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13</w:t>
            </w:r>
          </w:p>
        </w:tc>
        <w:tc>
          <w:tcPr>
            <w:tcW w:w="1548" w:type="dxa"/>
            <w:tcBorders>
              <w:left w:val="nil"/>
            </w:tcBorders>
            <w:vAlign w:val="center"/>
          </w:tcPr>
          <w:p w14:paraId="1220D366"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19.11</w:t>
            </w:r>
          </w:p>
        </w:tc>
      </w:tr>
    </w:tbl>
    <w:p w14:paraId="01F2768E" w14:textId="77777777" w:rsidR="00747C4D" w:rsidRPr="00747C4D" w:rsidRDefault="00CC543C" w:rsidP="00747C4D">
      <w:pPr>
        <w:pStyle w:val="Body"/>
        <w:rPr>
          <w:rFonts w:ascii="Arial" w:hAnsi="Arial" w:cs="Arial"/>
        </w:rPr>
      </w:pPr>
      <w:r w:rsidRPr="00CC543C">
        <w:rPr>
          <w:rFonts w:ascii="Arial" w:hAnsi="Arial" w:cs="Arial"/>
        </w:rPr>
        <w:t xml:space="preserve">The findings of accommodation testing in various forms of Non-Strabismic Binocular Vision Anomalies were depicted in Table 2. Assessment of Accommodation included amplitude of accommodation (monocularly and binocularly), Negative Relative Accommodation, Positive </w:t>
      </w:r>
      <w:r w:rsidRPr="00CC543C">
        <w:rPr>
          <w:rFonts w:ascii="Arial" w:hAnsi="Arial" w:cs="Arial"/>
        </w:rPr>
        <w:lastRenderedPageBreak/>
        <w:t xml:space="preserve">Relative Accommodation, Accommodative Facility (monocularly and binocularly), Monocular Estimation Method and AC/A ratio using gradient method. </w:t>
      </w:r>
    </w:p>
    <w:p w14:paraId="4DBAD025" w14:textId="77777777" w:rsidR="00747C4D" w:rsidRPr="00AF5205" w:rsidRDefault="00747C4D" w:rsidP="00747C4D">
      <w:pPr>
        <w:pStyle w:val="Caption"/>
        <w:keepNext/>
        <w:spacing w:after="0" w:line="360" w:lineRule="auto"/>
        <w:rPr>
          <w:rFonts w:ascii="Arial" w:hAnsi="Arial" w:cs="Arial"/>
          <w:b/>
          <w:i w:val="0"/>
          <w:color w:val="000000" w:themeColor="text1"/>
          <w:sz w:val="20"/>
          <w:szCs w:val="20"/>
        </w:rPr>
      </w:pPr>
      <w:bookmarkStart w:id="1" w:name="_Ref173238031"/>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2</w:t>
      </w:r>
      <w:r w:rsidRPr="00AF5205">
        <w:rPr>
          <w:rFonts w:ascii="Arial" w:hAnsi="Arial" w:cs="Arial"/>
          <w:b/>
          <w:i w:val="0"/>
          <w:color w:val="000000" w:themeColor="text1"/>
          <w:sz w:val="20"/>
          <w:szCs w:val="20"/>
        </w:rPr>
        <w:fldChar w:fldCharType="end"/>
      </w:r>
      <w:bookmarkEnd w:id="1"/>
      <w:r>
        <w:rPr>
          <w:rFonts w:ascii="Arial" w:hAnsi="Arial" w:cs="Arial"/>
          <w:b/>
          <w:i w:val="0"/>
          <w:color w:val="000000" w:themeColor="text1"/>
          <w:sz w:val="20"/>
          <w:szCs w:val="20"/>
        </w:rPr>
        <w:t xml:space="preserve">. </w:t>
      </w:r>
      <w:r w:rsidRPr="00AF5205">
        <w:rPr>
          <w:rFonts w:ascii="Arial" w:hAnsi="Arial" w:cs="Arial"/>
          <w:b/>
          <w:i w:val="0"/>
          <w:color w:val="000000" w:themeColor="text1"/>
          <w:sz w:val="20"/>
          <w:szCs w:val="20"/>
        </w:rPr>
        <w:t>Findings of Accommodative testing in various forms of NSBVA</w:t>
      </w:r>
    </w:p>
    <w:tbl>
      <w:tblPr>
        <w:tblStyle w:val="TableGrid"/>
        <w:tblW w:w="9998" w:type="dxa"/>
        <w:jc w:val="center"/>
        <w:tblLayout w:type="fixed"/>
        <w:tblLook w:val="04A0" w:firstRow="1" w:lastRow="0" w:firstColumn="1" w:lastColumn="0" w:noHBand="0" w:noVBand="1"/>
      </w:tblPr>
      <w:tblGrid>
        <w:gridCol w:w="1788"/>
        <w:gridCol w:w="1457"/>
        <w:gridCol w:w="1524"/>
        <w:gridCol w:w="1931"/>
        <w:gridCol w:w="1782"/>
        <w:gridCol w:w="1516"/>
      </w:tblGrid>
      <w:tr w:rsidR="00747C4D" w:rsidRPr="0076132D" w14:paraId="77912914" w14:textId="77777777" w:rsidTr="00F53175">
        <w:trPr>
          <w:trHeight w:val="161"/>
          <w:jc w:val="center"/>
        </w:trPr>
        <w:tc>
          <w:tcPr>
            <w:tcW w:w="1788" w:type="dxa"/>
            <w:vMerge w:val="restart"/>
            <w:tcBorders>
              <w:left w:val="nil"/>
              <w:right w:val="nil"/>
            </w:tcBorders>
            <w:vAlign w:val="center"/>
          </w:tcPr>
          <w:p w14:paraId="12CFFBE1" w14:textId="77777777" w:rsidR="00747C4D" w:rsidRPr="0076132D" w:rsidRDefault="00747C4D" w:rsidP="001D6C2F">
            <w:pPr>
              <w:spacing w:line="360" w:lineRule="auto"/>
              <w:ind w:left="288"/>
              <w:jc w:val="center"/>
              <w:rPr>
                <w:rFonts w:ascii="Arial" w:hAnsi="Arial" w:cs="Arial"/>
                <w:b/>
                <w:color w:val="000000" w:themeColor="text1"/>
                <w:sz w:val="20"/>
                <w:szCs w:val="20"/>
              </w:rPr>
            </w:pPr>
            <w:r w:rsidRPr="0076132D">
              <w:rPr>
                <w:rFonts w:ascii="Arial" w:hAnsi="Arial" w:cs="Arial"/>
                <w:b/>
                <w:bCs/>
                <w:color w:val="000000" w:themeColor="text1"/>
                <w:sz w:val="20"/>
                <w:szCs w:val="20"/>
              </w:rPr>
              <w:t>TESTS</w:t>
            </w:r>
          </w:p>
        </w:tc>
        <w:tc>
          <w:tcPr>
            <w:tcW w:w="8209" w:type="dxa"/>
            <w:gridSpan w:val="5"/>
            <w:tcBorders>
              <w:left w:val="nil"/>
              <w:right w:val="nil"/>
            </w:tcBorders>
            <w:vAlign w:val="center"/>
          </w:tcPr>
          <w:p w14:paraId="4FFEA873"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bCs/>
                <w:color w:val="000000" w:themeColor="text1"/>
                <w:sz w:val="20"/>
                <w:szCs w:val="20"/>
              </w:rPr>
              <w:t>MEAN VALUE</w:t>
            </w:r>
          </w:p>
        </w:tc>
      </w:tr>
      <w:tr w:rsidR="00DE6648" w:rsidRPr="0076132D" w14:paraId="395899EA" w14:textId="77777777" w:rsidTr="00F53175">
        <w:trPr>
          <w:trHeight w:val="161"/>
          <w:jc w:val="center"/>
        </w:trPr>
        <w:tc>
          <w:tcPr>
            <w:tcW w:w="1788" w:type="dxa"/>
            <w:vMerge/>
            <w:tcBorders>
              <w:left w:val="nil"/>
              <w:bottom w:val="single" w:sz="4" w:space="0" w:color="auto"/>
              <w:right w:val="nil"/>
            </w:tcBorders>
            <w:vAlign w:val="center"/>
          </w:tcPr>
          <w:p w14:paraId="16E1D449" w14:textId="77777777" w:rsidR="00747C4D" w:rsidRPr="0076132D" w:rsidRDefault="00747C4D" w:rsidP="001D6C2F">
            <w:pPr>
              <w:spacing w:line="360" w:lineRule="auto"/>
              <w:ind w:left="288"/>
              <w:jc w:val="center"/>
              <w:rPr>
                <w:rFonts w:ascii="Arial" w:hAnsi="Arial" w:cs="Arial"/>
                <w:b/>
                <w:color w:val="000000" w:themeColor="text1"/>
                <w:sz w:val="20"/>
                <w:szCs w:val="20"/>
              </w:rPr>
            </w:pPr>
          </w:p>
        </w:tc>
        <w:tc>
          <w:tcPr>
            <w:tcW w:w="1457" w:type="dxa"/>
            <w:tcBorders>
              <w:left w:val="nil"/>
              <w:bottom w:val="single" w:sz="4" w:space="0" w:color="auto"/>
              <w:right w:val="nil"/>
            </w:tcBorders>
            <w:vAlign w:val="center"/>
          </w:tcPr>
          <w:p w14:paraId="7099BD46"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CI</w:t>
            </w:r>
          </w:p>
        </w:tc>
        <w:tc>
          <w:tcPr>
            <w:tcW w:w="1524" w:type="dxa"/>
            <w:tcBorders>
              <w:left w:val="nil"/>
              <w:bottom w:val="single" w:sz="4" w:space="0" w:color="auto"/>
              <w:right w:val="nil"/>
            </w:tcBorders>
            <w:vAlign w:val="center"/>
          </w:tcPr>
          <w:p w14:paraId="54FF0E94"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AI</w:t>
            </w:r>
          </w:p>
        </w:tc>
        <w:tc>
          <w:tcPr>
            <w:tcW w:w="1931" w:type="dxa"/>
            <w:tcBorders>
              <w:left w:val="nil"/>
              <w:bottom w:val="single" w:sz="4" w:space="0" w:color="auto"/>
              <w:right w:val="nil"/>
            </w:tcBorders>
            <w:vAlign w:val="center"/>
          </w:tcPr>
          <w:p w14:paraId="57DF3030"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CI &amp; AE</w:t>
            </w:r>
          </w:p>
        </w:tc>
        <w:tc>
          <w:tcPr>
            <w:tcW w:w="1782" w:type="dxa"/>
            <w:tcBorders>
              <w:left w:val="nil"/>
              <w:bottom w:val="single" w:sz="4" w:space="0" w:color="auto"/>
              <w:right w:val="nil"/>
            </w:tcBorders>
            <w:vAlign w:val="center"/>
          </w:tcPr>
          <w:p w14:paraId="284874E9"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CE</w:t>
            </w:r>
          </w:p>
        </w:tc>
        <w:tc>
          <w:tcPr>
            <w:tcW w:w="1516" w:type="dxa"/>
            <w:tcBorders>
              <w:left w:val="nil"/>
              <w:bottom w:val="single" w:sz="4" w:space="0" w:color="auto"/>
              <w:right w:val="nil"/>
            </w:tcBorders>
            <w:vAlign w:val="center"/>
          </w:tcPr>
          <w:p w14:paraId="7EB9CF74"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AE</w:t>
            </w:r>
          </w:p>
        </w:tc>
      </w:tr>
      <w:tr w:rsidR="00DE6648" w:rsidRPr="0076132D" w14:paraId="0B06C9F0" w14:textId="77777777" w:rsidTr="00F53175">
        <w:trPr>
          <w:trHeight w:val="242"/>
          <w:jc w:val="center"/>
        </w:trPr>
        <w:tc>
          <w:tcPr>
            <w:tcW w:w="1788" w:type="dxa"/>
            <w:tcBorders>
              <w:left w:val="nil"/>
              <w:bottom w:val="nil"/>
              <w:right w:val="nil"/>
            </w:tcBorders>
            <w:vAlign w:val="center"/>
          </w:tcPr>
          <w:p w14:paraId="17157AC1"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AA</w:t>
            </w:r>
          </w:p>
        </w:tc>
        <w:tc>
          <w:tcPr>
            <w:tcW w:w="1457" w:type="dxa"/>
            <w:tcBorders>
              <w:left w:val="nil"/>
              <w:bottom w:val="nil"/>
              <w:right w:val="nil"/>
            </w:tcBorders>
            <w:vAlign w:val="center"/>
          </w:tcPr>
          <w:p w14:paraId="2E13024D" w14:textId="77777777" w:rsidR="00747C4D" w:rsidRPr="0076132D" w:rsidRDefault="00747C4D" w:rsidP="001D6C2F">
            <w:pPr>
              <w:spacing w:line="360" w:lineRule="auto"/>
              <w:jc w:val="center"/>
              <w:rPr>
                <w:rFonts w:ascii="Arial" w:eastAsia="Times New Roman" w:hAnsi="Arial" w:cs="Arial"/>
                <w:color w:val="000000"/>
                <w:sz w:val="20"/>
                <w:szCs w:val="20"/>
              </w:rPr>
            </w:pPr>
          </w:p>
        </w:tc>
        <w:tc>
          <w:tcPr>
            <w:tcW w:w="1524" w:type="dxa"/>
            <w:tcBorders>
              <w:left w:val="nil"/>
              <w:bottom w:val="nil"/>
              <w:right w:val="nil"/>
            </w:tcBorders>
            <w:vAlign w:val="center"/>
          </w:tcPr>
          <w:p w14:paraId="2A4C02B0" w14:textId="77777777" w:rsidR="00747C4D" w:rsidRPr="0076132D" w:rsidRDefault="00747C4D" w:rsidP="001D6C2F">
            <w:pPr>
              <w:spacing w:line="360" w:lineRule="auto"/>
              <w:jc w:val="center"/>
              <w:rPr>
                <w:rFonts w:ascii="Arial" w:eastAsia="Times New Roman" w:hAnsi="Arial" w:cs="Arial"/>
                <w:color w:val="000000"/>
                <w:sz w:val="20"/>
                <w:szCs w:val="20"/>
              </w:rPr>
            </w:pPr>
          </w:p>
        </w:tc>
        <w:tc>
          <w:tcPr>
            <w:tcW w:w="1931" w:type="dxa"/>
            <w:tcBorders>
              <w:left w:val="nil"/>
              <w:bottom w:val="nil"/>
              <w:right w:val="nil"/>
            </w:tcBorders>
            <w:vAlign w:val="center"/>
          </w:tcPr>
          <w:p w14:paraId="410FF50D"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1C38C8C5"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497AE743"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2B9769F4" w14:textId="77777777" w:rsidTr="00F53175">
        <w:trPr>
          <w:trHeight w:val="515"/>
          <w:jc w:val="center"/>
        </w:trPr>
        <w:tc>
          <w:tcPr>
            <w:tcW w:w="1788" w:type="dxa"/>
            <w:tcBorders>
              <w:top w:val="nil"/>
              <w:left w:val="nil"/>
              <w:right w:val="nil"/>
            </w:tcBorders>
            <w:vAlign w:val="center"/>
          </w:tcPr>
          <w:p w14:paraId="1E7DB270"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573339A5"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OS</w:t>
            </w:r>
          </w:p>
          <w:p w14:paraId="6337494E"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OU</w:t>
            </w:r>
          </w:p>
        </w:tc>
        <w:tc>
          <w:tcPr>
            <w:tcW w:w="1457" w:type="dxa"/>
            <w:tcBorders>
              <w:top w:val="nil"/>
              <w:left w:val="nil"/>
              <w:right w:val="nil"/>
            </w:tcBorders>
            <w:vAlign w:val="center"/>
          </w:tcPr>
          <w:p w14:paraId="5B04116C" w14:textId="77777777" w:rsidR="00747C4D" w:rsidRPr="0076132D" w:rsidRDefault="00747C4D" w:rsidP="001D6C2F">
            <w:pPr>
              <w:spacing w:line="360" w:lineRule="auto"/>
              <w:jc w:val="center"/>
              <w:rPr>
                <w:rFonts w:ascii="Arial" w:eastAsia="Times New Roman" w:hAnsi="Arial" w:cs="Arial"/>
                <w:color w:val="000000"/>
                <w:sz w:val="20"/>
                <w:szCs w:val="20"/>
              </w:rPr>
            </w:pPr>
            <w:r w:rsidRPr="00F02DF9">
              <w:rPr>
                <w:rFonts w:ascii="Arial" w:eastAsia="Times New Roman" w:hAnsi="Arial" w:cs="Arial"/>
                <w:color w:val="000000"/>
                <w:sz w:val="20"/>
                <w:szCs w:val="20"/>
              </w:rPr>
              <w:t>11.72</w:t>
            </w:r>
            <w:r w:rsidRPr="0076132D">
              <w:rPr>
                <w:rFonts w:ascii="Arial" w:eastAsia="Times New Roman" w:hAnsi="Arial" w:cs="Arial"/>
                <w:color w:val="000000"/>
                <w:sz w:val="20"/>
                <w:szCs w:val="20"/>
              </w:rPr>
              <w:t>±</w:t>
            </w:r>
            <w:r w:rsidRPr="00F02DF9">
              <w:rPr>
                <w:rFonts w:ascii="Arial" w:eastAsia="Times New Roman" w:hAnsi="Arial" w:cs="Arial"/>
                <w:color w:val="000000"/>
                <w:sz w:val="20"/>
                <w:szCs w:val="20"/>
              </w:rPr>
              <w:t>3.35</w:t>
            </w:r>
          </w:p>
          <w:p w14:paraId="461D3F24"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eastAsia="Times New Roman" w:hAnsi="Arial" w:cs="Arial"/>
                <w:color w:val="000000"/>
                <w:sz w:val="20"/>
                <w:szCs w:val="20"/>
              </w:rPr>
              <w:t>11.90±</w:t>
            </w:r>
            <w:r w:rsidRPr="00F02DF9">
              <w:rPr>
                <w:rFonts w:ascii="Arial" w:eastAsia="Times New Roman" w:hAnsi="Arial" w:cs="Arial"/>
                <w:color w:val="000000"/>
                <w:sz w:val="20"/>
                <w:szCs w:val="20"/>
              </w:rPr>
              <w:t>2.91</w:t>
            </w:r>
          </w:p>
          <w:p w14:paraId="6B0C18EC" w14:textId="77777777" w:rsidR="00747C4D" w:rsidRPr="0076132D" w:rsidRDefault="00747C4D" w:rsidP="001D6C2F">
            <w:pPr>
              <w:spacing w:line="360" w:lineRule="auto"/>
              <w:jc w:val="center"/>
              <w:rPr>
                <w:rFonts w:ascii="Arial" w:eastAsia="Times New Roman" w:hAnsi="Arial" w:cs="Arial"/>
                <w:color w:val="000000"/>
                <w:sz w:val="20"/>
                <w:szCs w:val="20"/>
              </w:rPr>
            </w:pPr>
            <w:r w:rsidRPr="00F02DF9">
              <w:rPr>
                <w:rFonts w:ascii="Arial" w:eastAsia="Times New Roman" w:hAnsi="Arial" w:cs="Arial"/>
                <w:color w:val="000000"/>
                <w:sz w:val="20"/>
                <w:szCs w:val="20"/>
              </w:rPr>
              <w:t>11.41</w:t>
            </w:r>
            <w:r w:rsidRPr="0076132D">
              <w:rPr>
                <w:rFonts w:ascii="Arial" w:eastAsia="Times New Roman" w:hAnsi="Arial" w:cs="Arial"/>
                <w:color w:val="000000"/>
                <w:sz w:val="20"/>
                <w:szCs w:val="20"/>
              </w:rPr>
              <w:t>±</w:t>
            </w:r>
            <w:r w:rsidRPr="00F02DF9">
              <w:rPr>
                <w:rFonts w:ascii="Arial" w:eastAsia="Times New Roman" w:hAnsi="Arial" w:cs="Arial"/>
                <w:color w:val="000000"/>
                <w:sz w:val="20"/>
                <w:szCs w:val="20"/>
              </w:rPr>
              <w:t>3.14</w:t>
            </w:r>
          </w:p>
        </w:tc>
        <w:tc>
          <w:tcPr>
            <w:tcW w:w="1524" w:type="dxa"/>
            <w:tcBorders>
              <w:top w:val="nil"/>
              <w:left w:val="nil"/>
              <w:right w:val="nil"/>
            </w:tcBorders>
            <w:vAlign w:val="center"/>
          </w:tcPr>
          <w:p w14:paraId="4A251590"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hAnsi="Arial" w:cs="Arial"/>
                <w:color w:val="000000" w:themeColor="text1"/>
                <w:sz w:val="20"/>
                <w:szCs w:val="20"/>
              </w:rPr>
              <w:t>6.4±</w:t>
            </w:r>
            <w:r w:rsidRPr="0076132D">
              <w:rPr>
                <w:rFonts w:ascii="Arial" w:eastAsia="Times New Roman" w:hAnsi="Arial" w:cs="Arial"/>
                <w:color w:val="000000"/>
                <w:sz w:val="20"/>
                <w:szCs w:val="20"/>
              </w:rPr>
              <w:t>2.468</w:t>
            </w:r>
          </w:p>
          <w:p w14:paraId="0BB90AA9" w14:textId="77777777" w:rsidR="00747C4D" w:rsidRDefault="00747C4D" w:rsidP="001D6C2F">
            <w:pPr>
              <w:spacing w:line="360" w:lineRule="auto"/>
              <w:jc w:val="center"/>
              <w:rPr>
                <w:rFonts w:ascii="Arial" w:eastAsia="Times New Roman" w:hAnsi="Arial" w:cs="Arial"/>
                <w:color w:val="000000"/>
                <w:sz w:val="20"/>
                <w:szCs w:val="20"/>
              </w:rPr>
            </w:pPr>
            <w:r w:rsidRPr="00421581">
              <w:rPr>
                <w:rFonts w:ascii="Arial" w:eastAsia="Times New Roman" w:hAnsi="Arial" w:cs="Arial"/>
                <w:color w:val="000000"/>
                <w:sz w:val="20"/>
                <w:szCs w:val="20"/>
              </w:rPr>
              <w:t>6.52</w:t>
            </w:r>
            <w:r w:rsidRPr="0076132D">
              <w:rPr>
                <w:rFonts w:ascii="Arial" w:eastAsia="Times New Roman" w:hAnsi="Arial" w:cs="Arial"/>
                <w:color w:val="000000"/>
                <w:sz w:val="20"/>
                <w:szCs w:val="20"/>
              </w:rPr>
              <w:t>±</w:t>
            </w:r>
            <w:r w:rsidRPr="00421581">
              <w:rPr>
                <w:rFonts w:ascii="Arial" w:eastAsia="Times New Roman" w:hAnsi="Arial" w:cs="Arial"/>
                <w:color w:val="000000"/>
                <w:sz w:val="20"/>
                <w:szCs w:val="20"/>
              </w:rPr>
              <w:t>2.009</w:t>
            </w:r>
          </w:p>
          <w:p w14:paraId="54DAA499" w14:textId="77777777" w:rsidR="00747C4D" w:rsidRPr="0076132D" w:rsidRDefault="00747C4D" w:rsidP="001D6C2F">
            <w:pPr>
              <w:spacing w:line="360" w:lineRule="auto"/>
              <w:jc w:val="center"/>
              <w:rPr>
                <w:rFonts w:ascii="Arial" w:hAnsi="Arial" w:cs="Arial"/>
                <w:color w:val="000000" w:themeColor="text1"/>
                <w:sz w:val="20"/>
                <w:szCs w:val="20"/>
              </w:rPr>
            </w:pPr>
            <w:r w:rsidRPr="002C7AF7">
              <w:rPr>
                <w:rFonts w:ascii="Arial" w:hAnsi="Arial" w:cs="Arial"/>
                <w:color w:val="000000" w:themeColor="text1"/>
                <w:sz w:val="20"/>
                <w:szCs w:val="20"/>
              </w:rPr>
              <w:t>7.05</w:t>
            </w:r>
            <w:r>
              <w:rPr>
                <w:rFonts w:ascii="Arial" w:hAnsi="Arial" w:cs="Arial"/>
                <w:color w:val="000000" w:themeColor="text1"/>
                <w:sz w:val="20"/>
                <w:szCs w:val="20"/>
              </w:rPr>
              <w:t>±2.012</w:t>
            </w:r>
          </w:p>
        </w:tc>
        <w:tc>
          <w:tcPr>
            <w:tcW w:w="1931" w:type="dxa"/>
            <w:tcBorders>
              <w:top w:val="nil"/>
              <w:left w:val="nil"/>
              <w:right w:val="nil"/>
            </w:tcBorders>
            <w:vAlign w:val="center"/>
          </w:tcPr>
          <w:p w14:paraId="62E96C0E"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10.18±2.139</w:t>
            </w:r>
          </w:p>
          <w:p w14:paraId="2FE33332"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10.35±1.999</w:t>
            </w:r>
          </w:p>
          <w:p w14:paraId="3A2FE466"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9.63±1.970</w:t>
            </w:r>
          </w:p>
        </w:tc>
        <w:tc>
          <w:tcPr>
            <w:tcW w:w="1782" w:type="dxa"/>
            <w:tcBorders>
              <w:top w:val="nil"/>
              <w:left w:val="nil"/>
              <w:right w:val="nil"/>
            </w:tcBorders>
            <w:vAlign w:val="center"/>
          </w:tcPr>
          <w:p w14:paraId="5A59F1B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10.47±2.736</w:t>
            </w:r>
          </w:p>
          <w:p w14:paraId="479B29C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10.79±1.722</w:t>
            </w:r>
          </w:p>
          <w:p w14:paraId="269EED3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10.19±2.217</w:t>
            </w:r>
          </w:p>
        </w:tc>
        <w:tc>
          <w:tcPr>
            <w:tcW w:w="1516" w:type="dxa"/>
            <w:tcBorders>
              <w:top w:val="nil"/>
              <w:left w:val="nil"/>
              <w:right w:val="nil"/>
            </w:tcBorders>
            <w:vAlign w:val="center"/>
          </w:tcPr>
          <w:p w14:paraId="39FF581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9.47±2.081</w:t>
            </w:r>
          </w:p>
          <w:p w14:paraId="13E2F632"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9.62±2.179</w:t>
            </w:r>
          </w:p>
          <w:p w14:paraId="050BAA78"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8.9±2.066</w:t>
            </w:r>
          </w:p>
        </w:tc>
      </w:tr>
      <w:tr w:rsidR="00DE6648" w:rsidRPr="0076132D" w14:paraId="46B184ED" w14:textId="77777777" w:rsidTr="00F53175">
        <w:trPr>
          <w:trHeight w:val="212"/>
          <w:jc w:val="center"/>
        </w:trPr>
        <w:tc>
          <w:tcPr>
            <w:tcW w:w="1788" w:type="dxa"/>
            <w:tcBorders>
              <w:left w:val="nil"/>
              <w:right w:val="nil"/>
            </w:tcBorders>
            <w:vAlign w:val="center"/>
          </w:tcPr>
          <w:p w14:paraId="6AC87D7F"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NRA</w:t>
            </w:r>
          </w:p>
        </w:tc>
        <w:tc>
          <w:tcPr>
            <w:tcW w:w="1457" w:type="dxa"/>
            <w:tcBorders>
              <w:left w:val="nil"/>
              <w:right w:val="nil"/>
            </w:tcBorders>
            <w:vAlign w:val="center"/>
          </w:tcPr>
          <w:p w14:paraId="2883526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2.13±0.75</w:t>
            </w:r>
          </w:p>
        </w:tc>
        <w:tc>
          <w:tcPr>
            <w:tcW w:w="1524" w:type="dxa"/>
            <w:tcBorders>
              <w:left w:val="nil"/>
              <w:right w:val="nil"/>
            </w:tcBorders>
            <w:vAlign w:val="center"/>
          </w:tcPr>
          <w:p w14:paraId="50FCBDD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2.46±0.52</w:t>
            </w:r>
          </w:p>
        </w:tc>
        <w:tc>
          <w:tcPr>
            <w:tcW w:w="1931" w:type="dxa"/>
            <w:tcBorders>
              <w:left w:val="nil"/>
              <w:right w:val="nil"/>
            </w:tcBorders>
            <w:vAlign w:val="center"/>
          </w:tcPr>
          <w:p w14:paraId="0B0BB01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1.86±0.528</w:t>
            </w:r>
          </w:p>
        </w:tc>
        <w:tc>
          <w:tcPr>
            <w:tcW w:w="1782" w:type="dxa"/>
            <w:tcBorders>
              <w:left w:val="nil"/>
              <w:right w:val="nil"/>
            </w:tcBorders>
            <w:vAlign w:val="center"/>
          </w:tcPr>
          <w:p w14:paraId="5A6EDA56" w14:textId="77777777" w:rsidR="00747C4D" w:rsidRPr="0076132D" w:rsidRDefault="00747C4D" w:rsidP="001D6C2F">
            <w:pPr>
              <w:spacing w:line="360" w:lineRule="auto"/>
              <w:jc w:val="center"/>
              <w:rPr>
                <w:rFonts w:ascii="Arial" w:hAnsi="Arial" w:cs="Arial"/>
                <w:color w:val="000000" w:themeColor="text1"/>
                <w:sz w:val="20"/>
                <w:szCs w:val="20"/>
              </w:rPr>
            </w:pPr>
            <w:r w:rsidRPr="00D63FF3">
              <w:rPr>
                <w:rFonts w:ascii="Arial" w:eastAsia="Times New Roman" w:hAnsi="Arial" w:cs="Arial"/>
                <w:color w:val="000000"/>
                <w:sz w:val="20"/>
                <w:szCs w:val="20"/>
              </w:rPr>
              <w:t>2.90</w:t>
            </w:r>
            <w:r w:rsidRPr="0076132D">
              <w:rPr>
                <w:rFonts w:ascii="Arial" w:eastAsia="Times New Roman" w:hAnsi="Arial" w:cs="Arial"/>
                <w:color w:val="000000"/>
                <w:sz w:val="20"/>
                <w:szCs w:val="20"/>
              </w:rPr>
              <w:t>±1.946</w:t>
            </w:r>
          </w:p>
        </w:tc>
        <w:tc>
          <w:tcPr>
            <w:tcW w:w="1516" w:type="dxa"/>
            <w:tcBorders>
              <w:left w:val="nil"/>
              <w:right w:val="nil"/>
            </w:tcBorders>
            <w:vAlign w:val="center"/>
          </w:tcPr>
          <w:p w14:paraId="69BB04B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1.57±0.709</w:t>
            </w:r>
          </w:p>
        </w:tc>
      </w:tr>
      <w:tr w:rsidR="00DE6648" w:rsidRPr="0076132D" w14:paraId="50814434" w14:textId="77777777" w:rsidTr="00F53175">
        <w:trPr>
          <w:trHeight w:val="212"/>
          <w:jc w:val="center"/>
        </w:trPr>
        <w:tc>
          <w:tcPr>
            <w:tcW w:w="1788" w:type="dxa"/>
            <w:tcBorders>
              <w:left w:val="nil"/>
              <w:bottom w:val="single" w:sz="4" w:space="0" w:color="auto"/>
              <w:right w:val="nil"/>
            </w:tcBorders>
            <w:vAlign w:val="center"/>
          </w:tcPr>
          <w:p w14:paraId="23454FC4"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PRA</w:t>
            </w:r>
          </w:p>
        </w:tc>
        <w:tc>
          <w:tcPr>
            <w:tcW w:w="1457" w:type="dxa"/>
            <w:tcBorders>
              <w:left w:val="nil"/>
              <w:bottom w:val="single" w:sz="4" w:space="0" w:color="auto"/>
              <w:right w:val="nil"/>
            </w:tcBorders>
            <w:vAlign w:val="center"/>
          </w:tcPr>
          <w:p w14:paraId="3511D99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-2.84±0.62</w:t>
            </w:r>
          </w:p>
        </w:tc>
        <w:tc>
          <w:tcPr>
            <w:tcW w:w="1524" w:type="dxa"/>
            <w:tcBorders>
              <w:left w:val="nil"/>
              <w:bottom w:val="single" w:sz="4" w:space="0" w:color="auto"/>
              <w:right w:val="nil"/>
            </w:tcBorders>
            <w:vAlign w:val="center"/>
          </w:tcPr>
          <w:p w14:paraId="08D6137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eastAsia="Times New Roman" w:hAnsi="Arial" w:cs="Arial"/>
                <w:color w:val="000000"/>
                <w:sz w:val="20"/>
                <w:szCs w:val="20"/>
              </w:rPr>
              <w:t>-1.45±0.950</w:t>
            </w:r>
          </w:p>
        </w:tc>
        <w:tc>
          <w:tcPr>
            <w:tcW w:w="1931" w:type="dxa"/>
            <w:tcBorders>
              <w:left w:val="nil"/>
              <w:bottom w:val="single" w:sz="4" w:space="0" w:color="auto"/>
              <w:right w:val="nil"/>
            </w:tcBorders>
            <w:vAlign w:val="center"/>
          </w:tcPr>
          <w:p w14:paraId="17B63F6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-2.93±0.450</w:t>
            </w:r>
          </w:p>
        </w:tc>
        <w:tc>
          <w:tcPr>
            <w:tcW w:w="1782" w:type="dxa"/>
            <w:tcBorders>
              <w:left w:val="nil"/>
              <w:bottom w:val="single" w:sz="4" w:space="0" w:color="auto"/>
              <w:right w:val="nil"/>
            </w:tcBorders>
            <w:vAlign w:val="center"/>
          </w:tcPr>
          <w:p w14:paraId="45AB5DEF" w14:textId="77777777" w:rsidR="00747C4D" w:rsidRPr="0076132D" w:rsidRDefault="00747C4D" w:rsidP="001D6C2F">
            <w:pPr>
              <w:spacing w:line="360" w:lineRule="auto"/>
              <w:jc w:val="center"/>
              <w:rPr>
                <w:rFonts w:ascii="Arial" w:hAnsi="Arial" w:cs="Arial"/>
                <w:b/>
                <w:color w:val="000000" w:themeColor="text1"/>
                <w:sz w:val="20"/>
                <w:szCs w:val="20"/>
              </w:rPr>
            </w:pPr>
            <w:r w:rsidRPr="00D63FF3">
              <w:rPr>
                <w:rFonts w:ascii="Arial" w:eastAsia="Times New Roman" w:hAnsi="Arial" w:cs="Arial"/>
                <w:color w:val="000000"/>
                <w:sz w:val="20"/>
                <w:szCs w:val="20"/>
              </w:rPr>
              <w:t>-2.143</w:t>
            </w:r>
            <w:r w:rsidRPr="0076132D">
              <w:rPr>
                <w:rFonts w:ascii="Arial" w:eastAsia="Times New Roman" w:hAnsi="Arial" w:cs="Arial"/>
                <w:color w:val="000000"/>
                <w:sz w:val="20"/>
                <w:szCs w:val="20"/>
              </w:rPr>
              <w:t>±</w:t>
            </w:r>
            <w:r w:rsidRPr="0076132D">
              <w:rPr>
                <w:rFonts w:ascii="Arial" w:hAnsi="Arial" w:cs="Arial"/>
                <w:color w:val="000000"/>
                <w:sz w:val="20"/>
                <w:szCs w:val="20"/>
              </w:rPr>
              <w:t>0.868</w:t>
            </w:r>
          </w:p>
        </w:tc>
        <w:tc>
          <w:tcPr>
            <w:tcW w:w="1516" w:type="dxa"/>
            <w:tcBorders>
              <w:left w:val="nil"/>
              <w:bottom w:val="single" w:sz="4" w:space="0" w:color="auto"/>
              <w:right w:val="nil"/>
            </w:tcBorders>
            <w:vAlign w:val="center"/>
          </w:tcPr>
          <w:p w14:paraId="5A3F7BE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-2.87±0.590</w:t>
            </w:r>
          </w:p>
        </w:tc>
      </w:tr>
      <w:tr w:rsidR="00DE6648" w:rsidRPr="0076132D" w14:paraId="7D8EB03F" w14:textId="77777777" w:rsidTr="00F53175">
        <w:trPr>
          <w:trHeight w:val="326"/>
          <w:jc w:val="center"/>
        </w:trPr>
        <w:tc>
          <w:tcPr>
            <w:tcW w:w="1788" w:type="dxa"/>
            <w:tcBorders>
              <w:left w:val="nil"/>
              <w:bottom w:val="nil"/>
              <w:right w:val="nil"/>
            </w:tcBorders>
            <w:vAlign w:val="center"/>
          </w:tcPr>
          <w:p w14:paraId="0A225F54"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AF</w:t>
            </w:r>
          </w:p>
        </w:tc>
        <w:tc>
          <w:tcPr>
            <w:tcW w:w="1457" w:type="dxa"/>
            <w:tcBorders>
              <w:left w:val="nil"/>
              <w:bottom w:val="nil"/>
              <w:right w:val="nil"/>
            </w:tcBorders>
            <w:vAlign w:val="center"/>
          </w:tcPr>
          <w:p w14:paraId="63AFC439"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24" w:type="dxa"/>
            <w:tcBorders>
              <w:left w:val="nil"/>
              <w:bottom w:val="nil"/>
              <w:right w:val="nil"/>
            </w:tcBorders>
            <w:vAlign w:val="center"/>
          </w:tcPr>
          <w:p w14:paraId="6907AD13"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931" w:type="dxa"/>
            <w:tcBorders>
              <w:left w:val="nil"/>
              <w:bottom w:val="nil"/>
              <w:right w:val="nil"/>
            </w:tcBorders>
            <w:vAlign w:val="center"/>
          </w:tcPr>
          <w:p w14:paraId="6687A118"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7C3C04D6"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25926DE5"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79FEB5AC" w14:textId="77777777" w:rsidTr="00F53175">
        <w:trPr>
          <w:trHeight w:val="406"/>
          <w:jc w:val="center"/>
        </w:trPr>
        <w:tc>
          <w:tcPr>
            <w:tcW w:w="1788" w:type="dxa"/>
            <w:tcBorders>
              <w:top w:val="nil"/>
              <w:left w:val="nil"/>
              <w:bottom w:val="single" w:sz="4" w:space="0" w:color="auto"/>
              <w:right w:val="nil"/>
            </w:tcBorders>
            <w:vAlign w:val="center"/>
          </w:tcPr>
          <w:p w14:paraId="660C5AB8"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03012C2D"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OS</w:t>
            </w:r>
          </w:p>
          <w:p w14:paraId="5F0859F7"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OU</w:t>
            </w:r>
          </w:p>
        </w:tc>
        <w:tc>
          <w:tcPr>
            <w:tcW w:w="1457" w:type="dxa"/>
            <w:tcBorders>
              <w:top w:val="nil"/>
              <w:left w:val="nil"/>
              <w:bottom w:val="single" w:sz="4" w:space="0" w:color="auto"/>
              <w:right w:val="nil"/>
            </w:tcBorders>
            <w:vAlign w:val="center"/>
          </w:tcPr>
          <w:p w14:paraId="5E704B9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7.14±3.152</w:t>
            </w:r>
          </w:p>
          <w:p w14:paraId="15110886"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7.0161±3.086</w:t>
            </w:r>
          </w:p>
          <w:p w14:paraId="4980AB4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5.58±2.762</w:t>
            </w:r>
          </w:p>
        </w:tc>
        <w:tc>
          <w:tcPr>
            <w:tcW w:w="1524" w:type="dxa"/>
            <w:tcBorders>
              <w:top w:val="nil"/>
              <w:left w:val="nil"/>
              <w:bottom w:val="single" w:sz="4" w:space="0" w:color="auto"/>
              <w:right w:val="nil"/>
            </w:tcBorders>
            <w:vAlign w:val="center"/>
          </w:tcPr>
          <w:p w14:paraId="6837E89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3.72±2.93</w:t>
            </w:r>
          </w:p>
          <w:p w14:paraId="43E38163"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hAnsi="Arial" w:cs="Arial"/>
                <w:color w:val="000000" w:themeColor="text1"/>
                <w:sz w:val="20"/>
                <w:szCs w:val="20"/>
              </w:rPr>
              <w:t>3.7±</w:t>
            </w:r>
            <w:r w:rsidRPr="00421581">
              <w:rPr>
                <w:rFonts w:ascii="Arial" w:eastAsia="Times New Roman" w:hAnsi="Arial" w:cs="Arial"/>
                <w:color w:val="000000"/>
                <w:sz w:val="20"/>
                <w:szCs w:val="20"/>
              </w:rPr>
              <w:t>2.81</w:t>
            </w:r>
            <w:r w:rsidRPr="0076132D">
              <w:rPr>
                <w:rFonts w:ascii="Arial" w:eastAsia="Times New Roman" w:hAnsi="Arial" w:cs="Arial"/>
                <w:color w:val="000000"/>
                <w:sz w:val="20"/>
                <w:szCs w:val="20"/>
              </w:rPr>
              <w:t>7</w:t>
            </w:r>
          </w:p>
          <w:p w14:paraId="09E78F3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eastAsia="Times New Roman" w:hAnsi="Arial" w:cs="Arial"/>
                <w:color w:val="000000"/>
                <w:sz w:val="20"/>
                <w:szCs w:val="20"/>
              </w:rPr>
              <w:t>3.75±2.964</w:t>
            </w:r>
          </w:p>
        </w:tc>
        <w:tc>
          <w:tcPr>
            <w:tcW w:w="1931" w:type="dxa"/>
            <w:tcBorders>
              <w:top w:val="nil"/>
              <w:left w:val="nil"/>
              <w:bottom w:val="single" w:sz="4" w:space="0" w:color="auto"/>
              <w:right w:val="nil"/>
            </w:tcBorders>
            <w:vAlign w:val="center"/>
          </w:tcPr>
          <w:p w14:paraId="136D885F"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5.31±1.447</w:t>
            </w:r>
          </w:p>
          <w:p w14:paraId="6C156D1D"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5.22±1.301</w:t>
            </w:r>
          </w:p>
          <w:p w14:paraId="0D07F21E"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4.58±2.244</w:t>
            </w:r>
          </w:p>
        </w:tc>
        <w:tc>
          <w:tcPr>
            <w:tcW w:w="1782" w:type="dxa"/>
            <w:tcBorders>
              <w:top w:val="nil"/>
              <w:left w:val="nil"/>
              <w:bottom w:val="single" w:sz="4" w:space="0" w:color="auto"/>
              <w:right w:val="nil"/>
            </w:tcBorders>
            <w:vAlign w:val="center"/>
          </w:tcPr>
          <w:p w14:paraId="04E010B0"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7.55±2.609</w:t>
            </w:r>
          </w:p>
          <w:p w14:paraId="22ECF4B9"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7.238±2.333</w:t>
            </w:r>
          </w:p>
          <w:p w14:paraId="77752D4D"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4.76±3.369</w:t>
            </w:r>
          </w:p>
        </w:tc>
        <w:tc>
          <w:tcPr>
            <w:tcW w:w="1516" w:type="dxa"/>
            <w:tcBorders>
              <w:top w:val="nil"/>
              <w:left w:val="nil"/>
              <w:bottom w:val="single" w:sz="4" w:space="0" w:color="auto"/>
              <w:right w:val="nil"/>
            </w:tcBorders>
            <w:vAlign w:val="center"/>
          </w:tcPr>
          <w:p w14:paraId="6557E9D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5.48±2.520</w:t>
            </w:r>
          </w:p>
          <w:p w14:paraId="78B2DB82"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5.39±2.461</w:t>
            </w:r>
          </w:p>
          <w:p w14:paraId="009BF47B"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3.39±1.830</w:t>
            </w:r>
          </w:p>
        </w:tc>
      </w:tr>
      <w:tr w:rsidR="00DE6648" w:rsidRPr="0076132D" w14:paraId="2C88BA48" w14:textId="77777777" w:rsidTr="00F53175">
        <w:trPr>
          <w:trHeight w:val="343"/>
          <w:jc w:val="center"/>
        </w:trPr>
        <w:tc>
          <w:tcPr>
            <w:tcW w:w="1788" w:type="dxa"/>
            <w:tcBorders>
              <w:left w:val="nil"/>
              <w:bottom w:val="nil"/>
              <w:right w:val="nil"/>
            </w:tcBorders>
            <w:vAlign w:val="center"/>
          </w:tcPr>
          <w:p w14:paraId="3B8C8105"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MEM</w:t>
            </w:r>
          </w:p>
        </w:tc>
        <w:tc>
          <w:tcPr>
            <w:tcW w:w="1457" w:type="dxa"/>
            <w:tcBorders>
              <w:left w:val="nil"/>
              <w:bottom w:val="nil"/>
              <w:right w:val="nil"/>
            </w:tcBorders>
            <w:vAlign w:val="center"/>
          </w:tcPr>
          <w:p w14:paraId="183E73A9"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24" w:type="dxa"/>
            <w:tcBorders>
              <w:left w:val="nil"/>
              <w:bottom w:val="nil"/>
              <w:right w:val="nil"/>
            </w:tcBorders>
            <w:vAlign w:val="center"/>
          </w:tcPr>
          <w:p w14:paraId="2EE7E1E1"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931" w:type="dxa"/>
            <w:tcBorders>
              <w:left w:val="nil"/>
              <w:bottom w:val="nil"/>
              <w:right w:val="nil"/>
            </w:tcBorders>
            <w:vAlign w:val="center"/>
          </w:tcPr>
          <w:p w14:paraId="10D13328"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44A444C5"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6CEF1F18"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1963DE41" w14:textId="77777777" w:rsidTr="00F53175">
        <w:trPr>
          <w:trHeight w:val="255"/>
          <w:jc w:val="center"/>
        </w:trPr>
        <w:tc>
          <w:tcPr>
            <w:tcW w:w="1788" w:type="dxa"/>
            <w:tcBorders>
              <w:top w:val="nil"/>
              <w:left w:val="nil"/>
              <w:right w:val="nil"/>
            </w:tcBorders>
            <w:vAlign w:val="center"/>
          </w:tcPr>
          <w:p w14:paraId="145F18A0"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1F407C02"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OS</w:t>
            </w:r>
          </w:p>
        </w:tc>
        <w:tc>
          <w:tcPr>
            <w:tcW w:w="1457" w:type="dxa"/>
            <w:tcBorders>
              <w:top w:val="nil"/>
              <w:left w:val="nil"/>
              <w:right w:val="nil"/>
            </w:tcBorders>
            <w:vAlign w:val="center"/>
          </w:tcPr>
          <w:p w14:paraId="07E20FF4"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0.32±0.318</w:t>
            </w:r>
          </w:p>
          <w:p w14:paraId="068AB21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0.314±0.34</w:t>
            </w:r>
          </w:p>
        </w:tc>
        <w:tc>
          <w:tcPr>
            <w:tcW w:w="1524" w:type="dxa"/>
            <w:tcBorders>
              <w:top w:val="nil"/>
              <w:left w:val="nil"/>
              <w:right w:val="nil"/>
            </w:tcBorders>
            <w:vAlign w:val="center"/>
          </w:tcPr>
          <w:p w14:paraId="11DF343D"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0.91±0.240</w:t>
            </w:r>
          </w:p>
          <w:p w14:paraId="3AE3C2C1"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0.95±2.45</w:t>
            </w:r>
          </w:p>
        </w:tc>
        <w:tc>
          <w:tcPr>
            <w:tcW w:w="1931" w:type="dxa"/>
            <w:tcBorders>
              <w:top w:val="nil"/>
              <w:left w:val="nil"/>
              <w:right w:val="nil"/>
            </w:tcBorders>
            <w:vAlign w:val="center"/>
          </w:tcPr>
          <w:p w14:paraId="4EB3419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0.11±0.636</w:t>
            </w:r>
          </w:p>
          <w:p w14:paraId="4DE8827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0.17±0.619</w:t>
            </w:r>
          </w:p>
        </w:tc>
        <w:tc>
          <w:tcPr>
            <w:tcW w:w="1782" w:type="dxa"/>
            <w:tcBorders>
              <w:top w:val="nil"/>
              <w:left w:val="nil"/>
              <w:right w:val="nil"/>
            </w:tcBorders>
            <w:vAlign w:val="center"/>
          </w:tcPr>
          <w:p w14:paraId="6BE2010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0.62±0.251</w:t>
            </w:r>
          </w:p>
          <w:p w14:paraId="584EFFD3"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0.60±0.273</w:t>
            </w:r>
          </w:p>
        </w:tc>
        <w:tc>
          <w:tcPr>
            <w:tcW w:w="1516" w:type="dxa"/>
            <w:tcBorders>
              <w:top w:val="nil"/>
              <w:left w:val="nil"/>
              <w:right w:val="nil"/>
            </w:tcBorders>
            <w:vAlign w:val="center"/>
          </w:tcPr>
          <w:p w14:paraId="69B9332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0.32±0.393</w:t>
            </w:r>
          </w:p>
          <w:p w14:paraId="00ECD99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0.33±0.372</w:t>
            </w:r>
          </w:p>
        </w:tc>
      </w:tr>
      <w:tr w:rsidR="00DE6648" w:rsidRPr="0076132D" w14:paraId="74824A96" w14:textId="77777777" w:rsidTr="00F53175">
        <w:trPr>
          <w:trHeight w:val="186"/>
          <w:jc w:val="center"/>
        </w:trPr>
        <w:tc>
          <w:tcPr>
            <w:tcW w:w="1788" w:type="dxa"/>
            <w:tcBorders>
              <w:left w:val="nil"/>
              <w:right w:val="nil"/>
            </w:tcBorders>
            <w:vAlign w:val="center"/>
          </w:tcPr>
          <w:p w14:paraId="27523523" w14:textId="77777777" w:rsidR="00747C4D" w:rsidRPr="0076132D" w:rsidRDefault="00747C4D" w:rsidP="001D6C2F">
            <w:pPr>
              <w:spacing w:line="360" w:lineRule="auto"/>
              <w:rPr>
                <w:rFonts w:ascii="Arial" w:hAnsi="Arial" w:cs="Arial"/>
                <w:b/>
                <w:bCs/>
                <w:color w:val="000000" w:themeColor="text1"/>
                <w:sz w:val="20"/>
                <w:szCs w:val="20"/>
              </w:rPr>
            </w:pPr>
            <w:r w:rsidRPr="0076132D">
              <w:rPr>
                <w:rFonts w:ascii="Arial" w:hAnsi="Arial" w:cs="Arial"/>
                <w:b/>
                <w:bCs/>
                <w:color w:val="000000" w:themeColor="text1"/>
                <w:sz w:val="20"/>
                <w:szCs w:val="20"/>
              </w:rPr>
              <w:t>AC/A ratio</w:t>
            </w:r>
          </w:p>
        </w:tc>
        <w:tc>
          <w:tcPr>
            <w:tcW w:w="1457" w:type="dxa"/>
            <w:tcBorders>
              <w:left w:val="nil"/>
              <w:right w:val="nil"/>
            </w:tcBorders>
            <w:vAlign w:val="center"/>
          </w:tcPr>
          <w:p w14:paraId="17CD56A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1.77±0.705:1</w:t>
            </w:r>
          </w:p>
        </w:tc>
        <w:tc>
          <w:tcPr>
            <w:tcW w:w="1524" w:type="dxa"/>
            <w:tcBorders>
              <w:left w:val="nil"/>
              <w:right w:val="nil"/>
            </w:tcBorders>
            <w:vAlign w:val="center"/>
          </w:tcPr>
          <w:p w14:paraId="3B82C33D" w14:textId="77777777" w:rsidR="00747C4D" w:rsidRPr="0076132D" w:rsidRDefault="00747C4D" w:rsidP="001D6C2F">
            <w:pPr>
              <w:spacing w:line="360" w:lineRule="auto"/>
              <w:jc w:val="center"/>
              <w:rPr>
                <w:rFonts w:ascii="Arial" w:hAnsi="Arial" w:cs="Arial"/>
                <w:color w:val="000000" w:themeColor="text1"/>
                <w:sz w:val="20"/>
                <w:szCs w:val="20"/>
              </w:rPr>
            </w:pPr>
            <w:r w:rsidRPr="002B2D92">
              <w:rPr>
                <w:rFonts w:ascii="Arial" w:eastAsia="Times New Roman" w:hAnsi="Arial" w:cs="Arial"/>
                <w:color w:val="000000"/>
                <w:sz w:val="20"/>
                <w:szCs w:val="20"/>
              </w:rPr>
              <w:t>3.05</w:t>
            </w:r>
            <w:r w:rsidRPr="0076132D">
              <w:rPr>
                <w:rFonts w:ascii="Arial" w:eastAsia="Times New Roman" w:hAnsi="Arial" w:cs="Arial"/>
                <w:color w:val="000000"/>
                <w:sz w:val="20"/>
                <w:szCs w:val="20"/>
              </w:rPr>
              <w:t>±</w:t>
            </w:r>
            <w:r w:rsidRPr="002B2D92">
              <w:rPr>
                <w:rFonts w:ascii="Arial" w:eastAsia="Times New Roman" w:hAnsi="Arial" w:cs="Arial"/>
                <w:color w:val="000000"/>
                <w:sz w:val="20"/>
                <w:szCs w:val="20"/>
              </w:rPr>
              <w:t>0.739</w:t>
            </w:r>
          </w:p>
        </w:tc>
        <w:tc>
          <w:tcPr>
            <w:tcW w:w="1931" w:type="dxa"/>
            <w:tcBorders>
              <w:left w:val="nil"/>
              <w:right w:val="nil"/>
            </w:tcBorders>
            <w:vAlign w:val="center"/>
          </w:tcPr>
          <w:p w14:paraId="2288C694"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3.185±1.020</w:t>
            </w:r>
          </w:p>
        </w:tc>
        <w:tc>
          <w:tcPr>
            <w:tcW w:w="1782" w:type="dxa"/>
            <w:tcBorders>
              <w:left w:val="nil"/>
              <w:right w:val="nil"/>
            </w:tcBorders>
            <w:vAlign w:val="center"/>
          </w:tcPr>
          <w:p w14:paraId="7436DB9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4.36±1.081</w:t>
            </w:r>
          </w:p>
        </w:tc>
        <w:tc>
          <w:tcPr>
            <w:tcW w:w="1516" w:type="dxa"/>
            <w:tcBorders>
              <w:left w:val="nil"/>
              <w:right w:val="nil"/>
            </w:tcBorders>
            <w:vAlign w:val="center"/>
          </w:tcPr>
          <w:p w14:paraId="779399D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3.08±1.145</w:t>
            </w:r>
          </w:p>
        </w:tc>
      </w:tr>
    </w:tbl>
    <w:p w14:paraId="45744937" w14:textId="77777777" w:rsidR="00CC543C" w:rsidRDefault="00CC543C" w:rsidP="00CC543C">
      <w:pPr>
        <w:pStyle w:val="Body"/>
        <w:rPr>
          <w:rFonts w:ascii="Arial" w:hAnsi="Arial" w:cs="Arial"/>
        </w:rPr>
      </w:pPr>
      <w:r w:rsidRPr="00CC543C">
        <w:rPr>
          <w:rFonts w:ascii="Arial" w:hAnsi="Arial" w:cs="Arial"/>
        </w:rPr>
        <w:t xml:space="preserve">The findings of Vergence testing in various forms of Non-Strabismic Binocular Vision Anomalies were depicted in Table 3. Assessment of vergence included Near Point of Convergence (break/recovery), Negative Fusional Vergence at near and distance (break/recovery), Positive Fusional Vergence at near and distance (break/recovery) and Vergence Facility. </w:t>
      </w:r>
    </w:p>
    <w:p w14:paraId="19298C0A" w14:textId="77777777" w:rsidR="00747C4D" w:rsidRPr="00AF5205" w:rsidRDefault="00747C4D" w:rsidP="00747C4D">
      <w:pPr>
        <w:pStyle w:val="Caption"/>
        <w:keepNext/>
        <w:spacing w:after="0" w:line="360" w:lineRule="auto"/>
        <w:rPr>
          <w:rFonts w:ascii="Arial" w:hAnsi="Arial" w:cs="Arial"/>
          <w:b/>
          <w:i w:val="0"/>
          <w:color w:val="000000" w:themeColor="text1"/>
          <w:sz w:val="20"/>
          <w:szCs w:val="20"/>
        </w:rPr>
      </w:pPr>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3</w:t>
      </w:r>
      <w:r w:rsidRPr="00AF5205">
        <w:rPr>
          <w:rFonts w:ascii="Arial" w:hAnsi="Arial" w:cs="Arial"/>
          <w:b/>
          <w:i w:val="0"/>
          <w:color w:val="000000" w:themeColor="text1"/>
          <w:sz w:val="20"/>
          <w:szCs w:val="20"/>
        </w:rPr>
        <w:fldChar w:fldCharType="end"/>
      </w:r>
      <w:r>
        <w:rPr>
          <w:rFonts w:ascii="Arial" w:hAnsi="Arial" w:cs="Arial"/>
          <w:b/>
          <w:i w:val="0"/>
          <w:color w:val="000000" w:themeColor="text1"/>
          <w:sz w:val="20"/>
          <w:szCs w:val="20"/>
        </w:rPr>
        <w:t>.</w:t>
      </w:r>
      <w:r w:rsidRPr="00AF5205">
        <w:rPr>
          <w:rFonts w:ascii="Arial" w:hAnsi="Arial" w:cs="Arial"/>
          <w:b/>
          <w:i w:val="0"/>
          <w:color w:val="000000" w:themeColor="text1"/>
          <w:sz w:val="20"/>
          <w:szCs w:val="20"/>
        </w:rPr>
        <w:t xml:space="preserve"> Findings of Vergence testing in various forms of NSBVA</w:t>
      </w:r>
    </w:p>
    <w:tbl>
      <w:tblPr>
        <w:tblStyle w:val="TableGrid"/>
        <w:tblW w:w="9018" w:type="dxa"/>
        <w:jc w:val="center"/>
        <w:tblLayout w:type="fixed"/>
        <w:tblLook w:val="04A0" w:firstRow="1" w:lastRow="0" w:firstColumn="1" w:lastColumn="0" w:noHBand="0" w:noVBand="1"/>
      </w:tblPr>
      <w:tblGrid>
        <w:gridCol w:w="2238"/>
        <w:gridCol w:w="1380"/>
        <w:gridCol w:w="1350"/>
        <w:gridCol w:w="1350"/>
        <w:gridCol w:w="1350"/>
        <w:gridCol w:w="1350"/>
      </w:tblGrid>
      <w:tr w:rsidR="00747C4D" w:rsidRPr="00747C4D" w14:paraId="0CD12E49" w14:textId="77777777" w:rsidTr="00747C4D">
        <w:trPr>
          <w:trHeight w:val="437"/>
          <w:jc w:val="center"/>
        </w:trPr>
        <w:tc>
          <w:tcPr>
            <w:tcW w:w="2238" w:type="dxa"/>
            <w:vMerge w:val="restart"/>
            <w:tcBorders>
              <w:left w:val="nil"/>
              <w:right w:val="nil"/>
            </w:tcBorders>
            <w:vAlign w:val="center"/>
          </w:tcPr>
          <w:p w14:paraId="69EE12ED" w14:textId="77777777" w:rsidR="00747C4D" w:rsidRPr="00747C4D" w:rsidRDefault="00747C4D" w:rsidP="001D6C2F">
            <w:pPr>
              <w:spacing w:line="360" w:lineRule="auto"/>
              <w:ind w:left="288"/>
              <w:jc w:val="center"/>
              <w:rPr>
                <w:rFonts w:ascii="Arial" w:hAnsi="Arial" w:cs="Arial"/>
                <w:b/>
                <w:color w:val="000000" w:themeColor="text1"/>
                <w:sz w:val="20"/>
                <w:szCs w:val="20"/>
              </w:rPr>
            </w:pPr>
            <w:r w:rsidRPr="00747C4D">
              <w:rPr>
                <w:rFonts w:ascii="Arial" w:hAnsi="Arial" w:cs="Arial"/>
                <w:b/>
                <w:bCs/>
                <w:color w:val="000000" w:themeColor="text1"/>
                <w:sz w:val="20"/>
                <w:szCs w:val="20"/>
              </w:rPr>
              <w:t>TESTS</w:t>
            </w:r>
          </w:p>
        </w:tc>
        <w:tc>
          <w:tcPr>
            <w:tcW w:w="6780" w:type="dxa"/>
            <w:gridSpan w:val="5"/>
            <w:tcBorders>
              <w:left w:val="nil"/>
              <w:right w:val="nil"/>
            </w:tcBorders>
            <w:vAlign w:val="center"/>
          </w:tcPr>
          <w:p w14:paraId="6D59103F"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bCs/>
                <w:color w:val="000000" w:themeColor="text1"/>
                <w:sz w:val="20"/>
                <w:szCs w:val="20"/>
              </w:rPr>
              <w:t>MEAN VALUE</w:t>
            </w:r>
          </w:p>
        </w:tc>
      </w:tr>
      <w:tr w:rsidR="00747C4D" w:rsidRPr="00747C4D" w14:paraId="1C5211BF" w14:textId="77777777" w:rsidTr="00747C4D">
        <w:trPr>
          <w:trHeight w:val="77"/>
          <w:jc w:val="center"/>
        </w:trPr>
        <w:tc>
          <w:tcPr>
            <w:tcW w:w="2238" w:type="dxa"/>
            <w:vMerge/>
            <w:tcBorders>
              <w:left w:val="nil"/>
              <w:bottom w:val="single" w:sz="4" w:space="0" w:color="auto"/>
              <w:right w:val="nil"/>
            </w:tcBorders>
            <w:vAlign w:val="center"/>
          </w:tcPr>
          <w:p w14:paraId="4FE9617D" w14:textId="77777777" w:rsidR="00747C4D" w:rsidRPr="00747C4D" w:rsidRDefault="00747C4D" w:rsidP="001D6C2F">
            <w:pPr>
              <w:spacing w:line="360" w:lineRule="auto"/>
              <w:ind w:left="288"/>
              <w:jc w:val="center"/>
              <w:rPr>
                <w:rFonts w:ascii="Arial" w:hAnsi="Arial" w:cs="Arial"/>
                <w:b/>
                <w:color w:val="000000" w:themeColor="text1"/>
                <w:sz w:val="20"/>
                <w:szCs w:val="20"/>
              </w:rPr>
            </w:pPr>
          </w:p>
        </w:tc>
        <w:tc>
          <w:tcPr>
            <w:tcW w:w="1380" w:type="dxa"/>
            <w:tcBorders>
              <w:left w:val="nil"/>
              <w:bottom w:val="single" w:sz="4" w:space="0" w:color="auto"/>
              <w:right w:val="nil"/>
            </w:tcBorders>
            <w:vAlign w:val="center"/>
          </w:tcPr>
          <w:p w14:paraId="474DD060"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CI</w:t>
            </w:r>
          </w:p>
        </w:tc>
        <w:tc>
          <w:tcPr>
            <w:tcW w:w="1350" w:type="dxa"/>
            <w:tcBorders>
              <w:left w:val="nil"/>
              <w:bottom w:val="single" w:sz="4" w:space="0" w:color="auto"/>
            </w:tcBorders>
            <w:vAlign w:val="center"/>
          </w:tcPr>
          <w:p w14:paraId="0F3FD629"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AI</w:t>
            </w:r>
          </w:p>
        </w:tc>
        <w:tc>
          <w:tcPr>
            <w:tcW w:w="1350" w:type="dxa"/>
            <w:tcBorders>
              <w:bottom w:val="single" w:sz="4" w:space="0" w:color="auto"/>
              <w:right w:val="nil"/>
            </w:tcBorders>
            <w:vAlign w:val="center"/>
          </w:tcPr>
          <w:p w14:paraId="1F0789DC"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CI &amp; AE</w:t>
            </w:r>
          </w:p>
        </w:tc>
        <w:tc>
          <w:tcPr>
            <w:tcW w:w="1350" w:type="dxa"/>
            <w:tcBorders>
              <w:left w:val="nil"/>
              <w:bottom w:val="single" w:sz="4" w:space="0" w:color="auto"/>
              <w:right w:val="nil"/>
            </w:tcBorders>
            <w:vAlign w:val="center"/>
          </w:tcPr>
          <w:p w14:paraId="7F4081C7"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CE</w:t>
            </w:r>
          </w:p>
        </w:tc>
        <w:tc>
          <w:tcPr>
            <w:tcW w:w="1350" w:type="dxa"/>
            <w:tcBorders>
              <w:left w:val="nil"/>
              <w:bottom w:val="single" w:sz="4" w:space="0" w:color="auto"/>
              <w:right w:val="nil"/>
            </w:tcBorders>
            <w:vAlign w:val="center"/>
          </w:tcPr>
          <w:p w14:paraId="68BFACB9"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AE</w:t>
            </w:r>
          </w:p>
        </w:tc>
      </w:tr>
      <w:tr w:rsidR="00747C4D" w:rsidRPr="00747C4D" w14:paraId="6DCAD883" w14:textId="77777777" w:rsidTr="00747C4D">
        <w:trPr>
          <w:trHeight w:val="391"/>
          <w:jc w:val="center"/>
        </w:trPr>
        <w:tc>
          <w:tcPr>
            <w:tcW w:w="2238" w:type="dxa"/>
            <w:tcBorders>
              <w:left w:val="nil"/>
              <w:bottom w:val="nil"/>
              <w:right w:val="nil"/>
            </w:tcBorders>
            <w:vAlign w:val="center"/>
          </w:tcPr>
          <w:p w14:paraId="137F8C61"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b/>
                <w:bCs/>
                <w:color w:val="000000" w:themeColor="text1"/>
                <w:sz w:val="20"/>
                <w:szCs w:val="20"/>
              </w:rPr>
              <w:t>NPC</w:t>
            </w:r>
          </w:p>
        </w:tc>
        <w:tc>
          <w:tcPr>
            <w:tcW w:w="1380" w:type="dxa"/>
            <w:tcBorders>
              <w:left w:val="nil"/>
              <w:bottom w:val="nil"/>
              <w:right w:val="nil"/>
            </w:tcBorders>
          </w:tcPr>
          <w:p w14:paraId="1F391D5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6D282E2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397EB4C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CEA1BD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C3A25D9"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489D98A4" w14:textId="77777777" w:rsidTr="00747C4D">
        <w:trPr>
          <w:trHeight w:val="635"/>
          <w:jc w:val="center"/>
        </w:trPr>
        <w:tc>
          <w:tcPr>
            <w:tcW w:w="2238" w:type="dxa"/>
            <w:tcBorders>
              <w:top w:val="nil"/>
              <w:left w:val="nil"/>
              <w:bottom w:val="single" w:sz="4" w:space="0" w:color="auto"/>
              <w:right w:val="nil"/>
            </w:tcBorders>
            <w:vAlign w:val="center"/>
          </w:tcPr>
          <w:p w14:paraId="19E0FBE6"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672C6604"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tcPr>
          <w:p w14:paraId="2D52A1E3"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5.59±2.167</w:t>
            </w:r>
          </w:p>
          <w:p w14:paraId="561953A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7.27±2.62</w:t>
            </w:r>
          </w:p>
        </w:tc>
        <w:tc>
          <w:tcPr>
            <w:tcW w:w="1350" w:type="dxa"/>
            <w:tcBorders>
              <w:top w:val="nil"/>
              <w:left w:val="nil"/>
              <w:bottom w:val="single" w:sz="4" w:space="0" w:color="auto"/>
            </w:tcBorders>
            <w:vAlign w:val="center"/>
          </w:tcPr>
          <w:p w14:paraId="24AB5E33"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4.95±2.312</w:t>
            </w:r>
          </w:p>
          <w:p w14:paraId="5D49A244"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8.45±2.819</w:t>
            </w:r>
          </w:p>
        </w:tc>
        <w:tc>
          <w:tcPr>
            <w:tcW w:w="1350" w:type="dxa"/>
            <w:tcBorders>
              <w:top w:val="nil"/>
              <w:bottom w:val="single" w:sz="4" w:space="0" w:color="auto"/>
              <w:right w:val="nil"/>
            </w:tcBorders>
            <w:vAlign w:val="center"/>
          </w:tcPr>
          <w:p w14:paraId="6CE2FF70"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4.70±1.940</w:t>
            </w:r>
          </w:p>
          <w:p w14:paraId="5B6E6BB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6.4±2.006</w:t>
            </w:r>
          </w:p>
        </w:tc>
        <w:tc>
          <w:tcPr>
            <w:tcW w:w="1350" w:type="dxa"/>
            <w:tcBorders>
              <w:top w:val="nil"/>
              <w:left w:val="nil"/>
              <w:bottom w:val="single" w:sz="4" w:space="0" w:color="auto"/>
              <w:right w:val="nil"/>
            </w:tcBorders>
            <w:vAlign w:val="center"/>
          </w:tcPr>
          <w:p w14:paraId="36281BD6"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7.143±1.909</w:t>
            </w:r>
          </w:p>
          <w:p w14:paraId="3BC0A2F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9.857±2.336</w:t>
            </w:r>
          </w:p>
        </w:tc>
        <w:tc>
          <w:tcPr>
            <w:tcW w:w="1350" w:type="dxa"/>
            <w:tcBorders>
              <w:top w:val="nil"/>
              <w:left w:val="nil"/>
              <w:bottom w:val="single" w:sz="4" w:space="0" w:color="auto"/>
              <w:right w:val="nil"/>
            </w:tcBorders>
            <w:vAlign w:val="center"/>
          </w:tcPr>
          <w:p w14:paraId="6839408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8.07±2.921</w:t>
            </w:r>
          </w:p>
          <w:p w14:paraId="776DC14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10.29±3.547</w:t>
            </w:r>
          </w:p>
        </w:tc>
      </w:tr>
      <w:tr w:rsidR="00747C4D" w:rsidRPr="00747C4D" w14:paraId="5A297C2B" w14:textId="77777777" w:rsidTr="00747C4D">
        <w:trPr>
          <w:trHeight w:val="495"/>
          <w:jc w:val="center"/>
        </w:trPr>
        <w:tc>
          <w:tcPr>
            <w:tcW w:w="2238" w:type="dxa"/>
            <w:tcBorders>
              <w:left w:val="nil"/>
              <w:bottom w:val="nil"/>
              <w:right w:val="nil"/>
            </w:tcBorders>
            <w:vAlign w:val="center"/>
          </w:tcPr>
          <w:p w14:paraId="60F5942F" w14:textId="77777777" w:rsidR="00747C4D" w:rsidRPr="00747C4D" w:rsidRDefault="00747C4D" w:rsidP="001D6C2F">
            <w:pPr>
              <w:spacing w:line="360" w:lineRule="auto"/>
              <w:jc w:val="both"/>
              <w:rPr>
                <w:rFonts w:ascii="Arial" w:hAnsi="Arial" w:cs="Arial"/>
                <w:b/>
                <w:color w:val="000000" w:themeColor="text1"/>
                <w:sz w:val="20"/>
                <w:szCs w:val="20"/>
              </w:rPr>
            </w:pPr>
            <w:r w:rsidRPr="00747C4D">
              <w:rPr>
                <w:rFonts w:ascii="Arial" w:hAnsi="Arial" w:cs="Arial"/>
                <w:b/>
                <w:bCs/>
                <w:color w:val="000000" w:themeColor="text1"/>
                <w:sz w:val="20"/>
                <w:szCs w:val="20"/>
              </w:rPr>
              <w:t>NFV (distance)</w:t>
            </w:r>
          </w:p>
        </w:tc>
        <w:tc>
          <w:tcPr>
            <w:tcW w:w="1380" w:type="dxa"/>
            <w:tcBorders>
              <w:left w:val="nil"/>
              <w:bottom w:val="nil"/>
              <w:right w:val="nil"/>
            </w:tcBorders>
          </w:tcPr>
          <w:p w14:paraId="4842A94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40654A09"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08D6000F"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14CCE930"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141A9096"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5701C76D" w14:textId="77777777" w:rsidTr="00747C4D">
        <w:trPr>
          <w:trHeight w:val="303"/>
          <w:jc w:val="center"/>
        </w:trPr>
        <w:tc>
          <w:tcPr>
            <w:tcW w:w="2238" w:type="dxa"/>
            <w:tcBorders>
              <w:top w:val="nil"/>
              <w:left w:val="nil"/>
              <w:bottom w:val="single" w:sz="4" w:space="0" w:color="auto"/>
              <w:right w:val="nil"/>
            </w:tcBorders>
            <w:vAlign w:val="center"/>
          </w:tcPr>
          <w:p w14:paraId="048D67E0"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3FD69F38"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tcPr>
          <w:p w14:paraId="27A6EC94"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9.48±1.965</w:t>
            </w:r>
          </w:p>
          <w:p w14:paraId="49CEBD4F"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7.06±1.702</w:t>
            </w:r>
          </w:p>
        </w:tc>
        <w:tc>
          <w:tcPr>
            <w:tcW w:w="1350" w:type="dxa"/>
            <w:tcBorders>
              <w:top w:val="nil"/>
              <w:left w:val="nil"/>
              <w:bottom w:val="single" w:sz="4" w:space="0" w:color="auto"/>
            </w:tcBorders>
            <w:vAlign w:val="center"/>
          </w:tcPr>
          <w:p w14:paraId="1B416DD9"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9.63±1.869</w:t>
            </w:r>
          </w:p>
          <w:p w14:paraId="381FD1C2"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6.94±1.986</w:t>
            </w:r>
          </w:p>
        </w:tc>
        <w:tc>
          <w:tcPr>
            <w:tcW w:w="1350" w:type="dxa"/>
            <w:tcBorders>
              <w:top w:val="nil"/>
              <w:bottom w:val="single" w:sz="4" w:space="0" w:color="auto"/>
              <w:right w:val="nil"/>
            </w:tcBorders>
            <w:vAlign w:val="center"/>
          </w:tcPr>
          <w:p w14:paraId="37BED49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9.33±1.633</w:t>
            </w:r>
          </w:p>
          <w:p w14:paraId="2EEEB23F"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6.96±1.875</w:t>
            </w:r>
          </w:p>
        </w:tc>
        <w:tc>
          <w:tcPr>
            <w:tcW w:w="1350" w:type="dxa"/>
            <w:tcBorders>
              <w:top w:val="nil"/>
              <w:left w:val="nil"/>
              <w:bottom w:val="single" w:sz="4" w:space="0" w:color="auto"/>
              <w:right w:val="nil"/>
            </w:tcBorders>
            <w:vAlign w:val="center"/>
          </w:tcPr>
          <w:p w14:paraId="1638EB5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9.33±1.782</w:t>
            </w:r>
          </w:p>
          <w:p w14:paraId="20AA056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7.14±1.807</w:t>
            </w:r>
          </w:p>
        </w:tc>
        <w:tc>
          <w:tcPr>
            <w:tcW w:w="1350" w:type="dxa"/>
            <w:tcBorders>
              <w:top w:val="nil"/>
              <w:left w:val="nil"/>
              <w:bottom w:val="single" w:sz="4" w:space="0" w:color="auto"/>
              <w:right w:val="nil"/>
            </w:tcBorders>
            <w:vAlign w:val="center"/>
          </w:tcPr>
          <w:p w14:paraId="359E5095"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9.87±2.676</w:t>
            </w:r>
          </w:p>
          <w:p w14:paraId="158629E4"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7.73±2.508</w:t>
            </w:r>
          </w:p>
        </w:tc>
      </w:tr>
      <w:tr w:rsidR="00747C4D" w:rsidRPr="00747C4D" w14:paraId="4DB86B93" w14:textId="77777777" w:rsidTr="00747C4D">
        <w:trPr>
          <w:trHeight w:val="410"/>
          <w:jc w:val="center"/>
        </w:trPr>
        <w:tc>
          <w:tcPr>
            <w:tcW w:w="2238" w:type="dxa"/>
            <w:tcBorders>
              <w:left w:val="nil"/>
              <w:bottom w:val="nil"/>
              <w:right w:val="nil"/>
            </w:tcBorders>
            <w:vAlign w:val="center"/>
          </w:tcPr>
          <w:p w14:paraId="7A4C71E4"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t>NFV (near)</w:t>
            </w:r>
          </w:p>
        </w:tc>
        <w:tc>
          <w:tcPr>
            <w:tcW w:w="1380" w:type="dxa"/>
            <w:tcBorders>
              <w:left w:val="nil"/>
              <w:bottom w:val="nil"/>
              <w:right w:val="nil"/>
            </w:tcBorders>
          </w:tcPr>
          <w:p w14:paraId="61BA3B1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407A374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2BA768A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50676C1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2AA9C35C"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17ABA305" w14:textId="77777777" w:rsidTr="00747C4D">
        <w:trPr>
          <w:trHeight w:val="447"/>
          <w:jc w:val="center"/>
        </w:trPr>
        <w:tc>
          <w:tcPr>
            <w:tcW w:w="2238" w:type="dxa"/>
            <w:tcBorders>
              <w:top w:val="nil"/>
              <w:left w:val="nil"/>
              <w:bottom w:val="single" w:sz="4" w:space="0" w:color="auto"/>
              <w:right w:val="nil"/>
            </w:tcBorders>
            <w:vAlign w:val="center"/>
          </w:tcPr>
          <w:p w14:paraId="3703C75C"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2703EFE9"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lastRenderedPageBreak/>
              <w:t>RECOVERY</w:t>
            </w:r>
          </w:p>
        </w:tc>
        <w:tc>
          <w:tcPr>
            <w:tcW w:w="1380" w:type="dxa"/>
            <w:tcBorders>
              <w:top w:val="nil"/>
              <w:left w:val="nil"/>
              <w:bottom w:val="single" w:sz="4" w:space="0" w:color="auto"/>
              <w:right w:val="nil"/>
            </w:tcBorders>
            <w:vAlign w:val="center"/>
          </w:tcPr>
          <w:p w14:paraId="5D178F2A"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lastRenderedPageBreak/>
              <w:t>14.42±3.998</w:t>
            </w:r>
          </w:p>
          <w:p w14:paraId="6BDC3012"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lastRenderedPageBreak/>
              <w:t>12.51±4.157</w:t>
            </w:r>
          </w:p>
        </w:tc>
        <w:tc>
          <w:tcPr>
            <w:tcW w:w="1350" w:type="dxa"/>
            <w:tcBorders>
              <w:top w:val="nil"/>
              <w:left w:val="nil"/>
              <w:bottom w:val="single" w:sz="4" w:space="0" w:color="auto"/>
            </w:tcBorders>
            <w:vAlign w:val="center"/>
          </w:tcPr>
          <w:p w14:paraId="792D1F5E"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lastRenderedPageBreak/>
              <w:t>15.21±3.019</w:t>
            </w:r>
          </w:p>
          <w:p w14:paraId="53194AAA"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lastRenderedPageBreak/>
              <w:t>12.63±2.599</w:t>
            </w:r>
          </w:p>
        </w:tc>
        <w:tc>
          <w:tcPr>
            <w:tcW w:w="1350" w:type="dxa"/>
            <w:tcBorders>
              <w:top w:val="nil"/>
              <w:bottom w:val="single" w:sz="4" w:space="0" w:color="auto"/>
              <w:right w:val="nil"/>
            </w:tcBorders>
            <w:vAlign w:val="center"/>
          </w:tcPr>
          <w:p w14:paraId="0C523CCB"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16.18±3.031</w:t>
            </w:r>
          </w:p>
          <w:p w14:paraId="49F2F3D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13.85±2.71</w:t>
            </w:r>
          </w:p>
        </w:tc>
        <w:tc>
          <w:tcPr>
            <w:tcW w:w="1350" w:type="dxa"/>
            <w:tcBorders>
              <w:top w:val="nil"/>
              <w:left w:val="nil"/>
              <w:bottom w:val="single" w:sz="4" w:space="0" w:color="auto"/>
              <w:right w:val="nil"/>
            </w:tcBorders>
            <w:vAlign w:val="center"/>
          </w:tcPr>
          <w:p w14:paraId="08814C83"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15.04±4.180</w:t>
            </w:r>
          </w:p>
          <w:p w14:paraId="6360E30D"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13.14±4.132</w:t>
            </w:r>
          </w:p>
        </w:tc>
        <w:tc>
          <w:tcPr>
            <w:tcW w:w="1350" w:type="dxa"/>
            <w:tcBorders>
              <w:top w:val="nil"/>
              <w:left w:val="nil"/>
              <w:bottom w:val="single" w:sz="4" w:space="0" w:color="auto"/>
              <w:right w:val="nil"/>
            </w:tcBorders>
            <w:vAlign w:val="center"/>
          </w:tcPr>
          <w:p w14:paraId="16F36309"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14.82±3.284</w:t>
            </w:r>
          </w:p>
          <w:p w14:paraId="122B06A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lastRenderedPageBreak/>
              <w:t>12.75±3.234</w:t>
            </w:r>
          </w:p>
        </w:tc>
      </w:tr>
      <w:tr w:rsidR="00747C4D" w:rsidRPr="00747C4D" w14:paraId="4ACF49A9" w14:textId="77777777" w:rsidTr="00747C4D">
        <w:trPr>
          <w:trHeight w:val="405"/>
          <w:jc w:val="center"/>
        </w:trPr>
        <w:tc>
          <w:tcPr>
            <w:tcW w:w="2238" w:type="dxa"/>
            <w:tcBorders>
              <w:left w:val="nil"/>
              <w:bottom w:val="nil"/>
              <w:right w:val="nil"/>
            </w:tcBorders>
            <w:vAlign w:val="center"/>
          </w:tcPr>
          <w:p w14:paraId="2E99A293"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lastRenderedPageBreak/>
              <w:t>PFV (distance)</w:t>
            </w:r>
          </w:p>
        </w:tc>
        <w:tc>
          <w:tcPr>
            <w:tcW w:w="1380" w:type="dxa"/>
            <w:tcBorders>
              <w:left w:val="nil"/>
              <w:bottom w:val="nil"/>
              <w:right w:val="nil"/>
            </w:tcBorders>
          </w:tcPr>
          <w:p w14:paraId="56FEBE3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05D5060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5854E22E"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B75DBEC"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0382C514"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6091D6C5" w14:textId="77777777" w:rsidTr="00747C4D">
        <w:trPr>
          <w:trHeight w:val="150"/>
          <w:jc w:val="center"/>
        </w:trPr>
        <w:tc>
          <w:tcPr>
            <w:tcW w:w="2238" w:type="dxa"/>
            <w:tcBorders>
              <w:top w:val="nil"/>
              <w:left w:val="nil"/>
              <w:bottom w:val="single" w:sz="4" w:space="0" w:color="auto"/>
              <w:right w:val="nil"/>
            </w:tcBorders>
            <w:vAlign w:val="center"/>
          </w:tcPr>
          <w:p w14:paraId="0D49B77B"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6010B06A"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vAlign w:val="center"/>
          </w:tcPr>
          <w:p w14:paraId="7B4CBE54"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12.19±5.183</w:t>
            </w:r>
          </w:p>
          <w:p w14:paraId="4A2E84F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eastAsia="Times New Roman" w:hAnsi="Arial" w:cs="Arial"/>
                <w:color w:val="000000"/>
                <w:sz w:val="20"/>
                <w:szCs w:val="20"/>
              </w:rPr>
              <w:t>9.81±4.659</w:t>
            </w:r>
          </w:p>
        </w:tc>
        <w:tc>
          <w:tcPr>
            <w:tcW w:w="1350" w:type="dxa"/>
            <w:tcBorders>
              <w:top w:val="nil"/>
              <w:left w:val="nil"/>
              <w:bottom w:val="single" w:sz="4" w:space="0" w:color="auto"/>
            </w:tcBorders>
            <w:vAlign w:val="center"/>
          </w:tcPr>
          <w:p w14:paraId="75AFD9A9"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12.68±3.495</w:t>
            </w:r>
          </w:p>
          <w:p w14:paraId="763E11BE"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10.31±3.179</w:t>
            </w:r>
          </w:p>
        </w:tc>
        <w:tc>
          <w:tcPr>
            <w:tcW w:w="1350" w:type="dxa"/>
            <w:tcBorders>
              <w:top w:val="nil"/>
              <w:bottom w:val="single" w:sz="4" w:space="0" w:color="auto"/>
              <w:right w:val="nil"/>
            </w:tcBorders>
            <w:vAlign w:val="center"/>
          </w:tcPr>
          <w:p w14:paraId="463B8ED9"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12.37±3.927</w:t>
            </w:r>
          </w:p>
          <w:p w14:paraId="75E3F92A"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10.22±3.269</w:t>
            </w:r>
          </w:p>
        </w:tc>
        <w:tc>
          <w:tcPr>
            <w:tcW w:w="1350" w:type="dxa"/>
            <w:tcBorders>
              <w:top w:val="nil"/>
              <w:left w:val="nil"/>
              <w:bottom w:val="single" w:sz="4" w:space="0" w:color="auto"/>
              <w:right w:val="nil"/>
            </w:tcBorders>
            <w:vAlign w:val="center"/>
          </w:tcPr>
          <w:p w14:paraId="45DAB466"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16.48±3.567</w:t>
            </w:r>
          </w:p>
          <w:p w14:paraId="7247758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11.28±2.914</w:t>
            </w:r>
          </w:p>
        </w:tc>
        <w:tc>
          <w:tcPr>
            <w:tcW w:w="1350" w:type="dxa"/>
            <w:tcBorders>
              <w:top w:val="nil"/>
              <w:left w:val="nil"/>
              <w:bottom w:val="single" w:sz="4" w:space="0" w:color="auto"/>
              <w:right w:val="nil"/>
            </w:tcBorders>
            <w:vAlign w:val="center"/>
          </w:tcPr>
          <w:p w14:paraId="3A73EEDE"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9.87±2.676</w:t>
            </w:r>
          </w:p>
          <w:p w14:paraId="0C9F913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7.13±2.379</w:t>
            </w:r>
          </w:p>
        </w:tc>
      </w:tr>
      <w:tr w:rsidR="00747C4D" w:rsidRPr="00747C4D" w14:paraId="19802FE1" w14:textId="77777777" w:rsidTr="00747C4D">
        <w:trPr>
          <w:trHeight w:val="450"/>
          <w:jc w:val="center"/>
        </w:trPr>
        <w:tc>
          <w:tcPr>
            <w:tcW w:w="2238" w:type="dxa"/>
            <w:tcBorders>
              <w:left w:val="nil"/>
              <w:bottom w:val="nil"/>
              <w:right w:val="nil"/>
            </w:tcBorders>
            <w:vAlign w:val="center"/>
          </w:tcPr>
          <w:p w14:paraId="55E938D4"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t>PFV (near)</w:t>
            </w:r>
          </w:p>
        </w:tc>
        <w:tc>
          <w:tcPr>
            <w:tcW w:w="1380" w:type="dxa"/>
            <w:tcBorders>
              <w:left w:val="nil"/>
              <w:bottom w:val="nil"/>
              <w:right w:val="nil"/>
            </w:tcBorders>
          </w:tcPr>
          <w:p w14:paraId="6F36011E"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05D5CF84"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7686B8E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2970F18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6CEEA015"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74782DFB" w14:textId="77777777" w:rsidTr="00747C4D">
        <w:trPr>
          <w:trHeight w:val="87"/>
          <w:jc w:val="center"/>
        </w:trPr>
        <w:tc>
          <w:tcPr>
            <w:tcW w:w="2238" w:type="dxa"/>
            <w:tcBorders>
              <w:top w:val="nil"/>
              <w:left w:val="nil"/>
              <w:right w:val="nil"/>
            </w:tcBorders>
            <w:vAlign w:val="center"/>
          </w:tcPr>
          <w:p w14:paraId="65B99417"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1B732FE4"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right w:val="nil"/>
            </w:tcBorders>
            <w:vAlign w:val="center"/>
          </w:tcPr>
          <w:p w14:paraId="2D01092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16.19±7.105</w:t>
            </w:r>
          </w:p>
          <w:p w14:paraId="1BC825E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14.6±6.87</w:t>
            </w:r>
          </w:p>
        </w:tc>
        <w:tc>
          <w:tcPr>
            <w:tcW w:w="1350" w:type="dxa"/>
            <w:tcBorders>
              <w:top w:val="nil"/>
              <w:left w:val="nil"/>
            </w:tcBorders>
            <w:vAlign w:val="center"/>
          </w:tcPr>
          <w:p w14:paraId="68622258"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16.5±3.804</w:t>
            </w:r>
          </w:p>
          <w:p w14:paraId="17CC829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13.11±3.107</w:t>
            </w:r>
          </w:p>
        </w:tc>
        <w:tc>
          <w:tcPr>
            <w:tcW w:w="1350" w:type="dxa"/>
            <w:tcBorders>
              <w:top w:val="nil"/>
              <w:right w:val="nil"/>
            </w:tcBorders>
            <w:vAlign w:val="center"/>
          </w:tcPr>
          <w:p w14:paraId="1BBB38B8"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16.92±4.705</w:t>
            </w:r>
          </w:p>
          <w:p w14:paraId="787BBE76"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13.78±4.357</w:t>
            </w:r>
          </w:p>
        </w:tc>
        <w:tc>
          <w:tcPr>
            <w:tcW w:w="1350" w:type="dxa"/>
            <w:tcBorders>
              <w:top w:val="nil"/>
              <w:left w:val="nil"/>
              <w:right w:val="nil"/>
            </w:tcBorders>
            <w:vAlign w:val="center"/>
          </w:tcPr>
          <w:p w14:paraId="3E46A9F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21.43±5.559</w:t>
            </w:r>
          </w:p>
          <w:p w14:paraId="37F3D86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16.76±5.371</w:t>
            </w:r>
          </w:p>
        </w:tc>
        <w:tc>
          <w:tcPr>
            <w:tcW w:w="1350" w:type="dxa"/>
            <w:tcBorders>
              <w:top w:val="nil"/>
              <w:left w:val="nil"/>
              <w:right w:val="nil"/>
            </w:tcBorders>
            <w:vAlign w:val="center"/>
          </w:tcPr>
          <w:p w14:paraId="20C2AA10"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22.13±7.455</w:t>
            </w:r>
          </w:p>
          <w:p w14:paraId="6702E0D5"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18.51±5.883</w:t>
            </w:r>
          </w:p>
        </w:tc>
      </w:tr>
      <w:tr w:rsidR="00747C4D" w:rsidRPr="00747C4D" w14:paraId="25D7CDE9" w14:textId="77777777" w:rsidTr="00747C4D">
        <w:trPr>
          <w:trHeight w:val="70"/>
          <w:jc w:val="center"/>
        </w:trPr>
        <w:tc>
          <w:tcPr>
            <w:tcW w:w="2238" w:type="dxa"/>
            <w:tcBorders>
              <w:left w:val="nil"/>
              <w:right w:val="nil"/>
            </w:tcBorders>
            <w:vAlign w:val="center"/>
          </w:tcPr>
          <w:p w14:paraId="4188F7E2" w14:textId="77777777" w:rsidR="00747C4D" w:rsidRPr="00747C4D" w:rsidRDefault="00747C4D" w:rsidP="001D6C2F">
            <w:pPr>
              <w:spacing w:line="360" w:lineRule="auto"/>
              <w:rPr>
                <w:rFonts w:ascii="Arial" w:hAnsi="Arial" w:cs="Arial"/>
                <w:b/>
                <w:bCs/>
                <w:color w:val="000000" w:themeColor="text1"/>
                <w:sz w:val="20"/>
                <w:szCs w:val="20"/>
              </w:rPr>
            </w:pPr>
            <w:r w:rsidRPr="00747C4D">
              <w:rPr>
                <w:rFonts w:ascii="Arial" w:hAnsi="Arial" w:cs="Arial"/>
                <w:b/>
                <w:bCs/>
                <w:color w:val="000000" w:themeColor="text1"/>
                <w:sz w:val="20"/>
                <w:szCs w:val="20"/>
              </w:rPr>
              <w:t>Vergence facility</w:t>
            </w:r>
          </w:p>
        </w:tc>
        <w:tc>
          <w:tcPr>
            <w:tcW w:w="1380" w:type="dxa"/>
            <w:tcBorders>
              <w:left w:val="nil"/>
              <w:right w:val="nil"/>
            </w:tcBorders>
            <w:vAlign w:val="center"/>
          </w:tcPr>
          <w:p w14:paraId="3E9A8320"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6.97±4.122</w:t>
            </w:r>
          </w:p>
        </w:tc>
        <w:tc>
          <w:tcPr>
            <w:tcW w:w="1350" w:type="dxa"/>
            <w:tcBorders>
              <w:left w:val="nil"/>
            </w:tcBorders>
            <w:vAlign w:val="center"/>
          </w:tcPr>
          <w:p w14:paraId="48A53D4A"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eastAsia="Times New Roman" w:hAnsi="Arial" w:cs="Arial"/>
                <w:color w:val="000000"/>
                <w:sz w:val="20"/>
                <w:szCs w:val="20"/>
              </w:rPr>
              <w:t>10.42±3.195</w:t>
            </w:r>
          </w:p>
        </w:tc>
        <w:tc>
          <w:tcPr>
            <w:tcW w:w="1350" w:type="dxa"/>
            <w:tcBorders>
              <w:right w:val="nil"/>
            </w:tcBorders>
            <w:vAlign w:val="center"/>
          </w:tcPr>
          <w:p w14:paraId="062D117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8.65±4.286</w:t>
            </w:r>
          </w:p>
        </w:tc>
        <w:tc>
          <w:tcPr>
            <w:tcW w:w="1350" w:type="dxa"/>
            <w:tcBorders>
              <w:left w:val="nil"/>
              <w:right w:val="nil"/>
            </w:tcBorders>
            <w:vAlign w:val="center"/>
          </w:tcPr>
          <w:p w14:paraId="0A046E1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10.64±2.996</w:t>
            </w:r>
          </w:p>
        </w:tc>
        <w:tc>
          <w:tcPr>
            <w:tcW w:w="1350" w:type="dxa"/>
            <w:tcBorders>
              <w:left w:val="nil"/>
              <w:right w:val="nil"/>
            </w:tcBorders>
            <w:vAlign w:val="center"/>
          </w:tcPr>
          <w:p w14:paraId="6700D42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11.35±3.858</w:t>
            </w:r>
          </w:p>
        </w:tc>
      </w:tr>
    </w:tbl>
    <w:p w14:paraId="63033324" w14:textId="77777777" w:rsidR="00747C4D" w:rsidRPr="00CC543C" w:rsidRDefault="00747C4D" w:rsidP="00CC543C">
      <w:pPr>
        <w:pStyle w:val="Body"/>
        <w:rPr>
          <w:rFonts w:ascii="Arial" w:hAnsi="Arial" w:cs="Arial"/>
        </w:rPr>
      </w:pPr>
    </w:p>
    <w:p w14:paraId="0CCDE192" w14:textId="77777777" w:rsidR="00CC543C" w:rsidRPr="00CC543C" w:rsidRDefault="00CC543C" w:rsidP="00CC543C">
      <w:pPr>
        <w:pStyle w:val="Body"/>
        <w:rPr>
          <w:rFonts w:ascii="Arial" w:hAnsi="Arial" w:cs="Arial"/>
        </w:rPr>
      </w:pPr>
      <w:r w:rsidRPr="00CC543C">
        <w:rPr>
          <w:rFonts w:ascii="Arial" w:hAnsi="Arial" w:cs="Arial"/>
        </w:rPr>
        <w:t xml:space="preserve">Current study was conducted to assess the association between non strabismic binocular vision anomalies and hypermetropia among college students as hypermetropia can exacerbate non- strabismic binocular vision anomalies due the increased accommodative demand, altered binocular vision dynamics and difficulty with near tasks. Students utilized most of their time on study materials mainly included books, articles or digital screen result in increasing demand of near work.  If near work is performed for a prolonged period of time, their accommodation and vergence mechanisms may be subjected to additional strain, which may lead to the development of Non- strabismic binocular vision anomalies. Most of the study related to non-strabismic binocular vision anomalies was conducted on pediatric population only but there is a high requirement of assessing the accommodation and vergence status of adult population also, especially those who had refractive error as the modality of treatment required for uncorrected refractive error with non-strabismic binocular vision anomalies may differ rather than uncorrected refractive error or non-strabismic binocular vision anomalies only. Appropriate correction for refractive error is must if refractive error left unaddressed it impose significant burden on individual and </w:t>
      </w:r>
      <w:proofErr w:type="gramStart"/>
      <w:r w:rsidRPr="00CC543C">
        <w:rPr>
          <w:rFonts w:ascii="Arial" w:hAnsi="Arial" w:cs="Arial"/>
        </w:rPr>
        <w:t>society.[</w:t>
      </w:r>
      <w:proofErr w:type="gramEnd"/>
      <w:r w:rsidRPr="00CC543C">
        <w:rPr>
          <w:rFonts w:ascii="Arial" w:hAnsi="Arial" w:cs="Arial"/>
        </w:rPr>
        <w:t>18, 19]</w:t>
      </w:r>
    </w:p>
    <w:p w14:paraId="51534A52" w14:textId="77777777" w:rsidR="00790ADA" w:rsidRDefault="00CC543C" w:rsidP="00CC543C">
      <w:pPr>
        <w:pStyle w:val="Body"/>
        <w:spacing w:after="0"/>
        <w:rPr>
          <w:rFonts w:ascii="Arial" w:hAnsi="Arial" w:cs="Arial"/>
        </w:rPr>
      </w:pPr>
      <w:r w:rsidRPr="00CC543C">
        <w:rPr>
          <w:rFonts w:ascii="Arial" w:hAnsi="Arial" w:cs="Arial"/>
        </w:rPr>
        <w:t xml:space="preserve">Current study included 47% male which was lesser than 53% female participants. The prevalence of NSBVA was 46.91% in the current study. Similarly, </w:t>
      </w:r>
      <w:proofErr w:type="spellStart"/>
      <w:r w:rsidRPr="00CC543C">
        <w:rPr>
          <w:rFonts w:ascii="Arial" w:hAnsi="Arial" w:cs="Arial"/>
        </w:rPr>
        <w:t>Wajuihian</w:t>
      </w:r>
      <w:proofErr w:type="spellEnd"/>
      <w:r w:rsidRPr="00CC543C">
        <w:rPr>
          <w:rFonts w:ascii="Arial" w:hAnsi="Arial" w:cs="Arial"/>
        </w:rPr>
        <w:t xml:space="preserve"> SO et al (2022) had recruited 37% male and 62% female participants in their study and they found hyperopia among 30% participants. Also 22% hyperopic participants were most symptomatic due to </w:t>
      </w:r>
      <w:proofErr w:type="spellStart"/>
      <w:r w:rsidRPr="00CC543C">
        <w:rPr>
          <w:rFonts w:ascii="Arial" w:hAnsi="Arial" w:cs="Arial"/>
        </w:rPr>
        <w:t>non strabismic</w:t>
      </w:r>
      <w:proofErr w:type="spellEnd"/>
      <w:r w:rsidRPr="00CC543C">
        <w:rPr>
          <w:rFonts w:ascii="Arial" w:hAnsi="Arial" w:cs="Arial"/>
        </w:rPr>
        <w:t xml:space="preserve"> binocular vision </w:t>
      </w:r>
      <w:proofErr w:type="gramStart"/>
      <w:r w:rsidRPr="00CC543C">
        <w:rPr>
          <w:rFonts w:ascii="Arial" w:hAnsi="Arial" w:cs="Arial"/>
        </w:rPr>
        <w:t>anomalies.[</w:t>
      </w:r>
      <w:proofErr w:type="gramEnd"/>
      <w:r w:rsidRPr="00CC543C">
        <w:rPr>
          <w:rFonts w:ascii="Arial" w:hAnsi="Arial" w:cs="Arial"/>
        </w:rPr>
        <w:t xml:space="preserve">20] Study conducted by Cai J et al (2024) showed that 36.71% had eyestrain due to binocular vision anomalies and 08 students reported visual fatigue in the presence of normal binocular visual function may be due to improper correction of Ametropia. Also they reported that the age and refractive status were not associated with </w:t>
      </w:r>
      <w:proofErr w:type="spellStart"/>
      <w:r w:rsidRPr="00CC543C">
        <w:rPr>
          <w:rFonts w:ascii="Arial" w:hAnsi="Arial" w:cs="Arial"/>
        </w:rPr>
        <w:t>non strabismic</w:t>
      </w:r>
      <w:proofErr w:type="spellEnd"/>
      <w:r w:rsidRPr="00CC543C">
        <w:rPr>
          <w:rFonts w:ascii="Arial" w:hAnsi="Arial" w:cs="Arial"/>
        </w:rPr>
        <w:t xml:space="preserve"> binocular vision </w:t>
      </w:r>
      <w:proofErr w:type="gramStart"/>
      <w:r w:rsidRPr="00CC543C">
        <w:rPr>
          <w:rFonts w:ascii="Arial" w:hAnsi="Arial" w:cs="Arial"/>
        </w:rPr>
        <w:t>anomalies.[</w:t>
      </w:r>
      <w:proofErr w:type="gramEnd"/>
      <w:r w:rsidRPr="00CC543C">
        <w:rPr>
          <w:rFonts w:ascii="Arial" w:hAnsi="Arial" w:cs="Arial"/>
        </w:rPr>
        <w:t xml:space="preserve">21] Saif Hassan Alrasheed et al (2023) concluded that refractive error significantly varied with binocular vision disorders.[22] We found that the 31.03% hyperopic participants had accommodative excess participants followed by convergence insufficiency, accommodative excess with convergence insufficiency, convergence excess and accommodative insufficiency. The study conducted by </w:t>
      </w:r>
      <w:proofErr w:type="spellStart"/>
      <w:r w:rsidRPr="00CC543C">
        <w:rPr>
          <w:rFonts w:ascii="Arial" w:hAnsi="Arial" w:cs="Arial"/>
        </w:rPr>
        <w:t>Hussaindeen</w:t>
      </w:r>
      <w:proofErr w:type="spellEnd"/>
      <w:r w:rsidRPr="00CC543C">
        <w:rPr>
          <w:rFonts w:ascii="Arial" w:hAnsi="Arial" w:cs="Arial"/>
        </w:rPr>
        <w:t xml:space="preserve"> JR et al (2015) found the convergence insufficiency as most common non strabismic binocular vision anomalies followed by accommodative </w:t>
      </w:r>
      <w:proofErr w:type="gramStart"/>
      <w:r w:rsidRPr="00CC543C">
        <w:rPr>
          <w:rFonts w:ascii="Arial" w:hAnsi="Arial" w:cs="Arial"/>
        </w:rPr>
        <w:t>Infacility.[</w:t>
      </w:r>
      <w:proofErr w:type="gramEnd"/>
      <w:r w:rsidRPr="00CC543C">
        <w:rPr>
          <w:rFonts w:ascii="Arial" w:hAnsi="Arial" w:cs="Arial"/>
        </w:rPr>
        <w:t xml:space="preserve">23] Sandra Franco (2021) found that the 32% showed binocular vision or accommodative disorders accompanied by refractive error or not. Accommodative insufficiency was the most common disorder followed by convergence </w:t>
      </w:r>
      <w:proofErr w:type="gramStart"/>
      <w:r w:rsidRPr="00CC543C">
        <w:rPr>
          <w:rFonts w:ascii="Arial" w:hAnsi="Arial" w:cs="Arial"/>
        </w:rPr>
        <w:t>insufficiency.[</w:t>
      </w:r>
      <w:proofErr w:type="gramEnd"/>
      <w:r w:rsidRPr="00CC543C">
        <w:rPr>
          <w:rFonts w:ascii="Arial" w:hAnsi="Arial" w:cs="Arial"/>
        </w:rPr>
        <w:t xml:space="preserve">24] About 44.68% of students with non-strabismic binocular vision anomalies had refractive error in the study conducted by Tiwari et al. The result of the previous study implied that non strabismic binocular vision </w:t>
      </w:r>
      <w:r w:rsidRPr="00CC543C">
        <w:rPr>
          <w:rFonts w:ascii="Arial" w:hAnsi="Arial" w:cs="Arial"/>
        </w:rPr>
        <w:lastRenderedPageBreak/>
        <w:t xml:space="preserve">anomalies are highly associated with refractive error. Binocular vision anomalies possess a dynamic etiology and treatment which are triggered by refractive </w:t>
      </w:r>
      <w:proofErr w:type="gramStart"/>
      <w:r w:rsidRPr="00CC543C">
        <w:rPr>
          <w:rFonts w:ascii="Arial" w:hAnsi="Arial" w:cs="Arial"/>
        </w:rPr>
        <w:t>errors.[</w:t>
      </w:r>
      <w:proofErr w:type="gramEnd"/>
      <w:r w:rsidRPr="00CC543C">
        <w:rPr>
          <w:rFonts w:ascii="Arial" w:hAnsi="Arial" w:cs="Arial"/>
        </w:rPr>
        <w:t>25]</w:t>
      </w:r>
    </w:p>
    <w:p w14:paraId="0357130B" w14:textId="77777777" w:rsidR="00F53175" w:rsidRDefault="00F53175" w:rsidP="00441B6F">
      <w:pPr>
        <w:pStyle w:val="ConcHead"/>
        <w:spacing w:after="0"/>
        <w:jc w:val="both"/>
        <w:rPr>
          <w:rFonts w:ascii="Arial" w:hAnsi="Arial" w:cs="Arial"/>
        </w:rPr>
      </w:pPr>
    </w:p>
    <w:p w14:paraId="3E824C0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AADFB7" w14:textId="77777777" w:rsidR="00790ADA" w:rsidRPr="00FB3A86" w:rsidRDefault="00790ADA" w:rsidP="00441B6F">
      <w:pPr>
        <w:pStyle w:val="ConcHead"/>
        <w:spacing w:after="0"/>
        <w:jc w:val="both"/>
        <w:rPr>
          <w:rFonts w:ascii="Arial" w:hAnsi="Arial" w:cs="Arial"/>
        </w:rPr>
      </w:pPr>
    </w:p>
    <w:p w14:paraId="6155340A" w14:textId="77777777" w:rsidR="00790ADA" w:rsidRPr="00FB3A86" w:rsidRDefault="00CC543C" w:rsidP="00441B6F">
      <w:pPr>
        <w:pStyle w:val="Body"/>
        <w:spacing w:after="0"/>
        <w:rPr>
          <w:rFonts w:ascii="Arial" w:hAnsi="Arial" w:cs="Arial"/>
        </w:rPr>
      </w:pPr>
      <w:r w:rsidRPr="00CC543C">
        <w:rPr>
          <w:rFonts w:ascii="Arial" w:hAnsi="Arial" w:cs="Arial"/>
        </w:rPr>
        <w:t xml:space="preserve">Most commonly excessive near work and digital screen usage may contribute to the development of </w:t>
      </w:r>
      <w:proofErr w:type="spellStart"/>
      <w:r w:rsidRPr="00CC543C">
        <w:rPr>
          <w:rFonts w:ascii="Arial" w:hAnsi="Arial" w:cs="Arial"/>
        </w:rPr>
        <w:t>non strabismic</w:t>
      </w:r>
      <w:proofErr w:type="spellEnd"/>
      <w:r w:rsidRPr="00CC543C">
        <w:rPr>
          <w:rFonts w:ascii="Arial" w:hAnsi="Arial" w:cs="Arial"/>
        </w:rPr>
        <w:t xml:space="preserve"> binocular vision anomalies. It is crucial for individual with not only hypermetropia but also myopia and astigmatism to undergone comprehensive binocular vision assessment to detect and address any underlying non strabismic binocular vision anomalies. So that appropriate treatment plan such as vision therapy or corrective lenses can be utilized to help alleviate symptoms and improve binocular vision function ultimately supports the visual and academic well-being of students.</w:t>
      </w:r>
    </w:p>
    <w:p w14:paraId="1CBA4531" w14:textId="77777777" w:rsidR="00315186" w:rsidRPr="00315186" w:rsidRDefault="00315186" w:rsidP="00441B6F"/>
    <w:p w14:paraId="59A8A5D9" w14:textId="77777777" w:rsidR="005C784C" w:rsidRDefault="005C784C" w:rsidP="00441B6F">
      <w:pPr>
        <w:pStyle w:val="ReferHead"/>
        <w:spacing w:after="0"/>
        <w:jc w:val="both"/>
        <w:rPr>
          <w:rFonts w:ascii="Arial" w:hAnsi="Arial" w:cs="Arial"/>
          <w:b w:val="0"/>
          <w:caps w:val="0"/>
          <w:sz w:val="20"/>
        </w:rPr>
      </w:pPr>
    </w:p>
    <w:p w14:paraId="35EF590A"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A37B1FF" w14:textId="77777777" w:rsidR="005C784C" w:rsidRPr="002B685A" w:rsidRDefault="005C784C" w:rsidP="00441B6F">
      <w:pPr>
        <w:pStyle w:val="ReferHead"/>
        <w:spacing w:after="0"/>
        <w:jc w:val="both"/>
        <w:rPr>
          <w:rFonts w:ascii="Arial" w:hAnsi="Arial" w:cs="Arial"/>
          <w:bCs/>
        </w:rPr>
      </w:pPr>
    </w:p>
    <w:p w14:paraId="05B4438E" w14:textId="77777777" w:rsidR="0041027F" w:rsidRPr="00747C4D" w:rsidRDefault="001A29D8" w:rsidP="00441B6F">
      <w:pPr>
        <w:pStyle w:val="ReferHead"/>
        <w:spacing w:after="0"/>
        <w:jc w:val="both"/>
        <w:rPr>
          <w:rFonts w:ascii="Arial" w:hAnsi="Arial" w:cs="Arial"/>
          <w:b w:val="0"/>
          <w:caps w:val="0"/>
          <w:sz w:val="20"/>
        </w:rPr>
      </w:pPr>
      <w:r w:rsidRPr="00747C4D">
        <w:rPr>
          <w:rFonts w:ascii="Arial" w:hAnsi="Arial" w:cs="Arial"/>
          <w:b w:val="0"/>
          <w:caps w:val="0"/>
          <w:sz w:val="20"/>
        </w:rPr>
        <w:t>All authors hereby declare that a</w:t>
      </w:r>
      <w:r w:rsidR="0041027F" w:rsidRPr="00747C4D">
        <w:rPr>
          <w:rFonts w:ascii="Arial" w:hAnsi="Arial" w:cs="Arial"/>
          <w:b w:val="0"/>
          <w:caps w:val="0"/>
          <w:sz w:val="20"/>
        </w:rPr>
        <w:t xml:space="preserve">ll </w:t>
      </w:r>
      <w:r w:rsidR="00F469F0" w:rsidRPr="00747C4D">
        <w:rPr>
          <w:rFonts w:ascii="Arial" w:hAnsi="Arial" w:cs="Arial"/>
          <w:b w:val="0"/>
          <w:caps w:val="0"/>
          <w:sz w:val="20"/>
        </w:rPr>
        <w:t>experiments</w:t>
      </w:r>
      <w:r w:rsidR="0041027F" w:rsidRPr="00747C4D">
        <w:rPr>
          <w:rFonts w:ascii="Arial" w:hAnsi="Arial" w:cs="Arial"/>
          <w:b w:val="0"/>
          <w:caps w:val="0"/>
          <w:sz w:val="20"/>
        </w:rPr>
        <w:t xml:space="preserve"> have been examined</w:t>
      </w:r>
      <w:r w:rsidRPr="00747C4D">
        <w:rPr>
          <w:rFonts w:ascii="Arial" w:hAnsi="Arial" w:cs="Arial"/>
          <w:b w:val="0"/>
          <w:caps w:val="0"/>
          <w:sz w:val="20"/>
        </w:rPr>
        <w:t xml:space="preserve"> and approved</w:t>
      </w:r>
      <w:r w:rsidR="0041027F" w:rsidRPr="00747C4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6F904FBC" w14:textId="77777777" w:rsidR="00860000" w:rsidRDefault="00860000" w:rsidP="00441B6F">
      <w:pPr>
        <w:pStyle w:val="ReferHead"/>
        <w:spacing w:after="0"/>
        <w:jc w:val="both"/>
        <w:rPr>
          <w:rFonts w:ascii="Arial" w:hAnsi="Arial" w:cs="Arial"/>
        </w:rPr>
      </w:pPr>
    </w:p>
    <w:p w14:paraId="0E4FE57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23F8E7" w14:textId="77777777" w:rsidR="00790ADA" w:rsidRPr="00FB3A86" w:rsidRDefault="00790ADA" w:rsidP="00441B6F">
      <w:pPr>
        <w:pStyle w:val="ReferHead"/>
        <w:spacing w:after="0"/>
        <w:jc w:val="both"/>
        <w:rPr>
          <w:rFonts w:ascii="Arial" w:hAnsi="Arial" w:cs="Arial"/>
        </w:rPr>
      </w:pPr>
    </w:p>
    <w:p w14:paraId="41107F7F" w14:textId="77777777" w:rsidR="00CC543C" w:rsidRDefault="00CC543C" w:rsidP="00CC543C">
      <w:pPr>
        <w:pStyle w:val="Body"/>
      </w:pPr>
      <w:r>
        <w:t xml:space="preserve">1. </w:t>
      </w:r>
      <w:proofErr w:type="spellStart"/>
      <w:r>
        <w:t>Munoli</w:t>
      </w:r>
      <w:proofErr w:type="spellEnd"/>
      <w:r>
        <w:t xml:space="preserve"> K, </w:t>
      </w:r>
      <w:proofErr w:type="spellStart"/>
      <w:r>
        <w:t>Harpanalli</w:t>
      </w:r>
      <w:proofErr w:type="spellEnd"/>
      <w:r>
        <w:t xml:space="preserve"> S, </w:t>
      </w:r>
      <w:proofErr w:type="spellStart"/>
      <w:r>
        <w:t>Chalvadi</w:t>
      </w:r>
      <w:proofErr w:type="spellEnd"/>
      <w:r>
        <w:t xml:space="preserve"> R, </w:t>
      </w:r>
      <w:proofErr w:type="spellStart"/>
      <w:r>
        <w:t>Polisgowdar</w:t>
      </w:r>
      <w:proofErr w:type="spellEnd"/>
      <w:r>
        <w:t xml:space="preserve"> A, Girish B, Vishnu GV. (2024). Prevalence of Refractive Errors Among Children at a Tertiary Care Center in Karnataka: A Cross-Sectional Study. Cureus.16(6</w:t>
      </w:r>
      <w:proofErr w:type="gramStart"/>
      <w:r>
        <w:t>):e</w:t>
      </w:r>
      <w:proofErr w:type="gramEnd"/>
      <w:r>
        <w:t xml:space="preserve">62172. </w:t>
      </w:r>
      <w:r w:rsidR="00451358">
        <w:t>DOI:</w:t>
      </w:r>
      <w:r>
        <w:t xml:space="preserve"> 10.7759/cureus.62172.</w:t>
      </w:r>
    </w:p>
    <w:p w14:paraId="30F81337" w14:textId="77777777" w:rsidR="00CC543C" w:rsidRDefault="00CC543C" w:rsidP="00CC543C">
      <w:pPr>
        <w:pStyle w:val="Body"/>
      </w:pPr>
      <w:r>
        <w:t>2. American Academy of Ophthalmology. (2021). What is Hyperopia? Retrieved from https://www.aao.org/eye-health/diseases/what-is-hyperopia</w:t>
      </w:r>
    </w:p>
    <w:p w14:paraId="3805E3EC" w14:textId="77777777" w:rsidR="00CC543C" w:rsidRDefault="00CC543C" w:rsidP="00CC543C">
      <w:pPr>
        <w:pStyle w:val="Body"/>
      </w:pPr>
      <w:r>
        <w:t xml:space="preserve">3. Jiang X, </w:t>
      </w:r>
      <w:proofErr w:type="spellStart"/>
      <w:r>
        <w:t>Tarczy-Hornoch</w:t>
      </w:r>
      <w:proofErr w:type="spellEnd"/>
      <w:r>
        <w:t xml:space="preserve"> K, </w:t>
      </w:r>
      <w:proofErr w:type="spellStart"/>
      <w:r>
        <w:t>Stram</w:t>
      </w:r>
      <w:proofErr w:type="spellEnd"/>
      <w:r>
        <w:t xml:space="preserve"> D, Katz J, Friedman DS, </w:t>
      </w:r>
      <w:proofErr w:type="spellStart"/>
      <w:r>
        <w:t>Tielsch</w:t>
      </w:r>
      <w:proofErr w:type="spellEnd"/>
      <w:r>
        <w:t xml:space="preserve"> JM et al. (2019) Population-Based Pediatric Eye Disease Study Consortium. Prevalence, Characteristics, and Risk Factors of Moderate or High Hyperopia among Multiethnic Children 6 to 72 Months of Age: A Pooled Analysis of Individual Participant Data. </w:t>
      </w:r>
      <w:r w:rsidR="00451358">
        <w:t>Ophthalmology.126 (</w:t>
      </w:r>
      <w:r>
        <w:t xml:space="preserve">7):989-999. </w:t>
      </w:r>
      <w:r w:rsidR="00451358">
        <w:t xml:space="preserve">DOI: </w:t>
      </w:r>
      <w:r>
        <w:t xml:space="preserve">10.1016/j.ophtha.2019.02.021. </w:t>
      </w:r>
    </w:p>
    <w:p w14:paraId="55059E63" w14:textId="77777777" w:rsidR="00CC543C" w:rsidRDefault="00CC543C" w:rsidP="00CC543C">
      <w:pPr>
        <w:pStyle w:val="Body"/>
      </w:pPr>
      <w:r>
        <w:t xml:space="preserve">4. </w:t>
      </w:r>
      <w:proofErr w:type="spellStart"/>
      <w:r>
        <w:t>Bodack</w:t>
      </w:r>
      <w:proofErr w:type="spellEnd"/>
      <w:r>
        <w:t xml:space="preserve">, M. I., Chung, I., &amp; Krumholtz, I. (2010). An analysis of vision screening data from New York City public schools. Optometry (St. Louis, Mo.). 81(9), 476–484. </w:t>
      </w:r>
      <w:r w:rsidR="00451358">
        <w:t xml:space="preserve">DOI: </w:t>
      </w:r>
      <w:r>
        <w:t>https://doi.org/10.1016/j.optm.2010.05.006</w:t>
      </w:r>
    </w:p>
    <w:p w14:paraId="539A2B02" w14:textId="77777777" w:rsidR="00CC543C" w:rsidRDefault="00CC543C" w:rsidP="00CC543C">
      <w:pPr>
        <w:pStyle w:val="Body"/>
      </w:pPr>
      <w:r>
        <w:t>5. Rosenfield M. (2011). Computer vision syndrome: a review of ocular causes and potential treatments. Ophthalmic &amp; physiological optics: the journal of the British College of Ophthalmic Opticians (Optometrists).</w:t>
      </w:r>
      <w:r w:rsidR="00451358">
        <w:t xml:space="preserve"> </w:t>
      </w:r>
      <w:r>
        <w:t>31(5), 502–515. DOI: https://doi.org/10.1111/j.1475-1313.2011.00834.x</w:t>
      </w:r>
    </w:p>
    <w:p w14:paraId="5C70CCE8" w14:textId="77777777" w:rsidR="00CC543C" w:rsidRDefault="00451358" w:rsidP="00CC543C">
      <w:pPr>
        <w:pStyle w:val="Body"/>
      </w:pPr>
      <w:r>
        <w:t xml:space="preserve">6. </w:t>
      </w:r>
      <w:r w:rsidR="00CC543C">
        <w:t xml:space="preserve">Ciuffreda K. J. </w:t>
      </w:r>
      <w:r>
        <w:t xml:space="preserve">(2002). </w:t>
      </w:r>
      <w:r w:rsidR="00CC543C">
        <w:t xml:space="preserve">The scientific basis for and efficacy of optometric vision therapy in </w:t>
      </w:r>
      <w:proofErr w:type="spellStart"/>
      <w:r w:rsidR="00CC543C">
        <w:t>non strabismic</w:t>
      </w:r>
      <w:proofErr w:type="spellEnd"/>
      <w:r w:rsidR="00CC543C">
        <w:t xml:space="preserve"> accommodative and vergence disorders. Optometry (St. Louis, Mo.). 73(12), 735–762</w:t>
      </w:r>
    </w:p>
    <w:p w14:paraId="6E71D0AC" w14:textId="77777777" w:rsidR="00CC543C" w:rsidRDefault="00451358" w:rsidP="00CC543C">
      <w:pPr>
        <w:pStyle w:val="Body"/>
      </w:pPr>
      <w:r>
        <w:t xml:space="preserve">7. </w:t>
      </w:r>
      <w:r w:rsidR="00CC543C">
        <w:t xml:space="preserve">Cacho-Martínez, P., García-Muñoz, Á., &amp; Ruiz-Cantero, M. T. </w:t>
      </w:r>
      <w:r>
        <w:t xml:space="preserve">(2014). </w:t>
      </w:r>
      <w:r w:rsidR="00CC543C">
        <w:t xml:space="preserve">Is there any evidence for the validity of diagnostic criteria used for accommodative and </w:t>
      </w:r>
      <w:proofErr w:type="spellStart"/>
      <w:r w:rsidR="00CC543C">
        <w:t>non strabismic</w:t>
      </w:r>
      <w:proofErr w:type="spellEnd"/>
      <w:r w:rsidR="00CC543C">
        <w:t xml:space="preserve"> binocular dysfunctions? Journal of optometry. 7(1), 2–21. DOI:</w:t>
      </w:r>
      <w:r>
        <w:t xml:space="preserve"> </w:t>
      </w:r>
      <w:r w:rsidR="00CC543C">
        <w:t>https://doi.org/10.1016/j.optom.2013.01.004</w:t>
      </w:r>
    </w:p>
    <w:p w14:paraId="1F5F4202" w14:textId="77777777" w:rsidR="00CC543C" w:rsidRDefault="00451358" w:rsidP="00CC543C">
      <w:pPr>
        <w:pStyle w:val="Body"/>
      </w:pPr>
      <w:r>
        <w:lastRenderedPageBreak/>
        <w:t xml:space="preserve">8. </w:t>
      </w:r>
      <w:r w:rsidR="00CC543C">
        <w:t xml:space="preserve">Rouse M., </w:t>
      </w:r>
      <w:proofErr w:type="spellStart"/>
      <w:r w:rsidR="00CC543C">
        <w:t>Borsting</w:t>
      </w:r>
      <w:proofErr w:type="spellEnd"/>
      <w:r w:rsidR="00CC543C">
        <w:t xml:space="preserve"> E., Mitchell G. L., Kulp M. T., Scheiman M., Amster D. et al. </w:t>
      </w:r>
      <w:r>
        <w:t xml:space="preserve">(2009). </w:t>
      </w:r>
      <w:r w:rsidR="00CC543C">
        <w:t>Academic behaviors in children with convergence insufficiency with and without parent-reported ADHD. Optometry and vision science: official publication of the American Academy of Optometry. 86(10), 1169–1177. DOI: https://doi.org/10.1097/OPX.0b013e3181baad1</w:t>
      </w:r>
    </w:p>
    <w:p w14:paraId="24741361" w14:textId="77777777" w:rsidR="00CC543C" w:rsidRDefault="00451358" w:rsidP="00CC543C">
      <w:pPr>
        <w:pStyle w:val="Body"/>
      </w:pPr>
      <w:r>
        <w:t xml:space="preserve">9. </w:t>
      </w:r>
      <w:r w:rsidR="00CC543C">
        <w:t>Kulp MT, Ciner E, Maguire M.</w:t>
      </w:r>
      <w:r>
        <w:t xml:space="preserve"> (2016).</w:t>
      </w:r>
      <w:r w:rsidR="00CC543C">
        <w:t xml:space="preserve"> Uncorrected hyperopia and preschool early literacy: results of the Vision in Preschoolers-Hyperopia in Preschoolers (VIP-HIP) Study. Ophthalmology 123(4):681–9.</w:t>
      </w:r>
    </w:p>
    <w:p w14:paraId="1418431D" w14:textId="77777777" w:rsidR="00CC543C" w:rsidRDefault="00451358" w:rsidP="00CC543C">
      <w:pPr>
        <w:pStyle w:val="Body"/>
      </w:pPr>
      <w:r>
        <w:t xml:space="preserve">10. </w:t>
      </w:r>
      <w:proofErr w:type="spellStart"/>
      <w:r w:rsidR="00CC543C">
        <w:t>Borsting</w:t>
      </w:r>
      <w:proofErr w:type="spellEnd"/>
      <w:r w:rsidR="00CC543C">
        <w:t xml:space="preserve"> E., Mitchell G. L., Kulp M. T., Scheiman M., Amster D. M., Cotter S. et al. </w:t>
      </w:r>
      <w:r>
        <w:t xml:space="preserve">(2012). </w:t>
      </w:r>
      <w:r w:rsidR="00CC543C">
        <w:t>Improvement in academic behaviors after successful treatment of convergence insufficiency. Optometry and vision science: official publication of the American Academy of Optometry. 89(1), 12–18. DOI: https://doi.org/10.1097/OPX.0b013e318238ffe3</w:t>
      </w:r>
    </w:p>
    <w:p w14:paraId="01D35EF8" w14:textId="77777777" w:rsidR="00CC543C" w:rsidRDefault="00451358" w:rsidP="00CC543C">
      <w:pPr>
        <w:pStyle w:val="Body"/>
      </w:pPr>
      <w:r>
        <w:t xml:space="preserve">11. </w:t>
      </w:r>
      <w:r w:rsidR="00CC543C">
        <w:t>Gr</w:t>
      </w:r>
      <w:r>
        <w:t xml:space="preserve">isham D., Powers M., &amp; Riles P. (2007). </w:t>
      </w:r>
      <w:r w:rsidR="00CC543C">
        <w:t>Visual skills of poor readers in high scho</w:t>
      </w:r>
      <w:r>
        <w:t xml:space="preserve">ol. Optometry (St. Louis, Mo.). </w:t>
      </w:r>
      <w:r w:rsidR="00CC543C">
        <w:t>78(10), 542–549. DOI: https://doi.org/10.1016/j.optm.2007.02.017</w:t>
      </w:r>
    </w:p>
    <w:p w14:paraId="24EF02BF" w14:textId="77777777" w:rsidR="00CC543C" w:rsidRDefault="00451358" w:rsidP="00CC543C">
      <w:pPr>
        <w:pStyle w:val="Body"/>
      </w:pPr>
      <w:r>
        <w:t xml:space="preserve">12. </w:t>
      </w:r>
      <w:proofErr w:type="spellStart"/>
      <w:r w:rsidR="00CC543C">
        <w:t>Muzaliha</w:t>
      </w:r>
      <w:proofErr w:type="spellEnd"/>
      <w:r w:rsidR="00CC543C">
        <w:t xml:space="preserve"> M. N., </w:t>
      </w:r>
      <w:proofErr w:type="spellStart"/>
      <w:r w:rsidR="00CC543C">
        <w:t>Nurhamiza</w:t>
      </w:r>
      <w:proofErr w:type="spellEnd"/>
      <w:r w:rsidR="00CC543C">
        <w:t xml:space="preserve"> B., Hussein A., </w:t>
      </w:r>
      <w:proofErr w:type="spellStart"/>
      <w:r w:rsidR="00CC543C">
        <w:t>Norabibas</w:t>
      </w:r>
      <w:proofErr w:type="spellEnd"/>
      <w:r w:rsidR="00CC543C">
        <w:t xml:space="preserve"> A. R., </w:t>
      </w:r>
      <w:proofErr w:type="spellStart"/>
      <w:r w:rsidR="00CC543C">
        <w:t>Mohd</w:t>
      </w:r>
      <w:proofErr w:type="spellEnd"/>
      <w:r w:rsidR="00CC543C">
        <w:t>-Hisham-</w:t>
      </w:r>
      <w:proofErr w:type="spellStart"/>
      <w:r w:rsidR="00CC543C">
        <w:t>Basrun</w:t>
      </w:r>
      <w:proofErr w:type="spellEnd"/>
      <w:r w:rsidR="00CC543C">
        <w:t xml:space="preserve"> J., </w:t>
      </w:r>
      <w:proofErr w:type="spellStart"/>
      <w:r w:rsidR="00CC543C">
        <w:t>Sarimah</w:t>
      </w:r>
      <w:proofErr w:type="spellEnd"/>
      <w:r w:rsidR="00CC543C">
        <w:t xml:space="preserve"> A. et al. </w:t>
      </w:r>
      <w:r>
        <w:t xml:space="preserve">(2012). </w:t>
      </w:r>
      <w:r w:rsidR="00CC543C">
        <w:t xml:space="preserve">Visual acuity and visual skills in Malaysian children with learning disabilities. Clinical </w:t>
      </w:r>
      <w:r>
        <w:t xml:space="preserve">ophthalmology (Auckland, N.Z.). 6,1527–1533. </w:t>
      </w:r>
      <w:r w:rsidR="00CC543C">
        <w:t>DOI: https://doi.org/10.2147/OPTH.S33270</w:t>
      </w:r>
    </w:p>
    <w:p w14:paraId="00492B24" w14:textId="77777777" w:rsidR="00CC543C" w:rsidRDefault="00451358" w:rsidP="00CC543C">
      <w:pPr>
        <w:pStyle w:val="Body"/>
      </w:pPr>
      <w:r>
        <w:t xml:space="preserve">13. </w:t>
      </w:r>
      <w:r w:rsidR="00CC543C">
        <w:t>Peter S Dwyer (</w:t>
      </w:r>
      <w:proofErr w:type="spellStart"/>
      <w:r w:rsidR="00CC543C">
        <w:t>Bappsc</w:t>
      </w:r>
      <w:proofErr w:type="spellEnd"/>
      <w:r w:rsidR="00CC543C">
        <w:t xml:space="preserve"> </w:t>
      </w:r>
      <w:proofErr w:type="spellStart"/>
      <w:r w:rsidR="00CC543C">
        <w:t>Losc</w:t>
      </w:r>
      <w:proofErr w:type="spellEnd"/>
      <w:r w:rsidR="00CC543C">
        <w:t xml:space="preserve"> </w:t>
      </w:r>
      <w:proofErr w:type="spellStart"/>
      <w:r w:rsidR="00CC543C">
        <w:t>Fa</w:t>
      </w:r>
      <w:r>
        <w:t>a</w:t>
      </w:r>
      <w:proofErr w:type="spellEnd"/>
      <w:r>
        <w:t>). (1991).</w:t>
      </w:r>
      <w:r w:rsidR="00CC543C">
        <w:t xml:space="preserve"> Clinical criteria for vergence accommodation dysfunction, Clinical and Experimental Optometry. </w:t>
      </w:r>
      <w:r>
        <w:t>74(</w:t>
      </w:r>
      <w:r w:rsidR="00CC543C">
        <w:t>4</w:t>
      </w:r>
      <w:r>
        <w:t>)</w:t>
      </w:r>
      <w:r w:rsidR="00CC543C">
        <w:t>, 112-119, DOI: https://www.tandfonline.com/doi/abs/10.1111/j.1444-0938.1991.tb04622.x</w:t>
      </w:r>
    </w:p>
    <w:p w14:paraId="1208AEB7" w14:textId="77777777" w:rsidR="00CC543C" w:rsidRDefault="00CC543C" w:rsidP="00CC543C">
      <w:pPr>
        <w:pStyle w:val="Body"/>
      </w:pPr>
      <w:r>
        <w:t>14.</w:t>
      </w:r>
      <w:r>
        <w:tab/>
        <w:t>Convergence Insufficiency Treatment Trial Study Group.</w:t>
      </w:r>
      <w:r w:rsidR="00B42BE5">
        <w:t xml:space="preserve"> (2008).</w:t>
      </w:r>
      <w:r>
        <w:t xml:space="preserve"> Randomized clinical trial of treatments for symptomatic convergence insufficiency in child</w:t>
      </w:r>
      <w:r w:rsidR="00B42BE5">
        <w:t>ren. Archives of ophthalmology.</w:t>
      </w:r>
      <w:r>
        <w:t>126(10), 1336–1349. DOI: https://doi.org/10.1001/archopht.126.10.1336</w:t>
      </w:r>
    </w:p>
    <w:p w14:paraId="72236384" w14:textId="77777777" w:rsidR="00CC543C" w:rsidRDefault="00451358" w:rsidP="00CC543C">
      <w:pPr>
        <w:pStyle w:val="Body"/>
      </w:pPr>
      <w:r>
        <w:t xml:space="preserve">15. </w:t>
      </w:r>
      <w:proofErr w:type="spellStart"/>
      <w:r w:rsidR="00CC543C">
        <w:t>Hussaindeen</w:t>
      </w:r>
      <w:proofErr w:type="spellEnd"/>
      <w:r w:rsidR="00CC543C">
        <w:t xml:space="preserve"> J. R., Rakshit A., Singh N. K., George R., Swaminathan M., Kapur S., et al. </w:t>
      </w:r>
      <w:r>
        <w:t xml:space="preserve">(2017). </w:t>
      </w:r>
      <w:r w:rsidR="00CC543C">
        <w:t>Prevalence of non-strabismic anomalies of binocular vision in Tamil Nadu: report 2 of BAND study. Cli</w:t>
      </w:r>
      <w:r>
        <w:t xml:space="preserve">nical &amp; experimental optometry. </w:t>
      </w:r>
      <w:r w:rsidR="00CC543C">
        <w:t>100(6), 642–648. DOI:  https://doi.org/10.1111/cxo.12496</w:t>
      </w:r>
    </w:p>
    <w:p w14:paraId="52ADC0A2" w14:textId="77777777" w:rsidR="00CC543C" w:rsidRDefault="00451358" w:rsidP="00CC543C">
      <w:pPr>
        <w:pStyle w:val="Body"/>
      </w:pPr>
      <w:r>
        <w:t xml:space="preserve">16. Jang J. U., &amp; Park I. J. (2015). </w:t>
      </w:r>
      <w:r w:rsidR="00CC543C">
        <w:t>Prevalence of general binocular dysfunctions among rural schoolchildren in South Korea. Taiwan journal of ophthalmology. 5(4), 177–181. DOI: https://doi.org/10.1016/j.tjo.2015.07.005</w:t>
      </w:r>
    </w:p>
    <w:p w14:paraId="6EC3F8AA" w14:textId="77777777" w:rsidR="00CC543C" w:rsidRDefault="00451358" w:rsidP="00CC543C">
      <w:pPr>
        <w:pStyle w:val="Body"/>
      </w:pPr>
      <w:r>
        <w:t xml:space="preserve">17. </w:t>
      </w:r>
      <w:r w:rsidR="00CC543C">
        <w:t xml:space="preserve">Scheiman and Wick (Fourth Edition). Clinical Management of Binocular Vision </w:t>
      </w:r>
      <w:proofErr w:type="spellStart"/>
      <w:r w:rsidR="00CC543C">
        <w:t>Heterophoric</w:t>
      </w:r>
      <w:proofErr w:type="spellEnd"/>
      <w:r w:rsidR="00CC543C">
        <w:t>, Accommodative and Eye movement Disorders. Wolters Kluwer Lippincott Williams and Wilkins (Health).</w:t>
      </w:r>
    </w:p>
    <w:p w14:paraId="6F278E96" w14:textId="77777777" w:rsidR="00CC543C" w:rsidRDefault="00451358" w:rsidP="00CC543C">
      <w:pPr>
        <w:pStyle w:val="Body"/>
      </w:pPr>
      <w:r>
        <w:t xml:space="preserve">18. </w:t>
      </w:r>
      <w:r w:rsidR="00CC543C">
        <w:t>Yadav RK, Rani A, Chander A.</w:t>
      </w:r>
      <w:r>
        <w:t xml:space="preserve"> (2023).</w:t>
      </w:r>
      <w:r w:rsidR="00CC543C">
        <w:t xml:space="preserve"> Spectacle adherence and barriers towards spectacle wear among primary school goi</w:t>
      </w:r>
      <w:r>
        <w:t>ng children. Int J Res Med Sci.</w:t>
      </w:r>
      <w:r w:rsidR="00CC543C">
        <w:t>11:967-70. DOI: https://dx.doi.org/10.18203/2320-6012.ijrms20230582</w:t>
      </w:r>
    </w:p>
    <w:p w14:paraId="5B960202" w14:textId="77777777" w:rsidR="00CC543C" w:rsidRDefault="00451358" w:rsidP="00CC543C">
      <w:pPr>
        <w:pStyle w:val="Body"/>
      </w:pPr>
      <w:r>
        <w:t xml:space="preserve">19. </w:t>
      </w:r>
      <w:r w:rsidR="00CC543C">
        <w:t>Yadav RK, Rani A.</w:t>
      </w:r>
      <w:r>
        <w:t xml:space="preserve"> (2023).</w:t>
      </w:r>
      <w:r w:rsidR="00CC543C">
        <w:t xml:space="preserve"> Routine for cleaning and maintaining spectacle among regular spectacle wearers. Int</w:t>
      </w:r>
      <w:r>
        <w:t xml:space="preserve"> J Community Med Public Health. </w:t>
      </w:r>
      <w:r w:rsidR="00CC543C">
        <w:t>10:231-4. DOI: https://dx.doi.org/10.18203/2394-6040.ijcmph20223549</w:t>
      </w:r>
    </w:p>
    <w:p w14:paraId="24D7E7C3" w14:textId="77777777" w:rsidR="00CC543C" w:rsidRDefault="00451358" w:rsidP="00CC543C">
      <w:pPr>
        <w:pStyle w:val="Body"/>
      </w:pPr>
      <w:r>
        <w:lastRenderedPageBreak/>
        <w:t xml:space="preserve">20. </w:t>
      </w:r>
      <w:proofErr w:type="spellStart"/>
      <w:r w:rsidR="00CC543C">
        <w:t>Wajuihian</w:t>
      </w:r>
      <w:proofErr w:type="spellEnd"/>
      <w:r w:rsidR="00CC543C">
        <w:t>, SO.</w:t>
      </w:r>
      <w:r>
        <w:t xml:space="preserve"> (2022).</w:t>
      </w:r>
      <w:r w:rsidR="00CC543C">
        <w:t xml:space="preserve"> Characterizing Refractive Errors, Near Accommodative and Vergence Anomalies and Symptoms in an Optometry Clinic. Briti</w:t>
      </w:r>
      <w:r>
        <w:t xml:space="preserve">sh and Irish Orthoptic Journal. </w:t>
      </w:r>
      <w:r w:rsidR="00CC543C">
        <w:t>18(1), 76–92. DOI: https://doi. org/10.22599/bioj.267</w:t>
      </w:r>
    </w:p>
    <w:p w14:paraId="09E2DFF0" w14:textId="77777777" w:rsidR="00CC543C" w:rsidRDefault="00467629" w:rsidP="00CC543C">
      <w:pPr>
        <w:pStyle w:val="Body"/>
      </w:pPr>
      <w:r>
        <w:t xml:space="preserve">21. </w:t>
      </w:r>
      <w:r w:rsidR="00CC543C">
        <w:t>Cai J, Fan WW, Zhong YH, Wen CL, Wei XD, Wei WC et al.</w:t>
      </w:r>
      <w:r w:rsidR="00451358">
        <w:t xml:space="preserve"> (2024).</w:t>
      </w:r>
      <w:r w:rsidR="00CC543C">
        <w:t xml:space="preserve"> Frequency and associated factors of accommodation and non-strabismic binocular vision dysfunction among medical university students. Int J </w:t>
      </w:r>
      <w:proofErr w:type="spellStart"/>
      <w:r w:rsidR="00CC543C">
        <w:t>Ophthalmol</w:t>
      </w:r>
      <w:proofErr w:type="spellEnd"/>
      <w:r w:rsidR="00CC543C">
        <w:t xml:space="preserve">. 17(2):374-379. </w:t>
      </w:r>
      <w:r w:rsidR="00451358">
        <w:t xml:space="preserve">DOI: </w:t>
      </w:r>
      <w:r w:rsidR="00CC543C">
        <w:t>10.18240/ijo.2024.02.22.</w:t>
      </w:r>
    </w:p>
    <w:p w14:paraId="5FB5A139" w14:textId="77777777" w:rsidR="00CC543C" w:rsidRDefault="00451358" w:rsidP="00CC543C">
      <w:pPr>
        <w:pStyle w:val="Body"/>
      </w:pPr>
      <w:r>
        <w:t xml:space="preserve">22. </w:t>
      </w:r>
      <w:r w:rsidR="00CC543C">
        <w:t xml:space="preserve">Alrasheed SH, Osman TM, </w:t>
      </w:r>
      <w:proofErr w:type="spellStart"/>
      <w:r w:rsidR="00CC543C">
        <w:t>Aljohani</w:t>
      </w:r>
      <w:proofErr w:type="spellEnd"/>
      <w:r w:rsidR="00CC543C">
        <w:t xml:space="preserve"> S, </w:t>
      </w:r>
      <w:proofErr w:type="spellStart"/>
      <w:r w:rsidR="00CC543C">
        <w:t>Alshammeri</w:t>
      </w:r>
      <w:proofErr w:type="spellEnd"/>
      <w:r w:rsidR="00CC543C">
        <w:t xml:space="preserve"> S. </w:t>
      </w:r>
      <w:r>
        <w:t xml:space="preserve">(2023). </w:t>
      </w:r>
      <w:r w:rsidR="00CC543C">
        <w:t xml:space="preserve">Clinical features of Sudanese patients presenting with binocular vision anomalies: A hospital-based study. J Med Life. 16(8):1251-1257. </w:t>
      </w:r>
      <w:r>
        <w:t>DOI:</w:t>
      </w:r>
      <w:r w:rsidR="00CC543C">
        <w:t xml:space="preserve"> 10.25122/jml-2023-0132.</w:t>
      </w:r>
    </w:p>
    <w:p w14:paraId="55F6F9E6" w14:textId="77777777" w:rsidR="00CC543C" w:rsidRDefault="00451358" w:rsidP="00CC543C">
      <w:pPr>
        <w:pStyle w:val="Body"/>
      </w:pPr>
      <w:r>
        <w:t xml:space="preserve">23. </w:t>
      </w:r>
      <w:proofErr w:type="spellStart"/>
      <w:r w:rsidR="00CC543C">
        <w:t>Hussaindeen</w:t>
      </w:r>
      <w:proofErr w:type="spellEnd"/>
      <w:r w:rsidR="00CC543C">
        <w:t xml:space="preserve"> JR, George R, Swaminathan M, Ramani KK, Kapur S, Scheiman M. </w:t>
      </w:r>
      <w:r>
        <w:t xml:space="preserve">(2015). </w:t>
      </w:r>
      <w:r w:rsidR="00CC543C">
        <w:t xml:space="preserve">Binocular Vision Anomalies and Normative Data (Band) In </w:t>
      </w:r>
      <w:proofErr w:type="spellStart"/>
      <w:r w:rsidR="00CC543C">
        <w:t>Tamilnadu</w:t>
      </w:r>
      <w:proofErr w:type="spellEnd"/>
      <w:r w:rsidR="00CC543C">
        <w:t xml:space="preserve"> – Study Design and Methods. Vision Dev &amp; Rehab</w:t>
      </w:r>
      <w:r>
        <w:t>.</w:t>
      </w:r>
      <w:r w:rsidR="00CC543C">
        <w:t>1(4):260-70.</w:t>
      </w:r>
    </w:p>
    <w:p w14:paraId="7EDDBF7F" w14:textId="77777777" w:rsidR="00CC543C" w:rsidRDefault="00451358" w:rsidP="00CC543C">
      <w:pPr>
        <w:pStyle w:val="Body"/>
      </w:pPr>
      <w:r>
        <w:t xml:space="preserve">24. </w:t>
      </w:r>
      <w:r w:rsidR="00CC543C">
        <w:t xml:space="preserve">Franco S, Moreira A, Fernandes A, Baptista A. </w:t>
      </w:r>
      <w:r>
        <w:t xml:space="preserve">(2022). </w:t>
      </w:r>
      <w:r w:rsidR="00CC543C">
        <w:t xml:space="preserve">Accommodative and binocular vision dysfunctions in a Portuguese clinical population. J </w:t>
      </w:r>
      <w:proofErr w:type="spellStart"/>
      <w:r w:rsidR="00CC543C">
        <w:t>Optom</w:t>
      </w:r>
      <w:proofErr w:type="spellEnd"/>
      <w:r w:rsidR="00CC543C">
        <w:t xml:space="preserve">. 15(4):271-277. </w:t>
      </w:r>
      <w:r>
        <w:t xml:space="preserve">DOI: </w:t>
      </w:r>
      <w:r w:rsidR="00CC543C">
        <w:t>10.1016/j.optom.2021.10.002.</w:t>
      </w:r>
    </w:p>
    <w:p w14:paraId="1C086E44" w14:textId="77777777" w:rsidR="004D4277" w:rsidRPr="008566E6" w:rsidRDefault="00451358" w:rsidP="008566E6">
      <w:pPr>
        <w:pStyle w:val="Body"/>
        <w:spacing w:after="0"/>
        <w:rPr>
          <w:rFonts w:ascii="Arial" w:hAnsi="Arial" w:cs="Arial"/>
        </w:rPr>
        <w:sectPr w:rsidR="004D4277" w:rsidRPr="008566E6" w:rsidSect="003C07A0">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t xml:space="preserve">25. </w:t>
      </w:r>
      <w:r w:rsidR="00CC543C">
        <w:t>Tiwari RP, Barot RK, Sawant V,</w:t>
      </w:r>
      <w:r>
        <w:t xml:space="preserve"> </w:t>
      </w:r>
      <w:proofErr w:type="spellStart"/>
      <w:r>
        <w:t>Wagh</w:t>
      </w:r>
      <w:proofErr w:type="spellEnd"/>
      <w:r>
        <w:t xml:space="preserve"> U, </w:t>
      </w:r>
      <w:proofErr w:type="spellStart"/>
      <w:r>
        <w:t>Maknikar</w:t>
      </w:r>
      <w:proofErr w:type="spellEnd"/>
      <w:r>
        <w:t xml:space="preserve"> B, </w:t>
      </w:r>
      <w:proofErr w:type="spellStart"/>
      <w:r>
        <w:t>Kanetkar</w:t>
      </w:r>
      <w:proofErr w:type="spellEnd"/>
      <w:r>
        <w:t xml:space="preserve"> M.</w:t>
      </w:r>
      <w:r w:rsidRPr="00451358">
        <w:t xml:space="preserve"> </w:t>
      </w:r>
      <w:r>
        <w:t>(2022).</w:t>
      </w:r>
      <w:r w:rsidR="00CC543C">
        <w:t xml:space="preserve"> Clinical Profile of Non Strabismic Binocular Vision Anomalies in MBBS and Nursing Students in a Teaching Hospital: A Cross-sectional </w:t>
      </w:r>
      <w:proofErr w:type="spellStart"/>
      <w:proofErr w:type="gramStart"/>
      <w:r w:rsidR="00CC543C">
        <w:t>Study,J</w:t>
      </w:r>
      <w:proofErr w:type="spellEnd"/>
      <w:proofErr w:type="gramEnd"/>
      <w:r w:rsidR="00CC543C">
        <w:t xml:space="preserve"> Clin of Diagn Res. 16(6), NC19-NC23. </w:t>
      </w:r>
      <w:r>
        <w:t xml:space="preserve">DOI: </w:t>
      </w:r>
      <w:r w:rsidR="00CC543C">
        <w:t>https://www.doi.o</w:t>
      </w:r>
      <w:r w:rsidR="008566E6">
        <w:t>rg/10.7860/JCDR/2022/55946/1647</w:t>
      </w:r>
    </w:p>
    <w:p w14:paraId="0A7AD563" w14:textId="77777777" w:rsidR="00B01FCD" w:rsidRPr="00FB3A86" w:rsidRDefault="00B01FCD" w:rsidP="008566E6">
      <w:pPr>
        <w:pStyle w:val="Appendix"/>
        <w:spacing w:after="0"/>
        <w:jc w:val="both"/>
        <w:rPr>
          <w:rFonts w:ascii="Arial" w:hAnsi="Arial" w:cs="Arial"/>
          <w:b w:val="0"/>
        </w:rPr>
      </w:pPr>
    </w:p>
    <w:sectPr w:rsidR="00B01FCD" w:rsidRPr="00FB3A86" w:rsidSect="003C07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FDB0" w14:textId="77777777" w:rsidR="006324D9" w:rsidRDefault="006324D9" w:rsidP="00C37E61">
      <w:r>
        <w:separator/>
      </w:r>
    </w:p>
  </w:endnote>
  <w:endnote w:type="continuationSeparator" w:id="0">
    <w:p w14:paraId="47DBF381" w14:textId="77777777" w:rsidR="006324D9" w:rsidRDefault="006324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CDA5" w14:textId="77777777" w:rsidR="003C07A0" w:rsidRDefault="003C0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D47C" w14:textId="77777777" w:rsidR="003C07A0" w:rsidRDefault="003C0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693F" w14:textId="77777777" w:rsidR="009E048A" w:rsidRDefault="009E048A">
    <w:pPr>
      <w:pStyle w:val="Footer"/>
      <w:rPr>
        <w:rFonts w:ascii="Arial" w:hAnsi="Arial" w:cs="Arial"/>
        <w:sz w:val="16"/>
      </w:rPr>
    </w:pPr>
  </w:p>
  <w:p w14:paraId="62C5784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CA3B580" w14:textId="77777777" w:rsidR="009E048A" w:rsidRDefault="009E048A">
    <w:pPr>
      <w:pStyle w:val="Footer"/>
      <w:rPr>
        <w:rFonts w:ascii="Arial" w:hAnsi="Arial" w:cs="Arial"/>
        <w:sz w:val="16"/>
      </w:rPr>
    </w:pPr>
  </w:p>
  <w:p w14:paraId="3F76BF7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w:t>
    </w:r>
    <w:bookmarkStart w:id="0" w:name="_GoBack"/>
    <w:r w:rsidRPr="009E048A">
      <w:rPr>
        <w:rFonts w:ascii="Arial" w:hAnsi="Arial" w:cs="Arial"/>
        <w:i/>
        <w:sz w:val="16"/>
      </w:rPr>
      <w:t>@</w:t>
    </w:r>
    <w:bookmarkEnd w:id="0"/>
    <w:r w:rsidRPr="009E048A">
      <w:rPr>
        <w:rFonts w:ascii="Arial" w:hAnsi="Arial" w:cs="Arial"/>
        <w:i/>
        <w:sz w:val="16"/>
      </w:rPr>
      <w:t>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439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08F9C" w14:textId="77777777" w:rsidR="006324D9" w:rsidRDefault="006324D9" w:rsidP="00C37E61">
      <w:r>
        <w:separator/>
      </w:r>
    </w:p>
  </w:footnote>
  <w:footnote w:type="continuationSeparator" w:id="0">
    <w:p w14:paraId="27DAF3B1" w14:textId="77777777" w:rsidR="006324D9" w:rsidRDefault="006324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A760A" w14:textId="668C5A15" w:rsidR="003C07A0" w:rsidRDefault="003C07A0">
    <w:pPr>
      <w:pStyle w:val="Header"/>
    </w:pPr>
    <w:r>
      <w:rPr>
        <w:noProof/>
      </w:rPr>
      <w:pict w14:anchorId="3D9DB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2171" w14:textId="0CF2661B" w:rsidR="003C07A0" w:rsidRDefault="003C07A0">
    <w:pPr>
      <w:pStyle w:val="Header"/>
    </w:pPr>
    <w:r>
      <w:rPr>
        <w:noProof/>
      </w:rPr>
      <w:pict w14:anchorId="19A93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CD9F" w14:textId="798DF5D4" w:rsidR="00296529" w:rsidRPr="00296529" w:rsidRDefault="003C07A0" w:rsidP="00296529">
    <w:pPr>
      <w:ind w:left="2160"/>
      <w:jc w:val="center"/>
      <w:rPr>
        <w:rFonts w:ascii="Times New Roman" w:eastAsia="Calibri" w:hAnsi="Times New Roman"/>
        <w:i/>
        <w:sz w:val="18"/>
        <w:szCs w:val="22"/>
      </w:rPr>
    </w:pPr>
    <w:r>
      <w:rPr>
        <w:noProof/>
      </w:rPr>
      <w:pict w14:anchorId="1D52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9DFA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A73F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3829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AAB5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0CCA5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2BB622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B822B" w14:textId="0FDC72AC" w:rsidR="003C07A0" w:rsidRDefault="003C07A0">
    <w:pPr>
      <w:pStyle w:val="Header"/>
    </w:pPr>
    <w:r>
      <w:rPr>
        <w:noProof/>
      </w:rPr>
      <w:pict w14:anchorId="2D397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338B" w14:textId="747B7871" w:rsidR="003C07A0" w:rsidRDefault="003C07A0">
    <w:pPr>
      <w:pStyle w:val="Header"/>
    </w:pPr>
    <w:r>
      <w:rPr>
        <w:noProof/>
      </w:rPr>
      <w:pict w14:anchorId="5386C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5A4A" w14:textId="21D1032B" w:rsidR="003C07A0" w:rsidRDefault="003C07A0">
    <w:pPr>
      <w:pStyle w:val="Header"/>
    </w:pPr>
    <w:r>
      <w:rPr>
        <w:noProof/>
      </w:rPr>
      <w:pict w14:anchorId="3E6E2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81B07"/>
    <w:rsid w:val="000A0427"/>
    <w:rsid w:val="000A191D"/>
    <w:rsid w:val="000A47FA"/>
    <w:rsid w:val="000A65D3"/>
    <w:rsid w:val="000B1E33"/>
    <w:rsid w:val="000D689F"/>
    <w:rsid w:val="000E7B7B"/>
    <w:rsid w:val="000E7D62"/>
    <w:rsid w:val="00100595"/>
    <w:rsid w:val="00102928"/>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52A"/>
    <w:rsid w:val="002C57D2"/>
    <w:rsid w:val="002E0D56"/>
    <w:rsid w:val="00315186"/>
    <w:rsid w:val="0033343E"/>
    <w:rsid w:val="003512C2"/>
    <w:rsid w:val="00371FB6"/>
    <w:rsid w:val="003763C1"/>
    <w:rsid w:val="00376BBE"/>
    <w:rsid w:val="0039224F"/>
    <w:rsid w:val="003A43A4"/>
    <w:rsid w:val="003A7E18"/>
    <w:rsid w:val="003C07A0"/>
    <w:rsid w:val="003C2204"/>
    <w:rsid w:val="003C4C86"/>
    <w:rsid w:val="003C6258"/>
    <w:rsid w:val="003E0D47"/>
    <w:rsid w:val="003E2904"/>
    <w:rsid w:val="003F0FD4"/>
    <w:rsid w:val="00401927"/>
    <w:rsid w:val="0041027F"/>
    <w:rsid w:val="00412475"/>
    <w:rsid w:val="00423789"/>
    <w:rsid w:val="00440F43"/>
    <w:rsid w:val="00441B6F"/>
    <w:rsid w:val="00446221"/>
    <w:rsid w:val="00450E62"/>
    <w:rsid w:val="00451358"/>
    <w:rsid w:val="004539DB"/>
    <w:rsid w:val="00467629"/>
    <w:rsid w:val="00471A80"/>
    <w:rsid w:val="004D305E"/>
    <w:rsid w:val="004D4277"/>
    <w:rsid w:val="004D7A1B"/>
    <w:rsid w:val="00502516"/>
    <w:rsid w:val="00505F06"/>
    <w:rsid w:val="00506620"/>
    <w:rsid w:val="00506828"/>
    <w:rsid w:val="0053056E"/>
    <w:rsid w:val="00554FDA"/>
    <w:rsid w:val="0056383A"/>
    <w:rsid w:val="005935E9"/>
    <w:rsid w:val="00597953"/>
    <w:rsid w:val="005C784C"/>
    <w:rsid w:val="005D17F6"/>
    <w:rsid w:val="005D5D8D"/>
    <w:rsid w:val="005E5539"/>
    <w:rsid w:val="00602BF5"/>
    <w:rsid w:val="00617FDD"/>
    <w:rsid w:val="006324D9"/>
    <w:rsid w:val="00633614"/>
    <w:rsid w:val="00633F68"/>
    <w:rsid w:val="00636EB2"/>
    <w:rsid w:val="006375B8"/>
    <w:rsid w:val="0064297B"/>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C4D"/>
    <w:rsid w:val="00754C9A"/>
    <w:rsid w:val="0075599A"/>
    <w:rsid w:val="00761D52"/>
    <w:rsid w:val="0077749E"/>
    <w:rsid w:val="00790ADA"/>
    <w:rsid w:val="007D2288"/>
    <w:rsid w:val="007E088F"/>
    <w:rsid w:val="007F7B32"/>
    <w:rsid w:val="00804BC2"/>
    <w:rsid w:val="0081431A"/>
    <w:rsid w:val="0081733C"/>
    <w:rsid w:val="0083216F"/>
    <w:rsid w:val="008566E6"/>
    <w:rsid w:val="00860000"/>
    <w:rsid w:val="00863BD3"/>
    <w:rsid w:val="008641ED"/>
    <w:rsid w:val="00866D66"/>
    <w:rsid w:val="008671C6"/>
    <w:rsid w:val="00875803"/>
    <w:rsid w:val="008A1C50"/>
    <w:rsid w:val="008B459E"/>
    <w:rsid w:val="008E13AE"/>
    <w:rsid w:val="008E1506"/>
    <w:rsid w:val="008E710C"/>
    <w:rsid w:val="008F69D6"/>
    <w:rsid w:val="00902823"/>
    <w:rsid w:val="00915CA6"/>
    <w:rsid w:val="00927834"/>
    <w:rsid w:val="009435DB"/>
    <w:rsid w:val="009500A6"/>
    <w:rsid w:val="00957C18"/>
    <w:rsid w:val="009659BA"/>
    <w:rsid w:val="00983040"/>
    <w:rsid w:val="009B3FB9"/>
    <w:rsid w:val="009C2465"/>
    <w:rsid w:val="009C2BB7"/>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2BE5"/>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543C"/>
    <w:rsid w:val="00CD6755"/>
    <w:rsid w:val="00CD6856"/>
    <w:rsid w:val="00CE0089"/>
    <w:rsid w:val="00CE793C"/>
    <w:rsid w:val="00CF193C"/>
    <w:rsid w:val="00D173F1"/>
    <w:rsid w:val="00D74CB0"/>
    <w:rsid w:val="00D8295D"/>
    <w:rsid w:val="00D92121"/>
    <w:rsid w:val="00D953C7"/>
    <w:rsid w:val="00DC2A65"/>
    <w:rsid w:val="00DE15F0"/>
    <w:rsid w:val="00DE5663"/>
    <w:rsid w:val="00DE6648"/>
    <w:rsid w:val="00DE78AA"/>
    <w:rsid w:val="00E053D0"/>
    <w:rsid w:val="00E15994"/>
    <w:rsid w:val="00E3114E"/>
    <w:rsid w:val="00E31A70"/>
    <w:rsid w:val="00E35B02"/>
    <w:rsid w:val="00E66496"/>
    <w:rsid w:val="00E66B35"/>
    <w:rsid w:val="00E66E10"/>
    <w:rsid w:val="00E769F6"/>
    <w:rsid w:val="00E8407C"/>
    <w:rsid w:val="00E84F3C"/>
    <w:rsid w:val="00EA012C"/>
    <w:rsid w:val="00EA4AE2"/>
    <w:rsid w:val="00EC5D00"/>
    <w:rsid w:val="00EC6A55"/>
    <w:rsid w:val="00ED0288"/>
    <w:rsid w:val="00EE52CB"/>
    <w:rsid w:val="00EF581D"/>
    <w:rsid w:val="00EF7FD8"/>
    <w:rsid w:val="00F06F59"/>
    <w:rsid w:val="00F17988"/>
    <w:rsid w:val="00F469F0"/>
    <w:rsid w:val="00F53175"/>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834D5A"/>
  <w15:docId w15:val="{890308B8-C1B9-48B5-B611-FF16B831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character" w:styleId="UnresolvedMention">
    <w:name w:val="Unresolved Mention"/>
    <w:basedOn w:val="DefaultParagraphFont"/>
    <w:uiPriority w:val="99"/>
    <w:semiHidden/>
    <w:unhideWhenUsed/>
    <w:rsid w:val="003E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AACE-7601-44CC-873C-D0D6A7B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8</Pages>
  <Words>3381</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2025-04-15T10:58:00Z</dcterms:created>
  <dcterms:modified xsi:type="dcterms:W3CDTF">2025-04-16T05:07:00Z</dcterms:modified>
</cp:coreProperties>
</file>