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B8988" w14:textId="2A3CDC51" w:rsidR="00EB00FE" w:rsidRPr="00EB00FE" w:rsidRDefault="00EB00FE" w:rsidP="00EB00FE">
      <w:pPr>
        <w:pStyle w:val="Author"/>
        <w:spacing w:line="240" w:lineRule="auto"/>
        <w:jc w:val="left"/>
        <w:rPr>
          <w:rFonts w:ascii="Arial" w:hAnsi="Arial" w:cs="Arial"/>
          <w:bCs/>
          <w:i/>
          <w:kern w:val="28"/>
          <w:sz w:val="28"/>
          <w:szCs w:val="16"/>
          <w:u w:val="single"/>
        </w:rPr>
      </w:pPr>
      <w:r w:rsidRPr="00EB00FE">
        <w:rPr>
          <w:rFonts w:ascii="Arial" w:hAnsi="Arial" w:cs="Arial"/>
          <w:bCs/>
          <w:i/>
          <w:kern w:val="28"/>
          <w:sz w:val="28"/>
          <w:szCs w:val="16"/>
          <w:u w:val="single"/>
        </w:rPr>
        <w:t>Original Research Article</w:t>
      </w:r>
    </w:p>
    <w:p w14:paraId="22286BBE" w14:textId="77777777" w:rsidR="00051FB2" w:rsidRDefault="00051FB2" w:rsidP="007009B3">
      <w:pPr>
        <w:pStyle w:val="Author"/>
        <w:spacing w:line="240" w:lineRule="auto"/>
        <w:rPr>
          <w:rFonts w:ascii="Arial" w:hAnsi="Arial" w:cs="Arial"/>
          <w:bCs/>
          <w:iCs/>
          <w:kern w:val="28"/>
          <w:sz w:val="36"/>
        </w:rPr>
      </w:pPr>
    </w:p>
    <w:p w14:paraId="24C49CBF" w14:textId="3A030D77" w:rsidR="007009B3" w:rsidRDefault="007009B3" w:rsidP="007009B3">
      <w:pPr>
        <w:pStyle w:val="Author"/>
        <w:spacing w:line="240" w:lineRule="auto"/>
        <w:rPr>
          <w:rFonts w:ascii="Arial" w:hAnsi="Arial" w:cs="Arial"/>
          <w:bCs/>
          <w:iCs/>
          <w:kern w:val="28"/>
          <w:sz w:val="36"/>
        </w:rPr>
      </w:pPr>
      <w:r>
        <w:rPr>
          <w:rFonts w:ascii="Arial" w:hAnsi="Arial" w:cs="Arial"/>
          <w:bCs/>
          <w:iCs/>
          <w:kern w:val="28"/>
          <w:sz w:val="36"/>
        </w:rPr>
        <w:t xml:space="preserve">By-product Utilization of Industrially Underutilized Cocoa Mucilage Through Wine Fermentation </w:t>
      </w:r>
    </w:p>
    <w:p w14:paraId="1794775E" w14:textId="77777777" w:rsidR="007009B3" w:rsidRDefault="007009B3" w:rsidP="007009B3">
      <w:pPr>
        <w:pStyle w:val="Author"/>
        <w:spacing w:line="240" w:lineRule="auto"/>
        <w:rPr>
          <w:rFonts w:ascii="Arial" w:hAnsi="Arial" w:cs="Arial"/>
          <w:bCs/>
          <w:iCs/>
          <w:kern w:val="28"/>
          <w:sz w:val="36"/>
        </w:rPr>
      </w:pPr>
    </w:p>
    <w:p w14:paraId="3125AFDE" w14:textId="77777777" w:rsidR="003952FF" w:rsidRDefault="003952FF" w:rsidP="007009B3">
      <w:pPr>
        <w:pStyle w:val="Affiliation"/>
        <w:spacing w:after="0" w:line="240" w:lineRule="auto"/>
        <w:rPr>
          <w:rFonts w:ascii="Arial" w:hAnsi="Arial" w:cs="Arial"/>
          <w:i/>
        </w:rPr>
      </w:pPr>
    </w:p>
    <w:p w14:paraId="0615560F" w14:textId="77777777" w:rsidR="007009B3" w:rsidRPr="00163BC4" w:rsidRDefault="007009B3" w:rsidP="007009B3">
      <w:pPr>
        <w:pStyle w:val="Author"/>
        <w:spacing w:line="240" w:lineRule="auto"/>
        <w:rPr>
          <w:rFonts w:ascii="Arial" w:hAnsi="Arial" w:cs="Arial"/>
          <w:bCs/>
          <w:iCs/>
          <w:kern w:val="28"/>
          <w:sz w:val="36"/>
        </w:rPr>
      </w:pPr>
    </w:p>
    <w:p w14:paraId="25BE017D" w14:textId="3A902390" w:rsidR="007009B3" w:rsidRDefault="007009B3" w:rsidP="007009B3">
      <w:pPr>
        <w:spacing w:line="360" w:lineRule="auto"/>
        <w:rPr>
          <w:rFonts w:ascii="Arial" w:hAnsi="Arial" w:cs="Arial"/>
          <w:b/>
          <w:bCs/>
          <w:sz w:val="24"/>
          <w:szCs w:val="24"/>
        </w:rPr>
      </w:pPr>
      <w:r w:rsidRPr="009D4EC5">
        <w:rPr>
          <w:rFonts w:ascii="Arial" w:hAnsi="Arial" w:cs="Arial"/>
          <w:b/>
          <w:bCs/>
        </w:rPr>
        <w:t>ABSTRACT</w:t>
      </w:r>
      <w:r w:rsidRPr="009D4EC5">
        <w:rPr>
          <w:rFonts w:ascii="Arial" w:hAnsi="Arial" w:cs="Arial"/>
          <w:b/>
          <w:bCs/>
          <w:sz w:val="24"/>
          <w:szCs w:val="24"/>
        </w:rPr>
        <w:t xml:space="preserve"> </w:t>
      </w:r>
    </w:p>
    <w:p w14:paraId="687A2692" w14:textId="77777777" w:rsidR="004B580B" w:rsidRPr="004B580B" w:rsidRDefault="00ED38F6" w:rsidP="004B580B">
      <w:pPr>
        <w:spacing w:line="360" w:lineRule="auto"/>
        <w:jc w:val="both"/>
        <w:rPr>
          <w:rFonts w:ascii="Arial" w:hAnsi="Arial" w:cs="Arial"/>
          <w:sz w:val="20"/>
          <w:szCs w:val="20"/>
        </w:rPr>
      </w:pPr>
      <w:r>
        <w:rPr>
          <w:rFonts w:ascii="Arial" w:hAnsi="Arial" w:cs="Arial"/>
          <w:sz w:val="20"/>
          <w:szCs w:val="20"/>
        </w:rPr>
        <w:pict w14:anchorId="43928EB9">
          <v:rect id="_x0000_i1025" style="width:0;height:1.5pt" o:hralign="center" o:hrstd="t" o:hr="t" fillcolor="#a0a0a0" stroked="f"/>
        </w:pict>
      </w:r>
    </w:p>
    <w:p w14:paraId="3126A74D" w14:textId="61FAD248" w:rsidR="004B580B" w:rsidRPr="004B580B" w:rsidRDefault="004B580B" w:rsidP="004B580B">
      <w:pPr>
        <w:spacing w:line="360" w:lineRule="auto"/>
        <w:jc w:val="both"/>
        <w:rPr>
          <w:rFonts w:ascii="Arial" w:hAnsi="Arial" w:cs="Arial"/>
          <w:sz w:val="20"/>
          <w:szCs w:val="20"/>
        </w:rPr>
      </w:pPr>
      <w:r w:rsidRPr="004B580B">
        <w:rPr>
          <w:rFonts w:ascii="Arial" w:hAnsi="Arial" w:cs="Arial"/>
          <w:sz w:val="20"/>
          <w:szCs w:val="20"/>
        </w:rPr>
        <w:t>Cocoa (</w:t>
      </w:r>
      <w:r w:rsidRPr="004B580B">
        <w:rPr>
          <w:rFonts w:ascii="Arial" w:hAnsi="Arial" w:cs="Arial"/>
          <w:i/>
          <w:iCs/>
          <w:sz w:val="20"/>
          <w:szCs w:val="20"/>
        </w:rPr>
        <w:t>Theobroma cacao L.</w:t>
      </w:r>
      <w:r w:rsidRPr="004B580B">
        <w:rPr>
          <w:rFonts w:ascii="Arial" w:hAnsi="Arial" w:cs="Arial"/>
          <w:sz w:val="20"/>
          <w:szCs w:val="20"/>
        </w:rPr>
        <w:t>), native to the Amazon basin, was introduced to India in the early 20th century and is now classified as a plantation crop, like coffee, tea, and rubber. Its beans are widely used in chocolates, beverages, and confectionery products. As a plantation crop, proper processing and preservation are essential to ensure product availability.</w:t>
      </w:r>
      <w:r>
        <w:rPr>
          <w:rFonts w:ascii="Arial" w:hAnsi="Arial" w:cs="Arial"/>
          <w:sz w:val="20"/>
          <w:szCs w:val="20"/>
        </w:rPr>
        <w:t xml:space="preserve"> </w:t>
      </w:r>
      <w:r w:rsidRPr="004B580B">
        <w:rPr>
          <w:rFonts w:ascii="Arial" w:hAnsi="Arial" w:cs="Arial"/>
          <w:sz w:val="20"/>
          <w:szCs w:val="20"/>
        </w:rPr>
        <w:t>Cocoa pulp is the sweet, white, nutrient-rich mucilage surrounding the beans inside the pod. It contains sugars (glucose, fructose, sucrose), organic acids (mainly citric acid), vitamins (notably ascorbic acid), and minerals such as potassium. Though vital for natural fermentation during cocoa processing, this pulp is often discarded as waste. However, when collected hygienically, it can be used to produce value-added health beverages, like low-alcohol, nutrient-rich wine, offering farmers better resource utilization and income.</w:t>
      </w:r>
      <w:r>
        <w:rPr>
          <w:rFonts w:ascii="Arial" w:hAnsi="Arial" w:cs="Arial"/>
          <w:sz w:val="20"/>
          <w:szCs w:val="20"/>
        </w:rPr>
        <w:t xml:space="preserve"> </w:t>
      </w:r>
      <w:r w:rsidRPr="004B580B">
        <w:rPr>
          <w:rFonts w:ascii="Arial" w:hAnsi="Arial" w:cs="Arial"/>
          <w:sz w:val="20"/>
          <w:szCs w:val="20"/>
        </w:rPr>
        <w:t xml:space="preserve">This study focused on the basic physicochemical properties of cocoa mucilage and wine </w:t>
      </w:r>
      <w:r>
        <w:rPr>
          <w:rFonts w:ascii="Arial" w:hAnsi="Arial" w:cs="Arial"/>
          <w:sz w:val="20"/>
          <w:szCs w:val="20"/>
        </w:rPr>
        <w:t>during</w:t>
      </w:r>
      <w:r w:rsidRPr="004B580B">
        <w:rPr>
          <w:rFonts w:ascii="Arial" w:hAnsi="Arial" w:cs="Arial"/>
          <w:sz w:val="20"/>
          <w:szCs w:val="20"/>
        </w:rPr>
        <w:t xml:space="preserve"> fermentation. Parameters such as total soluble solids (TSS), pH, acidity, antioxidant activity (DPPH), total phenolic content (TPC), ascorbic acid, reducing sugars, and </w:t>
      </w:r>
      <w:proofErr w:type="spellStart"/>
      <w:r w:rsidRPr="004B580B">
        <w:rPr>
          <w:rFonts w:ascii="Arial" w:hAnsi="Arial" w:cs="Arial"/>
          <w:sz w:val="20"/>
          <w:szCs w:val="20"/>
        </w:rPr>
        <w:t>color</w:t>
      </w:r>
      <w:proofErr w:type="spellEnd"/>
      <w:r w:rsidRPr="004B580B">
        <w:rPr>
          <w:rFonts w:ascii="Arial" w:hAnsi="Arial" w:cs="Arial"/>
          <w:sz w:val="20"/>
          <w:szCs w:val="20"/>
        </w:rPr>
        <w:t xml:space="preserve"> were </w:t>
      </w:r>
      <w:proofErr w:type="spellStart"/>
      <w:r w:rsidRPr="004B580B">
        <w:rPr>
          <w:rFonts w:ascii="Arial" w:hAnsi="Arial" w:cs="Arial"/>
          <w:sz w:val="20"/>
          <w:szCs w:val="20"/>
        </w:rPr>
        <w:t>analyzed</w:t>
      </w:r>
      <w:proofErr w:type="spellEnd"/>
      <w:r w:rsidRPr="004B580B">
        <w:rPr>
          <w:rFonts w:ascii="Arial" w:hAnsi="Arial" w:cs="Arial"/>
          <w:sz w:val="20"/>
          <w:szCs w:val="20"/>
        </w:rPr>
        <w:t>. These properties help in understanding the biochemical changes occurring during wine fermentation.</w:t>
      </w:r>
      <w:r>
        <w:rPr>
          <w:rFonts w:ascii="Arial" w:hAnsi="Arial" w:cs="Arial"/>
          <w:sz w:val="20"/>
          <w:szCs w:val="20"/>
        </w:rPr>
        <w:t xml:space="preserve"> </w:t>
      </w:r>
      <w:r w:rsidRPr="004B580B">
        <w:rPr>
          <w:rFonts w:ascii="Arial" w:hAnsi="Arial" w:cs="Arial"/>
          <w:sz w:val="20"/>
          <w:szCs w:val="20"/>
        </w:rPr>
        <w:t>The physicochemical properties of cocoa mucilage wine like Total phenolic content (TPC), Total soluble solids (TSS), Reducing sugar and DPPH scavenging activity tends to increase compared to that of cocoa mucilage.</w:t>
      </w:r>
      <w:r>
        <w:rPr>
          <w:rFonts w:ascii="Arial" w:hAnsi="Arial" w:cs="Arial"/>
          <w:sz w:val="20"/>
          <w:szCs w:val="20"/>
        </w:rPr>
        <w:t>, w</w:t>
      </w:r>
      <w:r w:rsidRPr="004B580B">
        <w:rPr>
          <w:rFonts w:ascii="Arial" w:hAnsi="Arial" w:cs="Arial"/>
          <w:sz w:val="20"/>
          <w:szCs w:val="20"/>
        </w:rPr>
        <w:t>hereas pH, acidity and ascorbic acid showed a decreasing trend for wine compared to that of its mucilage.</w:t>
      </w:r>
      <w:r>
        <w:rPr>
          <w:rFonts w:ascii="Arial" w:hAnsi="Arial" w:cs="Arial"/>
          <w:sz w:val="20"/>
          <w:szCs w:val="20"/>
        </w:rPr>
        <w:t xml:space="preserve"> </w:t>
      </w:r>
      <w:r w:rsidRPr="004B580B">
        <w:rPr>
          <w:rFonts w:ascii="Arial" w:hAnsi="Arial" w:cs="Arial"/>
          <w:sz w:val="20"/>
          <w:szCs w:val="20"/>
        </w:rPr>
        <w:t xml:space="preserve">These properties highlight its significant potential as a </w:t>
      </w:r>
      <w:r>
        <w:rPr>
          <w:rFonts w:ascii="Arial" w:hAnsi="Arial" w:cs="Arial"/>
          <w:sz w:val="20"/>
          <w:szCs w:val="20"/>
        </w:rPr>
        <w:t>nutrient rich health drink from industrially underutilized cocoa mucilage</w:t>
      </w:r>
      <w:r w:rsidRPr="004B580B">
        <w:rPr>
          <w:rFonts w:ascii="Arial" w:hAnsi="Arial" w:cs="Arial"/>
          <w:sz w:val="20"/>
          <w:szCs w:val="20"/>
        </w:rPr>
        <w:t>.</w:t>
      </w:r>
      <w:r w:rsidR="00AA2617">
        <w:rPr>
          <w:rFonts w:ascii="Arial" w:hAnsi="Arial" w:cs="Arial"/>
          <w:sz w:val="20"/>
          <w:szCs w:val="20"/>
        </w:rPr>
        <w:t xml:space="preserve"> </w:t>
      </w:r>
      <w:r w:rsidR="00AA2617" w:rsidRPr="00AA2617">
        <w:rPr>
          <w:rFonts w:ascii="Arial" w:hAnsi="Arial" w:cs="Arial"/>
          <w:sz w:val="20"/>
          <w:szCs w:val="20"/>
        </w:rPr>
        <w:t>Therefore, it can be concluded that cocoa bean mucilage can be used for alcoholic beverage fermentation, contributing to diversifying processing products and increasing the application potentials for cocoa.</w:t>
      </w:r>
    </w:p>
    <w:p w14:paraId="50552583" w14:textId="1B103986" w:rsidR="00960D4F" w:rsidRDefault="00960D4F" w:rsidP="00960D4F">
      <w:pPr>
        <w:spacing w:line="360" w:lineRule="auto"/>
        <w:jc w:val="both"/>
        <w:rPr>
          <w:rFonts w:ascii="Arial" w:hAnsi="Arial" w:cs="Arial"/>
          <w:i/>
          <w:iCs/>
          <w:sz w:val="20"/>
          <w:szCs w:val="20"/>
        </w:rPr>
      </w:pPr>
      <w:r w:rsidRPr="009D4EC5">
        <w:rPr>
          <w:rFonts w:ascii="Arial" w:hAnsi="Arial" w:cs="Arial"/>
          <w:i/>
          <w:iCs/>
          <w:sz w:val="20"/>
          <w:szCs w:val="20"/>
        </w:rPr>
        <w:t xml:space="preserve">Keywords: </w:t>
      </w:r>
      <w:r>
        <w:rPr>
          <w:rFonts w:ascii="Arial" w:hAnsi="Arial" w:cs="Arial"/>
          <w:i/>
          <w:iCs/>
          <w:sz w:val="20"/>
          <w:szCs w:val="20"/>
        </w:rPr>
        <w:t xml:space="preserve">Cocoa mucilage, Cocoa wine, Fermentation, </w:t>
      </w:r>
      <w:r w:rsidRPr="009D4EC5">
        <w:rPr>
          <w:rFonts w:ascii="Arial" w:hAnsi="Arial" w:cs="Arial"/>
          <w:i/>
          <w:iCs/>
          <w:sz w:val="20"/>
          <w:szCs w:val="20"/>
        </w:rPr>
        <w:t>Physiochemical properties</w:t>
      </w:r>
    </w:p>
    <w:p w14:paraId="0A25591B" w14:textId="77777777" w:rsidR="0086231D" w:rsidRDefault="0086231D" w:rsidP="00960D4F">
      <w:pPr>
        <w:spacing w:line="360" w:lineRule="auto"/>
        <w:jc w:val="both"/>
        <w:rPr>
          <w:rFonts w:ascii="Arial" w:hAnsi="Arial" w:cs="Arial"/>
          <w:i/>
          <w:iCs/>
          <w:sz w:val="20"/>
          <w:szCs w:val="20"/>
        </w:rPr>
      </w:pPr>
    </w:p>
    <w:p w14:paraId="53CDEE9D" w14:textId="77777777" w:rsidR="00F054ED" w:rsidRPr="007009B3" w:rsidRDefault="00F054ED" w:rsidP="00A10668">
      <w:pPr>
        <w:jc w:val="both"/>
        <w:rPr>
          <w:rFonts w:ascii="Arial" w:hAnsi="Arial" w:cs="Arial"/>
          <w:b/>
          <w:bCs/>
        </w:rPr>
      </w:pPr>
      <w:r w:rsidRPr="007009B3">
        <w:rPr>
          <w:rFonts w:ascii="Arial" w:hAnsi="Arial" w:cs="Arial"/>
          <w:b/>
          <w:bCs/>
        </w:rPr>
        <w:t>1. INTRODUCTION</w:t>
      </w:r>
    </w:p>
    <w:p w14:paraId="36AE4905" w14:textId="56D1DDA7" w:rsidR="007009B3" w:rsidRDefault="00A10668" w:rsidP="003C437E">
      <w:pPr>
        <w:spacing w:line="360" w:lineRule="auto"/>
        <w:jc w:val="both"/>
        <w:rPr>
          <w:rFonts w:ascii="Arial" w:hAnsi="Arial" w:cs="Arial"/>
          <w:sz w:val="20"/>
          <w:szCs w:val="20"/>
        </w:rPr>
      </w:pPr>
      <w:r w:rsidRPr="007009B3">
        <w:rPr>
          <w:rFonts w:ascii="Arial" w:hAnsi="Arial" w:cs="Arial"/>
          <w:sz w:val="20"/>
          <w:szCs w:val="20"/>
        </w:rPr>
        <w:t>Cocoa (</w:t>
      </w:r>
      <w:r w:rsidRPr="009E0387">
        <w:rPr>
          <w:rFonts w:ascii="Arial" w:hAnsi="Arial" w:cs="Arial"/>
          <w:i/>
          <w:iCs/>
          <w:sz w:val="20"/>
          <w:szCs w:val="20"/>
        </w:rPr>
        <w:t>Theobroma cacao</w:t>
      </w:r>
      <w:r w:rsidR="009E0387" w:rsidRPr="009E0387">
        <w:rPr>
          <w:rFonts w:ascii="Arial" w:hAnsi="Arial" w:cs="Arial"/>
          <w:i/>
          <w:iCs/>
          <w:sz w:val="20"/>
          <w:szCs w:val="20"/>
        </w:rPr>
        <w:t xml:space="preserve"> L.</w:t>
      </w:r>
      <w:r w:rsidRPr="007009B3">
        <w:rPr>
          <w:rFonts w:ascii="Arial" w:hAnsi="Arial" w:cs="Arial"/>
          <w:sz w:val="20"/>
          <w:szCs w:val="20"/>
        </w:rPr>
        <w:t xml:space="preserve">) is a highly valued but underutilized tropical tree crop native to Central and South America. It belongs to the </w:t>
      </w:r>
      <w:r w:rsidRPr="004B580B">
        <w:rPr>
          <w:rFonts w:ascii="Arial" w:hAnsi="Arial" w:cs="Arial"/>
          <w:sz w:val="20"/>
          <w:szCs w:val="20"/>
        </w:rPr>
        <w:t xml:space="preserve">family </w:t>
      </w:r>
      <w:proofErr w:type="spellStart"/>
      <w:r w:rsidRPr="004B580B">
        <w:rPr>
          <w:rFonts w:ascii="Arial" w:hAnsi="Arial" w:cs="Arial"/>
          <w:sz w:val="20"/>
          <w:szCs w:val="20"/>
        </w:rPr>
        <w:t>Malvaceae</w:t>
      </w:r>
      <w:proofErr w:type="spellEnd"/>
      <w:r w:rsidRPr="004B580B">
        <w:rPr>
          <w:rFonts w:ascii="Arial" w:hAnsi="Arial" w:cs="Arial"/>
          <w:sz w:val="20"/>
          <w:szCs w:val="20"/>
        </w:rPr>
        <w:t xml:space="preserve">. Commonly known as cacao, cocoa, or chocolate tree, it is widely appreciated for its seeds, which are processed into cocoa powder and chocolate products. Cocoa is rich in phytochemicals, particularly flavonoids, as well as essential minerals and vitamins, contributing to its significant therapeutic potential. Often referred to as a “Food of the Gods,” </w:t>
      </w:r>
      <w:r w:rsidRPr="004B580B">
        <w:rPr>
          <w:rFonts w:ascii="Arial" w:hAnsi="Arial" w:cs="Arial"/>
          <w:sz w:val="20"/>
          <w:szCs w:val="20"/>
        </w:rPr>
        <w:lastRenderedPageBreak/>
        <w:t>cocoa has demonstrated a range of pharmacological effects in animal models, including antioxidant, anti-inflammatory, cardioprotective, neuroprotective, antihypertensive, and antidiabetic properties (</w:t>
      </w:r>
      <w:proofErr w:type="spellStart"/>
      <w:r w:rsidRPr="004B580B">
        <w:rPr>
          <w:rFonts w:ascii="Arial" w:hAnsi="Arial" w:cs="Arial"/>
          <w:sz w:val="20"/>
          <w:szCs w:val="20"/>
        </w:rPr>
        <w:t>Rusconi</w:t>
      </w:r>
      <w:proofErr w:type="spellEnd"/>
      <w:r w:rsidRPr="004B580B">
        <w:rPr>
          <w:rFonts w:ascii="Arial" w:hAnsi="Arial" w:cs="Arial"/>
          <w:sz w:val="20"/>
          <w:szCs w:val="20"/>
        </w:rPr>
        <w:t>, M. and Conti, 2010). Studies</w:t>
      </w:r>
      <w:r w:rsidRPr="007009B3">
        <w:rPr>
          <w:rFonts w:ascii="Arial" w:hAnsi="Arial" w:cs="Arial"/>
          <w:sz w:val="20"/>
          <w:szCs w:val="20"/>
        </w:rPr>
        <w:t xml:space="preserve"> exploring the use of cocoa in managing chronic diseases such as diabetes and cardiovascular disorders have shown promising outcomes (Gonzalez et al., 2022; Sharma, 202</w:t>
      </w:r>
      <w:r w:rsidR="00BA163D">
        <w:rPr>
          <w:rFonts w:ascii="Arial" w:hAnsi="Arial" w:cs="Arial"/>
          <w:sz w:val="20"/>
          <w:szCs w:val="20"/>
        </w:rPr>
        <w:t>4</w:t>
      </w:r>
      <w:r w:rsidRPr="007009B3">
        <w:rPr>
          <w:rFonts w:ascii="Arial" w:hAnsi="Arial" w:cs="Arial"/>
          <w:sz w:val="20"/>
          <w:szCs w:val="20"/>
        </w:rPr>
        <w:t>; Singh</w:t>
      </w:r>
      <w:r w:rsidR="00BA163D">
        <w:rPr>
          <w:rFonts w:ascii="Arial" w:hAnsi="Arial" w:cs="Arial"/>
          <w:sz w:val="20"/>
          <w:szCs w:val="20"/>
        </w:rPr>
        <w:t xml:space="preserve"> et al.</w:t>
      </w:r>
      <w:r w:rsidRPr="007009B3">
        <w:rPr>
          <w:rFonts w:ascii="Arial" w:hAnsi="Arial" w:cs="Arial"/>
          <w:sz w:val="20"/>
          <w:szCs w:val="20"/>
        </w:rPr>
        <w:t xml:space="preserve">, </w:t>
      </w:r>
      <w:r w:rsidR="00BA163D">
        <w:rPr>
          <w:rFonts w:ascii="Arial" w:hAnsi="Arial" w:cs="Arial"/>
          <w:sz w:val="20"/>
          <w:szCs w:val="20"/>
        </w:rPr>
        <w:t>2022</w:t>
      </w:r>
      <w:r w:rsidRPr="007009B3">
        <w:rPr>
          <w:rFonts w:ascii="Arial" w:hAnsi="Arial" w:cs="Arial"/>
          <w:sz w:val="20"/>
          <w:szCs w:val="20"/>
        </w:rPr>
        <w:t>).</w:t>
      </w:r>
    </w:p>
    <w:p w14:paraId="6432314A" w14:textId="79401874" w:rsidR="007009B3" w:rsidRDefault="00A10668" w:rsidP="003C437E">
      <w:pPr>
        <w:spacing w:line="360" w:lineRule="auto"/>
        <w:jc w:val="both"/>
        <w:rPr>
          <w:rFonts w:ascii="Arial" w:hAnsi="Arial" w:cs="Arial"/>
          <w:sz w:val="20"/>
          <w:szCs w:val="20"/>
        </w:rPr>
      </w:pPr>
      <w:r w:rsidRPr="007009B3">
        <w:rPr>
          <w:rFonts w:ascii="Arial" w:hAnsi="Arial" w:cs="Arial"/>
          <w:sz w:val="20"/>
          <w:szCs w:val="20"/>
        </w:rPr>
        <w:t xml:space="preserve">India's favourable tropical climate offers significant potential for cocoa cultivation. In India, Kerala was the leading state in promoting cocoa cultivation. At present, the global production and consumption of cocoa is around 27 lakh MT, compared to this, India’s production is </w:t>
      </w:r>
      <w:proofErr w:type="spellStart"/>
      <w:r w:rsidRPr="007009B3">
        <w:rPr>
          <w:rFonts w:ascii="Arial" w:hAnsi="Arial" w:cs="Arial"/>
          <w:sz w:val="20"/>
          <w:szCs w:val="20"/>
        </w:rPr>
        <w:t>meager</w:t>
      </w:r>
      <w:proofErr w:type="spellEnd"/>
      <w:r w:rsidRPr="007009B3">
        <w:rPr>
          <w:rFonts w:ascii="Arial" w:hAnsi="Arial" w:cs="Arial"/>
          <w:sz w:val="20"/>
          <w:szCs w:val="20"/>
        </w:rPr>
        <w:t xml:space="preserve"> i.e. 10,000 MT (DCCD, 2021). The leading cocoa-producing state </w:t>
      </w:r>
      <w:r w:rsidRPr="004B580B">
        <w:rPr>
          <w:rFonts w:ascii="Arial" w:hAnsi="Arial" w:cs="Arial"/>
          <w:sz w:val="20"/>
          <w:szCs w:val="20"/>
        </w:rPr>
        <w:t xml:space="preserve">is Kerala, followed by Andhra Pradesh, Tamil Nadu, and Karnataka. Cocoa cultivation in India is often integrated with coconut and areca nut plantations, making it a popular crop among smallholder farmers. Prominent cocoa varieties grown in India include VTK 1, CCRP 1, CCRP 2, CCRP 3, and hybrids developed through research initiatives by institutions like CPCRI and the Cocoa Research Centre. From the humid coastal regions of the Western Ghats to parts of the Eastern Ghats, cocoa is cultivated in diverse </w:t>
      </w:r>
      <w:proofErr w:type="spellStart"/>
      <w:r w:rsidRPr="004B580B">
        <w:rPr>
          <w:rFonts w:ascii="Arial" w:hAnsi="Arial" w:cs="Arial"/>
          <w:sz w:val="20"/>
          <w:szCs w:val="20"/>
        </w:rPr>
        <w:t>agro</w:t>
      </w:r>
      <w:proofErr w:type="spellEnd"/>
      <w:r w:rsidRPr="004B580B">
        <w:rPr>
          <w:rFonts w:ascii="Arial" w:hAnsi="Arial" w:cs="Arial"/>
          <w:sz w:val="20"/>
          <w:szCs w:val="20"/>
        </w:rPr>
        <w:t>-climatic zones. Notably, cocoa plants can also tolerate partial shade and moderately acidic soils, making them adaptable to mixed cropping systems and sustainable farming practices (Nair et</w:t>
      </w:r>
      <w:r w:rsidRPr="007009B3">
        <w:rPr>
          <w:rFonts w:ascii="Arial" w:hAnsi="Arial" w:cs="Arial"/>
          <w:sz w:val="20"/>
          <w:szCs w:val="20"/>
        </w:rPr>
        <w:t xml:space="preserve"> al., 2017; </w:t>
      </w:r>
      <w:proofErr w:type="spellStart"/>
      <w:r w:rsidR="00BA163D">
        <w:rPr>
          <w:rFonts w:ascii="Arial" w:hAnsi="Arial" w:cs="Arial"/>
          <w:sz w:val="20"/>
          <w:szCs w:val="20"/>
        </w:rPr>
        <w:t>Maney</w:t>
      </w:r>
      <w:proofErr w:type="spellEnd"/>
      <w:r w:rsidR="00BA163D">
        <w:rPr>
          <w:rFonts w:ascii="Arial" w:hAnsi="Arial" w:cs="Arial"/>
          <w:sz w:val="20"/>
          <w:szCs w:val="20"/>
        </w:rPr>
        <w:t xml:space="preserve"> et al.</w:t>
      </w:r>
      <w:r w:rsidRPr="007009B3">
        <w:rPr>
          <w:rFonts w:ascii="Arial" w:hAnsi="Arial" w:cs="Arial"/>
          <w:sz w:val="20"/>
          <w:szCs w:val="20"/>
        </w:rPr>
        <w:t xml:space="preserve">, </w:t>
      </w:r>
      <w:r w:rsidR="00BA163D">
        <w:rPr>
          <w:rFonts w:ascii="Arial" w:hAnsi="Arial" w:cs="Arial"/>
          <w:sz w:val="20"/>
          <w:szCs w:val="20"/>
        </w:rPr>
        <w:t>2022</w:t>
      </w:r>
      <w:r w:rsidRPr="007009B3">
        <w:rPr>
          <w:rFonts w:ascii="Arial" w:hAnsi="Arial" w:cs="Arial"/>
          <w:sz w:val="20"/>
          <w:szCs w:val="20"/>
        </w:rPr>
        <w:t>).</w:t>
      </w:r>
    </w:p>
    <w:p w14:paraId="614C409B" w14:textId="5FAF8E44" w:rsidR="007009B3" w:rsidRDefault="00A10668" w:rsidP="003C437E">
      <w:pPr>
        <w:spacing w:line="360" w:lineRule="auto"/>
        <w:jc w:val="both"/>
        <w:rPr>
          <w:rFonts w:ascii="Arial" w:hAnsi="Arial" w:cs="Arial"/>
          <w:sz w:val="20"/>
          <w:szCs w:val="20"/>
        </w:rPr>
      </w:pPr>
      <w:r w:rsidRPr="007009B3">
        <w:rPr>
          <w:rFonts w:ascii="Arial" w:hAnsi="Arial" w:cs="Arial"/>
          <w:sz w:val="20"/>
          <w:szCs w:val="20"/>
        </w:rPr>
        <w:t>Cocoa pulp mainly consists of water, sugars (sucrose, fructose, glucose), and organic acids, with citrate being the most dominant. It also contains small amounts of malic, tartaric, and oxalic acids. Potassium is the primary mineral, and ascorbic acid accounts for 97% of its vitamin content (</w:t>
      </w:r>
      <w:proofErr w:type="spellStart"/>
      <w:r w:rsidRPr="007009B3">
        <w:rPr>
          <w:rFonts w:ascii="Arial" w:hAnsi="Arial" w:cs="Arial"/>
          <w:sz w:val="20"/>
          <w:szCs w:val="20"/>
        </w:rPr>
        <w:t>Pettipher</w:t>
      </w:r>
      <w:proofErr w:type="spellEnd"/>
      <w:r w:rsidRPr="007009B3">
        <w:rPr>
          <w:rFonts w:ascii="Arial" w:hAnsi="Arial" w:cs="Arial"/>
          <w:sz w:val="20"/>
          <w:szCs w:val="20"/>
        </w:rPr>
        <w:t>, 1986).</w:t>
      </w:r>
      <w:r w:rsidR="003C437E">
        <w:rPr>
          <w:rFonts w:ascii="Arial" w:hAnsi="Arial" w:cs="Arial"/>
          <w:sz w:val="20"/>
          <w:szCs w:val="20"/>
        </w:rPr>
        <w:t xml:space="preserve"> </w:t>
      </w:r>
      <w:r w:rsidR="00353623" w:rsidRPr="007009B3">
        <w:rPr>
          <w:rFonts w:ascii="Arial" w:hAnsi="Arial" w:cs="Arial"/>
          <w:sz w:val="20"/>
          <w:szCs w:val="20"/>
        </w:rPr>
        <w:t>During chocolate processing, cocoa beans and pulp are fermented, and the nutrient-rich mucilage is usually discarded. However, if collected hygienically, this mucilage can be used to produce value-added health drinks like low-alcohol, nutrient-rich wine, helping farmers increase utilization and earn better returns.</w:t>
      </w:r>
    </w:p>
    <w:p w14:paraId="307E82BA" w14:textId="249223B2" w:rsidR="007009B3" w:rsidRDefault="00353623" w:rsidP="003C437E">
      <w:pPr>
        <w:spacing w:line="360" w:lineRule="auto"/>
        <w:jc w:val="both"/>
        <w:rPr>
          <w:rFonts w:ascii="Arial" w:hAnsi="Arial" w:cs="Arial"/>
          <w:sz w:val="20"/>
          <w:szCs w:val="20"/>
        </w:rPr>
      </w:pPr>
      <w:r w:rsidRPr="007009B3">
        <w:rPr>
          <w:rFonts w:ascii="Arial" w:hAnsi="Arial" w:cs="Arial"/>
          <w:sz w:val="20"/>
          <w:szCs w:val="20"/>
        </w:rPr>
        <w:t xml:space="preserve">Wine production, or </w:t>
      </w:r>
      <w:proofErr w:type="spellStart"/>
      <w:r w:rsidRPr="007009B3">
        <w:rPr>
          <w:rFonts w:ascii="Arial" w:hAnsi="Arial" w:cs="Arial"/>
          <w:sz w:val="20"/>
          <w:szCs w:val="20"/>
        </w:rPr>
        <w:t>vinification</w:t>
      </w:r>
      <w:proofErr w:type="spellEnd"/>
      <w:r w:rsidRPr="007009B3">
        <w:rPr>
          <w:rFonts w:ascii="Arial" w:hAnsi="Arial" w:cs="Arial"/>
          <w:sz w:val="20"/>
          <w:szCs w:val="20"/>
        </w:rPr>
        <w:t xml:space="preserve">, uses biotechnology to convert fruit juice into alcohol, typically with </w:t>
      </w:r>
      <w:r w:rsidRPr="004B580B">
        <w:rPr>
          <w:rFonts w:ascii="Arial" w:hAnsi="Arial" w:cs="Arial"/>
          <w:i/>
          <w:iCs/>
          <w:sz w:val="20"/>
          <w:szCs w:val="20"/>
        </w:rPr>
        <w:t>Saccharomyces</w:t>
      </w:r>
      <w:r w:rsidR="004B580B" w:rsidRPr="004B580B">
        <w:rPr>
          <w:rFonts w:ascii="Arial" w:hAnsi="Arial" w:cs="Arial"/>
          <w:i/>
          <w:iCs/>
          <w:sz w:val="20"/>
          <w:szCs w:val="20"/>
        </w:rPr>
        <w:t xml:space="preserve"> cerevisiae</w:t>
      </w:r>
      <w:r w:rsidRPr="007009B3">
        <w:rPr>
          <w:rFonts w:ascii="Arial" w:hAnsi="Arial" w:cs="Arial"/>
          <w:sz w:val="20"/>
          <w:szCs w:val="20"/>
        </w:rPr>
        <w:t xml:space="preserve"> yeast. Cocoa pulp juice has been successfully used to make products like vinegar, beer, and jelly. Fermenting the mucilage not only creates value-added products but also improves bean quality by reducing acidity. The process involves separating the pulp, fermenting it with </w:t>
      </w:r>
      <w:r w:rsidRPr="007009B3">
        <w:rPr>
          <w:rFonts w:ascii="Arial" w:hAnsi="Arial" w:cs="Arial"/>
          <w:i/>
          <w:iCs/>
          <w:sz w:val="20"/>
          <w:szCs w:val="20"/>
        </w:rPr>
        <w:t>Saccharomyces cerevisiae</w:t>
      </w:r>
      <w:r w:rsidRPr="007009B3">
        <w:rPr>
          <w:rFonts w:ascii="Arial" w:hAnsi="Arial" w:cs="Arial"/>
          <w:sz w:val="20"/>
          <w:szCs w:val="20"/>
        </w:rPr>
        <w:t>, and evaluating the resulting wine’s quality (</w:t>
      </w:r>
      <w:proofErr w:type="spellStart"/>
      <w:r w:rsidRPr="007009B3">
        <w:rPr>
          <w:rFonts w:ascii="Arial" w:hAnsi="Arial" w:cs="Arial"/>
          <w:sz w:val="20"/>
          <w:szCs w:val="20"/>
        </w:rPr>
        <w:t>Ngangonum</w:t>
      </w:r>
      <w:proofErr w:type="spellEnd"/>
      <w:r w:rsidRPr="007009B3">
        <w:rPr>
          <w:rFonts w:ascii="Arial" w:hAnsi="Arial" w:cs="Arial"/>
          <w:sz w:val="20"/>
          <w:szCs w:val="20"/>
        </w:rPr>
        <w:t xml:space="preserve"> et al., 2022).</w:t>
      </w:r>
    </w:p>
    <w:p w14:paraId="22392043" w14:textId="77777777" w:rsidR="007009B3" w:rsidRDefault="00353623" w:rsidP="003C437E">
      <w:pPr>
        <w:spacing w:line="360" w:lineRule="auto"/>
        <w:jc w:val="both"/>
        <w:rPr>
          <w:rFonts w:ascii="Arial" w:hAnsi="Arial" w:cs="Arial"/>
          <w:sz w:val="20"/>
          <w:szCs w:val="20"/>
        </w:rPr>
      </w:pPr>
      <w:r w:rsidRPr="007009B3">
        <w:rPr>
          <w:rFonts w:ascii="Arial" w:hAnsi="Arial" w:cs="Arial"/>
          <w:sz w:val="20"/>
          <w:szCs w:val="20"/>
        </w:rPr>
        <w:t xml:space="preserve">Wine aging, or reductive aging, involves chemical changes that occur after bottling without oxygen. In cocoa pulp wine, aroma and </w:t>
      </w:r>
      <w:proofErr w:type="spellStart"/>
      <w:r w:rsidRPr="007009B3">
        <w:rPr>
          <w:rFonts w:ascii="Arial" w:hAnsi="Arial" w:cs="Arial"/>
          <w:sz w:val="20"/>
          <w:szCs w:val="20"/>
        </w:rPr>
        <w:t>flavor</w:t>
      </w:r>
      <w:proofErr w:type="spellEnd"/>
      <w:r w:rsidRPr="007009B3">
        <w:rPr>
          <w:rFonts w:ascii="Arial" w:hAnsi="Arial" w:cs="Arial"/>
          <w:sz w:val="20"/>
          <w:szCs w:val="20"/>
        </w:rPr>
        <w:t xml:space="preserve"> are key to its quality and market value. Aging enhances these traits by altering phenolic compounds, which affect taste, aroma, and </w:t>
      </w:r>
      <w:proofErr w:type="spellStart"/>
      <w:r w:rsidRPr="007009B3">
        <w:rPr>
          <w:rFonts w:ascii="Arial" w:hAnsi="Arial" w:cs="Arial"/>
          <w:sz w:val="20"/>
          <w:szCs w:val="20"/>
        </w:rPr>
        <w:t>color</w:t>
      </w:r>
      <w:proofErr w:type="spellEnd"/>
      <w:r w:rsidRPr="007009B3">
        <w:rPr>
          <w:rFonts w:ascii="Arial" w:hAnsi="Arial" w:cs="Arial"/>
          <w:sz w:val="20"/>
          <w:szCs w:val="20"/>
        </w:rPr>
        <w:t>. These changes involve reactions like anthocyanin breakdown, tannin interactions, oxidation, and polymerization (</w:t>
      </w:r>
      <w:proofErr w:type="spellStart"/>
      <w:r w:rsidRPr="007009B3">
        <w:rPr>
          <w:rFonts w:ascii="Arial" w:hAnsi="Arial" w:cs="Arial"/>
          <w:sz w:val="20"/>
          <w:szCs w:val="20"/>
        </w:rPr>
        <w:t>Hatice</w:t>
      </w:r>
      <w:proofErr w:type="spellEnd"/>
      <w:r w:rsidRPr="007009B3">
        <w:rPr>
          <w:rFonts w:ascii="Arial" w:hAnsi="Arial" w:cs="Arial"/>
          <w:sz w:val="20"/>
          <w:szCs w:val="20"/>
        </w:rPr>
        <w:t xml:space="preserve"> &amp; </w:t>
      </w:r>
      <w:proofErr w:type="spellStart"/>
      <w:r w:rsidRPr="007009B3">
        <w:rPr>
          <w:rFonts w:ascii="Arial" w:hAnsi="Arial" w:cs="Arial"/>
          <w:sz w:val="20"/>
          <w:szCs w:val="20"/>
        </w:rPr>
        <w:t>Ezgi</w:t>
      </w:r>
      <w:proofErr w:type="spellEnd"/>
      <w:r w:rsidRPr="007009B3">
        <w:rPr>
          <w:rFonts w:ascii="Arial" w:hAnsi="Arial" w:cs="Arial"/>
          <w:sz w:val="20"/>
          <w:szCs w:val="20"/>
        </w:rPr>
        <w:t>, 2017).</w:t>
      </w:r>
    </w:p>
    <w:p w14:paraId="02096095" w14:textId="787E596A" w:rsidR="00353623" w:rsidRPr="007009B3" w:rsidRDefault="00353623" w:rsidP="003C437E">
      <w:pPr>
        <w:spacing w:line="360" w:lineRule="auto"/>
        <w:jc w:val="both"/>
        <w:rPr>
          <w:rFonts w:ascii="Arial" w:hAnsi="Arial" w:cs="Arial"/>
          <w:sz w:val="20"/>
          <w:szCs w:val="20"/>
        </w:rPr>
      </w:pPr>
      <w:r w:rsidRPr="007009B3">
        <w:rPr>
          <w:rFonts w:ascii="Arial" w:hAnsi="Arial" w:cs="Arial"/>
          <w:sz w:val="20"/>
          <w:szCs w:val="20"/>
        </w:rPr>
        <w:t>The objective of the study is to examine the physicochemical properties of cocoa mucilage and wine, with the aim of improving quality and enhancing the post-harvest handling of cocoa fruit and mucilage.</w:t>
      </w:r>
    </w:p>
    <w:p w14:paraId="70D90F9F" w14:textId="4AED30BC" w:rsidR="00353623" w:rsidRPr="007009B3" w:rsidRDefault="00353623" w:rsidP="007009B3">
      <w:pPr>
        <w:spacing w:line="360" w:lineRule="auto"/>
        <w:jc w:val="both"/>
        <w:rPr>
          <w:rFonts w:ascii="Arial" w:hAnsi="Arial" w:cs="Arial"/>
          <w:b/>
          <w:bCs/>
        </w:rPr>
      </w:pPr>
      <w:r w:rsidRPr="007009B3">
        <w:rPr>
          <w:rFonts w:ascii="Arial" w:hAnsi="Arial" w:cs="Arial"/>
          <w:b/>
          <w:bCs/>
        </w:rPr>
        <w:t>2. MATERIALS AND METHODS</w:t>
      </w:r>
    </w:p>
    <w:p w14:paraId="53ACCA2D" w14:textId="2B5851C4" w:rsidR="00353623" w:rsidRPr="007009B3" w:rsidRDefault="00353623" w:rsidP="007009B3">
      <w:pPr>
        <w:spacing w:line="360" w:lineRule="auto"/>
        <w:jc w:val="both"/>
        <w:rPr>
          <w:rFonts w:ascii="Arial" w:hAnsi="Arial" w:cs="Arial"/>
          <w:b/>
          <w:bCs/>
        </w:rPr>
      </w:pPr>
      <w:r w:rsidRPr="007009B3">
        <w:rPr>
          <w:rFonts w:ascii="Arial" w:hAnsi="Arial" w:cs="Arial"/>
          <w:b/>
          <w:bCs/>
        </w:rPr>
        <w:t>2.1 Sample Collection</w:t>
      </w:r>
    </w:p>
    <w:p w14:paraId="6730FA7D" w14:textId="062A96EF" w:rsidR="00353623" w:rsidRDefault="00353623" w:rsidP="003C437E">
      <w:pPr>
        <w:spacing w:line="360" w:lineRule="auto"/>
        <w:jc w:val="both"/>
        <w:rPr>
          <w:rFonts w:ascii="Arial" w:hAnsi="Arial" w:cs="Arial"/>
          <w:sz w:val="20"/>
          <w:szCs w:val="20"/>
        </w:rPr>
      </w:pPr>
      <w:r w:rsidRPr="007009B3">
        <w:rPr>
          <w:rFonts w:ascii="Arial" w:hAnsi="Arial" w:cs="Arial"/>
          <w:sz w:val="20"/>
          <w:szCs w:val="20"/>
        </w:rPr>
        <w:lastRenderedPageBreak/>
        <w:t>Cocoa pods were procured from local farmers of Idukki</w:t>
      </w:r>
      <w:r w:rsidR="00951C11">
        <w:rPr>
          <w:rFonts w:ascii="Arial" w:hAnsi="Arial" w:cs="Arial"/>
          <w:sz w:val="20"/>
          <w:szCs w:val="20"/>
        </w:rPr>
        <w:t xml:space="preserve"> district</w:t>
      </w:r>
      <w:r w:rsidRPr="007009B3">
        <w:rPr>
          <w:rFonts w:ascii="Arial" w:hAnsi="Arial" w:cs="Arial"/>
          <w:sz w:val="20"/>
          <w:szCs w:val="20"/>
        </w:rPr>
        <w:t xml:space="preserve"> of Kerala. The following flow chart (Fig. </w:t>
      </w:r>
      <w:r w:rsidR="00951C11">
        <w:rPr>
          <w:rFonts w:ascii="Arial" w:hAnsi="Arial" w:cs="Arial"/>
          <w:sz w:val="20"/>
          <w:szCs w:val="20"/>
        </w:rPr>
        <w:t>1</w:t>
      </w:r>
      <w:r w:rsidRPr="007009B3">
        <w:rPr>
          <w:rFonts w:ascii="Arial" w:hAnsi="Arial" w:cs="Arial"/>
          <w:sz w:val="20"/>
          <w:szCs w:val="20"/>
        </w:rPr>
        <w:t xml:space="preserve">) shows the preparation of </w:t>
      </w:r>
      <w:r w:rsidR="00951C11">
        <w:rPr>
          <w:rFonts w:ascii="Arial" w:hAnsi="Arial" w:cs="Arial"/>
          <w:sz w:val="20"/>
          <w:szCs w:val="20"/>
        </w:rPr>
        <w:t>wine f</w:t>
      </w:r>
      <w:r w:rsidRPr="007009B3">
        <w:rPr>
          <w:rFonts w:ascii="Arial" w:hAnsi="Arial" w:cs="Arial"/>
          <w:sz w:val="20"/>
          <w:szCs w:val="20"/>
        </w:rPr>
        <w:t xml:space="preserve">rom </w:t>
      </w:r>
      <w:r w:rsidR="00951C11">
        <w:rPr>
          <w:rFonts w:ascii="Arial" w:hAnsi="Arial" w:cs="Arial"/>
          <w:sz w:val="20"/>
          <w:szCs w:val="20"/>
        </w:rPr>
        <w:t>cocoa mucilage</w:t>
      </w:r>
      <w:r w:rsidRPr="007009B3">
        <w:rPr>
          <w:rFonts w:ascii="Arial" w:hAnsi="Arial" w:cs="Arial"/>
          <w:sz w:val="20"/>
          <w:szCs w:val="20"/>
        </w:rPr>
        <w:t>.</w:t>
      </w:r>
    </w:p>
    <w:p w14:paraId="55DDA09F" w14:textId="5388CF58" w:rsidR="008506EC" w:rsidRDefault="008506EC" w:rsidP="008506EC">
      <w:pPr>
        <w:spacing w:line="360" w:lineRule="auto"/>
        <w:jc w:val="center"/>
        <w:rPr>
          <w:rFonts w:ascii="Arial" w:hAnsi="Arial" w:cs="Arial"/>
          <w:sz w:val="20"/>
          <w:szCs w:val="20"/>
        </w:rPr>
      </w:pPr>
      <w:r w:rsidRPr="008506EC">
        <w:rPr>
          <w:rFonts w:ascii="Arial" w:hAnsi="Arial" w:cs="Arial"/>
          <w:noProof/>
          <w:sz w:val="20"/>
          <w:szCs w:val="20"/>
        </w:rPr>
        <w:drawing>
          <wp:inline distT="0" distB="0" distL="0" distR="0" wp14:anchorId="42875383" wp14:editId="0EB4A8B3">
            <wp:extent cx="5619750" cy="2962275"/>
            <wp:effectExtent l="0" t="0" r="0" b="9525"/>
            <wp:docPr id="1055780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780473" name=""/>
                    <pic:cNvPicPr/>
                  </pic:nvPicPr>
                  <pic:blipFill>
                    <a:blip r:embed="rId6"/>
                    <a:stretch>
                      <a:fillRect/>
                    </a:stretch>
                  </pic:blipFill>
                  <pic:spPr>
                    <a:xfrm>
                      <a:off x="0" y="0"/>
                      <a:ext cx="5673173" cy="2990435"/>
                    </a:xfrm>
                    <a:prstGeom prst="rect">
                      <a:avLst/>
                    </a:prstGeom>
                  </pic:spPr>
                </pic:pic>
              </a:graphicData>
            </a:graphic>
          </wp:inline>
        </w:drawing>
      </w:r>
    </w:p>
    <w:p w14:paraId="70D9B715" w14:textId="06C807B8" w:rsidR="008506EC" w:rsidRPr="008506EC" w:rsidRDefault="008506EC" w:rsidP="008506EC">
      <w:pPr>
        <w:spacing w:line="360" w:lineRule="auto"/>
        <w:jc w:val="center"/>
        <w:rPr>
          <w:rFonts w:ascii="Arial" w:hAnsi="Arial" w:cs="Arial"/>
          <w:b/>
          <w:bCs/>
          <w:sz w:val="20"/>
          <w:szCs w:val="20"/>
        </w:rPr>
      </w:pPr>
      <w:r w:rsidRPr="008506EC">
        <w:rPr>
          <w:rFonts w:ascii="Arial" w:hAnsi="Arial" w:cs="Arial"/>
          <w:b/>
          <w:bCs/>
          <w:sz w:val="20"/>
          <w:szCs w:val="20"/>
        </w:rPr>
        <w:t>Fig. 1. Preparation of cocoa mucilage wine</w:t>
      </w:r>
    </w:p>
    <w:p w14:paraId="030F9368" w14:textId="77777777" w:rsidR="004E6696" w:rsidRPr="00EB51F4" w:rsidRDefault="004E6696" w:rsidP="007009B3">
      <w:pPr>
        <w:spacing w:line="360" w:lineRule="auto"/>
        <w:jc w:val="both"/>
        <w:rPr>
          <w:rFonts w:ascii="Arial" w:hAnsi="Arial" w:cs="Arial"/>
          <w:b/>
          <w:bCs/>
        </w:rPr>
      </w:pPr>
      <w:r w:rsidRPr="00EB51F4">
        <w:rPr>
          <w:rFonts w:ascii="Arial" w:hAnsi="Arial" w:cs="Arial"/>
          <w:b/>
          <w:bCs/>
        </w:rPr>
        <w:t>2.2 Preparation of Cocoa Mucilage</w:t>
      </w:r>
    </w:p>
    <w:p w14:paraId="618C3122" w14:textId="687E58FE" w:rsidR="004E6696" w:rsidRPr="007009B3" w:rsidRDefault="004E6696" w:rsidP="003C437E">
      <w:pPr>
        <w:spacing w:line="360" w:lineRule="auto"/>
        <w:jc w:val="both"/>
        <w:rPr>
          <w:rFonts w:ascii="Arial" w:hAnsi="Arial" w:cs="Arial"/>
          <w:sz w:val="20"/>
          <w:szCs w:val="20"/>
        </w:rPr>
      </w:pPr>
      <w:r w:rsidRPr="007009B3">
        <w:rPr>
          <w:rFonts w:ascii="Arial" w:hAnsi="Arial" w:cs="Arial"/>
          <w:sz w:val="20"/>
          <w:szCs w:val="20"/>
        </w:rPr>
        <w:t xml:space="preserve">To break the pods, a cocoa pod breaker was employed. The extracted beans were then processed using a cocoa pulp extractor, to remove the desired amount of pulp and facilitate proper fermentation. The extractor features two concentric cylinders, with the inner one containing uniform holes and rotating at a fixed RPM using a motor and variable frequency drive (VFD). The pulp extraction rate depends on the inner cylinder's speed, with 20% extraction achieved at 25 RPM. Physicochemical properties of the extracted cocoa mucilage such as pH, total soluble solids (TSS), titratable acidity, ascorbic acid content, </w:t>
      </w:r>
      <w:proofErr w:type="spellStart"/>
      <w:r w:rsidRPr="007009B3">
        <w:rPr>
          <w:rFonts w:ascii="Arial" w:hAnsi="Arial" w:cs="Arial"/>
          <w:sz w:val="20"/>
          <w:szCs w:val="20"/>
        </w:rPr>
        <w:t>color</w:t>
      </w:r>
      <w:proofErr w:type="spellEnd"/>
      <w:r w:rsidRPr="007009B3">
        <w:rPr>
          <w:rFonts w:ascii="Arial" w:hAnsi="Arial" w:cs="Arial"/>
          <w:sz w:val="20"/>
          <w:szCs w:val="20"/>
        </w:rPr>
        <w:t>, antioxidant activity (DPPH), reducing sugar, and total phenolic content (TPC) were analysed using standard methods.</w:t>
      </w:r>
    </w:p>
    <w:p w14:paraId="22064C58" w14:textId="520C9432" w:rsidR="004E6696" w:rsidRPr="00EB51F4" w:rsidRDefault="004E6696" w:rsidP="007009B3">
      <w:pPr>
        <w:spacing w:line="360" w:lineRule="auto"/>
        <w:jc w:val="both"/>
        <w:rPr>
          <w:rFonts w:ascii="Arial" w:hAnsi="Arial" w:cs="Arial"/>
          <w:b/>
          <w:bCs/>
        </w:rPr>
      </w:pPr>
      <w:r w:rsidRPr="00EB51F4">
        <w:rPr>
          <w:rFonts w:ascii="Arial" w:hAnsi="Arial" w:cs="Arial"/>
          <w:b/>
          <w:bCs/>
        </w:rPr>
        <w:t>2.3 Setup for Anaerobic Fermentation</w:t>
      </w:r>
    </w:p>
    <w:p w14:paraId="17D321F8" w14:textId="7120DC53" w:rsidR="004E6696" w:rsidRPr="007009B3" w:rsidRDefault="004E6696" w:rsidP="003C437E">
      <w:pPr>
        <w:spacing w:line="360" w:lineRule="auto"/>
        <w:jc w:val="both"/>
        <w:rPr>
          <w:rFonts w:ascii="Arial" w:hAnsi="Arial" w:cs="Arial"/>
          <w:sz w:val="20"/>
          <w:szCs w:val="20"/>
        </w:rPr>
      </w:pPr>
      <w:r w:rsidRPr="007009B3">
        <w:rPr>
          <w:rFonts w:ascii="Arial" w:hAnsi="Arial" w:cs="Arial"/>
          <w:sz w:val="20"/>
          <w:szCs w:val="20"/>
        </w:rPr>
        <w:t>Approximately 1 litre of filtered cocoa mucilage drippings was mixed with 1.5 litres of water and about 1 litre of sucrose solution. Saccharomyces cerevisiae strains from a commercial yeast culture were then added to the mixture. A 2% concentration of commercially dried yeast was used as the starter culture. The Fermentation experiments were carried out in ceramic vats of 5 L capacity. The ceramic vats were tied with muslin cloth and stored in a dark room. The fermentation temperature for cocoa wine production was approximately 25 30°C and stirring was performed during the initial seven days of fermentation. The vat was stirred once in a day at regular time intervals in clockwise and anticlockwise direction for seven days. After seven days, the vats were tied tightly and kept without agitation up to 21st day of storage. At 21st day, the suspended solid particles were removed with filter under aseptic conditions. The wine was stored for 21 days more and then tested for quality parameters.</w:t>
      </w:r>
    </w:p>
    <w:p w14:paraId="71DDB010" w14:textId="44F600B6" w:rsidR="004E6696" w:rsidRPr="00EB51F4" w:rsidRDefault="004E6696" w:rsidP="007009B3">
      <w:pPr>
        <w:spacing w:line="360" w:lineRule="auto"/>
        <w:jc w:val="both"/>
        <w:rPr>
          <w:rFonts w:ascii="Arial" w:hAnsi="Arial" w:cs="Arial"/>
          <w:b/>
          <w:bCs/>
        </w:rPr>
      </w:pPr>
      <w:r w:rsidRPr="00EB51F4">
        <w:rPr>
          <w:rFonts w:ascii="Arial" w:hAnsi="Arial" w:cs="Arial"/>
          <w:b/>
          <w:bCs/>
        </w:rPr>
        <w:lastRenderedPageBreak/>
        <w:t>2.4 Physicochemical Properties</w:t>
      </w:r>
    </w:p>
    <w:p w14:paraId="44A7F7D9" w14:textId="135CE55D" w:rsidR="004E6696" w:rsidRPr="007009B3" w:rsidRDefault="004E6696" w:rsidP="003C437E">
      <w:pPr>
        <w:spacing w:line="360" w:lineRule="auto"/>
        <w:jc w:val="both"/>
        <w:rPr>
          <w:rFonts w:ascii="Arial" w:hAnsi="Arial" w:cs="Arial"/>
          <w:sz w:val="20"/>
          <w:szCs w:val="20"/>
        </w:rPr>
      </w:pPr>
      <w:r w:rsidRPr="007009B3">
        <w:rPr>
          <w:rFonts w:ascii="Arial" w:hAnsi="Arial" w:cs="Arial"/>
          <w:sz w:val="20"/>
          <w:szCs w:val="20"/>
        </w:rPr>
        <w:t xml:space="preserve">Physicochemical properties are important in the area of nutritional aspects, quality, storage and overall acceptability of the product. Physicochemical properties of the extracted cocoa mucilage and prepared cocoa mucilage wine such as pH, total soluble solids (TSS), titratable acidity, ascorbic acid content, </w:t>
      </w:r>
      <w:proofErr w:type="spellStart"/>
      <w:r w:rsidRPr="007009B3">
        <w:rPr>
          <w:rFonts w:ascii="Arial" w:hAnsi="Arial" w:cs="Arial"/>
          <w:sz w:val="20"/>
          <w:szCs w:val="20"/>
        </w:rPr>
        <w:t>color</w:t>
      </w:r>
      <w:proofErr w:type="spellEnd"/>
      <w:r w:rsidRPr="007009B3">
        <w:rPr>
          <w:rFonts w:ascii="Arial" w:hAnsi="Arial" w:cs="Arial"/>
          <w:sz w:val="20"/>
          <w:szCs w:val="20"/>
        </w:rPr>
        <w:t>, antioxidant activity (DPPH), reducing sugar, and total phenolic content (TPC) were analysed using standard methods.</w:t>
      </w:r>
    </w:p>
    <w:p w14:paraId="3F4505EC" w14:textId="0D5446F0" w:rsidR="000758E8" w:rsidRPr="007009B3" w:rsidRDefault="000758E8" w:rsidP="007009B3">
      <w:pPr>
        <w:spacing w:line="360" w:lineRule="auto"/>
        <w:jc w:val="both"/>
        <w:rPr>
          <w:rFonts w:ascii="Arial" w:hAnsi="Arial" w:cs="Arial"/>
          <w:b/>
          <w:bCs/>
          <w:sz w:val="20"/>
          <w:szCs w:val="20"/>
        </w:rPr>
      </w:pPr>
      <w:r w:rsidRPr="007009B3">
        <w:rPr>
          <w:rFonts w:ascii="Arial" w:hAnsi="Arial" w:cs="Arial"/>
          <w:b/>
          <w:bCs/>
          <w:sz w:val="20"/>
          <w:szCs w:val="20"/>
        </w:rPr>
        <w:t>2.4.1 TSS</w:t>
      </w:r>
    </w:p>
    <w:p w14:paraId="1E8FBBEE" w14:textId="473E7C67" w:rsidR="000758E8" w:rsidRPr="007009B3" w:rsidRDefault="000758E8" w:rsidP="003C437E">
      <w:pPr>
        <w:spacing w:line="360" w:lineRule="auto"/>
        <w:jc w:val="both"/>
        <w:rPr>
          <w:rFonts w:ascii="Arial" w:hAnsi="Arial" w:cs="Arial"/>
          <w:sz w:val="20"/>
          <w:szCs w:val="20"/>
        </w:rPr>
      </w:pPr>
      <w:r w:rsidRPr="007009B3">
        <w:rPr>
          <w:rFonts w:ascii="Arial" w:hAnsi="Arial" w:cs="Arial"/>
          <w:sz w:val="20"/>
          <w:szCs w:val="20"/>
        </w:rPr>
        <w:t>Total soluble solids were measured at 20°C with a hand refractometer and the results were expressed as °Brix (AOAC, 2005).</w:t>
      </w:r>
    </w:p>
    <w:p w14:paraId="75D483AC" w14:textId="4E70425B" w:rsidR="000758E8" w:rsidRPr="007009B3" w:rsidRDefault="000758E8" w:rsidP="007009B3">
      <w:pPr>
        <w:spacing w:line="360" w:lineRule="auto"/>
        <w:jc w:val="both"/>
        <w:rPr>
          <w:rFonts w:ascii="Arial" w:hAnsi="Arial" w:cs="Arial"/>
          <w:b/>
          <w:bCs/>
          <w:sz w:val="20"/>
          <w:szCs w:val="20"/>
        </w:rPr>
      </w:pPr>
      <w:r w:rsidRPr="007009B3">
        <w:rPr>
          <w:rFonts w:ascii="Arial" w:hAnsi="Arial" w:cs="Arial"/>
          <w:b/>
          <w:bCs/>
          <w:sz w:val="20"/>
          <w:szCs w:val="20"/>
        </w:rPr>
        <w:t>2.4.2 pH</w:t>
      </w:r>
    </w:p>
    <w:p w14:paraId="17D79E6F" w14:textId="03A3B0EF" w:rsidR="000758E8" w:rsidRPr="007009B3" w:rsidRDefault="000758E8" w:rsidP="003C437E">
      <w:pPr>
        <w:spacing w:line="360" w:lineRule="auto"/>
        <w:jc w:val="both"/>
        <w:rPr>
          <w:rFonts w:ascii="Arial" w:hAnsi="Arial" w:cs="Arial"/>
          <w:sz w:val="20"/>
          <w:szCs w:val="20"/>
        </w:rPr>
      </w:pPr>
      <w:r w:rsidRPr="007009B3">
        <w:rPr>
          <w:rFonts w:ascii="Arial" w:hAnsi="Arial" w:cs="Arial"/>
          <w:sz w:val="20"/>
          <w:szCs w:val="20"/>
        </w:rPr>
        <w:t>The pH of the fruit sample was determined using a digital pH meter (AOAC, 2000). One gram of fruit juice was diluted to 10ml with water respectively. The pH was analysed with buffer (pH 4.7). Triplicate was taken from each sample.</w:t>
      </w:r>
    </w:p>
    <w:p w14:paraId="7B73EE25" w14:textId="540F5BBB" w:rsidR="000758E8" w:rsidRPr="007009B3" w:rsidRDefault="000758E8" w:rsidP="007009B3">
      <w:pPr>
        <w:spacing w:line="360" w:lineRule="auto"/>
        <w:jc w:val="both"/>
        <w:rPr>
          <w:rFonts w:ascii="Arial" w:hAnsi="Arial" w:cs="Arial"/>
          <w:b/>
          <w:bCs/>
          <w:sz w:val="20"/>
          <w:szCs w:val="20"/>
        </w:rPr>
      </w:pPr>
      <w:r w:rsidRPr="007009B3">
        <w:rPr>
          <w:rFonts w:ascii="Arial" w:hAnsi="Arial" w:cs="Arial"/>
          <w:b/>
          <w:bCs/>
          <w:sz w:val="20"/>
          <w:szCs w:val="20"/>
        </w:rPr>
        <w:t>2.4.3 Acidity</w:t>
      </w:r>
    </w:p>
    <w:p w14:paraId="45D0CE4D" w14:textId="16F9BC90" w:rsidR="000758E8" w:rsidRDefault="000758E8" w:rsidP="003C437E">
      <w:pPr>
        <w:spacing w:line="360" w:lineRule="auto"/>
        <w:jc w:val="both"/>
        <w:rPr>
          <w:rFonts w:ascii="Arial" w:hAnsi="Arial" w:cs="Arial"/>
          <w:sz w:val="20"/>
          <w:szCs w:val="20"/>
        </w:rPr>
      </w:pPr>
      <w:r w:rsidRPr="007009B3">
        <w:rPr>
          <w:rFonts w:ascii="Arial" w:hAnsi="Arial" w:cs="Arial"/>
          <w:sz w:val="20"/>
          <w:szCs w:val="20"/>
        </w:rPr>
        <w:t xml:space="preserve">A 10% sample was prepared by diluting 10 ml of juice to 100 ml with distilled water in a volumetric flask. Using phenolphthalein as an indicator, 10 ml of this 10% sample was titrated against 0.1 N NaOH, which had been standardized using normal oxalic acid. The endpoint was identified by a </w:t>
      </w:r>
      <w:proofErr w:type="spellStart"/>
      <w:r w:rsidRPr="007009B3">
        <w:rPr>
          <w:rFonts w:ascii="Arial" w:hAnsi="Arial" w:cs="Arial"/>
          <w:sz w:val="20"/>
          <w:szCs w:val="20"/>
        </w:rPr>
        <w:t>color</w:t>
      </w:r>
      <w:proofErr w:type="spellEnd"/>
      <w:r w:rsidRPr="007009B3">
        <w:rPr>
          <w:rFonts w:ascii="Arial" w:hAnsi="Arial" w:cs="Arial"/>
          <w:sz w:val="20"/>
          <w:szCs w:val="20"/>
        </w:rPr>
        <w:t xml:space="preserve"> change from </w:t>
      </w:r>
      <w:proofErr w:type="spellStart"/>
      <w:r w:rsidRPr="007009B3">
        <w:rPr>
          <w:rFonts w:ascii="Arial" w:hAnsi="Arial" w:cs="Arial"/>
          <w:sz w:val="20"/>
          <w:szCs w:val="20"/>
        </w:rPr>
        <w:t>colorless</w:t>
      </w:r>
      <w:proofErr w:type="spellEnd"/>
      <w:r w:rsidRPr="007009B3">
        <w:rPr>
          <w:rFonts w:ascii="Arial" w:hAnsi="Arial" w:cs="Arial"/>
          <w:sz w:val="20"/>
          <w:szCs w:val="20"/>
        </w:rPr>
        <w:t xml:space="preserve"> to pale pink (Rekha et al., 2012). The total acidity, expressed as a percentage of tartaric acid was calculated using the formula provided in the equation.</w:t>
      </w:r>
    </w:p>
    <w:p w14:paraId="0C0E24D9" w14:textId="15A841BF" w:rsidR="004B580B" w:rsidRPr="004B580B" w:rsidRDefault="004B580B" w:rsidP="007009B3">
      <w:pPr>
        <w:spacing w:line="360" w:lineRule="auto"/>
        <w:ind w:firstLine="720"/>
        <w:jc w:val="both"/>
        <w:rPr>
          <w:rFonts w:ascii="Arial" w:hAnsi="Arial" w:cs="Arial"/>
          <w:sz w:val="20"/>
          <w:szCs w:val="20"/>
        </w:rPr>
      </w:pPr>
      <m:oMathPara>
        <m:oMath>
          <m:r>
            <w:rPr>
              <w:rFonts w:ascii="Cambria Math" w:hAnsi="Cambria Math" w:cs="Times New Roman"/>
              <w:sz w:val="20"/>
              <w:szCs w:val="20"/>
            </w:rPr>
            <m:t xml:space="preserve">Acidity </m:t>
          </m:r>
          <m:d>
            <m:dPr>
              <m:ctrlPr>
                <w:rPr>
                  <w:rFonts w:ascii="Cambria Math" w:hAnsi="Cambria Math" w:cs="Times New Roman"/>
                  <w:i/>
                  <w:sz w:val="20"/>
                  <w:szCs w:val="20"/>
                </w:rPr>
              </m:ctrlPr>
            </m:dPr>
            <m:e>
              <m:r>
                <w:rPr>
                  <w:rFonts w:ascii="Cambria Math" w:hAnsi="Cambria Math" w:cs="Times New Roman"/>
                  <w:sz w:val="20"/>
                  <w:szCs w:val="20"/>
                </w:rPr>
                <m:t>%</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Normality of alkali ×Titre volume ×Equivalent weight of tartaric acid ×100</m:t>
              </m:r>
            </m:num>
            <m:den>
              <m:r>
                <w:rPr>
                  <w:rFonts w:ascii="Cambria Math" w:hAnsi="Cambria Math" w:cs="Times New Roman"/>
                  <w:sz w:val="20"/>
                  <w:szCs w:val="20"/>
                </w:rPr>
                <m:t>Weight of sample ×volume made up</m:t>
              </m:r>
            </m:den>
          </m:f>
        </m:oMath>
      </m:oMathPara>
    </w:p>
    <w:p w14:paraId="2F4F600A" w14:textId="01293B46" w:rsidR="000758E8" w:rsidRPr="007009B3" w:rsidRDefault="000758E8" w:rsidP="007009B3">
      <w:pPr>
        <w:spacing w:line="360" w:lineRule="auto"/>
        <w:jc w:val="both"/>
        <w:rPr>
          <w:rFonts w:ascii="Arial" w:hAnsi="Arial" w:cs="Arial"/>
          <w:b/>
          <w:bCs/>
          <w:sz w:val="20"/>
          <w:szCs w:val="20"/>
        </w:rPr>
      </w:pPr>
      <w:r w:rsidRPr="007009B3">
        <w:rPr>
          <w:rFonts w:ascii="Arial" w:hAnsi="Arial" w:cs="Arial"/>
          <w:b/>
          <w:bCs/>
          <w:sz w:val="20"/>
          <w:szCs w:val="20"/>
        </w:rPr>
        <w:t>2.4.4 Total Phenolic Content</w:t>
      </w:r>
    </w:p>
    <w:p w14:paraId="2F22B974" w14:textId="36918215" w:rsidR="000758E8" w:rsidRPr="007009B3" w:rsidRDefault="000758E8" w:rsidP="003C437E">
      <w:pPr>
        <w:spacing w:line="360" w:lineRule="auto"/>
        <w:jc w:val="both"/>
        <w:rPr>
          <w:rFonts w:ascii="Arial" w:hAnsi="Arial" w:cs="Arial"/>
          <w:sz w:val="20"/>
          <w:szCs w:val="20"/>
        </w:rPr>
      </w:pPr>
      <w:r w:rsidRPr="007009B3">
        <w:rPr>
          <w:rFonts w:ascii="Arial" w:hAnsi="Arial" w:cs="Arial"/>
          <w:sz w:val="20"/>
          <w:szCs w:val="20"/>
        </w:rPr>
        <w:t xml:space="preserve">The total phenolic content was determined using the colorimetric method described by Gao et al., (2019), with the </w:t>
      </w:r>
      <w:proofErr w:type="spellStart"/>
      <w:r w:rsidRPr="007009B3">
        <w:rPr>
          <w:rFonts w:ascii="Arial" w:hAnsi="Arial" w:cs="Arial"/>
          <w:sz w:val="20"/>
          <w:szCs w:val="20"/>
        </w:rPr>
        <w:t>Folin-Ciocalteu</w:t>
      </w:r>
      <w:proofErr w:type="spellEnd"/>
      <w:r w:rsidRPr="007009B3">
        <w:rPr>
          <w:rFonts w:ascii="Arial" w:hAnsi="Arial" w:cs="Arial"/>
          <w:sz w:val="20"/>
          <w:szCs w:val="20"/>
        </w:rPr>
        <w:t xml:space="preserve"> reagent and gallic acid as the standard. To 1 ml of appropriately diluted sample, 5 ml of </w:t>
      </w:r>
      <w:proofErr w:type="spellStart"/>
      <w:r w:rsidRPr="007009B3">
        <w:rPr>
          <w:rFonts w:ascii="Arial" w:hAnsi="Arial" w:cs="Arial"/>
          <w:sz w:val="20"/>
          <w:szCs w:val="20"/>
        </w:rPr>
        <w:t>Folin-Ciocalteu</w:t>
      </w:r>
      <w:proofErr w:type="spellEnd"/>
      <w:r w:rsidRPr="007009B3">
        <w:rPr>
          <w:rFonts w:ascii="Arial" w:hAnsi="Arial" w:cs="Arial"/>
          <w:sz w:val="20"/>
          <w:szCs w:val="20"/>
        </w:rPr>
        <w:t xml:space="preserve"> reagent solution was added, mixed thoroughly and incubated for 5 minutes. Subsequently, 4 ml of 7.5% (m/v) </w:t>
      </w:r>
      <w:proofErr w:type="spellStart"/>
      <w:r w:rsidRPr="007009B3">
        <w:rPr>
          <w:rFonts w:ascii="Arial" w:hAnsi="Arial" w:cs="Arial"/>
          <w:sz w:val="20"/>
          <w:szCs w:val="20"/>
        </w:rPr>
        <w:t>Na</w:t>
      </w:r>
      <w:r w:rsidRPr="007009B3">
        <w:rPr>
          <w:rFonts w:ascii="Cambria Math" w:hAnsi="Cambria Math" w:cs="Cambria Math"/>
          <w:sz w:val="20"/>
          <w:szCs w:val="20"/>
        </w:rPr>
        <w:t>₂</w:t>
      </w:r>
      <w:r w:rsidRPr="007009B3">
        <w:rPr>
          <w:rFonts w:ascii="Arial" w:hAnsi="Arial" w:cs="Arial"/>
          <w:sz w:val="20"/>
          <w:szCs w:val="20"/>
        </w:rPr>
        <w:t>CO</w:t>
      </w:r>
      <w:proofErr w:type="spellEnd"/>
      <w:r w:rsidRPr="007009B3">
        <w:rPr>
          <w:rFonts w:ascii="Cambria Math" w:hAnsi="Cambria Math" w:cs="Cambria Math"/>
          <w:sz w:val="20"/>
          <w:szCs w:val="20"/>
        </w:rPr>
        <w:t>₃</w:t>
      </w:r>
      <w:r w:rsidRPr="007009B3">
        <w:rPr>
          <w:rFonts w:ascii="Arial" w:hAnsi="Arial" w:cs="Arial"/>
          <w:sz w:val="20"/>
          <w:szCs w:val="20"/>
        </w:rPr>
        <w:t xml:space="preserve"> solution was added, mixed well and the mixture was kept in the dark at room temperature for 1 hour. The absorbance was measured at 760 nm and the total phenolic content was calculated and expressed as milligrams of gallic acid equivalents per millilitre of sample.</w:t>
      </w:r>
    </w:p>
    <w:p w14:paraId="1730CE7E" w14:textId="77777777" w:rsidR="003C437E" w:rsidRDefault="003C437E" w:rsidP="007009B3">
      <w:pPr>
        <w:spacing w:line="360" w:lineRule="auto"/>
        <w:jc w:val="both"/>
        <w:rPr>
          <w:rFonts w:ascii="Arial" w:hAnsi="Arial" w:cs="Arial"/>
          <w:b/>
          <w:bCs/>
          <w:sz w:val="20"/>
          <w:szCs w:val="20"/>
        </w:rPr>
      </w:pPr>
    </w:p>
    <w:p w14:paraId="2F0C3C9E" w14:textId="3A16C92E" w:rsidR="004E6696" w:rsidRPr="007009B3" w:rsidRDefault="000758E8" w:rsidP="007009B3">
      <w:pPr>
        <w:spacing w:line="360" w:lineRule="auto"/>
        <w:jc w:val="both"/>
        <w:rPr>
          <w:rFonts w:ascii="Arial" w:hAnsi="Arial" w:cs="Arial"/>
          <w:b/>
          <w:bCs/>
          <w:sz w:val="20"/>
          <w:szCs w:val="20"/>
        </w:rPr>
      </w:pPr>
      <w:r w:rsidRPr="007009B3">
        <w:rPr>
          <w:rFonts w:ascii="Arial" w:hAnsi="Arial" w:cs="Arial"/>
          <w:b/>
          <w:bCs/>
          <w:sz w:val="20"/>
          <w:szCs w:val="20"/>
        </w:rPr>
        <w:t>2.4.5 Antioxidant Capacity (DPPH)</w:t>
      </w:r>
    </w:p>
    <w:p w14:paraId="39821C49" w14:textId="5F5E274E" w:rsidR="000758E8" w:rsidRDefault="000758E8" w:rsidP="003C437E">
      <w:pPr>
        <w:spacing w:line="360" w:lineRule="auto"/>
        <w:jc w:val="both"/>
        <w:rPr>
          <w:rFonts w:ascii="Arial" w:hAnsi="Arial" w:cs="Arial"/>
          <w:sz w:val="20"/>
          <w:szCs w:val="20"/>
        </w:rPr>
      </w:pPr>
      <w:r w:rsidRPr="007009B3">
        <w:rPr>
          <w:rFonts w:ascii="Arial" w:hAnsi="Arial" w:cs="Arial"/>
          <w:sz w:val="20"/>
          <w:szCs w:val="20"/>
        </w:rPr>
        <w:t xml:space="preserve">The antioxidant activity was evaluated using the DPPH free radical scavenging assay as described by Hayat et al., (2011). Various concentrations of sample were placed in clean test tubes and 2 ml of DPPH solution was added to each. The tubes were incubated in the dark for 30 minutes and the absorbance </w:t>
      </w:r>
      <w:r w:rsidRPr="007009B3">
        <w:rPr>
          <w:rFonts w:ascii="Arial" w:hAnsi="Arial" w:cs="Arial"/>
          <w:sz w:val="20"/>
          <w:szCs w:val="20"/>
        </w:rPr>
        <w:lastRenderedPageBreak/>
        <w:t>was measured at 517 nm using spectrophotometer. Control absorbance was also measured alongside the samples. The scavenging activity was calculated using the formula provided in equation.</w:t>
      </w:r>
    </w:p>
    <w:p w14:paraId="5A3A64A6" w14:textId="15C63D6A" w:rsidR="0068392A" w:rsidRPr="003C437E" w:rsidRDefault="0068392A" w:rsidP="0068392A">
      <w:pPr>
        <w:spacing w:line="360" w:lineRule="auto"/>
        <w:jc w:val="center"/>
        <w:rPr>
          <w:rFonts w:ascii="Arial" w:eastAsiaTheme="minorEastAsia" w:hAnsi="Arial" w:cs="Arial"/>
          <w:sz w:val="20"/>
          <w:szCs w:val="20"/>
        </w:rPr>
      </w:pPr>
      <m:oMathPara>
        <m:oMath>
          <m:r>
            <w:rPr>
              <w:rFonts w:ascii="Cambria Math" w:eastAsiaTheme="minorEastAsia" w:hAnsi="Cambria Math" w:cs="Arial"/>
              <w:sz w:val="20"/>
              <w:szCs w:val="20"/>
            </w:rPr>
            <m:t xml:space="preserve">DPPH Scavenging activity </m:t>
          </m:r>
          <m:d>
            <m:dPr>
              <m:ctrlPr>
                <w:rPr>
                  <w:rFonts w:ascii="Cambria Math" w:eastAsiaTheme="minorEastAsia" w:hAnsi="Cambria Math" w:cs="Arial"/>
                  <w:i/>
                  <w:sz w:val="20"/>
                  <w:szCs w:val="20"/>
                </w:rPr>
              </m:ctrlPr>
            </m:dPr>
            <m:e>
              <m:r>
                <w:rPr>
                  <w:rFonts w:ascii="Cambria Math" w:eastAsiaTheme="minorEastAsia" w:hAnsi="Cambria Math" w:cs="Arial"/>
                  <w:sz w:val="20"/>
                  <w:szCs w:val="20"/>
                </w:rPr>
                <m:t>%</m:t>
              </m:r>
            </m:e>
          </m:d>
          <m:r>
            <w:rPr>
              <w:rFonts w:ascii="Cambria Math" w:eastAsiaTheme="minorEastAsia" w:hAnsi="Cambria Math" w:cs="Arial"/>
              <w:sz w:val="20"/>
              <w:szCs w:val="20"/>
            </w:rPr>
            <m:t>=</m:t>
          </m:r>
          <m:d>
            <m:dPr>
              <m:ctrlPr>
                <w:rPr>
                  <w:rFonts w:ascii="Cambria Math" w:eastAsiaTheme="minorEastAsia" w:hAnsi="Cambria Math" w:cs="Arial"/>
                  <w:i/>
                  <w:sz w:val="20"/>
                  <w:szCs w:val="20"/>
                </w:rPr>
              </m:ctrlPr>
            </m:dPr>
            <m:e>
              <m:f>
                <m:fPr>
                  <m:ctrlPr>
                    <w:rPr>
                      <w:rFonts w:ascii="Cambria Math" w:eastAsiaTheme="minorEastAsia" w:hAnsi="Cambria Math" w:cs="Arial"/>
                      <w:i/>
                      <w:sz w:val="20"/>
                      <w:szCs w:val="20"/>
                    </w:rPr>
                  </m:ctrlPr>
                </m:fPr>
                <m:num>
                  <m:r>
                    <w:rPr>
                      <w:rFonts w:ascii="Cambria Math" w:eastAsiaTheme="minorEastAsia" w:hAnsi="Cambria Math" w:cs="Arial"/>
                      <w:sz w:val="20"/>
                      <w:szCs w:val="20"/>
                    </w:rPr>
                    <m:t>A-B</m:t>
                  </m:r>
                </m:num>
                <m:den>
                  <m:r>
                    <w:rPr>
                      <w:rFonts w:ascii="Cambria Math" w:eastAsiaTheme="minorEastAsia" w:hAnsi="Cambria Math" w:cs="Arial"/>
                      <w:sz w:val="20"/>
                      <w:szCs w:val="20"/>
                    </w:rPr>
                    <m:t>A</m:t>
                  </m:r>
                </m:den>
              </m:f>
            </m:e>
          </m:d>
          <m:r>
            <w:rPr>
              <w:rFonts w:ascii="Cambria Math" w:eastAsiaTheme="minorEastAsia" w:hAnsi="Cambria Math" w:cs="Arial"/>
              <w:sz w:val="20"/>
              <w:szCs w:val="20"/>
            </w:rPr>
            <m:t>×100</m:t>
          </m:r>
        </m:oMath>
      </m:oMathPara>
    </w:p>
    <w:p w14:paraId="47658157" w14:textId="75355535" w:rsidR="003C437E" w:rsidRPr="007009B3" w:rsidRDefault="003C437E" w:rsidP="003C437E">
      <w:pPr>
        <w:spacing w:line="360" w:lineRule="auto"/>
        <w:jc w:val="both"/>
        <w:rPr>
          <w:rFonts w:ascii="Arial" w:hAnsi="Arial" w:cs="Arial"/>
          <w:sz w:val="20"/>
          <w:szCs w:val="20"/>
        </w:rPr>
      </w:pPr>
      <w:r w:rsidRPr="003C437E">
        <w:rPr>
          <w:rFonts w:ascii="Arial" w:hAnsi="Arial" w:cs="Arial"/>
          <w:sz w:val="20"/>
          <w:szCs w:val="20"/>
        </w:rPr>
        <w:t>where A is control absorbance, and B is the absorbance of DPPH and substrate</w:t>
      </w:r>
      <w:r>
        <w:rPr>
          <w:rFonts w:ascii="Arial" w:hAnsi="Arial" w:cs="Arial"/>
          <w:sz w:val="20"/>
          <w:szCs w:val="20"/>
        </w:rPr>
        <w:t>.</w:t>
      </w:r>
    </w:p>
    <w:p w14:paraId="5163924A" w14:textId="4D63E24F" w:rsidR="000758E8" w:rsidRPr="007009B3" w:rsidRDefault="000758E8" w:rsidP="007009B3">
      <w:pPr>
        <w:spacing w:line="360" w:lineRule="auto"/>
        <w:jc w:val="both"/>
        <w:rPr>
          <w:rFonts w:ascii="Arial" w:hAnsi="Arial" w:cs="Arial"/>
          <w:b/>
          <w:bCs/>
          <w:sz w:val="20"/>
          <w:szCs w:val="20"/>
        </w:rPr>
      </w:pPr>
      <w:r w:rsidRPr="007009B3">
        <w:rPr>
          <w:rFonts w:ascii="Arial" w:hAnsi="Arial" w:cs="Arial"/>
          <w:b/>
          <w:bCs/>
          <w:sz w:val="20"/>
          <w:szCs w:val="20"/>
        </w:rPr>
        <w:t>2.4.6 Ascorbic Acid</w:t>
      </w:r>
    </w:p>
    <w:p w14:paraId="3DD8D249" w14:textId="01512329" w:rsidR="000758E8" w:rsidRDefault="00EE1621" w:rsidP="003C437E">
      <w:pPr>
        <w:spacing w:line="360" w:lineRule="auto"/>
        <w:jc w:val="both"/>
        <w:rPr>
          <w:rFonts w:ascii="Arial" w:hAnsi="Arial" w:cs="Arial"/>
          <w:sz w:val="20"/>
          <w:szCs w:val="20"/>
        </w:rPr>
      </w:pPr>
      <w:r w:rsidRPr="007009B3">
        <w:rPr>
          <w:rFonts w:ascii="Arial" w:hAnsi="Arial" w:cs="Arial"/>
          <w:sz w:val="20"/>
          <w:szCs w:val="20"/>
        </w:rPr>
        <w:t xml:space="preserve">The volumetric titration method was used to determine ascorbic acid content. In a conical flask, 5 ml of standard ascorbic acid solution (100 µg/ml) containing 10 ml of 4% oxalic acid was titrated against 2,6-dichlorophenol indophenol dye. The endpoint was indicated by the appearance and persistence of a pink </w:t>
      </w:r>
      <w:proofErr w:type="spellStart"/>
      <w:r w:rsidRPr="007009B3">
        <w:rPr>
          <w:rFonts w:ascii="Arial" w:hAnsi="Arial" w:cs="Arial"/>
          <w:sz w:val="20"/>
          <w:szCs w:val="20"/>
        </w:rPr>
        <w:t>color</w:t>
      </w:r>
      <w:proofErr w:type="spellEnd"/>
      <w:r w:rsidRPr="007009B3">
        <w:rPr>
          <w:rFonts w:ascii="Arial" w:hAnsi="Arial" w:cs="Arial"/>
          <w:sz w:val="20"/>
          <w:szCs w:val="20"/>
        </w:rPr>
        <w:t>. The volume of dye consumed (V</w:t>
      </w:r>
      <w:r w:rsidRPr="007009B3">
        <w:rPr>
          <w:rFonts w:ascii="Cambria Math" w:hAnsi="Cambria Math" w:cs="Cambria Math"/>
          <w:sz w:val="20"/>
          <w:szCs w:val="20"/>
        </w:rPr>
        <w:t>₁</w:t>
      </w:r>
      <w:r w:rsidRPr="007009B3">
        <w:rPr>
          <w:rFonts w:ascii="Arial" w:hAnsi="Arial" w:cs="Arial"/>
          <w:sz w:val="20"/>
          <w:szCs w:val="20"/>
        </w:rPr>
        <w:t xml:space="preserve"> ml) was equivalent to the amount of ascorbic acid. Similarly, 5 ml of the sample (prepared by dissolving 5 g of sample in 100 ml of 4% oxalic acid) was added to a conical flask along with 10 ml of 4% oxalic acid and titrated against the dye (V</w:t>
      </w:r>
      <w:r w:rsidRPr="007009B3">
        <w:rPr>
          <w:rFonts w:ascii="Cambria Math" w:hAnsi="Cambria Math" w:cs="Cambria Math"/>
          <w:sz w:val="20"/>
          <w:szCs w:val="20"/>
        </w:rPr>
        <w:t>₂</w:t>
      </w:r>
      <w:r w:rsidRPr="007009B3">
        <w:rPr>
          <w:rFonts w:ascii="Arial" w:hAnsi="Arial" w:cs="Arial"/>
          <w:sz w:val="20"/>
          <w:szCs w:val="20"/>
        </w:rPr>
        <w:t xml:space="preserve"> ml). The ascorbic acid content was calculated using the formula provided by Rekha et al., (2012).</w:t>
      </w:r>
    </w:p>
    <w:p w14:paraId="2ABFCACD" w14:textId="1AD3E15B" w:rsidR="0068392A" w:rsidRPr="004B580B" w:rsidRDefault="0068392A" w:rsidP="007009B3">
      <w:pPr>
        <w:spacing w:line="360" w:lineRule="auto"/>
        <w:ind w:firstLine="720"/>
        <w:jc w:val="both"/>
        <w:rPr>
          <w:rFonts w:ascii="Arial" w:hAnsi="Arial" w:cs="Arial"/>
          <w:sz w:val="20"/>
          <w:szCs w:val="20"/>
        </w:rPr>
      </w:pPr>
      <m:oMathPara>
        <m:oMath>
          <m:r>
            <w:rPr>
              <w:rFonts w:ascii="Cambria Math" w:hAnsi="Cambria Math" w:cs="Arial"/>
              <w:sz w:val="20"/>
              <w:szCs w:val="20"/>
            </w:rPr>
            <m:t xml:space="preserve">Ascorbic acid </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mg</m:t>
                  </m:r>
                </m:num>
                <m:den>
                  <m:r>
                    <w:rPr>
                      <w:rFonts w:ascii="Cambria Math" w:hAnsi="Cambria Math" w:cs="Arial"/>
                      <w:sz w:val="20"/>
                      <w:szCs w:val="20"/>
                    </w:rPr>
                    <m:t>100 ml</m:t>
                  </m:r>
                </m:den>
              </m:f>
            </m:e>
          </m:d>
          <m:r>
            <w:rPr>
              <w:rFonts w:ascii="Cambria Math" w:hAnsi="Cambria Math" w:cs="Arial"/>
              <w:sz w:val="20"/>
              <w:szCs w:val="20"/>
            </w:rPr>
            <m:t>=</m:t>
          </m:r>
          <m:d>
            <m:dPr>
              <m:ctrlPr>
                <w:rPr>
                  <w:rFonts w:ascii="Cambria Math" w:hAnsi="Cambria Math" w:cs="Arial"/>
                  <w:i/>
                  <w:sz w:val="20"/>
                  <w:szCs w:val="20"/>
                </w:rPr>
              </m:ctrlPr>
            </m:dPr>
            <m:e>
              <m:r>
                <w:rPr>
                  <w:rFonts w:ascii="Cambria Math" w:hAnsi="Cambria Math" w:cs="Arial"/>
                  <w:sz w:val="20"/>
                  <w:szCs w:val="20"/>
                </w:rPr>
                <m:t xml:space="preserve">0.5 </m:t>
              </m:r>
              <m:f>
                <m:fPr>
                  <m:ctrlPr>
                    <w:rPr>
                      <w:rFonts w:ascii="Cambria Math" w:hAnsi="Cambria Math" w:cs="Arial"/>
                      <w:i/>
                      <w:sz w:val="20"/>
                      <w:szCs w:val="20"/>
                    </w:rPr>
                  </m:ctrlPr>
                </m:fPr>
                <m:num>
                  <m:r>
                    <w:rPr>
                      <w:rFonts w:ascii="Cambria Math" w:hAnsi="Cambria Math" w:cs="Arial"/>
                      <w:sz w:val="20"/>
                      <w:szCs w:val="20"/>
                    </w:rPr>
                    <m:t>mg</m:t>
                  </m:r>
                </m:num>
                <m:den>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1</m:t>
                      </m:r>
                    </m:sub>
                  </m:sSub>
                  <m:r>
                    <w:rPr>
                      <w:rFonts w:ascii="Cambria Math" w:hAnsi="Cambria Math" w:cs="Arial"/>
                      <w:sz w:val="20"/>
                      <w:szCs w:val="20"/>
                    </w:rPr>
                    <m:t>ml</m:t>
                  </m:r>
                </m:den>
              </m:f>
            </m:e>
          </m:d>
          <m:r>
            <w:rPr>
              <w:rFonts w:ascii="Cambria Math" w:hAnsi="Cambria Math" w:cs="Arial"/>
              <w:sz w:val="20"/>
              <w:szCs w:val="20"/>
            </w:rPr>
            <m:t>×</m:t>
          </m:r>
          <m:d>
            <m:dPr>
              <m:ctrlPr>
                <w:rPr>
                  <w:rFonts w:ascii="Cambria Math" w:hAnsi="Cambria Math" w:cs="Arial"/>
                  <w:i/>
                  <w:sz w:val="20"/>
                  <w:szCs w:val="20"/>
                </w:rPr>
              </m:ctrlPr>
            </m:dPr>
            <m:e>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2</m:t>
                      </m:r>
                    </m:sub>
                  </m:sSub>
                </m:num>
                <m:den>
                  <m:r>
                    <w:rPr>
                      <w:rFonts w:ascii="Cambria Math" w:hAnsi="Cambria Math" w:cs="Arial"/>
                      <w:sz w:val="20"/>
                      <w:szCs w:val="20"/>
                    </w:rPr>
                    <m:t>15 ml</m:t>
                  </m:r>
                </m:den>
              </m:f>
            </m:e>
          </m:d>
          <m:r>
            <w:rPr>
              <w:rFonts w:ascii="Cambria Math" w:hAnsi="Cambria Math" w:cs="Arial"/>
              <w:sz w:val="20"/>
              <w:szCs w:val="20"/>
            </w:rPr>
            <m:t>×</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100 ml</m:t>
                  </m:r>
                </m:num>
                <m:den>
                  <m:r>
                    <w:rPr>
                      <w:rFonts w:ascii="Cambria Math" w:hAnsi="Cambria Math" w:cs="Arial"/>
                      <w:sz w:val="20"/>
                      <w:szCs w:val="20"/>
                    </w:rPr>
                    <m:t>Weight of sample</m:t>
                  </m:r>
                </m:den>
              </m:f>
            </m:e>
          </m:d>
          <m:r>
            <w:rPr>
              <w:rFonts w:ascii="Cambria Math" w:hAnsi="Cambria Math" w:cs="Arial"/>
              <w:sz w:val="20"/>
              <w:szCs w:val="20"/>
            </w:rPr>
            <m:t>×100</m:t>
          </m:r>
        </m:oMath>
      </m:oMathPara>
    </w:p>
    <w:p w14:paraId="1FCCDF41" w14:textId="77777777" w:rsidR="00F054ED" w:rsidRPr="007009B3" w:rsidRDefault="00EE1621" w:rsidP="007009B3">
      <w:pPr>
        <w:spacing w:line="360" w:lineRule="auto"/>
        <w:jc w:val="both"/>
        <w:rPr>
          <w:rFonts w:ascii="Arial" w:hAnsi="Arial" w:cs="Arial"/>
          <w:b/>
          <w:bCs/>
          <w:sz w:val="20"/>
          <w:szCs w:val="20"/>
        </w:rPr>
      </w:pPr>
      <w:r w:rsidRPr="007009B3">
        <w:rPr>
          <w:rFonts w:ascii="Arial" w:hAnsi="Arial" w:cs="Arial"/>
          <w:b/>
          <w:bCs/>
          <w:sz w:val="20"/>
          <w:szCs w:val="20"/>
        </w:rPr>
        <w:t>2.4.7 Reducing Sugar</w:t>
      </w:r>
    </w:p>
    <w:p w14:paraId="26E7D14A" w14:textId="45671CE9" w:rsidR="00EE1621" w:rsidRPr="007009B3" w:rsidRDefault="00EE1621" w:rsidP="003C437E">
      <w:pPr>
        <w:spacing w:line="360" w:lineRule="auto"/>
        <w:jc w:val="both"/>
        <w:rPr>
          <w:rFonts w:ascii="Arial" w:hAnsi="Arial" w:cs="Arial"/>
          <w:sz w:val="20"/>
          <w:szCs w:val="20"/>
        </w:rPr>
      </w:pPr>
      <w:r w:rsidRPr="007009B3">
        <w:rPr>
          <w:rFonts w:ascii="Arial" w:hAnsi="Arial" w:cs="Arial"/>
          <w:sz w:val="20"/>
          <w:szCs w:val="20"/>
        </w:rPr>
        <w:t>The reducing sugar content was determined using a modified DNS method (Khatri, 2020). To prepare the DNSA reagent, 1 g of 3,5-dinitrosalicylic acid (DNSA) was dissolved in 80 ml of 0.5 N NaOH at 45°C, along with 30 g of sodium-potassium tartrate. The solution was brought to a final volume of 100 ml with distilled water after cooling to room temperature. A 0.1 ml sample was diluted with 10 ml of distilled water and 0.5 ml of this diluted sample was transferred to a test tube containing 2.5 ml of distilled water. Then 3 ml of DNSA reagent was added and the mixture was heated in a boiling water bath for 5 minutes. The absorbance was measured at 540 nm using a spectrophotometer. The reducing sugar content was calculated from a standard calibration curve of D-glucose, and the results were expressed in terms of percentage of reducing sugar.</w:t>
      </w:r>
    </w:p>
    <w:p w14:paraId="730EFF03" w14:textId="77777777" w:rsidR="00EE1621" w:rsidRPr="007009B3" w:rsidRDefault="00EE1621" w:rsidP="007009B3">
      <w:pPr>
        <w:spacing w:line="360" w:lineRule="auto"/>
        <w:jc w:val="both"/>
        <w:rPr>
          <w:rFonts w:ascii="Arial" w:hAnsi="Arial" w:cs="Arial"/>
          <w:b/>
          <w:bCs/>
          <w:sz w:val="20"/>
          <w:szCs w:val="20"/>
        </w:rPr>
      </w:pPr>
      <w:r w:rsidRPr="007009B3">
        <w:rPr>
          <w:rFonts w:ascii="Arial" w:hAnsi="Arial" w:cs="Arial"/>
          <w:b/>
          <w:bCs/>
          <w:sz w:val="20"/>
          <w:szCs w:val="20"/>
        </w:rPr>
        <w:t xml:space="preserve">2.4.8 </w:t>
      </w:r>
      <w:proofErr w:type="spellStart"/>
      <w:r w:rsidRPr="007009B3">
        <w:rPr>
          <w:rFonts w:ascii="Arial" w:hAnsi="Arial" w:cs="Arial"/>
          <w:b/>
          <w:bCs/>
          <w:sz w:val="20"/>
          <w:szCs w:val="20"/>
        </w:rPr>
        <w:t>Color</w:t>
      </w:r>
      <w:proofErr w:type="spellEnd"/>
    </w:p>
    <w:p w14:paraId="23FAC75B" w14:textId="215A012A" w:rsidR="00EE1621" w:rsidRPr="007009B3" w:rsidRDefault="00EE1621" w:rsidP="003C437E">
      <w:pPr>
        <w:spacing w:line="360" w:lineRule="auto"/>
        <w:jc w:val="both"/>
        <w:rPr>
          <w:rFonts w:ascii="Arial" w:hAnsi="Arial" w:cs="Arial"/>
          <w:sz w:val="20"/>
          <w:szCs w:val="20"/>
        </w:rPr>
      </w:pPr>
      <w:r w:rsidRPr="007009B3">
        <w:rPr>
          <w:rFonts w:ascii="Arial" w:hAnsi="Arial" w:cs="Arial"/>
          <w:sz w:val="20"/>
          <w:szCs w:val="20"/>
        </w:rPr>
        <w:t xml:space="preserve">The </w:t>
      </w:r>
      <w:proofErr w:type="spellStart"/>
      <w:r w:rsidRPr="007009B3">
        <w:rPr>
          <w:rFonts w:ascii="Arial" w:hAnsi="Arial" w:cs="Arial"/>
          <w:sz w:val="20"/>
          <w:szCs w:val="20"/>
        </w:rPr>
        <w:t>color</w:t>
      </w:r>
      <w:proofErr w:type="spellEnd"/>
      <w:r w:rsidRPr="007009B3">
        <w:rPr>
          <w:rFonts w:ascii="Arial" w:hAnsi="Arial" w:cs="Arial"/>
          <w:sz w:val="20"/>
          <w:szCs w:val="20"/>
        </w:rPr>
        <w:t xml:space="preserve"> was determined by colorimeter. It was expressed as L*, a*, b* value (Sasikumar et al., 2024).</w:t>
      </w:r>
    </w:p>
    <w:p w14:paraId="276CA777" w14:textId="43B884FD" w:rsidR="00EE1621" w:rsidRPr="00EB51F4" w:rsidRDefault="00EE1621" w:rsidP="007009B3">
      <w:pPr>
        <w:spacing w:line="360" w:lineRule="auto"/>
        <w:jc w:val="both"/>
        <w:rPr>
          <w:rFonts w:ascii="Arial" w:hAnsi="Arial" w:cs="Arial"/>
          <w:b/>
          <w:bCs/>
        </w:rPr>
      </w:pPr>
      <w:r w:rsidRPr="00EB51F4">
        <w:rPr>
          <w:rFonts w:ascii="Arial" w:hAnsi="Arial" w:cs="Arial"/>
          <w:b/>
          <w:bCs/>
        </w:rPr>
        <w:t>2.5 Quality Analysis of Cocoa Mucilage Wine</w:t>
      </w:r>
    </w:p>
    <w:p w14:paraId="095FADBC" w14:textId="094C9DE6" w:rsidR="00EE1621" w:rsidRPr="007009B3" w:rsidRDefault="00EE1621" w:rsidP="007009B3">
      <w:pPr>
        <w:spacing w:line="360" w:lineRule="auto"/>
        <w:jc w:val="both"/>
        <w:rPr>
          <w:rFonts w:ascii="Arial" w:hAnsi="Arial" w:cs="Arial"/>
          <w:b/>
          <w:bCs/>
          <w:sz w:val="20"/>
          <w:szCs w:val="20"/>
        </w:rPr>
      </w:pPr>
      <w:r w:rsidRPr="007009B3">
        <w:rPr>
          <w:rFonts w:ascii="Arial" w:hAnsi="Arial" w:cs="Arial"/>
          <w:b/>
          <w:bCs/>
          <w:sz w:val="20"/>
          <w:szCs w:val="20"/>
        </w:rPr>
        <w:t>2.5.1 Alcohol Content</w:t>
      </w:r>
    </w:p>
    <w:p w14:paraId="7C15E367" w14:textId="22298BC6" w:rsidR="00EE1621" w:rsidRPr="007009B3" w:rsidRDefault="00EE1621" w:rsidP="003C437E">
      <w:pPr>
        <w:spacing w:line="360" w:lineRule="auto"/>
        <w:jc w:val="both"/>
        <w:rPr>
          <w:rFonts w:ascii="Arial" w:hAnsi="Arial" w:cs="Arial"/>
          <w:sz w:val="20"/>
          <w:szCs w:val="20"/>
        </w:rPr>
      </w:pPr>
      <w:r w:rsidRPr="007009B3">
        <w:rPr>
          <w:rFonts w:ascii="Arial" w:hAnsi="Arial" w:cs="Arial"/>
          <w:sz w:val="20"/>
          <w:szCs w:val="20"/>
        </w:rPr>
        <w:t xml:space="preserve">The alcohol percentage was determined using the dichromate spectrophotometric method (Miller, 1959). A 3 ml sample was transferred to a 100 ml distillation flask, diluted with 30 ml of distilled water and heated in a distillation unit at 70–80°C for 20 minutes. The distillate was collected in a 50 ml flask containing 25 ml of potassium dichromate solution. This mixture was then placed in a water bath maintained at 60°C for 20 minutes. After cooling to room temperature, the volume was adjusted to 50 </w:t>
      </w:r>
      <w:r w:rsidRPr="007009B3">
        <w:rPr>
          <w:rFonts w:ascii="Arial" w:hAnsi="Arial" w:cs="Arial"/>
          <w:sz w:val="20"/>
          <w:szCs w:val="20"/>
        </w:rPr>
        <w:lastRenderedPageBreak/>
        <w:t>ml with distilled water and the absorbance was measured at 600 nm using a spectrophotometer. The total alcohol content (%) was calculated using a calibration curve with ethanol as the standard.</w:t>
      </w:r>
    </w:p>
    <w:p w14:paraId="31AC6EA6" w14:textId="6852A68B" w:rsidR="00EE1621" w:rsidRPr="00EB51F4" w:rsidRDefault="00EE1621" w:rsidP="007009B3">
      <w:pPr>
        <w:spacing w:line="360" w:lineRule="auto"/>
        <w:jc w:val="both"/>
        <w:rPr>
          <w:rFonts w:ascii="Arial" w:hAnsi="Arial" w:cs="Arial"/>
          <w:b/>
          <w:bCs/>
        </w:rPr>
      </w:pPr>
      <w:r w:rsidRPr="00EB51F4">
        <w:rPr>
          <w:rFonts w:ascii="Arial" w:hAnsi="Arial" w:cs="Arial"/>
          <w:b/>
          <w:bCs/>
        </w:rPr>
        <w:t>3. RESULTS AND DISCUSSION</w:t>
      </w:r>
    </w:p>
    <w:p w14:paraId="15151C7D" w14:textId="5E1746D3" w:rsidR="00965669" w:rsidRPr="007009B3" w:rsidRDefault="00EE1621" w:rsidP="003C437E">
      <w:pPr>
        <w:spacing w:line="360" w:lineRule="auto"/>
        <w:jc w:val="both"/>
        <w:rPr>
          <w:rFonts w:ascii="Arial" w:hAnsi="Arial" w:cs="Arial"/>
          <w:sz w:val="20"/>
          <w:szCs w:val="20"/>
        </w:rPr>
      </w:pPr>
      <w:r w:rsidRPr="00EE1621">
        <w:rPr>
          <w:rFonts w:ascii="Arial" w:hAnsi="Arial" w:cs="Arial"/>
          <w:sz w:val="20"/>
          <w:szCs w:val="20"/>
        </w:rPr>
        <w:t>The physicochemical properties of a fruit determine its ideal use</w:t>
      </w:r>
      <w:r w:rsidR="0086231D">
        <w:rPr>
          <w:rFonts w:ascii="Arial" w:hAnsi="Arial" w:cs="Arial"/>
          <w:sz w:val="20"/>
          <w:szCs w:val="20"/>
        </w:rPr>
        <w:t xml:space="preserve">, </w:t>
      </w:r>
      <w:r w:rsidRPr="00EE1621">
        <w:rPr>
          <w:rFonts w:ascii="Arial" w:hAnsi="Arial" w:cs="Arial"/>
          <w:sz w:val="20"/>
          <w:szCs w:val="20"/>
        </w:rPr>
        <w:t>whether for direct consumption, processing, or technological applications</w:t>
      </w:r>
      <w:r w:rsidR="0086231D">
        <w:rPr>
          <w:rFonts w:ascii="Arial" w:hAnsi="Arial" w:cs="Arial"/>
          <w:sz w:val="20"/>
          <w:szCs w:val="20"/>
        </w:rPr>
        <w:t xml:space="preserve"> </w:t>
      </w:r>
      <w:r w:rsidRPr="00EE1621">
        <w:rPr>
          <w:rFonts w:ascii="Arial" w:hAnsi="Arial" w:cs="Arial"/>
          <w:sz w:val="20"/>
          <w:szCs w:val="20"/>
        </w:rPr>
        <w:t>ultimately affecting the quality of the final product (</w:t>
      </w:r>
      <w:proofErr w:type="spellStart"/>
      <w:r w:rsidRPr="00EE1621">
        <w:rPr>
          <w:rFonts w:ascii="Arial" w:hAnsi="Arial" w:cs="Arial"/>
          <w:sz w:val="20"/>
          <w:szCs w:val="20"/>
        </w:rPr>
        <w:t>Najman</w:t>
      </w:r>
      <w:proofErr w:type="spellEnd"/>
      <w:r w:rsidRPr="00EE1621">
        <w:rPr>
          <w:rFonts w:ascii="Arial" w:hAnsi="Arial" w:cs="Arial"/>
          <w:sz w:val="20"/>
          <w:szCs w:val="20"/>
        </w:rPr>
        <w:t xml:space="preserve"> et al., 2023).</w:t>
      </w:r>
      <w:r w:rsidRPr="007009B3">
        <w:rPr>
          <w:rFonts w:ascii="Arial" w:hAnsi="Arial" w:cs="Arial"/>
          <w:sz w:val="20"/>
          <w:szCs w:val="20"/>
        </w:rPr>
        <w:t xml:space="preserve"> The physicochemical properties of cocoa mucilage and cocoa mucilage wine, such as total soluble solids</w:t>
      </w:r>
      <w:r w:rsidR="006E34AC">
        <w:rPr>
          <w:rFonts w:ascii="Arial" w:hAnsi="Arial" w:cs="Arial"/>
          <w:sz w:val="20"/>
          <w:szCs w:val="20"/>
        </w:rPr>
        <w:t xml:space="preserve"> </w:t>
      </w:r>
      <w:r w:rsidRPr="007009B3">
        <w:rPr>
          <w:rFonts w:ascii="Arial" w:hAnsi="Arial" w:cs="Arial"/>
          <w:sz w:val="20"/>
          <w:szCs w:val="20"/>
        </w:rPr>
        <w:t xml:space="preserve">(TSS), pH, acidity, total phenolic content (TPC), antioxidant activity (DPPH), ascorbic acid, reducing sugar and colour, were analysed according to standard protocols. </w:t>
      </w:r>
    </w:p>
    <w:p w14:paraId="26993C5B" w14:textId="77777777" w:rsidR="00965669" w:rsidRPr="00EB51F4" w:rsidRDefault="00965669" w:rsidP="007009B3">
      <w:pPr>
        <w:spacing w:line="360" w:lineRule="auto"/>
        <w:jc w:val="both"/>
        <w:rPr>
          <w:rFonts w:ascii="Arial" w:hAnsi="Arial" w:cs="Arial"/>
          <w:b/>
          <w:bCs/>
        </w:rPr>
      </w:pPr>
      <w:r w:rsidRPr="00EB51F4">
        <w:rPr>
          <w:rFonts w:ascii="Arial" w:hAnsi="Arial" w:cs="Arial"/>
          <w:b/>
          <w:bCs/>
        </w:rPr>
        <w:t xml:space="preserve">3.1 Physicochemical Properties </w:t>
      </w:r>
    </w:p>
    <w:p w14:paraId="684DEE6C" w14:textId="278DC648" w:rsidR="00965669" w:rsidRPr="007009B3" w:rsidRDefault="00965669" w:rsidP="003C437E">
      <w:pPr>
        <w:spacing w:line="360" w:lineRule="auto"/>
        <w:jc w:val="both"/>
        <w:rPr>
          <w:rFonts w:ascii="Arial" w:hAnsi="Arial" w:cs="Arial"/>
          <w:sz w:val="20"/>
          <w:szCs w:val="20"/>
        </w:rPr>
      </w:pPr>
      <w:r w:rsidRPr="007009B3">
        <w:rPr>
          <w:rFonts w:ascii="Arial" w:hAnsi="Arial" w:cs="Arial"/>
          <w:sz w:val="20"/>
          <w:szCs w:val="20"/>
        </w:rPr>
        <w:t>The TSS content of prepared wine is 21.5°Brix which is higher compared to TSS of mucilage (17.7°Brix). TSS was increased in the wine because sucrose solution was added for the purpose of fermentation which provided the medium for activation of yeast.</w:t>
      </w:r>
    </w:p>
    <w:p w14:paraId="36A0055B" w14:textId="35997F04" w:rsidR="00965669" w:rsidRPr="007009B3" w:rsidRDefault="00965669" w:rsidP="003C437E">
      <w:pPr>
        <w:spacing w:line="360" w:lineRule="auto"/>
        <w:jc w:val="both"/>
        <w:rPr>
          <w:rFonts w:ascii="Arial" w:hAnsi="Arial" w:cs="Arial"/>
          <w:sz w:val="20"/>
          <w:szCs w:val="20"/>
        </w:rPr>
      </w:pPr>
      <w:r w:rsidRPr="007009B3">
        <w:rPr>
          <w:rFonts w:ascii="Arial" w:hAnsi="Arial" w:cs="Arial"/>
          <w:sz w:val="20"/>
          <w:szCs w:val="20"/>
        </w:rPr>
        <w:t>The pH of prepared wine was obtained as 3.66 which is slightly lower than the pH of mucilage (3.97). The preferred wine pH is around 3.6 and the better pH for yeast and lactic acid bacteria is around 4.5. However, spoilage bacteria can also grow well at pH 4.5. But spoilage bacteria do not grow well below pH 3.6. Wine yeasts and some lactic acid bacteria can still metabolize in a pH range of 3.3–3.6. The low pH can prolong the fermentation process due to slow growth of microorganisms involved (Jacobson, 2006).</w:t>
      </w:r>
    </w:p>
    <w:p w14:paraId="10C98CB2" w14:textId="03A54073" w:rsidR="00965669" w:rsidRPr="007009B3" w:rsidRDefault="00965669" w:rsidP="003C437E">
      <w:pPr>
        <w:spacing w:line="360" w:lineRule="auto"/>
        <w:jc w:val="both"/>
        <w:rPr>
          <w:rFonts w:ascii="Arial" w:hAnsi="Arial" w:cs="Arial"/>
          <w:sz w:val="20"/>
          <w:szCs w:val="20"/>
        </w:rPr>
      </w:pPr>
      <w:r w:rsidRPr="007009B3">
        <w:rPr>
          <w:rFonts w:ascii="Arial" w:hAnsi="Arial" w:cs="Arial"/>
          <w:sz w:val="20"/>
          <w:szCs w:val="20"/>
        </w:rPr>
        <w:t xml:space="preserve">The </w:t>
      </w:r>
      <w:proofErr w:type="spellStart"/>
      <w:r w:rsidRPr="007009B3">
        <w:rPr>
          <w:rFonts w:ascii="Arial" w:hAnsi="Arial" w:cs="Arial"/>
          <w:sz w:val="20"/>
          <w:szCs w:val="20"/>
        </w:rPr>
        <w:t>titrable</w:t>
      </w:r>
      <w:proofErr w:type="spellEnd"/>
      <w:r w:rsidRPr="007009B3">
        <w:rPr>
          <w:rFonts w:ascii="Arial" w:hAnsi="Arial" w:cs="Arial"/>
          <w:sz w:val="20"/>
          <w:szCs w:val="20"/>
        </w:rPr>
        <w:t xml:space="preserve"> acidity of wine was found to be 0.0381 g/ml, which is lower than the value for mucilage (0.3 g/ml). Throughout the fermentation process, no consistent pattern in the change in </w:t>
      </w:r>
      <w:proofErr w:type="spellStart"/>
      <w:r w:rsidRPr="007009B3">
        <w:rPr>
          <w:rFonts w:ascii="Arial" w:hAnsi="Arial" w:cs="Arial"/>
          <w:sz w:val="20"/>
          <w:szCs w:val="20"/>
        </w:rPr>
        <w:t>titrable</w:t>
      </w:r>
      <w:proofErr w:type="spellEnd"/>
      <w:r w:rsidRPr="007009B3">
        <w:rPr>
          <w:rFonts w:ascii="Arial" w:hAnsi="Arial" w:cs="Arial"/>
          <w:sz w:val="20"/>
          <w:szCs w:val="20"/>
        </w:rPr>
        <w:t xml:space="preserve"> acidity was observed. However, it was found that the titratable acidity of the must had reduced by the end of fermentation (</w:t>
      </w:r>
      <w:proofErr w:type="spellStart"/>
      <w:r w:rsidRPr="007009B3">
        <w:rPr>
          <w:rFonts w:ascii="Arial" w:hAnsi="Arial" w:cs="Arial"/>
          <w:sz w:val="20"/>
          <w:szCs w:val="20"/>
        </w:rPr>
        <w:t>Kasture</w:t>
      </w:r>
      <w:proofErr w:type="spellEnd"/>
      <w:r w:rsidRPr="007009B3">
        <w:rPr>
          <w:rFonts w:ascii="Arial" w:hAnsi="Arial" w:cs="Arial"/>
          <w:sz w:val="20"/>
          <w:szCs w:val="20"/>
        </w:rPr>
        <w:t xml:space="preserve"> and Kadam, 2018).</w:t>
      </w:r>
    </w:p>
    <w:p w14:paraId="33015FB5" w14:textId="28F19BCE" w:rsidR="00965669" w:rsidRPr="007009B3" w:rsidRDefault="00965669" w:rsidP="003C437E">
      <w:pPr>
        <w:spacing w:line="360" w:lineRule="auto"/>
        <w:jc w:val="both"/>
        <w:rPr>
          <w:rFonts w:ascii="Arial" w:hAnsi="Arial" w:cs="Arial"/>
          <w:sz w:val="20"/>
          <w:szCs w:val="20"/>
        </w:rPr>
      </w:pPr>
      <w:r w:rsidRPr="007009B3">
        <w:rPr>
          <w:rFonts w:ascii="Arial" w:hAnsi="Arial" w:cs="Arial"/>
          <w:sz w:val="20"/>
          <w:szCs w:val="20"/>
        </w:rPr>
        <w:t xml:space="preserve">The total phenolic content of the wine was measured at 258 mg GAE/mL, significantly higher than the TPC of the pulp, which was 107.03 mg GAE/ml. Several processes contribute to the phenolic transformations in wine during and after production. These include anthocyanin degradation, tannin interactions with proteins and polysaccharides, procyanidin cation formation, oxidation and polymerization reactions of procyanidins, anthocyanin </w:t>
      </w:r>
      <w:proofErr w:type="spellStart"/>
      <w:r w:rsidRPr="007009B3">
        <w:rPr>
          <w:rFonts w:ascii="Arial" w:hAnsi="Arial" w:cs="Arial"/>
          <w:sz w:val="20"/>
          <w:szCs w:val="20"/>
        </w:rPr>
        <w:t>copigments</w:t>
      </w:r>
      <w:proofErr w:type="spellEnd"/>
      <w:r w:rsidRPr="007009B3">
        <w:rPr>
          <w:rFonts w:ascii="Arial" w:hAnsi="Arial" w:cs="Arial"/>
          <w:sz w:val="20"/>
          <w:szCs w:val="20"/>
        </w:rPr>
        <w:t xml:space="preserve"> synthesis, reactions of anthocyanins with compounds containing polarized double bonds and condensation reactions between anthocyanins and tannins (</w:t>
      </w:r>
      <w:proofErr w:type="spellStart"/>
      <w:r w:rsidRPr="007009B3">
        <w:rPr>
          <w:rFonts w:ascii="Arial" w:hAnsi="Arial" w:cs="Arial"/>
          <w:sz w:val="20"/>
          <w:szCs w:val="20"/>
        </w:rPr>
        <w:t>Hatice</w:t>
      </w:r>
      <w:proofErr w:type="spellEnd"/>
      <w:r w:rsidRPr="007009B3">
        <w:rPr>
          <w:rFonts w:ascii="Arial" w:hAnsi="Arial" w:cs="Arial"/>
          <w:sz w:val="20"/>
          <w:szCs w:val="20"/>
        </w:rPr>
        <w:t xml:space="preserve"> &amp; </w:t>
      </w:r>
      <w:proofErr w:type="spellStart"/>
      <w:r w:rsidRPr="007009B3">
        <w:rPr>
          <w:rFonts w:ascii="Arial" w:hAnsi="Arial" w:cs="Arial"/>
          <w:sz w:val="20"/>
          <w:szCs w:val="20"/>
        </w:rPr>
        <w:t>Ezgi</w:t>
      </w:r>
      <w:proofErr w:type="spellEnd"/>
      <w:r w:rsidRPr="007009B3">
        <w:rPr>
          <w:rFonts w:ascii="Arial" w:hAnsi="Arial" w:cs="Arial"/>
          <w:sz w:val="20"/>
          <w:szCs w:val="20"/>
        </w:rPr>
        <w:t>, 2017).</w:t>
      </w:r>
    </w:p>
    <w:p w14:paraId="305C4026" w14:textId="5A145AEC" w:rsidR="00965669" w:rsidRPr="007009B3" w:rsidRDefault="00965669" w:rsidP="003C437E">
      <w:pPr>
        <w:spacing w:line="360" w:lineRule="auto"/>
        <w:jc w:val="both"/>
        <w:rPr>
          <w:rFonts w:ascii="Arial" w:hAnsi="Arial" w:cs="Arial"/>
          <w:sz w:val="20"/>
          <w:szCs w:val="20"/>
        </w:rPr>
      </w:pPr>
      <w:r w:rsidRPr="007009B3">
        <w:rPr>
          <w:rFonts w:ascii="Arial" w:hAnsi="Arial" w:cs="Arial"/>
          <w:sz w:val="20"/>
          <w:szCs w:val="20"/>
        </w:rPr>
        <w:t>The antioxidant scavenging activity (DPPH) of wine showed a higher value (41.72%) compared to that of cocoa mucilage (34.3%). Red wines exhibit stronger antioxidant activity. Polymeric phenolic compounds are responsible for half of the total scavenging radical activity of red wine (as measured by the DPPH and ABTS techniques). The order of reactivity for the remaining 50% is as follows: phenolic acids and flavanols are the next most active, followed by anthocyanins and flavan-3-ol. (Fernandez et al., 2004).</w:t>
      </w:r>
    </w:p>
    <w:p w14:paraId="2E1D279C" w14:textId="4E5FB87A" w:rsidR="00965669" w:rsidRPr="007009B3" w:rsidRDefault="00965669" w:rsidP="003C437E">
      <w:pPr>
        <w:spacing w:line="360" w:lineRule="auto"/>
        <w:jc w:val="both"/>
        <w:rPr>
          <w:rFonts w:ascii="Arial" w:hAnsi="Arial" w:cs="Arial"/>
          <w:sz w:val="20"/>
          <w:szCs w:val="20"/>
        </w:rPr>
      </w:pPr>
      <w:r w:rsidRPr="007009B3">
        <w:rPr>
          <w:rFonts w:ascii="Arial" w:hAnsi="Arial" w:cs="Arial"/>
          <w:sz w:val="20"/>
          <w:szCs w:val="20"/>
        </w:rPr>
        <w:lastRenderedPageBreak/>
        <w:t>The vitamin C value for wine was obtained as 0.016 mg/100 ml. This is lower compared to vitamin C content of mucilage (1.01 mg/100 ml). All wine varieties showed a drop in L-ascorbic acid level following the conclusion of the fermentation process. Other publications claim that several percent of L-ascorbic acid were lost during the alcoholic fermentation process (</w:t>
      </w:r>
      <w:proofErr w:type="spellStart"/>
      <w:r w:rsidRPr="007009B3">
        <w:rPr>
          <w:rFonts w:ascii="Arial" w:hAnsi="Arial" w:cs="Arial"/>
          <w:sz w:val="20"/>
          <w:szCs w:val="20"/>
        </w:rPr>
        <w:t>Czyżowska</w:t>
      </w:r>
      <w:proofErr w:type="spellEnd"/>
      <w:r w:rsidRPr="007009B3">
        <w:rPr>
          <w:rFonts w:ascii="Arial" w:hAnsi="Arial" w:cs="Arial"/>
          <w:sz w:val="20"/>
          <w:szCs w:val="20"/>
        </w:rPr>
        <w:t xml:space="preserve"> et al., 2015). The loss of L-ascorbic acid could have been caused by a number of circumstances.</w:t>
      </w:r>
    </w:p>
    <w:p w14:paraId="158E59DE" w14:textId="215F0E81" w:rsidR="00965669" w:rsidRPr="007009B3" w:rsidRDefault="00965669" w:rsidP="003C437E">
      <w:pPr>
        <w:spacing w:line="360" w:lineRule="auto"/>
        <w:jc w:val="both"/>
        <w:rPr>
          <w:rFonts w:ascii="Arial" w:hAnsi="Arial" w:cs="Arial"/>
          <w:sz w:val="20"/>
          <w:szCs w:val="20"/>
        </w:rPr>
      </w:pPr>
      <w:r w:rsidRPr="007009B3">
        <w:rPr>
          <w:rFonts w:ascii="Arial" w:hAnsi="Arial" w:cs="Arial"/>
          <w:sz w:val="20"/>
          <w:szCs w:val="20"/>
        </w:rPr>
        <w:t>The reducing sugar content was determined to be 21.42%, indicating an increase compared to the 10.41% observed in mucilage. The typicality of the cultivars and the winery's winemaking process are closely related to the higher reducing sugar concentration of wine. Additionally, the fluctuation in reducing sugar content and other physicochemical qualities is influenced by other factors such soil type, grape sanitary conditions, climate, weather and wine management (</w:t>
      </w:r>
      <w:proofErr w:type="spellStart"/>
      <w:r w:rsidRPr="007009B3">
        <w:rPr>
          <w:rFonts w:ascii="Arial" w:hAnsi="Arial" w:cs="Arial"/>
          <w:sz w:val="20"/>
          <w:szCs w:val="20"/>
        </w:rPr>
        <w:t>Neto</w:t>
      </w:r>
      <w:proofErr w:type="spellEnd"/>
      <w:r w:rsidRPr="007009B3">
        <w:rPr>
          <w:rFonts w:ascii="Arial" w:hAnsi="Arial" w:cs="Arial"/>
          <w:sz w:val="20"/>
          <w:szCs w:val="20"/>
        </w:rPr>
        <w:t xml:space="preserve"> et al., 2015).</w:t>
      </w:r>
    </w:p>
    <w:p w14:paraId="778AE919" w14:textId="69035BC3" w:rsidR="006E34AC" w:rsidRDefault="00965669" w:rsidP="003C437E">
      <w:pPr>
        <w:spacing w:line="360" w:lineRule="auto"/>
        <w:jc w:val="both"/>
        <w:rPr>
          <w:rFonts w:ascii="Arial" w:hAnsi="Arial" w:cs="Arial"/>
          <w:sz w:val="20"/>
          <w:szCs w:val="20"/>
        </w:rPr>
      </w:pPr>
      <w:r w:rsidRPr="007009B3">
        <w:rPr>
          <w:rFonts w:ascii="Arial" w:hAnsi="Arial" w:cs="Arial"/>
          <w:sz w:val="20"/>
          <w:szCs w:val="20"/>
        </w:rPr>
        <w:t xml:space="preserve">The cocoa mucilage wine had colour characteristics: L* value of 68.25, a* value of 2.02 and b* value of 11.03. Higher L* value indicates lighter colour of </w:t>
      </w:r>
      <w:r w:rsidR="0068392A">
        <w:rPr>
          <w:rFonts w:ascii="Arial" w:hAnsi="Arial" w:cs="Arial"/>
          <w:sz w:val="20"/>
          <w:szCs w:val="20"/>
        </w:rPr>
        <w:t>wine</w:t>
      </w:r>
      <w:r w:rsidRPr="007009B3">
        <w:rPr>
          <w:rFonts w:ascii="Arial" w:hAnsi="Arial" w:cs="Arial"/>
          <w:sz w:val="20"/>
          <w:szCs w:val="20"/>
        </w:rPr>
        <w:t xml:space="preserve">. </w:t>
      </w:r>
      <w:r w:rsidR="0068392A" w:rsidRPr="0068392A">
        <w:rPr>
          <w:rFonts w:ascii="Arial" w:hAnsi="Arial" w:cs="Arial"/>
          <w:sz w:val="20"/>
          <w:szCs w:val="20"/>
        </w:rPr>
        <w:t xml:space="preserve">The </w:t>
      </w:r>
      <w:proofErr w:type="spellStart"/>
      <w:r w:rsidR="0068392A" w:rsidRPr="0068392A">
        <w:rPr>
          <w:rFonts w:ascii="Arial" w:hAnsi="Arial" w:cs="Arial"/>
          <w:sz w:val="20"/>
          <w:szCs w:val="20"/>
        </w:rPr>
        <w:t>color</w:t>
      </w:r>
      <w:proofErr w:type="spellEnd"/>
      <w:r w:rsidR="0068392A" w:rsidRPr="0068392A">
        <w:rPr>
          <w:rFonts w:ascii="Arial" w:hAnsi="Arial" w:cs="Arial"/>
          <w:sz w:val="20"/>
          <w:szCs w:val="20"/>
        </w:rPr>
        <w:t xml:space="preserve"> of the wine is one crucial factor that influences consumer preference. </w:t>
      </w:r>
      <w:r w:rsidR="0068392A">
        <w:rPr>
          <w:rFonts w:ascii="Arial" w:hAnsi="Arial" w:cs="Arial"/>
          <w:sz w:val="20"/>
          <w:szCs w:val="20"/>
        </w:rPr>
        <w:t>a</w:t>
      </w:r>
      <w:r w:rsidR="0068392A" w:rsidRPr="0068392A">
        <w:rPr>
          <w:rFonts w:ascii="Arial" w:hAnsi="Arial" w:cs="Arial"/>
          <w:sz w:val="20"/>
          <w:szCs w:val="20"/>
        </w:rPr>
        <w:t xml:space="preserve">* &amp; b* values showed an increase and </w:t>
      </w:r>
      <w:r w:rsidR="0068392A">
        <w:rPr>
          <w:rFonts w:ascii="Arial" w:hAnsi="Arial" w:cs="Arial"/>
          <w:sz w:val="20"/>
          <w:szCs w:val="20"/>
        </w:rPr>
        <w:t>L</w:t>
      </w:r>
      <w:r w:rsidR="0068392A" w:rsidRPr="0068392A">
        <w:rPr>
          <w:rFonts w:ascii="Arial" w:hAnsi="Arial" w:cs="Arial"/>
          <w:sz w:val="20"/>
          <w:szCs w:val="20"/>
        </w:rPr>
        <w:t xml:space="preserve">* value decreased as the wine </w:t>
      </w:r>
      <w:r w:rsidR="0068392A">
        <w:rPr>
          <w:rFonts w:ascii="Arial" w:hAnsi="Arial" w:cs="Arial"/>
          <w:sz w:val="20"/>
          <w:szCs w:val="20"/>
        </w:rPr>
        <w:t>fermentation progress</w:t>
      </w:r>
      <w:r w:rsidR="0068392A" w:rsidRPr="0068392A">
        <w:rPr>
          <w:rFonts w:ascii="Arial" w:hAnsi="Arial" w:cs="Arial"/>
          <w:sz w:val="20"/>
          <w:szCs w:val="20"/>
        </w:rPr>
        <w:t xml:space="preserve">. </w:t>
      </w:r>
    </w:p>
    <w:p w14:paraId="1722D44D" w14:textId="4C34965A" w:rsidR="00DA4C84" w:rsidRPr="00DA4C84" w:rsidRDefault="00DA4C84" w:rsidP="00DA4C84">
      <w:pPr>
        <w:spacing w:line="360" w:lineRule="auto"/>
        <w:jc w:val="center"/>
        <w:rPr>
          <w:rFonts w:ascii="Arial" w:hAnsi="Arial" w:cs="Arial"/>
          <w:b/>
          <w:bCs/>
          <w:sz w:val="20"/>
          <w:szCs w:val="20"/>
        </w:rPr>
      </w:pPr>
      <w:r w:rsidRPr="00DA4C84">
        <w:rPr>
          <w:rFonts w:ascii="Arial" w:hAnsi="Arial" w:cs="Arial"/>
          <w:b/>
          <w:bCs/>
          <w:sz w:val="20"/>
          <w:szCs w:val="20"/>
        </w:rPr>
        <w:t>Table 1</w:t>
      </w:r>
      <w:r w:rsidR="00EA6CC1">
        <w:rPr>
          <w:rFonts w:ascii="Arial" w:hAnsi="Arial" w:cs="Arial"/>
          <w:b/>
          <w:bCs/>
          <w:sz w:val="20"/>
          <w:szCs w:val="20"/>
        </w:rPr>
        <w:t>.</w:t>
      </w:r>
      <w:r w:rsidRPr="00DA4C84">
        <w:rPr>
          <w:rFonts w:ascii="Arial" w:hAnsi="Arial" w:cs="Arial"/>
          <w:b/>
          <w:bCs/>
          <w:sz w:val="20"/>
          <w:szCs w:val="20"/>
        </w:rPr>
        <w:t xml:space="preserve"> </w:t>
      </w:r>
      <w:proofErr w:type="spellStart"/>
      <w:r w:rsidRPr="00DA4C84">
        <w:rPr>
          <w:rFonts w:ascii="Arial" w:hAnsi="Arial" w:cs="Arial"/>
          <w:b/>
          <w:bCs/>
          <w:sz w:val="20"/>
          <w:szCs w:val="20"/>
        </w:rPr>
        <w:t>Physico</w:t>
      </w:r>
      <w:proofErr w:type="spellEnd"/>
      <w:r w:rsidRPr="00DA4C84">
        <w:rPr>
          <w:rFonts w:ascii="Arial" w:hAnsi="Arial" w:cs="Arial"/>
          <w:b/>
          <w:bCs/>
          <w:sz w:val="20"/>
          <w:szCs w:val="20"/>
        </w:rPr>
        <w:t>-chemical characteristics of cocoa mucilage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A4C84" w:rsidRPr="00DA4C84" w14:paraId="6426E50D" w14:textId="77777777" w:rsidTr="00DA4C84">
        <w:tc>
          <w:tcPr>
            <w:tcW w:w="4508" w:type="dxa"/>
            <w:tcBorders>
              <w:top w:val="single" w:sz="4" w:space="0" w:color="auto"/>
              <w:bottom w:val="single" w:sz="4" w:space="0" w:color="auto"/>
            </w:tcBorders>
          </w:tcPr>
          <w:p w14:paraId="2E3758D4" w14:textId="77777777" w:rsidR="00DA4C84" w:rsidRPr="00DA4C84" w:rsidRDefault="00DA4C84" w:rsidP="00E666B5">
            <w:pPr>
              <w:spacing w:line="360" w:lineRule="auto"/>
              <w:jc w:val="center"/>
              <w:rPr>
                <w:rFonts w:ascii="Arial" w:hAnsi="Arial" w:cs="Arial"/>
                <w:b/>
                <w:bCs/>
                <w:sz w:val="20"/>
                <w:szCs w:val="20"/>
              </w:rPr>
            </w:pPr>
            <w:r w:rsidRPr="00DA4C84">
              <w:rPr>
                <w:rFonts w:ascii="Arial" w:hAnsi="Arial" w:cs="Arial"/>
                <w:b/>
                <w:bCs/>
                <w:sz w:val="20"/>
                <w:szCs w:val="20"/>
              </w:rPr>
              <w:t>Quality parameters</w:t>
            </w:r>
          </w:p>
        </w:tc>
        <w:tc>
          <w:tcPr>
            <w:tcW w:w="4508" w:type="dxa"/>
            <w:tcBorders>
              <w:top w:val="single" w:sz="4" w:space="0" w:color="auto"/>
              <w:bottom w:val="single" w:sz="4" w:space="0" w:color="auto"/>
            </w:tcBorders>
          </w:tcPr>
          <w:p w14:paraId="1C57821A" w14:textId="77777777" w:rsidR="00DA4C84" w:rsidRPr="00DA4C84" w:rsidRDefault="00DA4C84" w:rsidP="00E666B5">
            <w:pPr>
              <w:spacing w:line="360" w:lineRule="auto"/>
              <w:jc w:val="center"/>
              <w:rPr>
                <w:rFonts w:ascii="Arial" w:hAnsi="Arial" w:cs="Arial"/>
                <w:b/>
                <w:bCs/>
                <w:sz w:val="20"/>
                <w:szCs w:val="20"/>
              </w:rPr>
            </w:pPr>
            <w:r w:rsidRPr="00DA4C84">
              <w:rPr>
                <w:rFonts w:ascii="Arial" w:hAnsi="Arial" w:cs="Arial"/>
                <w:b/>
                <w:bCs/>
                <w:sz w:val="20"/>
                <w:szCs w:val="20"/>
              </w:rPr>
              <w:t>Result</w:t>
            </w:r>
          </w:p>
        </w:tc>
      </w:tr>
      <w:tr w:rsidR="003C437E" w:rsidRPr="00DA4C84" w14:paraId="265F8B48" w14:textId="77777777" w:rsidTr="00DA4C84">
        <w:tc>
          <w:tcPr>
            <w:tcW w:w="4508" w:type="dxa"/>
            <w:tcBorders>
              <w:top w:val="single" w:sz="4" w:space="0" w:color="auto"/>
            </w:tcBorders>
          </w:tcPr>
          <w:p w14:paraId="432E1A1C" w14:textId="53668867" w:rsidR="003C437E" w:rsidRPr="00DA4C84" w:rsidRDefault="003C437E" w:rsidP="003C437E">
            <w:pPr>
              <w:spacing w:line="360" w:lineRule="auto"/>
              <w:jc w:val="center"/>
              <w:rPr>
                <w:rFonts w:ascii="Arial" w:hAnsi="Arial" w:cs="Arial"/>
                <w:sz w:val="20"/>
                <w:szCs w:val="20"/>
              </w:rPr>
            </w:pPr>
            <w:r w:rsidRPr="00DA4C84">
              <w:rPr>
                <w:rFonts w:ascii="Arial" w:hAnsi="Arial" w:cs="Arial"/>
                <w:sz w:val="20"/>
                <w:szCs w:val="20"/>
              </w:rPr>
              <w:t>Total phenolic content</w:t>
            </w:r>
            <w:r>
              <w:rPr>
                <w:rFonts w:ascii="Arial" w:hAnsi="Arial" w:cs="Arial"/>
                <w:sz w:val="20"/>
                <w:szCs w:val="20"/>
              </w:rPr>
              <w:t xml:space="preserve"> (</w:t>
            </w:r>
            <w:proofErr w:type="spellStart"/>
            <w:r w:rsidRPr="00DA4C84">
              <w:rPr>
                <w:rFonts w:ascii="Arial" w:hAnsi="Arial" w:cs="Arial"/>
                <w:sz w:val="20"/>
                <w:szCs w:val="20"/>
              </w:rPr>
              <w:t>mgGAE</w:t>
            </w:r>
            <w:proofErr w:type="spellEnd"/>
            <w:r w:rsidRPr="00DA4C84">
              <w:rPr>
                <w:rFonts w:ascii="Arial" w:hAnsi="Arial" w:cs="Arial"/>
                <w:sz w:val="20"/>
                <w:szCs w:val="20"/>
              </w:rPr>
              <w:t>/ml</w:t>
            </w:r>
            <w:r>
              <w:rPr>
                <w:rFonts w:ascii="Arial" w:hAnsi="Arial" w:cs="Arial"/>
                <w:sz w:val="20"/>
                <w:szCs w:val="20"/>
              </w:rPr>
              <w:t>)</w:t>
            </w:r>
          </w:p>
        </w:tc>
        <w:tc>
          <w:tcPr>
            <w:tcW w:w="4508" w:type="dxa"/>
            <w:tcBorders>
              <w:top w:val="single" w:sz="4" w:space="0" w:color="auto"/>
            </w:tcBorders>
          </w:tcPr>
          <w:p w14:paraId="5AAC7DB6" w14:textId="5F0DAAA3" w:rsidR="003C437E" w:rsidRPr="00DA4C84" w:rsidRDefault="003C437E" w:rsidP="003C437E">
            <w:pPr>
              <w:spacing w:line="360" w:lineRule="auto"/>
              <w:jc w:val="center"/>
              <w:rPr>
                <w:rFonts w:ascii="Arial" w:hAnsi="Arial" w:cs="Arial"/>
                <w:sz w:val="20"/>
                <w:szCs w:val="20"/>
              </w:rPr>
            </w:pPr>
            <w:r w:rsidRPr="00DA4C84">
              <w:rPr>
                <w:rFonts w:ascii="Arial" w:hAnsi="Arial" w:cs="Arial"/>
                <w:sz w:val="20"/>
                <w:szCs w:val="20"/>
              </w:rPr>
              <w:t>107.03</w:t>
            </w:r>
            <w:r>
              <w:rPr>
                <w:rFonts w:ascii="Arial" w:hAnsi="Arial" w:cs="Arial"/>
                <w:sz w:val="20"/>
                <w:szCs w:val="20"/>
              </w:rPr>
              <w:t>±0.12</w:t>
            </w:r>
          </w:p>
        </w:tc>
      </w:tr>
      <w:tr w:rsidR="003C437E" w:rsidRPr="00DA4C84" w14:paraId="7D3706AB" w14:textId="77777777" w:rsidTr="00DA4C84">
        <w:tc>
          <w:tcPr>
            <w:tcW w:w="4508" w:type="dxa"/>
          </w:tcPr>
          <w:p w14:paraId="3A6F0CAB" w14:textId="4EAB90AC" w:rsidR="003C437E" w:rsidRPr="00DA4C84" w:rsidRDefault="003C437E" w:rsidP="003C437E">
            <w:pPr>
              <w:spacing w:line="360" w:lineRule="auto"/>
              <w:jc w:val="center"/>
              <w:rPr>
                <w:rFonts w:ascii="Arial" w:hAnsi="Arial" w:cs="Arial"/>
                <w:sz w:val="20"/>
                <w:szCs w:val="20"/>
              </w:rPr>
            </w:pPr>
            <w:r w:rsidRPr="00DA4C84">
              <w:rPr>
                <w:rFonts w:ascii="Arial" w:hAnsi="Arial" w:cs="Arial"/>
                <w:sz w:val="20"/>
                <w:szCs w:val="20"/>
              </w:rPr>
              <w:t>Total soluble solids</w:t>
            </w:r>
            <w:r>
              <w:rPr>
                <w:rFonts w:ascii="Arial" w:hAnsi="Arial" w:cs="Arial"/>
                <w:sz w:val="20"/>
                <w:szCs w:val="20"/>
              </w:rPr>
              <w:t xml:space="preserve"> (</w:t>
            </w:r>
            <w:r w:rsidRPr="00DA4C84">
              <w:rPr>
                <w:rFonts w:ascii="Arial" w:hAnsi="Arial" w:cs="Arial"/>
                <w:sz w:val="20"/>
                <w:szCs w:val="20"/>
              </w:rPr>
              <w:t>°Brix</w:t>
            </w:r>
            <w:r>
              <w:rPr>
                <w:rFonts w:ascii="Arial" w:hAnsi="Arial" w:cs="Arial"/>
                <w:sz w:val="20"/>
                <w:szCs w:val="20"/>
              </w:rPr>
              <w:t>)</w:t>
            </w:r>
          </w:p>
        </w:tc>
        <w:tc>
          <w:tcPr>
            <w:tcW w:w="4508" w:type="dxa"/>
          </w:tcPr>
          <w:p w14:paraId="5145C8D9" w14:textId="0F5A69A4" w:rsidR="003C437E" w:rsidRPr="00DA4C84" w:rsidRDefault="003C437E" w:rsidP="003C437E">
            <w:pPr>
              <w:spacing w:line="360" w:lineRule="auto"/>
              <w:jc w:val="center"/>
              <w:rPr>
                <w:rFonts w:ascii="Arial" w:hAnsi="Arial" w:cs="Arial"/>
                <w:sz w:val="20"/>
                <w:szCs w:val="20"/>
              </w:rPr>
            </w:pPr>
            <w:r w:rsidRPr="00DA4C84">
              <w:rPr>
                <w:rFonts w:ascii="Arial" w:hAnsi="Arial" w:cs="Arial"/>
                <w:sz w:val="20"/>
                <w:szCs w:val="20"/>
              </w:rPr>
              <w:t>17.7</w:t>
            </w:r>
            <w:r>
              <w:rPr>
                <w:rFonts w:ascii="Arial" w:hAnsi="Arial" w:cs="Arial"/>
                <w:sz w:val="20"/>
                <w:szCs w:val="20"/>
              </w:rPr>
              <w:t>±0.2</w:t>
            </w:r>
          </w:p>
        </w:tc>
      </w:tr>
      <w:tr w:rsidR="003C437E" w:rsidRPr="00DA4C84" w14:paraId="55407CB3" w14:textId="77777777" w:rsidTr="00DA4C84">
        <w:tc>
          <w:tcPr>
            <w:tcW w:w="4508" w:type="dxa"/>
          </w:tcPr>
          <w:p w14:paraId="4307C628" w14:textId="1238CE14" w:rsidR="003C437E" w:rsidRPr="00DA4C84" w:rsidRDefault="003C437E" w:rsidP="003C437E">
            <w:pPr>
              <w:spacing w:line="360" w:lineRule="auto"/>
              <w:jc w:val="center"/>
              <w:rPr>
                <w:rFonts w:ascii="Arial" w:hAnsi="Arial" w:cs="Arial"/>
                <w:sz w:val="20"/>
                <w:szCs w:val="20"/>
              </w:rPr>
            </w:pPr>
            <w:r w:rsidRPr="00DA4C84">
              <w:rPr>
                <w:rFonts w:ascii="Arial" w:hAnsi="Arial" w:cs="Arial"/>
                <w:sz w:val="20"/>
                <w:szCs w:val="20"/>
              </w:rPr>
              <w:t>Ph</w:t>
            </w:r>
          </w:p>
        </w:tc>
        <w:tc>
          <w:tcPr>
            <w:tcW w:w="4508" w:type="dxa"/>
          </w:tcPr>
          <w:p w14:paraId="1C49C613" w14:textId="77777777" w:rsidR="003C437E" w:rsidRPr="00DA4C84" w:rsidRDefault="003C437E" w:rsidP="003C437E">
            <w:pPr>
              <w:spacing w:line="360" w:lineRule="auto"/>
              <w:jc w:val="center"/>
              <w:rPr>
                <w:rFonts w:ascii="Arial" w:hAnsi="Arial" w:cs="Arial"/>
                <w:sz w:val="20"/>
                <w:szCs w:val="20"/>
              </w:rPr>
            </w:pPr>
            <w:r w:rsidRPr="00DA4C84">
              <w:rPr>
                <w:rFonts w:ascii="Arial" w:hAnsi="Arial" w:cs="Arial"/>
                <w:sz w:val="20"/>
                <w:szCs w:val="20"/>
              </w:rPr>
              <w:t>3.97</w:t>
            </w:r>
          </w:p>
        </w:tc>
      </w:tr>
      <w:tr w:rsidR="003C437E" w:rsidRPr="00DA4C84" w14:paraId="303C1DC8" w14:textId="77777777" w:rsidTr="00DA4C84">
        <w:tc>
          <w:tcPr>
            <w:tcW w:w="4508" w:type="dxa"/>
          </w:tcPr>
          <w:p w14:paraId="25FCC8E7" w14:textId="343DDB1A" w:rsidR="003C437E" w:rsidRPr="00DA4C84" w:rsidRDefault="003C437E" w:rsidP="003C437E">
            <w:pPr>
              <w:spacing w:line="360" w:lineRule="auto"/>
              <w:jc w:val="center"/>
              <w:rPr>
                <w:rFonts w:ascii="Arial" w:hAnsi="Arial" w:cs="Arial"/>
                <w:sz w:val="20"/>
                <w:szCs w:val="20"/>
              </w:rPr>
            </w:pPr>
            <w:proofErr w:type="spellStart"/>
            <w:r w:rsidRPr="00DA4C84">
              <w:rPr>
                <w:rFonts w:ascii="Arial" w:hAnsi="Arial" w:cs="Arial"/>
                <w:sz w:val="20"/>
                <w:szCs w:val="20"/>
                <w:lang w:val="en-US"/>
              </w:rPr>
              <w:t>Titrable</w:t>
            </w:r>
            <w:proofErr w:type="spellEnd"/>
            <w:r w:rsidRPr="00DA4C84">
              <w:rPr>
                <w:rFonts w:ascii="Arial" w:hAnsi="Arial" w:cs="Arial"/>
                <w:sz w:val="20"/>
                <w:szCs w:val="20"/>
                <w:lang w:val="en-US"/>
              </w:rPr>
              <w:t xml:space="preserve"> acidity</w:t>
            </w:r>
            <w:r>
              <w:rPr>
                <w:rFonts w:ascii="Arial" w:hAnsi="Arial" w:cs="Arial"/>
                <w:sz w:val="20"/>
                <w:szCs w:val="20"/>
                <w:lang w:val="en-US"/>
              </w:rPr>
              <w:t xml:space="preserve"> (</w:t>
            </w:r>
            <w:r w:rsidRPr="00DA4C84">
              <w:rPr>
                <w:rFonts w:ascii="Arial" w:hAnsi="Arial" w:cs="Arial"/>
                <w:sz w:val="20"/>
                <w:szCs w:val="20"/>
                <w:lang w:val="en-US"/>
              </w:rPr>
              <w:t>g/ml tartaric acid)</w:t>
            </w:r>
          </w:p>
        </w:tc>
        <w:tc>
          <w:tcPr>
            <w:tcW w:w="4508" w:type="dxa"/>
          </w:tcPr>
          <w:p w14:paraId="6DB412A4" w14:textId="3CDF2F9D" w:rsidR="003C437E" w:rsidRPr="00DA4C84" w:rsidRDefault="003C437E" w:rsidP="003C437E">
            <w:pPr>
              <w:spacing w:line="360" w:lineRule="auto"/>
              <w:jc w:val="center"/>
              <w:rPr>
                <w:rFonts w:ascii="Arial" w:hAnsi="Arial" w:cs="Arial"/>
                <w:sz w:val="20"/>
                <w:szCs w:val="20"/>
              </w:rPr>
            </w:pPr>
            <w:r w:rsidRPr="00DA4C84">
              <w:rPr>
                <w:rFonts w:ascii="Arial" w:hAnsi="Arial" w:cs="Arial"/>
                <w:sz w:val="20"/>
                <w:szCs w:val="20"/>
                <w:lang w:val="en-US"/>
              </w:rPr>
              <w:t>0.3</w:t>
            </w:r>
            <w:r>
              <w:rPr>
                <w:rFonts w:ascii="Arial" w:hAnsi="Arial" w:cs="Arial"/>
                <w:sz w:val="20"/>
                <w:szCs w:val="20"/>
                <w:lang w:val="en-US"/>
              </w:rPr>
              <w:t>±0.05</w:t>
            </w:r>
          </w:p>
        </w:tc>
      </w:tr>
      <w:tr w:rsidR="003C437E" w:rsidRPr="00DA4C84" w14:paraId="18BC7A66" w14:textId="77777777" w:rsidTr="00DA4C84">
        <w:tc>
          <w:tcPr>
            <w:tcW w:w="4508" w:type="dxa"/>
          </w:tcPr>
          <w:p w14:paraId="0D4F5368" w14:textId="009BFA23" w:rsidR="003C437E" w:rsidRPr="00DA4C84" w:rsidRDefault="003C437E" w:rsidP="003C437E">
            <w:pPr>
              <w:spacing w:line="360" w:lineRule="auto"/>
              <w:jc w:val="center"/>
              <w:rPr>
                <w:rFonts w:ascii="Arial" w:hAnsi="Arial" w:cs="Arial"/>
                <w:sz w:val="20"/>
                <w:szCs w:val="20"/>
              </w:rPr>
            </w:pPr>
            <w:r w:rsidRPr="00DA4C84">
              <w:rPr>
                <w:rFonts w:ascii="Arial" w:hAnsi="Arial" w:cs="Arial"/>
                <w:sz w:val="20"/>
                <w:szCs w:val="20"/>
              </w:rPr>
              <w:t>Vitamin C</w:t>
            </w:r>
            <w:r>
              <w:rPr>
                <w:rFonts w:ascii="Arial" w:hAnsi="Arial" w:cs="Arial"/>
                <w:sz w:val="20"/>
                <w:szCs w:val="20"/>
              </w:rPr>
              <w:t xml:space="preserve"> (</w:t>
            </w:r>
            <w:r w:rsidRPr="00DA4C84">
              <w:rPr>
                <w:rFonts w:ascii="Arial" w:hAnsi="Arial" w:cs="Arial"/>
                <w:sz w:val="20"/>
                <w:szCs w:val="20"/>
                <w:lang w:val="en-US"/>
              </w:rPr>
              <w:t>mg/100ml</w:t>
            </w:r>
            <w:r>
              <w:rPr>
                <w:rFonts w:ascii="Arial" w:hAnsi="Arial" w:cs="Arial"/>
                <w:sz w:val="20"/>
                <w:szCs w:val="20"/>
                <w:lang w:val="en-US"/>
              </w:rPr>
              <w:t>)</w:t>
            </w:r>
          </w:p>
        </w:tc>
        <w:tc>
          <w:tcPr>
            <w:tcW w:w="4508" w:type="dxa"/>
          </w:tcPr>
          <w:p w14:paraId="373F76C7" w14:textId="048D698C" w:rsidR="003C437E" w:rsidRPr="00DA4C84" w:rsidRDefault="003C437E" w:rsidP="003C437E">
            <w:pPr>
              <w:spacing w:line="360" w:lineRule="auto"/>
              <w:jc w:val="center"/>
              <w:rPr>
                <w:rFonts w:ascii="Arial" w:hAnsi="Arial" w:cs="Arial"/>
                <w:sz w:val="20"/>
                <w:szCs w:val="20"/>
              </w:rPr>
            </w:pPr>
            <w:r w:rsidRPr="00DA4C84">
              <w:rPr>
                <w:rFonts w:ascii="Arial" w:hAnsi="Arial" w:cs="Arial"/>
                <w:sz w:val="20"/>
                <w:szCs w:val="20"/>
                <w:lang w:val="en-US"/>
              </w:rPr>
              <w:t>1.01</w:t>
            </w:r>
            <w:r>
              <w:rPr>
                <w:rFonts w:ascii="Arial" w:hAnsi="Arial" w:cs="Arial"/>
                <w:sz w:val="20"/>
                <w:szCs w:val="20"/>
                <w:lang w:val="en-US"/>
              </w:rPr>
              <w:t>±0.04</w:t>
            </w:r>
          </w:p>
        </w:tc>
      </w:tr>
      <w:tr w:rsidR="003C437E" w:rsidRPr="00DA4C84" w14:paraId="5B32B3AF" w14:textId="77777777" w:rsidTr="00DA4C84">
        <w:tc>
          <w:tcPr>
            <w:tcW w:w="4508" w:type="dxa"/>
          </w:tcPr>
          <w:p w14:paraId="11B0672F" w14:textId="404117FC" w:rsidR="003C437E" w:rsidRPr="00DA4C84" w:rsidRDefault="003C437E" w:rsidP="003C437E">
            <w:pPr>
              <w:spacing w:line="360" w:lineRule="auto"/>
              <w:jc w:val="center"/>
              <w:rPr>
                <w:rFonts w:ascii="Arial" w:hAnsi="Arial" w:cs="Arial"/>
                <w:sz w:val="20"/>
                <w:szCs w:val="20"/>
              </w:rPr>
            </w:pPr>
            <w:r w:rsidRPr="00DA4C84">
              <w:rPr>
                <w:rFonts w:ascii="Arial" w:hAnsi="Arial" w:cs="Arial"/>
                <w:sz w:val="20"/>
                <w:szCs w:val="20"/>
                <w:lang w:val="en-US"/>
              </w:rPr>
              <w:t>Antioxidant scavenging activity (DPPH)</w:t>
            </w:r>
            <w:r>
              <w:rPr>
                <w:rFonts w:ascii="Arial" w:hAnsi="Arial" w:cs="Arial"/>
                <w:sz w:val="20"/>
                <w:szCs w:val="20"/>
                <w:lang w:val="en-US"/>
              </w:rPr>
              <w:t xml:space="preserve"> (</w:t>
            </w:r>
            <w:r w:rsidRPr="00DA4C84">
              <w:rPr>
                <w:rFonts w:ascii="Arial" w:hAnsi="Arial" w:cs="Arial"/>
                <w:sz w:val="20"/>
                <w:szCs w:val="20"/>
              </w:rPr>
              <w:t>%</w:t>
            </w:r>
            <w:r>
              <w:rPr>
                <w:rFonts w:ascii="Arial" w:hAnsi="Arial" w:cs="Arial"/>
                <w:sz w:val="20"/>
                <w:szCs w:val="20"/>
              </w:rPr>
              <w:t>)</w:t>
            </w:r>
          </w:p>
        </w:tc>
        <w:tc>
          <w:tcPr>
            <w:tcW w:w="4508" w:type="dxa"/>
          </w:tcPr>
          <w:p w14:paraId="37733E88" w14:textId="2C0A6BD9" w:rsidR="003C437E" w:rsidRPr="00DA4C84" w:rsidRDefault="003C437E" w:rsidP="003C437E">
            <w:pPr>
              <w:spacing w:line="360" w:lineRule="auto"/>
              <w:jc w:val="center"/>
              <w:rPr>
                <w:rFonts w:ascii="Arial" w:hAnsi="Arial" w:cs="Arial"/>
                <w:sz w:val="20"/>
                <w:szCs w:val="20"/>
              </w:rPr>
            </w:pPr>
            <w:r w:rsidRPr="00DA4C84">
              <w:rPr>
                <w:rFonts w:ascii="Arial" w:hAnsi="Arial" w:cs="Arial"/>
                <w:sz w:val="20"/>
                <w:szCs w:val="20"/>
                <w:lang w:val="en-US"/>
              </w:rPr>
              <w:t>34.3</w:t>
            </w:r>
            <w:r>
              <w:rPr>
                <w:rFonts w:ascii="Arial" w:hAnsi="Arial" w:cs="Arial"/>
                <w:sz w:val="20"/>
                <w:szCs w:val="20"/>
                <w:lang w:val="en-US"/>
              </w:rPr>
              <w:t>±0.1</w:t>
            </w:r>
          </w:p>
        </w:tc>
      </w:tr>
      <w:tr w:rsidR="003C437E" w:rsidRPr="00DA4C84" w14:paraId="2B1C8522" w14:textId="77777777" w:rsidTr="00DA4C84">
        <w:tc>
          <w:tcPr>
            <w:tcW w:w="4508" w:type="dxa"/>
          </w:tcPr>
          <w:p w14:paraId="432416F7" w14:textId="2BAEAAF2" w:rsidR="003C437E" w:rsidRPr="00DA4C84" w:rsidRDefault="003C437E" w:rsidP="003C437E">
            <w:pPr>
              <w:spacing w:line="360" w:lineRule="auto"/>
              <w:jc w:val="center"/>
              <w:rPr>
                <w:rFonts w:ascii="Arial" w:hAnsi="Arial" w:cs="Arial"/>
                <w:sz w:val="20"/>
                <w:szCs w:val="20"/>
              </w:rPr>
            </w:pPr>
            <w:r w:rsidRPr="00DA4C84">
              <w:rPr>
                <w:rFonts w:ascii="Arial" w:hAnsi="Arial" w:cs="Arial"/>
                <w:sz w:val="20"/>
                <w:szCs w:val="20"/>
                <w:lang w:val="en-US"/>
              </w:rPr>
              <w:t>Reducing sugar</w:t>
            </w:r>
            <w:r>
              <w:rPr>
                <w:rFonts w:ascii="Arial" w:hAnsi="Arial" w:cs="Arial"/>
                <w:sz w:val="20"/>
                <w:szCs w:val="20"/>
                <w:lang w:val="en-US"/>
              </w:rPr>
              <w:t xml:space="preserve"> (</w:t>
            </w:r>
            <w:r w:rsidRPr="00DA4C84">
              <w:rPr>
                <w:rFonts w:ascii="Arial" w:hAnsi="Arial" w:cs="Arial"/>
                <w:sz w:val="20"/>
                <w:szCs w:val="20"/>
              </w:rPr>
              <w:t>%</w:t>
            </w:r>
            <w:r>
              <w:rPr>
                <w:rFonts w:ascii="Arial" w:hAnsi="Arial" w:cs="Arial"/>
                <w:sz w:val="20"/>
                <w:szCs w:val="20"/>
              </w:rPr>
              <w:t>)</w:t>
            </w:r>
          </w:p>
        </w:tc>
        <w:tc>
          <w:tcPr>
            <w:tcW w:w="4508" w:type="dxa"/>
          </w:tcPr>
          <w:p w14:paraId="5A91EC21" w14:textId="5F1257FF" w:rsidR="003C437E" w:rsidRPr="00DA4C84" w:rsidRDefault="003C437E" w:rsidP="003C437E">
            <w:pPr>
              <w:spacing w:line="360" w:lineRule="auto"/>
              <w:jc w:val="center"/>
              <w:rPr>
                <w:rFonts w:ascii="Arial" w:hAnsi="Arial" w:cs="Arial"/>
                <w:sz w:val="20"/>
                <w:szCs w:val="20"/>
              </w:rPr>
            </w:pPr>
            <w:r w:rsidRPr="00DA4C84">
              <w:rPr>
                <w:rFonts w:ascii="Arial" w:hAnsi="Arial" w:cs="Arial"/>
                <w:sz w:val="20"/>
                <w:szCs w:val="20"/>
                <w:lang w:val="en-US"/>
              </w:rPr>
              <w:t>10.41</w:t>
            </w:r>
            <w:r>
              <w:rPr>
                <w:rFonts w:ascii="Arial" w:hAnsi="Arial" w:cs="Arial"/>
                <w:sz w:val="20"/>
                <w:szCs w:val="20"/>
                <w:lang w:val="en-US"/>
              </w:rPr>
              <w:t>±0.2</w:t>
            </w:r>
          </w:p>
        </w:tc>
      </w:tr>
      <w:tr w:rsidR="00DA4C84" w:rsidRPr="00DA4C84" w14:paraId="5697F430" w14:textId="77777777" w:rsidTr="00DA4C84">
        <w:tc>
          <w:tcPr>
            <w:tcW w:w="4508" w:type="dxa"/>
            <w:tcBorders>
              <w:bottom w:val="single" w:sz="4" w:space="0" w:color="auto"/>
            </w:tcBorders>
          </w:tcPr>
          <w:p w14:paraId="002C2659" w14:textId="77777777" w:rsidR="00DA4C84" w:rsidRPr="00DA4C84" w:rsidRDefault="00DA4C84" w:rsidP="00E666B5">
            <w:pPr>
              <w:spacing w:line="360" w:lineRule="auto"/>
              <w:jc w:val="center"/>
              <w:rPr>
                <w:rFonts w:ascii="Arial" w:hAnsi="Arial" w:cs="Arial"/>
                <w:sz w:val="20"/>
                <w:szCs w:val="20"/>
                <w:lang w:val="en-US"/>
              </w:rPr>
            </w:pPr>
            <w:r w:rsidRPr="00DA4C84">
              <w:rPr>
                <w:rFonts w:ascii="Arial" w:hAnsi="Arial" w:cs="Arial"/>
                <w:sz w:val="20"/>
                <w:szCs w:val="20"/>
                <w:lang w:val="en-US"/>
              </w:rPr>
              <w:t>Color</w:t>
            </w:r>
          </w:p>
          <w:p w14:paraId="38C7D244" w14:textId="77777777" w:rsidR="00DA4C84" w:rsidRPr="00DA4C84" w:rsidRDefault="00DA4C84" w:rsidP="00E666B5">
            <w:pPr>
              <w:spacing w:line="360" w:lineRule="auto"/>
              <w:jc w:val="center"/>
              <w:rPr>
                <w:rFonts w:ascii="Arial" w:hAnsi="Arial" w:cs="Arial"/>
                <w:sz w:val="20"/>
                <w:szCs w:val="20"/>
                <w:lang w:val="en-US"/>
              </w:rPr>
            </w:pPr>
            <w:r w:rsidRPr="00DA4C84">
              <w:rPr>
                <w:rFonts w:ascii="Arial" w:hAnsi="Arial" w:cs="Arial"/>
                <w:sz w:val="20"/>
                <w:szCs w:val="20"/>
                <w:lang w:val="en-US"/>
              </w:rPr>
              <w:t>L*</w:t>
            </w:r>
          </w:p>
          <w:p w14:paraId="64DA3B71" w14:textId="77777777" w:rsidR="00DA4C84" w:rsidRPr="00DA4C84" w:rsidRDefault="00DA4C84" w:rsidP="00E666B5">
            <w:pPr>
              <w:spacing w:line="360" w:lineRule="auto"/>
              <w:jc w:val="center"/>
              <w:rPr>
                <w:rFonts w:ascii="Arial" w:hAnsi="Arial" w:cs="Arial"/>
                <w:sz w:val="20"/>
                <w:szCs w:val="20"/>
                <w:lang w:val="en-US"/>
              </w:rPr>
            </w:pPr>
            <w:r w:rsidRPr="00DA4C84">
              <w:rPr>
                <w:rFonts w:ascii="Arial" w:hAnsi="Arial" w:cs="Arial"/>
                <w:sz w:val="20"/>
                <w:szCs w:val="20"/>
                <w:lang w:val="en-US"/>
              </w:rPr>
              <w:t>a*</w:t>
            </w:r>
          </w:p>
          <w:p w14:paraId="232743E1" w14:textId="77777777" w:rsidR="00DA4C84" w:rsidRPr="00DA4C84" w:rsidRDefault="00DA4C84" w:rsidP="00E666B5">
            <w:pPr>
              <w:spacing w:line="360" w:lineRule="auto"/>
              <w:jc w:val="center"/>
              <w:rPr>
                <w:rFonts w:ascii="Arial" w:hAnsi="Arial" w:cs="Arial"/>
                <w:sz w:val="20"/>
                <w:szCs w:val="20"/>
                <w:lang w:val="en-US"/>
              </w:rPr>
            </w:pPr>
            <w:r w:rsidRPr="00DA4C84">
              <w:rPr>
                <w:rFonts w:ascii="Arial" w:hAnsi="Arial" w:cs="Arial"/>
                <w:sz w:val="20"/>
                <w:szCs w:val="20"/>
                <w:lang w:val="en-US"/>
              </w:rPr>
              <w:t>b*</w:t>
            </w:r>
          </w:p>
        </w:tc>
        <w:tc>
          <w:tcPr>
            <w:tcW w:w="4508" w:type="dxa"/>
            <w:tcBorders>
              <w:bottom w:val="single" w:sz="4" w:space="0" w:color="auto"/>
            </w:tcBorders>
          </w:tcPr>
          <w:p w14:paraId="3463E2CF" w14:textId="77777777" w:rsidR="00DA4C84" w:rsidRPr="00DA4C84" w:rsidRDefault="00DA4C84" w:rsidP="00E666B5">
            <w:pPr>
              <w:spacing w:line="360" w:lineRule="auto"/>
              <w:jc w:val="center"/>
              <w:rPr>
                <w:rFonts w:ascii="Arial" w:hAnsi="Arial" w:cs="Arial"/>
                <w:sz w:val="20"/>
                <w:szCs w:val="20"/>
                <w:lang w:val="en-US"/>
              </w:rPr>
            </w:pPr>
          </w:p>
          <w:p w14:paraId="7700F164" w14:textId="663547F7" w:rsidR="00DA4C84" w:rsidRPr="00DA4C84" w:rsidRDefault="00EF7C96" w:rsidP="00E666B5">
            <w:pPr>
              <w:spacing w:line="360" w:lineRule="auto"/>
              <w:jc w:val="center"/>
              <w:rPr>
                <w:rFonts w:ascii="Arial" w:hAnsi="Arial" w:cs="Arial"/>
                <w:sz w:val="20"/>
                <w:szCs w:val="20"/>
              </w:rPr>
            </w:pPr>
            <w:r>
              <w:rPr>
                <w:rFonts w:ascii="Arial" w:hAnsi="Arial" w:cs="Arial"/>
                <w:sz w:val="20"/>
                <w:szCs w:val="20"/>
              </w:rPr>
              <w:t>72.</w:t>
            </w:r>
            <w:r w:rsidR="00DA4C84" w:rsidRPr="00DA4C84">
              <w:rPr>
                <w:rFonts w:ascii="Arial" w:hAnsi="Arial" w:cs="Arial"/>
                <w:sz w:val="20"/>
                <w:szCs w:val="20"/>
              </w:rPr>
              <w:t>25</w:t>
            </w:r>
            <w:r w:rsidR="003C437E">
              <w:rPr>
                <w:rFonts w:ascii="Arial" w:hAnsi="Arial" w:cs="Arial"/>
                <w:sz w:val="20"/>
                <w:szCs w:val="20"/>
              </w:rPr>
              <w:t>±0.04</w:t>
            </w:r>
          </w:p>
          <w:p w14:paraId="7A39937E" w14:textId="4E314D0E" w:rsidR="00DA4C84" w:rsidRPr="00DA4C84" w:rsidRDefault="00DA4C84" w:rsidP="00E666B5">
            <w:pPr>
              <w:spacing w:line="360" w:lineRule="auto"/>
              <w:jc w:val="center"/>
              <w:rPr>
                <w:rFonts w:ascii="Arial" w:hAnsi="Arial" w:cs="Arial"/>
                <w:sz w:val="20"/>
                <w:szCs w:val="20"/>
              </w:rPr>
            </w:pPr>
            <w:r w:rsidRPr="00DA4C84">
              <w:rPr>
                <w:rFonts w:ascii="Arial" w:hAnsi="Arial" w:cs="Arial"/>
                <w:sz w:val="20"/>
                <w:szCs w:val="20"/>
              </w:rPr>
              <w:t>2.0</w:t>
            </w:r>
            <w:r w:rsidR="003C437E">
              <w:rPr>
                <w:rFonts w:ascii="Arial" w:hAnsi="Arial" w:cs="Arial"/>
                <w:sz w:val="20"/>
                <w:szCs w:val="20"/>
              </w:rPr>
              <w:t>±0.03</w:t>
            </w:r>
          </w:p>
          <w:p w14:paraId="0DDC46E2" w14:textId="5E73990D" w:rsidR="00DA4C84" w:rsidRPr="00DA4C84" w:rsidRDefault="0068392A" w:rsidP="00E666B5">
            <w:pPr>
              <w:spacing w:line="360" w:lineRule="auto"/>
              <w:jc w:val="center"/>
              <w:rPr>
                <w:rFonts w:ascii="Arial" w:hAnsi="Arial" w:cs="Arial"/>
                <w:sz w:val="20"/>
                <w:szCs w:val="20"/>
                <w:lang w:val="en-US"/>
              </w:rPr>
            </w:pPr>
            <w:r>
              <w:rPr>
                <w:rFonts w:ascii="Arial" w:hAnsi="Arial" w:cs="Arial"/>
                <w:sz w:val="20"/>
                <w:szCs w:val="20"/>
              </w:rPr>
              <w:t>9</w:t>
            </w:r>
            <w:r w:rsidR="00DA4C84" w:rsidRPr="00DA4C84">
              <w:rPr>
                <w:rFonts w:ascii="Arial" w:hAnsi="Arial" w:cs="Arial"/>
                <w:sz w:val="20"/>
                <w:szCs w:val="20"/>
              </w:rPr>
              <w:t>.3</w:t>
            </w:r>
            <w:r w:rsidR="003C437E">
              <w:rPr>
                <w:rFonts w:ascii="Arial" w:hAnsi="Arial" w:cs="Arial"/>
                <w:sz w:val="20"/>
                <w:szCs w:val="20"/>
              </w:rPr>
              <w:t>±0.03</w:t>
            </w:r>
          </w:p>
        </w:tc>
      </w:tr>
    </w:tbl>
    <w:p w14:paraId="52093856" w14:textId="77777777" w:rsidR="003C437E" w:rsidRDefault="003C437E" w:rsidP="003C437E">
      <w:pPr>
        <w:spacing w:line="360" w:lineRule="auto"/>
        <w:rPr>
          <w:rFonts w:ascii="Arial" w:hAnsi="Arial" w:cs="Arial"/>
          <w:b/>
          <w:bCs/>
          <w:sz w:val="20"/>
          <w:szCs w:val="20"/>
        </w:rPr>
      </w:pPr>
    </w:p>
    <w:p w14:paraId="72F2E4C6" w14:textId="1C0F9BDF" w:rsidR="00DA4C84" w:rsidRPr="00DA4C84" w:rsidRDefault="00DA4C84" w:rsidP="00DA4C84">
      <w:pPr>
        <w:spacing w:line="360" w:lineRule="auto"/>
        <w:jc w:val="center"/>
        <w:rPr>
          <w:rFonts w:ascii="Arial" w:hAnsi="Arial" w:cs="Arial"/>
          <w:b/>
          <w:bCs/>
          <w:sz w:val="20"/>
          <w:szCs w:val="20"/>
        </w:rPr>
      </w:pPr>
      <w:r w:rsidRPr="00DA4C84">
        <w:rPr>
          <w:rFonts w:ascii="Arial" w:hAnsi="Arial" w:cs="Arial"/>
          <w:b/>
          <w:bCs/>
          <w:sz w:val="20"/>
          <w:szCs w:val="20"/>
        </w:rPr>
        <w:t>Table 2</w:t>
      </w:r>
      <w:r w:rsidR="00EA6CC1">
        <w:rPr>
          <w:rFonts w:ascii="Arial" w:hAnsi="Arial" w:cs="Arial"/>
          <w:b/>
          <w:bCs/>
          <w:sz w:val="20"/>
          <w:szCs w:val="20"/>
        </w:rPr>
        <w:t xml:space="preserve">. </w:t>
      </w:r>
      <w:r w:rsidRPr="00DA4C84">
        <w:rPr>
          <w:rFonts w:ascii="Arial" w:hAnsi="Arial" w:cs="Arial"/>
          <w:b/>
          <w:bCs/>
          <w:sz w:val="20"/>
          <w:szCs w:val="20"/>
        </w:rPr>
        <w:t xml:space="preserve"> </w:t>
      </w:r>
      <w:proofErr w:type="spellStart"/>
      <w:r w:rsidRPr="00DA4C84">
        <w:rPr>
          <w:rFonts w:ascii="Arial" w:hAnsi="Arial" w:cs="Arial"/>
          <w:b/>
          <w:bCs/>
          <w:sz w:val="20"/>
          <w:szCs w:val="20"/>
        </w:rPr>
        <w:t>Physico</w:t>
      </w:r>
      <w:proofErr w:type="spellEnd"/>
      <w:r w:rsidRPr="00DA4C84">
        <w:rPr>
          <w:rFonts w:ascii="Arial" w:hAnsi="Arial" w:cs="Arial"/>
          <w:b/>
          <w:bCs/>
          <w:sz w:val="20"/>
          <w:szCs w:val="20"/>
        </w:rPr>
        <w:t>-chemical characteristics of freshly prepared cocoa mucilage wine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A4C84" w:rsidRPr="00DA4C84" w14:paraId="770CEE60" w14:textId="77777777" w:rsidTr="00DA4C84">
        <w:tc>
          <w:tcPr>
            <w:tcW w:w="4508" w:type="dxa"/>
            <w:tcBorders>
              <w:top w:val="single" w:sz="4" w:space="0" w:color="auto"/>
              <w:bottom w:val="single" w:sz="4" w:space="0" w:color="auto"/>
            </w:tcBorders>
          </w:tcPr>
          <w:p w14:paraId="6B3F6C59" w14:textId="77777777" w:rsidR="00DA4C84" w:rsidRPr="00DA4C84" w:rsidRDefault="00DA4C84" w:rsidP="00E666B5">
            <w:pPr>
              <w:spacing w:line="360" w:lineRule="auto"/>
              <w:jc w:val="center"/>
              <w:rPr>
                <w:rFonts w:ascii="Arial" w:hAnsi="Arial" w:cs="Arial"/>
                <w:b/>
                <w:bCs/>
                <w:sz w:val="20"/>
                <w:szCs w:val="20"/>
              </w:rPr>
            </w:pPr>
            <w:r w:rsidRPr="00DA4C84">
              <w:rPr>
                <w:rFonts w:ascii="Arial" w:hAnsi="Arial" w:cs="Arial"/>
                <w:b/>
                <w:bCs/>
                <w:sz w:val="20"/>
                <w:szCs w:val="20"/>
              </w:rPr>
              <w:t>Quality parameters</w:t>
            </w:r>
          </w:p>
        </w:tc>
        <w:tc>
          <w:tcPr>
            <w:tcW w:w="4508" w:type="dxa"/>
            <w:tcBorders>
              <w:top w:val="single" w:sz="4" w:space="0" w:color="auto"/>
              <w:bottom w:val="single" w:sz="4" w:space="0" w:color="auto"/>
            </w:tcBorders>
          </w:tcPr>
          <w:p w14:paraId="7B2C8C3D" w14:textId="77777777" w:rsidR="00DA4C84" w:rsidRPr="00DA4C84" w:rsidRDefault="00DA4C84" w:rsidP="00E666B5">
            <w:pPr>
              <w:spacing w:line="360" w:lineRule="auto"/>
              <w:jc w:val="center"/>
              <w:rPr>
                <w:rFonts w:ascii="Arial" w:hAnsi="Arial" w:cs="Arial"/>
                <w:b/>
                <w:bCs/>
                <w:sz w:val="20"/>
                <w:szCs w:val="20"/>
              </w:rPr>
            </w:pPr>
            <w:r w:rsidRPr="00DA4C84">
              <w:rPr>
                <w:rFonts w:ascii="Arial" w:hAnsi="Arial" w:cs="Arial"/>
                <w:b/>
                <w:bCs/>
                <w:sz w:val="20"/>
                <w:szCs w:val="20"/>
              </w:rPr>
              <w:t>Result</w:t>
            </w:r>
          </w:p>
        </w:tc>
      </w:tr>
      <w:tr w:rsidR="00DA4C84" w:rsidRPr="00DA4C84" w14:paraId="511BFE83" w14:textId="77777777" w:rsidTr="00DA4C84">
        <w:tc>
          <w:tcPr>
            <w:tcW w:w="4508" w:type="dxa"/>
            <w:tcBorders>
              <w:top w:val="single" w:sz="4" w:space="0" w:color="auto"/>
            </w:tcBorders>
          </w:tcPr>
          <w:p w14:paraId="4621E092" w14:textId="3E7E7735" w:rsidR="00DA4C84" w:rsidRPr="00DA4C84" w:rsidRDefault="00DA4C84" w:rsidP="00E666B5">
            <w:pPr>
              <w:spacing w:line="360" w:lineRule="auto"/>
              <w:jc w:val="center"/>
              <w:rPr>
                <w:rFonts w:ascii="Arial" w:hAnsi="Arial" w:cs="Arial"/>
                <w:sz w:val="20"/>
                <w:szCs w:val="20"/>
              </w:rPr>
            </w:pPr>
            <w:r w:rsidRPr="00DA4C84">
              <w:rPr>
                <w:rFonts w:ascii="Arial" w:hAnsi="Arial" w:cs="Arial"/>
                <w:sz w:val="20"/>
                <w:szCs w:val="20"/>
              </w:rPr>
              <w:t>Total phenolic content</w:t>
            </w:r>
            <w:r w:rsidR="003C437E">
              <w:rPr>
                <w:rFonts w:ascii="Arial" w:hAnsi="Arial" w:cs="Arial"/>
                <w:sz w:val="20"/>
                <w:szCs w:val="20"/>
              </w:rPr>
              <w:t xml:space="preserve"> (</w:t>
            </w:r>
            <w:proofErr w:type="spellStart"/>
            <w:r w:rsidR="003C437E" w:rsidRPr="00DA4C84">
              <w:rPr>
                <w:rFonts w:ascii="Arial" w:hAnsi="Arial" w:cs="Arial"/>
                <w:sz w:val="20"/>
                <w:szCs w:val="20"/>
              </w:rPr>
              <w:t>mgGAE</w:t>
            </w:r>
            <w:proofErr w:type="spellEnd"/>
            <w:r w:rsidR="003C437E" w:rsidRPr="00DA4C84">
              <w:rPr>
                <w:rFonts w:ascii="Arial" w:hAnsi="Arial" w:cs="Arial"/>
                <w:sz w:val="20"/>
                <w:szCs w:val="20"/>
              </w:rPr>
              <w:t>/ml</w:t>
            </w:r>
            <w:r w:rsidR="003C437E">
              <w:rPr>
                <w:rFonts w:ascii="Arial" w:hAnsi="Arial" w:cs="Arial"/>
                <w:sz w:val="20"/>
                <w:szCs w:val="20"/>
              </w:rPr>
              <w:t>)</w:t>
            </w:r>
          </w:p>
        </w:tc>
        <w:tc>
          <w:tcPr>
            <w:tcW w:w="4508" w:type="dxa"/>
            <w:tcBorders>
              <w:top w:val="single" w:sz="4" w:space="0" w:color="auto"/>
            </w:tcBorders>
          </w:tcPr>
          <w:p w14:paraId="1CB11915" w14:textId="2BD38E1F" w:rsidR="00DA4C84" w:rsidRPr="00DA4C84" w:rsidRDefault="00DA4C84" w:rsidP="00E666B5">
            <w:pPr>
              <w:spacing w:line="360" w:lineRule="auto"/>
              <w:jc w:val="center"/>
              <w:rPr>
                <w:rFonts w:ascii="Arial" w:hAnsi="Arial" w:cs="Arial"/>
                <w:sz w:val="20"/>
                <w:szCs w:val="20"/>
              </w:rPr>
            </w:pPr>
            <w:r w:rsidRPr="00DA4C84">
              <w:rPr>
                <w:rFonts w:ascii="Arial" w:hAnsi="Arial" w:cs="Arial"/>
                <w:sz w:val="20"/>
                <w:szCs w:val="20"/>
              </w:rPr>
              <w:t>258</w:t>
            </w:r>
            <w:r w:rsidR="00AB0311">
              <w:rPr>
                <w:rFonts w:ascii="Arial" w:hAnsi="Arial" w:cs="Arial"/>
                <w:sz w:val="20"/>
                <w:szCs w:val="20"/>
              </w:rPr>
              <w:t>±0.2</w:t>
            </w:r>
            <w:r w:rsidRPr="00DA4C84">
              <w:rPr>
                <w:rFonts w:ascii="Arial" w:hAnsi="Arial" w:cs="Arial"/>
                <w:sz w:val="20"/>
                <w:szCs w:val="20"/>
              </w:rPr>
              <w:t xml:space="preserve"> </w:t>
            </w:r>
          </w:p>
        </w:tc>
      </w:tr>
      <w:tr w:rsidR="00DA4C84" w:rsidRPr="00DA4C84" w14:paraId="14479689" w14:textId="77777777" w:rsidTr="00DA4C84">
        <w:tc>
          <w:tcPr>
            <w:tcW w:w="4508" w:type="dxa"/>
          </w:tcPr>
          <w:p w14:paraId="39FFD729" w14:textId="41D32093" w:rsidR="00DA4C84" w:rsidRPr="00DA4C84" w:rsidRDefault="00DA4C84" w:rsidP="00E666B5">
            <w:pPr>
              <w:spacing w:line="360" w:lineRule="auto"/>
              <w:jc w:val="center"/>
              <w:rPr>
                <w:rFonts w:ascii="Arial" w:hAnsi="Arial" w:cs="Arial"/>
                <w:sz w:val="20"/>
                <w:szCs w:val="20"/>
              </w:rPr>
            </w:pPr>
            <w:r w:rsidRPr="00DA4C84">
              <w:rPr>
                <w:rFonts w:ascii="Arial" w:hAnsi="Arial" w:cs="Arial"/>
                <w:sz w:val="20"/>
                <w:szCs w:val="20"/>
              </w:rPr>
              <w:t>Total soluble solids</w:t>
            </w:r>
            <w:r w:rsidR="00AB0311">
              <w:rPr>
                <w:rFonts w:ascii="Arial" w:hAnsi="Arial" w:cs="Arial"/>
                <w:sz w:val="20"/>
                <w:szCs w:val="20"/>
              </w:rPr>
              <w:t xml:space="preserve"> (</w:t>
            </w:r>
            <w:r w:rsidR="00AB0311" w:rsidRPr="00DA4C84">
              <w:rPr>
                <w:rFonts w:ascii="Arial" w:hAnsi="Arial" w:cs="Arial"/>
                <w:sz w:val="20"/>
                <w:szCs w:val="20"/>
              </w:rPr>
              <w:t>°Brix</w:t>
            </w:r>
            <w:r w:rsidR="00AB0311">
              <w:rPr>
                <w:rFonts w:ascii="Arial" w:hAnsi="Arial" w:cs="Arial"/>
                <w:sz w:val="20"/>
                <w:szCs w:val="20"/>
              </w:rPr>
              <w:t>)</w:t>
            </w:r>
          </w:p>
        </w:tc>
        <w:tc>
          <w:tcPr>
            <w:tcW w:w="4508" w:type="dxa"/>
          </w:tcPr>
          <w:p w14:paraId="26EE0521" w14:textId="670E45B1" w:rsidR="00DA4C84" w:rsidRPr="00DA4C84" w:rsidRDefault="00DA4C84" w:rsidP="00E666B5">
            <w:pPr>
              <w:spacing w:line="360" w:lineRule="auto"/>
              <w:jc w:val="center"/>
              <w:rPr>
                <w:rFonts w:ascii="Arial" w:hAnsi="Arial" w:cs="Arial"/>
                <w:sz w:val="20"/>
                <w:szCs w:val="20"/>
              </w:rPr>
            </w:pPr>
            <w:r w:rsidRPr="00DA4C84">
              <w:rPr>
                <w:rFonts w:ascii="Arial" w:hAnsi="Arial" w:cs="Arial"/>
                <w:sz w:val="20"/>
                <w:szCs w:val="20"/>
              </w:rPr>
              <w:t>21.5°</w:t>
            </w:r>
            <w:r w:rsidR="00AB0311">
              <w:rPr>
                <w:rFonts w:ascii="Arial" w:hAnsi="Arial" w:cs="Arial"/>
                <w:sz w:val="20"/>
                <w:szCs w:val="20"/>
              </w:rPr>
              <w:t xml:space="preserve">±0.12 </w:t>
            </w:r>
          </w:p>
        </w:tc>
      </w:tr>
      <w:tr w:rsidR="00DA4C84" w:rsidRPr="00DA4C84" w14:paraId="4BCA9AB5" w14:textId="77777777" w:rsidTr="00DA4C84">
        <w:tc>
          <w:tcPr>
            <w:tcW w:w="4508" w:type="dxa"/>
          </w:tcPr>
          <w:p w14:paraId="1966CD8E" w14:textId="77777777" w:rsidR="00DA4C84" w:rsidRPr="00DA4C84" w:rsidRDefault="00DA4C84" w:rsidP="00E666B5">
            <w:pPr>
              <w:spacing w:line="360" w:lineRule="auto"/>
              <w:jc w:val="center"/>
              <w:rPr>
                <w:rFonts w:ascii="Arial" w:hAnsi="Arial" w:cs="Arial"/>
                <w:sz w:val="20"/>
                <w:szCs w:val="20"/>
              </w:rPr>
            </w:pPr>
            <w:r w:rsidRPr="00DA4C84">
              <w:rPr>
                <w:rFonts w:ascii="Arial" w:hAnsi="Arial" w:cs="Arial"/>
                <w:sz w:val="20"/>
                <w:szCs w:val="20"/>
              </w:rPr>
              <w:t>Ph</w:t>
            </w:r>
          </w:p>
        </w:tc>
        <w:tc>
          <w:tcPr>
            <w:tcW w:w="4508" w:type="dxa"/>
          </w:tcPr>
          <w:p w14:paraId="17E87484" w14:textId="0B426FFF" w:rsidR="00DA4C84" w:rsidRPr="00DA4C84" w:rsidRDefault="00DA4C84" w:rsidP="00E666B5">
            <w:pPr>
              <w:spacing w:line="360" w:lineRule="auto"/>
              <w:jc w:val="center"/>
              <w:rPr>
                <w:rFonts w:ascii="Arial" w:hAnsi="Arial" w:cs="Arial"/>
                <w:sz w:val="20"/>
                <w:szCs w:val="20"/>
              </w:rPr>
            </w:pPr>
            <w:r w:rsidRPr="00DA4C84">
              <w:rPr>
                <w:rFonts w:ascii="Arial" w:hAnsi="Arial" w:cs="Arial"/>
                <w:sz w:val="20"/>
                <w:szCs w:val="20"/>
              </w:rPr>
              <w:t>3.66</w:t>
            </w:r>
            <w:r w:rsidR="00AB0311">
              <w:rPr>
                <w:rFonts w:ascii="Arial" w:hAnsi="Arial" w:cs="Arial"/>
                <w:sz w:val="20"/>
                <w:szCs w:val="20"/>
              </w:rPr>
              <w:t>±0.01</w:t>
            </w:r>
          </w:p>
        </w:tc>
      </w:tr>
      <w:tr w:rsidR="00DA4C84" w:rsidRPr="00DA4C84" w14:paraId="5D928BF9" w14:textId="77777777" w:rsidTr="00DA4C84">
        <w:tc>
          <w:tcPr>
            <w:tcW w:w="4508" w:type="dxa"/>
          </w:tcPr>
          <w:p w14:paraId="369DF8C8" w14:textId="44A148DB" w:rsidR="00DA4C84" w:rsidRPr="00DA4C84" w:rsidRDefault="00DA4C84" w:rsidP="00E666B5">
            <w:pPr>
              <w:spacing w:line="360" w:lineRule="auto"/>
              <w:jc w:val="center"/>
              <w:rPr>
                <w:rFonts w:ascii="Arial" w:hAnsi="Arial" w:cs="Arial"/>
                <w:sz w:val="20"/>
                <w:szCs w:val="20"/>
              </w:rPr>
            </w:pPr>
            <w:proofErr w:type="spellStart"/>
            <w:r w:rsidRPr="00DA4C84">
              <w:rPr>
                <w:rFonts w:ascii="Arial" w:hAnsi="Arial" w:cs="Arial"/>
                <w:sz w:val="20"/>
                <w:szCs w:val="20"/>
                <w:lang w:val="en-US"/>
              </w:rPr>
              <w:t>Titrable</w:t>
            </w:r>
            <w:proofErr w:type="spellEnd"/>
            <w:r w:rsidRPr="00DA4C84">
              <w:rPr>
                <w:rFonts w:ascii="Arial" w:hAnsi="Arial" w:cs="Arial"/>
                <w:sz w:val="20"/>
                <w:szCs w:val="20"/>
                <w:lang w:val="en-US"/>
              </w:rPr>
              <w:t xml:space="preserve"> acidity</w:t>
            </w:r>
            <w:r w:rsidR="00AB0311">
              <w:rPr>
                <w:rFonts w:ascii="Arial" w:hAnsi="Arial" w:cs="Arial"/>
                <w:sz w:val="20"/>
                <w:szCs w:val="20"/>
                <w:lang w:val="en-US"/>
              </w:rPr>
              <w:t xml:space="preserve"> (</w:t>
            </w:r>
            <w:r w:rsidR="00AB0311" w:rsidRPr="00DA4C84">
              <w:rPr>
                <w:rFonts w:ascii="Arial" w:hAnsi="Arial" w:cs="Arial"/>
                <w:sz w:val="20"/>
                <w:szCs w:val="20"/>
                <w:lang w:val="en-US"/>
              </w:rPr>
              <w:t>g/ml tartaric acid)</w:t>
            </w:r>
          </w:p>
        </w:tc>
        <w:tc>
          <w:tcPr>
            <w:tcW w:w="4508" w:type="dxa"/>
          </w:tcPr>
          <w:p w14:paraId="655DE121" w14:textId="6D6EFD74" w:rsidR="00DA4C84" w:rsidRPr="00DA4C84" w:rsidRDefault="00DA4C84" w:rsidP="00E666B5">
            <w:pPr>
              <w:spacing w:line="360" w:lineRule="auto"/>
              <w:jc w:val="center"/>
              <w:rPr>
                <w:rFonts w:ascii="Arial" w:hAnsi="Arial" w:cs="Arial"/>
                <w:sz w:val="20"/>
                <w:szCs w:val="20"/>
              </w:rPr>
            </w:pPr>
            <w:r w:rsidRPr="00DA4C84">
              <w:rPr>
                <w:rFonts w:ascii="Arial" w:hAnsi="Arial" w:cs="Arial"/>
                <w:sz w:val="20"/>
                <w:szCs w:val="20"/>
                <w:lang w:val="en-US"/>
              </w:rPr>
              <w:t>0.0381</w:t>
            </w:r>
            <w:r w:rsidR="00AB0311">
              <w:rPr>
                <w:rFonts w:ascii="Arial" w:hAnsi="Arial" w:cs="Arial"/>
                <w:sz w:val="20"/>
                <w:szCs w:val="20"/>
                <w:lang w:val="en-US"/>
              </w:rPr>
              <w:t>±0.07</w:t>
            </w:r>
            <w:r w:rsidRPr="00DA4C84">
              <w:rPr>
                <w:rFonts w:ascii="Arial" w:hAnsi="Arial" w:cs="Arial"/>
                <w:sz w:val="20"/>
                <w:szCs w:val="20"/>
                <w:lang w:val="en-US"/>
              </w:rPr>
              <w:t xml:space="preserve"> </w:t>
            </w:r>
          </w:p>
        </w:tc>
      </w:tr>
      <w:tr w:rsidR="00DA4C84" w:rsidRPr="00DA4C84" w14:paraId="6630B041" w14:textId="77777777" w:rsidTr="00DA4C84">
        <w:tc>
          <w:tcPr>
            <w:tcW w:w="4508" w:type="dxa"/>
          </w:tcPr>
          <w:p w14:paraId="5A10B941" w14:textId="39E3E1EA" w:rsidR="00DA4C84" w:rsidRPr="00DA4C84" w:rsidRDefault="00DA4C84" w:rsidP="00E666B5">
            <w:pPr>
              <w:spacing w:line="360" w:lineRule="auto"/>
              <w:jc w:val="center"/>
              <w:rPr>
                <w:rFonts w:ascii="Arial" w:hAnsi="Arial" w:cs="Arial"/>
                <w:sz w:val="20"/>
                <w:szCs w:val="20"/>
              </w:rPr>
            </w:pPr>
            <w:r w:rsidRPr="00DA4C84">
              <w:rPr>
                <w:rFonts w:ascii="Arial" w:hAnsi="Arial" w:cs="Arial"/>
                <w:sz w:val="20"/>
                <w:szCs w:val="20"/>
              </w:rPr>
              <w:t>Vitamin C</w:t>
            </w:r>
            <w:r w:rsidR="00AB0311">
              <w:rPr>
                <w:rFonts w:ascii="Arial" w:hAnsi="Arial" w:cs="Arial"/>
                <w:sz w:val="20"/>
                <w:szCs w:val="20"/>
              </w:rPr>
              <w:t xml:space="preserve"> (</w:t>
            </w:r>
            <w:r w:rsidR="00AB0311" w:rsidRPr="00DA4C84">
              <w:rPr>
                <w:rFonts w:ascii="Arial" w:hAnsi="Arial" w:cs="Arial"/>
                <w:sz w:val="20"/>
                <w:szCs w:val="20"/>
                <w:lang w:val="en-US"/>
              </w:rPr>
              <w:t>mg/100ml</w:t>
            </w:r>
            <w:r w:rsidR="00AB0311">
              <w:rPr>
                <w:rFonts w:ascii="Arial" w:hAnsi="Arial" w:cs="Arial"/>
                <w:sz w:val="20"/>
                <w:szCs w:val="20"/>
                <w:lang w:val="en-US"/>
              </w:rPr>
              <w:t>)</w:t>
            </w:r>
          </w:p>
        </w:tc>
        <w:tc>
          <w:tcPr>
            <w:tcW w:w="4508" w:type="dxa"/>
          </w:tcPr>
          <w:p w14:paraId="4E9FDEBC" w14:textId="43FDE38E" w:rsidR="00DA4C84" w:rsidRPr="00DA4C84" w:rsidRDefault="00DA4C84" w:rsidP="00E666B5">
            <w:pPr>
              <w:spacing w:line="360" w:lineRule="auto"/>
              <w:jc w:val="center"/>
              <w:rPr>
                <w:rFonts w:ascii="Arial" w:hAnsi="Arial" w:cs="Arial"/>
                <w:sz w:val="20"/>
                <w:szCs w:val="20"/>
              </w:rPr>
            </w:pPr>
            <w:r w:rsidRPr="00DA4C84">
              <w:rPr>
                <w:rFonts w:ascii="Arial" w:hAnsi="Arial" w:cs="Arial"/>
                <w:sz w:val="20"/>
                <w:szCs w:val="20"/>
                <w:lang w:val="en-US"/>
              </w:rPr>
              <w:t>0.01</w:t>
            </w:r>
            <w:r w:rsidRPr="00DA4C84">
              <w:rPr>
                <w:rFonts w:ascii="Arial" w:hAnsi="Arial" w:cs="Arial"/>
                <w:sz w:val="20"/>
                <w:szCs w:val="20"/>
              </w:rPr>
              <w:t>6</w:t>
            </w:r>
            <w:r w:rsidR="00AB0311">
              <w:rPr>
                <w:rFonts w:ascii="Arial" w:hAnsi="Arial" w:cs="Arial"/>
                <w:sz w:val="20"/>
                <w:szCs w:val="20"/>
              </w:rPr>
              <w:t>±0.02</w:t>
            </w:r>
            <w:r w:rsidRPr="00DA4C84">
              <w:rPr>
                <w:rFonts w:ascii="Arial" w:hAnsi="Arial" w:cs="Arial"/>
                <w:sz w:val="20"/>
                <w:szCs w:val="20"/>
              </w:rPr>
              <w:t xml:space="preserve"> </w:t>
            </w:r>
          </w:p>
        </w:tc>
      </w:tr>
      <w:tr w:rsidR="00DA4C84" w:rsidRPr="00DA4C84" w14:paraId="15DA2B70" w14:textId="77777777" w:rsidTr="00DA4C84">
        <w:tc>
          <w:tcPr>
            <w:tcW w:w="4508" w:type="dxa"/>
          </w:tcPr>
          <w:p w14:paraId="74E6A545" w14:textId="353A5BC7" w:rsidR="00DA4C84" w:rsidRPr="00DA4C84" w:rsidRDefault="00DA4C84" w:rsidP="00E666B5">
            <w:pPr>
              <w:spacing w:line="360" w:lineRule="auto"/>
              <w:jc w:val="center"/>
              <w:rPr>
                <w:rFonts w:ascii="Arial" w:hAnsi="Arial" w:cs="Arial"/>
                <w:sz w:val="20"/>
                <w:szCs w:val="20"/>
              </w:rPr>
            </w:pPr>
            <w:r w:rsidRPr="00DA4C84">
              <w:rPr>
                <w:rFonts w:ascii="Arial" w:hAnsi="Arial" w:cs="Arial"/>
                <w:sz w:val="20"/>
                <w:szCs w:val="20"/>
                <w:lang w:val="en-US"/>
              </w:rPr>
              <w:t>Antioxidant scavenging activity (DPPH)</w:t>
            </w:r>
            <w:r w:rsidR="003C437E">
              <w:rPr>
                <w:rFonts w:ascii="Arial" w:hAnsi="Arial" w:cs="Arial"/>
                <w:sz w:val="20"/>
                <w:szCs w:val="20"/>
                <w:lang w:val="en-US"/>
              </w:rPr>
              <w:t xml:space="preserve"> (</w:t>
            </w:r>
            <w:r w:rsidR="003C437E" w:rsidRPr="00DA4C84">
              <w:rPr>
                <w:rFonts w:ascii="Arial" w:hAnsi="Arial" w:cs="Arial"/>
                <w:sz w:val="20"/>
                <w:szCs w:val="20"/>
              </w:rPr>
              <w:t>%</w:t>
            </w:r>
            <w:r w:rsidR="003C437E">
              <w:rPr>
                <w:rFonts w:ascii="Arial" w:hAnsi="Arial" w:cs="Arial"/>
                <w:sz w:val="20"/>
                <w:szCs w:val="20"/>
              </w:rPr>
              <w:t>)</w:t>
            </w:r>
          </w:p>
        </w:tc>
        <w:tc>
          <w:tcPr>
            <w:tcW w:w="4508" w:type="dxa"/>
          </w:tcPr>
          <w:p w14:paraId="4F5F4B57" w14:textId="1C68FD57" w:rsidR="00DA4C84" w:rsidRPr="00DA4C84" w:rsidRDefault="00DA4C84" w:rsidP="00E666B5">
            <w:pPr>
              <w:spacing w:line="360" w:lineRule="auto"/>
              <w:jc w:val="center"/>
              <w:rPr>
                <w:rFonts w:ascii="Arial" w:hAnsi="Arial" w:cs="Arial"/>
                <w:sz w:val="20"/>
                <w:szCs w:val="20"/>
              </w:rPr>
            </w:pPr>
            <w:r w:rsidRPr="00DA4C84">
              <w:rPr>
                <w:rFonts w:ascii="Arial" w:hAnsi="Arial" w:cs="Arial"/>
                <w:sz w:val="20"/>
                <w:szCs w:val="20"/>
                <w:lang w:val="en-US"/>
              </w:rPr>
              <w:t>41.72</w:t>
            </w:r>
            <w:r w:rsidR="00AB0311">
              <w:rPr>
                <w:rFonts w:ascii="Arial" w:hAnsi="Arial" w:cs="Arial"/>
                <w:sz w:val="20"/>
                <w:szCs w:val="20"/>
                <w:lang w:val="en-US"/>
              </w:rPr>
              <w:t>±0.09</w:t>
            </w:r>
          </w:p>
        </w:tc>
      </w:tr>
      <w:tr w:rsidR="00DA4C84" w:rsidRPr="00DA4C84" w14:paraId="7614903B" w14:textId="77777777" w:rsidTr="00DA4C84">
        <w:tc>
          <w:tcPr>
            <w:tcW w:w="4508" w:type="dxa"/>
          </w:tcPr>
          <w:p w14:paraId="6DC13190" w14:textId="24CF343E" w:rsidR="00DA4C84" w:rsidRPr="00DA4C84" w:rsidRDefault="00DA4C84" w:rsidP="00E666B5">
            <w:pPr>
              <w:spacing w:line="360" w:lineRule="auto"/>
              <w:jc w:val="center"/>
              <w:rPr>
                <w:rFonts w:ascii="Arial" w:hAnsi="Arial" w:cs="Arial"/>
                <w:sz w:val="20"/>
                <w:szCs w:val="20"/>
              </w:rPr>
            </w:pPr>
            <w:r w:rsidRPr="00DA4C84">
              <w:rPr>
                <w:rFonts w:ascii="Arial" w:hAnsi="Arial" w:cs="Arial"/>
                <w:sz w:val="20"/>
                <w:szCs w:val="20"/>
                <w:lang w:val="en-US"/>
              </w:rPr>
              <w:t>Reducing sugar</w:t>
            </w:r>
            <w:r w:rsidR="00AB0311">
              <w:rPr>
                <w:rFonts w:ascii="Arial" w:hAnsi="Arial" w:cs="Arial"/>
                <w:sz w:val="20"/>
                <w:szCs w:val="20"/>
                <w:lang w:val="en-US"/>
              </w:rPr>
              <w:t xml:space="preserve"> (</w:t>
            </w:r>
            <w:r w:rsidR="00AB0311" w:rsidRPr="00DA4C84">
              <w:rPr>
                <w:rFonts w:ascii="Arial" w:hAnsi="Arial" w:cs="Arial"/>
                <w:sz w:val="20"/>
                <w:szCs w:val="20"/>
              </w:rPr>
              <w:t>%</w:t>
            </w:r>
            <w:r w:rsidR="00AB0311">
              <w:rPr>
                <w:rFonts w:ascii="Arial" w:hAnsi="Arial" w:cs="Arial"/>
                <w:sz w:val="20"/>
                <w:szCs w:val="20"/>
              </w:rPr>
              <w:t>)</w:t>
            </w:r>
          </w:p>
        </w:tc>
        <w:tc>
          <w:tcPr>
            <w:tcW w:w="4508" w:type="dxa"/>
          </w:tcPr>
          <w:p w14:paraId="27976543" w14:textId="7A1210FB" w:rsidR="00DA4C84" w:rsidRPr="00DA4C84" w:rsidRDefault="00DA4C84" w:rsidP="00E666B5">
            <w:pPr>
              <w:spacing w:line="360" w:lineRule="auto"/>
              <w:jc w:val="center"/>
              <w:rPr>
                <w:rFonts w:ascii="Arial" w:hAnsi="Arial" w:cs="Arial"/>
                <w:sz w:val="20"/>
                <w:szCs w:val="20"/>
              </w:rPr>
            </w:pPr>
            <w:r w:rsidRPr="00DA4C84">
              <w:rPr>
                <w:rFonts w:ascii="Arial" w:hAnsi="Arial" w:cs="Arial"/>
                <w:sz w:val="20"/>
                <w:szCs w:val="20"/>
              </w:rPr>
              <w:t>21.42</w:t>
            </w:r>
            <w:r w:rsidR="00AB0311">
              <w:rPr>
                <w:rFonts w:ascii="Arial" w:hAnsi="Arial" w:cs="Arial"/>
                <w:sz w:val="20"/>
                <w:szCs w:val="20"/>
              </w:rPr>
              <w:t>±0.1</w:t>
            </w:r>
          </w:p>
        </w:tc>
      </w:tr>
      <w:tr w:rsidR="00DA4C84" w:rsidRPr="00DA4C84" w14:paraId="7C5D681D" w14:textId="77777777" w:rsidTr="00DA4C84">
        <w:tc>
          <w:tcPr>
            <w:tcW w:w="4508" w:type="dxa"/>
          </w:tcPr>
          <w:p w14:paraId="0DEE1FEC" w14:textId="70B9F1E4" w:rsidR="00DA4C84" w:rsidRPr="00DA4C84" w:rsidRDefault="00DA4C84" w:rsidP="00E666B5">
            <w:pPr>
              <w:spacing w:line="360" w:lineRule="auto"/>
              <w:jc w:val="center"/>
              <w:rPr>
                <w:rFonts w:ascii="Arial" w:hAnsi="Arial" w:cs="Arial"/>
                <w:sz w:val="20"/>
                <w:szCs w:val="20"/>
                <w:lang w:val="en-US"/>
              </w:rPr>
            </w:pPr>
            <w:r w:rsidRPr="00DA4C84">
              <w:rPr>
                <w:rFonts w:ascii="Arial" w:hAnsi="Arial" w:cs="Arial"/>
                <w:sz w:val="20"/>
                <w:szCs w:val="20"/>
                <w:lang w:val="en-US"/>
              </w:rPr>
              <w:lastRenderedPageBreak/>
              <w:t>Alcohol content</w:t>
            </w:r>
            <w:r w:rsidR="003C437E">
              <w:rPr>
                <w:rFonts w:ascii="Arial" w:hAnsi="Arial" w:cs="Arial"/>
                <w:sz w:val="20"/>
                <w:szCs w:val="20"/>
                <w:lang w:val="en-US"/>
              </w:rPr>
              <w:t xml:space="preserve"> (</w:t>
            </w:r>
            <w:r w:rsidR="003C437E" w:rsidRPr="00DA4C84">
              <w:rPr>
                <w:rFonts w:ascii="Arial" w:hAnsi="Arial" w:cs="Arial"/>
                <w:sz w:val="20"/>
                <w:szCs w:val="20"/>
              </w:rPr>
              <w:t>%</w:t>
            </w:r>
            <w:r w:rsidR="003C437E">
              <w:rPr>
                <w:rFonts w:ascii="Arial" w:hAnsi="Arial" w:cs="Arial"/>
                <w:sz w:val="20"/>
                <w:szCs w:val="20"/>
              </w:rPr>
              <w:t>)</w:t>
            </w:r>
          </w:p>
        </w:tc>
        <w:tc>
          <w:tcPr>
            <w:tcW w:w="4508" w:type="dxa"/>
          </w:tcPr>
          <w:p w14:paraId="034B5736" w14:textId="12500A4F" w:rsidR="00DA4C84" w:rsidRPr="00DA4C84" w:rsidRDefault="00DA4C84" w:rsidP="00E666B5">
            <w:pPr>
              <w:spacing w:line="360" w:lineRule="auto"/>
              <w:jc w:val="center"/>
              <w:rPr>
                <w:rFonts w:ascii="Arial" w:hAnsi="Arial" w:cs="Arial"/>
                <w:sz w:val="20"/>
                <w:szCs w:val="20"/>
              </w:rPr>
            </w:pPr>
            <w:r w:rsidRPr="00DA4C84">
              <w:rPr>
                <w:rFonts w:ascii="Arial" w:hAnsi="Arial" w:cs="Arial"/>
                <w:sz w:val="20"/>
                <w:szCs w:val="20"/>
              </w:rPr>
              <w:t>7</w:t>
            </w:r>
            <w:r w:rsidR="00AB0311">
              <w:rPr>
                <w:rFonts w:ascii="Arial" w:hAnsi="Arial" w:cs="Arial"/>
                <w:sz w:val="20"/>
                <w:szCs w:val="20"/>
              </w:rPr>
              <w:t>±0.4</w:t>
            </w:r>
          </w:p>
        </w:tc>
      </w:tr>
      <w:tr w:rsidR="00DA4C84" w:rsidRPr="00DA4C84" w14:paraId="755A5E9F" w14:textId="77777777" w:rsidTr="00DA4C84">
        <w:tc>
          <w:tcPr>
            <w:tcW w:w="4508" w:type="dxa"/>
            <w:tcBorders>
              <w:bottom w:val="single" w:sz="4" w:space="0" w:color="auto"/>
            </w:tcBorders>
          </w:tcPr>
          <w:p w14:paraId="267014E7" w14:textId="77777777" w:rsidR="00DA4C84" w:rsidRPr="00DA4C84" w:rsidRDefault="00DA4C84" w:rsidP="00E666B5">
            <w:pPr>
              <w:spacing w:line="360" w:lineRule="auto"/>
              <w:jc w:val="center"/>
              <w:rPr>
                <w:rFonts w:ascii="Arial" w:hAnsi="Arial" w:cs="Arial"/>
                <w:sz w:val="20"/>
                <w:szCs w:val="20"/>
                <w:lang w:val="en-US"/>
              </w:rPr>
            </w:pPr>
            <w:r w:rsidRPr="00DA4C84">
              <w:rPr>
                <w:rFonts w:ascii="Arial" w:hAnsi="Arial" w:cs="Arial"/>
                <w:sz w:val="20"/>
                <w:szCs w:val="20"/>
                <w:lang w:val="en-US"/>
              </w:rPr>
              <w:t>Color</w:t>
            </w:r>
          </w:p>
          <w:p w14:paraId="34DEAFC5" w14:textId="77777777" w:rsidR="00DA4C84" w:rsidRPr="00DA4C84" w:rsidRDefault="00DA4C84" w:rsidP="00E666B5">
            <w:pPr>
              <w:spacing w:line="360" w:lineRule="auto"/>
              <w:jc w:val="center"/>
              <w:rPr>
                <w:rFonts w:ascii="Arial" w:hAnsi="Arial" w:cs="Arial"/>
                <w:sz w:val="20"/>
                <w:szCs w:val="20"/>
                <w:lang w:val="en-US"/>
              </w:rPr>
            </w:pPr>
            <w:r w:rsidRPr="00DA4C84">
              <w:rPr>
                <w:rFonts w:ascii="Arial" w:hAnsi="Arial" w:cs="Arial"/>
                <w:sz w:val="20"/>
                <w:szCs w:val="20"/>
                <w:lang w:val="en-US"/>
              </w:rPr>
              <w:t>L*</w:t>
            </w:r>
          </w:p>
          <w:p w14:paraId="5E09E7D7" w14:textId="77777777" w:rsidR="00DA4C84" w:rsidRPr="00DA4C84" w:rsidRDefault="00DA4C84" w:rsidP="00E666B5">
            <w:pPr>
              <w:spacing w:line="360" w:lineRule="auto"/>
              <w:jc w:val="center"/>
              <w:rPr>
                <w:rFonts w:ascii="Arial" w:hAnsi="Arial" w:cs="Arial"/>
                <w:sz w:val="20"/>
                <w:szCs w:val="20"/>
                <w:lang w:val="en-US"/>
              </w:rPr>
            </w:pPr>
            <w:r w:rsidRPr="00DA4C84">
              <w:rPr>
                <w:rFonts w:ascii="Arial" w:hAnsi="Arial" w:cs="Arial"/>
                <w:sz w:val="20"/>
                <w:szCs w:val="20"/>
                <w:lang w:val="en-US"/>
              </w:rPr>
              <w:t>a*</w:t>
            </w:r>
          </w:p>
          <w:p w14:paraId="3D1003B0" w14:textId="77777777" w:rsidR="00DA4C84" w:rsidRPr="00DA4C84" w:rsidRDefault="00DA4C84" w:rsidP="00E666B5">
            <w:pPr>
              <w:spacing w:line="360" w:lineRule="auto"/>
              <w:jc w:val="center"/>
              <w:rPr>
                <w:rFonts w:ascii="Arial" w:hAnsi="Arial" w:cs="Arial"/>
                <w:sz w:val="20"/>
                <w:szCs w:val="20"/>
                <w:lang w:val="en-US"/>
              </w:rPr>
            </w:pPr>
            <w:r w:rsidRPr="00DA4C84">
              <w:rPr>
                <w:rFonts w:ascii="Arial" w:hAnsi="Arial" w:cs="Arial"/>
                <w:sz w:val="20"/>
                <w:szCs w:val="20"/>
                <w:lang w:val="en-US"/>
              </w:rPr>
              <w:t>b*</w:t>
            </w:r>
          </w:p>
        </w:tc>
        <w:tc>
          <w:tcPr>
            <w:tcW w:w="4508" w:type="dxa"/>
            <w:tcBorders>
              <w:bottom w:val="single" w:sz="4" w:space="0" w:color="auto"/>
            </w:tcBorders>
          </w:tcPr>
          <w:p w14:paraId="2A6A55F3" w14:textId="77777777" w:rsidR="00DA4C84" w:rsidRPr="00DA4C84" w:rsidRDefault="00DA4C84" w:rsidP="00E666B5">
            <w:pPr>
              <w:spacing w:line="360" w:lineRule="auto"/>
              <w:jc w:val="center"/>
              <w:rPr>
                <w:rFonts w:ascii="Arial" w:hAnsi="Arial" w:cs="Arial"/>
                <w:sz w:val="20"/>
                <w:szCs w:val="20"/>
                <w:lang w:val="en-US"/>
              </w:rPr>
            </w:pPr>
          </w:p>
          <w:p w14:paraId="4C700B0A" w14:textId="13F0973A" w:rsidR="00DA4C84" w:rsidRPr="00DA4C84" w:rsidRDefault="00DA4C84" w:rsidP="00E666B5">
            <w:pPr>
              <w:spacing w:line="360" w:lineRule="auto"/>
              <w:jc w:val="center"/>
              <w:rPr>
                <w:rFonts w:ascii="Arial" w:hAnsi="Arial" w:cs="Arial"/>
                <w:sz w:val="20"/>
                <w:szCs w:val="20"/>
              </w:rPr>
            </w:pPr>
            <w:r w:rsidRPr="00DA4C84">
              <w:rPr>
                <w:rFonts w:ascii="Arial" w:hAnsi="Arial" w:cs="Arial"/>
                <w:sz w:val="20"/>
                <w:szCs w:val="20"/>
              </w:rPr>
              <w:t>68.25</w:t>
            </w:r>
            <w:r w:rsidR="00AB0311">
              <w:rPr>
                <w:rFonts w:ascii="Arial" w:hAnsi="Arial" w:cs="Arial"/>
                <w:sz w:val="20"/>
                <w:szCs w:val="20"/>
              </w:rPr>
              <w:t>±0.03</w:t>
            </w:r>
          </w:p>
          <w:p w14:paraId="01646E94" w14:textId="6EB40895" w:rsidR="00DA4C84" w:rsidRPr="00DA4C84" w:rsidRDefault="00DA4C84" w:rsidP="00E666B5">
            <w:pPr>
              <w:spacing w:line="360" w:lineRule="auto"/>
              <w:jc w:val="center"/>
              <w:rPr>
                <w:rFonts w:ascii="Arial" w:hAnsi="Arial" w:cs="Arial"/>
                <w:sz w:val="20"/>
                <w:szCs w:val="20"/>
              </w:rPr>
            </w:pPr>
            <w:r w:rsidRPr="00DA4C84">
              <w:rPr>
                <w:rFonts w:ascii="Arial" w:hAnsi="Arial" w:cs="Arial"/>
                <w:sz w:val="20"/>
                <w:szCs w:val="20"/>
              </w:rPr>
              <w:t>2.02</w:t>
            </w:r>
            <w:r w:rsidR="00AB0311">
              <w:rPr>
                <w:rFonts w:ascii="Arial" w:hAnsi="Arial" w:cs="Arial"/>
                <w:sz w:val="20"/>
                <w:szCs w:val="20"/>
              </w:rPr>
              <w:t>±0.02</w:t>
            </w:r>
          </w:p>
          <w:p w14:paraId="04F2E57B" w14:textId="5F53D909" w:rsidR="00DA4C84" w:rsidRPr="00DA4C84" w:rsidRDefault="00DA4C84" w:rsidP="00E666B5">
            <w:pPr>
              <w:spacing w:line="360" w:lineRule="auto"/>
              <w:jc w:val="center"/>
              <w:rPr>
                <w:rFonts w:ascii="Arial" w:hAnsi="Arial" w:cs="Arial"/>
                <w:sz w:val="20"/>
                <w:szCs w:val="20"/>
                <w:lang w:val="en-US"/>
              </w:rPr>
            </w:pPr>
            <w:r w:rsidRPr="00DA4C84">
              <w:rPr>
                <w:rFonts w:ascii="Arial" w:hAnsi="Arial" w:cs="Arial"/>
                <w:sz w:val="20"/>
                <w:szCs w:val="20"/>
              </w:rPr>
              <w:t>11.03</w:t>
            </w:r>
            <w:r w:rsidR="00AB0311">
              <w:rPr>
                <w:rFonts w:ascii="Arial" w:hAnsi="Arial" w:cs="Arial"/>
                <w:sz w:val="20"/>
                <w:szCs w:val="20"/>
              </w:rPr>
              <w:t>±0.03</w:t>
            </w:r>
          </w:p>
        </w:tc>
      </w:tr>
    </w:tbl>
    <w:p w14:paraId="711226B8" w14:textId="77777777" w:rsidR="00DA4C84" w:rsidRDefault="00DA4C84" w:rsidP="007009B3">
      <w:pPr>
        <w:spacing w:line="360" w:lineRule="auto"/>
        <w:jc w:val="both"/>
        <w:rPr>
          <w:rFonts w:ascii="Arial" w:hAnsi="Arial" w:cs="Arial"/>
          <w:b/>
          <w:bCs/>
          <w:sz w:val="20"/>
          <w:szCs w:val="20"/>
        </w:rPr>
      </w:pPr>
    </w:p>
    <w:p w14:paraId="0840290A" w14:textId="39A7AFDB" w:rsidR="00965669" w:rsidRPr="00EB51F4" w:rsidRDefault="00965669" w:rsidP="007009B3">
      <w:pPr>
        <w:spacing w:line="360" w:lineRule="auto"/>
        <w:jc w:val="both"/>
        <w:rPr>
          <w:rFonts w:ascii="Arial" w:hAnsi="Arial" w:cs="Arial"/>
          <w:b/>
          <w:bCs/>
        </w:rPr>
      </w:pPr>
      <w:r w:rsidRPr="00EB51F4">
        <w:rPr>
          <w:rFonts w:ascii="Arial" w:hAnsi="Arial" w:cs="Arial"/>
          <w:b/>
          <w:bCs/>
        </w:rPr>
        <w:t>3.2 Quality Analysis of Cocoa Mucilage Wine</w:t>
      </w:r>
    </w:p>
    <w:p w14:paraId="2F610BCF" w14:textId="10EDC0CD" w:rsidR="00477467" w:rsidRPr="007009B3" w:rsidRDefault="00965669" w:rsidP="003C437E">
      <w:pPr>
        <w:spacing w:line="360" w:lineRule="auto"/>
        <w:jc w:val="both"/>
        <w:rPr>
          <w:rFonts w:ascii="Arial" w:hAnsi="Arial" w:cs="Arial"/>
          <w:sz w:val="20"/>
          <w:szCs w:val="20"/>
        </w:rPr>
      </w:pPr>
      <w:r w:rsidRPr="007009B3">
        <w:rPr>
          <w:rFonts w:ascii="Arial" w:hAnsi="Arial" w:cs="Arial"/>
          <w:sz w:val="20"/>
          <w:szCs w:val="20"/>
        </w:rPr>
        <w:t xml:space="preserve">Alcohol content of the wine was found to be 7.4%. Alcohol content increases as </w:t>
      </w:r>
      <w:r w:rsidR="00F054ED" w:rsidRPr="007009B3">
        <w:rPr>
          <w:rFonts w:ascii="Arial" w:hAnsi="Arial" w:cs="Arial"/>
          <w:sz w:val="20"/>
          <w:szCs w:val="20"/>
        </w:rPr>
        <w:t>fermentation</w:t>
      </w:r>
      <w:r w:rsidRPr="007009B3">
        <w:rPr>
          <w:rFonts w:ascii="Arial" w:hAnsi="Arial" w:cs="Arial"/>
          <w:sz w:val="20"/>
          <w:szCs w:val="20"/>
        </w:rPr>
        <w:t xml:space="preserve"> continues. It is due to the steeped decrease of TSS during </w:t>
      </w:r>
      <w:r w:rsidR="00F054ED" w:rsidRPr="007009B3">
        <w:rPr>
          <w:rFonts w:ascii="Arial" w:hAnsi="Arial" w:cs="Arial"/>
          <w:sz w:val="20"/>
          <w:szCs w:val="20"/>
        </w:rPr>
        <w:t>fermentation</w:t>
      </w:r>
      <w:r w:rsidRPr="007009B3">
        <w:rPr>
          <w:rFonts w:ascii="Arial" w:hAnsi="Arial" w:cs="Arial"/>
          <w:sz w:val="20"/>
          <w:szCs w:val="20"/>
        </w:rPr>
        <w:t>. This is attributed to high fermentability of wine, due to the availability of high amount of sugar (</w:t>
      </w:r>
      <w:proofErr w:type="spellStart"/>
      <w:r w:rsidRPr="007009B3">
        <w:rPr>
          <w:rFonts w:ascii="Arial" w:hAnsi="Arial" w:cs="Arial"/>
          <w:sz w:val="20"/>
          <w:szCs w:val="20"/>
        </w:rPr>
        <w:t>Thungbeni</w:t>
      </w:r>
      <w:proofErr w:type="spellEnd"/>
      <w:r w:rsidRPr="007009B3">
        <w:rPr>
          <w:rFonts w:ascii="Arial" w:hAnsi="Arial" w:cs="Arial"/>
          <w:sz w:val="20"/>
          <w:szCs w:val="20"/>
        </w:rPr>
        <w:t xml:space="preserve"> et al., 2020).</w:t>
      </w:r>
      <w:r w:rsidR="0068392A">
        <w:rPr>
          <w:rFonts w:ascii="Arial" w:hAnsi="Arial" w:cs="Arial"/>
          <w:sz w:val="20"/>
          <w:szCs w:val="20"/>
        </w:rPr>
        <w:t xml:space="preserve"> </w:t>
      </w:r>
      <w:r w:rsidR="0086231D" w:rsidRPr="0086231D">
        <w:rPr>
          <w:rFonts w:ascii="Arial" w:hAnsi="Arial" w:cs="Arial"/>
          <w:sz w:val="20"/>
          <w:szCs w:val="20"/>
        </w:rPr>
        <w:t>Cocoa mucilage contains less sugar compared to wine because additional sucrose is typically added during wine fermentation. This added sugar causes an initial increase in the sugar content of wine, serving to activate the yeast and initiate alcoholic fermentation. Over time, as the wine ages, the sugar content decreases as it is consumed during the fermentation process.</w:t>
      </w:r>
      <w:r w:rsidR="0086231D">
        <w:rPr>
          <w:rFonts w:ascii="Arial" w:hAnsi="Arial" w:cs="Arial"/>
          <w:sz w:val="20"/>
          <w:szCs w:val="20"/>
        </w:rPr>
        <w:t xml:space="preserve"> </w:t>
      </w:r>
      <w:r w:rsidR="0068392A" w:rsidRPr="007009B3">
        <w:rPr>
          <w:rFonts w:ascii="Arial" w:hAnsi="Arial" w:cs="Arial"/>
          <w:sz w:val="20"/>
          <w:szCs w:val="20"/>
        </w:rPr>
        <w:t>It was observed that alcohol generally had a greater impact on taste and mouthfeel characteristics than fragrance descriptors (King et al., 2013).</w:t>
      </w:r>
      <w:r w:rsidR="0086231D">
        <w:rPr>
          <w:rFonts w:ascii="Arial" w:hAnsi="Arial" w:cs="Arial"/>
          <w:sz w:val="20"/>
          <w:szCs w:val="20"/>
        </w:rPr>
        <w:t xml:space="preserve"> </w:t>
      </w:r>
    </w:p>
    <w:p w14:paraId="6CA87E56" w14:textId="77777777" w:rsidR="00DC1C40" w:rsidRDefault="00DC1C40" w:rsidP="00DC1C40">
      <w:pPr>
        <w:spacing w:line="360" w:lineRule="auto"/>
        <w:rPr>
          <w:rFonts w:ascii="Arial" w:hAnsi="Arial" w:cs="Arial"/>
          <w:b/>
          <w:bCs/>
        </w:rPr>
      </w:pPr>
      <w:r>
        <w:rPr>
          <w:rFonts w:ascii="Arial" w:hAnsi="Arial" w:cs="Arial"/>
          <w:b/>
          <w:bCs/>
        </w:rPr>
        <w:t>4. CONCLUSION</w:t>
      </w:r>
    </w:p>
    <w:p w14:paraId="0EA06CC6" w14:textId="1CB4C696" w:rsidR="003C437E" w:rsidRPr="008E77B8" w:rsidRDefault="00C276C8" w:rsidP="008E77B8">
      <w:pPr>
        <w:spacing w:line="360" w:lineRule="auto"/>
        <w:jc w:val="both"/>
        <w:rPr>
          <w:rFonts w:ascii="Arial" w:hAnsi="Arial" w:cs="Arial"/>
          <w:sz w:val="20"/>
          <w:szCs w:val="20"/>
        </w:rPr>
      </w:pPr>
      <w:r w:rsidRPr="00C276C8">
        <w:rPr>
          <w:rFonts w:ascii="Arial" w:hAnsi="Arial" w:cs="Arial"/>
          <w:sz w:val="20"/>
          <w:szCs w:val="20"/>
        </w:rPr>
        <w:t>To improve food processing methods and create novel cocoa-based products, it is essential to research the physicochemical characteristics of cocoa. Enhancing processing efficiency, storage, and handling requires consideration of parameters such as total soluble solids (TSS), pH, acidity, antioxidant activity (DPPH), total phenolic content (TPC), ascorbic acid, reducing sugars, and colour.</w:t>
      </w:r>
      <w:r>
        <w:rPr>
          <w:rFonts w:ascii="Arial" w:hAnsi="Arial" w:cs="Arial"/>
          <w:sz w:val="20"/>
          <w:szCs w:val="20"/>
        </w:rPr>
        <w:t xml:space="preserve"> </w:t>
      </w:r>
      <w:r w:rsidRPr="00C276C8">
        <w:rPr>
          <w:rFonts w:ascii="Arial" w:hAnsi="Arial" w:cs="Arial"/>
          <w:sz w:val="20"/>
          <w:szCs w:val="20"/>
        </w:rPr>
        <w:t xml:space="preserve">This information helps to increase overall processing effectiveness, reduce waste, and produce high-quality products. These characteristics have a big impact on shelf life and product preservation, and they also affect customer appeal. Cocoa quality can be raised and </w:t>
      </w:r>
      <w:r>
        <w:rPr>
          <w:rFonts w:ascii="Arial" w:hAnsi="Arial" w:cs="Arial"/>
          <w:sz w:val="20"/>
          <w:szCs w:val="20"/>
        </w:rPr>
        <w:t>post-harvest handling losses c</w:t>
      </w:r>
      <w:r w:rsidRPr="00C276C8">
        <w:rPr>
          <w:rFonts w:ascii="Arial" w:hAnsi="Arial" w:cs="Arial"/>
          <w:sz w:val="20"/>
          <w:szCs w:val="20"/>
        </w:rPr>
        <w:t xml:space="preserve">an be greatly decreased by improving </w:t>
      </w:r>
      <w:r>
        <w:rPr>
          <w:rFonts w:ascii="Arial" w:hAnsi="Arial" w:cs="Arial"/>
          <w:sz w:val="20"/>
          <w:szCs w:val="20"/>
        </w:rPr>
        <w:t>its by-product utilization through wine fermentation.</w:t>
      </w:r>
    </w:p>
    <w:p w14:paraId="5ABFB246" w14:textId="77777777" w:rsidR="002E7A78" w:rsidRDefault="002E7A78" w:rsidP="007009B3">
      <w:pPr>
        <w:spacing w:line="360" w:lineRule="auto"/>
        <w:jc w:val="both"/>
        <w:rPr>
          <w:rFonts w:ascii="Arial" w:hAnsi="Arial" w:cs="Arial"/>
          <w:b/>
          <w:bCs/>
        </w:rPr>
      </w:pPr>
    </w:p>
    <w:p w14:paraId="79C267DB" w14:textId="3B522E1C" w:rsidR="00477467" w:rsidRPr="007009B3" w:rsidRDefault="00477467" w:rsidP="007009B3">
      <w:pPr>
        <w:spacing w:line="360" w:lineRule="auto"/>
        <w:jc w:val="both"/>
        <w:rPr>
          <w:rFonts w:ascii="Arial" w:hAnsi="Arial" w:cs="Arial"/>
          <w:b/>
          <w:bCs/>
        </w:rPr>
      </w:pPr>
      <w:bookmarkStart w:id="0" w:name="_GoBack"/>
      <w:bookmarkEnd w:id="0"/>
      <w:r w:rsidRPr="007009B3">
        <w:rPr>
          <w:rFonts w:ascii="Arial" w:hAnsi="Arial" w:cs="Arial"/>
          <w:b/>
          <w:bCs/>
        </w:rPr>
        <w:t>REFEERENCES</w:t>
      </w:r>
    </w:p>
    <w:p w14:paraId="229B85FD" w14:textId="77777777" w:rsidR="008E77B8" w:rsidRPr="007009B3" w:rsidRDefault="008E77B8" w:rsidP="00DC1C40">
      <w:pPr>
        <w:spacing w:line="360" w:lineRule="auto"/>
        <w:ind w:firstLine="720"/>
        <w:jc w:val="both"/>
        <w:rPr>
          <w:rFonts w:ascii="Arial" w:hAnsi="Arial" w:cs="Arial"/>
          <w:sz w:val="20"/>
          <w:szCs w:val="20"/>
        </w:rPr>
      </w:pPr>
      <w:r w:rsidRPr="007009B3">
        <w:rPr>
          <w:rFonts w:ascii="Arial" w:hAnsi="Arial" w:cs="Arial"/>
          <w:sz w:val="20"/>
          <w:szCs w:val="20"/>
        </w:rPr>
        <w:t>AOAC. (2000). Official Methods of Analysis. Association of Official Analytical Chemists. Washington, D.C. 16th edition.</w:t>
      </w:r>
    </w:p>
    <w:p w14:paraId="436FF7FA" w14:textId="77777777" w:rsidR="008E77B8" w:rsidRPr="007009B3" w:rsidRDefault="008E77B8" w:rsidP="00DC1C40">
      <w:pPr>
        <w:spacing w:line="360" w:lineRule="auto"/>
        <w:ind w:firstLine="720"/>
        <w:jc w:val="both"/>
        <w:rPr>
          <w:rFonts w:ascii="Arial" w:hAnsi="Arial" w:cs="Arial"/>
          <w:sz w:val="20"/>
          <w:szCs w:val="20"/>
        </w:rPr>
      </w:pPr>
      <w:r w:rsidRPr="007009B3">
        <w:rPr>
          <w:rFonts w:ascii="Arial" w:hAnsi="Arial" w:cs="Arial"/>
          <w:sz w:val="20"/>
          <w:szCs w:val="20"/>
        </w:rPr>
        <w:t>AOAC. (2005). Official Methods of Analysis. Association of Official Analytical Chemists. Washington, DC.</w:t>
      </w:r>
    </w:p>
    <w:p w14:paraId="39890D15" w14:textId="77777777" w:rsidR="008E77B8" w:rsidRDefault="008E77B8" w:rsidP="00DC1C40">
      <w:pPr>
        <w:spacing w:line="360" w:lineRule="auto"/>
        <w:ind w:firstLine="720"/>
        <w:jc w:val="both"/>
        <w:rPr>
          <w:rFonts w:ascii="Arial" w:hAnsi="Arial" w:cs="Arial"/>
          <w:sz w:val="20"/>
          <w:szCs w:val="20"/>
        </w:rPr>
      </w:pPr>
      <w:proofErr w:type="spellStart"/>
      <w:r w:rsidRPr="004C2429">
        <w:rPr>
          <w:rFonts w:ascii="Arial" w:hAnsi="Arial" w:cs="Arial"/>
          <w:sz w:val="20"/>
          <w:szCs w:val="20"/>
        </w:rPr>
        <w:t>Czyzowska</w:t>
      </w:r>
      <w:proofErr w:type="spellEnd"/>
      <w:r w:rsidRPr="004C2429">
        <w:rPr>
          <w:rFonts w:ascii="Arial" w:hAnsi="Arial" w:cs="Arial"/>
          <w:sz w:val="20"/>
          <w:szCs w:val="20"/>
        </w:rPr>
        <w:t xml:space="preserve">, A., </w:t>
      </w:r>
      <w:proofErr w:type="spellStart"/>
      <w:r w:rsidRPr="004C2429">
        <w:rPr>
          <w:rFonts w:ascii="Arial" w:hAnsi="Arial" w:cs="Arial"/>
          <w:sz w:val="20"/>
          <w:szCs w:val="20"/>
        </w:rPr>
        <w:t>Klewicka</w:t>
      </w:r>
      <w:proofErr w:type="spellEnd"/>
      <w:r w:rsidRPr="004C2429">
        <w:rPr>
          <w:rFonts w:ascii="Arial" w:hAnsi="Arial" w:cs="Arial"/>
          <w:sz w:val="20"/>
          <w:szCs w:val="20"/>
        </w:rPr>
        <w:t xml:space="preserve">, E., Pogorzelski, E., &amp; Nowak, A. (2015). Polyphenols, vitamin C and antioxidant activity in wines from Rosa </w:t>
      </w:r>
      <w:proofErr w:type="spellStart"/>
      <w:r w:rsidRPr="004C2429">
        <w:rPr>
          <w:rFonts w:ascii="Arial" w:hAnsi="Arial" w:cs="Arial"/>
          <w:sz w:val="20"/>
          <w:szCs w:val="20"/>
        </w:rPr>
        <w:t>canina</w:t>
      </w:r>
      <w:proofErr w:type="spellEnd"/>
      <w:r w:rsidRPr="004C2429">
        <w:rPr>
          <w:rFonts w:ascii="Arial" w:hAnsi="Arial" w:cs="Arial"/>
          <w:sz w:val="20"/>
          <w:szCs w:val="20"/>
        </w:rPr>
        <w:t xml:space="preserve"> L. and Rosa rugosa </w:t>
      </w:r>
      <w:proofErr w:type="spellStart"/>
      <w:r w:rsidRPr="004C2429">
        <w:rPr>
          <w:rFonts w:ascii="Arial" w:hAnsi="Arial" w:cs="Arial"/>
          <w:sz w:val="20"/>
          <w:szCs w:val="20"/>
        </w:rPr>
        <w:t>Thunb</w:t>
      </w:r>
      <w:proofErr w:type="spellEnd"/>
      <w:r w:rsidRPr="004C2429">
        <w:rPr>
          <w:rFonts w:ascii="Arial" w:hAnsi="Arial" w:cs="Arial"/>
          <w:sz w:val="20"/>
          <w:szCs w:val="20"/>
        </w:rPr>
        <w:t xml:space="preserve">. </w:t>
      </w:r>
      <w:r w:rsidRPr="007E0D80">
        <w:rPr>
          <w:rFonts w:ascii="Arial" w:hAnsi="Arial" w:cs="Arial"/>
          <w:i/>
          <w:iCs/>
          <w:sz w:val="20"/>
          <w:szCs w:val="20"/>
        </w:rPr>
        <w:t>Journal of Food Composition and Analysis</w:t>
      </w:r>
      <w:r w:rsidRPr="004C2429">
        <w:rPr>
          <w:rFonts w:ascii="Arial" w:hAnsi="Arial" w:cs="Arial"/>
          <w:sz w:val="20"/>
          <w:szCs w:val="20"/>
        </w:rPr>
        <w:t>, 39, 62-68.</w:t>
      </w:r>
    </w:p>
    <w:p w14:paraId="59C7C19C" w14:textId="77777777" w:rsidR="008E77B8" w:rsidRPr="007009B3" w:rsidRDefault="008E77B8" w:rsidP="00015CED">
      <w:pPr>
        <w:spacing w:line="360" w:lineRule="auto"/>
        <w:ind w:firstLine="720"/>
        <w:jc w:val="both"/>
        <w:rPr>
          <w:rFonts w:ascii="Arial" w:hAnsi="Arial" w:cs="Arial"/>
          <w:sz w:val="20"/>
          <w:szCs w:val="20"/>
        </w:rPr>
      </w:pPr>
      <w:r w:rsidRPr="009F31F8">
        <w:rPr>
          <w:rFonts w:ascii="Arial" w:hAnsi="Arial" w:cs="Arial"/>
          <w:sz w:val="20"/>
          <w:szCs w:val="20"/>
        </w:rPr>
        <w:t xml:space="preserve">DCCD [Directorate of </w:t>
      </w:r>
      <w:proofErr w:type="spellStart"/>
      <w:r w:rsidRPr="009F31F8">
        <w:rPr>
          <w:rFonts w:ascii="Arial" w:hAnsi="Arial" w:cs="Arial"/>
          <w:sz w:val="20"/>
          <w:szCs w:val="20"/>
        </w:rPr>
        <w:t>Cashewnut</w:t>
      </w:r>
      <w:proofErr w:type="spellEnd"/>
      <w:r w:rsidRPr="009F31F8">
        <w:rPr>
          <w:rFonts w:ascii="Arial" w:hAnsi="Arial" w:cs="Arial"/>
          <w:sz w:val="20"/>
          <w:szCs w:val="20"/>
        </w:rPr>
        <w:t xml:space="preserve"> &amp; Cocoa Development]. 2021. DCCD home page [on line]. Available: https://www.dccd.gov.in. [14 Sep. 2021]</w:t>
      </w:r>
      <w:r>
        <w:rPr>
          <w:rFonts w:ascii="Arial" w:hAnsi="Arial" w:cs="Arial"/>
          <w:sz w:val="20"/>
          <w:szCs w:val="20"/>
        </w:rPr>
        <w:t>.</w:t>
      </w:r>
    </w:p>
    <w:p w14:paraId="5F5B557C" w14:textId="77777777" w:rsidR="008E77B8" w:rsidRDefault="008E77B8" w:rsidP="00DC1C40">
      <w:pPr>
        <w:spacing w:line="360" w:lineRule="auto"/>
        <w:ind w:firstLine="720"/>
        <w:jc w:val="both"/>
        <w:rPr>
          <w:rFonts w:ascii="Arial" w:hAnsi="Arial" w:cs="Arial"/>
          <w:sz w:val="20"/>
          <w:szCs w:val="20"/>
        </w:rPr>
      </w:pPr>
      <w:r w:rsidRPr="004C2429">
        <w:rPr>
          <w:rFonts w:ascii="Arial" w:hAnsi="Arial" w:cs="Arial"/>
          <w:sz w:val="20"/>
          <w:szCs w:val="20"/>
        </w:rPr>
        <w:lastRenderedPageBreak/>
        <w:t>Fernández-</w:t>
      </w:r>
      <w:proofErr w:type="spellStart"/>
      <w:r w:rsidRPr="004C2429">
        <w:rPr>
          <w:rFonts w:ascii="Arial" w:hAnsi="Arial" w:cs="Arial"/>
          <w:sz w:val="20"/>
          <w:szCs w:val="20"/>
        </w:rPr>
        <w:t>Pachón</w:t>
      </w:r>
      <w:proofErr w:type="spellEnd"/>
      <w:r w:rsidRPr="004C2429">
        <w:rPr>
          <w:rFonts w:ascii="Arial" w:hAnsi="Arial" w:cs="Arial"/>
          <w:sz w:val="20"/>
          <w:szCs w:val="20"/>
        </w:rPr>
        <w:t xml:space="preserve">, M. S., </w:t>
      </w:r>
      <w:proofErr w:type="spellStart"/>
      <w:r w:rsidRPr="004C2429">
        <w:rPr>
          <w:rFonts w:ascii="Arial" w:hAnsi="Arial" w:cs="Arial"/>
          <w:sz w:val="20"/>
          <w:szCs w:val="20"/>
        </w:rPr>
        <w:t>Villaño</w:t>
      </w:r>
      <w:proofErr w:type="spellEnd"/>
      <w:r w:rsidRPr="004C2429">
        <w:rPr>
          <w:rFonts w:ascii="Arial" w:hAnsi="Arial" w:cs="Arial"/>
          <w:sz w:val="20"/>
          <w:szCs w:val="20"/>
        </w:rPr>
        <w:t xml:space="preserve">, D., </w:t>
      </w:r>
      <w:proofErr w:type="spellStart"/>
      <w:r w:rsidRPr="004C2429">
        <w:rPr>
          <w:rFonts w:ascii="Arial" w:hAnsi="Arial" w:cs="Arial"/>
          <w:sz w:val="20"/>
          <w:szCs w:val="20"/>
        </w:rPr>
        <w:t>Garcıa</w:t>
      </w:r>
      <w:proofErr w:type="spellEnd"/>
      <w:r w:rsidRPr="004C2429">
        <w:rPr>
          <w:rFonts w:ascii="Arial" w:hAnsi="Arial" w:cs="Arial"/>
          <w:sz w:val="20"/>
          <w:szCs w:val="20"/>
        </w:rPr>
        <w:t xml:space="preserve">-Parrilla, M. C., &amp; </w:t>
      </w:r>
      <w:proofErr w:type="spellStart"/>
      <w:r w:rsidRPr="004C2429">
        <w:rPr>
          <w:rFonts w:ascii="Arial" w:hAnsi="Arial" w:cs="Arial"/>
          <w:sz w:val="20"/>
          <w:szCs w:val="20"/>
        </w:rPr>
        <w:t>Troncoso</w:t>
      </w:r>
      <w:proofErr w:type="spellEnd"/>
      <w:r w:rsidRPr="004C2429">
        <w:rPr>
          <w:rFonts w:ascii="Arial" w:hAnsi="Arial" w:cs="Arial"/>
          <w:sz w:val="20"/>
          <w:szCs w:val="20"/>
        </w:rPr>
        <w:t xml:space="preserve">, A. M. (2004). Antioxidant activity of wines and relation with their polyphenolic composition. </w:t>
      </w:r>
      <w:r w:rsidRPr="007E0D80">
        <w:rPr>
          <w:rFonts w:ascii="Arial" w:hAnsi="Arial" w:cs="Arial"/>
          <w:i/>
          <w:iCs/>
          <w:sz w:val="20"/>
          <w:szCs w:val="20"/>
        </w:rPr>
        <w:t xml:space="preserve">Analytica </w:t>
      </w:r>
      <w:proofErr w:type="spellStart"/>
      <w:r w:rsidRPr="007E0D80">
        <w:rPr>
          <w:rFonts w:ascii="Arial" w:hAnsi="Arial" w:cs="Arial"/>
          <w:i/>
          <w:iCs/>
          <w:sz w:val="20"/>
          <w:szCs w:val="20"/>
        </w:rPr>
        <w:t>Chimica</w:t>
      </w:r>
      <w:proofErr w:type="spellEnd"/>
      <w:r w:rsidRPr="007E0D80">
        <w:rPr>
          <w:rFonts w:ascii="Arial" w:hAnsi="Arial" w:cs="Arial"/>
          <w:i/>
          <w:iCs/>
          <w:sz w:val="20"/>
          <w:szCs w:val="20"/>
        </w:rPr>
        <w:t xml:space="preserve"> Acta</w:t>
      </w:r>
      <w:r w:rsidRPr="004C2429">
        <w:rPr>
          <w:rFonts w:ascii="Arial" w:hAnsi="Arial" w:cs="Arial"/>
          <w:sz w:val="20"/>
          <w:szCs w:val="20"/>
        </w:rPr>
        <w:t>, 513(1), 113-118.</w:t>
      </w:r>
    </w:p>
    <w:p w14:paraId="4DEB71C1" w14:textId="77777777" w:rsidR="008E77B8" w:rsidRDefault="008E77B8" w:rsidP="00DC1C40">
      <w:pPr>
        <w:spacing w:line="360" w:lineRule="auto"/>
        <w:ind w:firstLine="720"/>
        <w:jc w:val="both"/>
        <w:rPr>
          <w:rFonts w:ascii="Arial" w:hAnsi="Arial" w:cs="Arial"/>
          <w:sz w:val="20"/>
          <w:szCs w:val="20"/>
        </w:rPr>
      </w:pPr>
      <w:r w:rsidRPr="004C2429">
        <w:rPr>
          <w:rFonts w:ascii="Arial" w:hAnsi="Arial" w:cs="Arial"/>
          <w:sz w:val="20"/>
          <w:szCs w:val="20"/>
        </w:rPr>
        <w:t xml:space="preserve">Gao, H., Wen, J. J., Hu, J. L., </w:t>
      </w:r>
      <w:proofErr w:type="spellStart"/>
      <w:r w:rsidRPr="004C2429">
        <w:rPr>
          <w:rFonts w:ascii="Arial" w:hAnsi="Arial" w:cs="Arial"/>
          <w:sz w:val="20"/>
          <w:szCs w:val="20"/>
        </w:rPr>
        <w:t>Nie</w:t>
      </w:r>
      <w:proofErr w:type="spellEnd"/>
      <w:r w:rsidRPr="004C2429">
        <w:rPr>
          <w:rFonts w:ascii="Arial" w:hAnsi="Arial" w:cs="Arial"/>
          <w:sz w:val="20"/>
          <w:szCs w:val="20"/>
        </w:rPr>
        <w:t xml:space="preserve">, Q. X., Chen, H. H., </w:t>
      </w:r>
      <w:proofErr w:type="spellStart"/>
      <w:r w:rsidRPr="004C2429">
        <w:rPr>
          <w:rFonts w:ascii="Arial" w:hAnsi="Arial" w:cs="Arial"/>
          <w:sz w:val="20"/>
          <w:szCs w:val="20"/>
        </w:rPr>
        <w:t>Nie</w:t>
      </w:r>
      <w:proofErr w:type="spellEnd"/>
      <w:r w:rsidRPr="004C2429">
        <w:rPr>
          <w:rFonts w:ascii="Arial" w:hAnsi="Arial" w:cs="Arial"/>
          <w:sz w:val="20"/>
          <w:szCs w:val="20"/>
        </w:rPr>
        <w:t>, S. P.,</w:t>
      </w:r>
      <w:r>
        <w:rPr>
          <w:rFonts w:ascii="Arial" w:hAnsi="Arial" w:cs="Arial"/>
          <w:sz w:val="20"/>
          <w:szCs w:val="20"/>
        </w:rPr>
        <w:t xml:space="preserve"> </w:t>
      </w:r>
      <w:r w:rsidRPr="004C2429">
        <w:rPr>
          <w:rFonts w:ascii="Arial" w:hAnsi="Arial" w:cs="Arial"/>
          <w:sz w:val="20"/>
          <w:szCs w:val="20"/>
        </w:rPr>
        <w:t xml:space="preserve">&amp; </w:t>
      </w:r>
      <w:proofErr w:type="spellStart"/>
      <w:r w:rsidRPr="004C2429">
        <w:rPr>
          <w:rFonts w:ascii="Arial" w:hAnsi="Arial" w:cs="Arial"/>
          <w:sz w:val="20"/>
          <w:szCs w:val="20"/>
        </w:rPr>
        <w:t>Xie</w:t>
      </w:r>
      <w:proofErr w:type="spellEnd"/>
      <w:r w:rsidRPr="004C2429">
        <w:rPr>
          <w:rFonts w:ascii="Arial" w:hAnsi="Arial" w:cs="Arial"/>
          <w:sz w:val="20"/>
          <w:szCs w:val="20"/>
        </w:rPr>
        <w:t xml:space="preserve">, M. Y. (2019). Momordica </w:t>
      </w:r>
      <w:proofErr w:type="spellStart"/>
      <w:r w:rsidRPr="004C2429">
        <w:rPr>
          <w:rFonts w:ascii="Arial" w:hAnsi="Arial" w:cs="Arial"/>
          <w:sz w:val="20"/>
          <w:szCs w:val="20"/>
        </w:rPr>
        <w:t>charantia</w:t>
      </w:r>
      <w:proofErr w:type="spellEnd"/>
      <w:r w:rsidRPr="004C2429">
        <w:rPr>
          <w:rFonts w:ascii="Arial" w:hAnsi="Arial" w:cs="Arial"/>
          <w:sz w:val="20"/>
          <w:szCs w:val="20"/>
        </w:rPr>
        <w:t xml:space="preserve"> juice with Lactobacillus plantarum fermentation: Chemical composition, antioxidant properties and aroma profile. </w:t>
      </w:r>
      <w:r w:rsidRPr="00AA2617">
        <w:rPr>
          <w:rFonts w:ascii="Arial" w:hAnsi="Arial" w:cs="Arial"/>
          <w:i/>
          <w:iCs/>
          <w:sz w:val="20"/>
          <w:szCs w:val="20"/>
        </w:rPr>
        <w:t>Food Bioscience</w:t>
      </w:r>
      <w:r w:rsidRPr="004C2429">
        <w:rPr>
          <w:rFonts w:ascii="Arial" w:hAnsi="Arial" w:cs="Arial"/>
          <w:sz w:val="20"/>
          <w:szCs w:val="20"/>
        </w:rPr>
        <w:t>, 29, 62-72</w:t>
      </w:r>
      <w:r>
        <w:rPr>
          <w:rFonts w:ascii="Arial" w:hAnsi="Arial" w:cs="Arial"/>
          <w:sz w:val="20"/>
          <w:szCs w:val="20"/>
        </w:rPr>
        <w:t>.</w:t>
      </w:r>
    </w:p>
    <w:p w14:paraId="5C77CEAE" w14:textId="77777777" w:rsidR="008E77B8" w:rsidRDefault="008E77B8" w:rsidP="00DC1C40">
      <w:pPr>
        <w:spacing w:line="360" w:lineRule="auto"/>
        <w:ind w:firstLine="720"/>
        <w:jc w:val="both"/>
        <w:rPr>
          <w:rFonts w:ascii="Arial" w:hAnsi="Arial" w:cs="Arial"/>
          <w:sz w:val="20"/>
          <w:szCs w:val="20"/>
        </w:rPr>
      </w:pPr>
      <w:r w:rsidRPr="004C2429">
        <w:rPr>
          <w:rFonts w:ascii="Arial" w:hAnsi="Arial" w:cs="Arial"/>
          <w:sz w:val="20"/>
          <w:szCs w:val="20"/>
        </w:rPr>
        <w:t xml:space="preserve">González-Orozco, C. E., &amp; </w:t>
      </w:r>
      <w:proofErr w:type="spellStart"/>
      <w:r w:rsidRPr="004C2429">
        <w:rPr>
          <w:rFonts w:ascii="Arial" w:hAnsi="Arial" w:cs="Arial"/>
          <w:sz w:val="20"/>
          <w:szCs w:val="20"/>
        </w:rPr>
        <w:t>Pesca</w:t>
      </w:r>
      <w:proofErr w:type="spellEnd"/>
      <w:r w:rsidRPr="004C2429">
        <w:rPr>
          <w:rFonts w:ascii="Arial" w:hAnsi="Arial" w:cs="Arial"/>
          <w:sz w:val="20"/>
          <w:szCs w:val="20"/>
        </w:rPr>
        <w:t xml:space="preserve">, A. (2022). Regionalization of cacao (Theobroma cacao L.) in Colombia. </w:t>
      </w:r>
      <w:r w:rsidRPr="007E0D80">
        <w:rPr>
          <w:rFonts w:ascii="Arial" w:hAnsi="Arial" w:cs="Arial"/>
          <w:i/>
          <w:iCs/>
          <w:sz w:val="20"/>
          <w:szCs w:val="20"/>
        </w:rPr>
        <w:t>Frontiers in Sustainable Food Systems</w:t>
      </w:r>
      <w:r w:rsidRPr="004C2429">
        <w:rPr>
          <w:rFonts w:ascii="Arial" w:hAnsi="Arial" w:cs="Arial"/>
          <w:sz w:val="20"/>
          <w:szCs w:val="20"/>
        </w:rPr>
        <w:t>, 6, 925800.</w:t>
      </w:r>
    </w:p>
    <w:p w14:paraId="7B40D3AE" w14:textId="77777777" w:rsidR="008E77B8" w:rsidRDefault="008E77B8" w:rsidP="00015CED">
      <w:pPr>
        <w:spacing w:line="360" w:lineRule="auto"/>
        <w:ind w:firstLine="720"/>
        <w:jc w:val="both"/>
        <w:rPr>
          <w:rFonts w:ascii="Arial" w:hAnsi="Arial" w:cs="Arial"/>
          <w:sz w:val="20"/>
          <w:szCs w:val="20"/>
        </w:rPr>
      </w:pPr>
      <w:proofErr w:type="spellStart"/>
      <w:r w:rsidRPr="008506EC">
        <w:rPr>
          <w:rFonts w:ascii="Arial" w:hAnsi="Arial" w:cs="Arial"/>
          <w:sz w:val="20"/>
          <w:szCs w:val="20"/>
        </w:rPr>
        <w:t>Hatice</w:t>
      </w:r>
      <w:proofErr w:type="spellEnd"/>
      <w:r w:rsidRPr="008506EC">
        <w:rPr>
          <w:rFonts w:ascii="Arial" w:hAnsi="Arial" w:cs="Arial"/>
          <w:sz w:val="20"/>
          <w:szCs w:val="20"/>
        </w:rPr>
        <w:t xml:space="preserve">, E. and </w:t>
      </w:r>
      <w:proofErr w:type="spellStart"/>
      <w:r w:rsidRPr="008506EC">
        <w:rPr>
          <w:rFonts w:ascii="Arial" w:hAnsi="Arial" w:cs="Arial"/>
          <w:sz w:val="20"/>
          <w:szCs w:val="20"/>
        </w:rPr>
        <w:t>Ezgi</w:t>
      </w:r>
      <w:proofErr w:type="spellEnd"/>
      <w:r w:rsidRPr="008506EC">
        <w:rPr>
          <w:rFonts w:ascii="Arial" w:hAnsi="Arial" w:cs="Arial"/>
          <w:sz w:val="20"/>
          <w:szCs w:val="20"/>
        </w:rPr>
        <w:t xml:space="preserve">, A. 2017. New techniques for wine aging. In: </w:t>
      </w:r>
      <w:proofErr w:type="spellStart"/>
      <w:r w:rsidRPr="008506EC">
        <w:rPr>
          <w:rFonts w:ascii="Arial" w:hAnsi="Arial" w:cs="Arial"/>
          <w:sz w:val="20"/>
          <w:szCs w:val="20"/>
        </w:rPr>
        <w:t>Ege</w:t>
      </w:r>
      <w:proofErr w:type="spellEnd"/>
      <w:r w:rsidRPr="008506EC">
        <w:rPr>
          <w:rFonts w:ascii="Arial" w:hAnsi="Arial" w:cs="Arial"/>
          <w:sz w:val="20"/>
          <w:szCs w:val="20"/>
        </w:rPr>
        <w:t xml:space="preserve"> University, Department of Food Engineering. 40th World Congress of Vine and Wine. BIO Web of Conferences 9, 02012 (2017). </w:t>
      </w:r>
      <w:proofErr w:type="spellStart"/>
      <w:r w:rsidRPr="008506EC">
        <w:rPr>
          <w:rFonts w:ascii="Arial" w:hAnsi="Arial" w:cs="Arial"/>
          <w:sz w:val="20"/>
          <w:szCs w:val="20"/>
        </w:rPr>
        <w:t>Ege</w:t>
      </w:r>
      <w:proofErr w:type="spellEnd"/>
      <w:r w:rsidRPr="008506EC">
        <w:rPr>
          <w:rFonts w:ascii="Arial" w:hAnsi="Arial" w:cs="Arial"/>
          <w:sz w:val="20"/>
          <w:szCs w:val="20"/>
        </w:rPr>
        <w:t xml:space="preserve"> University, Izmir, Turkey, pp. 1-1.</w:t>
      </w:r>
    </w:p>
    <w:p w14:paraId="0105BEB0" w14:textId="77777777" w:rsidR="008E77B8" w:rsidRDefault="008E77B8" w:rsidP="00DC1C40">
      <w:pPr>
        <w:spacing w:line="360" w:lineRule="auto"/>
        <w:ind w:firstLine="720"/>
        <w:jc w:val="both"/>
        <w:rPr>
          <w:rFonts w:ascii="Arial" w:hAnsi="Arial" w:cs="Arial"/>
          <w:sz w:val="20"/>
          <w:szCs w:val="20"/>
        </w:rPr>
      </w:pPr>
      <w:r w:rsidRPr="004C2429">
        <w:rPr>
          <w:rFonts w:ascii="Arial" w:hAnsi="Arial" w:cs="Arial"/>
          <w:sz w:val="20"/>
          <w:szCs w:val="20"/>
        </w:rPr>
        <w:t xml:space="preserve">Hayat, K., </w:t>
      </w:r>
      <w:proofErr w:type="spellStart"/>
      <w:r w:rsidRPr="004C2429">
        <w:rPr>
          <w:rFonts w:ascii="Arial" w:hAnsi="Arial" w:cs="Arial"/>
          <w:sz w:val="20"/>
          <w:szCs w:val="20"/>
        </w:rPr>
        <w:t>Gondal</w:t>
      </w:r>
      <w:proofErr w:type="spellEnd"/>
      <w:r w:rsidRPr="004C2429">
        <w:rPr>
          <w:rFonts w:ascii="Arial" w:hAnsi="Arial" w:cs="Arial"/>
          <w:sz w:val="20"/>
          <w:szCs w:val="20"/>
        </w:rPr>
        <w:t xml:space="preserve">, M. A., Khaled, M. M., Ahmed, S., &amp; </w:t>
      </w:r>
      <w:proofErr w:type="spellStart"/>
      <w:r w:rsidRPr="004C2429">
        <w:rPr>
          <w:rFonts w:ascii="Arial" w:hAnsi="Arial" w:cs="Arial"/>
          <w:sz w:val="20"/>
          <w:szCs w:val="20"/>
        </w:rPr>
        <w:t>Shemsi</w:t>
      </w:r>
      <w:proofErr w:type="spellEnd"/>
      <w:r w:rsidRPr="004C2429">
        <w:rPr>
          <w:rFonts w:ascii="Arial" w:hAnsi="Arial" w:cs="Arial"/>
          <w:sz w:val="20"/>
          <w:szCs w:val="20"/>
        </w:rPr>
        <w:t xml:space="preserve">, A. M. (2011). Nano </w:t>
      </w:r>
      <w:proofErr w:type="spellStart"/>
      <w:r w:rsidRPr="004C2429">
        <w:rPr>
          <w:rFonts w:ascii="Arial" w:hAnsi="Arial" w:cs="Arial"/>
          <w:sz w:val="20"/>
          <w:szCs w:val="20"/>
        </w:rPr>
        <w:t>ZnO</w:t>
      </w:r>
      <w:proofErr w:type="spellEnd"/>
      <w:r w:rsidRPr="004C2429">
        <w:rPr>
          <w:rFonts w:ascii="Arial" w:hAnsi="Arial" w:cs="Arial"/>
          <w:sz w:val="20"/>
          <w:szCs w:val="20"/>
        </w:rPr>
        <w:t xml:space="preserve"> synthesis by modified sol gel method and its application in heterogeneous photocatalytic removal of phenol from water. </w:t>
      </w:r>
      <w:r w:rsidRPr="00AA2617">
        <w:rPr>
          <w:rFonts w:ascii="Arial" w:hAnsi="Arial" w:cs="Arial"/>
          <w:i/>
          <w:iCs/>
          <w:sz w:val="20"/>
          <w:szCs w:val="20"/>
        </w:rPr>
        <w:t>Applied Catalysis A: General</w:t>
      </w:r>
      <w:r w:rsidRPr="004C2429">
        <w:rPr>
          <w:rFonts w:ascii="Arial" w:hAnsi="Arial" w:cs="Arial"/>
          <w:sz w:val="20"/>
          <w:szCs w:val="20"/>
        </w:rPr>
        <w:t>, 393(1-2), 122-129.</w:t>
      </w:r>
    </w:p>
    <w:p w14:paraId="54711ECF" w14:textId="77777777" w:rsidR="008E77B8" w:rsidRDefault="008E77B8" w:rsidP="00DC1C40">
      <w:pPr>
        <w:spacing w:line="360" w:lineRule="auto"/>
        <w:ind w:firstLine="720"/>
        <w:jc w:val="both"/>
        <w:rPr>
          <w:rFonts w:ascii="Arial" w:hAnsi="Arial" w:cs="Arial"/>
          <w:sz w:val="20"/>
          <w:szCs w:val="20"/>
        </w:rPr>
      </w:pPr>
      <w:r w:rsidRPr="009F31F8">
        <w:rPr>
          <w:rFonts w:ascii="Arial" w:hAnsi="Arial" w:cs="Arial"/>
          <w:sz w:val="20"/>
          <w:szCs w:val="20"/>
        </w:rPr>
        <w:t>Jacobson, J. L. (2006). Introduction to wine laboratory practices and procedures. Springer Science &amp; Business Media.</w:t>
      </w:r>
    </w:p>
    <w:p w14:paraId="12B7BFDF" w14:textId="77777777" w:rsidR="008E77B8" w:rsidRDefault="008E77B8" w:rsidP="00DC1C40">
      <w:pPr>
        <w:spacing w:line="360" w:lineRule="auto"/>
        <w:ind w:firstLine="720"/>
        <w:jc w:val="both"/>
        <w:rPr>
          <w:rFonts w:ascii="Arial" w:hAnsi="Arial" w:cs="Arial"/>
          <w:sz w:val="20"/>
          <w:szCs w:val="20"/>
        </w:rPr>
      </w:pPr>
      <w:proofErr w:type="spellStart"/>
      <w:r w:rsidRPr="004C2429">
        <w:rPr>
          <w:rFonts w:ascii="Arial" w:hAnsi="Arial" w:cs="Arial"/>
          <w:sz w:val="20"/>
          <w:szCs w:val="20"/>
        </w:rPr>
        <w:t>Kasture</w:t>
      </w:r>
      <w:proofErr w:type="spellEnd"/>
      <w:r w:rsidRPr="004C2429">
        <w:rPr>
          <w:rFonts w:ascii="Arial" w:hAnsi="Arial" w:cs="Arial"/>
          <w:sz w:val="20"/>
          <w:szCs w:val="20"/>
        </w:rPr>
        <w:t xml:space="preserve">, M. C., &amp; Kadam, J. J. (2018). Periodical changes in TSS, pH, titratable acidity and yeast count during fermentation of sapota wine due to different levels of TSS adjusted by different sugar sources. </w:t>
      </w:r>
      <w:r w:rsidRPr="007E0D80">
        <w:rPr>
          <w:rFonts w:ascii="Arial" w:hAnsi="Arial" w:cs="Arial"/>
          <w:i/>
          <w:iCs/>
          <w:sz w:val="20"/>
          <w:szCs w:val="20"/>
        </w:rPr>
        <w:t>International Journal of Microbiology Research</w:t>
      </w:r>
      <w:r w:rsidRPr="004C2429">
        <w:rPr>
          <w:rFonts w:ascii="Arial" w:hAnsi="Arial" w:cs="Arial"/>
          <w:sz w:val="20"/>
          <w:szCs w:val="20"/>
        </w:rPr>
        <w:t>, 10(7), 1299-1302.</w:t>
      </w:r>
    </w:p>
    <w:p w14:paraId="2E4896B2" w14:textId="77777777" w:rsidR="008E77B8" w:rsidRDefault="008E77B8" w:rsidP="00DC1C40">
      <w:pPr>
        <w:spacing w:line="360" w:lineRule="auto"/>
        <w:ind w:firstLine="720"/>
        <w:jc w:val="both"/>
        <w:rPr>
          <w:rFonts w:ascii="Arial" w:hAnsi="Arial" w:cs="Arial"/>
          <w:sz w:val="20"/>
          <w:szCs w:val="20"/>
        </w:rPr>
      </w:pPr>
      <w:r w:rsidRPr="004C2429">
        <w:rPr>
          <w:rFonts w:ascii="Arial" w:hAnsi="Arial" w:cs="Arial"/>
          <w:sz w:val="20"/>
          <w:szCs w:val="20"/>
        </w:rPr>
        <w:t xml:space="preserve">Khatri, D., &amp; Chhetri, S. B. B. (2020). Reducing sugar, total phenolic content, and antioxidant potential of </w:t>
      </w:r>
      <w:proofErr w:type="spellStart"/>
      <w:r w:rsidRPr="004C2429">
        <w:rPr>
          <w:rFonts w:ascii="Arial" w:hAnsi="Arial" w:cs="Arial"/>
          <w:sz w:val="20"/>
          <w:szCs w:val="20"/>
        </w:rPr>
        <w:t>nepalese</w:t>
      </w:r>
      <w:proofErr w:type="spellEnd"/>
      <w:r w:rsidRPr="004C2429">
        <w:rPr>
          <w:rFonts w:ascii="Arial" w:hAnsi="Arial" w:cs="Arial"/>
          <w:sz w:val="20"/>
          <w:szCs w:val="20"/>
        </w:rPr>
        <w:t xml:space="preserve"> plants. </w:t>
      </w:r>
      <w:r w:rsidRPr="007E0D80">
        <w:rPr>
          <w:rFonts w:ascii="Arial" w:hAnsi="Arial" w:cs="Arial"/>
          <w:i/>
          <w:iCs/>
          <w:sz w:val="20"/>
          <w:szCs w:val="20"/>
        </w:rPr>
        <w:t>BioMed Research International</w:t>
      </w:r>
      <w:r w:rsidRPr="004C2429">
        <w:rPr>
          <w:rFonts w:ascii="Arial" w:hAnsi="Arial" w:cs="Arial"/>
          <w:sz w:val="20"/>
          <w:szCs w:val="20"/>
        </w:rPr>
        <w:t>, 2020(1), 7296859.</w:t>
      </w:r>
    </w:p>
    <w:p w14:paraId="31C9E57C" w14:textId="77777777" w:rsidR="008E77B8" w:rsidRDefault="008E77B8" w:rsidP="00DC1C40">
      <w:pPr>
        <w:spacing w:line="360" w:lineRule="auto"/>
        <w:ind w:firstLine="720"/>
        <w:jc w:val="both"/>
        <w:rPr>
          <w:rFonts w:ascii="Arial" w:hAnsi="Arial" w:cs="Arial"/>
          <w:sz w:val="20"/>
          <w:szCs w:val="20"/>
        </w:rPr>
      </w:pPr>
      <w:r w:rsidRPr="004C2429">
        <w:rPr>
          <w:rFonts w:ascii="Arial" w:hAnsi="Arial" w:cs="Arial"/>
          <w:sz w:val="20"/>
          <w:szCs w:val="20"/>
        </w:rPr>
        <w:t xml:space="preserve">King, E. S., Dunn, R. L., &amp; </w:t>
      </w:r>
      <w:proofErr w:type="spellStart"/>
      <w:r w:rsidRPr="004C2429">
        <w:rPr>
          <w:rFonts w:ascii="Arial" w:hAnsi="Arial" w:cs="Arial"/>
          <w:sz w:val="20"/>
          <w:szCs w:val="20"/>
        </w:rPr>
        <w:t>Heymann</w:t>
      </w:r>
      <w:proofErr w:type="spellEnd"/>
      <w:r w:rsidRPr="004C2429">
        <w:rPr>
          <w:rFonts w:ascii="Arial" w:hAnsi="Arial" w:cs="Arial"/>
          <w:sz w:val="20"/>
          <w:szCs w:val="20"/>
        </w:rPr>
        <w:t xml:space="preserve">, H. (2013). The influence of alcohol on the sensory perception of red wines. </w:t>
      </w:r>
      <w:r w:rsidRPr="007E0D80">
        <w:rPr>
          <w:rFonts w:ascii="Arial" w:hAnsi="Arial" w:cs="Arial"/>
          <w:i/>
          <w:iCs/>
          <w:sz w:val="20"/>
          <w:szCs w:val="20"/>
        </w:rPr>
        <w:t>Food Quality and Preference</w:t>
      </w:r>
      <w:r w:rsidRPr="004C2429">
        <w:rPr>
          <w:rFonts w:ascii="Arial" w:hAnsi="Arial" w:cs="Arial"/>
          <w:sz w:val="20"/>
          <w:szCs w:val="20"/>
        </w:rPr>
        <w:t>, 28(1), 235-243.</w:t>
      </w:r>
    </w:p>
    <w:p w14:paraId="29759014" w14:textId="77777777" w:rsidR="008E77B8" w:rsidRDefault="008E77B8" w:rsidP="00DC1C40">
      <w:pPr>
        <w:spacing w:line="360" w:lineRule="auto"/>
        <w:ind w:firstLine="720"/>
        <w:jc w:val="both"/>
        <w:rPr>
          <w:rFonts w:ascii="Arial" w:hAnsi="Arial" w:cs="Arial"/>
          <w:sz w:val="20"/>
          <w:szCs w:val="20"/>
        </w:rPr>
      </w:pPr>
      <w:proofErr w:type="spellStart"/>
      <w:r w:rsidRPr="004C2429">
        <w:rPr>
          <w:rFonts w:ascii="Arial" w:hAnsi="Arial" w:cs="Arial"/>
          <w:sz w:val="20"/>
          <w:szCs w:val="20"/>
        </w:rPr>
        <w:t>Maney</w:t>
      </w:r>
      <w:proofErr w:type="spellEnd"/>
      <w:r w:rsidRPr="004C2429">
        <w:rPr>
          <w:rFonts w:ascii="Arial" w:hAnsi="Arial" w:cs="Arial"/>
          <w:sz w:val="20"/>
          <w:szCs w:val="20"/>
        </w:rPr>
        <w:t xml:space="preserve">, C., </w:t>
      </w:r>
      <w:proofErr w:type="spellStart"/>
      <w:r w:rsidRPr="004C2429">
        <w:rPr>
          <w:rFonts w:ascii="Arial" w:hAnsi="Arial" w:cs="Arial"/>
          <w:sz w:val="20"/>
          <w:szCs w:val="20"/>
        </w:rPr>
        <w:t>Sassen</w:t>
      </w:r>
      <w:proofErr w:type="spellEnd"/>
      <w:r w:rsidRPr="004C2429">
        <w:rPr>
          <w:rFonts w:ascii="Arial" w:hAnsi="Arial" w:cs="Arial"/>
          <w:sz w:val="20"/>
          <w:szCs w:val="20"/>
        </w:rPr>
        <w:t xml:space="preserve">, M., &amp; Hill, S. L. (2022). Modelling biodiversity responses to land use in areas of cocoa cultivation. </w:t>
      </w:r>
      <w:r w:rsidRPr="007E0D80">
        <w:rPr>
          <w:rFonts w:ascii="Arial" w:hAnsi="Arial" w:cs="Arial"/>
          <w:i/>
          <w:iCs/>
          <w:sz w:val="20"/>
          <w:szCs w:val="20"/>
        </w:rPr>
        <w:t>Agriculture, Ecosystems &amp; Environment</w:t>
      </w:r>
      <w:r w:rsidRPr="004C2429">
        <w:rPr>
          <w:rFonts w:ascii="Arial" w:hAnsi="Arial" w:cs="Arial"/>
          <w:sz w:val="20"/>
          <w:szCs w:val="20"/>
        </w:rPr>
        <w:t>, 324, 107712.</w:t>
      </w:r>
    </w:p>
    <w:p w14:paraId="1E25146D" w14:textId="77777777" w:rsidR="008E77B8" w:rsidRDefault="008E77B8" w:rsidP="00DC1C40">
      <w:pPr>
        <w:spacing w:line="360" w:lineRule="auto"/>
        <w:ind w:firstLine="720"/>
        <w:jc w:val="both"/>
        <w:rPr>
          <w:rFonts w:ascii="Arial" w:hAnsi="Arial" w:cs="Arial"/>
          <w:sz w:val="20"/>
          <w:szCs w:val="20"/>
        </w:rPr>
      </w:pPr>
      <w:r w:rsidRPr="004C2429">
        <w:rPr>
          <w:rFonts w:ascii="Arial" w:hAnsi="Arial" w:cs="Arial"/>
          <w:sz w:val="20"/>
          <w:szCs w:val="20"/>
        </w:rPr>
        <w:t xml:space="preserve">Miller, M. M. (1959). Treatment of chronic alcoholism by hypnotic aversion. </w:t>
      </w:r>
      <w:r w:rsidRPr="007E0D80">
        <w:rPr>
          <w:rFonts w:ascii="Arial" w:hAnsi="Arial" w:cs="Arial"/>
          <w:i/>
          <w:iCs/>
          <w:sz w:val="20"/>
          <w:szCs w:val="20"/>
        </w:rPr>
        <w:t>Journal of the American Medical Association</w:t>
      </w:r>
      <w:r w:rsidRPr="004C2429">
        <w:rPr>
          <w:rFonts w:ascii="Arial" w:hAnsi="Arial" w:cs="Arial"/>
          <w:sz w:val="20"/>
          <w:szCs w:val="20"/>
        </w:rPr>
        <w:t>, 171(11), 1492-1495.</w:t>
      </w:r>
    </w:p>
    <w:p w14:paraId="0F8D662D" w14:textId="77777777" w:rsidR="008E77B8" w:rsidRDefault="008E77B8" w:rsidP="00DC1C40">
      <w:pPr>
        <w:spacing w:line="360" w:lineRule="auto"/>
        <w:ind w:firstLine="720"/>
        <w:jc w:val="both"/>
        <w:rPr>
          <w:rFonts w:ascii="Arial" w:hAnsi="Arial" w:cs="Arial"/>
          <w:sz w:val="20"/>
          <w:szCs w:val="20"/>
        </w:rPr>
      </w:pPr>
      <w:r w:rsidRPr="004C2429">
        <w:rPr>
          <w:rFonts w:ascii="Arial" w:hAnsi="Arial" w:cs="Arial"/>
          <w:sz w:val="20"/>
          <w:szCs w:val="20"/>
        </w:rPr>
        <w:t xml:space="preserve">Nair, V. D., Nair, P. R., Dari, B., Freitas, A. M., Chatterjee, N., &amp; Pinheiro, F. M. (2017). Biochar in the agroecosystem–climate-change–sustainability nexus. </w:t>
      </w:r>
      <w:r w:rsidRPr="007E0D80">
        <w:rPr>
          <w:rFonts w:ascii="Arial" w:hAnsi="Arial" w:cs="Arial"/>
          <w:i/>
          <w:iCs/>
          <w:sz w:val="20"/>
          <w:szCs w:val="20"/>
        </w:rPr>
        <w:t>Frontiers in Plant Science</w:t>
      </w:r>
      <w:r w:rsidRPr="004C2429">
        <w:rPr>
          <w:rFonts w:ascii="Arial" w:hAnsi="Arial" w:cs="Arial"/>
          <w:sz w:val="20"/>
          <w:szCs w:val="20"/>
        </w:rPr>
        <w:t>, 8, 2051.</w:t>
      </w:r>
    </w:p>
    <w:p w14:paraId="3E959840" w14:textId="77777777" w:rsidR="008E77B8" w:rsidRDefault="008E77B8" w:rsidP="00DC1C40">
      <w:pPr>
        <w:spacing w:line="360" w:lineRule="auto"/>
        <w:ind w:firstLine="720"/>
        <w:jc w:val="both"/>
        <w:rPr>
          <w:rFonts w:ascii="Arial" w:hAnsi="Arial" w:cs="Arial"/>
          <w:sz w:val="20"/>
          <w:szCs w:val="20"/>
        </w:rPr>
      </w:pPr>
      <w:proofErr w:type="spellStart"/>
      <w:r w:rsidRPr="004C2429">
        <w:rPr>
          <w:rFonts w:ascii="Arial" w:hAnsi="Arial" w:cs="Arial"/>
          <w:sz w:val="20"/>
          <w:szCs w:val="20"/>
        </w:rPr>
        <w:t>Najman</w:t>
      </w:r>
      <w:proofErr w:type="spellEnd"/>
      <w:r w:rsidRPr="004C2429">
        <w:rPr>
          <w:rFonts w:ascii="Arial" w:hAnsi="Arial" w:cs="Arial"/>
          <w:sz w:val="20"/>
          <w:szCs w:val="20"/>
        </w:rPr>
        <w:t xml:space="preserve">, K., Adrian, S., </w:t>
      </w:r>
      <w:proofErr w:type="spellStart"/>
      <w:r w:rsidRPr="004C2429">
        <w:rPr>
          <w:rFonts w:ascii="Arial" w:hAnsi="Arial" w:cs="Arial"/>
          <w:sz w:val="20"/>
          <w:szCs w:val="20"/>
        </w:rPr>
        <w:t>Sadowska</w:t>
      </w:r>
      <w:proofErr w:type="spellEnd"/>
      <w:r w:rsidRPr="004C2429">
        <w:rPr>
          <w:rFonts w:ascii="Arial" w:hAnsi="Arial" w:cs="Arial"/>
          <w:sz w:val="20"/>
          <w:szCs w:val="20"/>
        </w:rPr>
        <w:t xml:space="preserve">, A., </w:t>
      </w:r>
      <w:proofErr w:type="spellStart"/>
      <w:r w:rsidRPr="004C2429">
        <w:rPr>
          <w:rFonts w:ascii="Arial" w:hAnsi="Arial" w:cs="Arial"/>
          <w:sz w:val="20"/>
          <w:szCs w:val="20"/>
        </w:rPr>
        <w:t>Świąder</w:t>
      </w:r>
      <w:proofErr w:type="spellEnd"/>
      <w:r w:rsidRPr="004C2429">
        <w:rPr>
          <w:rFonts w:ascii="Arial" w:hAnsi="Arial" w:cs="Arial"/>
          <w:sz w:val="20"/>
          <w:szCs w:val="20"/>
        </w:rPr>
        <w:t xml:space="preserve">, K., </w:t>
      </w:r>
      <w:proofErr w:type="spellStart"/>
      <w:r w:rsidRPr="004C2429">
        <w:rPr>
          <w:rFonts w:ascii="Arial" w:hAnsi="Arial" w:cs="Arial"/>
          <w:sz w:val="20"/>
          <w:szCs w:val="20"/>
        </w:rPr>
        <w:t>Hallmann</w:t>
      </w:r>
      <w:proofErr w:type="spellEnd"/>
      <w:r w:rsidRPr="004C2429">
        <w:rPr>
          <w:rFonts w:ascii="Arial" w:hAnsi="Arial" w:cs="Arial"/>
          <w:sz w:val="20"/>
          <w:szCs w:val="20"/>
        </w:rPr>
        <w:t xml:space="preserve">, E., </w:t>
      </w:r>
      <w:proofErr w:type="spellStart"/>
      <w:r w:rsidRPr="004C2429">
        <w:rPr>
          <w:rFonts w:ascii="Arial" w:hAnsi="Arial" w:cs="Arial"/>
          <w:sz w:val="20"/>
          <w:szCs w:val="20"/>
        </w:rPr>
        <w:t>Buczak</w:t>
      </w:r>
      <w:proofErr w:type="spellEnd"/>
      <w:r w:rsidRPr="004C2429">
        <w:rPr>
          <w:rFonts w:ascii="Arial" w:hAnsi="Arial" w:cs="Arial"/>
          <w:sz w:val="20"/>
          <w:szCs w:val="20"/>
        </w:rPr>
        <w:t xml:space="preserve">, K., ... &amp; </w:t>
      </w:r>
      <w:proofErr w:type="spellStart"/>
      <w:r w:rsidRPr="004C2429">
        <w:rPr>
          <w:rFonts w:ascii="Arial" w:hAnsi="Arial" w:cs="Arial"/>
          <w:sz w:val="20"/>
          <w:szCs w:val="20"/>
        </w:rPr>
        <w:t>Szterk</w:t>
      </w:r>
      <w:proofErr w:type="spellEnd"/>
      <w:r w:rsidRPr="004C2429">
        <w:rPr>
          <w:rFonts w:ascii="Arial" w:hAnsi="Arial" w:cs="Arial"/>
          <w:sz w:val="20"/>
          <w:szCs w:val="20"/>
        </w:rPr>
        <w:t xml:space="preserve">, A. (2023). Changes in physicochemical and bioactive properties of quince (Cydonia </w:t>
      </w:r>
      <w:proofErr w:type="spellStart"/>
      <w:r w:rsidRPr="004C2429">
        <w:rPr>
          <w:rFonts w:ascii="Arial" w:hAnsi="Arial" w:cs="Arial"/>
          <w:sz w:val="20"/>
          <w:szCs w:val="20"/>
        </w:rPr>
        <w:t>oblonga</w:t>
      </w:r>
      <w:proofErr w:type="spellEnd"/>
      <w:r w:rsidRPr="004C2429">
        <w:rPr>
          <w:rFonts w:ascii="Arial" w:hAnsi="Arial" w:cs="Arial"/>
          <w:sz w:val="20"/>
          <w:szCs w:val="20"/>
        </w:rPr>
        <w:t xml:space="preserve"> Mill.) and its products. </w:t>
      </w:r>
      <w:r w:rsidRPr="007E0D80">
        <w:rPr>
          <w:rFonts w:ascii="Arial" w:hAnsi="Arial" w:cs="Arial"/>
          <w:i/>
          <w:iCs/>
          <w:sz w:val="20"/>
          <w:szCs w:val="20"/>
        </w:rPr>
        <w:t>Molecules</w:t>
      </w:r>
      <w:r w:rsidRPr="004C2429">
        <w:rPr>
          <w:rFonts w:ascii="Arial" w:hAnsi="Arial" w:cs="Arial"/>
          <w:sz w:val="20"/>
          <w:szCs w:val="20"/>
        </w:rPr>
        <w:t>, 28(7), 3066.</w:t>
      </w:r>
    </w:p>
    <w:p w14:paraId="0BFEA92B" w14:textId="77777777" w:rsidR="008E77B8" w:rsidRDefault="008E77B8" w:rsidP="00DC1C40">
      <w:pPr>
        <w:spacing w:line="360" w:lineRule="auto"/>
        <w:ind w:firstLine="720"/>
        <w:jc w:val="both"/>
        <w:rPr>
          <w:rFonts w:ascii="Arial" w:hAnsi="Arial" w:cs="Arial"/>
          <w:sz w:val="20"/>
          <w:szCs w:val="20"/>
        </w:rPr>
      </w:pPr>
      <w:proofErr w:type="spellStart"/>
      <w:r w:rsidRPr="004C2429">
        <w:rPr>
          <w:rFonts w:ascii="Arial" w:hAnsi="Arial" w:cs="Arial"/>
          <w:sz w:val="20"/>
          <w:szCs w:val="20"/>
        </w:rPr>
        <w:lastRenderedPageBreak/>
        <w:t>Neto</w:t>
      </w:r>
      <w:proofErr w:type="spellEnd"/>
      <w:r w:rsidRPr="004C2429">
        <w:rPr>
          <w:rFonts w:ascii="Arial" w:hAnsi="Arial" w:cs="Arial"/>
          <w:sz w:val="20"/>
          <w:szCs w:val="20"/>
        </w:rPr>
        <w:t xml:space="preserve">, F. S., de </w:t>
      </w:r>
      <w:proofErr w:type="spellStart"/>
      <w:r w:rsidRPr="004C2429">
        <w:rPr>
          <w:rFonts w:ascii="Arial" w:hAnsi="Arial" w:cs="Arial"/>
          <w:sz w:val="20"/>
          <w:szCs w:val="20"/>
        </w:rPr>
        <w:t>Castilhos</w:t>
      </w:r>
      <w:proofErr w:type="spellEnd"/>
      <w:r w:rsidRPr="004C2429">
        <w:rPr>
          <w:rFonts w:ascii="Arial" w:hAnsi="Arial" w:cs="Arial"/>
          <w:sz w:val="20"/>
          <w:szCs w:val="20"/>
        </w:rPr>
        <w:t>, M. B., Telis, V. R., &amp; Telis</w:t>
      </w:r>
      <w:r w:rsidRPr="004C2429">
        <w:rPr>
          <w:rFonts w:ascii="Cambria Math" w:hAnsi="Cambria Math" w:cs="Cambria Math"/>
          <w:sz w:val="20"/>
          <w:szCs w:val="20"/>
        </w:rPr>
        <w:t>‐</w:t>
      </w:r>
      <w:r w:rsidRPr="004C2429">
        <w:rPr>
          <w:rFonts w:ascii="Arial" w:hAnsi="Arial" w:cs="Arial"/>
          <w:sz w:val="20"/>
          <w:szCs w:val="20"/>
        </w:rPr>
        <w:t xml:space="preserve">Romero, J. (2015). Effect of ethanol, dry extract and reducing sugars on density and viscosity of Brazilian red wines. </w:t>
      </w:r>
      <w:r w:rsidRPr="007E0D80">
        <w:rPr>
          <w:rFonts w:ascii="Arial" w:hAnsi="Arial" w:cs="Arial"/>
          <w:i/>
          <w:iCs/>
          <w:sz w:val="20"/>
          <w:szCs w:val="20"/>
        </w:rPr>
        <w:t>Journal of the Science of Food and Agriculture</w:t>
      </w:r>
      <w:r w:rsidRPr="004C2429">
        <w:rPr>
          <w:rFonts w:ascii="Arial" w:hAnsi="Arial" w:cs="Arial"/>
          <w:sz w:val="20"/>
          <w:szCs w:val="20"/>
        </w:rPr>
        <w:t>, 95(7), 1421-1427.</w:t>
      </w:r>
    </w:p>
    <w:p w14:paraId="43AC88E6" w14:textId="77777777" w:rsidR="008E77B8" w:rsidRDefault="008E77B8" w:rsidP="00DC1C40">
      <w:pPr>
        <w:spacing w:line="360" w:lineRule="auto"/>
        <w:ind w:firstLine="720"/>
        <w:jc w:val="both"/>
        <w:rPr>
          <w:rFonts w:ascii="Arial" w:hAnsi="Arial" w:cs="Arial"/>
          <w:sz w:val="20"/>
          <w:szCs w:val="20"/>
        </w:rPr>
      </w:pPr>
      <w:proofErr w:type="spellStart"/>
      <w:r w:rsidRPr="004C2429">
        <w:rPr>
          <w:rFonts w:ascii="Arial" w:hAnsi="Arial" w:cs="Arial"/>
          <w:sz w:val="20"/>
          <w:szCs w:val="20"/>
        </w:rPr>
        <w:t>Pettipher</w:t>
      </w:r>
      <w:proofErr w:type="spellEnd"/>
      <w:r w:rsidRPr="004C2429">
        <w:rPr>
          <w:rFonts w:ascii="Arial" w:hAnsi="Arial" w:cs="Arial"/>
          <w:sz w:val="20"/>
          <w:szCs w:val="20"/>
        </w:rPr>
        <w:t xml:space="preserve">, G. L. (1986). Analysis of cocoa pulp and the formulation of a standardised artificial cocoa pulp medium. </w:t>
      </w:r>
      <w:r w:rsidRPr="007E0D80">
        <w:rPr>
          <w:rFonts w:ascii="Arial" w:hAnsi="Arial" w:cs="Arial"/>
          <w:i/>
          <w:iCs/>
          <w:sz w:val="20"/>
          <w:szCs w:val="20"/>
        </w:rPr>
        <w:t>Journal of the Science of Food and Agriculture</w:t>
      </w:r>
      <w:r w:rsidRPr="004C2429">
        <w:rPr>
          <w:rFonts w:ascii="Arial" w:hAnsi="Arial" w:cs="Arial"/>
          <w:sz w:val="20"/>
          <w:szCs w:val="20"/>
        </w:rPr>
        <w:t>, 37(3), 297-309.</w:t>
      </w:r>
    </w:p>
    <w:p w14:paraId="4D0CB4D3" w14:textId="77777777" w:rsidR="008E77B8" w:rsidRDefault="008E77B8" w:rsidP="00DC1C40">
      <w:pPr>
        <w:spacing w:line="360" w:lineRule="auto"/>
        <w:ind w:firstLine="720"/>
        <w:jc w:val="both"/>
        <w:rPr>
          <w:rFonts w:ascii="Arial" w:hAnsi="Arial" w:cs="Arial"/>
          <w:sz w:val="20"/>
          <w:szCs w:val="20"/>
        </w:rPr>
      </w:pPr>
      <w:r w:rsidRPr="004C2429">
        <w:rPr>
          <w:rFonts w:ascii="Arial" w:hAnsi="Arial" w:cs="Arial"/>
          <w:sz w:val="20"/>
          <w:szCs w:val="20"/>
        </w:rPr>
        <w:t xml:space="preserve">Rekha, C., Poornima, G., </w:t>
      </w:r>
      <w:proofErr w:type="spellStart"/>
      <w:r w:rsidRPr="004C2429">
        <w:rPr>
          <w:rFonts w:ascii="Arial" w:hAnsi="Arial" w:cs="Arial"/>
          <w:sz w:val="20"/>
          <w:szCs w:val="20"/>
        </w:rPr>
        <w:t>Manasa</w:t>
      </w:r>
      <w:proofErr w:type="spellEnd"/>
      <w:r w:rsidRPr="004C2429">
        <w:rPr>
          <w:rFonts w:ascii="Arial" w:hAnsi="Arial" w:cs="Arial"/>
          <w:sz w:val="20"/>
          <w:szCs w:val="20"/>
        </w:rPr>
        <w:t xml:space="preserve">, M., </w:t>
      </w:r>
      <w:proofErr w:type="spellStart"/>
      <w:r w:rsidRPr="004C2429">
        <w:rPr>
          <w:rFonts w:ascii="Arial" w:hAnsi="Arial" w:cs="Arial"/>
          <w:sz w:val="20"/>
          <w:szCs w:val="20"/>
        </w:rPr>
        <w:t>Abhipsa</w:t>
      </w:r>
      <w:proofErr w:type="spellEnd"/>
      <w:r w:rsidRPr="004C2429">
        <w:rPr>
          <w:rFonts w:ascii="Arial" w:hAnsi="Arial" w:cs="Arial"/>
          <w:sz w:val="20"/>
          <w:szCs w:val="20"/>
        </w:rPr>
        <w:t xml:space="preserve">, V., Devi, J. P., Kumar, H. T. V., &amp; </w:t>
      </w:r>
      <w:proofErr w:type="spellStart"/>
      <w:r w:rsidRPr="004C2429">
        <w:rPr>
          <w:rFonts w:ascii="Arial" w:hAnsi="Arial" w:cs="Arial"/>
          <w:sz w:val="20"/>
          <w:szCs w:val="20"/>
        </w:rPr>
        <w:t>Kekuda</w:t>
      </w:r>
      <w:proofErr w:type="spellEnd"/>
      <w:r w:rsidRPr="004C2429">
        <w:rPr>
          <w:rFonts w:ascii="Arial" w:hAnsi="Arial" w:cs="Arial"/>
          <w:sz w:val="20"/>
          <w:szCs w:val="20"/>
        </w:rPr>
        <w:t xml:space="preserve">, T. R. P. (2012). Ascorbic acid, total phenol content and antioxidant activity of fresh juices of four ripe and unripe citrus fruits. </w:t>
      </w:r>
      <w:r w:rsidRPr="00AA2617">
        <w:rPr>
          <w:rFonts w:ascii="Arial" w:hAnsi="Arial" w:cs="Arial"/>
          <w:i/>
          <w:iCs/>
          <w:sz w:val="20"/>
          <w:szCs w:val="20"/>
        </w:rPr>
        <w:t>Chemical Science Transactions</w:t>
      </w:r>
      <w:r w:rsidRPr="004C2429">
        <w:rPr>
          <w:rFonts w:ascii="Arial" w:hAnsi="Arial" w:cs="Arial"/>
          <w:sz w:val="20"/>
          <w:szCs w:val="20"/>
        </w:rPr>
        <w:t>, 1(2), 303-310.</w:t>
      </w:r>
    </w:p>
    <w:p w14:paraId="7B81D140" w14:textId="77777777" w:rsidR="008E77B8" w:rsidRDefault="008E77B8" w:rsidP="00DC1C40">
      <w:pPr>
        <w:spacing w:line="360" w:lineRule="auto"/>
        <w:ind w:firstLine="720"/>
        <w:jc w:val="both"/>
        <w:rPr>
          <w:rFonts w:ascii="Arial" w:hAnsi="Arial" w:cs="Arial"/>
          <w:sz w:val="20"/>
          <w:szCs w:val="20"/>
        </w:rPr>
      </w:pPr>
      <w:proofErr w:type="spellStart"/>
      <w:r w:rsidRPr="004C2429">
        <w:rPr>
          <w:rFonts w:ascii="Arial" w:hAnsi="Arial" w:cs="Arial"/>
          <w:sz w:val="20"/>
          <w:szCs w:val="20"/>
        </w:rPr>
        <w:t>Rusconi</w:t>
      </w:r>
      <w:proofErr w:type="spellEnd"/>
      <w:r w:rsidRPr="004C2429">
        <w:rPr>
          <w:rFonts w:ascii="Arial" w:hAnsi="Arial" w:cs="Arial"/>
          <w:sz w:val="20"/>
          <w:szCs w:val="20"/>
        </w:rPr>
        <w:t xml:space="preserve">, M., &amp; Conti, A. (2010). Theobroma cacao L., the Food of the Gods: A scientific approach beyond myths and claims. </w:t>
      </w:r>
      <w:r w:rsidRPr="007E0D80">
        <w:rPr>
          <w:rFonts w:ascii="Arial" w:hAnsi="Arial" w:cs="Arial"/>
          <w:i/>
          <w:iCs/>
          <w:sz w:val="20"/>
          <w:szCs w:val="20"/>
        </w:rPr>
        <w:t>Pharmacological research</w:t>
      </w:r>
      <w:r w:rsidRPr="004C2429">
        <w:rPr>
          <w:rFonts w:ascii="Arial" w:hAnsi="Arial" w:cs="Arial"/>
          <w:sz w:val="20"/>
          <w:szCs w:val="20"/>
        </w:rPr>
        <w:t>, 61(1), 5-13.</w:t>
      </w:r>
    </w:p>
    <w:p w14:paraId="3E4572D8" w14:textId="77777777" w:rsidR="008E77B8" w:rsidRDefault="008E77B8" w:rsidP="00DC1C40">
      <w:pPr>
        <w:spacing w:line="360" w:lineRule="auto"/>
        <w:ind w:firstLine="720"/>
        <w:jc w:val="both"/>
        <w:rPr>
          <w:rFonts w:ascii="Arial" w:hAnsi="Arial" w:cs="Arial"/>
          <w:sz w:val="20"/>
          <w:szCs w:val="20"/>
        </w:rPr>
      </w:pPr>
      <w:r w:rsidRPr="004C2429">
        <w:rPr>
          <w:rFonts w:ascii="Arial" w:hAnsi="Arial" w:cs="Arial"/>
          <w:sz w:val="20"/>
          <w:szCs w:val="20"/>
        </w:rPr>
        <w:t xml:space="preserve">Sasikumar, R., Vivek, K., </w:t>
      </w:r>
      <w:proofErr w:type="spellStart"/>
      <w:r w:rsidRPr="004C2429">
        <w:rPr>
          <w:rFonts w:ascii="Arial" w:hAnsi="Arial" w:cs="Arial"/>
          <w:sz w:val="20"/>
          <w:szCs w:val="20"/>
        </w:rPr>
        <w:t>Kadirvel</w:t>
      </w:r>
      <w:proofErr w:type="spellEnd"/>
      <w:r w:rsidRPr="004C2429">
        <w:rPr>
          <w:rFonts w:ascii="Arial" w:hAnsi="Arial" w:cs="Arial"/>
          <w:sz w:val="20"/>
          <w:szCs w:val="20"/>
        </w:rPr>
        <w:t xml:space="preserve">, G., &amp; Jaiswal, A. K. (2024). Analysis of physicochemical and phytonutrients properties of bastard oleaster fruits and its mass prediction using artificial neural network model. </w:t>
      </w:r>
      <w:r w:rsidRPr="007E0D80">
        <w:rPr>
          <w:rFonts w:ascii="Arial" w:hAnsi="Arial" w:cs="Arial"/>
          <w:i/>
          <w:iCs/>
          <w:sz w:val="20"/>
          <w:szCs w:val="20"/>
        </w:rPr>
        <w:t>Journal of Agriculture and Food Research</w:t>
      </w:r>
      <w:r w:rsidRPr="004C2429">
        <w:rPr>
          <w:rFonts w:ascii="Arial" w:hAnsi="Arial" w:cs="Arial"/>
          <w:sz w:val="20"/>
          <w:szCs w:val="20"/>
        </w:rPr>
        <w:t>, 17, 101224.</w:t>
      </w:r>
    </w:p>
    <w:p w14:paraId="0953A635" w14:textId="77777777" w:rsidR="008E77B8" w:rsidRDefault="008E77B8" w:rsidP="00DC1C40">
      <w:pPr>
        <w:spacing w:line="360" w:lineRule="auto"/>
        <w:ind w:firstLine="720"/>
        <w:jc w:val="both"/>
        <w:rPr>
          <w:rFonts w:ascii="Arial" w:hAnsi="Arial" w:cs="Arial"/>
          <w:sz w:val="20"/>
          <w:szCs w:val="20"/>
        </w:rPr>
      </w:pPr>
      <w:r w:rsidRPr="007E0D80">
        <w:rPr>
          <w:rFonts w:ascii="Arial" w:hAnsi="Arial" w:cs="Arial"/>
          <w:sz w:val="20"/>
          <w:szCs w:val="20"/>
        </w:rPr>
        <w:t xml:space="preserve">Sharma, M., Vidhya, C. S., Ojha, K., </w:t>
      </w:r>
      <w:proofErr w:type="spellStart"/>
      <w:r w:rsidRPr="007E0D80">
        <w:rPr>
          <w:rFonts w:ascii="Arial" w:hAnsi="Arial" w:cs="Arial"/>
          <w:sz w:val="20"/>
          <w:szCs w:val="20"/>
        </w:rPr>
        <w:t>Yashwanth</w:t>
      </w:r>
      <w:proofErr w:type="spellEnd"/>
      <w:r w:rsidRPr="007E0D80">
        <w:rPr>
          <w:rFonts w:ascii="Arial" w:hAnsi="Arial" w:cs="Arial"/>
          <w:sz w:val="20"/>
          <w:szCs w:val="20"/>
        </w:rPr>
        <w:t xml:space="preserve">, B. S., Singh, B., Gupta, S., &amp; Pandey, S. K. (2024). The role of functional foods and nutraceuticals in disease prevention and health promotion. </w:t>
      </w:r>
      <w:r w:rsidRPr="007E0D80">
        <w:rPr>
          <w:rFonts w:ascii="Arial" w:hAnsi="Arial" w:cs="Arial"/>
          <w:i/>
          <w:iCs/>
          <w:sz w:val="20"/>
          <w:szCs w:val="20"/>
        </w:rPr>
        <w:t>European Journal of Nutrition &amp; Food Safety</w:t>
      </w:r>
      <w:r w:rsidRPr="007E0D80">
        <w:rPr>
          <w:rFonts w:ascii="Arial" w:hAnsi="Arial" w:cs="Arial"/>
          <w:sz w:val="20"/>
          <w:szCs w:val="20"/>
        </w:rPr>
        <w:t>, 16, 61-83.</w:t>
      </w:r>
    </w:p>
    <w:p w14:paraId="691BFBA5" w14:textId="77777777" w:rsidR="008E77B8" w:rsidRDefault="008E77B8" w:rsidP="00DC1C40">
      <w:pPr>
        <w:spacing w:line="360" w:lineRule="auto"/>
        <w:ind w:firstLine="720"/>
        <w:jc w:val="both"/>
        <w:rPr>
          <w:rFonts w:ascii="Arial" w:hAnsi="Arial" w:cs="Arial"/>
          <w:sz w:val="20"/>
          <w:szCs w:val="20"/>
        </w:rPr>
      </w:pPr>
      <w:r w:rsidRPr="007E0D80">
        <w:rPr>
          <w:rFonts w:ascii="Arial" w:hAnsi="Arial" w:cs="Arial"/>
          <w:sz w:val="20"/>
          <w:szCs w:val="20"/>
        </w:rPr>
        <w:t xml:space="preserve">Singh, R., Singh, R. B., </w:t>
      </w:r>
      <w:proofErr w:type="spellStart"/>
      <w:r w:rsidRPr="007E0D80">
        <w:rPr>
          <w:rFonts w:ascii="Arial" w:hAnsi="Arial" w:cs="Arial"/>
          <w:sz w:val="20"/>
          <w:szCs w:val="20"/>
        </w:rPr>
        <w:t>Mojto</w:t>
      </w:r>
      <w:proofErr w:type="spellEnd"/>
      <w:r w:rsidRPr="007E0D80">
        <w:rPr>
          <w:rFonts w:ascii="Arial" w:hAnsi="Arial" w:cs="Arial"/>
          <w:sz w:val="20"/>
          <w:szCs w:val="20"/>
        </w:rPr>
        <w:t xml:space="preserve">, V., Pella, D., </w:t>
      </w:r>
      <w:proofErr w:type="spellStart"/>
      <w:r w:rsidRPr="007E0D80">
        <w:rPr>
          <w:rFonts w:ascii="Arial" w:hAnsi="Arial" w:cs="Arial"/>
          <w:sz w:val="20"/>
          <w:szCs w:val="20"/>
        </w:rPr>
        <w:t>Fedacko</w:t>
      </w:r>
      <w:proofErr w:type="spellEnd"/>
      <w:r w:rsidRPr="007E0D80">
        <w:rPr>
          <w:rFonts w:ascii="Arial" w:hAnsi="Arial" w:cs="Arial"/>
          <w:sz w:val="20"/>
          <w:szCs w:val="20"/>
        </w:rPr>
        <w:t xml:space="preserve">, J., </w:t>
      </w:r>
      <w:proofErr w:type="spellStart"/>
      <w:r w:rsidRPr="007E0D80">
        <w:rPr>
          <w:rFonts w:ascii="Arial" w:hAnsi="Arial" w:cs="Arial"/>
          <w:sz w:val="20"/>
          <w:szCs w:val="20"/>
        </w:rPr>
        <w:t>Vargova</w:t>
      </w:r>
      <w:proofErr w:type="spellEnd"/>
      <w:r w:rsidRPr="007E0D80">
        <w:rPr>
          <w:rFonts w:ascii="Arial" w:hAnsi="Arial" w:cs="Arial"/>
          <w:sz w:val="20"/>
          <w:szCs w:val="20"/>
        </w:rPr>
        <w:t xml:space="preserve">, V., &amp; </w:t>
      </w:r>
      <w:proofErr w:type="spellStart"/>
      <w:r w:rsidRPr="007E0D80">
        <w:rPr>
          <w:rFonts w:ascii="Arial" w:hAnsi="Arial" w:cs="Arial"/>
          <w:sz w:val="20"/>
          <w:szCs w:val="20"/>
        </w:rPr>
        <w:t>Gvozdjáková</w:t>
      </w:r>
      <w:proofErr w:type="spellEnd"/>
      <w:r w:rsidRPr="007E0D80">
        <w:rPr>
          <w:rFonts w:ascii="Arial" w:hAnsi="Arial" w:cs="Arial"/>
          <w:sz w:val="20"/>
          <w:szCs w:val="20"/>
        </w:rPr>
        <w:t>, A. (2022). Cocoa and chocolate consumption and prevention of cardiovascular diseases and other chronic diseases. In Functional foods and nutraceuticals in metabolic and non-communicable diseases (pp. 279-299). Academic Press.</w:t>
      </w:r>
    </w:p>
    <w:p w14:paraId="7191D237" w14:textId="77777777" w:rsidR="008E77B8" w:rsidRDefault="008E77B8" w:rsidP="00DC1C40">
      <w:pPr>
        <w:spacing w:line="360" w:lineRule="auto"/>
        <w:ind w:firstLine="720"/>
        <w:jc w:val="both"/>
        <w:rPr>
          <w:rFonts w:ascii="Arial" w:hAnsi="Arial" w:cs="Arial"/>
          <w:sz w:val="20"/>
          <w:szCs w:val="20"/>
        </w:rPr>
      </w:pPr>
      <w:proofErr w:type="spellStart"/>
      <w:r w:rsidRPr="004C2429">
        <w:rPr>
          <w:rFonts w:ascii="Arial" w:hAnsi="Arial" w:cs="Arial"/>
          <w:sz w:val="20"/>
          <w:szCs w:val="20"/>
        </w:rPr>
        <w:t>Thungbeni</w:t>
      </w:r>
      <w:proofErr w:type="spellEnd"/>
      <w:r w:rsidRPr="004C2429">
        <w:rPr>
          <w:rFonts w:ascii="Arial" w:hAnsi="Arial" w:cs="Arial"/>
          <w:sz w:val="20"/>
          <w:szCs w:val="20"/>
        </w:rPr>
        <w:t>, K., Samir, T. E., &amp; Deena, W. (2020). Effect of Different Levels of Wine Yeast and Sugar in Wine Production from Pineapple (</w:t>
      </w:r>
      <w:proofErr w:type="spellStart"/>
      <w:r w:rsidRPr="004C2429">
        <w:rPr>
          <w:rFonts w:ascii="Arial" w:hAnsi="Arial" w:cs="Arial"/>
          <w:sz w:val="20"/>
          <w:szCs w:val="20"/>
        </w:rPr>
        <w:t>Ananas</w:t>
      </w:r>
      <w:proofErr w:type="spellEnd"/>
      <w:r w:rsidRPr="004C2429">
        <w:rPr>
          <w:rFonts w:ascii="Arial" w:hAnsi="Arial" w:cs="Arial"/>
          <w:sz w:val="20"/>
          <w:szCs w:val="20"/>
        </w:rPr>
        <w:t xml:space="preserve"> </w:t>
      </w:r>
      <w:proofErr w:type="spellStart"/>
      <w:r w:rsidRPr="004C2429">
        <w:rPr>
          <w:rFonts w:ascii="Arial" w:hAnsi="Arial" w:cs="Arial"/>
          <w:sz w:val="20"/>
          <w:szCs w:val="20"/>
        </w:rPr>
        <w:t>comosus</w:t>
      </w:r>
      <w:proofErr w:type="spellEnd"/>
      <w:r w:rsidRPr="004C2429">
        <w:rPr>
          <w:rFonts w:ascii="Arial" w:hAnsi="Arial" w:cs="Arial"/>
          <w:sz w:val="20"/>
          <w:szCs w:val="20"/>
        </w:rPr>
        <w:t xml:space="preserve">). </w:t>
      </w:r>
      <w:r w:rsidRPr="007E0D80">
        <w:rPr>
          <w:rFonts w:ascii="Arial" w:hAnsi="Arial" w:cs="Arial"/>
          <w:i/>
          <w:iCs/>
          <w:sz w:val="20"/>
          <w:szCs w:val="20"/>
        </w:rPr>
        <w:t>International Journal of Current Microbiology and Applied Sciences</w:t>
      </w:r>
      <w:r w:rsidRPr="004C2429">
        <w:rPr>
          <w:rFonts w:ascii="Arial" w:hAnsi="Arial" w:cs="Arial"/>
          <w:sz w:val="20"/>
          <w:szCs w:val="20"/>
        </w:rPr>
        <w:t>, 9(12), 681-693.</w:t>
      </w:r>
    </w:p>
    <w:p w14:paraId="023A69B1" w14:textId="77777777" w:rsidR="008E77B8" w:rsidRDefault="008E77B8" w:rsidP="00DC1C40">
      <w:pPr>
        <w:spacing w:line="360" w:lineRule="auto"/>
        <w:ind w:firstLine="720"/>
        <w:jc w:val="both"/>
        <w:rPr>
          <w:rFonts w:ascii="Arial" w:hAnsi="Arial" w:cs="Arial"/>
          <w:sz w:val="20"/>
          <w:szCs w:val="20"/>
        </w:rPr>
      </w:pPr>
      <w:proofErr w:type="spellStart"/>
      <w:r w:rsidRPr="004C2429">
        <w:rPr>
          <w:rFonts w:ascii="Arial" w:hAnsi="Arial" w:cs="Arial"/>
          <w:sz w:val="20"/>
          <w:szCs w:val="20"/>
        </w:rPr>
        <w:t>Yıldırım</w:t>
      </w:r>
      <w:proofErr w:type="spellEnd"/>
      <w:r w:rsidRPr="004C2429">
        <w:rPr>
          <w:rFonts w:ascii="Arial" w:hAnsi="Arial" w:cs="Arial"/>
          <w:sz w:val="20"/>
          <w:szCs w:val="20"/>
        </w:rPr>
        <w:t xml:space="preserve">, H. K., &amp; </w:t>
      </w:r>
      <w:proofErr w:type="spellStart"/>
      <w:r w:rsidRPr="004C2429">
        <w:rPr>
          <w:rFonts w:ascii="Arial" w:hAnsi="Arial" w:cs="Arial"/>
          <w:sz w:val="20"/>
          <w:szCs w:val="20"/>
        </w:rPr>
        <w:t>Dündar</w:t>
      </w:r>
      <w:proofErr w:type="spellEnd"/>
      <w:r w:rsidRPr="004C2429">
        <w:rPr>
          <w:rFonts w:ascii="Arial" w:hAnsi="Arial" w:cs="Arial"/>
          <w:sz w:val="20"/>
          <w:szCs w:val="20"/>
        </w:rPr>
        <w:t>, E. (2017). Potential of lactic acid bacteria as suppressors of wine allergies. In BIO Web of Conferences (Vol. 9, p. 04009). EDP Sciences.</w:t>
      </w:r>
    </w:p>
    <w:sectPr w:rsidR="008E77B8" w:rsidSect="007009B3">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A3151" w14:textId="77777777" w:rsidR="00ED38F6" w:rsidRDefault="00ED38F6" w:rsidP="002E7A78">
      <w:pPr>
        <w:spacing w:after="0" w:line="240" w:lineRule="auto"/>
      </w:pPr>
      <w:r>
        <w:separator/>
      </w:r>
    </w:p>
  </w:endnote>
  <w:endnote w:type="continuationSeparator" w:id="0">
    <w:p w14:paraId="3AADB61C" w14:textId="77777777" w:rsidR="00ED38F6" w:rsidRDefault="00ED38F6" w:rsidP="002E7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Kartika">
    <w:altName w:val="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897D3" w14:textId="77777777" w:rsidR="002E7A78" w:rsidRDefault="002E7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8961B" w14:textId="77777777" w:rsidR="002E7A78" w:rsidRDefault="002E7A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E395C" w14:textId="77777777" w:rsidR="002E7A78" w:rsidRDefault="002E7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BF8DC" w14:textId="77777777" w:rsidR="00ED38F6" w:rsidRDefault="00ED38F6" w:rsidP="002E7A78">
      <w:pPr>
        <w:spacing w:after="0" w:line="240" w:lineRule="auto"/>
      </w:pPr>
      <w:r>
        <w:separator/>
      </w:r>
    </w:p>
  </w:footnote>
  <w:footnote w:type="continuationSeparator" w:id="0">
    <w:p w14:paraId="15CE501B" w14:textId="77777777" w:rsidR="00ED38F6" w:rsidRDefault="00ED38F6" w:rsidP="002E7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12406" w14:textId="5F84DD86" w:rsidR="002E7A78" w:rsidRDefault="002E7A78">
    <w:pPr>
      <w:pStyle w:val="Header"/>
    </w:pPr>
    <w:r>
      <w:rPr>
        <w:noProof/>
      </w:rPr>
      <w:pict w14:anchorId="7B35F1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97192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C1E3B" w14:textId="698CA8DB" w:rsidR="002E7A78" w:rsidRDefault="002E7A78">
    <w:pPr>
      <w:pStyle w:val="Header"/>
    </w:pPr>
    <w:r>
      <w:rPr>
        <w:noProof/>
      </w:rPr>
      <w:pict w14:anchorId="6F4C9F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97192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05609" w14:textId="0AF746B8" w:rsidR="002E7A78" w:rsidRDefault="002E7A78">
    <w:pPr>
      <w:pStyle w:val="Header"/>
    </w:pPr>
    <w:r>
      <w:rPr>
        <w:noProof/>
      </w:rPr>
      <w:pict w14:anchorId="273DDA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97192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68"/>
    <w:rsid w:val="00015CED"/>
    <w:rsid w:val="00051FB2"/>
    <w:rsid w:val="000758E8"/>
    <w:rsid w:val="00157598"/>
    <w:rsid w:val="002A702D"/>
    <w:rsid w:val="002E7A78"/>
    <w:rsid w:val="003407D3"/>
    <w:rsid w:val="00353623"/>
    <w:rsid w:val="003952FF"/>
    <w:rsid w:val="003C437E"/>
    <w:rsid w:val="004044A4"/>
    <w:rsid w:val="00467F84"/>
    <w:rsid w:val="00477467"/>
    <w:rsid w:val="004B580B"/>
    <w:rsid w:val="004C2429"/>
    <w:rsid w:val="004E6696"/>
    <w:rsid w:val="006218A3"/>
    <w:rsid w:val="0064054E"/>
    <w:rsid w:val="0068392A"/>
    <w:rsid w:val="006B65DD"/>
    <w:rsid w:val="006C01E4"/>
    <w:rsid w:val="006E34AC"/>
    <w:rsid w:val="007009B3"/>
    <w:rsid w:val="007E0D80"/>
    <w:rsid w:val="008506EC"/>
    <w:rsid w:val="0086231D"/>
    <w:rsid w:val="008A394E"/>
    <w:rsid w:val="008B0203"/>
    <w:rsid w:val="008E77B8"/>
    <w:rsid w:val="008F7921"/>
    <w:rsid w:val="009165B7"/>
    <w:rsid w:val="00951C11"/>
    <w:rsid w:val="00960D4F"/>
    <w:rsid w:val="00965669"/>
    <w:rsid w:val="00970ACC"/>
    <w:rsid w:val="009E0387"/>
    <w:rsid w:val="009F31F8"/>
    <w:rsid w:val="00A10668"/>
    <w:rsid w:val="00A96C87"/>
    <w:rsid w:val="00AA2617"/>
    <w:rsid w:val="00AA6274"/>
    <w:rsid w:val="00AB0311"/>
    <w:rsid w:val="00AD6B8E"/>
    <w:rsid w:val="00B9612F"/>
    <w:rsid w:val="00BA163D"/>
    <w:rsid w:val="00C130E9"/>
    <w:rsid w:val="00C276C8"/>
    <w:rsid w:val="00C45231"/>
    <w:rsid w:val="00CB2304"/>
    <w:rsid w:val="00DA4C84"/>
    <w:rsid w:val="00DC1C40"/>
    <w:rsid w:val="00E31C60"/>
    <w:rsid w:val="00EA6CC1"/>
    <w:rsid w:val="00EB00FE"/>
    <w:rsid w:val="00EB51F4"/>
    <w:rsid w:val="00EC66E6"/>
    <w:rsid w:val="00ED38F6"/>
    <w:rsid w:val="00EE1621"/>
    <w:rsid w:val="00EF7C96"/>
    <w:rsid w:val="00F054ED"/>
    <w:rsid w:val="00FB540F"/>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EBDA8A"/>
  <w15:chartTrackingRefBased/>
  <w15:docId w15:val="{006F4A99-6A40-437C-896D-E524653D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06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06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066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066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066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06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06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06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06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6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06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06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06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06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06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6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6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668"/>
    <w:rPr>
      <w:rFonts w:eastAsiaTheme="majorEastAsia" w:cstheme="majorBidi"/>
      <w:color w:val="272727" w:themeColor="text1" w:themeTint="D8"/>
    </w:rPr>
  </w:style>
  <w:style w:type="paragraph" w:styleId="Title">
    <w:name w:val="Title"/>
    <w:basedOn w:val="Normal"/>
    <w:next w:val="Normal"/>
    <w:link w:val="TitleChar"/>
    <w:uiPriority w:val="10"/>
    <w:qFormat/>
    <w:rsid w:val="00A106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6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06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6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0668"/>
    <w:pPr>
      <w:spacing w:before="160"/>
      <w:jc w:val="center"/>
    </w:pPr>
    <w:rPr>
      <w:i/>
      <w:iCs/>
      <w:color w:val="404040" w:themeColor="text1" w:themeTint="BF"/>
    </w:rPr>
  </w:style>
  <w:style w:type="character" w:customStyle="1" w:styleId="QuoteChar">
    <w:name w:val="Quote Char"/>
    <w:basedOn w:val="DefaultParagraphFont"/>
    <w:link w:val="Quote"/>
    <w:uiPriority w:val="29"/>
    <w:rsid w:val="00A10668"/>
    <w:rPr>
      <w:i/>
      <w:iCs/>
      <w:color w:val="404040" w:themeColor="text1" w:themeTint="BF"/>
    </w:rPr>
  </w:style>
  <w:style w:type="paragraph" w:styleId="ListParagraph">
    <w:name w:val="List Paragraph"/>
    <w:basedOn w:val="Normal"/>
    <w:uiPriority w:val="34"/>
    <w:qFormat/>
    <w:rsid w:val="00A10668"/>
    <w:pPr>
      <w:ind w:left="720"/>
      <w:contextualSpacing/>
    </w:pPr>
  </w:style>
  <w:style w:type="character" w:styleId="IntenseEmphasis">
    <w:name w:val="Intense Emphasis"/>
    <w:basedOn w:val="DefaultParagraphFont"/>
    <w:uiPriority w:val="21"/>
    <w:qFormat/>
    <w:rsid w:val="00A10668"/>
    <w:rPr>
      <w:i/>
      <w:iCs/>
      <w:color w:val="2F5496" w:themeColor="accent1" w:themeShade="BF"/>
    </w:rPr>
  </w:style>
  <w:style w:type="paragraph" w:styleId="IntenseQuote">
    <w:name w:val="Intense Quote"/>
    <w:basedOn w:val="Normal"/>
    <w:next w:val="Normal"/>
    <w:link w:val="IntenseQuoteChar"/>
    <w:uiPriority w:val="30"/>
    <w:qFormat/>
    <w:rsid w:val="00A106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0668"/>
    <w:rPr>
      <w:i/>
      <w:iCs/>
      <w:color w:val="2F5496" w:themeColor="accent1" w:themeShade="BF"/>
    </w:rPr>
  </w:style>
  <w:style w:type="character" w:styleId="IntenseReference">
    <w:name w:val="Intense Reference"/>
    <w:basedOn w:val="DefaultParagraphFont"/>
    <w:uiPriority w:val="32"/>
    <w:qFormat/>
    <w:rsid w:val="00A10668"/>
    <w:rPr>
      <w:b/>
      <w:bCs/>
      <w:smallCaps/>
      <w:color w:val="2F5496" w:themeColor="accent1" w:themeShade="BF"/>
      <w:spacing w:val="5"/>
    </w:rPr>
  </w:style>
  <w:style w:type="paragraph" w:customStyle="1" w:styleId="Author">
    <w:name w:val="Author"/>
    <w:basedOn w:val="Normal"/>
    <w:rsid w:val="007009B3"/>
    <w:pPr>
      <w:spacing w:after="0" w:line="280" w:lineRule="exact"/>
      <w:jc w:val="right"/>
    </w:pPr>
    <w:rPr>
      <w:rFonts w:ascii="Helvetica" w:eastAsia="Times New Roman" w:hAnsi="Helvetica" w:cs="Times New Roman"/>
      <w:b/>
      <w:kern w:val="0"/>
      <w:sz w:val="24"/>
      <w:szCs w:val="20"/>
      <w:lang w:val="en-US"/>
      <w14:ligatures w14:val="none"/>
    </w:rPr>
  </w:style>
  <w:style w:type="paragraph" w:customStyle="1" w:styleId="Affiliation">
    <w:name w:val="Affiliation"/>
    <w:basedOn w:val="Normal"/>
    <w:rsid w:val="007009B3"/>
    <w:pPr>
      <w:spacing w:after="240" w:line="240" w:lineRule="exact"/>
      <w:jc w:val="right"/>
    </w:pPr>
    <w:rPr>
      <w:rFonts w:ascii="Helvetica" w:eastAsia="Times New Roman" w:hAnsi="Helvetica" w:cs="Times New Roman"/>
      <w:kern w:val="0"/>
      <w:sz w:val="20"/>
      <w:szCs w:val="20"/>
      <w:lang w:val="en-US"/>
      <w14:ligatures w14:val="none"/>
    </w:rPr>
  </w:style>
  <w:style w:type="paragraph" w:customStyle="1" w:styleId="ReferHead">
    <w:name w:val="Refer Head"/>
    <w:basedOn w:val="Normal"/>
    <w:rsid w:val="00DC1C40"/>
    <w:pPr>
      <w:keepNext/>
      <w:spacing w:after="240" w:line="240" w:lineRule="auto"/>
    </w:pPr>
    <w:rPr>
      <w:rFonts w:ascii="Helvetica" w:eastAsia="Times New Roman" w:hAnsi="Helvetica" w:cs="Times New Roman"/>
      <w:b/>
      <w:caps/>
      <w:kern w:val="0"/>
      <w:szCs w:val="20"/>
      <w:lang w:val="en-US"/>
      <w14:ligatures w14:val="none"/>
    </w:rPr>
  </w:style>
  <w:style w:type="table" w:styleId="TableGrid">
    <w:name w:val="Table Grid"/>
    <w:basedOn w:val="TableNormal"/>
    <w:uiPriority w:val="39"/>
    <w:rsid w:val="00DA4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231D"/>
    <w:rPr>
      <w:color w:val="0563C1" w:themeColor="hyperlink"/>
      <w:u w:val="single"/>
    </w:rPr>
  </w:style>
  <w:style w:type="character" w:styleId="UnresolvedMention">
    <w:name w:val="Unresolved Mention"/>
    <w:basedOn w:val="DefaultParagraphFont"/>
    <w:uiPriority w:val="99"/>
    <w:semiHidden/>
    <w:unhideWhenUsed/>
    <w:rsid w:val="0086231D"/>
    <w:rPr>
      <w:color w:val="605E5C"/>
      <w:shd w:val="clear" w:color="auto" w:fill="E1DFDD"/>
    </w:rPr>
  </w:style>
  <w:style w:type="character" w:styleId="CommentReference">
    <w:name w:val="annotation reference"/>
    <w:basedOn w:val="DefaultParagraphFont"/>
    <w:uiPriority w:val="99"/>
    <w:semiHidden/>
    <w:unhideWhenUsed/>
    <w:rsid w:val="009F31F8"/>
    <w:rPr>
      <w:sz w:val="16"/>
      <w:szCs w:val="16"/>
    </w:rPr>
  </w:style>
  <w:style w:type="paragraph" w:styleId="CommentText">
    <w:name w:val="annotation text"/>
    <w:basedOn w:val="Normal"/>
    <w:link w:val="CommentTextChar"/>
    <w:uiPriority w:val="99"/>
    <w:semiHidden/>
    <w:unhideWhenUsed/>
    <w:rsid w:val="009F31F8"/>
    <w:pPr>
      <w:spacing w:line="240" w:lineRule="auto"/>
    </w:pPr>
    <w:rPr>
      <w:sz w:val="20"/>
      <w:szCs w:val="20"/>
    </w:rPr>
  </w:style>
  <w:style w:type="character" w:customStyle="1" w:styleId="CommentTextChar">
    <w:name w:val="Comment Text Char"/>
    <w:basedOn w:val="DefaultParagraphFont"/>
    <w:link w:val="CommentText"/>
    <w:uiPriority w:val="99"/>
    <w:semiHidden/>
    <w:rsid w:val="009F31F8"/>
    <w:rPr>
      <w:sz w:val="20"/>
      <w:szCs w:val="20"/>
    </w:rPr>
  </w:style>
  <w:style w:type="paragraph" w:styleId="CommentSubject">
    <w:name w:val="annotation subject"/>
    <w:basedOn w:val="CommentText"/>
    <w:next w:val="CommentText"/>
    <w:link w:val="CommentSubjectChar"/>
    <w:uiPriority w:val="99"/>
    <w:semiHidden/>
    <w:unhideWhenUsed/>
    <w:rsid w:val="009F31F8"/>
    <w:rPr>
      <w:b/>
      <w:bCs/>
    </w:rPr>
  </w:style>
  <w:style w:type="character" w:customStyle="1" w:styleId="CommentSubjectChar">
    <w:name w:val="Comment Subject Char"/>
    <w:basedOn w:val="CommentTextChar"/>
    <w:link w:val="CommentSubject"/>
    <w:uiPriority w:val="99"/>
    <w:semiHidden/>
    <w:rsid w:val="009F31F8"/>
    <w:rPr>
      <w:b/>
      <w:bCs/>
      <w:sz w:val="20"/>
      <w:szCs w:val="20"/>
    </w:rPr>
  </w:style>
  <w:style w:type="character" w:styleId="PlaceholderText">
    <w:name w:val="Placeholder Text"/>
    <w:basedOn w:val="DefaultParagraphFont"/>
    <w:uiPriority w:val="99"/>
    <w:semiHidden/>
    <w:rsid w:val="00AB0311"/>
    <w:rPr>
      <w:color w:val="666666"/>
    </w:rPr>
  </w:style>
  <w:style w:type="paragraph" w:styleId="Header">
    <w:name w:val="header"/>
    <w:basedOn w:val="Normal"/>
    <w:link w:val="HeaderChar"/>
    <w:uiPriority w:val="99"/>
    <w:unhideWhenUsed/>
    <w:rsid w:val="002E7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A78"/>
  </w:style>
  <w:style w:type="paragraph" w:styleId="Footer">
    <w:name w:val="footer"/>
    <w:basedOn w:val="Normal"/>
    <w:link w:val="FooterChar"/>
    <w:uiPriority w:val="99"/>
    <w:unhideWhenUsed/>
    <w:rsid w:val="002E7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5968">
      <w:bodyDiv w:val="1"/>
      <w:marLeft w:val="0"/>
      <w:marRight w:val="0"/>
      <w:marTop w:val="0"/>
      <w:marBottom w:val="0"/>
      <w:divBdr>
        <w:top w:val="none" w:sz="0" w:space="0" w:color="auto"/>
        <w:left w:val="none" w:sz="0" w:space="0" w:color="auto"/>
        <w:bottom w:val="none" w:sz="0" w:space="0" w:color="auto"/>
        <w:right w:val="none" w:sz="0" w:space="0" w:color="auto"/>
      </w:divBdr>
    </w:div>
    <w:div w:id="172184397">
      <w:bodyDiv w:val="1"/>
      <w:marLeft w:val="0"/>
      <w:marRight w:val="0"/>
      <w:marTop w:val="0"/>
      <w:marBottom w:val="0"/>
      <w:divBdr>
        <w:top w:val="none" w:sz="0" w:space="0" w:color="auto"/>
        <w:left w:val="none" w:sz="0" w:space="0" w:color="auto"/>
        <w:bottom w:val="none" w:sz="0" w:space="0" w:color="auto"/>
        <w:right w:val="none" w:sz="0" w:space="0" w:color="auto"/>
      </w:divBdr>
    </w:div>
    <w:div w:id="276910368">
      <w:bodyDiv w:val="1"/>
      <w:marLeft w:val="0"/>
      <w:marRight w:val="0"/>
      <w:marTop w:val="0"/>
      <w:marBottom w:val="0"/>
      <w:divBdr>
        <w:top w:val="none" w:sz="0" w:space="0" w:color="auto"/>
        <w:left w:val="none" w:sz="0" w:space="0" w:color="auto"/>
        <w:bottom w:val="none" w:sz="0" w:space="0" w:color="auto"/>
        <w:right w:val="none" w:sz="0" w:space="0" w:color="auto"/>
      </w:divBdr>
    </w:div>
    <w:div w:id="777406129">
      <w:bodyDiv w:val="1"/>
      <w:marLeft w:val="0"/>
      <w:marRight w:val="0"/>
      <w:marTop w:val="0"/>
      <w:marBottom w:val="0"/>
      <w:divBdr>
        <w:top w:val="none" w:sz="0" w:space="0" w:color="auto"/>
        <w:left w:val="none" w:sz="0" w:space="0" w:color="auto"/>
        <w:bottom w:val="none" w:sz="0" w:space="0" w:color="auto"/>
        <w:right w:val="none" w:sz="0" w:space="0" w:color="auto"/>
      </w:divBdr>
    </w:div>
    <w:div w:id="1114440437">
      <w:bodyDiv w:val="1"/>
      <w:marLeft w:val="0"/>
      <w:marRight w:val="0"/>
      <w:marTop w:val="0"/>
      <w:marBottom w:val="0"/>
      <w:divBdr>
        <w:top w:val="none" w:sz="0" w:space="0" w:color="auto"/>
        <w:left w:val="none" w:sz="0" w:space="0" w:color="auto"/>
        <w:bottom w:val="none" w:sz="0" w:space="0" w:color="auto"/>
        <w:right w:val="none" w:sz="0" w:space="0" w:color="auto"/>
      </w:divBdr>
    </w:div>
    <w:div w:id="1189248256">
      <w:bodyDiv w:val="1"/>
      <w:marLeft w:val="0"/>
      <w:marRight w:val="0"/>
      <w:marTop w:val="0"/>
      <w:marBottom w:val="0"/>
      <w:divBdr>
        <w:top w:val="none" w:sz="0" w:space="0" w:color="auto"/>
        <w:left w:val="none" w:sz="0" w:space="0" w:color="auto"/>
        <w:bottom w:val="none" w:sz="0" w:space="0" w:color="auto"/>
        <w:right w:val="none" w:sz="0" w:space="0" w:color="auto"/>
      </w:divBdr>
    </w:div>
    <w:div w:id="1316907868">
      <w:bodyDiv w:val="1"/>
      <w:marLeft w:val="0"/>
      <w:marRight w:val="0"/>
      <w:marTop w:val="0"/>
      <w:marBottom w:val="0"/>
      <w:divBdr>
        <w:top w:val="none" w:sz="0" w:space="0" w:color="auto"/>
        <w:left w:val="none" w:sz="0" w:space="0" w:color="auto"/>
        <w:bottom w:val="none" w:sz="0" w:space="0" w:color="auto"/>
        <w:right w:val="none" w:sz="0" w:space="0" w:color="auto"/>
      </w:divBdr>
    </w:div>
    <w:div w:id="1335954349">
      <w:bodyDiv w:val="1"/>
      <w:marLeft w:val="0"/>
      <w:marRight w:val="0"/>
      <w:marTop w:val="0"/>
      <w:marBottom w:val="0"/>
      <w:divBdr>
        <w:top w:val="none" w:sz="0" w:space="0" w:color="auto"/>
        <w:left w:val="none" w:sz="0" w:space="0" w:color="auto"/>
        <w:bottom w:val="none" w:sz="0" w:space="0" w:color="auto"/>
        <w:right w:val="none" w:sz="0" w:space="0" w:color="auto"/>
      </w:divBdr>
    </w:div>
    <w:div w:id="1788113081">
      <w:bodyDiv w:val="1"/>
      <w:marLeft w:val="0"/>
      <w:marRight w:val="0"/>
      <w:marTop w:val="0"/>
      <w:marBottom w:val="0"/>
      <w:divBdr>
        <w:top w:val="none" w:sz="0" w:space="0" w:color="auto"/>
        <w:left w:val="none" w:sz="0" w:space="0" w:color="auto"/>
        <w:bottom w:val="none" w:sz="0" w:space="0" w:color="auto"/>
        <w:right w:val="none" w:sz="0" w:space="0" w:color="auto"/>
      </w:divBdr>
    </w:div>
    <w:div w:id="1874222185">
      <w:bodyDiv w:val="1"/>
      <w:marLeft w:val="0"/>
      <w:marRight w:val="0"/>
      <w:marTop w:val="0"/>
      <w:marBottom w:val="0"/>
      <w:divBdr>
        <w:top w:val="none" w:sz="0" w:space="0" w:color="auto"/>
        <w:left w:val="none" w:sz="0" w:space="0" w:color="auto"/>
        <w:bottom w:val="none" w:sz="0" w:space="0" w:color="auto"/>
        <w:right w:val="none" w:sz="0" w:space="0" w:color="auto"/>
      </w:divBdr>
    </w:div>
    <w:div w:id="2005085329">
      <w:bodyDiv w:val="1"/>
      <w:marLeft w:val="0"/>
      <w:marRight w:val="0"/>
      <w:marTop w:val="0"/>
      <w:marBottom w:val="0"/>
      <w:divBdr>
        <w:top w:val="none" w:sz="0" w:space="0" w:color="auto"/>
        <w:left w:val="none" w:sz="0" w:space="0" w:color="auto"/>
        <w:bottom w:val="none" w:sz="0" w:space="0" w:color="auto"/>
        <w:right w:val="none" w:sz="0" w:space="0" w:color="auto"/>
      </w:divBdr>
    </w:div>
    <w:div w:id="209886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3771</Words>
  <Characters>21501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Hyderali Shihabudheen U H</dc:creator>
  <cp:keywords/>
  <dc:description/>
  <cp:lastModifiedBy>SDI 1084</cp:lastModifiedBy>
  <cp:revision>16</cp:revision>
  <cp:lastPrinted>2025-04-10T09:24:00Z</cp:lastPrinted>
  <dcterms:created xsi:type="dcterms:W3CDTF">2025-04-10T09:24:00Z</dcterms:created>
  <dcterms:modified xsi:type="dcterms:W3CDTF">2025-04-10T13:12:00Z</dcterms:modified>
</cp:coreProperties>
</file>