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62C86" w14:textId="77777777" w:rsidR="00F802FB" w:rsidRDefault="00762EF3">
      <w:pPr>
        <w:pStyle w:val="LO-normal"/>
        <w:pBdr>
          <w:top w:val="nil"/>
          <w:left w:val="nil"/>
          <w:bottom w:val="nil"/>
          <w:right w:val="nil"/>
          <w:between w:val="nil"/>
        </w:pBdr>
        <w:rPr>
          <w:rFonts w:ascii="Arial" w:eastAsia="Arial" w:hAnsi="Arial" w:cs="Arial"/>
          <w:b/>
          <w:color w:val="000000"/>
          <w:sz w:val="36"/>
          <w:szCs w:val="36"/>
        </w:rPr>
      </w:pPr>
      <w:bookmarkStart w:id="0" w:name="bookmark=id.gjdgxs" w:colFirst="0" w:colLast="0"/>
      <w:bookmarkEnd w:id="0"/>
      <w:r>
        <w:rPr>
          <w:rFonts w:ascii="Arial" w:eastAsia="Arial" w:hAnsi="Arial" w:cs="Arial"/>
          <w:b/>
          <w:color w:val="000000"/>
          <w:sz w:val="36"/>
          <w:szCs w:val="36"/>
          <w:highlight w:val="white"/>
        </w:rPr>
        <w:t>Model Classification Methods in the Treatment   of Corneal Ulcers with Mesenchymal Stem Cells</w:t>
      </w:r>
    </w:p>
    <w:p w14:paraId="3C570A70" w14:textId="77777777" w:rsidR="00F802FB" w:rsidRDefault="00F802FB">
      <w:pPr>
        <w:pStyle w:val="LO-normal"/>
        <w:jc w:val="both"/>
        <w:rPr>
          <w:rFonts w:ascii="Arial" w:eastAsia="Arial" w:hAnsi="Arial" w:cs="Arial"/>
          <w:b/>
          <w:color w:val="000000"/>
          <w:sz w:val="36"/>
          <w:szCs w:val="36"/>
        </w:rPr>
      </w:pPr>
    </w:p>
    <w:p w14:paraId="0F3CA7E5" w14:textId="35B56EFF" w:rsidR="00F802FB" w:rsidRDefault="00F802FB">
      <w:pPr>
        <w:pStyle w:val="LO-normal"/>
        <w:rPr>
          <w:rFonts w:ascii="Arial" w:eastAsia="Arial" w:hAnsi="Arial" w:cs="Arial"/>
          <w:i/>
        </w:rPr>
      </w:pPr>
    </w:p>
    <w:p w14:paraId="0C7009ED" w14:textId="77777777" w:rsidR="00F71116" w:rsidRDefault="00F71116">
      <w:pPr>
        <w:pStyle w:val="LO-normal"/>
        <w:rPr>
          <w:rFonts w:ascii="Arial" w:eastAsia="Arial" w:hAnsi="Arial" w:cs="Arial"/>
          <w:i/>
        </w:rPr>
      </w:pPr>
    </w:p>
    <w:p w14:paraId="2501B451" w14:textId="77777777" w:rsidR="00F802FB" w:rsidRDefault="00F802FB">
      <w:pPr>
        <w:pStyle w:val="LO-normal"/>
        <w:jc w:val="both"/>
        <w:rPr>
          <w:rFonts w:ascii="Arial" w:eastAsia="Arial" w:hAnsi="Arial" w:cs="Arial"/>
          <w:color w:val="000000"/>
          <w:sz w:val="16"/>
          <w:szCs w:val="16"/>
        </w:rPr>
        <w:sectPr w:rsidR="00F802FB" w:rsidSect="00F71116">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4D6F3CC6" w14:textId="77777777" w:rsidR="00F802FB" w:rsidRDefault="00762EF3">
      <w:pPr>
        <w:pStyle w:val="LO-normal"/>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3F7B5E5B" w14:textId="77777777" w:rsidR="00F802FB" w:rsidRDefault="00F802FB">
      <w:pPr>
        <w:pStyle w:val="LO-normal"/>
        <w:keepNext/>
        <w:jc w:val="both"/>
        <w:rPr>
          <w:rFonts w:ascii="Arial" w:eastAsia="Arial" w:hAnsi="Arial" w:cs="Arial"/>
          <w:b/>
          <w:smallCaps/>
          <w:color w:val="000000"/>
          <w:sz w:val="22"/>
          <w:szCs w:val="22"/>
        </w:rPr>
      </w:pPr>
    </w:p>
    <w:tbl>
      <w:tblPr>
        <w:tblStyle w:val="a"/>
        <w:tblW w:w="8424" w:type="dxa"/>
        <w:tblInd w:w="-115" w:type="dxa"/>
        <w:tblLayout w:type="fixed"/>
        <w:tblLook w:val="0400" w:firstRow="0" w:lastRow="0" w:firstColumn="0" w:lastColumn="0" w:noHBand="0" w:noVBand="1"/>
      </w:tblPr>
      <w:tblGrid>
        <w:gridCol w:w="8424"/>
      </w:tblGrid>
      <w:tr w:rsidR="00F802FB" w14:paraId="36EB5E97" w14:textId="77777777">
        <w:tc>
          <w:tcPr>
            <w:tcW w:w="8424" w:type="dxa"/>
            <w:tcBorders>
              <w:top w:val="single" w:sz="4" w:space="0" w:color="000000"/>
              <w:left w:val="single" w:sz="4" w:space="0" w:color="000000"/>
              <w:bottom w:val="single" w:sz="4" w:space="0" w:color="000000"/>
              <w:right w:val="single" w:sz="4" w:space="0" w:color="000000"/>
            </w:tcBorders>
            <w:shd w:val="clear" w:color="auto" w:fill="F2F2F2"/>
          </w:tcPr>
          <w:p w14:paraId="7ADFAE82" w14:textId="77777777" w:rsidR="00F802FB" w:rsidRDefault="00762EF3">
            <w:pPr>
              <w:pStyle w:val="LO-normal"/>
              <w:widowControl w:val="0"/>
              <w:rPr>
                <w:rFonts w:ascii="Arial" w:eastAsia="Arial" w:hAnsi="Arial" w:cs="Arial"/>
                <w:b/>
              </w:rPr>
            </w:pPr>
            <w:r>
              <w:rPr>
                <w:rFonts w:ascii="Arial" w:eastAsia="Arial" w:hAnsi="Arial" w:cs="Arial"/>
                <w:b/>
              </w:rPr>
              <w:t>The study was carried out with the aim of classifying the difficulty in treating corneal ulcers using mesenchymal stem cells as cell therapy. Seven studies were used to carry out the research. It was carried out by the Department of Animal Morphology and Physiology (DMFA) and the Laboratory of Physiology and Experimental Surgery (LAFICE). The research was carried out through a bibliographic survey, highlighting the following topics: routes of application of MSCs, tissue origin of MSCs, sex of the animal, species of the animal, depth of the corneal ulcer, comorbidity and time required for re-epithelialization. The results showed that the study that came closest to the set of topics related to increased treatment difficulty took 270 days to recover. The study that came closest to the set of topics related to the least difficulty of treatment took 21 days to recover, demonstrating the efficiency of the proposed classification of difficulty of treatment. The study concludes the efficiency of the method for classifying the difficulty of treating corneal ulcers using mesenchymal stem cells.</w:t>
            </w:r>
          </w:p>
          <w:p w14:paraId="7236AF2E" w14:textId="28AFBE70" w:rsidR="00F802FB" w:rsidRDefault="00F802FB">
            <w:pPr>
              <w:pStyle w:val="LO-normal"/>
              <w:widowControl w:val="0"/>
              <w:jc w:val="both"/>
              <w:rPr>
                <w:rFonts w:ascii="Arial" w:eastAsia="Arial" w:hAnsi="Arial" w:cs="Arial"/>
                <w:color w:val="000000"/>
              </w:rPr>
            </w:pPr>
          </w:p>
        </w:tc>
      </w:tr>
    </w:tbl>
    <w:p w14:paraId="7E988977" w14:textId="77777777" w:rsidR="00F802FB" w:rsidRDefault="00F802FB">
      <w:pPr>
        <w:pStyle w:val="LO-normal"/>
        <w:jc w:val="both"/>
        <w:rPr>
          <w:rFonts w:ascii="Arial" w:eastAsia="Arial" w:hAnsi="Arial" w:cs="Arial"/>
          <w:i/>
          <w:color w:val="000000"/>
        </w:rPr>
      </w:pPr>
    </w:p>
    <w:p w14:paraId="3CDE866D" w14:textId="77777777" w:rsidR="00F802FB" w:rsidRDefault="00762EF3">
      <w:pPr>
        <w:pStyle w:val="LO-normal"/>
        <w:jc w:val="both"/>
        <w:rPr>
          <w:rFonts w:ascii="Arial" w:eastAsia="Arial" w:hAnsi="Arial" w:cs="Arial"/>
          <w:i/>
          <w:color w:val="000000"/>
        </w:rPr>
      </w:pPr>
      <w:r>
        <w:rPr>
          <w:rFonts w:ascii="Arial" w:eastAsia="Arial" w:hAnsi="Arial" w:cs="Arial"/>
          <w:i/>
          <w:color w:val="000000"/>
        </w:rPr>
        <w:t>Keywords:</w:t>
      </w:r>
      <w:r>
        <w:rPr>
          <w:rFonts w:ascii="Arial" w:eastAsia="Arial" w:hAnsi="Arial" w:cs="Arial"/>
          <w:i/>
        </w:rPr>
        <w:t xml:space="preserve"> stem cells, mesenchymal stem cells, ophthalmology, cell therapy and corneal ulcer.</w:t>
      </w:r>
    </w:p>
    <w:p w14:paraId="3FD7E887" w14:textId="77777777" w:rsidR="00F802FB" w:rsidRDefault="00F802FB">
      <w:pPr>
        <w:pStyle w:val="LO-normal"/>
        <w:jc w:val="both"/>
        <w:rPr>
          <w:rFonts w:ascii="Arial" w:eastAsia="Arial" w:hAnsi="Arial" w:cs="Arial"/>
          <w:i/>
          <w:color w:val="000000"/>
        </w:rPr>
      </w:pPr>
    </w:p>
    <w:p w14:paraId="4C10E3D8" w14:textId="77777777" w:rsidR="00F802FB" w:rsidRDefault="00F802FB">
      <w:pPr>
        <w:pStyle w:val="LO-normal"/>
        <w:jc w:val="both"/>
        <w:rPr>
          <w:rFonts w:ascii="Arial" w:eastAsia="Arial" w:hAnsi="Arial" w:cs="Arial"/>
          <w:i/>
          <w:color w:val="000000"/>
        </w:rPr>
      </w:pPr>
    </w:p>
    <w:p w14:paraId="3F01BF0B" w14:textId="77777777" w:rsidR="00F802FB" w:rsidRDefault="00762EF3">
      <w:pPr>
        <w:pStyle w:val="LO-normal"/>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410AE036" w14:textId="77777777" w:rsidR="00F802FB" w:rsidRDefault="00F802FB">
      <w:pPr>
        <w:pStyle w:val="LO-normal"/>
        <w:keepNext/>
        <w:jc w:val="both"/>
        <w:rPr>
          <w:rFonts w:ascii="Arial" w:eastAsia="Arial" w:hAnsi="Arial" w:cs="Arial"/>
          <w:b/>
          <w:smallCaps/>
          <w:color w:val="000000"/>
          <w:sz w:val="22"/>
          <w:szCs w:val="22"/>
        </w:rPr>
      </w:pPr>
    </w:p>
    <w:p w14:paraId="594861F0" w14:textId="2F01B702" w:rsidR="00F802FB" w:rsidRDefault="00762EF3">
      <w:pPr>
        <w:pStyle w:val="LO-normal"/>
        <w:jc w:val="both"/>
        <w:rPr>
          <w:rFonts w:ascii="Arial" w:eastAsia="Arial" w:hAnsi="Arial" w:cs="Arial"/>
        </w:rPr>
      </w:pPr>
      <w:r>
        <w:rPr>
          <w:rFonts w:ascii="Arial" w:eastAsia="Arial" w:hAnsi="Arial" w:cs="Arial"/>
          <w:color w:val="000000"/>
        </w:rPr>
        <w:t>A corneal ulcer is defined as a lesion or loss of integrity of the layers of the cornea. The cornea is the most superficial part of the eye and is subdivided into five layers: epithelium, Bowman's layer, stroma, Descemet's membrane and endothelium (COBO et al., 2024). Corneal ulcers can be classified according to the depth of the affected layer, as follows: 1 - superficial corneal ulcers, which damage the epithelium, the first layer of the cornea; 2 - deep corneal ulcers, which damage the stroma, the third layer of the cornea (BYRD, GURNANI and MARTIN, 2024; FALCÃO, 2020</w:t>
      </w:r>
      <w:r w:rsidR="0029139E">
        <w:rPr>
          <w:rFonts w:ascii="Arial" w:eastAsia="Arial" w:hAnsi="Arial" w:cs="Arial"/>
          <w:color w:val="000000"/>
        </w:rPr>
        <w:t xml:space="preserve">; </w:t>
      </w:r>
      <w:r w:rsidR="0029139E" w:rsidRPr="0029139E">
        <w:rPr>
          <w:rFonts w:ascii="Arial" w:eastAsia="Arial" w:hAnsi="Arial" w:cs="Arial"/>
          <w:color w:val="000000"/>
          <w:highlight w:val="yellow"/>
        </w:rPr>
        <w:t>Iqbal et al., 2022</w:t>
      </w:r>
      <w:r>
        <w:rPr>
          <w:rFonts w:ascii="Arial" w:eastAsia="Arial" w:hAnsi="Arial" w:cs="Arial"/>
          <w:color w:val="000000"/>
        </w:rPr>
        <w:t>). Several studies have demonstrated the beneficial effects of using mesenchymal stem cells in the treatment of corneal ulcers, both superficial and deep (FREITAS, 2018; KAWATA et al., 2019; PEREIRA, et al., 2024). In addition, a significant number of studies have presented treatments that associate the use of mesenchymal stem cells with the treatment of corneal ulcers. These treatments associated with mesenchymal stem cells can be conventional or unconventional</w:t>
      </w:r>
      <w:r>
        <w:rPr>
          <w:rFonts w:ascii="Arial" w:eastAsia="Arial" w:hAnsi="Arial" w:cs="Arial"/>
        </w:rPr>
        <w:t xml:space="preserve">. </w:t>
      </w:r>
    </w:p>
    <w:p w14:paraId="48E22AB9" w14:textId="77777777" w:rsidR="00F802FB" w:rsidRDefault="00F802FB">
      <w:pPr>
        <w:pStyle w:val="LO-normal"/>
        <w:jc w:val="both"/>
        <w:rPr>
          <w:rFonts w:ascii="Arial" w:eastAsia="Arial" w:hAnsi="Arial" w:cs="Arial"/>
        </w:rPr>
      </w:pPr>
    </w:p>
    <w:p w14:paraId="278DE2AF" w14:textId="77777777" w:rsidR="00F802FB" w:rsidRDefault="00762EF3">
      <w:pPr>
        <w:pStyle w:val="LO-normal"/>
        <w:jc w:val="both"/>
        <w:rPr>
          <w:rFonts w:ascii="Arial" w:eastAsia="Arial" w:hAnsi="Arial" w:cs="Arial"/>
        </w:rPr>
      </w:pPr>
      <w:r>
        <w:rPr>
          <w:rFonts w:ascii="Arial" w:eastAsia="Arial" w:hAnsi="Arial" w:cs="Arial"/>
        </w:rPr>
        <w:t xml:space="preserve">The International Society for Cellular Therapy establishes three basic criteria for classifying a stem cell as a mesenchymal stem cell (MSC). The first criterion states that mesenchymal stem cells must be adherent to plastic when subjected to basic culture conditions. The second requires them to be positive (more than 95%) for CD105 (endoglin or SH2), CD73 (SH3 or SH4) and CD90 (Thy-1) and negative (less than 2%) for CD45, CD34, CD14 and CD11b. The third and final feature is the cells' ability to differentiate into bone, fat and cartilage tissue when in vitro (ALMALKI and AGRAWAL, 2016; BIANCO, ROBEY and SIMMONS, 2008). The mesenchymal stem cell was first described in 1867 by </w:t>
      </w:r>
      <w:proofErr w:type="spellStart"/>
      <w:r>
        <w:rPr>
          <w:rFonts w:ascii="Arial" w:eastAsia="Arial" w:hAnsi="Arial" w:cs="Arial"/>
        </w:rPr>
        <w:t>Cohnheim</w:t>
      </w:r>
      <w:proofErr w:type="spellEnd"/>
      <w:r>
        <w:rPr>
          <w:rFonts w:ascii="Arial" w:eastAsia="Arial" w:hAnsi="Arial" w:cs="Arial"/>
        </w:rPr>
        <w:t xml:space="preserve">, who suggested the first existence of non-hematopoietic stem cells in the bone marrow, which had been unknown until </w:t>
      </w:r>
      <w:r>
        <w:rPr>
          <w:rFonts w:ascii="Arial" w:eastAsia="Arial" w:hAnsi="Arial" w:cs="Arial"/>
        </w:rPr>
        <w:lastRenderedPageBreak/>
        <w:t xml:space="preserve">then (STEFAŃSKA et al., 2020). In addition to bone marrow, other sources of isolation were subsequently discovered (BIANCO, ROBEY and SIMMONS, 2008). </w:t>
      </w:r>
    </w:p>
    <w:p w14:paraId="093E277F" w14:textId="77777777" w:rsidR="00F802FB" w:rsidRDefault="00F802FB">
      <w:pPr>
        <w:pStyle w:val="LO-normal"/>
        <w:jc w:val="both"/>
        <w:rPr>
          <w:rFonts w:ascii="Arial" w:eastAsia="Arial" w:hAnsi="Arial" w:cs="Arial"/>
        </w:rPr>
      </w:pPr>
    </w:p>
    <w:p w14:paraId="307DF766" w14:textId="77777777" w:rsidR="00F802FB" w:rsidRDefault="00762EF3">
      <w:pPr>
        <w:pStyle w:val="LO-normal"/>
        <w:jc w:val="both"/>
        <w:rPr>
          <w:rFonts w:ascii="Arial" w:eastAsia="Arial" w:hAnsi="Arial" w:cs="Arial"/>
        </w:rPr>
      </w:pPr>
      <w:r>
        <w:rPr>
          <w:rFonts w:ascii="Arial" w:eastAsia="Arial" w:hAnsi="Arial" w:cs="Arial"/>
        </w:rPr>
        <w:t xml:space="preserve">Various studies have demonstrated the importance of establishing and following a protocol or model in clinical treatment, as can be seen in the works by </w:t>
      </w:r>
      <w:proofErr w:type="spellStart"/>
      <w:r>
        <w:rPr>
          <w:rFonts w:ascii="Arial" w:eastAsia="Arial" w:hAnsi="Arial" w:cs="Arial"/>
        </w:rPr>
        <w:t>Mamme</w:t>
      </w:r>
      <w:proofErr w:type="spellEnd"/>
      <w:r>
        <w:rPr>
          <w:rFonts w:ascii="Arial" w:eastAsia="Arial" w:hAnsi="Arial" w:cs="Arial"/>
        </w:rPr>
        <w:t xml:space="preserve">, </w:t>
      </w:r>
      <w:proofErr w:type="spellStart"/>
      <w:r>
        <w:rPr>
          <w:rFonts w:ascii="Arial" w:eastAsia="Arial" w:hAnsi="Arial" w:cs="Arial"/>
        </w:rPr>
        <w:t>Mastell</w:t>
      </w:r>
      <w:proofErr w:type="spellEnd"/>
      <w:r>
        <w:rPr>
          <w:rFonts w:ascii="Arial" w:eastAsia="Arial" w:hAnsi="Arial" w:cs="Arial"/>
        </w:rPr>
        <w:t xml:space="preserve"> and Lemley (2014) and Tingle (2023). The standardization of clinical procedures has become increasingly common in the clinical environment, both in human and veterinary medicine. However, this standardization is still limited when it comes to the use of mesenchymal stem cells in the treatment of corneal ulcers</w:t>
      </w:r>
    </w:p>
    <w:p w14:paraId="6B88C9BC" w14:textId="77777777" w:rsidR="00F802FB" w:rsidRDefault="00F802FB">
      <w:pPr>
        <w:pStyle w:val="LO-normal"/>
        <w:jc w:val="both"/>
        <w:rPr>
          <w:rFonts w:ascii="Arial" w:eastAsia="Arial" w:hAnsi="Arial" w:cs="Arial"/>
        </w:rPr>
      </w:pPr>
    </w:p>
    <w:p w14:paraId="79B02EA6" w14:textId="77777777" w:rsidR="00F802FB" w:rsidRDefault="00762EF3">
      <w:pPr>
        <w:pStyle w:val="LO-normal"/>
        <w:jc w:val="both"/>
        <w:rPr>
          <w:rFonts w:ascii="Arial" w:eastAsia="Arial" w:hAnsi="Arial" w:cs="Arial"/>
        </w:rPr>
      </w:pPr>
      <w:r>
        <w:rPr>
          <w:rFonts w:ascii="Arial" w:eastAsia="Arial" w:hAnsi="Arial" w:cs="Arial"/>
        </w:rPr>
        <w:t xml:space="preserve">The aim of this study was to analyze research into cell therapy using mesenchymal stem cells in the treatment of corneal ulcers. If a pattern is identified in the results of specific studies, it will be possible to describe the most efficient treatment model. The model will vary according to the species treated (human or non-human animal) and the level of ulcer (superficial or deep), which are the only two factors that cannot be altered in the clinical strategy, since the patient's previous condition cannot be chosen. Therefore, these factors become standard settings for the creation of treatment models. </w:t>
      </w:r>
    </w:p>
    <w:p w14:paraId="76FA9228" w14:textId="77777777" w:rsidR="00F802FB" w:rsidRDefault="00F802FB">
      <w:pPr>
        <w:pStyle w:val="LO-normal"/>
        <w:jc w:val="both"/>
        <w:rPr>
          <w:rFonts w:ascii="Arial" w:eastAsia="Arial" w:hAnsi="Arial" w:cs="Arial"/>
        </w:rPr>
      </w:pPr>
    </w:p>
    <w:p w14:paraId="05C6127A" w14:textId="77777777" w:rsidR="00F802FB" w:rsidRDefault="00762EF3">
      <w:pPr>
        <w:pStyle w:val="LO-normal"/>
        <w:keepNext/>
        <w:jc w:val="both"/>
        <w:rPr>
          <w:rFonts w:ascii="Arial" w:eastAsia="Arial" w:hAnsi="Arial" w:cs="Arial"/>
          <w:b/>
          <w:smallCaps/>
          <w:sz w:val="22"/>
          <w:szCs w:val="22"/>
        </w:rPr>
      </w:pPr>
      <w:r>
        <w:rPr>
          <w:rFonts w:ascii="Arial" w:eastAsia="Arial" w:hAnsi="Arial" w:cs="Arial"/>
          <w:b/>
          <w:smallCaps/>
          <w:color w:val="000000"/>
          <w:sz w:val="22"/>
          <w:szCs w:val="22"/>
        </w:rPr>
        <w:t xml:space="preserve">2. material and methods </w:t>
      </w:r>
    </w:p>
    <w:p w14:paraId="1ABF953C" w14:textId="77777777" w:rsidR="00F802FB" w:rsidRDefault="00F802FB">
      <w:pPr>
        <w:pStyle w:val="LO-normal"/>
        <w:keepNext/>
        <w:jc w:val="both"/>
        <w:rPr>
          <w:rFonts w:ascii="Arial" w:eastAsia="Arial" w:hAnsi="Arial" w:cs="Arial"/>
          <w:b/>
          <w:smallCaps/>
          <w:color w:val="000000"/>
          <w:sz w:val="22"/>
          <w:szCs w:val="22"/>
        </w:rPr>
      </w:pPr>
    </w:p>
    <w:p w14:paraId="42CCDA24" w14:textId="77777777" w:rsidR="00F802FB" w:rsidRDefault="00762EF3">
      <w:pPr>
        <w:pStyle w:val="LO-normal"/>
        <w:jc w:val="both"/>
        <w:rPr>
          <w:rFonts w:ascii="Arial" w:eastAsia="Arial" w:hAnsi="Arial" w:cs="Arial"/>
        </w:rPr>
      </w:pPr>
      <w:r>
        <w:rPr>
          <w:rFonts w:ascii="Arial" w:eastAsia="Arial" w:hAnsi="Arial" w:cs="Arial"/>
        </w:rPr>
        <w:t xml:space="preserve">The work consists of a bibliographical survey, using the keywords mesenchymal stem cells, cell therapy and corneal ulcer and the combinations 1- mesenchymal stem cells AND corneal ulcer and 2- cell therapy AND corneal ulcer, searched on Google Scholar and the </w:t>
      </w:r>
      <w:proofErr w:type="spellStart"/>
      <w:r>
        <w:rPr>
          <w:rFonts w:ascii="Arial" w:eastAsia="Arial" w:hAnsi="Arial" w:cs="Arial"/>
        </w:rPr>
        <w:t>Scielo</w:t>
      </w:r>
      <w:proofErr w:type="spellEnd"/>
      <w:r>
        <w:rPr>
          <w:rFonts w:ascii="Arial" w:eastAsia="Arial" w:hAnsi="Arial" w:cs="Arial"/>
        </w:rPr>
        <w:t xml:space="preserve"> and </w:t>
      </w:r>
      <w:proofErr w:type="spellStart"/>
      <w:r>
        <w:rPr>
          <w:rFonts w:ascii="Arial" w:eastAsia="Arial" w:hAnsi="Arial" w:cs="Arial"/>
        </w:rPr>
        <w:t>Pubmed</w:t>
      </w:r>
      <w:proofErr w:type="spellEnd"/>
      <w:r>
        <w:rPr>
          <w:rFonts w:ascii="Arial" w:eastAsia="Arial" w:hAnsi="Arial" w:cs="Arial"/>
        </w:rPr>
        <w:t xml:space="preserve"> databases. A survey of the studies used was carried out. To compose the tables presented in Results and Discussion, the inclusion criteria were documents that used mesenchymal stem cells to treat corneal ulcers; the exclusion criteria were review studies and studies that used non-conventional techniques associated with mesenchymal stem cells. </w:t>
      </w:r>
    </w:p>
    <w:p w14:paraId="47D96B86" w14:textId="77777777" w:rsidR="00F802FB" w:rsidRDefault="00F802FB">
      <w:pPr>
        <w:pStyle w:val="LO-normal"/>
        <w:jc w:val="both"/>
        <w:rPr>
          <w:rFonts w:ascii="Arial" w:eastAsia="Arial" w:hAnsi="Arial" w:cs="Arial"/>
        </w:rPr>
      </w:pPr>
    </w:p>
    <w:p w14:paraId="7AFEC25A" w14:textId="77777777" w:rsidR="00F802FB" w:rsidRDefault="00762EF3">
      <w:pPr>
        <w:pStyle w:val="LO-normal"/>
        <w:jc w:val="both"/>
        <w:rPr>
          <w:rFonts w:ascii="Arial" w:eastAsia="Arial" w:hAnsi="Arial" w:cs="Arial"/>
        </w:rPr>
      </w:pPr>
      <w:r>
        <w:rPr>
          <w:rFonts w:ascii="Arial" w:eastAsia="Arial" w:hAnsi="Arial" w:cs="Arial"/>
        </w:rPr>
        <w:t xml:space="preserve">In order to create the tables, due to the small number of articles that met the inclusion and exclusion criteria, no specific time interval was set for selecting the studies. However, the oldest article identified was published in 2008, while the most recent was published in 2020. The papers used in the introduction and discussion of the research, on the other hand, had a time frame from 2000 to 2024. </w:t>
      </w:r>
    </w:p>
    <w:p w14:paraId="1A72EC43" w14:textId="77777777" w:rsidR="00F802FB" w:rsidRDefault="00F802FB">
      <w:pPr>
        <w:pStyle w:val="LO-normal"/>
        <w:jc w:val="both"/>
        <w:rPr>
          <w:rFonts w:ascii="Arial" w:eastAsia="Arial" w:hAnsi="Arial" w:cs="Arial"/>
        </w:rPr>
      </w:pPr>
    </w:p>
    <w:p w14:paraId="45DE79AA" w14:textId="77777777" w:rsidR="00F802FB" w:rsidRDefault="00762EF3">
      <w:pPr>
        <w:pStyle w:val="LO-normal"/>
        <w:jc w:val="both"/>
        <w:rPr>
          <w:rFonts w:ascii="Arial" w:eastAsia="Arial" w:hAnsi="Arial" w:cs="Arial"/>
          <w:color w:val="000000"/>
        </w:rPr>
      </w:pPr>
      <w:r>
        <w:rPr>
          <w:rFonts w:ascii="Arial" w:eastAsia="Arial" w:hAnsi="Arial" w:cs="Arial"/>
        </w:rPr>
        <w:t xml:space="preserve">The study analyzed the following aspects in the selected articles: routes of application, origin of the mesenchymal stem cells, depth of the corneal ulcer, sex of the animals, associated comorbidities, citations of the studies analyzed and the time required for re-epithelialization. In order to identify an order of difficulty in treatment, considering the topics mentioned above, and, based on this analysis, propose a treatment model, the topics reported in more than one study were evaluated based on their medians. Those that appeared in only one study had their data used directly as a reference. The choice to use the median is due to the fact that this measure is not influenced by extreme values, making it possible to integrate variations. </w:t>
      </w:r>
    </w:p>
    <w:p w14:paraId="02EE58DC" w14:textId="77777777" w:rsidR="00F802FB" w:rsidRDefault="00F802FB">
      <w:pPr>
        <w:pStyle w:val="LO-normal"/>
        <w:jc w:val="both"/>
        <w:rPr>
          <w:rFonts w:ascii="Arial" w:eastAsia="Arial" w:hAnsi="Arial" w:cs="Arial"/>
        </w:rPr>
      </w:pPr>
    </w:p>
    <w:p w14:paraId="2F5B4448" w14:textId="77777777" w:rsidR="00F802FB" w:rsidRDefault="00F802FB">
      <w:pPr>
        <w:pStyle w:val="LO-normal"/>
        <w:jc w:val="both"/>
        <w:rPr>
          <w:rFonts w:ascii="Arial" w:eastAsia="Arial" w:hAnsi="Arial" w:cs="Arial"/>
          <w:color w:val="000000"/>
        </w:rPr>
      </w:pPr>
    </w:p>
    <w:p w14:paraId="5B574195" w14:textId="77777777" w:rsidR="00F802FB" w:rsidRDefault="00762EF3">
      <w:pPr>
        <w:pStyle w:val="LO-normal"/>
        <w:keepNext/>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3D7BCE01" w14:textId="77777777" w:rsidR="00F802FB" w:rsidRDefault="00F802FB">
      <w:pPr>
        <w:pStyle w:val="LO-normal"/>
        <w:keepNext/>
        <w:jc w:val="both"/>
        <w:rPr>
          <w:rFonts w:ascii="Arial" w:eastAsia="Arial" w:hAnsi="Arial" w:cs="Arial"/>
          <w:b/>
          <w:smallCaps/>
          <w:color w:val="000000"/>
          <w:sz w:val="22"/>
          <w:szCs w:val="22"/>
        </w:rPr>
      </w:pPr>
    </w:p>
    <w:p w14:paraId="519AC87D" w14:textId="77777777" w:rsidR="00F802FB" w:rsidRDefault="00762EF3">
      <w:pPr>
        <w:pStyle w:val="LO-normal"/>
        <w:jc w:val="both"/>
        <w:rPr>
          <w:rFonts w:ascii="Arial" w:eastAsia="Arial" w:hAnsi="Arial" w:cs="Arial"/>
          <w:color w:val="000000"/>
        </w:rPr>
      </w:pPr>
      <w:r>
        <w:rPr>
          <w:rFonts w:ascii="Arial" w:eastAsia="Arial" w:hAnsi="Arial" w:cs="Arial"/>
        </w:rPr>
        <w:t>The literature review resulted in the identification of seven (7) research (Table 1), in which the following topics were analyzed: routes of application, origins of the mesenchymal stem cells, levels of depth of the corneal ulcer, sex of the animals, related comorbidities, citations of the studies analyzed and the time required for re-epithelialization/healing of the ulcer.</w:t>
      </w:r>
    </w:p>
    <w:p w14:paraId="3A0A523B" w14:textId="77777777" w:rsidR="00F802FB" w:rsidRDefault="00F802FB">
      <w:pPr>
        <w:pStyle w:val="LO-normal"/>
        <w:jc w:val="both"/>
        <w:rPr>
          <w:rFonts w:ascii="Arial" w:eastAsia="Arial" w:hAnsi="Arial" w:cs="Arial"/>
          <w:color w:val="000000"/>
        </w:rPr>
      </w:pPr>
    </w:p>
    <w:p w14:paraId="39016DB6" w14:textId="77777777" w:rsidR="00F802FB" w:rsidRDefault="00762EF3">
      <w:pPr>
        <w:pStyle w:val="LO-normal"/>
        <w:tabs>
          <w:tab w:val="left" w:pos="1080"/>
        </w:tabs>
        <w:jc w:val="both"/>
        <w:rPr>
          <w:rFonts w:ascii="Arial" w:eastAsia="Arial" w:hAnsi="Arial" w:cs="Arial"/>
          <w:b/>
        </w:rPr>
      </w:pPr>
      <w:r>
        <w:rPr>
          <w:rFonts w:ascii="Arial" w:eastAsia="Arial" w:hAnsi="Arial" w:cs="Arial"/>
          <w:b/>
        </w:rPr>
        <w:t xml:space="preserve">Table 1. Results of the classification of topics: routes of application, origins of mesenchymal stem cells, levels of depth of the corneal ulcer, sex of the animals, their </w:t>
      </w:r>
      <w:r>
        <w:rPr>
          <w:rFonts w:ascii="Arial" w:eastAsia="Arial" w:hAnsi="Arial" w:cs="Arial"/>
          <w:b/>
        </w:rPr>
        <w:lastRenderedPageBreak/>
        <w:t>comorbidities, citations of the studies analyzed and days for re-epithelialization/healing of the ulcer.</w:t>
      </w:r>
    </w:p>
    <w:p w14:paraId="06DAB583" w14:textId="77777777" w:rsidR="00F802FB" w:rsidRDefault="00F802FB">
      <w:pPr>
        <w:pStyle w:val="LO-normal"/>
        <w:tabs>
          <w:tab w:val="left" w:pos="1080"/>
        </w:tabs>
        <w:jc w:val="both"/>
        <w:rPr>
          <w:rFonts w:ascii="Arial" w:eastAsia="Arial" w:hAnsi="Arial" w:cs="Arial"/>
          <w:b/>
        </w:rPr>
      </w:pPr>
    </w:p>
    <w:tbl>
      <w:tblPr>
        <w:tblStyle w:val="a0"/>
        <w:tblW w:w="8208" w:type="dxa"/>
        <w:tblBorders>
          <w:top w:val="nil"/>
          <w:left w:val="nil"/>
          <w:bottom w:val="nil"/>
          <w:right w:val="nil"/>
          <w:insideH w:val="nil"/>
          <w:insideV w:val="nil"/>
        </w:tblBorders>
        <w:tblLayout w:type="fixed"/>
        <w:tblLook w:val="0600" w:firstRow="0" w:lastRow="0" w:firstColumn="0" w:lastColumn="0" w:noHBand="1" w:noVBand="1"/>
      </w:tblPr>
      <w:tblGrid>
        <w:gridCol w:w="900"/>
        <w:gridCol w:w="899"/>
        <w:gridCol w:w="899"/>
        <w:gridCol w:w="899"/>
        <w:gridCol w:w="1015"/>
        <w:gridCol w:w="899"/>
        <w:gridCol w:w="899"/>
        <w:gridCol w:w="899"/>
        <w:gridCol w:w="899"/>
      </w:tblGrid>
      <w:tr w:rsidR="00F802FB" w14:paraId="3327B80B" w14:textId="77777777">
        <w:trPr>
          <w:trHeight w:val="315"/>
        </w:trPr>
        <w:tc>
          <w:tcPr>
            <w:tcW w:w="89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F7226A1"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research</w:t>
            </w:r>
          </w:p>
        </w:tc>
        <w:tc>
          <w:tcPr>
            <w:tcW w:w="89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9409F45"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routes</w:t>
            </w:r>
          </w:p>
        </w:tc>
        <w:tc>
          <w:tcPr>
            <w:tcW w:w="89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F2AD70F"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origins</w:t>
            </w:r>
          </w:p>
        </w:tc>
        <w:tc>
          <w:tcPr>
            <w:tcW w:w="89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9892EBF"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ulcer level</w:t>
            </w:r>
          </w:p>
        </w:tc>
        <w:tc>
          <w:tcPr>
            <w:tcW w:w="101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ED31620"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Species</w:t>
            </w:r>
          </w:p>
        </w:tc>
        <w:tc>
          <w:tcPr>
            <w:tcW w:w="89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304A111"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Sex</w:t>
            </w:r>
          </w:p>
        </w:tc>
        <w:tc>
          <w:tcPr>
            <w:tcW w:w="89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3A3E20B"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comorbidities</w:t>
            </w:r>
          </w:p>
        </w:tc>
        <w:tc>
          <w:tcPr>
            <w:tcW w:w="89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12383CE"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days</w:t>
            </w:r>
          </w:p>
        </w:tc>
        <w:tc>
          <w:tcPr>
            <w:tcW w:w="89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A845E70"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citation</w:t>
            </w:r>
          </w:p>
        </w:tc>
      </w:tr>
      <w:tr w:rsidR="00F802FB" w14:paraId="7C5431DA" w14:textId="77777777">
        <w:trPr>
          <w:trHeight w:val="525"/>
        </w:trPr>
        <w:tc>
          <w:tcPr>
            <w:tcW w:w="899" w:type="dxa"/>
            <w:tcBorders>
              <w:top w:val="nil"/>
              <w:left w:val="nil"/>
              <w:bottom w:val="single" w:sz="8" w:space="0" w:color="000000"/>
              <w:right w:val="nil"/>
            </w:tcBorders>
            <w:tcMar>
              <w:top w:w="40" w:type="dxa"/>
              <w:left w:w="40" w:type="dxa"/>
              <w:bottom w:w="40" w:type="dxa"/>
              <w:right w:w="40" w:type="dxa"/>
            </w:tcMar>
            <w:vAlign w:val="bottom"/>
          </w:tcPr>
          <w:p w14:paraId="15CC512B"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1</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5A52A9EC"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Subconjunctival</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304DB1A1"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Allogeneic adipose tissue</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2FA440BC"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Deep</w:t>
            </w:r>
          </w:p>
        </w:tc>
        <w:tc>
          <w:tcPr>
            <w:tcW w:w="1015" w:type="dxa"/>
            <w:tcBorders>
              <w:top w:val="nil"/>
              <w:left w:val="nil"/>
              <w:bottom w:val="single" w:sz="8" w:space="0" w:color="000000"/>
              <w:right w:val="nil"/>
            </w:tcBorders>
            <w:tcMar>
              <w:top w:w="40" w:type="dxa"/>
              <w:left w:w="40" w:type="dxa"/>
              <w:bottom w:w="40" w:type="dxa"/>
              <w:right w:w="40" w:type="dxa"/>
            </w:tcMar>
            <w:vAlign w:val="bottom"/>
          </w:tcPr>
          <w:p w14:paraId="4B543E91"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Dogs</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79F12B72"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male</w:t>
            </w:r>
          </w:p>
        </w:tc>
        <w:tc>
          <w:tcPr>
            <w:tcW w:w="899"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341CAE66"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Type 1 diabetes</w:t>
            </w:r>
          </w:p>
        </w:tc>
        <w:tc>
          <w:tcPr>
            <w:tcW w:w="899"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4B5B4DCE"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14</w:t>
            </w:r>
          </w:p>
        </w:tc>
        <w:tc>
          <w:tcPr>
            <w:tcW w:w="899"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08C4AE02" w14:textId="77777777" w:rsidR="00F802FB" w:rsidRDefault="00762EF3">
            <w:pPr>
              <w:pStyle w:val="LO-normal"/>
              <w:widowControl w:val="0"/>
              <w:spacing w:line="276" w:lineRule="auto"/>
              <w:jc w:val="center"/>
              <w:rPr>
                <w:rFonts w:ascii="Arial" w:eastAsia="Arial" w:hAnsi="Arial" w:cs="Arial"/>
              </w:rPr>
            </w:pPr>
            <w:r>
              <w:rPr>
                <w:rFonts w:ascii="Times New Roman" w:eastAsia="Times New Roman" w:hAnsi="Times New Roman" w:cs="Times New Roman"/>
                <w:sz w:val="18"/>
                <w:szCs w:val="18"/>
              </w:rPr>
              <w:t>Falcão et al. (2020)</w:t>
            </w:r>
          </w:p>
        </w:tc>
      </w:tr>
      <w:tr w:rsidR="00F802FB" w14:paraId="7A8B649A" w14:textId="77777777">
        <w:trPr>
          <w:trHeight w:val="525"/>
        </w:trPr>
        <w:tc>
          <w:tcPr>
            <w:tcW w:w="899" w:type="dxa"/>
            <w:tcBorders>
              <w:top w:val="nil"/>
              <w:left w:val="nil"/>
              <w:bottom w:val="single" w:sz="8" w:space="0" w:color="000000"/>
              <w:right w:val="nil"/>
            </w:tcBorders>
            <w:tcMar>
              <w:top w:w="40" w:type="dxa"/>
              <w:left w:w="40" w:type="dxa"/>
              <w:bottom w:w="40" w:type="dxa"/>
              <w:right w:w="40" w:type="dxa"/>
            </w:tcMar>
            <w:vAlign w:val="bottom"/>
          </w:tcPr>
          <w:p w14:paraId="45098210"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2</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18CF820C"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Implanted with injection</w:t>
            </w:r>
          </w:p>
        </w:tc>
        <w:tc>
          <w:tcPr>
            <w:tcW w:w="899" w:type="dxa"/>
            <w:tcBorders>
              <w:top w:val="nil"/>
              <w:left w:val="nil"/>
              <w:bottom w:val="single" w:sz="8" w:space="0" w:color="000000"/>
              <w:right w:val="nil"/>
            </w:tcBorders>
            <w:tcMar>
              <w:top w:w="40" w:type="dxa"/>
              <w:left w:w="40" w:type="dxa"/>
              <w:bottom w:w="40" w:type="dxa"/>
              <w:right w:w="40" w:type="dxa"/>
            </w:tcMar>
          </w:tcPr>
          <w:p w14:paraId="6BBCBEDA"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Allogeneic adipose tissue</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42F2AFC0"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1015" w:type="dxa"/>
            <w:tcBorders>
              <w:top w:val="nil"/>
              <w:left w:val="nil"/>
              <w:bottom w:val="single" w:sz="8" w:space="0" w:color="000000"/>
              <w:right w:val="nil"/>
            </w:tcBorders>
            <w:tcMar>
              <w:top w:w="40" w:type="dxa"/>
              <w:left w:w="40" w:type="dxa"/>
              <w:bottom w:w="40" w:type="dxa"/>
              <w:right w:w="40" w:type="dxa"/>
            </w:tcMar>
            <w:vAlign w:val="bottom"/>
          </w:tcPr>
          <w:p w14:paraId="734D2AA5"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Dogs</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7269EA3C"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644BE805"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Keratoconjunctivitis sicca</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4F10FB21"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270</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597F0FBB"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Villatoro et al., (2015)</w:t>
            </w:r>
          </w:p>
        </w:tc>
      </w:tr>
      <w:tr w:rsidR="00F802FB" w14:paraId="03F33FCA" w14:textId="77777777">
        <w:trPr>
          <w:trHeight w:val="525"/>
        </w:trPr>
        <w:tc>
          <w:tcPr>
            <w:tcW w:w="899" w:type="dxa"/>
            <w:tcBorders>
              <w:top w:val="nil"/>
              <w:left w:val="nil"/>
              <w:bottom w:val="single" w:sz="8" w:space="0" w:color="000000"/>
              <w:right w:val="nil"/>
            </w:tcBorders>
            <w:tcMar>
              <w:top w:w="40" w:type="dxa"/>
              <w:left w:w="40" w:type="dxa"/>
              <w:bottom w:w="40" w:type="dxa"/>
              <w:right w:w="40" w:type="dxa"/>
            </w:tcMar>
            <w:vAlign w:val="bottom"/>
          </w:tcPr>
          <w:p w14:paraId="509F68D2"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3</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0E852A51"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Subconjunctival</w:t>
            </w:r>
          </w:p>
        </w:tc>
        <w:tc>
          <w:tcPr>
            <w:tcW w:w="899" w:type="dxa"/>
            <w:tcBorders>
              <w:top w:val="nil"/>
              <w:left w:val="nil"/>
              <w:bottom w:val="single" w:sz="8" w:space="0" w:color="000000"/>
              <w:right w:val="nil"/>
            </w:tcBorders>
            <w:tcMar>
              <w:top w:w="40" w:type="dxa"/>
              <w:left w:w="40" w:type="dxa"/>
              <w:bottom w:w="40" w:type="dxa"/>
              <w:right w:w="40" w:type="dxa"/>
            </w:tcMar>
          </w:tcPr>
          <w:p w14:paraId="25B519BA"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Allogeneic adipose tissue</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2FA8C62B"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Superficial</w:t>
            </w:r>
          </w:p>
        </w:tc>
        <w:tc>
          <w:tcPr>
            <w:tcW w:w="1015" w:type="dxa"/>
            <w:tcBorders>
              <w:top w:val="nil"/>
              <w:left w:val="nil"/>
              <w:bottom w:val="single" w:sz="8" w:space="0" w:color="000000"/>
              <w:right w:val="nil"/>
            </w:tcBorders>
            <w:tcMar>
              <w:top w:w="40" w:type="dxa"/>
              <w:left w:w="40" w:type="dxa"/>
              <w:bottom w:w="40" w:type="dxa"/>
              <w:right w:w="40" w:type="dxa"/>
            </w:tcMar>
            <w:vAlign w:val="bottom"/>
          </w:tcPr>
          <w:p w14:paraId="78C7320A"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Dogs</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0CD7A259"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Female</w:t>
            </w:r>
          </w:p>
        </w:tc>
        <w:tc>
          <w:tcPr>
            <w:tcW w:w="899"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477BD56C"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899"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74B766B3"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14</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3AEBD265"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Amorim, et al. (2022)</w:t>
            </w:r>
          </w:p>
        </w:tc>
      </w:tr>
      <w:tr w:rsidR="00F802FB" w14:paraId="149DD9D9" w14:textId="77777777">
        <w:trPr>
          <w:trHeight w:val="525"/>
        </w:trPr>
        <w:tc>
          <w:tcPr>
            <w:tcW w:w="899" w:type="dxa"/>
            <w:tcBorders>
              <w:top w:val="nil"/>
              <w:left w:val="nil"/>
              <w:bottom w:val="single" w:sz="8" w:space="0" w:color="000000"/>
              <w:right w:val="nil"/>
            </w:tcBorders>
            <w:tcMar>
              <w:top w:w="40" w:type="dxa"/>
              <w:left w:w="40" w:type="dxa"/>
              <w:bottom w:w="40" w:type="dxa"/>
              <w:right w:w="40" w:type="dxa"/>
            </w:tcMar>
            <w:vAlign w:val="bottom"/>
          </w:tcPr>
          <w:p w14:paraId="25E2ECB8"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4</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0DA01B80"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Topic</w:t>
            </w:r>
          </w:p>
        </w:tc>
        <w:tc>
          <w:tcPr>
            <w:tcW w:w="899" w:type="dxa"/>
            <w:tcBorders>
              <w:top w:val="nil"/>
              <w:left w:val="nil"/>
              <w:bottom w:val="single" w:sz="8" w:space="0" w:color="000000"/>
              <w:right w:val="nil"/>
            </w:tcBorders>
            <w:tcMar>
              <w:top w:w="40" w:type="dxa"/>
              <w:left w:w="40" w:type="dxa"/>
              <w:bottom w:w="40" w:type="dxa"/>
              <w:right w:w="40" w:type="dxa"/>
            </w:tcMar>
          </w:tcPr>
          <w:p w14:paraId="524BAA02"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Allogenic adipose tissue</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3BC5E485"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Deep</w:t>
            </w:r>
          </w:p>
        </w:tc>
        <w:tc>
          <w:tcPr>
            <w:tcW w:w="1015" w:type="dxa"/>
            <w:tcBorders>
              <w:top w:val="nil"/>
              <w:left w:val="nil"/>
              <w:bottom w:val="single" w:sz="8" w:space="0" w:color="000000"/>
              <w:right w:val="nil"/>
            </w:tcBorders>
            <w:tcMar>
              <w:top w:w="40" w:type="dxa"/>
              <w:left w:w="40" w:type="dxa"/>
              <w:bottom w:w="40" w:type="dxa"/>
              <w:right w:w="40" w:type="dxa"/>
            </w:tcMar>
            <w:vAlign w:val="bottom"/>
          </w:tcPr>
          <w:p w14:paraId="31DC9B55"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Dogs</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773FDD9F"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6826237B"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Keratoconjunctivitis sicca</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1A2C164E"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180</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2860620A"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Sgrignoli, et al. (2018)</w:t>
            </w:r>
          </w:p>
        </w:tc>
      </w:tr>
      <w:tr w:rsidR="00F802FB" w14:paraId="3FCE36D3" w14:textId="77777777">
        <w:trPr>
          <w:trHeight w:val="735"/>
        </w:trPr>
        <w:tc>
          <w:tcPr>
            <w:tcW w:w="899" w:type="dxa"/>
            <w:tcBorders>
              <w:top w:val="nil"/>
              <w:left w:val="nil"/>
              <w:bottom w:val="single" w:sz="8" w:space="0" w:color="000000"/>
              <w:right w:val="nil"/>
            </w:tcBorders>
            <w:tcMar>
              <w:top w:w="40" w:type="dxa"/>
              <w:left w:w="40" w:type="dxa"/>
              <w:bottom w:w="40" w:type="dxa"/>
              <w:right w:w="40" w:type="dxa"/>
            </w:tcMar>
            <w:vAlign w:val="bottom"/>
          </w:tcPr>
          <w:p w14:paraId="06BB26DD"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5</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54CE9545"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Subconjunctival</w:t>
            </w:r>
          </w:p>
        </w:tc>
        <w:tc>
          <w:tcPr>
            <w:tcW w:w="899" w:type="dxa"/>
            <w:tcBorders>
              <w:top w:val="nil"/>
              <w:left w:val="nil"/>
              <w:bottom w:val="single" w:sz="8" w:space="0" w:color="000000"/>
              <w:right w:val="nil"/>
            </w:tcBorders>
            <w:tcMar>
              <w:top w:w="40" w:type="dxa"/>
              <w:left w:w="40" w:type="dxa"/>
              <w:bottom w:w="40" w:type="dxa"/>
              <w:right w:w="40" w:type="dxa"/>
            </w:tcMar>
          </w:tcPr>
          <w:p w14:paraId="14415F9F"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Dental pulp</w:t>
            </w:r>
          </w:p>
          <w:p w14:paraId="2AFE0B4A"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allogenic</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6F03D605"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1015" w:type="dxa"/>
            <w:tcBorders>
              <w:top w:val="nil"/>
              <w:left w:val="nil"/>
              <w:bottom w:val="single" w:sz="8" w:space="0" w:color="000000"/>
              <w:right w:val="nil"/>
            </w:tcBorders>
            <w:tcMar>
              <w:top w:w="40" w:type="dxa"/>
              <w:left w:w="40" w:type="dxa"/>
              <w:bottom w:w="40" w:type="dxa"/>
              <w:right w:w="40" w:type="dxa"/>
            </w:tcMar>
            <w:vAlign w:val="bottom"/>
          </w:tcPr>
          <w:p w14:paraId="01366A3E"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Dogs</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1F9679B5"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Female</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6AC7DC89"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Keratoconjunctivitis sicca</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10645990"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28</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74CCA6D3"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Palafox-Herrera</w:t>
            </w:r>
          </w:p>
          <w:p w14:paraId="6A28F1B9"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et al. (2023)</w:t>
            </w:r>
          </w:p>
        </w:tc>
      </w:tr>
      <w:tr w:rsidR="00F802FB" w14:paraId="4B95CBE8" w14:textId="77777777">
        <w:trPr>
          <w:trHeight w:val="525"/>
        </w:trPr>
        <w:tc>
          <w:tcPr>
            <w:tcW w:w="899" w:type="dxa"/>
            <w:tcBorders>
              <w:top w:val="nil"/>
              <w:left w:val="nil"/>
              <w:bottom w:val="single" w:sz="8" w:space="0" w:color="000000"/>
              <w:right w:val="nil"/>
            </w:tcBorders>
            <w:tcMar>
              <w:top w:w="40" w:type="dxa"/>
              <w:left w:w="40" w:type="dxa"/>
              <w:bottom w:w="40" w:type="dxa"/>
              <w:right w:w="40" w:type="dxa"/>
            </w:tcMar>
            <w:vAlign w:val="bottom"/>
          </w:tcPr>
          <w:p w14:paraId="651A16B7"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6</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34E6510F"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Subconjunctival</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02C0797B"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Allogeneic adipose tissue</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2D010CAC"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Deep</w:t>
            </w:r>
          </w:p>
        </w:tc>
        <w:tc>
          <w:tcPr>
            <w:tcW w:w="1015" w:type="dxa"/>
            <w:tcBorders>
              <w:top w:val="nil"/>
              <w:left w:val="nil"/>
              <w:bottom w:val="single" w:sz="8" w:space="0" w:color="000000"/>
              <w:right w:val="nil"/>
            </w:tcBorders>
            <w:tcMar>
              <w:top w:w="40" w:type="dxa"/>
              <w:left w:w="40" w:type="dxa"/>
              <w:bottom w:w="40" w:type="dxa"/>
              <w:right w:w="40" w:type="dxa"/>
            </w:tcMar>
            <w:vAlign w:val="bottom"/>
          </w:tcPr>
          <w:p w14:paraId="1C4FE3AD"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Dogs</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3FDE2F60"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49CC534F"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3EA4EAF2"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35</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57D6194F"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Valeeva et al., (2024)</w:t>
            </w:r>
          </w:p>
        </w:tc>
      </w:tr>
      <w:tr w:rsidR="00F802FB" w14:paraId="121C6496" w14:textId="77777777">
        <w:trPr>
          <w:trHeight w:val="525"/>
        </w:trPr>
        <w:tc>
          <w:tcPr>
            <w:tcW w:w="899" w:type="dxa"/>
            <w:tcBorders>
              <w:top w:val="nil"/>
              <w:left w:val="nil"/>
              <w:bottom w:val="single" w:sz="8" w:space="0" w:color="000000"/>
              <w:right w:val="nil"/>
            </w:tcBorders>
            <w:tcMar>
              <w:top w:w="40" w:type="dxa"/>
              <w:left w:w="40" w:type="dxa"/>
              <w:bottom w:w="40" w:type="dxa"/>
              <w:right w:w="40" w:type="dxa"/>
            </w:tcMar>
            <w:vAlign w:val="bottom"/>
          </w:tcPr>
          <w:p w14:paraId="4CBC65D0"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7</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729AB0EE"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Topic</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33828888"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Bone marrow</w:t>
            </w:r>
          </w:p>
          <w:p w14:paraId="31BC9CCD"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allogeneic</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2BD844AF"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Superficial</w:t>
            </w:r>
          </w:p>
        </w:tc>
        <w:tc>
          <w:tcPr>
            <w:tcW w:w="1015" w:type="dxa"/>
            <w:tcBorders>
              <w:top w:val="nil"/>
              <w:left w:val="nil"/>
              <w:bottom w:val="single" w:sz="8" w:space="0" w:color="000000"/>
              <w:right w:val="nil"/>
            </w:tcBorders>
            <w:tcMar>
              <w:top w:w="40" w:type="dxa"/>
              <w:left w:w="40" w:type="dxa"/>
              <w:bottom w:w="40" w:type="dxa"/>
              <w:right w:w="40" w:type="dxa"/>
            </w:tcMar>
            <w:vAlign w:val="bottom"/>
          </w:tcPr>
          <w:p w14:paraId="22CFA9BE"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Sprague-Dawley rats</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13AFB265"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male</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565B9466"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1258E061"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21</w:t>
            </w:r>
          </w:p>
        </w:tc>
        <w:tc>
          <w:tcPr>
            <w:tcW w:w="899" w:type="dxa"/>
            <w:tcBorders>
              <w:top w:val="nil"/>
              <w:left w:val="nil"/>
              <w:bottom w:val="single" w:sz="8" w:space="0" w:color="000000"/>
              <w:right w:val="nil"/>
            </w:tcBorders>
            <w:tcMar>
              <w:top w:w="40" w:type="dxa"/>
              <w:left w:w="40" w:type="dxa"/>
              <w:bottom w:w="40" w:type="dxa"/>
              <w:right w:w="40" w:type="dxa"/>
            </w:tcMar>
            <w:vAlign w:val="bottom"/>
          </w:tcPr>
          <w:p w14:paraId="76A49C1D"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Oh et al.,</w:t>
            </w:r>
          </w:p>
          <w:p w14:paraId="2405EB30"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(2008)</w:t>
            </w:r>
          </w:p>
        </w:tc>
      </w:tr>
    </w:tbl>
    <w:p w14:paraId="664B814B" w14:textId="77777777" w:rsidR="00F802FB" w:rsidRDefault="00F802FB">
      <w:pPr>
        <w:pStyle w:val="LO-normal"/>
        <w:jc w:val="both"/>
        <w:rPr>
          <w:rFonts w:ascii="Arial" w:eastAsia="Arial" w:hAnsi="Arial" w:cs="Arial"/>
          <w:color w:val="000000"/>
        </w:rPr>
      </w:pPr>
    </w:p>
    <w:p w14:paraId="79ABF9ED" w14:textId="77777777" w:rsidR="00F802FB" w:rsidRDefault="00762EF3">
      <w:pPr>
        <w:pStyle w:val="LO-normal"/>
        <w:jc w:val="both"/>
        <w:rPr>
          <w:rFonts w:ascii="Arial" w:eastAsia="Arial" w:hAnsi="Arial" w:cs="Arial"/>
          <w:color w:val="000000"/>
          <w:sz w:val="22"/>
          <w:szCs w:val="22"/>
        </w:rPr>
      </w:pPr>
      <w:r>
        <w:rPr>
          <w:rFonts w:ascii="Arial" w:eastAsia="Arial" w:hAnsi="Arial" w:cs="Arial"/>
          <w:b/>
          <w:smallCaps/>
          <w:sz w:val="22"/>
          <w:szCs w:val="22"/>
        </w:rPr>
        <w:t>3.1 Classification of study topics according to their difficulty of treatment</w:t>
      </w:r>
      <w:r>
        <w:rPr>
          <w:rFonts w:ascii="Arial" w:eastAsia="Arial" w:hAnsi="Arial" w:cs="Arial"/>
          <w:b/>
          <w:sz w:val="22"/>
          <w:szCs w:val="22"/>
          <w:highlight w:val="white"/>
        </w:rPr>
        <w:t xml:space="preserve"> </w:t>
      </w:r>
    </w:p>
    <w:p w14:paraId="559FF793" w14:textId="77777777" w:rsidR="00F802FB" w:rsidRDefault="00F802FB">
      <w:pPr>
        <w:pStyle w:val="LO-normal"/>
        <w:jc w:val="both"/>
        <w:rPr>
          <w:rFonts w:ascii="Arial" w:eastAsia="Arial" w:hAnsi="Arial" w:cs="Arial"/>
          <w:sz w:val="22"/>
          <w:szCs w:val="22"/>
        </w:rPr>
      </w:pPr>
    </w:p>
    <w:p w14:paraId="74E9B39E" w14:textId="77777777" w:rsidR="00F802FB" w:rsidRDefault="00762EF3">
      <w:pPr>
        <w:pStyle w:val="LO-normal"/>
        <w:jc w:val="both"/>
        <w:rPr>
          <w:rFonts w:ascii="Arial" w:eastAsia="Arial" w:hAnsi="Arial" w:cs="Arial"/>
        </w:rPr>
      </w:pPr>
      <w:r>
        <w:rPr>
          <w:rFonts w:ascii="Arial" w:eastAsia="Arial" w:hAnsi="Arial" w:cs="Arial"/>
        </w:rPr>
        <w:t>The results of the medians (in the case of recurrent topicals) and total days of the isolated studies of the healing/</w:t>
      </w:r>
      <w:proofErr w:type="spellStart"/>
      <w:r>
        <w:rPr>
          <w:rFonts w:ascii="Arial" w:eastAsia="Arial" w:hAnsi="Arial" w:cs="Arial"/>
        </w:rPr>
        <w:t>repithelialization</w:t>
      </w:r>
      <w:proofErr w:type="spellEnd"/>
      <w:r>
        <w:rPr>
          <w:rFonts w:ascii="Arial" w:eastAsia="Arial" w:hAnsi="Arial" w:cs="Arial"/>
        </w:rPr>
        <w:t xml:space="preserve"> time of the corneal ulcer, based on the selected studies, were organized as follows:</w:t>
      </w:r>
    </w:p>
    <w:p w14:paraId="449C9FD8" w14:textId="77777777" w:rsidR="00F802FB" w:rsidRDefault="00762EF3">
      <w:pPr>
        <w:pStyle w:val="LO-normal"/>
        <w:jc w:val="both"/>
        <w:rPr>
          <w:rFonts w:ascii="Arial" w:eastAsia="Arial" w:hAnsi="Arial" w:cs="Arial"/>
        </w:rPr>
      </w:pPr>
      <w:r>
        <w:rPr>
          <w:rFonts w:ascii="Arial" w:eastAsia="Arial" w:hAnsi="Arial" w:cs="Arial"/>
        </w:rPr>
        <w:t xml:space="preserve">Routes: in terms of routes of application, the subconjunctival route had a median of 21 days for corneal ulcer healing (the most positive result); the topical route had a median of 100.5 days of treatment (intermediate result); and implant application with injection, with a single representative, had 270 days (the most negative result). In a study published by Shukla et al. in 2019, the subconjunctival route proved superior in the treatment of corneal ulcers with mesenchymal stem cells. In this study, the authors evaluated the efficacy of the different routes of application, which corroborated the result presented in this research. </w:t>
      </w:r>
    </w:p>
    <w:p w14:paraId="47AD0D97" w14:textId="77777777" w:rsidR="00F802FB" w:rsidRDefault="00F802FB">
      <w:pPr>
        <w:pStyle w:val="LO-normal"/>
        <w:jc w:val="both"/>
        <w:rPr>
          <w:rFonts w:ascii="Arial" w:eastAsia="Arial" w:hAnsi="Arial" w:cs="Arial"/>
          <w:sz w:val="22"/>
          <w:szCs w:val="22"/>
        </w:rPr>
      </w:pPr>
    </w:p>
    <w:p w14:paraId="54EF37D1" w14:textId="77777777" w:rsidR="00F802FB" w:rsidRDefault="00762EF3">
      <w:pPr>
        <w:pStyle w:val="LO-normal"/>
        <w:jc w:val="both"/>
        <w:rPr>
          <w:rFonts w:ascii="Arial" w:eastAsia="Arial" w:hAnsi="Arial" w:cs="Arial"/>
        </w:rPr>
      </w:pPr>
      <w:r>
        <w:rPr>
          <w:rFonts w:ascii="Arial" w:eastAsia="Arial" w:hAnsi="Arial" w:cs="Arial"/>
        </w:rPr>
        <w:lastRenderedPageBreak/>
        <w:t>Origins: in terms of origins, mesenchymal stem cells (MSCs) from allogeneic dental pulp and allogeneic bone marrow (the most positive results), which had only one study for each origin, showed values of 28 and 21 days for ulcer healing, respectively, with these studies determining the final results. On the other hand, MSCs originating from allogeneic adipose tissue showed a median of 35 days for ulcer healing, which was the most negative result.</w:t>
      </w:r>
    </w:p>
    <w:p w14:paraId="783D1E38" w14:textId="77777777" w:rsidR="00F802FB" w:rsidRDefault="00F802FB">
      <w:pPr>
        <w:pStyle w:val="LO-normal"/>
        <w:jc w:val="both"/>
        <w:rPr>
          <w:rFonts w:ascii="Arial" w:eastAsia="Arial" w:hAnsi="Arial" w:cs="Arial"/>
        </w:rPr>
      </w:pPr>
    </w:p>
    <w:p w14:paraId="5BBD4D9E" w14:textId="77777777" w:rsidR="00F802FB" w:rsidRDefault="00762EF3">
      <w:pPr>
        <w:pStyle w:val="LO-normal"/>
        <w:jc w:val="both"/>
        <w:rPr>
          <w:rFonts w:ascii="Arial" w:eastAsia="Arial" w:hAnsi="Arial" w:cs="Arial"/>
        </w:rPr>
      </w:pPr>
      <w:r>
        <w:rPr>
          <w:rFonts w:ascii="Arial" w:eastAsia="Arial" w:hAnsi="Arial" w:cs="Arial"/>
        </w:rPr>
        <w:t>Levels: in terms of levels, the superficial ulcer had a median of 17.5 days to complete recovery (the most positive result), while the deep corneal ulcer had a median of 180 days to complete healing (the most negative result).</w:t>
      </w:r>
    </w:p>
    <w:p w14:paraId="0857893C" w14:textId="77777777" w:rsidR="00F802FB" w:rsidRDefault="00F802FB">
      <w:pPr>
        <w:pStyle w:val="LO-normal"/>
        <w:jc w:val="both"/>
        <w:rPr>
          <w:rFonts w:ascii="Arial" w:eastAsia="Arial" w:hAnsi="Arial" w:cs="Arial"/>
        </w:rPr>
      </w:pPr>
    </w:p>
    <w:p w14:paraId="21386651" w14:textId="77777777" w:rsidR="00F802FB" w:rsidRDefault="00762EF3">
      <w:pPr>
        <w:pStyle w:val="LO-normal"/>
        <w:jc w:val="both"/>
        <w:rPr>
          <w:rFonts w:ascii="Arial" w:eastAsia="Arial" w:hAnsi="Arial" w:cs="Arial"/>
        </w:rPr>
      </w:pPr>
      <w:r>
        <w:rPr>
          <w:rFonts w:ascii="Arial" w:eastAsia="Arial" w:hAnsi="Arial" w:cs="Arial"/>
        </w:rPr>
        <w:t>Species: in terms of levels, superficial ulcers had a median of 17.5 days for complete recovery (the most positive result), while deep corneal ulcers had a median of 180 days for complete healing (the most negative result).</w:t>
      </w:r>
    </w:p>
    <w:p w14:paraId="0BB9E8A7" w14:textId="77777777" w:rsidR="00F802FB" w:rsidRDefault="00F802FB">
      <w:pPr>
        <w:pStyle w:val="LO-normal"/>
        <w:jc w:val="both"/>
        <w:rPr>
          <w:rFonts w:ascii="Arial" w:eastAsia="Arial" w:hAnsi="Arial" w:cs="Arial"/>
        </w:rPr>
      </w:pPr>
    </w:p>
    <w:p w14:paraId="761EFD1F" w14:textId="77777777" w:rsidR="00F802FB" w:rsidRDefault="00762EF3">
      <w:pPr>
        <w:pStyle w:val="LO-normal"/>
        <w:jc w:val="both"/>
        <w:rPr>
          <w:rFonts w:ascii="Arial" w:eastAsia="Arial" w:hAnsi="Arial" w:cs="Arial"/>
        </w:rPr>
      </w:pPr>
      <w:r>
        <w:rPr>
          <w:rFonts w:ascii="Arial" w:eastAsia="Arial" w:hAnsi="Arial" w:cs="Arial"/>
        </w:rPr>
        <w:t>Sex: with regard to sex, males had a median of 17.5 days for the ulcer to heal (the most positive result), while females had a median of 21 days (the most negative result). Studies comparing the hematological and biochemical parameters between Wistar rats and dogs (</w:t>
      </w:r>
      <w:proofErr w:type="spellStart"/>
      <w:r>
        <w:rPr>
          <w:rFonts w:ascii="Arial" w:eastAsia="Arial" w:hAnsi="Arial" w:cs="Arial"/>
        </w:rPr>
        <w:t>Canis</w:t>
      </w:r>
      <w:proofErr w:type="spellEnd"/>
      <w:r>
        <w:rPr>
          <w:rFonts w:ascii="Arial" w:eastAsia="Arial" w:hAnsi="Arial" w:cs="Arial"/>
        </w:rPr>
        <w:t xml:space="preserve"> lupus </w:t>
      </w:r>
      <w:proofErr w:type="spellStart"/>
      <w:r>
        <w:rPr>
          <w:rFonts w:ascii="Arial" w:eastAsia="Arial" w:hAnsi="Arial" w:cs="Arial"/>
        </w:rPr>
        <w:t>familiaris</w:t>
      </w:r>
      <w:proofErr w:type="spellEnd"/>
      <w:r>
        <w:rPr>
          <w:rFonts w:ascii="Arial" w:eastAsia="Arial" w:hAnsi="Arial" w:cs="Arial"/>
        </w:rPr>
        <w:t xml:space="preserve">), both male and female, indicate that there are small differences in these configurations depending on gender (DE LACERDA et al., 2017). This tendency towards sexual </w:t>
      </w:r>
      <w:proofErr w:type="spellStart"/>
      <w:r>
        <w:rPr>
          <w:rFonts w:ascii="Arial" w:eastAsia="Arial" w:hAnsi="Arial" w:cs="Arial"/>
        </w:rPr>
        <w:t>dimorphy</w:t>
      </w:r>
      <w:proofErr w:type="spellEnd"/>
      <w:r>
        <w:rPr>
          <w:rFonts w:ascii="Arial" w:eastAsia="Arial" w:hAnsi="Arial" w:cs="Arial"/>
        </w:rPr>
        <w:t xml:space="preserve"> in the physiology of these animals probably also applies to other mammals, which may explain the difference in results. </w:t>
      </w:r>
    </w:p>
    <w:p w14:paraId="1DE17FC8" w14:textId="77777777" w:rsidR="00F802FB" w:rsidRDefault="00F802FB">
      <w:pPr>
        <w:pStyle w:val="LO-normal"/>
        <w:jc w:val="both"/>
        <w:rPr>
          <w:rFonts w:ascii="Arial" w:eastAsia="Arial" w:hAnsi="Arial" w:cs="Arial"/>
        </w:rPr>
      </w:pPr>
    </w:p>
    <w:p w14:paraId="6EEFD653" w14:textId="77777777" w:rsidR="00F802FB" w:rsidRDefault="00762EF3">
      <w:pPr>
        <w:pStyle w:val="LO-normal"/>
        <w:jc w:val="both"/>
        <w:rPr>
          <w:rFonts w:ascii="Arial" w:eastAsia="Arial" w:hAnsi="Arial" w:cs="Arial"/>
        </w:rPr>
      </w:pPr>
      <w:r>
        <w:rPr>
          <w:rFonts w:ascii="Arial" w:eastAsia="Arial" w:hAnsi="Arial" w:cs="Arial"/>
        </w:rPr>
        <w:t>Comorbidities: with regard to comorbidities, in the studies that mentioned keratoconjunctivitis sicca (CCS), the median recovery time was 180 days (the most negative result). For diabetes, in the only study in which this comorbidity was mentioned, the recovery time was 14 days (the most positive result). The studies that did not report comorbidities showed a shorter median time to corneal ulcer healing.</w:t>
      </w:r>
    </w:p>
    <w:p w14:paraId="01FE109D" w14:textId="77777777" w:rsidR="00F802FB" w:rsidRDefault="00F802FB">
      <w:pPr>
        <w:pStyle w:val="LO-normal"/>
        <w:jc w:val="both"/>
        <w:rPr>
          <w:rFonts w:ascii="Arial" w:eastAsia="Arial" w:hAnsi="Arial" w:cs="Arial"/>
        </w:rPr>
      </w:pPr>
    </w:p>
    <w:p w14:paraId="0ACFFE3A" w14:textId="77777777" w:rsidR="00F802FB" w:rsidRDefault="00762EF3">
      <w:pPr>
        <w:pStyle w:val="LO-normal"/>
        <w:rPr>
          <w:rFonts w:ascii="Arial" w:eastAsia="Arial" w:hAnsi="Arial" w:cs="Arial"/>
          <w:b/>
          <w:sz w:val="22"/>
          <w:szCs w:val="22"/>
        </w:rPr>
      </w:pPr>
      <w:r>
        <w:rPr>
          <w:rFonts w:ascii="Arial" w:eastAsia="Arial" w:hAnsi="Arial" w:cs="Arial"/>
          <w:b/>
          <w:sz w:val="22"/>
          <w:szCs w:val="22"/>
        </w:rPr>
        <w:t>3.2 Treatment difficulty classification model</w:t>
      </w:r>
    </w:p>
    <w:p w14:paraId="6858AA79" w14:textId="77777777" w:rsidR="00F802FB" w:rsidRDefault="00F802FB">
      <w:pPr>
        <w:pStyle w:val="LO-normal"/>
        <w:jc w:val="both"/>
        <w:rPr>
          <w:rFonts w:ascii="Arial" w:eastAsia="Arial" w:hAnsi="Arial" w:cs="Arial"/>
          <w:b/>
          <w:sz w:val="22"/>
          <w:szCs w:val="22"/>
        </w:rPr>
      </w:pPr>
    </w:p>
    <w:p w14:paraId="2C90C5A8" w14:textId="77777777" w:rsidR="00F802FB" w:rsidRDefault="00762EF3">
      <w:pPr>
        <w:pStyle w:val="LO-normal"/>
        <w:jc w:val="both"/>
        <w:rPr>
          <w:rFonts w:ascii="Arial" w:eastAsia="Arial" w:hAnsi="Arial" w:cs="Arial"/>
        </w:rPr>
      </w:pPr>
      <w:r>
        <w:rPr>
          <w:rFonts w:ascii="Arial" w:eastAsia="Arial" w:hAnsi="Arial" w:cs="Arial"/>
        </w:rPr>
        <w:t>By grouping the topics with the most positive results and comparing them with the study that most closely resembles them (the most positive topics), and following the same pattern for the most negative topics, comparing them with the study that most closely resembles them (the most negative topics) (table 2). This allowed us to analyze which pattern of characteristics/topics analyzed may present a more or less complex situation for treating corneal ulcers. “Most negative” would be the sequence of combined factors that make treatment most difficult. On the other hand, “more positive” would be the sequence of combined factors that would make treatment less difficult.</w:t>
      </w:r>
    </w:p>
    <w:p w14:paraId="48FB8331" w14:textId="77777777" w:rsidR="00F802FB" w:rsidRDefault="00F802FB">
      <w:pPr>
        <w:pStyle w:val="LO-normal"/>
        <w:jc w:val="both"/>
        <w:rPr>
          <w:rFonts w:ascii="Arial" w:eastAsia="Arial" w:hAnsi="Arial" w:cs="Arial"/>
        </w:rPr>
      </w:pPr>
    </w:p>
    <w:p w14:paraId="73E4BB60" w14:textId="77777777" w:rsidR="00F802FB" w:rsidRDefault="00762EF3">
      <w:pPr>
        <w:pStyle w:val="LO-normal"/>
        <w:tabs>
          <w:tab w:val="left" w:pos="1080"/>
        </w:tabs>
        <w:jc w:val="both"/>
        <w:rPr>
          <w:rFonts w:ascii="Arial" w:eastAsia="Arial" w:hAnsi="Arial" w:cs="Arial"/>
          <w:b/>
        </w:rPr>
      </w:pPr>
      <w:r>
        <w:rPr>
          <w:rFonts w:ascii="Arial" w:eastAsia="Arial" w:hAnsi="Arial" w:cs="Arial"/>
          <w:b/>
        </w:rPr>
        <w:t>Table 2. table comparing the most positive and negative results of the studies surveyed.</w:t>
      </w:r>
    </w:p>
    <w:p w14:paraId="28F54424" w14:textId="77777777" w:rsidR="00F802FB" w:rsidRDefault="00F802FB">
      <w:pPr>
        <w:pStyle w:val="LO-normal"/>
        <w:tabs>
          <w:tab w:val="left" w:pos="1080"/>
        </w:tabs>
        <w:jc w:val="both"/>
        <w:rPr>
          <w:rFonts w:ascii="Arial" w:eastAsia="Arial" w:hAnsi="Arial" w:cs="Arial"/>
          <w:b/>
        </w:rPr>
      </w:pPr>
    </w:p>
    <w:tbl>
      <w:tblPr>
        <w:tblStyle w:val="a1"/>
        <w:tblW w:w="8208" w:type="dxa"/>
        <w:tblBorders>
          <w:top w:val="nil"/>
          <w:left w:val="nil"/>
          <w:bottom w:val="nil"/>
          <w:right w:val="nil"/>
          <w:insideH w:val="nil"/>
          <w:insideV w:val="nil"/>
        </w:tblBorders>
        <w:tblLayout w:type="fixed"/>
        <w:tblLook w:val="0600" w:firstRow="0" w:lastRow="0" w:firstColumn="0" w:lastColumn="0" w:noHBand="1" w:noVBand="1"/>
      </w:tblPr>
      <w:tblGrid>
        <w:gridCol w:w="912"/>
        <w:gridCol w:w="912"/>
        <w:gridCol w:w="912"/>
        <w:gridCol w:w="912"/>
        <w:gridCol w:w="912"/>
        <w:gridCol w:w="912"/>
        <w:gridCol w:w="912"/>
        <w:gridCol w:w="912"/>
        <w:gridCol w:w="912"/>
      </w:tblGrid>
      <w:tr w:rsidR="00F802FB" w14:paraId="24DE7C44" w14:textId="77777777">
        <w:trPr>
          <w:trHeight w:val="315"/>
        </w:trPr>
        <w:tc>
          <w:tcPr>
            <w:tcW w:w="912"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443F311"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Comparison</w:t>
            </w:r>
          </w:p>
        </w:tc>
        <w:tc>
          <w:tcPr>
            <w:tcW w:w="912"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DD0B2C9"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routes</w:t>
            </w:r>
          </w:p>
        </w:tc>
        <w:tc>
          <w:tcPr>
            <w:tcW w:w="912"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A679A2A"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origins</w:t>
            </w:r>
          </w:p>
        </w:tc>
        <w:tc>
          <w:tcPr>
            <w:tcW w:w="912"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3923299"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ulcer level</w:t>
            </w:r>
          </w:p>
        </w:tc>
        <w:tc>
          <w:tcPr>
            <w:tcW w:w="912"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AABDC4B"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Species</w:t>
            </w:r>
          </w:p>
        </w:tc>
        <w:tc>
          <w:tcPr>
            <w:tcW w:w="912"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E2EF260"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Sex</w:t>
            </w:r>
          </w:p>
        </w:tc>
        <w:tc>
          <w:tcPr>
            <w:tcW w:w="912"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A153182"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comorbidities</w:t>
            </w:r>
          </w:p>
        </w:tc>
        <w:tc>
          <w:tcPr>
            <w:tcW w:w="912"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A18F99B"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days</w:t>
            </w:r>
          </w:p>
        </w:tc>
        <w:tc>
          <w:tcPr>
            <w:tcW w:w="912"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B2C7DAE"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citation</w:t>
            </w:r>
          </w:p>
        </w:tc>
      </w:tr>
      <w:tr w:rsidR="00F802FB" w14:paraId="1D90933F" w14:textId="77777777">
        <w:trPr>
          <w:trHeight w:val="525"/>
        </w:trPr>
        <w:tc>
          <w:tcPr>
            <w:tcW w:w="912" w:type="dxa"/>
            <w:tcBorders>
              <w:top w:val="nil"/>
              <w:left w:val="nil"/>
              <w:bottom w:val="single" w:sz="8" w:space="0" w:color="000000"/>
              <w:right w:val="nil"/>
            </w:tcBorders>
            <w:tcMar>
              <w:top w:w="40" w:type="dxa"/>
              <w:left w:w="40" w:type="dxa"/>
              <w:bottom w:w="40" w:type="dxa"/>
              <w:right w:w="40" w:type="dxa"/>
            </w:tcMar>
            <w:vAlign w:val="bottom"/>
          </w:tcPr>
          <w:p w14:paraId="06520084"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More positive</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12EA8A31"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Subconjunctival route</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4AC44328"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Bone marrow</w:t>
            </w:r>
          </w:p>
          <w:p w14:paraId="665128B3"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allogeneic</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52934CB1"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superficial ulcer</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77F21131"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Sprague-Dawley rats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1C8A7E69"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Males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0820547F"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w:t>
            </w:r>
          </w:p>
        </w:tc>
        <w:tc>
          <w:tcPr>
            <w:tcW w:w="91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5B563126"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w:t>
            </w:r>
          </w:p>
        </w:tc>
        <w:tc>
          <w:tcPr>
            <w:tcW w:w="91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14A874AB"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w:t>
            </w:r>
          </w:p>
        </w:tc>
      </w:tr>
      <w:tr w:rsidR="00F802FB" w14:paraId="7AADF284" w14:textId="77777777">
        <w:trPr>
          <w:trHeight w:val="525"/>
        </w:trPr>
        <w:tc>
          <w:tcPr>
            <w:tcW w:w="912" w:type="dxa"/>
            <w:tcBorders>
              <w:top w:val="nil"/>
              <w:left w:val="nil"/>
              <w:bottom w:val="single" w:sz="8" w:space="0" w:color="000000"/>
              <w:right w:val="nil"/>
            </w:tcBorders>
            <w:tcMar>
              <w:top w:w="40" w:type="dxa"/>
              <w:left w:w="40" w:type="dxa"/>
              <w:bottom w:w="40" w:type="dxa"/>
              <w:right w:w="40" w:type="dxa"/>
            </w:tcMar>
            <w:vAlign w:val="bottom"/>
          </w:tcPr>
          <w:p w14:paraId="4E6DAA88"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Research 7</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60340AA8"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Topic</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4789B469"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Bone marrow</w:t>
            </w:r>
          </w:p>
          <w:p w14:paraId="08DAF0C5"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allogenei</w:t>
            </w:r>
            <w:r>
              <w:rPr>
                <w:rFonts w:ascii="Arial" w:eastAsia="Arial" w:hAnsi="Arial" w:cs="Arial"/>
                <w:highlight w:val="white"/>
              </w:rPr>
              <w:lastRenderedPageBreak/>
              <w:t>c</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52537A20"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lastRenderedPageBreak/>
              <w:t>superficial ulcer</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6780FF2E"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Sprague-Dawley rats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5ACA7495"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Males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23E74F0C"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7BD04DCE"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21</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0145DEDC"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Oh et al.,</w:t>
            </w:r>
          </w:p>
          <w:p w14:paraId="70835DAF"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(2008)</w:t>
            </w:r>
          </w:p>
        </w:tc>
      </w:tr>
      <w:tr w:rsidR="00F802FB" w14:paraId="038D4C6F" w14:textId="77777777">
        <w:trPr>
          <w:trHeight w:val="525"/>
        </w:trPr>
        <w:tc>
          <w:tcPr>
            <w:tcW w:w="912" w:type="dxa"/>
            <w:tcBorders>
              <w:top w:val="nil"/>
              <w:left w:val="nil"/>
              <w:bottom w:val="single" w:sz="8" w:space="0" w:color="000000"/>
              <w:right w:val="nil"/>
            </w:tcBorders>
            <w:tcMar>
              <w:top w:w="40" w:type="dxa"/>
              <w:left w:w="40" w:type="dxa"/>
              <w:bottom w:w="40" w:type="dxa"/>
              <w:right w:w="40" w:type="dxa"/>
            </w:tcMar>
            <w:vAlign w:val="bottom"/>
          </w:tcPr>
          <w:p w14:paraId="7E3DA590"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More negative</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1E059002"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Implanted with injection</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56725898"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Allogeneic adipose tissue</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7BBD9E13"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deep ulcer</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34663D75"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Dogs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51508366"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females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18CDCE5A"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Keratoconjunctivitis sicca</w:t>
            </w:r>
          </w:p>
        </w:tc>
        <w:tc>
          <w:tcPr>
            <w:tcW w:w="91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2A72148F"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758B7ED3"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w:t>
            </w:r>
          </w:p>
        </w:tc>
      </w:tr>
      <w:tr w:rsidR="00F802FB" w14:paraId="4743245A" w14:textId="77777777">
        <w:trPr>
          <w:trHeight w:val="525"/>
        </w:trPr>
        <w:tc>
          <w:tcPr>
            <w:tcW w:w="912" w:type="dxa"/>
            <w:tcBorders>
              <w:top w:val="nil"/>
              <w:left w:val="nil"/>
              <w:bottom w:val="single" w:sz="8" w:space="0" w:color="000000"/>
              <w:right w:val="nil"/>
            </w:tcBorders>
            <w:tcMar>
              <w:top w:w="40" w:type="dxa"/>
              <w:left w:w="40" w:type="dxa"/>
              <w:bottom w:w="40" w:type="dxa"/>
              <w:right w:w="40" w:type="dxa"/>
            </w:tcMar>
            <w:vAlign w:val="bottom"/>
          </w:tcPr>
          <w:p w14:paraId="5EB9E177"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Research 2</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1C0B7357"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Implanted with injection</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7E5493AA"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Allogeneic adipose tissue</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0DB1D068"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7994CBC4"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Dogs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5C5A21ED"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08D46787"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Keratoconjunctivitis sicca</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57946522"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270</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72F8A0F1" w14:textId="77777777" w:rsidR="00F802FB" w:rsidRDefault="00762EF3">
            <w:pPr>
              <w:pStyle w:val="LO-normal"/>
              <w:widowControl w:val="0"/>
              <w:spacing w:line="276" w:lineRule="auto"/>
              <w:jc w:val="center"/>
              <w:rPr>
                <w:rFonts w:ascii="Arial" w:eastAsia="Arial" w:hAnsi="Arial" w:cs="Arial"/>
                <w:highlight w:val="white"/>
              </w:rPr>
            </w:pPr>
            <w:r>
              <w:rPr>
                <w:rFonts w:ascii="Arial" w:eastAsia="Arial" w:hAnsi="Arial" w:cs="Arial"/>
                <w:highlight w:val="white"/>
              </w:rPr>
              <w:t>Villatoro et al., (2015)</w:t>
            </w:r>
          </w:p>
        </w:tc>
      </w:tr>
    </w:tbl>
    <w:p w14:paraId="75D672A0" w14:textId="77777777" w:rsidR="00F802FB" w:rsidRDefault="00F802FB">
      <w:pPr>
        <w:pStyle w:val="LO-normal"/>
        <w:tabs>
          <w:tab w:val="left" w:pos="1080"/>
        </w:tabs>
        <w:jc w:val="both"/>
        <w:rPr>
          <w:rFonts w:ascii="Arial" w:eastAsia="Arial" w:hAnsi="Arial" w:cs="Arial"/>
          <w:i/>
          <w:sz w:val="18"/>
          <w:szCs w:val="18"/>
        </w:rPr>
      </w:pPr>
    </w:p>
    <w:p w14:paraId="3EF84D79" w14:textId="77777777" w:rsidR="00F802FB" w:rsidRDefault="00762EF3">
      <w:pPr>
        <w:pStyle w:val="LO-normal"/>
        <w:tabs>
          <w:tab w:val="left" w:pos="1080"/>
        </w:tabs>
        <w:jc w:val="both"/>
        <w:rPr>
          <w:rFonts w:ascii="Arial" w:eastAsia="Arial" w:hAnsi="Arial" w:cs="Arial"/>
        </w:rPr>
      </w:pPr>
      <w:r>
        <w:rPr>
          <w:rFonts w:ascii="Arial" w:eastAsia="Arial" w:hAnsi="Arial" w:cs="Arial"/>
        </w:rPr>
        <w:t xml:space="preserve">research 7, which came closest to the “most positive” details, showed a total recovery time of 21 days. On the other hand, research 2, which most closely resembled the “most negative” topics, recorded a period of 270 days for complete recovery of the corneal ulcer. This fact reinforces the efficiency of the treatment difficulty classification model. </w:t>
      </w:r>
    </w:p>
    <w:p w14:paraId="56C103C8" w14:textId="77777777" w:rsidR="00F802FB" w:rsidRDefault="00F802FB">
      <w:pPr>
        <w:pStyle w:val="LO-normal"/>
        <w:tabs>
          <w:tab w:val="left" w:pos="1080"/>
        </w:tabs>
        <w:jc w:val="both"/>
        <w:rPr>
          <w:rFonts w:ascii="Arial" w:eastAsia="Arial" w:hAnsi="Arial" w:cs="Arial"/>
        </w:rPr>
      </w:pPr>
    </w:p>
    <w:p w14:paraId="45BAEDEB" w14:textId="77777777" w:rsidR="00F802FB" w:rsidRDefault="00762EF3">
      <w:pPr>
        <w:pStyle w:val="LO-normal"/>
        <w:tabs>
          <w:tab w:val="left" w:pos="1080"/>
        </w:tabs>
        <w:jc w:val="both"/>
        <w:rPr>
          <w:rFonts w:ascii="Arial" w:eastAsia="Arial" w:hAnsi="Arial" w:cs="Arial"/>
        </w:rPr>
      </w:pPr>
      <w:r>
        <w:rPr>
          <w:rFonts w:ascii="Arial" w:eastAsia="Arial" w:hAnsi="Arial" w:cs="Arial"/>
        </w:rPr>
        <w:t>This study needs to be replicated with more research and in a more specific way in relation to the species used, requiring a different model for each one. This is of great importance both for pre-clinical and clinical research and for medical practice, both human and veterinary.</w:t>
      </w:r>
    </w:p>
    <w:p w14:paraId="2F46172E" w14:textId="77777777" w:rsidR="00F802FB" w:rsidRDefault="00F802FB">
      <w:pPr>
        <w:pStyle w:val="LO-normal"/>
        <w:tabs>
          <w:tab w:val="left" w:pos="1080"/>
        </w:tabs>
        <w:jc w:val="both"/>
        <w:rPr>
          <w:rFonts w:ascii="Arial" w:eastAsia="Arial" w:hAnsi="Arial" w:cs="Arial"/>
        </w:rPr>
      </w:pPr>
    </w:p>
    <w:p w14:paraId="2EF40C24" w14:textId="77777777" w:rsidR="00F802FB" w:rsidRDefault="00762EF3">
      <w:pPr>
        <w:pStyle w:val="LO-normal"/>
        <w:keepNext/>
        <w:jc w:val="both"/>
        <w:rPr>
          <w:rFonts w:ascii="Arial" w:eastAsia="Arial" w:hAnsi="Arial" w:cs="Arial"/>
          <w:b/>
          <w:sz w:val="22"/>
          <w:szCs w:val="22"/>
          <w:highlight w:val="white"/>
        </w:rPr>
      </w:pPr>
      <w:r>
        <w:rPr>
          <w:rFonts w:ascii="Arial" w:eastAsia="Arial" w:hAnsi="Arial" w:cs="Arial"/>
          <w:b/>
          <w:smallCaps/>
          <w:sz w:val="22"/>
          <w:szCs w:val="22"/>
        </w:rPr>
        <w:t xml:space="preserve">3.3 </w:t>
      </w:r>
      <w:proofErr w:type="spellStart"/>
      <w:r>
        <w:rPr>
          <w:rFonts w:ascii="Arial" w:eastAsia="Arial" w:hAnsi="Arial" w:cs="Arial"/>
          <w:b/>
          <w:sz w:val="22"/>
          <w:szCs w:val="22"/>
          <w:highlight w:val="white"/>
        </w:rPr>
        <w:t>Aplicação</w:t>
      </w:r>
      <w:proofErr w:type="spellEnd"/>
      <w:r>
        <w:rPr>
          <w:rFonts w:ascii="Arial" w:eastAsia="Arial" w:hAnsi="Arial" w:cs="Arial"/>
          <w:b/>
          <w:sz w:val="22"/>
          <w:szCs w:val="22"/>
          <w:highlight w:val="white"/>
        </w:rPr>
        <w:t xml:space="preserve"> do </w:t>
      </w:r>
      <w:proofErr w:type="spellStart"/>
      <w:proofErr w:type="gramStart"/>
      <w:r>
        <w:rPr>
          <w:rFonts w:ascii="Arial" w:eastAsia="Arial" w:hAnsi="Arial" w:cs="Arial"/>
          <w:b/>
          <w:sz w:val="22"/>
          <w:szCs w:val="22"/>
          <w:highlight w:val="white"/>
        </w:rPr>
        <w:t>modelo</w:t>
      </w:r>
      <w:proofErr w:type="spellEnd"/>
      <w:r>
        <w:rPr>
          <w:rFonts w:ascii="Arial" w:eastAsia="Arial" w:hAnsi="Arial" w:cs="Arial"/>
          <w:b/>
          <w:sz w:val="22"/>
          <w:szCs w:val="22"/>
          <w:highlight w:val="white"/>
        </w:rPr>
        <w:t xml:space="preserve">  para</w:t>
      </w:r>
      <w:proofErr w:type="gramEnd"/>
      <w:r>
        <w:rPr>
          <w:rFonts w:ascii="Arial" w:eastAsia="Arial" w:hAnsi="Arial" w:cs="Arial"/>
          <w:b/>
          <w:sz w:val="22"/>
          <w:szCs w:val="22"/>
          <w:highlight w:val="white"/>
        </w:rPr>
        <w:t xml:space="preserve"> </w:t>
      </w:r>
      <w:proofErr w:type="spellStart"/>
      <w:r>
        <w:rPr>
          <w:rFonts w:ascii="Arial" w:eastAsia="Arial" w:hAnsi="Arial" w:cs="Arial"/>
          <w:b/>
          <w:sz w:val="22"/>
          <w:szCs w:val="22"/>
          <w:highlight w:val="white"/>
        </w:rPr>
        <w:t>tornar</w:t>
      </w:r>
      <w:proofErr w:type="spellEnd"/>
      <w:r>
        <w:rPr>
          <w:rFonts w:ascii="Arial" w:eastAsia="Arial" w:hAnsi="Arial" w:cs="Arial"/>
          <w:b/>
          <w:sz w:val="22"/>
          <w:szCs w:val="22"/>
          <w:highlight w:val="white"/>
        </w:rPr>
        <w:t xml:space="preserve"> o </w:t>
      </w:r>
      <w:proofErr w:type="spellStart"/>
      <w:r>
        <w:rPr>
          <w:rFonts w:ascii="Arial" w:eastAsia="Arial" w:hAnsi="Arial" w:cs="Arial"/>
          <w:b/>
          <w:sz w:val="22"/>
          <w:szCs w:val="22"/>
          <w:highlight w:val="white"/>
        </w:rPr>
        <w:t>tratamento</w:t>
      </w:r>
      <w:proofErr w:type="spellEnd"/>
      <w:r>
        <w:rPr>
          <w:rFonts w:ascii="Arial" w:eastAsia="Arial" w:hAnsi="Arial" w:cs="Arial"/>
          <w:b/>
          <w:sz w:val="22"/>
          <w:szCs w:val="22"/>
          <w:highlight w:val="white"/>
        </w:rPr>
        <w:t xml:space="preserve"> </w:t>
      </w:r>
      <w:proofErr w:type="spellStart"/>
      <w:r>
        <w:rPr>
          <w:rFonts w:ascii="Arial" w:eastAsia="Arial" w:hAnsi="Arial" w:cs="Arial"/>
          <w:b/>
          <w:sz w:val="22"/>
          <w:szCs w:val="22"/>
          <w:highlight w:val="white"/>
        </w:rPr>
        <w:t>mais</w:t>
      </w:r>
      <w:proofErr w:type="spellEnd"/>
      <w:r>
        <w:rPr>
          <w:rFonts w:ascii="Arial" w:eastAsia="Arial" w:hAnsi="Arial" w:cs="Arial"/>
          <w:b/>
          <w:sz w:val="22"/>
          <w:szCs w:val="22"/>
          <w:highlight w:val="white"/>
        </w:rPr>
        <w:t xml:space="preserve"> </w:t>
      </w:r>
      <w:proofErr w:type="spellStart"/>
      <w:r>
        <w:rPr>
          <w:rFonts w:ascii="Arial" w:eastAsia="Arial" w:hAnsi="Arial" w:cs="Arial"/>
          <w:b/>
          <w:sz w:val="22"/>
          <w:szCs w:val="22"/>
          <w:highlight w:val="white"/>
        </w:rPr>
        <w:t>eficiente</w:t>
      </w:r>
      <w:proofErr w:type="spellEnd"/>
    </w:p>
    <w:p w14:paraId="63827F0B" w14:textId="77777777" w:rsidR="00F802FB" w:rsidRDefault="00F802FB">
      <w:pPr>
        <w:pStyle w:val="LO-normal"/>
        <w:keepNext/>
        <w:jc w:val="both"/>
        <w:rPr>
          <w:rFonts w:ascii="Arial" w:eastAsia="Arial" w:hAnsi="Arial" w:cs="Arial"/>
          <w:b/>
          <w:sz w:val="22"/>
          <w:szCs w:val="22"/>
          <w:highlight w:val="white"/>
        </w:rPr>
      </w:pPr>
    </w:p>
    <w:p w14:paraId="2050AB28" w14:textId="77777777" w:rsidR="00F802FB" w:rsidRDefault="00762EF3">
      <w:pPr>
        <w:pStyle w:val="LO-normal"/>
        <w:keepNext/>
        <w:jc w:val="both"/>
        <w:rPr>
          <w:rFonts w:ascii="Arial" w:eastAsia="Arial" w:hAnsi="Arial" w:cs="Arial"/>
          <w:sz w:val="22"/>
          <w:szCs w:val="22"/>
          <w:highlight w:val="white"/>
        </w:rPr>
      </w:pPr>
      <w:r>
        <w:rPr>
          <w:rFonts w:ascii="Arial" w:eastAsia="Arial" w:hAnsi="Arial" w:cs="Arial"/>
          <w:sz w:val="22"/>
          <w:szCs w:val="22"/>
          <w:highlight w:val="white"/>
        </w:rPr>
        <w:t xml:space="preserve">Table 2 shows details that can be modified, such as the choice of the route of application of the MSCs and their tissue origin. On the other hand, factors such as species, gender, comorbidities and ulcer level cannot be altered. As an example of the application of the model that seeks to improve treatment results, Study 2 can be considered, addressing the details that can be adjusted (route of application and tissue origin of the MSCs), which fit into the most negative to those that fit into the most positive (table 3). </w:t>
      </w:r>
    </w:p>
    <w:p w14:paraId="51C2CF0F" w14:textId="77777777" w:rsidR="00F802FB" w:rsidRDefault="00F802FB">
      <w:pPr>
        <w:pStyle w:val="LO-normal"/>
        <w:keepNext/>
        <w:jc w:val="both"/>
        <w:rPr>
          <w:rFonts w:ascii="Arial" w:eastAsia="Arial" w:hAnsi="Arial" w:cs="Arial"/>
          <w:sz w:val="22"/>
          <w:szCs w:val="22"/>
          <w:highlight w:val="white"/>
        </w:rPr>
      </w:pPr>
    </w:p>
    <w:p w14:paraId="398E4EC3" w14:textId="77777777" w:rsidR="00F802FB" w:rsidRDefault="00762EF3">
      <w:pPr>
        <w:pStyle w:val="LO-normal"/>
        <w:tabs>
          <w:tab w:val="left" w:pos="1080"/>
        </w:tabs>
        <w:jc w:val="both"/>
        <w:rPr>
          <w:rFonts w:ascii="Arial" w:eastAsia="Arial" w:hAnsi="Arial" w:cs="Arial"/>
          <w:b/>
          <w:highlight w:val="white"/>
        </w:rPr>
      </w:pPr>
      <w:r>
        <w:rPr>
          <w:rFonts w:ascii="Arial" w:eastAsia="Arial" w:hAnsi="Arial" w:cs="Arial"/>
          <w:b/>
          <w:highlight w:val="white"/>
        </w:rPr>
        <w:t>Table 3. comparative table between the set of most negative topics and the application of the model</w:t>
      </w:r>
    </w:p>
    <w:tbl>
      <w:tblPr>
        <w:tblStyle w:val="a2"/>
        <w:tblW w:w="8208" w:type="dxa"/>
        <w:tblBorders>
          <w:top w:val="nil"/>
          <w:left w:val="nil"/>
          <w:bottom w:val="nil"/>
          <w:right w:val="nil"/>
          <w:insideH w:val="nil"/>
          <w:insideV w:val="nil"/>
        </w:tblBorders>
        <w:tblLayout w:type="fixed"/>
        <w:tblLook w:val="0600" w:firstRow="0" w:lastRow="0" w:firstColumn="0" w:lastColumn="0" w:noHBand="1" w:noVBand="1"/>
      </w:tblPr>
      <w:tblGrid>
        <w:gridCol w:w="912"/>
        <w:gridCol w:w="912"/>
        <w:gridCol w:w="912"/>
        <w:gridCol w:w="912"/>
        <w:gridCol w:w="912"/>
        <w:gridCol w:w="912"/>
        <w:gridCol w:w="912"/>
        <w:gridCol w:w="912"/>
        <w:gridCol w:w="912"/>
      </w:tblGrid>
      <w:tr w:rsidR="00F802FB" w14:paraId="49F94C64" w14:textId="77777777">
        <w:trPr>
          <w:trHeight w:val="315"/>
        </w:trPr>
        <w:tc>
          <w:tcPr>
            <w:tcW w:w="912" w:type="dxa"/>
            <w:tcBorders>
              <w:top w:val="nil"/>
              <w:left w:val="nil"/>
              <w:bottom w:val="single" w:sz="8" w:space="0" w:color="000000"/>
              <w:right w:val="nil"/>
            </w:tcBorders>
            <w:tcMar>
              <w:top w:w="40" w:type="dxa"/>
              <w:left w:w="40" w:type="dxa"/>
              <w:bottom w:w="40" w:type="dxa"/>
              <w:right w:w="40" w:type="dxa"/>
            </w:tcMar>
            <w:vAlign w:val="bottom"/>
          </w:tcPr>
          <w:p w14:paraId="2370604A" w14:textId="77777777" w:rsidR="00F802FB" w:rsidRDefault="00F802FB">
            <w:pPr>
              <w:pStyle w:val="LO-normal"/>
              <w:widowControl w:val="0"/>
              <w:spacing w:line="276" w:lineRule="auto"/>
              <w:rPr>
                <w:rFonts w:ascii="Arial" w:eastAsia="Arial" w:hAnsi="Arial" w:cs="Arial"/>
              </w:rPr>
            </w:pP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292ABB5E" w14:textId="77777777" w:rsidR="00F802FB" w:rsidRDefault="00F802FB">
            <w:pPr>
              <w:pStyle w:val="LO-normal"/>
              <w:widowControl w:val="0"/>
              <w:spacing w:line="276" w:lineRule="auto"/>
              <w:rPr>
                <w:rFonts w:ascii="Arial" w:eastAsia="Arial" w:hAnsi="Arial" w:cs="Arial"/>
              </w:rPr>
            </w:pP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6762DFBC" w14:textId="77777777" w:rsidR="00F802FB" w:rsidRDefault="00F802FB">
            <w:pPr>
              <w:pStyle w:val="LO-normal"/>
              <w:widowControl w:val="0"/>
              <w:spacing w:line="276" w:lineRule="auto"/>
              <w:rPr>
                <w:rFonts w:ascii="Arial" w:eastAsia="Arial" w:hAnsi="Arial" w:cs="Arial"/>
              </w:rPr>
            </w:pP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572E204A" w14:textId="77777777" w:rsidR="00F802FB" w:rsidRDefault="00F802FB">
            <w:pPr>
              <w:pStyle w:val="LO-normal"/>
              <w:widowControl w:val="0"/>
              <w:spacing w:line="276" w:lineRule="auto"/>
              <w:rPr>
                <w:rFonts w:ascii="Arial" w:eastAsia="Arial" w:hAnsi="Arial" w:cs="Arial"/>
              </w:rPr>
            </w:pP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1F998D6D" w14:textId="77777777" w:rsidR="00F802FB" w:rsidRDefault="00F802FB">
            <w:pPr>
              <w:pStyle w:val="LO-normal"/>
              <w:widowControl w:val="0"/>
              <w:spacing w:line="276" w:lineRule="auto"/>
              <w:rPr>
                <w:rFonts w:ascii="Arial" w:eastAsia="Arial" w:hAnsi="Arial" w:cs="Arial"/>
              </w:rPr>
            </w:pP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60D36091" w14:textId="77777777" w:rsidR="00F802FB" w:rsidRDefault="00F802FB">
            <w:pPr>
              <w:pStyle w:val="LO-normal"/>
              <w:widowControl w:val="0"/>
              <w:spacing w:line="276" w:lineRule="auto"/>
              <w:rPr>
                <w:rFonts w:ascii="Arial" w:eastAsia="Arial" w:hAnsi="Arial" w:cs="Arial"/>
              </w:rPr>
            </w:pP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282C8FF1" w14:textId="77777777" w:rsidR="00F802FB" w:rsidRDefault="00F802FB">
            <w:pPr>
              <w:pStyle w:val="LO-normal"/>
              <w:widowControl w:val="0"/>
              <w:spacing w:line="276" w:lineRule="auto"/>
              <w:rPr>
                <w:rFonts w:ascii="Arial" w:eastAsia="Arial" w:hAnsi="Arial" w:cs="Arial"/>
              </w:rPr>
            </w:pP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509ACE4A" w14:textId="77777777" w:rsidR="00F802FB" w:rsidRDefault="00F802FB">
            <w:pPr>
              <w:pStyle w:val="LO-normal"/>
              <w:widowControl w:val="0"/>
              <w:spacing w:line="276" w:lineRule="auto"/>
              <w:rPr>
                <w:rFonts w:ascii="Arial" w:eastAsia="Arial" w:hAnsi="Arial" w:cs="Arial"/>
              </w:rPr>
            </w:pP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5DE8E07F" w14:textId="77777777" w:rsidR="00F802FB" w:rsidRDefault="00F802FB">
            <w:pPr>
              <w:pStyle w:val="LO-normal"/>
              <w:widowControl w:val="0"/>
              <w:spacing w:line="276" w:lineRule="auto"/>
              <w:rPr>
                <w:rFonts w:ascii="Arial" w:eastAsia="Arial" w:hAnsi="Arial" w:cs="Arial"/>
              </w:rPr>
            </w:pPr>
          </w:p>
        </w:tc>
      </w:tr>
      <w:tr w:rsidR="00F802FB" w14:paraId="73E5BC62" w14:textId="77777777">
        <w:trPr>
          <w:trHeight w:val="315"/>
        </w:trPr>
        <w:tc>
          <w:tcPr>
            <w:tcW w:w="912" w:type="dxa"/>
            <w:tcBorders>
              <w:top w:val="nil"/>
              <w:left w:val="nil"/>
              <w:bottom w:val="single" w:sz="8" w:space="0" w:color="000000"/>
              <w:right w:val="nil"/>
            </w:tcBorders>
            <w:tcMar>
              <w:top w:w="40" w:type="dxa"/>
              <w:left w:w="40" w:type="dxa"/>
              <w:bottom w:w="40" w:type="dxa"/>
              <w:right w:w="40" w:type="dxa"/>
            </w:tcMar>
            <w:vAlign w:val="bottom"/>
          </w:tcPr>
          <w:p w14:paraId="7BF47383"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Comparison</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6C006AF6"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routes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671461AA"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origins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13F3B22B"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ulcer level</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0706D552"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Species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2C325905"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Sex</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228DF16E"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comorbidities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3A73CFEB"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days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07FC44BD"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b/>
              </w:rPr>
              <w:t>citation</w:t>
            </w:r>
          </w:p>
        </w:tc>
      </w:tr>
      <w:tr w:rsidR="00F802FB" w14:paraId="0D81CAB1" w14:textId="77777777">
        <w:trPr>
          <w:trHeight w:val="525"/>
        </w:trPr>
        <w:tc>
          <w:tcPr>
            <w:tcW w:w="912" w:type="dxa"/>
            <w:tcBorders>
              <w:top w:val="nil"/>
              <w:left w:val="nil"/>
              <w:bottom w:val="single" w:sz="8" w:space="0" w:color="000000"/>
              <w:right w:val="nil"/>
            </w:tcBorders>
            <w:tcMar>
              <w:top w:w="40" w:type="dxa"/>
              <w:left w:w="40" w:type="dxa"/>
              <w:bottom w:w="40" w:type="dxa"/>
              <w:right w:w="40" w:type="dxa"/>
            </w:tcMar>
            <w:vAlign w:val="bottom"/>
          </w:tcPr>
          <w:p w14:paraId="4F78DE82"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More negative</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6AFCF212"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Implanted with injection</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04DF9C5F"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Allogeneic adipose tissue</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117E977F"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deep ulcer</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40869258"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Dogs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05A8FE15"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females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3F282360"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Keratoconjunctivitis sicca</w:t>
            </w:r>
          </w:p>
        </w:tc>
        <w:tc>
          <w:tcPr>
            <w:tcW w:w="912" w:type="dxa"/>
            <w:tcBorders>
              <w:top w:val="nil"/>
              <w:left w:val="nil"/>
              <w:bottom w:val="single" w:sz="8" w:space="0" w:color="000000"/>
              <w:right w:val="nil"/>
            </w:tcBorders>
            <w:shd w:val="clear" w:color="auto" w:fill="FFFFFF"/>
            <w:tcMar>
              <w:top w:w="40" w:type="dxa"/>
              <w:left w:w="40" w:type="dxa"/>
              <w:bottom w:w="40" w:type="dxa"/>
              <w:right w:w="40" w:type="dxa"/>
            </w:tcMar>
            <w:vAlign w:val="bottom"/>
          </w:tcPr>
          <w:p w14:paraId="01E1F91D"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551E7BD7"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r>
      <w:tr w:rsidR="00F802FB" w14:paraId="05C15CF2" w14:textId="77777777">
        <w:trPr>
          <w:trHeight w:val="525"/>
        </w:trPr>
        <w:tc>
          <w:tcPr>
            <w:tcW w:w="912" w:type="dxa"/>
            <w:tcBorders>
              <w:top w:val="nil"/>
              <w:left w:val="nil"/>
              <w:bottom w:val="single" w:sz="8" w:space="0" w:color="000000"/>
              <w:right w:val="nil"/>
            </w:tcBorders>
            <w:tcMar>
              <w:top w:w="40" w:type="dxa"/>
              <w:left w:w="40" w:type="dxa"/>
              <w:bottom w:w="40" w:type="dxa"/>
              <w:right w:w="40" w:type="dxa"/>
            </w:tcMar>
            <w:vAlign w:val="bottom"/>
          </w:tcPr>
          <w:p w14:paraId="47499BC7"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Research 2</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6DE9F2F6"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Implanted with injection</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431AC71F"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Allogeneic adipose tissue</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7555BE8F"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757C6D08"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Dogs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416FBA20"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76443EF4"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Keratoconjunctivitis sicca</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333014F9"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270</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56A15186"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Villatoro et al., (2015)</w:t>
            </w:r>
          </w:p>
        </w:tc>
      </w:tr>
      <w:tr w:rsidR="00F802FB" w14:paraId="281FE07A" w14:textId="77777777">
        <w:trPr>
          <w:trHeight w:val="525"/>
        </w:trPr>
        <w:tc>
          <w:tcPr>
            <w:tcW w:w="912" w:type="dxa"/>
            <w:tcBorders>
              <w:top w:val="nil"/>
              <w:left w:val="nil"/>
              <w:bottom w:val="single" w:sz="8" w:space="0" w:color="000000"/>
              <w:right w:val="nil"/>
            </w:tcBorders>
            <w:tcMar>
              <w:top w:w="40" w:type="dxa"/>
              <w:left w:w="40" w:type="dxa"/>
              <w:bottom w:w="40" w:type="dxa"/>
              <w:right w:w="40" w:type="dxa"/>
            </w:tcMar>
            <w:vAlign w:val="bottom"/>
          </w:tcPr>
          <w:p w14:paraId="66176C87"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 xml:space="preserve">Replacement for research </w:t>
            </w:r>
            <w:r>
              <w:rPr>
                <w:rFonts w:ascii="Arial" w:eastAsia="Arial" w:hAnsi="Arial" w:cs="Arial"/>
              </w:rPr>
              <w:lastRenderedPageBreak/>
              <w:t>2</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2BAB7539"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lastRenderedPageBreak/>
              <w:t>Subconjunctival</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6BBCE10C"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Allogeneic bone marrow</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4812854A"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09905282"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Dogs</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00BA0AEA"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7C4163A2"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Keratoconjunctivitis sicca</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739839A2"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c>
          <w:tcPr>
            <w:tcW w:w="912" w:type="dxa"/>
            <w:tcBorders>
              <w:top w:val="nil"/>
              <w:left w:val="nil"/>
              <w:bottom w:val="single" w:sz="8" w:space="0" w:color="000000"/>
              <w:right w:val="nil"/>
            </w:tcBorders>
            <w:tcMar>
              <w:top w:w="40" w:type="dxa"/>
              <w:left w:w="40" w:type="dxa"/>
              <w:bottom w:w="40" w:type="dxa"/>
              <w:right w:w="40" w:type="dxa"/>
            </w:tcMar>
            <w:vAlign w:val="bottom"/>
          </w:tcPr>
          <w:p w14:paraId="31E7E3EE" w14:textId="77777777" w:rsidR="00F802FB" w:rsidRDefault="00762EF3">
            <w:pPr>
              <w:pStyle w:val="LO-normal"/>
              <w:widowControl w:val="0"/>
              <w:spacing w:line="276" w:lineRule="auto"/>
              <w:jc w:val="center"/>
              <w:rPr>
                <w:rFonts w:ascii="Arial" w:eastAsia="Arial" w:hAnsi="Arial" w:cs="Arial"/>
              </w:rPr>
            </w:pPr>
            <w:r>
              <w:rPr>
                <w:rFonts w:ascii="Arial" w:eastAsia="Arial" w:hAnsi="Arial" w:cs="Arial"/>
              </w:rPr>
              <w:t>-</w:t>
            </w:r>
          </w:p>
        </w:tc>
      </w:tr>
    </w:tbl>
    <w:p w14:paraId="69F378F1" w14:textId="77777777" w:rsidR="00F802FB" w:rsidRDefault="00F802FB">
      <w:pPr>
        <w:pStyle w:val="LO-normal"/>
        <w:keepNext/>
        <w:jc w:val="both"/>
        <w:rPr>
          <w:rFonts w:ascii="Arial" w:eastAsia="Arial" w:hAnsi="Arial" w:cs="Arial"/>
          <w:sz w:val="22"/>
          <w:szCs w:val="22"/>
          <w:highlight w:val="white"/>
        </w:rPr>
      </w:pPr>
    </w:p>
    <w:p w14:paraId="3C73A079" w14:textId="77777777" w:rsidR="00F802FB" w:rsidRDefault="00762EF3">
      <w:pPr>
        <w:pStyle w:val="LO-normal"/>
        <w:keepNext/>
        <w:jc w:val="both"/>
        <w:rPr>
          <w:rFonts w:ascii="Arial" w:eastAsia="Arial" w:hAnsi="Arial" w:cs="Arial"/>
          <w:sz w:val="22"/>
          <w:szCs w:val="22"/>
          <w:highlight w:val="white"/>
        </w:rPr>
      </w:pPr>
      <w:r>
        <w:rPr>
          <w:rFonts w:ascii="Arial" w:eastAsia="Arial" w:hAnsi="Arial" w:cs="Arial"/>
          <w:sz w:val="22"/>
          <w:szCs w:val="22"/>
          <w:highlight w:val="white"/>
        </w:rPr>
        <w:t xml:space="preserve">When replacing the changeable topics, the route of application can be adjusted, swapping the topical route for the subconjunctival route. Similarly, the tissue origin of the MSCs can be modified, changing the MSCs from allogeneic adipose tissue to MSCs from allogeneic bone marrow. This change represents the substitution of topics described as more negative (injection and allogeneic adipose tissue) for those considered more positive (subconjunctival route and allogeneic bone marrow tissue). Therefore, an improvement in treatment results is expected. To prove its superiority, the new treatment should have a healing and/or re-epithelialization recovery time of less than 270 days. </w:t>
      </w:r>
    </w:p>
    <w:p w14:paraId="3AE02384" w14:textId="77777777" w:rsidR="00F802FB" w:rsidRDefault="00F802FB">
      <w:pPr>
        <w:pStyle w:val="LO-normal"/>
        <w:keepNext/>
        <w:jc w:val="both"/>
        <w:rPr>
          <w:rFonts w:ascii="Arial" w:eastAsia="Arial" w:hAnsi="Arial" w:cs="Arial"/>
          <w:sz w:val="22"/>
          <w:szCs w:val="22"/>
          <w:highlight w:val="white"/>
        </w:rPr>
      </w:pPr>
    </w:p>
    <w:p w14:paraId="43BF4576" w14:textId="77777777" w:rsidR="00F802FB" w:rsidRDefault="00762EF3">
      <w:pPr>
        <w:pStyle w:val="LO-normal"/>
        <w:keepNext/>
        <w:jc w:val="both"/>
        <w:rPr>
          <w:rFonts w:ascii="Arial" w:eastAsia="Arial" w:hAnsi="Arial" w:cs="Arial"/>
          <w:sz w:val="22"/>
          <w:szCs w:val="22"/>
          <w:highlight w:val="white"/>
        </w:rPr>
      </w:pPr>
      <w:r>
        <w:rPr>
          <w:rFonts w:ascii="Arial" w:eastAsia="Arial" w:hAnsi="Arial" w:cs="Arial"/>
          <w:sz w:val="22"/>
          <w:szCs w:val="22"/>
          <w:highlight w:val="white"/>
        </w:rPr>
        <w:t>The study that most closely followed the most positive descriptions (most positive model) recorded a recovery time of just 21 days, while the study that most closely resembled the most negative descriptions (most negative model) showed a recovery time of 270 days, resulting in a difference of 249 days. This data reinforces the efficiency of the classification model for the treatment of corneal ulcers.</w:t>
      </w:r>
    </w:p>
    <w:p w14:paraId="1BD896C9" w14:textId="77777777" w:rsidR="00F802FB" w:rsidRDefault="00F802FB">
      <w:pPr>
        <w:pStyle w:val="LO-normal"/>
        <w:keepNext/>
        <w:jc w:val="both"/>
        <w:rPr>
          <w:rFonts w:ascii="Arial" w:eastAsia="Arial" w:hAnsi="Arial" w:cs="Arial"/>
          <w:sz w:val="22"/>
          <w:szCs w:val="22"/>
          <w:highlight w:val="white"/>
        </w:rPr>
      </w:pPr>
    </w:p>
    <w:p w14:paraId="5F1D6B78" w14:textId="77777777" w:rsidR="00F802FB" w:rsidRDefault="00762EF3">
      <w:pPr>
        <w:pStyle w:val="LO-normal"/>
        <w:keepNext/>
        <w:jc w:val="both"/>
        <w:rPr>
          <w:rFonts w:ascii="Arial" w:eastAsia="Arial" w:hAnsi="Arial" w:cs="Arial"/>
          <w:sz w:val="22"/>
          <w:szCs w:val="22"/>
          <w:highlight w:val="white"/>
        </w:rPr>
      </w:pPr>
      <w:r>
        <w:rPr>
          <w:rFonts w:ascii="Arial" w:eastAsia="Arial" w:hAnsi="Arial" w:cs="Arial"/>
          <w:sz w:val="22"/>
          <w:szCs w:val="22"/>
          <w:highlight w:val="white"/>
        </w:rPr>
        <w:t xml:space="preserve">As is the case in hospital, clinic and health center environments, where resources are scarce, substitutions will not always be for the most positive model (route of application and tissue origin of the MSCs) for the species. In some cases, you can opt for special treatments as intermediaries for those with fewer negative topics or comorbidities. </w:t>
      </w:r>
    </w:p>
    <w:p w14:paraId="06B0BB41" w14:textId="77777777" w:rsidR="00F802FB" w:rsidRDefault="00F802FB">
      <w:pPr>
        <w:pStyle w:val="LO-normal"/>
        <w:keepNext/>
        <w:jc w:val="both"/>
        <w:rPr>
          <w:rFonts w:ascii="Arial" w:eastAsia="Arial" w:hAnsi="Arial" w:cs="Arial"/>
          <w:b/>
          <w:smallCaps/>
          <w:sz w:val="22"/>
          <w:szCs w:val="22"/>
        </w:rPr>
      </w:pPr>
    </w:p>
    <w:p w14:paraId="450C6C3A" w14:textId="77777777" w:rsidR="00F802FB" w:rsidRDefault="00762EF3">
      <w:pPr>
        <w:pStyle w:val="LO-normal"/>
        <w:keepNext/>
        <w:jc w:val="both"/>
        <w:rPr>
          <w:rFonts w:ascii="Arial" w:eastAsia="Arial" w:hAnsi="Arial" w:cs="Arial"/>
          <w:b/>
          <w:smallCaps/>
          <w:color w:val="000000"/>
          <w:sz w:val="22"/>
          <w:szCs w:val="22"/>
        </w:rPr>
      </w:pPr>
      <w:r>
        <w:rPr>
          <w:rFonts w:ascii="Arial" w:eastAsia="Arial" w:hAnsi="Arial" w:cs="Arial"/>
          <w:b/>
          <w:smallCaps/>
          <w:color w:val="000000"/>
          <w:sz w:val="22"/>
          <w:szCs w:val="22"/>
        </w:rPr>
        <w:t>4. CONC</w:t>
      </w:r>
      <w:r>
        <w:rPr>
          <w:rFonts w:ascii="Arial" w:eastAsia="Arial" w:hAnsi="Arial" w:cs="Arial"/>
          <w:b/>
          <w:smallCaps/>
          <w:sz w:val="22"/>
          <w:szCs w:val="22"/>
        </w:rPr>
        <w:t>LUSION</w:t>
      </w:r>
    </w:p>
    <w:p w14:paraId="08A0CF15" w14:textId="77777777" w:rsidR="00F802FB" w:rsidRDefault="00F802FB">
      <w:pPr>
        <w:pStyle w:val="LO-normal"/>
        <w:keepNext/>
        <w:jc w:val="both"/>
        <w:rPr>
          <w:rFonts w:ascii="Arial" w:eastAsia="Arial" w:hAnsi="Arial" w:cs="Arial"/>
          <w:b/>
          <w:smallCaps/>
          <w:color w:val="000000"/>
          <w:sz w:val="22"/>
          <w:szCs w:val="22"/>
        </w:rPr>
      </w:pPr>
    </w:p>
    <w:p w14:paraId="1C34FC39" w14:textId="77777777" w:rsidR="00F802FB" w:rsidRDefault="00762EF3">
      <w:pPr>
        <w:pStyle w:val="LO-normal"/>
        <w:jc w:val="both"/>
        <w:rPr>
          <w:rFonts w:ascii="Arial" w:eastAsia="Arial" w:hAnsi="Arial" w:cs="Arial"/>
        </w:rPr>
      </w:pPr>
      <w:r>
        <w:rPr>
          <w:rFonts w:ascii="Arial" w:eastAsia="Arial" w:hAnsi="Arial" w:cs="Arial"/>
        </w:rPr>
        <w:t xml:space="preserve">The research observed patterns that facilitate or hinder the treatment of corneal ulcers using mesenchymal stem cells as cell therapy. In other words, a model was developed to classify this difficulty. It was also possible to classify two treatment models: a more positive one for ulcer recovery, lasting 21 days, and a more negative one, lasting 270 days. There was therefore a difference of 249 days between the most positive and most negative models. </w:t>
      </w:r>
    </w:p>
    <w:p w14:paraId="37BCD4E6" w14:textId="77777777" w:rsidR="00F802FB" w:rsidRDefault="00F802FB">
      <w:pPr>
        <w:pStyle w:val="LO-normal"/>
        <w:jc w:val="both"/>
        <w:rPr>
          <w:rFonts w:ascii="Arial" w:eastAsia="Arial" w:hAnsi="Arial" w:cs="Arial"/>
        </w:rPr>
      </w:pPr>
    </w:p>
    <w:p w14:paraId="62404C40" w14:textId="77777777" w:rsidR="00F802FB" w:rsidRDefault="00762EF3">
      <w:pPr>
        <w:pStyle w:val="LO-normal"/>
        <w:jc w:val="both"/>
        <w:rPr>
          <w:rFonts w:ascii="Arial" w:eastAsia="Arial" w:hAnsi="Arial" w:cs="Arial"/>
        </w:rPr>
      </w:pPr>
      <w:r>
        <w:rPr>
          <w:rFonts w:ascii="Arial" w:eastAsia="Arial" w:hAnsi="Arial" w:cs="Arial"/>
        </w:rPr>
        <w:t xml:space="preserve">This procedure needs to be evaluated individually for each species. Furthermore, it is important that the number of studies on the treatment of corneal ulcers using MSCs as a therapy increases. With more research that reproduces the methodology applied here and considers the individualization of species, the understanding of this classification model and its applicability. It should be proven to be efficient or not, as a way of classifying difficulty models in the treatment of corneal ulcers.  </w:t>
      </w:r>
    </w:p>
    <w:p w14:paraId="57BA2524" w14:textId="77777777" w:rsidR="00F802FB" w:rsidRDefault="00F802FB">
      <w:pPr>
        <w:pStyle w:val="LO-normal"/>
        <w:jc w:val="both"/>
        <w:rPr>
          <w:rFonts w:ascii="Arial" w:eastAsia="Arial" w:hAnsi="Arial" w:cs="Arial"/>
        </w:rPr>
      </w:pPr>
    </w:p>
    <w:p w14:paraId="1B2FB384" w14:textId="77777777" w:rsidR="00F802FB" w:rsidRDefault="00762EF3">
      <w:pPr>
        <w:pStyle w:val="LO-normal"/>
        <w:jc w:val="both"/>
        <w:rPr>
          <w:rFonts w:ascii="Arial" w:eastAsia="Arial" w:hAnsi="Arial" w:cs="Arial"/>
        </w:rPr>
      </w:pPr>
      <w:r>
        <w:rPr>
          <w:rFonts w:ascii="Arial" w:eastAsia="Arial" w:hAnsi="Arial" w:cs="Arial"/>
        </w:rPr>
        <w:t>It is also necessary to compare studies in which only one of the topics analyzed varies, in order to understand how each topic, as a variant, influences treatment. As it is a classification model applicable to any species, the study is of great importance for human and veterinary medicine.</w:t>
      </w:r>
    </w:p>
    <w:p w14:paraId="100695D7" w14:textId="77777777" w:rsidR="00F802FB" w:rsidRDefault="00F802FB">
      <w:pPr>
        <w:pStyle w:val="LO-normal"/>
        <w:jc w:val="both"/>
        <w:rPr>
          <w:rFonts w:ascii="Arial" w:eastAsia="Arial" w:hAnsi="Arial" w:cs="Arial"/>
          <w:color w:val="000000"/>
        </w:rPr>
      </w:pPr>
    </w:p>
    <w:p w14:paraId="5D98F112" w14:textId="77777777" w:rsidR="00F802FB" w:rsidRDefault="00F802FB">
      <w:pPr>
        <w:pStyle w:val="LO-normal"/>
        <w:jc w:val="both"/>
        <w:rPr>
          <w:rFonts w:ascii="Arial" w:eastAsia="Arial" w:hAnsi="Arial" w:cs="Arial"/>
        </w:rPr>
      </w:pPr>
      <w:bookmarkStart w:id="1" w:name="_GoBack"/>
      <w:bookmarkEnd w:id="1"/>
    </w:p>
    <w:p w14:paraId="4F652D9C" w14:textId="77777777" w:rsidR="00F802FB" w:rsidRDefault="00762EF3">
      <w:pPr>
        <w:pStyle w:val="LO-normal"/>
        <w:keepNext/>
        <w:jc w:val="both"/>
        <w:rPr>
          <w:rFonts w:ascii="Arial" w:eastAsia="Arial" w:hAnsi="Arial" w:cs="Arial"/>
          <w:b/>
          <w:smallCaps/>
          <w:color w:val="000000"/>
          <w:sz w:val="22"/>
          <w:szCs w:val="22"/>
        </w:rPr>
      </w:pPr>
      <w:r>
        <w:rPr>
          <w:rFonts w:ascii="Arial" w:eastAsia="Arial" w:hAnsi="Arial" w:cs="Arial"/>
          <w:b/>
          <w:smallCaps/>
          <w:color w:val="000000"/>
          <w:sz w:val="22"/>
          <w:szCs w:val="22"/>
        </w:rPr>
        <w:t>Competing interests</w:t>
      </w:r>
    </w:p>
    <w:p w14:paraId="77938CFD" w14:textId="77777777" w:rsidR="00F802FB" w:rsidRDefault="00F802FB">
      <w:pPr>
        <w:pStyle w:val="LO-normal"/>
        <w:keepNext/>
        <w:jc w:val="both"/>
        <w:rPr>
          <w:rFonts w:ascii="Arial" w:eastAsia="Arial" w:hAnsi="Arial" w:cs="Arial"/>
          <w:b/>
          <w:smallCaps/>
          <w:color w:val="000000"/>
          <w:sz w:val="22"/>
          <w:szCs w:val="22"/>
        </w:rPr>
      </w:pPr>
    </w:p>
    <w:p w14:paraId="7294C583" w14:textId="77777777" w:rsidR="00F802FB" w:rsidRDefault="00762EF3">
      <w:pPr>
        <w:pStyle w:val="LO-normal"/>
        <w:keepNext/>
        <w:jc w:val="both"/>
        <w:rPr>
          <w:rFonts w:ascii="Arial" w:eastAsia="Arial" w:hAnsi="Arial" w:cs="Arial"/>
          <w:color w:val="000000"/>
        </w:rPr>
      </w:pPr>
      <w:r>
        <w:rPr>
          <w:rFonts w:ascii="Arial" w:eastAsia="Arial" w:hAnsi="Arial" w:cs="Arial"/>
          <w:color w:val="000000"/>
        </w:rPr>
        <w:t xml:space="preserve">Declaration of competing interest should be placed here. All authors must disclose any financial and personal relationships with other people or organizations that could </w:t>
      </w:r>
      <w:r>
        <w:rPr>
          <w:rFonts w:ascii="Arial" w:eastAsia="Arial" w:hAnsi="Arial" w:cs="Arial"/>
          <w:color w:val="000000"/>
        </w:rPr>
        <w:lastRenderedPageBreak/>
        <w:t xml:space="preserve">inappropriately influence (bias) their work. Examples of potential conflicts of interest include employment, consultancies, honoraria, paid expert testimony, patent applications/registrations, and grants or other funding. </w:t>
      </w:r>
      <w:r>
        <w:rPr>
          <w:rFonts w:ascii="Arial" w:eastAsia="Arial" w:hAnsi="Arial" w:cs="Arial"/>
          <w:color w:val="000000"/>
          <w:u w:val="single"/>
        </w:rPr>
        <w:t>If no such declaration has been made by the authors, SDI reserves to assume and write this sentence: “Authors have declared that no competing interests exist.”.</w:t>
      </w:r>
    </w:p>
    <w:p w14:paraId="506A1951" w14:textId="77777777" w:rsidR="00F802FB" w:rsidRDefault="00F802FB">
      <w:pPr>
        <w:pStyle w:val="LO-normal"/>
        <w:keepNext/>
        <w:jc w:val="both"/>
        <w:rPr>
          <w:rFonts w:ascii="Arial" w:eastAsia="Arial" w:hAnsi="Arial" w:cs="Arial"/>
          <w:color w:val="000000"/>
        </w:rPr>
      </w:pPr>
    </w:p>
    <w:p w14:paraId="7E05BA2B" w14:textId="77777777" w:rsidR="00F802FB" w:rsidRDefault="00F802FB">
      <w:pPr>
        <w:pStyle w:val="LO-normal"/>
        <w:keepNext/>
        <w:jc w:val="both"/>
        <w:rPr>
          <w:rFonts w:ascii="Arial" w:eastAsia="Arial" w:hAnsi="Arial" w:cs="Arial"/>
          <w:color w:val="000000"/>
        </w:rPr>
      </w:pPr>
    </w:p>
    <w:p w14:paraId="3CC40A1E" w14:textId="77777777" w:rsidR="00F802FB" w:rsidRDefault="00762EF3">
      <w:pPr>
        <w:pStyle w:val="LO-normal"/>
        <w:keepNext/>
        <w:jc w:val="both"/>
        <w:rPr>
          <w:rFonts w:ascii="Arial" w:eastAsia="Arial" w:hAnsi="Arial" w:cs="Arial"/>
          <w:b/>
          <w:smallCaps/>
          <w:color w:val="000000"/>
          <w:sz w:val="22"/>
          <w:szCs w:val="22"/>
        </w:rPr>
      </w:pPr>
      <w:r>
        <w:rPr>
          <w:rFonts w:ascii="Arial" w:eastAsia="Arial" w:hAnsi="Arial" w:cs="Arial"/>
          <w:b/>
          <w:smallCaps/>
          <w:color w:val="000000"/>
          <w:sz w:val="22"/>
          <w:szCs w:val="22"/>
        </w:rPr>
        <w:t>Consent (where ever applicable)</w:t>
      </w:r>
    </w:p>
    <w:p w14:paraId="47C4FC89" w14:textId="77777777" w:rsidR="00F802FB" w:rsidRDefault="00F802FB">
      <w:pPr>
        <w:pStyle w:val="LO-normal"/>
        <w:keepNext/>
        <w:jc w:val="both"/>
        <w:rPr>
          <w:rFonts w:ascii="Arial" w:eastAsia="Arial" w:hAnsi="Arial" w:cs="Arial"/>
          <w:b/>
          <w:smallCaps/>
          <w:color w:val="000000"/>
          <w:sz w:val="22"/>
          <w:szCs w:val="22"/>
        </w:rPr>
      </w:pPr>
    </w:p>
    <w:p w14:paraId="6B18F33A" w14:textId="77777777" w:rsidR="00F802FB" w:rsidRDefault="00762EF3">
      <w:pPr>
        <w:pStyle w:val="LO-normal"/>
        <w:keepNext/>
        <w:jc w:val="both"/>
        <w:rPr>
          <w:rFonts w:ascii="Arial" w:eastAsia="Arial" w:hAnsi="Arial" w:cs="Arial"/>
          <w:color w:val="000000"/>
        </w:rPr>
      </w:pPr>
      <w:r>
        <w:rPr>
          <w:rFonts w:ascii="Arial" w:eastAsia="Arial" w:hAnsi="Arial" w:cs="Arial"/>
          <w:color w:val="000000"/>
        </w:rPr>
        <w:t>No manuscripts will be peer-reviewed if a statement of patient consent is not presented during submission (wherever applicable).</w:t>
      </w:r>
    </w:p>
    <w:p w14:paraId="3737E1A5" w14:textId="77777777" w:rsidR="00F802FB" w:rsidRDefault="00762EF3">
      <w:pPr>
        <w:pStyle w:val="LO-normal"/>
        <w:keepNext/>
        <w:jc w:val="both"/>
        <w:rPr>
          <w:rFonts w:ascii="Arial" w:eastAsia="Arial" w:hAnsi="Arial" w:cs="Arial"/>
          <w:color w:val="000000"/>
        </w:rPr>
      </w:pPr>
      <w:r>
        <w:rPr>
          <w:rFonts w:ascii="Arial" w:eastAsia="Arial" w:hAnsi="Arial" w:cs="Arial"/>
          <w:color w:val="000000"/>
        </w:rPr>
        <w:t xml:space="preserve">This section is compulsory for medical journals. Other journals may require this section if found suitable. It should provide a statement to confirm that the patient has given their informed consent for the case report to be published. Journal editorial office may ask the copies of the consent documentation at any time. </w:t>
      </w:r>
    </w:p>
    <w:p w14:paraId="75D84E3B" w14:textId="77777777" w:rsidR="00F802FB" w:rsidRDefault="00F802FB">
      <w:pPr>
        <w:pStyle w:val="LO-normal"/>
        <w:keepNext/>
        <w:jc w:val="both"/>
        <w:rPr>
          <w:rFonts w:ascii="Arial" w:eastAsia="Arial" w:hAnsi="Arial" w:cs="Arial"/>
          <w:color w:val="000000"/>
        </w:rPr>
      </w:pPr>
    </w:p>
    <w:p w14:paraId="063E1EBB" w14:textId="77777777" w:rsidR="00F802FB" w:rsidRDefault="00762EF3">
      <w:pPr>
        <w:pStyle w:val="LO-normal"/>
        <w:keepNext/>
        <w:jc w:val="both"/>
        <w:rPr>
          <w:rFonts w:ascii="Arial" w:eastAsia="Arial" w:hAnsi="Arial" w:cs="Arial"/>
          <w:color w:val="000000"/>
        </w:rPr>
      </w:pPr>
      <w:r>
        <w:rPr>
          <w:rFonts w:ascii="Arial" w:eastAsia="Arial" w:hAnsi="Arial" w:cs="Arial"/>
          <w:color w:val="000000"/>
        </w:rPr>
        <w:t xml:space="preserve">Authors may use a form from their own institution or SDI Patient Consent Form 1.0. It is preferable that authors should send this form along with the submission. But if already not sent during submission, we may request to see a copy at any stages of pre and post publication. </w:t>
      </w:r>
    </w:p>
    <w:p w14:paraId="182D91A0" w14:textId="77777777" w:rsidR="00F802FB" w:rsidRDefault="00F802FB">
      <w:pPr>
        <w:pStyle w:val="LO-normal"/>
        <w:keepNext/>
        <w:jc w:val="both"/>
        <w:rPr>
          <w:rFonts w:ascii="Arial" w:eastAsia="Arial" w:hAnsi="Arial" w:cs="Arial"/>
          <w:color w:val="000000"/>
        </w:rPr>
      </w:pPr>
    </w:p>
    <w:p w14:paraId="2738689D" w14:textId="77777777" w:rsidR="00F802FB" w:rsidRDefault="00762EF3">
      <w:pPr>
        <w:pStyle w:val="LO-normal"/>
        <w:keepNext/>
        <w:jc w:val="both"/>
        <w:rPr>
          <w:rFonts w:ascii="Arial" w:eastAsia="Arial" w:hAnsi="Arial" w:cs="Arial"/>
          <w:color w:val="000000"/>
        </w:rPr>
      </w:pPr>
      <w:r>
        <w:rPr>
          <w:rFonts w:ascii="Arial" w:eastAsia="Arial" w:hAnsi="Arial" w:cs="Arial"/>
          <w:color w:val="000000"/>
        </w:rPr>
        <w:t xml:space="preserve">If the person described in the case report has died, then consent for publication must be collected from their next of kin. If the individual described in the case report is a minor, or unable to provide consent, then consent must be sought from their parents or legal guardians. </w:t>
      </w:r>
    </w:p>
    <w:p w14:paraId="3A121F6F" w14:textId="77777777" w:rsidR="00F802FB" w:rsidRDefault="00F802FB">
      <w:pPr>
        <w:pStyle w:val="LO-normal"/>
        <w:keepNext/>
        <w:jc w:val="both"/>
        <w:rPr>
          <w:rFonts w:ascii="Arial" w:eastAsia="Arial" w:hAnsi="Arial" w:cs="Arial"/>
          <w:color w:val="000000"/>
        </w:rPr>
      </w:pPr>
    </w:p>
    <w:p w14:paraId="644CBB57" w14:textId="77777777" w:rsidR="00F802FB" w:rsidRDefault="00762EF3">
      <w:pPr>
        <w:pStyle w:val="LO-normal"/>
        <w:keepNext/>
        <w:jc w:val="both"/>
        <w:rPr>
          <w:rFonts w:ascii="Arial" w:eastAsia="Arial" w:hAnsi="Arial" w:cs="Arial"/>
          <w:color w:val="000000"/>
          <w:u w:val="single"/>
        </w:rPr>
      </w:pPr>
      <w:r>
        <w:rPr>
          <w:rFonts w:ascii="Arial" w:eastAsia="Arial" w:hAnsi="Arial" w:cs="Arial"/>
          <w:color w:val="000000"/>
          <w:u w:val="single"/>
        </w:rPr>
        <w:t>Authors may use the following wordings for this section: "All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EBBE686" w14:textId="77777777" w:rsidR="00F802FB" w:rsidRDefault="00F802FB">
      <w:pPr>
        <w:pStyle w:val="LO-normal"/>
        <w:keepNext/>
        <w:jc w:val="both"/>
        <w:rPr>
          <w:rFonts w:ascii="Arial" w:eastAsia="Arial" w:hAnsi="Arial" w:cs="Arial"/>
          <w:color w:val="000000"/>
        </w:rPr>
      </w:pPr>
    </w:p>
    <w:p w14:paraId="39878E6D" w14:textId="77777777" w:rsidR="00F802FB" w:rsidRDefault="00F802FB">
      <w:pPr>
        <w:pStyle w:val="LO-normal"/>
        <w:keepNext/>
        <w:jc w:val="both"/>
        <w:rPr>
          <w:rFonts w:ascii="Arial" w:eastAsia="Arial" w:hAnsi="Arial" w:cs="Arial"/>
          <w:color w:val="000000"/>
        </w:rPr>
      </w:pPr>
    </w:p>
    <w:p w14:paraId="206FCD3B" w14:textId="77777777" w:rsidR="00F802FB" w:rsidRDefault="00762EF3">
      <w:pPr>
        <w:pStyle w:val="LO-normal"/>
        <w:keepNext/>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 (where ever applicable)</w:t>
      </w:r>
    </w:p>
    <w:p w14:paraId="7C211DE8" w14:textId="77777777" w:rsidR="00F802FB" w:rsidRDefault="00F802FB">
      <w:pPr>
        <w:pStyle w:val="LO-normal"/>
        <w:keepNext/>
        <w:jc w:val="both"/>
        <w:rPr>
          <w:rFonts w:ascii="Arial" w:eastAsia="Arial" w:hAnsi="Arial" w:cs="Arial"/>
          <w:b/>
          <w:smallCaps/>
          <w:color w:val="000000"/>
          <w:sz w:val="22"/>
          <w:szCs w:val="22"/>
        </w:rPr>
      </w:pPr>
    </w:p>
    <w:p w14:paraId="1D854671" w14:textId="77777777" w:rsidR="00F802FB" w:rsidRDefault="00762EF3">
      <w:pPr>
        <w:pStyle w:val="LO-normal"/>
        <w:keepNext/>
        <w:jc w:val="both"/>
        <w:rPr>
          <w:rFonts w:ascii="Arial" w:eastAsia="Arial" w:hAnsi="Arial" w:cs="Arial"/>
          <w:color w:val="000000"/>
        </w:rPr>
      </w:pPr>
      <w:r>
        <w:rPr>
          <w:rFonts w:ascii="Arial" w:eastAsia="Arial" w:hAnsi="Arial" w:cs="Arial"/>
          <w:color w:val="000000"/>
        </w:rPr>
        <w:t>This section is compulsory for medical journals. Other journals may require this section if found suitable. If human subjects are involved, informed consent, protection of privacy, and other human rights are further criteria against which the manuscript will be judged. It should provide a statement to confirm that the authors have obtained all necessary ethical approval from suitable Institutional or State or National or International Committee. This confirms either that this study is not against the public interest, or that the release of information is allowed by legislation.</w:t>
      </w:r>
    </w:p>
    <w:p w14:paraId="1CEC2BF4" w14:textId="77777777" w:rsidR="00F802FB" w:rsidRDefault="00F802FB">
      <w:pPr>
        <w:pStyle w:val="LO-normal"/>
        <w:keepNext/>
        <w:jc w:val="both"/>
        <w:rPr>
          <w:rFonts w:ascii="Arial" w:eastAsia="Arial" w:hAnsi="Arial" w:cs="Arial"/>
          <w:color w:val="000000"/>
        </w:rPr>
      </w:pPr>
    </w:p>
    <w:p w14:paraId="2B5EED62" w14:textId="77777777" w:rsidR="00F802FB" w:rsidRDefault="00762EF3">
      <w:pPr>
        <w:pStyle w:val="LO-normal"/>
        <w:keepNext/>
        <w:jc w:val="both"/>
        <w:rPr>
          <w:rFonts w:ascii="Arial" w:eastAsia="Arial" w:hAnsi="Arial" w:cs="Arial"/>
          <w:color w:val="000000"/>
        </w:rPr>
      </w:pPr>
      <w:r>
        <w:rPr>
          <w:rFonts w:ascii="Arial" w:eastAsia="Arial" w:hAnsi="Arial" w:cs="Arial"/>
          <w:color w:val="000000"/>
        </w:rPr>
        <w:t xml:space="preserve">All manuscripts which deal with animal subjects must be approved by an Institutional Review Board (IRB), Ethical Committee, or an Animal Utilization Study Committee. , and this statement, and approval number, must accompany the submission. If required, author should be ready to submit a scanned copy of the IRB or Ethical Committee Approval at any stage of publication (Pre of post publication stage). The manuscript should contain information about any post-operative care and pain management for the animals. </w:t>
      </w:r>
    </w:p>
    <w:p w14:paraId="73C595DA" w14:textId="77777777" w:rsidR="00F802FB" w:rsidRDefault="00F802FB">
      <w:pPr>
        <w:pStyle w:val="LO-normal"/>
        <w:keepNext/>
        <w:jc w:val="both"/>
        <w:rPr>
          <w:rFonts w:ascii="Arial" w:eastAsia="Arial" w:hAnsi="Arial" w:cs="Arial"/>
          <w:color w:val="000000"/>
        </w:rPr>
      </w:pPr>
    </w:p>
    <w:p w14:paraId="7E12B072" w14:textId="77777777" w:rsidR="00F802FB" w:rsidRDefault="00762EF3">
      <w:pPr>
        <w:pStyle w:val="LO-normal"/>
        <w:keepNext/>
        <w:jc w:val="both"/>
        <w:rPr>
          <w:rFonts w:ascii="Arial" w:eastAsia="Arial" w:hAnsi="Arial" w:cs="Arial"/>
          <w:color w:val="000000"/>
          <w:u w:val="single"/>
        </w:rPr>
      </w:pPr>
      <w:r>
        <w:rPr>
          <w:rFonts w:ascii="Arial" w:eastAsia="Arial" w:hAnsi="Arial" w:cs="Arial"/>
          <w:color w:val="000000"/>
        </w:rPr>
        <w:t xml:space="preserve">For manuscripts involving animal experiments, Authors may use the following wordings for this section </w:t>
      </w:r>
      <w:r>
        <w:rPr>
          <w:rFonts w:ascii="Arial" w:eastAsia="Arial" w:hAnsi="Arial" w:cs="Arial"/>
          <w:color w:val="000000"/>
          <w:u w:val="single"/>
        </w:rPr>
        <w:t xml:space="preserve">“All authors hereby declare that "Principles of laboratory animal care" (NIH publication No. 85-23, revised 1985) were followed, as well as specific national laws where </w:t>
      </w:r>
      <w:r>
        <w:rPr>
          <w:rFonts w:ascii="Arial" w:eastAsia="Arial" w:hAnsi="Arial" w:cs="Arial"/>
          <w:color w:val="000000"/>
          <w:u w:val="single"/>
        </w:rPr>
        <w:lastRenderedPageBreak/>
        <w:t>applicable. All experiments have been examined and approved by the appropriate ethics committee”</w:t>
      </w:r>
    </w:p>
    <w:p w14:paraId="2E08071E" w14:textId="77777777" w:rsidR="00F802FB" w:rsidRDefault="00F802FB">
      <w:pPr>
        <w:pStyle w:val="LO-normal"/>
        <w:keepNext/>
        <w:jc w:val="both"/>
        <w:rPr>
          <w:rFonts w:ascii="Arial" w:eastAsia="Arial" w:hAnsi="Arial" w:cs="Arial"/>
          <w:color w:val="000000"/>
        </w:rPr>
      </w:pPr>
    </w:p>
    <w:p w14:paraId="0505CD90" w14:textId="77777777" w:rsidR="00F802FB" w:rsidRDefault="00762EF3">
      <w:pPr>
        <w:pStyle w:val="LO-normal"/>
        <w:keepNext/>
        <w:jc w:val="both"/>
        <w:rPr>
          <w:rFonts w:ascii="Arial" w:eastAsia="Arial" w:hAnsi="Arial" w:cs="Arial"/>
          <w:color w:val="000000"/>
        </w:rPr>
      </w:pPr>
      <w:r>
        <w:rPr>
          <w:rFonts w:ascii="Arial" w:eastAsia="Arial" w:hAnsi="Arial" w:cs="Arial"/>
          <w:color w:val="000000"/>
        </w:rPr>
        <w:t xml:space="preserve">All manuscripts which deal with the study of human subjects must be accompanied by Institutional Review Board (IRB) or Ethical Committee Approval, or the national or regional equivalent. The name of the Board or Committee giving approval and the study number assigned must accompany the submission. If required, author should be ready to submit a scanned copy of the IRB or Ethical Committee Approval at any stage of publication (Pre of post publication stage). </w:t>
      </w:r>
    </w:p>
    <w:p w14:paraId="4AABC19D" w14:textId="77777777" w:rsidR="00F802FB" w:rsidRDefault="00F802FB">
      <w:pPr>
        <w:pStyle w:val="LO-normal"/>
        <w:keepNext/>
        <w:jc w:val="both"/>
        <w:rPr>
          <w:rFonts w:ascii="Arial" w:eastAsia="Arial" w:hAnsi="Arial" w:cs="Arial"/>
          <w:color w:val="000000"/>
        </w:rPr>
      </w:pPr>
    </w:p>
    <w:p w14:paraId="3A2F75A2" w14:textId="77777777" w:rsidR="00F802FB" w:rsidRDefault="00762EF3">
      <w:pPr>
        <w:pStyle w:val="LO-normal"/>
        <w:keepNext/>
        <w:jc w:val="both"/>
        <w:rPr>
          <w:rFonts w:ascii="Arial" w:eastAsia="Arial" w:hAnsi="Arial" w:cs="Arial"/>
          <w:color w:val="000000"/>
          <w:u w:val="single"/>
        </w:rPr>
      </w:pPr>
      <w:r>
        <w:rPr>
          <w:rFonts w:ascii="Arial" w:eastAsia="Arial" w:hAnsi="Arial" w:cs="Arial"/>
          <w:color w:val="000000"/>
        </w:rPr>
        <w:t>For manuscripts involving human experiments, Authors may use the following wordings for this section:</w:t>
      </w:r>
      <w:r>
        <w:rPr>
          <w:rFonts w:ascii="Arial" w:eastAsia="Arial" w:hAnsi="Arial" w:cs="Arial"/>
          <w:color w:val="000000"/>
          <w:u w:val="single"/>
        </w:rPr>
        <w:t xml:space="preserve"> “All authors hereby declare that all experiments have been examined and approved by the appropriate ethics committee and have therefore been performed in accordance with the ethical standards laid down in the 1964 Declaration of Helsinki.”</w:t>
      </w:r>
    </w:p>
    <w:p w14:paraId="49C09A46" w14:textId="77777777" w:rsidR="00F802FB" w:rsidRDefault="00F802FB">
      <w:pPr>
        <w:pStyle w:val="LO-normal"/>
        <w:keepNext/>
        <w:jc w:val="both"/>
        <w:rPr>
          <w:rFonts w:ascii="Arial" w:eastAsia="Arial" w:hAnsi="Arial" w:cs="Arial"/>
          <w:b/>
          <w:smallCaps/>
          <w:color w:val="000000"/>
          <w:sz w:val="22"/>
          <w:szCs w:val="22"/>
        </w:rPr>
      </w:pPr>
    </w:p>
    <w:p w14:paraId="4B95D232" w14:textId="77777777" w:rsidR="003945E8" w:rsidRDefault="003945E8">
      <w:pPr>
        <w:pStyle w:val="LO-normal"/>
        <w:keepNext/>
        <w:jc w:val="both"/>
        <w:rPr>
          <w:rFonts w:ascii="Arial" w:eastAsia="Arial" w:hAnsi="Arial" w:cs="Arial"/>
          <w:b/>
          <w:smallCaps/>
          <w:color w:val="000000"/>
          <w:sz w:val="22"/>
          <w:szCs w:val="22"/>
        </w:rPr>
      </w:pPr>
    </w:p>
    <w:p w14:paraId="4DB578ED" w14:textId="77777777" w:rsidR="003945E8" w:rsidRDefault="003945E8">
      <w:pPr>
        <w:pStyle w:val="LO-normal"/>
        <w:keepNext/>
        <w:jc w:val="both"/>
        <w:rPr>
          <w:rFonts w:ascii="Arial" w:eastAsia="Arial" w:hAnsi="Arial" w:cs="Arial"/>
          <w:b/>
          <w:smallCaps/>
          <w:color w:val="000000"/>
          <w:sz w:val="22"/>
          <w:szCs w:val="22"/>
        </w:rPr>
      </w:pPr>
    </w:p>
    <w:p w14:paraId="17CC45C2" w14:textId="77777777" w:rsidR="003945E8" w:rsidRDefault="003945E8">
      <w:pPr>
        <w:pStyle w:val="LO-normal"/>
        <w:keepNext/>
        <w:jc w:val="both"/>
        <w:rPr>
          <w:rFonts w:ascii="Arial" w:eastAsia="Arial" w:hAnsi="Arial" w:cs="Arial"/>
          <w:b/>
          <w:smallCaps/>
          <w:color w:val="000000"/>
          <w:sz w:val="22"/>
          <w:szCs w:val="22"/>
        </w:rPr>
      </w:pPr>
    </w:p>
    <w:p w14:paraId="31F7662B" w14:textId="77777777" w:rsidR="003945E8" w:rsidRPr="003945E8" w:rsidRDefault="003945E8" w:rsidP="003945E8">
      <w:pPr>
        <w:pStyle w:val="LO-normal"/>
        <w:keepNext/>
        <w:jc w:val="both"/>
        <w:rPr>
          <w:rFonts w:ascii="Arial" w:eastAsia="Arial" w:hAnsi="Arial" w:cs="Arial"/>
          <w:b/>
          <w:smallCaps/>
          <w:color w:val="000000"/>
          <w:sz w:val="22"/>
          <w:szCs w:val="22"/>
        </w:rPr>
      </w:pPr>
      <w:r w:rsidRPr="003945E8">
        <w:rPr>
          <w:rFonts w:ascii="Arial" w:eastAsia="Arial" w:hAnsi="Arial" w:cs="Arial"/>
          <w:b/>
          <w:smallCaps/>
          <w:color w:val="000000"/>
          <w:sz w:val="22"/>
          <w:szCs w:val="22"/>
        </w:rPr>
        <w:t>COMPETING INTERESTS DISCLAIMER:</w:t>
      </w:r>
    </w:p>
    <w:p w14:paraId="69B29F0C" w14:textId="77777777" w:rsidR="003945E8" w:rsidRDefault="003945E8">
      <w:pPr>
        <w:pStyle w:val="LO-normal"/>
        <w:keepNext/>
        <w:jc w:val="both"/>
        <w:rPr>
          <w:rFonts w:ascii="Arial" w:eastAsia="Arial" w:hAnsi="Arial" w:cs="Arial"/>
          <w:b/>
          <w:smallCaps/>
          <w:color w:val="000000"/>
          <w:sz w:val="22"/>
          <w:szCs w:val="22"/>
        </w:rPr>
      </w:pPr>
    </w:p>
    <w:p w14:paraId="71B371A8" w14:textId="77777777" w:rsidR="003945E8" w:rsidRDefault="003945E8">
      <w:pPr>
        <w:pStyle w:val="LO-normal"/>
        <w:keepNext/>
        <w:jc w:val="both"/>
        <w:rPr>
          <w:rFonts w:ascii="Arial" w:eastAsia="Arial" w:hAnsi="Arial" w:cs="Arial"/>
          <w:b/>
          <w:smallCaps/>
          <w:color w:val="000000"/>
          <w:sz w:val="22"/>
          <w:szCs w:val="22"/>
        </w:rPr>
      </w:pPr>
    </w:p>
    <w:p w14:paraId="0B4C65C2" w14:textId="3FDD6B26" w:rsidR="003945E8" w:rsidRPr="003945E8" w:rsidRDefault="003945E8">
      <w:pPr>
        <w:pStyle w:val="LO-normal"/>
        <w:keepNext/>
        <w:jc w:val="both"/>
        <w:rPr>
          <w:rFonts w:ascii="Arial" w:eastAsia="Arial" w:hAnsi="Arial" w:cs="Arial"/>
          <w:bCs/>
          <w:smallCaps/>
          <w:color w:val="000000"/>
          <w:sz w:val="22"/>
          <w:szCs w:val="22"/>
        </w:rPr>
      </w:pPr>
      <w:r w:rsidRPr="003945E8">
        <w:rPr>
          <w:rFonts w:ascii="Arial" w:eastAsia="Arial" w:hAnsi="Arial" w:cs="Arial"/>
          <w:bCs/>
          <w:smallCaps/>
          <w:color w:val="000000"/>
          <w:sz w:val="22"/>
          <w:szCs w:val="22"/>
        </w:rPr>
        <w:t>Authors have declared that they have no known competing financial interests or non-financial interests or personal relationships that could have appeared to influence the work reported in this paper.</w:t>
      </w:r>
    </w:p>
    <w:p w14:paraId="793F6951" w14:textId="4BDF5C4B" w:rsidR="003945E8" w:rsidRDefault="003945E8">
      <w:pPr>
        <w:pStyle w:val="LO-normal"/>
        <w:keepNext/>
        <w:jc w:val="both"/>
        <w:rPr>
          <w:rFonts w:ascii="Arial" w:eastAsia="Arial" w:hAnsi="Arial" w:cs="Arial"/>
          <w:bCs/>
          <w:smallCaps/>
          <w:color w:val="000000"/>
          <w:sz w:val="22"/>
          <w:szCs w:val="22"/>
        </w:rPr>
      </w:pPr>
    </w:p>
    <w:p w14:paraId="7175DF98" w14:textId="77777777" w:rsidR="007353A1" w:rsidRDefault="007353A1" w:rsidP="007353A1">
      <w:pPr>
        <w:pStyle w:val="LO-normal"/>
        <w:jc w:val="both"/>
        <w:rPr>
          <w:rFonts w:ascii="Arial" w:eastAsia="Arial" w:hAnsi="Arial" w:cs="Arial"/>
          <w:highlight w:val="yellow"/>
        </w:rPr>
      </w:pPr>
    </w:p>
    <w:p w14:paraId="5AFD4690" w14:textId="77777777" w:rsidR="007353A1" w:rsidRPr="007353A1" w:rsidRDefault="007353A1" w:rsidP="007353A1">
      <w:pPr>
        <w:pStyle w:val="LO-normal"/>
        <w:jc w:val="both"/>
        <w:rPr>
          <w:rFonts w:ascii="Arial" w:eastAsia="Arial" w:hAnsi="Arial" w:cs="Arial"/>
          <w:b/>
          <w:highlight w:val="yellow"/>
        </w:rPr>
      </w:pPr>
      <w:r w:rsidRPr="007353A1">
        <w:rPr>
          <w:rFonts w:ascii="Arial" w:eastAsia="Arial" w:hAnsi="Arial" w:cs="Arial"/>
          <w:b/>
          <w:highlight w:val="yellow"/>
        </w:rPr>
        <w:t xml:space="preserve">AI disclaimer </w:t>
      </w:r>
    </w:p>
    <w:p w14:paraId="5A8214F3" w14:textId="44F169A6" w:rsidR="007353A1" w:rsidRPr="007353A1" w:rsidRDefault="007353A1" w:rsidP="007353A1">
      <w:pPr>
        <w:pStyle w:val="LO-normal"/>
        <w:jc w:val="both"/>
        <w:rPr>
          <w:rFonts w:ascii="Arial" w:eastAsia="Arial" w:hAnsi="Arial" w:cs="Arial"/>
          <w:highlight w:val="yellow"/>
        </w:rPr>
      </w:pPr>
      <w:r w:rsidRPr="007353A1">
        <w:rPr>
          <w:rFonts w:ascii="Arial" w:eastAsia="Arial" w:hAnsi="Arial" w:cs="Arial"/>
          <w:highlight w:val="yellow"/>
        </w:rPr>
        <w:t xml:space="preserve">The </w:t>
      </w:r>
      <w:proofErr w:type="spellStart"/>
      <w:r w:rsidRPr="007353A1">
        <w:rPr>
          <w:rFonts w:ascii="Arial" w:eastAsia="Arial" w:hAnsi="Arial" w:cs="Arial"/>
          <w:highlight w:val="yellow"/>
        </w:rPr>
        <w:t>ChatGpt</w:t>
      </w:r>
      <w:proofErr w:type="spellEnd"/>
      <w:r w:rsidRPr="007353A1">
        <w:rPr>
          <w:rFonts w:ascii="Arial" w:eastAsia="Arial" w:hAnsi="Arial" w:cs="Arial"/>
          <w:highlight w:val="yellow"/>
        </w:rPr>
        <w:t xml:space="preserve"> artificial intelligence was only used for grammar correction and was not used to generate texts, data or figures. The prompt used to correct grammar and spelling was: correct the grammar and spelling of text.</w:t>
      </w:r>
    </w:p>
    <w:p w14:paraId="52E49990" w14:textId="77777777" w:rsidR="007353A1" w:rsidRPr="003945E8" w:rsidRDefault="007353A1">
      <w:pPr>
        <w:pStyle w:val="LO-normal"/>
        <w:keepNext/>
        <w:jc w:val="both"/>
        <w:rPr>
          <w:rFonts w:ascii="Arial" w:eastAsia="Arial" w:hAnsi="Arial" w:cs="Arial"/>
          <w:bCs/>
          <w:smallCaps/>
          <w:color w:val="000000"/>
          <w:sz w:val="22"/>
          <w:szCs w:val="22"/>
        </w:rPr>
      </w:pPr>
    </w:p>
    <w:p w14:paraId="10A1A8C8" w14:textId="77777777" w:rsidR="00B91A39" w:rsidRDefault="00B91A39">
      <w:pPr>
        <w:pStyle w:val="LO-normal"/>
        <w:keepNext/>
        <w:jc w:val="both"/>
        <w:rPr>
          <w:rFonts w:ascii="Arial" w:eastAsia="Arial" w:hAnsi="Arial" w:cs="Arial"/>
          <w:b/>
          <w:smallCaps/>
          <w:color w:val="000000"/>
          <w:sz w:val="22"/>
          <w:szCs w:val="22"/>
        </w:rPr>
      </w:pPr>
    </w:p>
    <w:p w14:paraId="62814EEA" w14:textId="77777777" w:rsidR="00B91A39" w:rsidRDefault="00B91A39">
      <w:pPr>
        <w:pStyle w:val="LO-normal"/>
        <w:keepNext/>
        <w:jc w:val="both"/>
        <w:rPr>
          <w:rFonts w:ascii="Arial" w:eastAsia="Arial" w:hAnsi="Arial" w:cs="Arial"/>
          <w:b/>
          <w:smallCaps/>
          <w:color w:val="000000"/>
          <w:sz w:val="22"/>
          <w:szCs w:val="22"/>
        </w:rPr>
      </w:pPr>
    </w:p>
    <w:p w14:paraId="7CEB41C6" w14:textId="149CE81D" w:rsidR="00F802FB" w:rsidRDefault="00762EF3">
      <w:pPr>
        <w:pStyle w:val="LO-normal"/>
        <w:keepNext/>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8473AAB" w14:textId="77777777" w:rsidR="00F802FB" w:rsidRDefault="00F802FB">
      <w:pPr>
        <w:pStyle w:val="LO-normal"/>
        <w:jc w:val="both"/>
        <w:rPr>
          <w:rFonts w:ascii="Arial" w:eastAsia="Arial" w:hAnsi="Arial" w:cs="Arial"/>
          <w:b/>
          <w:smallCaps/>
          <w:sz w:val="22"/>
          <w:szCs w:val="22"/>
        </w:rPr>
      </w:pPr>
    </w:p>
    <w:p w14:paraId="0FA2A823"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Cobo, R., et al. (2024). The Corneal Structure of the Yellow-Legged Gull, </w:t>
      </w:r>
      <w:proofErr w:type="spellStart"/>
      <w:r>
        <w:rPr>
          <w:rFonts w:ascii="Arial" w:eastAsia="Arial" w:hAnsi="Arial" w:cs="Arial"/>
          <w:i/>
          <w:highlight w:val="white"/>
        </w:rPr>
        <w:t>Larus</w:t>
      </w:r>
      <w:proofErr w:type="spellEnd"/>
      <w:r>
        <w:rPr>
          <w:rFonts w:ascii="Arial" w:eastAsia="Arial" w:hAnsi="Arial" w:cs="Arial"/>
          <w:i/>
          <w:highlight w:val="white"/>
        </w:rPr>
        <w:t xml:space="preserve"> </w:t>
      </w:r>
      <w:proofErr w:type="spellStart"/>
      <w:r>
        <w:rPr>
          <w:rFonts w:ascii="Arial" w:eastAsia="Arial" w:hAnsi="Arial" w:cs="Arial"/>
          <w:i/>
          <w:highlight w:val="white"/>
        </w:rPr>
        <w:t>michahellis</w:t>
      </w:r>
      <w:proofErr w:type="spellEnd"/>
      <w:r>
        <w:rPr>
          <w:rFonts w:ascii="Arial" w:eastAsia="Arial" w:hAnsi="Arial" w:cs="Arial"/>
          <w:highlight w:val="white"/>
        </w:rPr>
        <w:t xml:space="preserve"> (Naumann, 1840). </w:t>
      </w:r>
      <w:r>
        <w:rPr>
          <w:rFonts w:ascii="Arial" w:eastAsia="Arial" w:hAnsi="Arial" w:cs="Arial"/>
          <w:i/>
          <w:highlight w:val="white"/>
        </w:rPr>
        <w:t>Journal of Morphology</w:t>
      </w:r>
      <w:r>
        <w:rPr>
          <w:rFonts w:ascii="Arial" w:eastAsia="Arial" w:hAnsi="Arial" w:cs="Arial"/>
          <w:highlight w:val="white"/>
        </w:rPr>
        <w:t xml:space="preserve">, 285(12), e70015. </w:t>
      </w:r>
      <w:hyperlink r:id="rId14">
        <w:r>
          <w:rPr>
            <w:rFonts w:ascii="Arial" w:eastAsia="Arial" w:hAnsi="Arial" w:cs="Arial"/>
            <w:highlight w:val="white"/>
          </w:rPr>
          <w:t>https://onlinelibrary.wiley.com/doi/10.1002/jmor.70015</w:t>
        </w:r>
      </w:hyperlink>
    </w:p>
    <w:p w14:paraId="6E18FD69"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Byrd, L. B., Gurnani, B., &amp; Martin, N. (2024). Corneal ulcer. In </w:t>
      </w:r>
      <w:proofErr w:type="spellStart"/>
      <w:r>
        <w:rPr>
          <w:rFonts w:ascii="Arial" w:eastAsia="Arial" w:hAnsi="Arial" w:cs="Arial"/>
          <w:i/>
          <w:highlight w:val="white"/>
        </w:rPr>
        <w:t>StatPearls</w:t>
      </w:r>
      <w:proofErr w:type="spellEnd"/>
      <w:r>
        <w:rPr>
          <w:rFonts w:ascii="Arial" w:eastAsia="Arial" w:hAnsi="Arial" w:cs="Arial"/>
          <w:i/>
          <w:highlight w:val="white"/>
        </w:rPr>
        <w:t xml:space="preserve"> [Internet]</w:t>
      </w:r>
      <w:r>
        <w:rPr>
          <w:rFonts w:ascii="Arial" w:eastAsia="Arial" w:hAnsi="Arial" w:cs="Arial"/>
          <w:highlight w:val="white"/>
        </w:rPr>
        <w:t xml:space="preserve">. </w:t>
      </w:r>
      <w:proofErr w:type="spellStart"/>
      <w:r>
        <w:rPr>
          <w:rFonts w:ascii="Arial" w:eastAsia="Arial" w:hAnsi="Arial" w:cs="Arial"/>
          <w:highlight w:val="white"/>
        </w:rPr>
        <w:t>StatPearls</w:t>
      </w:r>
      <w:proofErr w:type="spellEnd"/>
      <w:r>
        <w:rPr>
          <w:rFonts w:ascii="Arial" w:eastAsia="Arial" w:hAnsi="Arial" w:cs="Arial"/>
          <w:highlight w:val="white"/>
        </w:rPr>
        <w:t xml:space="preserve"> Publishing.</w:t>
      </w:r>
    </w:p>
    <w:p w14:paraId="4FBE95E9"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Falcão, M. S. A., et al. (2020). Effect of allogeneic mesenchymal stem cells (MSCs) on corneal wound healing in dogs. </w:t>
      </w:r>
      <w:r>
        <w:rPr>
          <w:rFonts w:ascii="Arial" w:eastAsia="Arial" w:hAnsi="Arial" w:cs="Arial"/>
          <w:i/>
          <w:highlight w:val="white"/>
        </w:rPr>
        <w:t>Journal of Traditional and Complementary Medicine</w:t>
      </w:r>
      <w:r>
        <w:rPr>
          <w:rFonts w:ascii="Arial" w:eastAsia="Arial" w:hAnsi="Arial" w:cs="Arial"/>
          <w:highlight w:val="white"/>
        </w:rPr>
        <w:t>, 10(5), 440.</w:t>
      </w:r>
    </w:p>
    <w:p w14:paraId="5D89F3B8"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Freitas, A. C. (2018). </w:t>
      </w:r>
      <w:proofErr w:type="spellStart"/>
      <w:r>
        <w:rPr>
          <w:rFonts w:ascii="Arial" w:eastAsia="Arial" w:hAnsi="Arial" w:cs="Arial"/>
          <w:i/>
          <w:highlight w:val="white"/>
        </w:rPr>
        <w:t>Células-tronco</w:t>
      </w:r>
      <w:proofErr w:type="spellEnd"/>
      <w:r>
        <w:rPr>
          <w:rFonts w:ascii="Arial" w:eastAsia="Arial" w:hAnsi="Arial" w:cs="Arial"/>
          <w:i/>
          <w:highlight w:val="white"/>
        </w:rPr>
        <w:t xml:space="preserve"> </w:t>
      </w:r>
      <w:proofErr w:type="spellStart"/>
      <w:r>
        <w:rPr>
          <w:rFonts w:ascii="Arial" w:eastAsia="Arial" w:hAnsi="Arial" w:cs="Arial"/>
          <w:i/>
          <w:highlight w:val="white"/>
        </w:rPr>
        <w:t>mesenquimais</w:t>
      </w:r>
      <w:proofErr w:type="spellEnd"/>
      <w:r>
        <w:rPr>
          <w:rFonts w:ascii="Arial" w:eastAsia="Arial" w:hAnsi="Arial" w:cs="Arial"/>
          <w:i/>
          <w:highlight w:val="white"/>
        </w:rPr>
        <w:t xml:space="preserve"> no </w:t>
      </w:r>
      <w:proofErr w:type="spellStart"/>
      <w:r>
        <w:rPr>
          <w:rFonts w:ascii="Arial" w:eastAsia="Arial" w:hAnsi="Arial" w:cs="Arial"/>
          <w:i/>
          <w:highlight w:val="white"/>
        </w:rPr>
        <w:t>tratamento</w:t>
      </w:r>
      <w:proofErr w:type="spellEnd"/>
      <w:r>
        <w:rPr>
          <w:rFonts w:ascii="Arial" w:eastAsia="Arial" w:hAnsi="Arial" w:cs="Arial"/>
          <w:i/>
          <w:highlight w:val="white"/>
        </w:rPr>
        <w:t xml:space="preserve"> de </w:t>
      </w:r>
      <w:proofErr w:type="spellStart"/>
      <w:r>
        <w:rPr>
          <w:rFonts w:ascii="Arial" w:eastAsia="Arial" w:hAnsi="Arial" w:cs="Arial"/>
          <w:i/>
          <w:highlight w:val="white"/>
        </w:rPr>
        <w:t>úlceras</w:t>
      </w:r>
      <w:proofErr w:type="spellEnd"/>
      <w:r>
        <w:rPr>
          <w:rFonts w:ascii="Arial" w:eastAsia="Arial" w:hAnsi="Arial" w:cs="Arial"/>
          <w:i/>
          <w:highlight w:val="white"/>
        </w:rPr>
        <w:t xml:space="preserve"> de </w:t>
      </w:r>
      <w:proofErr w:type="spellStart"/>
      <w:r>
        <w:rPr>
          <w:rFonts w:ascii="Arial" w:eastAsia="Arial" w:hAnsi="Arial" w:cs="Arial"/>
          <w:i/>
          <w:highlight w:val="white"/>
        </w:rPr>
        <w:t>córnea</w:t>
      </w:r>
      <w:proofErr w:type="spellEnd"/>
      <w:r>
        <w:rPr>
          <w:rFonts w:ascii="Arial" w:eastAsia="Arial" w:hAnsi="Arial" w:cs="Arial"/>
          <w:highlight w:val="white"/>
        </w:rPr>
        <w:t>. [</w:t>
      </w:r>
      <w:proofErr w:type="spellStart"/>
      <w:r>
        <w:rPr>
          <w:rFonts w:ascii="Arial" w:eastAsia="Arial" w:hAnsi="Arial" w:cs="Arial"/>
          <w:highlight w:val="white"/>
        </w:rPr>
        <w:t>Tese</w:t>
      </w:r>
      <w:proofErr w:type="spellEnd"/>
      <w:r>
        <w:rPr>
          <w:rFonts w:ascii="Arial" w:eastAsia="Arial" w:hAnsi="Arial" w:cs="Arial"/>
          <w:highlight w:val="white"/>
        </w:rPr>
        <w:t xml:space="preserve"> de </w:t>
      </w:r>
      <w:proofErr w:type="spellStart"/>
      <w:r>
        <w:rPr>
          <w:rFonts w:ascii="Arial" w:eastAsia="Arial" w:hAnsi="Arial" w:cs="Arial"/>
          <w:highlight w:val="white"/>
        </w:rPr>
        <w:t>Doutorado</w:t>
      </w:r>
      <w:proofErr w:type="spellEnd"/>
      <w:r>
        <w:rPr>
          <w:rFonts w:ascii="Arial" w:eastAsia="Arial" w:hAnsi="Arial" w:cs="Arial"/>
          <w:highlight w:val="white"/>
        </w:rPr>
        <w:t xml:space="preserve">, </w:t>
      </w:r>
      <w:proofErr w:type="spellStart"/>
      <w:r>
        <w:rPr>
          <w:rFonts w:ascii="Arial" w:eastAsia="Arial" w:hAnsi="Arial" w:cs="Arial"/>
          <w:highlight w:val="white"/>
        </w:rPr>
        <w:t>Universidade</w:t>
      </w:r>
      <w:proofErr w:type="spellEnd"/>
      <w:r>
        <w:rPr>
          <w:rFonts w:ascii="Arial" w:eastAsia="Arial" w:hAnsi="Arial" w:cs="Arial"/>
          <w:highlight w:val="white"/>
        </w:rPr>
        <w:t xml:space="preserve"> de São Paulo].</w:t>
      </w:r>
    </w:p>
    <w:p w14:paraId="1057BF26"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Kawata, K., et al. (2019). Mesenchymal cells and fluid flow stimulation synergistically regulate the kinetics of corneal epithelial cells at the air-liquid interface. </w:t>
      </w:r>
      <w:r>
        <w:rPr>
          <w:rFonts w:ascii="Arial" w:eastAsia="Arial" w:hAnsi="Arial" w:cs="Arial"/>
          <w:i/>
          <w:highlight w:val="white"/>
        </w:rPr>
        <w:t>Graefe's Archive for Clinical and Experimental Ophthalmology</w:t>
      </w:r>
      <w:r>
        <w:rPr>
          <w:rFonts w:ascii="Arial" w:eastAsia="Arial" w:hAnsi="Arial" w:cs="Arial"/>
          <w:highlight w:val="white"/>
        </w:rPr>
        <w:t>, 257, 1915-1924.</w:t>
      </w:r>
    </w:p>
    <w:p w14:paraId="114CDE76"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Pereira, R. C., et al. (2024). </w:t>
      </w:r>
      <w:proofErr w:type="spellStart"/>
      <w:r>
        <w:rPr>
          <w:rFonts w:ascii="Arial" w:eastAsia="Arial" w:hAnsi="Arial" w:cs="Arial"/>
          <w:i/>
          <w:highlight w:val="white"/>
        </w:rPr>
        <w:t>Terapia</w:t>
      </w:r>
      <w:proofErr w:type="spellEnd"/>
      <w:r>
        <w:rPr>
          <w:rFonts w:ascii="Arial" w:eastAsia="Arial" w:hAnsi="Arial" w:cs="Arial"/>
          <w:i/>
          <w:highlight w:val="white"/>
        </w:rPr>
        <w:t xml:space="preserve"> </w:t>
      </w:r>
      <w:proofErr w:type="spellStart"/>
      <w:r>
        <w:rPr>
          <w:rFonts w:ascii="Arial" w:eastAsia="Arial" w:hAnsi="Arial" w:cs="Arial"/>
          <w:i/>
          <w:highlight w:val="white"/>
        </w:rPr>
        <w:t>celular</w:t>
      </w:r>
      <w:proofErr w:type="spellEnd"/>
      <w:r>
        <w:rPr>
          <w:rFonts w:ascii="Arial" w:eastAsia="Arial" w:hAnsi="Arial" w:cs="Arial"/>
          <w:i/>
          <w:highlight w:val="white"/>
        </w:rPr>
        <w:t xml:space="preserve"> com </w:t>
      </w:r>
      <w:proofErr w:type="spellStart"/>
      <w:r>
        <w:rPr>
          <w:rFonts w:ascii="Arial" w:eastAsia="Arial" w:hAnsi="Arial" w:cs="Arial"/>
          <w:i/>
          <w:highlight w:val="white"/>
        </w:rPr>
        <w:t>células-tronco</w:t>
      </w:r>
      <w:proofErr w:type="spellEnd"/>
      <w:r>
        <w:rPr>
          <w:rFonts w:ascii="Arial" w:eastAsia="Arial" w:hAnsi="Arial" w:cs="Arial"/>
          <w:i/>
          <w:highlight w:val="white"/>
        </w:rPr>
        <w:t xml:space="preserve"> </w:t>
      </w:r>
      <w:proofErr w:type="spellStart"/>
      <w:r>
        <w:rPr>
          <w:rFonts w:ascii="Arial" w:eastAsia="Arial" w:hAnsi="Arial" w:cs="Arial"/>
          <w:i/>
          <w:highlight w:val="white"/>
        </w:rPr>
        <w:t>mesenquimais</w:t>
      </w:r>
      <w:proofErr w:type="spellEnd"/>
      <w:r>
        <w:rPr>
          <w:rFonts w:ascii="Arial" w:eastAsia="Arial" w:hAnsi="Arial" w:cs="Arial"/>
          <w:i/>
          <w:highlight w:val="white"/>
        </w:rPr>
        <w:t xml:space="preserve"> no </w:t>
      </w:r>
      <w:proofErr w:type="spellStart"/>
      <w:r>
        <w:rPr>
          <w:rFonts w:ascii="Arial" w:eastAsia="Arial" w:hAnsi="Arial" w:cs="Arial"/>
          <w:i/>
          <w:highlight w:val="white"/>
        </w:rPr>
        <w:t>tratamento</w:t>
      </w:r>
      <w:proofErr w:type="spellEnd"/>
      <w:r>
        <w:rPr>
          <w:rFonts w:ascii="Arial" w:eastAsia="Arial" w:hAnsi="Arial" w:cs="Arial"/>
          <w:i/>
          <w:highlight w:val="white"/>
        </w:rPr>
        <w:t xml:space="preserve"> de </w:t>
      </w:r>
      <w:proofErr w:type="spellStart"/>
      <w:r>
        <w:rPr>
          <w:rFonts w:ascii="Arial" w:eastAsia="Arial" w:hAnsi="Arial" w:cs="Arial"/>
          <w:i/>
          <w:highlight w:val="white"/>
        </w:rPr>
        <w:t>úlceras</w:t>
      </w:r>
      <w:proofErr w:type="spellEnd"/>
      <w:r>
        <w:rPr>
          <w:rFonts w:ascii="Arial" w:eastAsia="Arial" w:hAnsi="Arial" w:cs="Arial"/>
          <w:i/>
          <w:highlight w:val="white"/>
        </w:rPr>
        <w:t xml:space="preserve"> de </w:t>
      </w:r>
      <w:proofErr w:type="spellStart"/>
      <w:r>
        <w:rPr>
          <w:rFonts w:ascii="Arial" w:eastAsia="Arial" w:hAnsi="Arial" w:cs="Arial"/>
          <w:i/>
          <w:highlight w:val="white"/>
        </w:rPr>
        <w:t>córnea</w:t>
      </w:r>
      <w:proofErr w:type="spellEnd"/>
      <w:r>
        <w:rPr>
          <w:rFonts w:ascii="Arial" w:eastAsia="Arial" w:hAnsi="Arial" w:cs="Arial"/>
          <w:highlight w:val="white"/>
        </w:rPr>
        <w:t>. [</w:t>
      </w:r>
      <w:proofErr w:type="spellStart"/>
      <w:r>
        <w:rPr>
          <w:rFonts w:ascii="Arial" w:eastAsia="Arial" w:hAnsi="Arial" w:cs="Arial"/>
          <w:highlight w:val="white"/>
        </w:rPr>
        <w:t>Artigo</w:t>
      </w:r>
      <w:proofErr w:type="spellEnd"/>
      <w:r>
        <w:rPr>
          <w:rFonts w:ascii="Arial" w:eastAsia="Arial" w:hAnsi="Arial" w:cs="Arial"/>
          <w:highlight w:val="white"/>
        </w:rPr>
        <w:t xml:space="preserve"> </w:t>
      </w:r>
      <w:proofErr w:type="spellStart"/>
      <w:r>
        <w:rPr>
          <w:rFonts w:ascii="Arial" w:eastAsia="Arial" w:hAnsi="Arial" w:cs="Arial"/>
          <w:highlight w:val="white"/>
        </w:rPr>
        <w:t>submetido</w:t>
      </w:r>
      <w:proofErr w:type="spellEnd"/>
      <w:r>
        <w:rPr>
          <w:rFonts w:ascii="Arial" w:eastAsia="Arial" w:hAnsi="Arial" w:cs="Arial"/>
          <w:highlight w:val="white"/>
        </w:rPr>
        <w:t xml:space="preserve"> para </w:t>
      </w:r>
      <w:proofErr w:type="spellStart"/>
      <w:r>
        <w:rPr>
          <w:rFonts w:ascii="Arial" w:eastAsia="Arial" w:hAnsi="Arial" w:cs="Arial"/>
          <w:highlight w:val="white"/>
        </w:rPr>
        <w:t>publicação</w:t>
      </w:r>
      <w:proofErr w:type="spellEnd"/>
      <w:r>
        <w:rPr>
          <w:rFonts w:ascii="Arial" w:eastAsia="Arial" w:hAnsi="Arial" w:cs="Arial"/>
          <w:highlight w:val="white"/>
        </w:rPr>
        <w:t>].</w:t>
      </w:r>
    </w:p>
    <w:p w14:paraId="4CFF1D8C"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Almalki, S. G., &amp; Agrawal, D. K. (2016). Key transcription factors in the differentiation of mesenchymal stem cells. </w:t>
      </w:r>
      <w:r>
        <w:rPr>
          <w:rFonts w:ascii="Arial" w:eastAsia="Arial" w:hAnsi="Arial" w:cs="Arial"/>
          <w:i/>
          <w:highlight w:val="white"/>
        </w:rPr>
        <w:t>Differentiation</w:t>
      </w:r>
      <w:r>
        <w:rPr>
          <w:rFonts w:ascii="Arial" w:eastAsia="Arial" w:hAnsi="Arial" w:cs="Arial"/>
          <w:highlight w:val="white"/>
        </w:rPr>
        <w:t>, 92(1-2), 41-51.</w:t>
      </w:r>
    </w:p>
    <w:p w14:paraId="721D650A"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lastRenderedPageBreak/>
        <w:t xml:space="preserve">Bianco, P., Robey, P. G., &amp; Simmons, P. J. (2008). Mesenchymal stem cells: revisiting history, concepts, and assays. </w:t>
      </w:r>
      <w:r>
        <w:rPr>
          <w:rFonts w:ascii="Arial" w:eastAsia="Arial" w:hAnsi="Arial" w:cs="Arial"/>
          <w:i/>
          <w:highlight w:val="white"/>
        </w:rPr>
        <w:t>Cell Stem Cell</w:t>
      </w:r>
      <w:r>
        <w:rPr>
          <w:rFonts w:ascii="Arial" w:eastAsia="Arial" w:hAnsi="Arial" w:cs="Arial"/>
          <w:highlight w:val="white"/>
        </w:rPr>
        <w:t>, 2(4), 313-319.</w:t>
      </w:r>
    </w:p>
    <w:p w14:paraId="6CBA2106"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Stefańska, K., et al. (2020). Mesenchymal stem cells–a historical overview. </w:t>
      </w:r>
      <w:r>
        <w:rPr>
          <w:rFonts w:ascii="Arial" w:eastAsia="Arial" w:hAnsi="Arial" w:cs="Arial"/>
          <w:i/>
          <w:highlight w:val="white"/>
        </w:rPr>
        <w:t>Medical Journal of Cell Biology</w:t>
      </w:r>
      <w:r>
        <w:rPr>
          <w:rFonts w:ascii="Arial" w:eastAsia="Arial" w:hAnsi="Arial" w:cs="Arial"/>
          <w:highlight w:val="white"/>
        </w:rPr>
        <w:t>, 8(2), 83-87.</w:t>
      </w:r>
    </w:p>
    <w:p w14:paraId="3B91CEB4"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Mammen, C., </w:t>
      </w:r>
      <w:proofErr w:type="spellStart"/>
      <w:r>
        <w:rPr>
          <w:rFonts w:ascii="Arial" w:eastAsia="Arial" w:hAnsi="Arial" w:cs="Arial"/>
          <w:highlight w:val="white"/>
        </w:rPr>
        <w:t>Matsell</w:t>
      </w:r>
      <w:proofErr w:type="spellEnd"/>
      <w:r>
        <w:rPr>
          <w:rFonts w:ascii="Arial" w:eastAsia="Arial" w:hAnsi="Arial" w:cs="Arial"/>
          <w:highlight w:val="white"/>
        </w:rPr>
        <w:t xml:space="preserve">, D. G., &amp; Lemley, K. V. (2014). The importance of clinical pathways and protocols in pediatric nephrology. </w:t>
      </w:r>
      <w:r>
        <w:rPr>
          <w:rFonts w:ascii="Arial" w:eastAsia="Arial" w:hAnsi="Arial" w:cs="Arial"/>
          <w:i/>
          <w:highlight w:val="white"/>
        </w:rPr>
        <w:t>Pediatric Nephrology</w:t>
      </w:r>
      <w:r>
        <w:rPr>
          <w:rFonts w:ascii="Arial" w:eastAsia="Arial" w:hAnsi="Arial" w:cs="Arial"/>
          <w:highlight w:val="white"/>
        </w:rPr>
        <w:t>, 29, 1903-1914.</w:t>
      </w:r>
    </w:p>
    <w:p w14:paraId="63B39C0A"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Tingle, J. (2023). The importance of keeping up to date with clinical guidelines and protocols. </w:t>
      </w:r>
      <w:r>
        <w:rPr>
          <w:rFonts w:ascii="Arial" w:eastAsia="Arial" w:hAnsi="Arial" w:cs="Arial"/>
          <w:i/>
          <w:highlight w:val="white"/>
        </w:rPr>
        <w:t>British Journal of Nursing</w:t>
      </w:r>
      <w:r>
        <w:rPr>
          <w:rFonts w:ascii="Arial" w:eastAsia="Arial" w:hAnsi="Arial" w:cs="Arial"/>
          <w:highlight w:val="white"/>
        </w:rPr>
        <w:t>, 32(5), 266-267.</w:t>
      </w:r>
    </w:p>
    <w:p w14:paraId="7C7624DD"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Oh, J. Y., et al. (2008). The anti-inflammatory and anti-angiogenic role of mesenchymal stem cells in corneal wound healing following chemical injury. </w:t>
      </w:r>
      <w:r>
        <w:rPr>
          <w:rFonts w:ascii="Arial" w:eastAsia="Arial" w:hAnsi="Arial" w:cs="Arial"/>
          <w:i/>
          <w:highlight w:val="white"/>
        </w:rPr>
        <w:t>Stem Cells</w:t>
      </w:r>
      <w:r>
        <w:rPr>
          <w:rFonts w:ascii="Arial" w:eastAsia="Arial" w:hAnsi="Arial" w:cs="Arial"/>
          <w:highlight w:val="white"/>
        </w:rPr>
        <w:t>, 26(4), 1047-1055.</w:t>
      </w:r>
    </w:p>
    <w:p w14:paraId="5B712E71"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Shukla, S., et al. (2019). Therapeutic efficacy of different routes of mesenchymal stem cell administration in corneal injury. </w:t>
      </w:r>
      <w:r>
        <w:rPr>
          <w:rFonts w:ascii="Arial" w:eastAsia="Arial" w:hAnsi="Arial" w:cs="Arial"/>
          <w:i/>
          <w:highlight w:val="white"/>
        </w:rPr>
        <w:t>The Ocular Surface</w:t>
      </w:r>
      <w:r>
        <w:rPr>
          <w:rFonts w:ascii="Arial" w:eastAsia="Arial" w:hAnsi="Arial" w:cs="Arial"/>
          <w:highlight w:val="white"/>
        </w:rPr>
        <w:t>, 17(4), 729-736.</w:t>
      </w:r>
    </w:p>
    <w:p w14:paraId="200F7E25"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De Lacerda, M. S., et al. (2017). </w:t>
      </w:r>
      <w:proofErr w:type="spellStart"/>
      <w:r>
        <w:rPr>
          <w:rFonts w:ascii="Arial" w:eastAsia="Arial" w:hAnsi="Arial" w:cs="Arial"/>
          <w:highlight w:val="white"/>
        </w:rPr>
        <w:t>Perfil</w:t>
      </w:r>
      <w:proofErr w:type="spellEnd"/>
      <w:r>
        <w:rPr>
          <w:rFonts w:ascii="Arial" w:eastAsia="Arial" w:hAnsi="Arial" w:cs="Arial"/>
          <w:highlight w:val="white"/>
        </w:rPr>
        <w:t xml:space="preserve"> </w:t>
      </w:r>
      <w:proofErr w:type="spellStart"/>
      <w:r>
        <w:rPr>
          <w:rFonts w:ascii="Arial" w:eastAsia="Arial" w:hAnsi="Arial" w:cs="Arial"/>
          <w:highlight w:val="white"/>
        </w:rPr>
        <w:t>hematológico</w:t>
      </w:r>
      <w:proofErr w:type="spellEnd"/>
      <w:r>
        <w:rPr>
          <w:rFonts w:ascii="Arial" w:eastAsia="Arial" w:hAnsi="Arial" w:cs="Arial"/>
          <w:highlight w:val="white"/>
        </w:rPr>
        <w:t xml:space="preserve"> de </w:t>
      </w:r>
      <w:proofErr w:type="spellStart"/>
      <w:r>
        <w:rPr>
          <w:rFonts w:ascii="Arial" w:eastAsia="Arial" w:hAnsi="Arial" w:cs="Arial"/>
          <w:highlight w:val="white"/>
        </w:rPr>
        <w:t>cães</w:t>
      </w:r>
      <w:proofErr w:type="spellEnd"/>
      <w:r>
        <w:rPr>
          <w:rFonts w:ascii="Arial" w:eastAsia="Arial" w:hAnsi="Arial" w:cs="Arial"/>
          <w:highlight w:val="white"/>
        </w:rPr>
        <w:t xml:space="preserve"> (</w:t>
      </w:r>
      <w:proofErr w:type="spellStart"/>
      <w:r>
        <w:rPr>
          <w:rFonts w:ascii="Arial" w:eastAsia="Arial" w:hAnsi="Arial" w:cs="Arial"/>
          <w:highlight w:val="white"/>
        </w:rPr>
        <w:t>Canis</w:t>
      </w:r>
      <w:proofErr w:type="spellEnd"/>
      <w:r>
        <w:rPr>
          <w:rFonts w:ascii="Arial" w:eastAsia="Arial" w:hAnsi="Arial" w:cs="Arial"/>
          <w:highlight w:val="white"/>
        </w:rPr>
        <w:t xml:space="preserve"> lupus </w:t>
      </w:r>
      <w:proofErr w:type="spellStart"/>
      <w:r>
        <w:rPr>
          <w:rFonts w:ascii="Arial" w:eastAsia="Arial" w:hAnsi="Arial" w:cs="Arial"/>
          <w:highlight w:val="white"/>
        </w:rPr>
        <w:t>familiaris</w:t>
      </w:r>
      <w:proofErr w:type="spellEnd"/>
      <w:r>
        <w:rPr>
          <w:rFonts w:ascii="Arial" w:eastAsia="Arial" w:hAnsi="Arial" w:cs="Arial"/>
          <w:highlight w:val="white"/>
        </w:rPr>
        <w:t xml:space="preserve">) </w:t>
      </w:r>
      <w:proofErr w:type="spellStart"/>
      <w:r>
        <w:rPr>
          <w:rFonts w:ascii="Arial" w:eastAsia="Arial" w:hAnsi="Arial" w:cs="Arial"/>
          <w:highlight w:val="white"/>
        </w:rPr>
        <w:t>soropositivos</w:t>
      </w:r>
      <w:proofErr w:type="spellEnd"/>
      <w:r>
        <w:rPr>
          <w:rFonts w:ascii="Arial" w:eastAsia="Arial" w:hAnsi="Arial" w:cs="Arial"/>
          <w:highlight w:val="white"/>
        </w:rPr>
        <w:t xml:space="preserve"> para Leishmania </w:t>
      </w:r>
      <w:proofErr w:type="spellStart"/>
      <w:r>
        <w:rPr>
          <w:rFonts w:ascii="Arial" w:eastAsia="Arial" w:hAnsi="Arial" w:cs="Arial"/>
          <w:highlight w:val="white"/>
        </w:rPr>
        <w:t>spp</w:t>
      </w:r>
      <w:proofErr w:type="spellEnd"/>
      <w:r>
        <w:rPr>
          <w:rFonts w:ascii="Arial" w:eastAsia="Arial" w:hAnsi="Arial" w:cs="Arial"/>
          <w:highlight w:val="white"/>
        </w:rPr>
        <w:t xml:space="preserve"> </w:t>
      </w:r>
      <w:proofErr w:type="spellStart"/>
      <w:r>
        <w:rPr>
          <w:rFonts w:ascii="Arial" w:eastAsia="Arial" w:hAnsi="Arial" w:cs="Arial"/>
          <w:highlight w:val="white"/>
        </w:rPr>
        <w:t>atendidos</w:t>
      </w:r>
      <w:proofErr w:type="spellEnd"/>
      <w:r>
        <w:rPr>
          <w:rFonts w:ascii="Arial" w:eastAsia="Arial" w:hAnsi="Arial" w:cs="Arial"/>
          <w:highlight w:val="white"/>
        </w:rPr>
        <w:t xml:space="preserve"> no hospital </w:t>
      </w:r>
      <w:proofErr w:type="spellStart"/>
      <w:r>
        <w:rPr>
          <w:rFonts w:ascii="Arial" w:eastAsia="Arial" w:hAnsi="Arial" w:cs="Arial"/>
          <w:highlight w:val="white"/>
        </w:rPr>
        <w:t>veterinário</w:t>
      </w:r>
      <w:proofErr w:type="spellEnd"/>
      <w:r>
        <w:rPr>
          <w:rFonts w:ascii="Arial" w:eastAsia="Arial" w:hAnsi="Arial" w:cs="Arial"/>
          <w:highlight w:val="white"/>
        </w:rPr>
        <w:t xml:space="preserve"> de Uberaba-MG. </w:t>
      </w:r>
      <w:r>
        <w:rPr>
          <w:rFonts w:ascii="Arial" w:eastAsia="Arial" w:hAnsi="Arial" w:cs="Arial"/>
          <w:i/>
          <w:highlight w:val="white"/>
        </w:rPr>
        <w:t xml:space="preserve">Nucleus </w:t>
      </w:r>
      <w:proofErr w:type="spellStart"/>
      <w:r>
        <w:rPr>
          <w:rFonts w:ascii="Arial" w:eastAsia="Arial" w:hAnsi="Arial" w:cs="Arial"/>
          <w:i/>
          <w:highlight w:val="white"/>
        </w:rPr>
        <w:t>Animalium</w:t>
      </w:r>
      <w:proofErr w:type="spellEnd"/>
      <w:r>
        <w:rPr>
          <w:rFonts w:ascii="Arial" w:eastAsia="Arial" w:hAnsi="Arial" w:cs="Arial"/>
          <w:highlight w:val="white"/>
        </w:rPr>
        <w:t>, 9(1), 109-118.</w:t>
      </w:r>
    </w:p>
    <w:p w14:paraId="0D6703CC"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Villatoro, A. J., et al. (2015). Use of adipose-derived mesenchymal stem cells in keratoconjunctivitis sicca in a canine model. </w:t>
      </w:r>
      <w:r>
        <w:rPr>
          <w:rFonts w:ascii="Arial" w:eastAsia="Arial" w:hAnsi="Arial" w:cs="Arial"/>
          <w:i/>
          <w:highlight w:val="white"/>
        </w:rPr>
        <w:t>BioMed Research International</w:t>
      </w:r>
      <w:r>
        <w:rPr>
          <w:rFonts w:ascii="Arial" w:eastAsia="Arial" w:hAnsi="Arial" w:cs="Arial"/>
          <w:highlight w:val="white"/>
        </w:rPr>
        <w:t>, 2015(1), 527926.</w:t>
      </w:r>
    </w:p>
    <w:p w14:paraId="44095EFC"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Sgrignoli, M. R., et al. (2019). Reduction in the inflammatory markers CD4, IL-1, IL-6 and TNFα in dogs with keratoconjunctivitis sicca treated topically with mesenchymal stem cells. </w:t>
      </w:r>
      <w:r>
        <w:rPr>
          <w:rFonts w:ascii="Arial" w:eastAsia="Arial" w:hAnsi="Arial" w:cs="Arial"/>
          <w:i/>
          <w:highlight w:val="white"/>
        </w:rPr>
        <w:t>Stem Cell Research</w:t>
      </w:r>
      <w:r>
        <w:rPr>
          <w:rFonts w:ascii="Arial" w:eastAsia="Arial" w:hAnsi="Arial" w:cs="Arial"/>
          <w:highlight w:val="white"/>
        </w:rPr>
        <w:t>, 39, 101525.</w:t>
      </w:r>
    </w:p>
    <w:p w14:paraId="368DB407" w14:textId="77777777" w:rsidR="00F802FB" w:rsidRDefault="00762EF3">
      <w:pPr>
        <w:pStyle w:val="LO-normal"/>
        <w:numPr>
          <w:ilvl w:val="0"/>
          <w:numId w:val="1"/>
        </w:numPr>
        <w:rPr>
          <w:rFonts w:ascii="Roboto" w:eastAsia="Roboto" w:hAnsi="Roboto" w:cs="Roboto"/>
          <w:highlight w:val="white"/>
        </w:rPr>
      </w:pPr>
      <w:r>
        <w:rPr>
          <w:rFonts w:ascii="Arial" w:eastAsia="Arial" w:hAnsi="Arial" w:cs="Arial"/>
          <w:highlight w:val="white"/>
        </w:rPr>
        <w:t xml:space="preserve">Palafox-Herrera, P., et al. (2023). Use of mesenchymal stem cells in corneal ulcers in dogs: A case report. </w:t>
      </w:r>
      <w:r>
        <w:rPr>
          <w:rFonts w:ascii="Arial" w:eastAsia="Arial" w:hAnsi="Arial" w:cs="Arial"/>
          <w:i/>
          <w:highlight w:val="white"/>
        </w:rPr>
        <w:t>Mathews Journal of Veterinary Science</w:t>
      </w:r>
      <w:r>
        <w:rPr>
          <w:rFonts w:ascii="Arial" w:eastAsia="Arial" w:hAnsi="Arial" w:cs="Arial"/>
          <w:highlight w:val="white"/>
        </w:rPr>
        <w:t>, 7(2), 1-5.</w:t>
      </w:r>
    </w:p>
    <w:p w14:paraId="75403925" w14:textId="77777777" w:rsidR="00F802FB" w:rsidRDefault="00762EF3">
      <w:pPr>
        <w:pStyle w:val="LO-normal"/>
        <w:numPr>
          <w:ilvl w:val="0"/>
          <w:numId w:val="1"/>
        </w:numPr>
        <w:rPr>
          <w:rFonts w:ascii="Roboto" w:eastAsia="Roboto" w:hAnsi="Roboto" w:cs="Roboto"/>
          <w:highlight w:val="white"/>
        </w:rPr>
      </w:pPr>
      <w:proofErr w:type="spellStart"/>
      <w:r>
        <w:rPr>
          <w:rFonts w:ascii="Arial" w:eastAsia="Arial" w:hAnsi="Arial" w:cs="Arial"/>
          <w:highlight w:val="white"/>
        </w:rPr>
        <w:t>Valceva</w:t>
      </w:r>
      <w:proofErr w:type="spellEnd"/>
      <w:r>
        <w:rPr>
          <w:rFonts w:ascii="Arial" w:eastAsia="Arial" w:hAnsi="Arial" w:cs="Arial"/>
          <w:highlight w:val="white"/>
        </w:rPr>
        <w:t xml:space="preserve">, A. N., et al. (2024). Subconjunctival Use of Mesenchymal Stem Cells for the Treatment of Canine Ulcerative Keratitis. </w:t>
      </w:r>
      <w:r>
        <w:rPr>
          <w:rFonts w:ascii="Arial" w:eastAsia="Arial" w:hAnsi="Arial" w:cs="Arial"/>
          <w:i/>
          <w:highlight w:val="white"/>
        </w:rPr>
        <w:t xml:space="preserve">Opera </w:t>
      </w:r>
      <w:proofErr w:type="spellStart"/>
      <w:r>
        <w:rPr>
          <w:rFonts w:ascii="Arial" w:eastAsia="Arial" w:hAnsi="Arial" w:cs="Arial"/>
          <w:i/>
          <w:highlight w:val="white"/>
        </w:rPr>
        <w:t>Medica</w:t>
      </w:r>
      <w:proofErr w:type="spellEnd"/>
      <w:r>
        <w:rPr>
          <w:rFonts w:ascii="Arial" w:eastAsia="Arial" w:hAnsi="Arial" w:cs="Arial"/>
          <w:i/>
          <w:highlight w:val="white"/>
        </w:rPr>
        <w:t xml:space="preserve"> et </w:t>
      </w:r>
      <w:proofErr w:type="spellStart"/>
      <w:r>
        <w:rPr>
          <w:rFonts w:ascii="Arial" w:eastAsia="Arial" w:hAnsi="Arial" w:cs="Arial"/>
          <w:i/>
          <w:highlight w:val="white"/>
        </w:rPr>
        <w:t>Physiologica</w:t>
      </w:r>
      <w:proofErr w:type="spellEnd"/>
      <w:r>
        <w:rPr>
          <w:rFonts w:ascii="Arial" w:eastAsia="Arial" w:hAnsi="Arial" w:cs="Arial"/>
          <w:highlight w:val="white"/>
        </w:rPr>
        <w:t>, 11(1), 94-102.</w:t>
      </w:r>
    </w:p>
    <w:p w14:paraId="3BDD4105" w14:textId="6691C7A2" w:rsidR="00F802FB" w:rsidRPr="007353A1" w:rsidRDefault="00762EF3">
      <w:pPr>
        <w:pStyle w:val="LO-normal"/>
        <w:numPr>
          <w:ilvl w:val="0"/>
          <w:numId w:val="1"/>
        </w:numPr>
        <w:rPr>
          <w:rFonts w:ascii="Roboto" w:eastAsia="Roboto" w:hAnsi="Roboto" w:cs="Roboto"/>
          <w:highlight w:val="white"/>
        </w:rPr>
      </w:pPr>
      <w:proofErr w:type="spellStart"/>
      <w:r>
        <w:rPr>
          <w:rFonts w:ascii="Arial" w:eastAsia="Arial" w:hAnsi="Arial" w:cs="Arial"/>
          <w:highlight w:val="white"/>
        </w:rPr>
        <w:t>Agorogiannis</w:t>
      </w:r>
      <w:proofErr w:type="spellEnd"/>
      <w:r>
        <w:rPr>
          <w:rFonts w:ascii="Arial" w:eastAsia="Arial" w:hAnsi="Arial" w:cs="Arial"/>
          <w:highlight w:val="white"/>
        </w:rPr>
        <w:t xml:space="preserve">, G. I., et al. (2011). Topical application of autologous adipose-derived mesenchymal stem cells (MSCs) for persistent sterile corneal epithelial defect. </w:t>
      </w:r>
      <w:r>
        <w:rPr>
          <w:rFonts w:ascii="Arial" w:eastAsia="Arial" w:hAnsi="Arial" w:cs="Arial"/>
          <w:i/>
          <w:highlight w:val="white"/>
        </w:rPr>
        <w:t>Graefe's Archive for Clinical and Experimental Ophthalmology</w:t>
      </w:r>
      <w:r>
        <w:rPr>
          <w:rFonts w:ascii="Arial" w:eastAsia="Arial" w:hAnsi="Arial" w:cs="Arial"/>
          <w:highlight w:val="white"/>
        </w:rPr>
        <w:t xml:space="preserve">, 250(3), 455-457. </w:t>
      </w:r>
    </w:p>
    <w:p w14:paraId="01A46CAB" w14:textId="2B34E1D0" w:rsidR="007353A1" w:rsidRPr="007353A1" w:rsidRDefault="007353A1">
      <w:pPr>
        <w:pStyle w:val="LO-normal"/>
        <w:numPr>
          <w:ilvl w:val="0"/>
          <w:numId w:val="1"/>
        </w:numPr>
        <w:rPr>
          <w:rFonts w:ascii="Roboto" w:eastAsia="Roboto" w:hAnsi="Roboto" w:cs="Roboto"/>
          <w:highlight w:val="yellow"/>
        </w:rPr>
      </w:pPr>
      <w:r w:rsidRPr="007353A1">
        <w:rPr>
          <w:rFonts w:ascii="Roboto" w:eastAsia="Roboto" w:hAnsi="Roboto" w:cs="Roboto"/>
          <w:highlight w:val="yellow"/>
        </w:rPr>
        <w:t xml:space="preserve">Iqbal, Z., </w:t>
      </w:r>
      <w:proofErr w:type="spellStart"/>
      <w:r w:rsidRPr="007353A1">
        <w:rPr>
          <w:rFonts w:ascii="Roboto" w:eastAsia="Roboto" w:hAnsi="Roboto" w:cs="Roboto"/>
          <w:highlight w:val="yellow"/>
        </w:rPr>
        <w:t>Salamah</w:t>
      </w:r>
      <w:proofErr w:type="spellEnd"/>
      <w:r w:rsidRPr="007353A1">
        <w:rPr>
          <w:rFonts w:ascii="Roboto" w:eastAsia="Roboto" w:hAnsi="Roboto" w:cs="Roboto"/>
          <w:highlight w:val="yellow"/>
        </w:rPr>
        <w:t xml:space="preserve"> </w:t>
      </w:r>
      <w:proofErr w:type="spellStart"/>
      <w:r w:rsidRPr="007353A1">
        <w:rPr>
          <w:rFonts w:ascii="Roboto" w:eastAsia="Roboto" w:hAnsi="Roboto" w:cs="Roboto"/>
          <w:highlight w:val="yellow"/>
        </w:rPr>
        <w:t>Thiyab</w:t>
      </w:r>
      <w:proofErr w:type="spellEnd"/>
      <w:r w:rsidRPr="007353A1">
        <w:rPr>
          <w:rFonts w:ascii="Roboto" w:eastAsia="Roboto" w:hAnsi="Roboto" w:cs="Roboto"/>
          <w:highlight w:val="yellow"/>
        </w:rPr>
        <w:t xml:space="preserve"> </w:t>
      </w:r>
      <w:proofErr w:type="spellStart"/>
      <w:r w:rsidRPr="007353A1">
        <w:rPr>
          <w:rFonts w:ascii="Roboto" w:eastAsia="Roboto" w:hAnsi="Roboto" w:cs="Roboto"/>
          <w:highlight w:val="yellow"/>
        </w:rPr>
        <w:t>Alanazi</w:t>
      </w:r>
      <w:proofErr w:type="spellEnd"/>
      <w:r w:rsidRPr="007353A1">
        <w:rPr>
          <w:rFonts w:ascii="Roboto" w:eastAsia="Roboto" w:hAnsi="Roboto" w:cs="Roboto"/>
          <w:highlight w:val="yellow"/>
        </w:rPr>
        <w:t xml:space="preserve">, W., Ahmed A. </w:t>
      </w:r>
      <w:proofErr w:type="spellStart"/>
      <w:r w:rsidRPr="007353A1">
        <w:rPr>
          <w:rFonts w:ascii="Roboto" w:eastAsia="Roboto" w:hAnsi="Roboto" w:cs="Roboto"/>
          <w:highlight w:val="yellow"/>
        </w:rPr>
        <w:t>Albalawi</w:t>
      </w:r>
      <w:proofErr w:type="spellEnd"/>
      <w:r w:rsidRPr="007353A1">
        <w:rPr>
          <w:rFonts w:ascii="Roboto" w:eastAsia="Roboto" w:hAnsi="Roboto" w:cs="Roboto"/>
          <w:highlight w:val="yellow"/>
        </w:rPr>
        <w:t xml:space="preserve">, T., Mohammad A. </w:t>
      </w:r>
      <w:proofErr w:type="spellStart"/>
      <w:r w:rsidRPr="007353A1">
        <w:rPr>
          <w:rFonts w:ascii="Roboto" w:eastAsia="Roboto" w:hAnsi="Roboto" w:cs="Roboto"/>
          <w:highlight w:val="yellow"/>
        </w:rPr>
        <w:t>Alrawaili</w:t>
      </w:r>
      <w:proofErr w:type="spellEnd"/>
      <w:r w:rsidRPr="007353A1">
        <w:rPr>
          <w:rFonts w:ascii="Roboto" w:eastAsia="Roboto" w:hAnsi="Roboto" w:cs="Roboto"/>
          <w:highlight w:val="yellow"/>
        </w:rPr>
        <w:t xml:space="preserve">, A., &amp; </w:t>
      </w:r>
      <w:proofErr w:type="spellStart"/>
      <w:r w:rsidRPr="007353A1">
        <w:rPr>
          <w:rFonts w:ascii="Roboto" w:eastAsia="Roboto" w:hAnsi="Roboto" w:cs="Roboto"/>
          <w:highlight w:val="yellow"/>
        </w:rPr>
        <w:t>Salamah</w:t>
      </w:r>
      <w:proofErr w:type="spellEnd"/>
      <w:r w:rsidRPr="007353A1">
        <w:rPr>
          <w:rFonts w:ascii="Roboto" w:eastAsia="Roboto" w:hAnsi="Roboto" w:cs="Roboto"/>
          <w:highlight w:val="yellow"/>
        </w:rPr>
        <w:t xml:space="preserve"> T. </w:t>
      </w:r>
      <w:proofErr w:type="spellStart"/>
      <w:r w:rsidRPr="007353A1">
        <w:rPr>
          <w:rFonts w:ascii="Roboto" w:eastAsia="Roboto" w:hAnsi="Roboto" w:cs="Roboto"/>
          <w:highlight w:val="yellow"/>
        </w:rPr>
        <w:t>Alanazi</w:t>
      </w:r>
      <w:proofErr w:type="spellEnd"/>
      <w:r w:rsidRPr="007353A1">
        <w:rPr>
          <w:rFonts w:ascii="Roboto" w:eastAsia="Roboto" w:hAnsi="Roboto" w:cs="Roboto"/>
          <w:highlight w:val="yellow"/>
        </w:rPr>
        <w:t>, A. (2022). Updates in Different Types of Keratitis: A Review. </w:t>
      </w:r>
      <w:r w:rsidRPr="007353A1">
        <w:rPr>
          <w:rFonts w:ascii="Roboto" w:eastAsia="Roboto" w:hAnsi="Roboto" w:cs="Roboto"/>
          <w:i/>
          <w:iCs/>
          <w:highlight w:val="yellow"/>
        </w:rPr>
        <w:t>Journal of Pharmaceutical Research International</w:t>
      </w:r>
      <w:r w:rsidRPr="007353A1">
        <w:rPr>
          <w:rFonts w:ascii="Roboto" w:eastAsia="Roboto" w:hAnsi="Roboto" w:cs="Roboto"/>
          <w:highlight w:val="yellow"/>
        </w:rPr>
        <w:t>, </w:t>
      </w:r>
      <w:r w:rsidRPr="007353A1">
        <w:rPr>
          <w:rFonts w:ascii="Roboto" w:eastAsia="Roboto" w:hAnsi="Roboto" w:cs="Roboto"/>
          <w:i/>
          <w:iCs/>
          <w:highlight w:val="yellow"/>
        </w:rPr>
        <w:t>34</w:t>
      </w:r>
      <w:r w:rsidRPr="007353A1">
        <w:rPr>
          <w:rFonts w:ascii="Roboto" w:eastAsia="Roboto" w:hAnsi="Roboto" w:cs="Roboto"/>
          <w:highlight w:val="yellow"/>
        </w:rPr>
        <w:t>(28A), 12–21.</w:t>
      </w:r>
    </w:p>
    <w:p w14:paraId="32142AF8" w14:textId="77777777" w:rsidR="00F802FB" w:rsidRDefault="00F802FB">
      <w:pPr>
        <w:pStyle w:val="LO-normal"/>
        <w:ind w:left="360" w:hanging="360"/>
        <w:jc w:val="both"/>
        <w:rPr>
          <w:rFonts w:ascii="Arial" w:eastAsia="Arial" w:hAnsi="Arial" w:cs="Arial"/>
          <w:color w:val="000000"/>
        </w:rPr>
      </w:pPr>
    </w:p>
    <w:sectPr w:rsidR="00F802FB" w:rsidSect="00F71116">
      <w:type w:val="continuous"/>
      <w:pgSz w:w="12240" w:h="15840"/>
      <w:pgMar w:top="1440" w:right="2016" w:bottom="2016" w:left="2016" w:header="720"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1F9A4" w14:textId="77777777" w:rsidR="009733BA" w:rsidRDefault="009733BA">
      <w:r>
        <w:separator/>
      </w:r>
    </w:p>
  </w:endnote>
  <w:endnote w:type="continuationSeparator" w:id="0">
    <w:p w14:paraId="6E74FEF1" w14:textId="77777777" w:rsidR="009733BA" w:rsidRDefault="00973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Neue">
    <w:altName w:val="SimSun"/>
    <w:charset w:val="00"/>
    <w:family w:val="auto"/>
    <w:pitch w:val="default"/>
    <w:embedRegular r:id="rId1" w:fontKey="{C85E62DD-03AE-43F1-B18E-2BAFF680C08C}"/>
    <w:embedBold r:id="rId2" w:fontKey="{ADA7D029-81BA-4107-8CCD-EEFF0B97933D}"/>
    <w:embedItalic r:id="rId3" w:fontKey="{4F20CEAF-2AF1-416E-8165-F39854F057A1}"/>
  </w:font>
  <w:font w:name="Helvetica">
    <w:panose1 w:val="020B0604020202020204"/>
    <w:charset w:val="00"/>
    <w:family w:val="swiss"/>
    <w:pitch w:val="variable"/>
    <w:sig w:usb0="E0002EFF" w:usb1="C000785B" w:usb2="00000009" w:usb3="00000000" w:csb0="000001FF" w:csb1="00000000"/>
    <w:embedRegular r:id="rId4" w:fontKey="{9637DD42-12D2-4294-87E4-F19551DFDEEE}"/>
    <w:embedItalic r:id="rId5" w:fontKey="{C777EFD1-9302-415A-BD70-6B3FB7FF3EF1}"/>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6" w:fontKey="{D22DAE9B-F6C0-4CEF-BA59-3B0AADA59DE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7" w:fontKey="{DE3DB42A-B7DD-40E8-ACF2-0CC16FC6FC25}"/>
    <w:embedItalic r:id="rId8" w:fontKey="{43BE20E1-C7BB-432C-B36B-C227A8D807E8}"/>
  </w:font>
  <w:font w:name="Roboto">
    <w:charset w:val="00"/>
    <w:family w:val="auto"/>
    <w:pitch w:val="variable"/>
    <w:sig w:usb0="E0000AFF" w:usb1="5000217F" w:usb2="00000021" w:usb3="00000000" w:csb0="0000019F" w:csb1="00000000"/>
    <w:embedRegular r:id="rId9" w:fontKey="{FAA1C26A-195C-4AA2-9731-296FD557C171}"/>
    <w:embedItalic r:id="rId10" w:fontKey="{298D9FAC-6305-4AC1-A133-788AA6571ACF}"/>
  </w:font>
  <w:font w:name="Cambria">
    <w:panose1 w:val="02040503050406030204"/>
    <w:charset w:val="00"/>
    <w:family w:val="roman"/>
    <w:pitch w:val="variable"/>
    <w:sig w:usb0="E00006FF" w:usb1="420024FF" w:usb2="02000000" w:usb3="00000000" w:csb0="0000019F" w:csb1="00000000"/>
    <w:embedRegular r:id="rId11" w:fontKey="{42DAEC31-589F-452E-8010-D0206308907E}"/>
  </w:font>
  <w:font w:name="Calibri">
    <w:panose1 w:val="020F0502020204030204"/>
    <w:charset w:val="00"/>
    <w:family w:val="swiss"/>
    <w:pitch w:val="variable"/>
    <w:sig w:usb0="E1002AFF" w:usb1="4000ACFF" w:usb2="00000009" w:usb3="00000000" w:csb0="000001FF" w:csb1="00000000"/>
    <w:embedRegular r:id="rId12" w:fontKey="{15DD0E67-DF29-40AC-B1B0-13CFD01CB0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7F6E6" w14:textId="77777777" w:rsidR="00F802FB" w:rsidRDefault="00762EF3">
    <w:pPr>
      <w:pStyle w:val="LO-normal"/>
      <w:tabs>
        <w:tab w:val="center" w:pos="4320"/>
        <w:tab w:val="right" w:pos="8640"/>
      </w:tabs>
      <w:rPr>
        <w:color w:val="000000"/>
      </w:rPr>
    </w:pPr>
    <w:r>
      <w:rPr>
        <w:color w:val="000000"/>
      </w:rPr>
      <w:t xml:space="preserve">* Tel.: +xx </w:t>
    </w:r>
    <w:proofErr w:type="spellStart"/>
    <w:r>
      <w:rPr>
        <w:color w:val="000000"/>
      </w:rPr>
      <w:t>xx</w:t>
    </w:r>
    <w:proofErr w:type="spellEnd"/>
    <w:r>
      <w:rPr>
        <w:color w:val="000000"/>
      </w:rPr>
      <w:t xml:space="preserve"> 265xxxxx; fax: +xx aa 462xxxxx.</w:t>
    </w:r>
  </w:p>
  <w:p w14:paraId="4AC7A222" w14:textId="77777777" w:rsidR="00F802FB" w:rsidRDefault="00762EF3">
    <w:pPr>
      <w:pStyle w:val="LO-normal"/>
      <w:tabs>
        <w:tab w:val="center" w:pos="4320"/>
        <w:tab w:val="right" w:pos="8640"/>
      </w:tabs>
      <w:rPr>
        <w:color w:val="000000"/>
      </w:rPr>
    </w:pPr>
    <w:r>
      <w:rPr>
        <w:color w:val="000000"/>
      </w:rPr>
      <w:t>E-mail address: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4088F" w14:textId="77777777" w:rsidR="00F71116" w:rsidRDefault="00F711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B2C4E" w14:textId="77777777" w:rsidR="00F802FB" w:rsidRDefault="00762EF3">
    <w:pPr>
      <w:pStyle w:val="LO-normal"/>
      <w:tabs>
        <w:tab w:val="center" w:pos="4320"/>
        <w:tab w:val="right" w:pos="8640"/>
      </w:tabs>
      <w:rPr>
        <w:color w:val="000000"/>
      </w:rPr>
    </w:pPr>
    <w:r>
      <w:rPr>
        <w:color w:val="000000"/>
      </w:rPr>
      <w:t xml:space="preserve">* Tel.: +xx </w:t>
    </w:r>
    <w:proofErr w:type="spellStart"/>
    <w:r>
      <w:rPr>
        <w:color w:val="000000"/>
      </w:rPr>
      <w:t>xx</w:t>
    </w:r>
    <w:proofErr w:type="spellEnd"/>
    <w:r>
      <w:rPr>
        <w:color w:val="000000"/>
      </w:rPr>
      <w:t xml:space="preserve"> 265xxxxx; fax: +xx aa 462xxxxx.</w:t>
    </w:r>
  </w:p>
  <w:p w14:paraId="4E7F68BA" w14:textId="77777777" w:rsidR="00F802FB" w:rsidRDefault="00762EF3">
    <w:pPr>
      <w:pStyle w:val="LO-normal"/>
      <w:tabs>
        <w:tab w:val="center" w:pos="4320"/>
        <w:tab w:val="right" w:pos="8640"/>
      </w:tabs>
      <w:rPr>
        <w:color w:val="000000"/>
      </w:rPr>
    </w:pPr>
    <w:r>
      <w:rPr>
        <w:color w:val="000000"/>
      </w:rPr>
      <w:t>E-mail address: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40524" w14:textId="77777777" w:rsidR="009733BA" w:rsidRDefault="009733BA">
      <w:r>
        <w:separator/>
      </w:r>
    </w:p>
  </w:footnote>
  <w:footnote w:type="continuationSeparator" w:id="0">
    <w:p w14:paraId="7A03166C" w14:textId="77777777" w:rsidR="009733BA" w:rsidRDefault="00973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6208" w14:textId="58361C8B" w:rsidR="00F802FB" w:rsidRDefault="00F71116">
    <w:pPr>
      <w:pStyle w:val="LO-normal"/>
      <w:tabs>
        <w:tab w:val="center" w:pos="4320"/>
        <w:tab w:val="right" w:pos="8640"/>
      </w:tabs>
      <w:rPr>
        <w:color w:val="000000"/>
      </w:rPr>
    </w:pPr>
    <w:r>
      <w:rPr>
        <w:noProof/>
      </w:rPr>
      <w:pict w14:anchorId="7345CF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1955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87CAC" w14:textId="37518F3B" w:rsidR="00F802FB" w:rsidRDefault="00F71116">
    <w:pPr>
      <w:pStyle w:val="LO-normal"/>
      <w:tabs>
        <w:tab w:val="center" w:pos="4320"/>
        <w:tab w:val="right" w:pos="8640"/>
      </w:tabs>
      <w:rPr>
        <w:color w:val="000000"/>
      </w:rPr>
    </w:pPr>
    <w:r>
      <w:rPr>
        <w:noProof/>
      </w:rPr>
      <w:pict w14:anchorId="6B084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1955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93F12" w14:textId="3F0DCA37" w:rsidR="00F802FB" w:rsidRDefault="00F71116">
    <w:pPr>
      <w:pStyle w:val="LO-normal"/>
      <w:tabs>
        <w:tab w:val="center" w:pos="4320"/>
        <w:tab w:val="right" w:pos="8640"/>
      </w:tabs>
      <w:rPr>
        <w:color w:val="000000"/>
      </w:rPr>
    </w:pPr>
    <w:r>
      <w:rPr>
        <w:noProof/>
      </w:rPr>
      <w:pict w14:anchorId="4C0A37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19551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B3BB3"/>
    <w:multiLevelType w:val="multilevel"/>
    <w:tmpl w:val="E25C9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yMjKxtDA1szAzMDJX0lEKTi0uzszPAykwrAUA2CH8cSwAAAA="/>
  </w:docVars>
  <w:rsids>
    <w:rsidRoot w:val="00F802FB"/>
    <w:rsid w:val="000649D8"/>
    <w:rsid w:val="001E7B41"/>
    <w:rsid w:val="00205C14"/>
    <w:rsid w:val="00282CF0"/>
    <w:rsid w:val="0029139E"/>
    <w:rsid w:val="003945E8"/>
    <w:rsid w:val="004638BD"/>
    <w:rsid w:val="00655A5A"/>
    <w:rsid w:val="007353A1"/>
    <w:rsid w:val="00762EF3"/>
    <w:rsid w:val="007C4538"/>
    <w:rsid w:val="009733BA"/>
    <w:rsid w:val="009B74F5"/>
    <w:rsid w:val="00AB76A1"/>
    <w:rsid w:val="00B91A39"/>
    <w:rsid w:val="00D055A3"/>
    <w:rsid w:val="00F4599A"/>
    <w:rsid w:val="00F71116"/>
    <w:rsid w:val="00F80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A2546B"/>
  <w15:docId w15:val="{50CA474D-C089-4FDD-B821-BF6B25778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lang w:eastAsia="zh-CN" w:bidi="hi-IN"/>
    </w:rPr>
  </w:style>
  <w:style w:type="paragraph" w:styleId="Heading1">
    <w:name w:val="heading 1"/>
    <w:basedOn w:val="LO-normal"/>
    <w:next w:val="LO-normal"/>
    <w:uiPriority w:val="9"/>
    <w:qFormat/>
    <w:rsid w:val="00423789"/>
    <w:pPr>
      <w:keepNext/>
      <w:spacing w:before="240" w:after="60"/>
      <w:outlineLvl w:val="0"/>
    </w:pPr>
    <w:rPr>
      <w:rFonts w:ascii="Arial" w:hAnsi="Arial"/>
      <w:b/>
      <w:kern w:val="2"/>
      <w:sz w:val="28"/>
    </w:rPr>
  </w:style>
  <w:style w:type="paragraph" w:styleId="Heading2">
    <w:name w:val="heading 2"/>
    <w:basedOn w:val="LO-normal"/>
    <w:next w:val="LO-normal"/>
    <w:uiPriority w:val="9"/>
    <w:semiHidden/>
    <w:unhideWhenUsed/>
    <w:qFormat/>
    <w:pPr>
      <w:keepNext/>
      <w:keepLines/>
      <w:spacing w:before="360" w:after="80"/>
      <w:outlineLvl w:val="1"/>
    </w:pPr>
    <w:rPr>
      <w:b/>
      <w:sz w:val="36"/>
      <w:szCs w:val="36"/>
    </w:rPr>
  </w:style>
  <w:style w:type="paragraph" w:styleId="Heading3">
    <w:name w:val="heading 3"/>
    <w:basedOn w:val="LO-normal"/>
    <w:next w:val="LO-normal"/>
    <w:uiPriority w:val="9"/>
    <w:semiHidden/>
    <w:unhideWhenUsed/>
    <w:qFormat/>
    <w:pPr>
      <w:keepNext/>
      <w:keepLines/>
      <w:spacing w:before="280" w:after="80"/>
      <w:outlineLvl w:val="2"/>
    </w:pPr>
    <w:rPr>
      <w:b/>
      <w:sz w:val="28"/>
      <w:szCs w:val="28"/>
    </w:rPr>
  </w:style>
  <w:style w:type="paragraph" w:styleId="Heading4">
    <w:name w:val="heading 4"/>
    <w:basedOn w:val="LO-normal"/>
    <w:next w:val="LO-normal"/>
    <w:uiPriority w:val="9"/>
    <w:semiHidden/>
    <w:unhideWhenUsed/>
    <w:qFormat/>
    <w:pPr>
      <w:keepNext/>
      <w:keepLines/>
      <w:spacing w:before="240" w:after="40"/>
      <w:outlineLvl w:val="3"/>
    </w:pPr>
    <w:rPr>
      <w:b/>
      <w:sz w:val="24"/>
      <w:szCs w:val="24"/>
    </w:rPr>
  </w:style>
  <w:style w:type="paragraph" w:styleId="Heading5">
    <w:name w:val="heading 5"/>
    <w:basedOn w:val="LO-normal"/>
    <w:next w:val="LO-normal"/>
    <w:uiPriority w:val="9"/>
    <w:semiHidden/>
    <w:unhideWhenUsed/>
    <w:qFormat/>
    <w:pPr>
      <w:keepNext/>
      <w:keepLines/>
      <w:spacing w:before="220" w:after="40"/>
      <w:outlineLvl w:val="4"/>
    </w:pPr>
    <w:rPr>
      <w:b/>
      <w:sz w:val="22"/>
      <w:szCs w:val="22"/>
    </w:rPr>
  </w:style>
  <w:style w:type="paragraph" w:styleId="Heading6">
    <w:name w:val="heading 6"/>
    <w:basedOn w:val="LO-normal"/>
    <w:next w:val="LO-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LO-normal"/>
    <w:next w:val="LO-normal"/>
    <w:uiPriority w:val="10"/>
    <w:qFormat/>
    <w:rsid w:val="00423789"/>
    <w:pPr>
      <w:spacing w:after="360"/>
      <w:jc w:val="right"/>
    </w:pPr>
    <w:rPr>
      <w:b/>
      <w:kern w:val="2"/>
      <w:sz w:val="36"/>
    </w:rPr>
  </w:style>
  <w:style w:type="character" w:customStyle="1" w:styleId="Bold">
    <w:name w:val="Bold"/>
    <w:qFormat/>
    <w:rsid w:val="00423789"/>
    <w:rPr>
      <w:b/>
    </w:rPr>
  </w:style>
  <w:style w:type="character" w:customStyle="1" w:styleId="Italic">
    <w:name w:val="Italic"/>
    <w:qFormat/>
    <w:rsid w:val="00423789"/>
    <w:rPr>
      <w:i/>
    </w:rPr>
  </w:style>
  <w:style w:type="character" w:customStyle="1" w:styleId="Underline">
    <w:name w:val="Underline"/>
    <w:qFormat/>
    <w:rsid w:val="00423789"/>
    <w:rPr>
      <w:u w:val="single"/>
    </w:rPr>
  </w:style>
  <w:style w:type="character" w:customStyle="1" w:styleId="Subscript">
    <w:name w:val="Subscript"/>
    <w:qFormat/>
    <w:rsid w:val="00423789"/>
    <w:rPr>
      <w:vertAlign w:val="subscript"/>
    </w:rPr>
  </w:style>
  <w:style w:type="character" w:customStyle="1" w:styleId="Superscript">
    <w:name w:val="Superscript"/>
    <w:qFormat/>
    <w:rsid w:val="00423789"/>
    <w:rPr>
      <w:vertAlign w:val="superscript"/>
    </w:rPr>
  </w:style>
  <w:style w:type="character" w:customStyle="1" w:styleId="Symbol">
    <w:name w:val="Symbol"/>
    <w:qFormat/>
    <w:rsid w:val="00423789"/>
    <w:rPr>
      <w:rFonts w:ascii="Symbol" w:hAnsi="Symbol"/>
    </w:rPr>
  </w:style>
  <w:style w:type="character" w:customStyle="1" w:styleId="BoldItal">
    <w:name w:val="BoldItal"/>
    <w:basedOn w:val="DefaultParagraphFont"/>
    <w:qFormat/>
    <w:rsid w:val="00423789"/>
    <w:rPr>
      <w:b/>
      <w:i/>
    </w:rPr>
  </w:style>
  <w:style w:type="character" w:customStyle="1" w:styleId="SubItal">
    <w:name w:val="SubItal"/>
    <w:qFormat/>
    <w:rsid w:val="00423789"/>
    <w:rPr>
      <w:i/>
      <w:vertAlign w:val="subscript"/>
    </w:rPr>
  </w:style>
  <w:style w:type="character" w:customStyle="1" w:styleId="SuperItal">
    <w:name w:val="SuperItal"/>
    <w:qFormat/>
    <w:rsid w:val="00423789"/>
    <w:rPr>
      <w:i/>
      <w:vertAlign w:val="superscript"/>
    </w:rPr>
  </w:style>
  <w:style w:type="character" w:customStyle="1" w:styleId="SymItal">
    <w:name w:val="SymItal"/>
    <w:qFormat/>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character" w:customStyle="1" w:styleId="BodyText2Char">
    <w:name w:val="Body Text 2 Char"/>
    <w:basedOn w:val="DefaultParagraphFont"/>
    <w:link w:val="BodyText2"/>
    <w:qFormat/>
    <w:rsid w:val="00EF7FD8"/>
    <w:rPr>
      <w:rFonts w:ascii="Helvetica" w:hAnsi="Helvetica"/>
    </w:rPr>
  </w:style>
  <w:style w:type="character" w:styleId="CommentReference">
    <w:name w:val="annotation reference"/>
    <w:basedOn w:val="DefaultParagraphFont"/>
    <w:uiPriority w:val="99"/>
    <w:unhideWhenUsed/>
    <w:qFormat/>
    <w:rsid w:val="00746E59"/>
    <w:rPr>
      <w:sz w:val="16"/>
      <w:szCs w:val="16"/>
    </w:rPr>
  </w:style>
  <w:style w:type="character" w:customStyle="1" w:styleId="CommentTextChar">
    <w:name w:val="Comment Text Char"/>
    <w:basedOn w:val="DefaultParagraphFont"/>
    <w:link w:val="CommentText"/>
    <w:uiPriority w:val="99"/>
    <w:qFormat/>
    <w:rsid w:val="00746E59"/>
    <w:rPr>
      <w:lang w:val="nb-NO" w:eastAsia="nb-NO"/>
    </w:rPr>
  </w:style>
  <w:style w:type="character" w:customStyle="1" w:styleId="BalloonTextChar">
    <w:name w:val="Balloon Text Char"/>
    <w:basedOn w:val="DefaultParagraphFont"/>
    <w:link w:val="BalloonText"/>
    <w:qFormat/>
    <w:rsid w:val="00746E59"/>
    <w:rPr>
      <w:rFonts w:ascii="Tahoma" w:hAnsi="Tahoma" w:cs="Tahoma"/>
      <w:sz w:val="16"/>
      <w:szCs w:val="16"/>
    </w:rPr>
  </w:style>
  <w:style w:type="character" w:customStyle="1" w:styleId="BodyText3Char">
    <w:name w:val="Body Text 3 Char"/>
    <w:basedOn w:val="DefaultParagraphFont"/>
    <w:link w:val="BodyText3"/>
    <w:qFormat/>
    <w:rsid w:val="00231920"/>
    <w:rPr>
      <w:rFonts w:ascii="Helvetica" w:hAnsi="Helvetica"/>
      <w:sz w:val="16"/>
      <w:szCs w:val="16"/>
    </w:rPr>
  </w:style>
  <w:style w:type="character" w:styleId="LineNumber">
    <w:name w:val="line number"/>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qFormat/>
    <w:rsid w:val="00287E68"/>
    <w:rPr>
      <w:color w:val="605E5C"/>
      <w:shd w:val="clear" w:color="auto" w:fill="E1DFDD"/>
    </w:rPr>
  </w:style>
  <w:style w:type="paragraph" w:customStyle="1" w:styleId="Ttulo">
    <w:name w:val="Título"/>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LO-normal">
    <w:name w:val="LO-normal"/>
    <w:qFormat/>
    <w:rPr>
      <w:lang w:eastAsia="zh-CN" w:bidi="hi-IN"/>
    </w:rPr>
  </w:style>
  <w:style w:type="paragraph" w:customStyle="1" w:styleId="Author">
    <w:name w:val="Author"/>
    <w:basedOn w:val="LO-normal"/>
    <w:qFormat/>
    <w:rsid w:val="00423789"/>
    <w:pPr>
      <w:spacing w:line="280" w:lineRule="exact"/>
      <w:jc w:val="right"/>
    </w:pPr>
    <w:rPr>
      <w:b/>
      <w:sz w:val="24"/>
    </w:rPr>
  </w:style>
  <w:style w:type="paragraph" w:customStyle="1" w:styleId="Affiliation">
    <w:name w:val="Affiliation"/>
    <w:basedOn w:val="LO-normal"/>
    <w:qFormat/>
    <w:rsid w:val="00423789"/>
    <w:pPr>
      <w:spacing w:after="240" w:line="240" w:lineRule="exact"/>
      <w:jc w:val="right"/>
    </w:pPr>
  </w:style>
  <w:style w:type="paragraph" w:customStyle="1" w:styleId="Body">
    <w:name w:val="Body"/>
    <w:basedOn w:val="LO-normal"/>
    <w:qFormat/>
    <w:rsid w:val="00423789"/>
    <w:pPr>
      <w:spacing w:after="240"/>
      <w:jc w:val="both"/>
    </w:pPr>
  </w:style>
  <w:style w:type="paragraph" w:customStyle="1" w:styleId="AbstHead">
    <w:name w:val="Abst Head"/>
    <w:basedOn w:val="MainHead"/>
    <w:qFormat/>
    <w:rsid w:val="00423789"/>
    <w:rPr>
      <w:sz w:val="22"/>
    </w:rPr>
  </w:style>
  <w:style w:type="paragraph" w:customStyle="1" w:styleId="IntroHead">
    <w:name w:val="Intro Head"/>
    <w:basedOn w:val="MainHead"/>
    <w:qFormat/>
    <w:rsid w:val="00423789"/>
    <w:rPr>
      <w:sz w:val="22"/>
    </w:rPr>
  </w:style>
  <w:style w:type="paragraph" w:customStyle="1" w:styleId="PaperNumber">
    <w:name w:val="Paper Number"/>
    <w:basedOn w:val="LO-normal"/>
    <w:qFormat/>
    <w:rsid w:val="00423789"/>
    <w:pPr>
      <w:spacing w:after="280" w:line="280" w:lineRule="exact"/>
      <w:jc w:val="right"/>
    </w:pPr>
    <w:rPr>
      <w:b/>
      <w:sz w:val="28"/>
    </w:rPr>
  </w:style>
  <w:style w:type="paragraph" w:customStyle="1" w:styleId="ConcHead">
    <w:name w:val="Conc Head"/>
    <w:basedOn w:val="MainHead"/>
    <w:qFormat/>
    <w:rsid w:val="00423789"/>
    <w:rPr>
      <w:sz w:val="22"/>
    </w:rPr>
  </w:style>
  <w:style w:type="paragraph" w:customStyle="1" w:styleId="AcknHead">
    <w:name w:val="Ackn Head"/>
    <w:basedOn w:val="MainHead"/>
    <w:qFormat/>
    <w:rsid w:val="00423789"/>
    <w:rPr>
      <w:sz w:val="22"/>
    </w:rPr>
  </w:style>
  <w:style w:type="paragraph" w:customStyle="1" w:styleId="ReferHead">
    <w:name w:val="Refer Head"/>
    <w:basedOn w:val="MainHead"/>
    <w:qFormat/>
    <w:rsid w:val="00423789"/>
    <w:rPr>
      <w:sz w:val="22"/>
    </w:rPr>
  </w:style>
  <w:style w:type="paragraph" w:customStyle="1" w:styleId="AddSrcHead">
    <w:name w:val="AddSrc Head"/>
    <w:basedOn w:val="MainHead"/>
    <w:qFormat/>
    <w:rsid w:val="00423789"/>
    <w:rPr>
      <w:sz w:val="22"/>
    </w:rPr>
  </w:style>
  <w:style w:type="paragraph" w:customStyle="1" w:styleId="DefAcrHead">
    <w:name w:val="DefAcrHead"/>
    <w:basedOn w:val="MainHead"/>
    <w:qFormat/>
    <w:rsid w:val="00423789"/>
    <w:rPr>
      <w:sz w:val="22"/>
    </w:rPr>
  </w:style>
  <w:style w:type="paragraph" w:customStyle="1" w:styleId="Copyright">
    <w:name w:val="Copyright"/>
    <w:basedOn w:val="LO-normal"/>
    <w:qFormat/>
    <w:rsid w:val="00423789"/>
    <w:pPr>
      <w:spacing w:after="960" w:line="200" w:lineRule="exact"/>
    </w:pPr>
    <w:rPr>
      <w:sz w:val="16"/>
    </w:rPr>
  </w:style>
  <w:style w:type="paragraph" w:customStyle="1" w:styleId="Reference">
    <w:name w:val="Reference"/>
    <w:basedOn w:val="Body"/>
    <w:qFormat/>
    <w:rsid w:val="00423789"/>
    <w:pPr>
      <w:spacing w:after="0" w:line="240" w:lineRule="exact"/>
    </w:pPr>
  </w:style>
  <w:style w:type="paragraph" w:customStyle="1" w:styleId="Head1">
    <w:name w:val="Head1"/>
    <w:basedOn w:val="MainHead"/>
    <w:qFormat/>
    <w:rsid w:val="00423789"/>
    <w:rPr>
      <w:sz w:val="22"/>
    </w:rPr>
  </w:style>
  <w:style w:type="paragraph" w:customStyle="1" w:styleId="ContactHead">
    <w:name w:val="Contact Head"/>
    <w:basedOn w:val="MainHead"/>
    <w:qFormat/>
    <w:rsid w:val="00423789"/>
    <w:rPr>
      <w:sz w:val="22"/>
    </w:rPr>
  </w:style>
  <w:style w:type="paragraph" w:customStyle="1" w:styleId="Head3">
    <w:name w:val="Head3"/>
    <w:basedOn w:val="Head2"/>
    <w:qFormat/>
    <w:rsid w:val="00423789"/>
    <w:rPr>
      <w:caps w:val="0"/>
      <w:u w:val="single"/>
    </w:rPr>
  </w:style>
  <w:style w:type="paragraph" w:customStyle="1" w:styleId="Head4">
    <w:name w:val="Head4"/>
    <w:basedOn w:val="Head3"/>
    <w:qFormat/>
    <w:rsid w:val="00423789"/>
    <w:rPr>
      <w:u w:val="none"/>
    </w:rPr>
  </w:style>
  <w:style w:type="paragraph" w:customStyle="1" w:styleId="UnordList">
    <w:name w:val="Unord List"/>
    <w:basedOn w:val="Body"/>
    <w:qFormat/>
    <w:rsid w:val="00423789"/>
    <w:pPr>
      <w:spacing w:after="0"/>
      <w:ind w:left="360" w:hanging="360"/>
    </w:pPr>
  </w:style>
  <w:style w:type="paragraph" w:customStyle="1" w:styleId="OrdList">
    <w:name w:val="Ord List"/>
    <w:basedOn w:val="UnordList"/>
    <w:qFormat/>
    <w:rsid w:val="00423789"/>
    <w:pPr>
      <w:jc w:val="left"/>
    </w:pPr>
  </w:style>
  <w:style w:type="paragraph" w:customStyle="1" w:styleId="Closing1">
    <w:name w:val="Closing1"/>
    <w:basedOn w:val="MainHead"/>
    <w:rsid w:val="00423789"/>
    <w:rPr>
      <w:sz w:val="22"/>
    </w:rPr>
  </w:style>
  <w:style w:type="paragraph" w:customStyle="1" w:styleId="Term">
    <w:name w:val="Term"/>
    <w:basedOn w:val="Body"/>
    <w:qFormat/>
    <w:rsid w:val="00423789"/>
    <w:pPr>
      <w:spacing w:after="0"/>
    </w:pPr>
    <w:rPr>
      <w:b/>
    </w:rPr>
  </w:style>
  <w:style w:type="paragraph" w:customStyle="1" w:styleId="Definition">
    <w:name w:val="Definition"/>
    <w:basedOn w:val="Body"/>
    <w:qFormat/>
    <w:rsid w:val="00423789"/>
  </w:style>
  <w:style w:type="paragraph" w:customStyle="1" w:styleId="Head2">
    <w:name w:val="Head2"/>
    <w:basedOn w:val="LO-normal"/>
    <w:next w:val="Body"/>
    <w:qFormat/>
    <w:rsid w:val="00423789"/>
    <w:pPr>
      <w:keepNext/>
      <w:spacing w:after="240"/>
    </w:pPr>
    <w:rPr>
      <w:caps/>
    </w:rPr>
  </w:style>
  <w:style w:type="paragraph" w:customStyle="1" w:styleId="MainHead">
    <w:name w:val="Main Head"/>
    <w:basedOn w:val="LO-normal"/>
    <w:qFormat/>
    <w:rsid w:val="00423789"/>
    <w:pPr>
      <w:keepNext/>
      <w:spacing w:after="240"/>
    </w:pPr>
    <w:rPr>
      <w:b/>
      <w:caps/>
    </w:rPr>
  </w:style>
  <w:style w:type="paragraph" w:customStyle="1" w:styleId="Equation">
    <w:name w:val="Equation"/>
    <w:basedOn w:val="Body"/>
    <w:qFormat/>
    <w:rsid w:val="0053056E"/>
  </w:style>
  <w:style w:type="paragraph" w:customStyle="1" w:styleId="Figura">
    <w:name w:val="Figura"/>
    <w:basedOn w:val="Copyright"/>
    <w:qFormat/>
    <w:rsid w:val="00030174"/>
    <w:pPr>
      <w:spacing w:after="240"/>
    </w:pPr>
    <w:rPr>
      <w:sz w:val="20"/>
    </w:rPr>
  </w:style>
  <w:style w:type="paragraph" w:customStyle="1" w:styleId="CabealhoeRodap">
    <w:name w:val="Cabeçalho e Rodapé"/>
    <w:basedOn w:val="Normal"/>
    <w:qFormat/>
  </w:style>
  <w:style w:type="paragraph" w:styleId="Footer">
    <w:name w:val="footer"/>
    <w:basedOn w:val="LO-normal"/>
    <w:rsid w:val="00423789"/>
    <w:pPr>
      <w:suppressLineNumbers/>
      <w:tabs>
        <w:tab w:val="center" w:pos="4320"/>
        <w:tab w:val="right" w:pos="8640"/>
      </w:tabs>
    </w:pPr>
  </w:style>
  <w:style w:type="paragraph" w:customStyle="1" w:styleId="Head40">
    <w:name w:val="Head 4"/>
    <w:basedOn w:val="Head3"/>
    <w:qFormat/>
    <w:rsid w:val="00423789"/>
    <w:rPr>
      <w:u w:val="none"/>
    </w:rPr>
  </w:style>
  <w:style w:type="paragraph" w:styleId="Header">
    <w:name w:val="header"/>
    <w:basedOn w:val="LO-normal"/>
    <w:rsid w:val="00423789"/>
    <w:pPr>
      <w:suppressLineNumbers/>
      <w:tabs>
        <w:tab w:val="center" w:pos="4320"/>
        <w:tab w:val="right" w:pos="8640"/>
      </w:tabs>
    </w:pPr>
  </w:style>
  <w:style w:type="paragraph" w:customStyle="1" w:styleId="Paper">
    <w:name w:val="Paper"/>
    <w:basedOn w:val="LO-normal"/>
    <w:qFormat/>
    <w:rsid w:val="00423789"/>
    <w:pPr>
      <w:spacing w:after="360" w:line="440" w:lineRule="exact"/>
      <w:jc w:val="right"/>
    </w:pPr>
    <w:rPr>
      <w:b/>
      <w:sz w:val="36"/>
    </w:rPr>
  </w:style>
  <w:style w:type="paragraph" w:styleId="Signature">
    <w:name w:val="Signature"/>
    <w:basedOn w:val="LO-normal"/>
    <w:rsid w:val="00423789"/>
    <w:pPr>
      <w:ind w:left="4320"/>
    </w:pPr>
  </w:style>
  <w:style w:type="paragraph" w:customStyle="1" w:styleId="SymbolP">
    <w:name w:val="Symbol P"/>
    <w:basedOn w:val="Body"/>
    <w:qFormat/>
    <w:rsid w:val="00423789"/>
    <w:pPr>
      <w:tabs>
        <w:tab w:val="left" w:pos="720"/>
        <w:tab w:val="left" w:pos="3780"/>
      </w:tabs>
      <w:spacing w:after="0"/>
    </w:pPr>
    <w:rPr>
      <w:sz w:val="24"/>
    </w:rPr>
  </w:style>
  <w:style w:type="paragraph" w:styleId="BodyText2">
    <w:name w:val="Body Text 2"/>
    <w:basedOn w:val="LO-normal"/>
    <w:link w:val="BodyText2Char"/>
    <w:qFormat/>
    <w:rsid w:val="00EF7FD8"/>
    <w:pPr>
      <w:spacing w:after="120" w:line="480" w:lineRule="auto"/>
    </w:pPr>
  </w:style>
  <w:style w:type="paragraph" w:styleId="CommentText">
    <w:name w:val="annotation text"/>
    <w:basedOn w:val="LO-normal"/>
    <w:link w:val="CommentTextChar"/>
    <w:uiPriority w:val="99"/>
    <w:unhideWhenUsed/>
    <w:qFormat/>
    <w:rsid w:val="00746E59"/>
    <w:rPr>
      <w:rFonts w:ascii="Times New Roman" w:hAnsi="Times New Roman"/>
      <w:lang w:val="nb-NO" w:eastAsia="nb-NO"/>
    </w:rPr>
  </w:style>
  <w:style w:type="paragraph" w:styleId="BalloonText">
    <w:name w:val="Balloon Text"/>
    <w:basedOn w:val="LO-normal"/>
    <w:link w:val="BalloonTextChar"/>
    <w:qFormat/>
    <w:rsid w:val="00746E59"/>
    <w:rPr>
      <w:rFonts w:ascii="Tahoma" w:hAnsi="Tahoma" w:cs="Tahoma"/>
      <w:sz w:val="16"/>
      <w:szCs w:val="16"/>
    </w:rPr>
  </w:style>
  <w:style w:type="paragraph" w:styleId="BodyText3">
    <w:name w:val="Body Text 3"/>
    <w:basedOn w:val="LO-normal"/>
    <w:link w:val="BodyText3Char"/>
    <w:qFormat/>
    <w:rsid w:val="00231920"/>
    <w:pPr>
      <w:spacing w:after="120"/>
    </w:pPr>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29652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onlinelibrary.wiley.com/doi/10.1002/jmor.7001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7gU/9OFR6eRgGMTt2gVY8yVhbg==">CgMxLjAyCWlkLmdqZGd4czIKaWQuMzBqMHpsbDIKaWQuMWZvYjl0ZTIKaWQuM3pueXNoNzgAciExSDVCa0YzUnlFVlFPZVpyRTN3bmVtYTNNRXlsRURaNjE=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3700</Words>
  <Characters>21091</Characters>
  <Application>Microsoft Office Word</Application>
  <DocSecurity>0</DocSecurity>
  <Lines>175</Lines>
  <Paragraphs>49</Paragraphs>
  <ScaleCrop>false</ScaleCrop>
  <Company/>
  <LinksUpToDate>false</LinksUpToDate>
  <CharactersWithSpaces>24742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41</cp:revision>
  <dcterms:created xsi:type="dcterms:W3CDTF">2014-10-25T14:34:00Z</dcterms:created>
  <dcterms:modified xsi:type="dcterms:W3CDTF">2025-04-04T08:27:00Z</dcterms:modified>
</cp:coreProperties>
</file>