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7D1BB2" w:rsidRPr="00292100" w14:paraId="3AC27E6D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EBFFFF"/>
          </w:tcPr>
          <w:p w14:paraId="5885EEC1" w14:textId="77777777" w:rsidR="007D1BB2" w:rsidRPr="00292100" w:rsidRDefault="007D1BB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7D1BB2" w:rsidRPr="00292100" w14:paraId="6AE994FD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1BD9D8B6" w14:textId="77777777" w:rsidR="007D1BB2" w:rsidRPr="00292100" w:rsidRDefault="000A0456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92100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2BA8C" w14:textId="77777777" w:rsidR="007D1BB2" w:rsidRPr="00292100" w:rsidRDefault="000A0456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Pr="00292100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Complementary and Alternative Medical Research</w:t>
              </w:r>
            </w:hyperlink>
          </w:p>
        </w:tc>
      </w:tr>
      <w:tr w:rsidR="007D1BB2" w:rsidRPr="00292100" w14:paraId="77805F5F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4A988AE0" w14:textId="77777777" w:rsidR="007D1BB2" w:rsidRPr="00292100" w:rsidRDefault="000A0456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92100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F62E6" w14:textId="77777777" w:rsidR="007D1BB2" w:rsidRPr="00292100" w:rsidRDefault="000A045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921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Ms_JOCAMR_134427</w:t>
            </w:r>
          </w:p>
        </w:tc>
      </w:tr>
      <w:tr w:rsidR="007D1BB2" w:rsidRPr="00292100" w14:paraId="7702EA9B" w14:textId="77777777">
        <w:trPr>
          <w:trHeight w:val="650"/>
        </w:trPr>
        <w:tc>
          <w:tcPr>
            <w:tcW w:w="1234" w:type="pct"/>
            <w:shd w:val="clear" w:color="auto" w:fill="EBFFFF"/>
          </w:tcPr>
          <w:p w14:paraId="11904533" w14:textId="77777777" w:rsidR="007D1BB2" w:rsidRPr="00292100" w:rsidRDefault="000A0456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9210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66B96" w14:textId="77777777" w:rsidR="007D1BB2" w:rsidRPr="00292100" w:rsidRDefault="000A045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9210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Effect of Justicia </w:t>
            </w:r>
            <w:proofErr w:type="spellStart"/>
            <w:r w:rsidRPr="00292100">
              <w:rPr>
                <w:rFonts w:ascii="Arial" w:hAnsi="Arial" w:cs="Arial"/>
                <w:b/>
                <w:sz w:val="20"/>
                <w:szCs w:val="20"/>
                <w:lang w:val="en-GB"/>
              </w:rPr>
              <w:t>Insularis</w:t>
            </w:r>
            <w:proofErr w:type="spellEnd"/>
            <w:r w:rsidRPr="0029210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Leaf Extract on Alpha </w:t>
            </w:r>
            <w:r w:rsidRPr="00292100">
              <w:rPr>
                <w:rFonts w:ascii="Arial" w:hAnsi="Arial" w:cs="Arial"/>
                <w:b/>
                <w:sz w:val="20"/>
                <w:szCs w:val="20"/>
                <w:lang w:val="en-GB"/>
              </w:rPr>
              <w:t>Glucosidase and Alpha-Amylase Activities in Rats</w:t>
            </w:r>
          </w:p>
        </w:tc>
      </w:tr>
      <w:tr w:rsidR="007D1BB2" w:rsidRPr="00292100" w14:paraId="6553179C" w14:textId="77777777">
        <w:trPr>
          <w:trHeight w:val="332"/>
        </w:trPr>
        <w:tc>
          <w:tcPr>
            <w:tcW w:w="1234" w:type="pct"/>
            <w:shd w:val="clear" w:color="auto" w:fill="EBFFFF"/>
          </w:tcPr>
          <w:p w14:paraId="13C4FE51" w14:textId="77777777" w:rsidR="007D1BB2" w:rsidRPr="00292100" w:rsidRDefault="000A0456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92100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59D8F" w14:textId="77777777" w:rsidR="007D1BB2" w:rsidRPr="00292100" w:rsidRDefault="000A045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92100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article</w:t>
            </w:r>
          </w:p>
        </w:tc>
      </w:tr>
    </w:tbl>
    <w:p w14:paraId="0F018ACA" w14:textId="6AF13EDC" w:rsidR="007D1BB2" w:rsidRPr="00292100" w:rsidRDefault="007D1BB2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8"/>
        <w:gridCol w:w="9261"/>
        <w:gridCol w:w="6413"/>
      </w:tblGrid>
      <w:tr w:rsidR="007D1BB2" w:rsidRPr="00292100" w14:paraId="77459529" w14:textId="77777777" w:rsidTr="0029210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F6F3601" w14:textId="77777777" w:rsidR="007D1BB2" w:rsidRPr="00292100" w:rsidRDefault="000A045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92100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92100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0F26EDF" w14:textId="77777777" w:rsidR="007D1BB2" w:rsidRPr="00292100" w:rsidRDefault="007D1BB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D1BB2" w:rsidRPr="00292100" w14:paraId="4308E7E1" w14:textId="77777777" w:rsidTr="00292100">
        <w:tc>
          <w:tcPr>
            <w:tcW w:w="1263" w:type="pct"/>
            <w:noWrap/>
          </w:tcPr>
          <w:p w14:paraId="2C8A946E" w14:textId="77777777" w:rsidR="007D1BB2" w:rsidRPr="00292100" w:rsidRDefault="007D1BB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08" w:type="pct"/>
          </w:tcPr>
          <w:p w14:paraId="709D0CC7" w14:textId="77777777" w:rsidR="007D1BB2" w:rsidRPr="00292100" w:rsidRDefault="000A045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92100">
              <w:rPr>
                <w:rFonts w:ascii="Arial" w:hAnsi="Arial" w:cs="Arial"/>
                <w:lang w:val="en-GB"/>
              </w:rPr>
              <w:t>Reviewer’s comment</w:t>
            </w:r>
          </w:p>
          <w:p w14:paraId="0FB656D5" w14:textId="77777777" w:rsidR="007D1BB2" w:rsidRPr="00292100" w:rsidRDefault="000A045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210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18488BC" w14:textId="77777777" w:rsidR="007D1BB2" w:rsidRPr="00292100" w:rsidRDefault="007D1BB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9" w:type="pct"/>
          </w:tcPr>
          <w:p w14:paraId="6A2CAD19" w14:textId="77777777" w:rsidR="007D1BB2" w:rsidRPr="00292100" w:rsidRDefault="000A045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92100">
              <w:rPr>
                <w:rFonts w:ascii="Arial" w:hAnsi="Arial" w:cs="Arial"/>
                <w:lang w:val="en-GB"/>
              </w:rPr>
              <w:t xml:space="preserve">Author’s </w:t>
            </w:r>
            <w:r w:rsidRPr="00292100">
              <w:rPr>
                <w:rFonts w:ascii="Arial" w:hAnsi="Arial" w:cs="Arial"/>
                <w:lang w:val="en-GB"/>
              </w:rPr>
              <w:t>Feedback</w:t>
            </w:r>
            <w:r w:rsidRPr="00292100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292100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7D1BB2" w:rsidRPr="00292100" w14:paraId="0142FC8A" w14:textId="77777777" w:rsidTr="00292100">
        <w:trPr>
          <w:trHeight w:val="1264"/>
        </w:trPr>
        <w:tc>
          <w:tcPr>
            <w:tcW w:w="1263" w:type="pct"/>
            <w:noWrap/>
          </w:tcPr>
          <w:p w14:paraId="0902B3C2" w14:textId="77777777" w:rsidR="007D1BB2" w:rsidRPr="00292100" w:rsidRDefault="000A045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921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</w:t>
            </w:r>
            <w:r w:rsidRPr="002921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nimum of 3-4 sentences may be required for this part.</w:t>
            </w:r>
          </w:p>
          <w:p w14:paraId="657AD63D" w14:textId="77777777" w:rsidR="007D1BB2" w:rsidRPr="00292100" w:rsidRDefault="007D1BB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08" w:type="pct"/>
          </w:tcPr>
          <w:p w14:paraId="0F7A1A66" w14:textId="77777777" w:rsidR="007D1BB2" w:rsidRPr="00292100" w:rsidRDefault="000A0456">
            <w:pPr>
              <w:pStyle w:val="ListParagrap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921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authors explored the beneficial effects of a traditional recipe, namely its usefulness in preventing the onset of postprandial </w:t>
            </w:r>
            <w:proofErr w:type="spellStart"/>
            <w:r w:rsidRPr="002921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biabete</w:t>
            </w:r>
            <w:proofErr w:type="spellEnd"/>
            <w:r w:rsidRPr="002921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. the authors used three </w:t>
            </w:r>
            <w:proofErr w:type="spellStart"/>
            <w:r w:rsidRPr="002921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hyperglycemic</w:t>
            </w:r>
            <w:proofErr w:type="spellEnd"/>
            <w:r w:rsidRPr="002921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inducers and carried out</w:t>
            </w:r>
            <w:r w:rsidRPr="002921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treatments with three doses of the recipe. They found interesting time-dependent results. However, observations on </w:t>
            </w:r>
            <w:proofErr w:type="spellStart"/>
            <w:r w:rsidRPr="002921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hypoglycemia</w:t>
            </w:r>
            <w:proofErr w:type="spellEnd"/>
            <w:r w:rsidRPr="002921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points were not made. All in all, the speculative mechanism of action was alpha-amylase and alpha-glucosidase inhibition.</w:t>
            </w:r>
          </w:p>
        </w:tc>
        <w:tc>
          <w:tcPr>
            <w:tcW w:w="1529" w:type="pct"/>
          </w:tcPr>
          <w:p w14:paraId="187D4C3D" w14:textId="77777777" w:rsidR="007D1BB2" w:rsidRPr="00292100" w:rsidRDefault="007D1BB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D1BB2" w:rsidRPr="00292100" w14:paraId="1E28EF9C" w14:textId="77777777" w:rsidTr="00292100">
        <w:trPr>
          <w:trHeight w:val="485"/>
        </w:trPr>
        <w:tc>
          <w:tcPr>
            <w:tcW w:w="1263" w:type="pct"/>
            <w:noWrap/>
          </w:tcPr>
          <w:p w14:paraId="7C83C8C4" w14:textId="77777777" w:rsidR="007D1BB2" w:rsidRPr="00292100" w:rsidRDefault="000A045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921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Is </w:t>
            </w:r>
            <w:r w:rsidRPr="002921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title of the article suitable?</w:t>
            </w:r>
          </w:p>
          <w:p w14:paraId="60753CE7" w14:textId="77777777" w:rsidR="007D1BB2" w:rsidRPr="00292100" w:rsidRDefault="000A045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921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23CE1C9" w14:textId="77777777" w:rsidR="007D1BB2" w:rsidRPr="00292100" w:rsidRDefault="007D1BB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08" w:type="pct"/>
          </w:tcPr>
          <w:p w14:paraId="2C8A3A41" w14:textId="77777777" w:rsidR="007D1BB2" w:rsidRPr="00292100" w:rsidRDefault="000A045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921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9" w:type="pct"/>
          </w:tcPr>
          <w:p w14:paraId="7B39B348" w14:textId="77777777" w:rsidR="007D1BB2" w:rsidRPr="00292100" w:rsidRDefault="007D1BB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D1BB2" w:rsidRPr="00292100" w14:paraId="67428CA0" w14:textId="77777777" w:rsidTr="00292100">
        <w:trPr>
          <w:trHeight w:val="125"/>
        </w:trPr>
        <w:tc>
          <w:tcPr>
            <w:tcW w:w="1263" w:type="pct"/>
            <w:noWrap/>
          </w:tcPr>
          <w:p w14:paraId="4CCFC5B3" w14:textId="77777777" w:rsidR="007D1BB2" w:rsidRPr="00292100" w:rsidRDefault="000A0456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92100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4372C4F" w14:textId="77777777" w:rsidR="007D1BB2" w:rsidRPr="00292100" w:rsidRDefault="007D1BB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08" w:type="pct"/>
          </w:tcPr>
          <w:p w14:paraId="5C7BBF58" w14:textId="77777777" w:rsidR="007D1BB2" w:rsidRPr="00292100" w:rsidRDefault="000A045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921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9" w:type="pct"/>
          </w:tcPr>
          <w:p w14:paraId="0F1F4995" w14:textId="77777777" w:rsidR="007D1BB2" w:rsidRPr="00292100" w:rsidRDefault="007D1BB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D1BB2" w:rsidRPr="00292100" w14:paraId="516CCF87" w14:textId="77777777" w:rsidTr="00292100">
        <w:trPr>
          <w:trHeight w:val="704"/>
        </w:trPr>
        <w:tc>
          <w:tcPr>
            <w:tcW w:w="1263" w:type="pct"/>
            <w:noWrap/>
          </w:tcPr>
          <w:p w14:paraId="4C330DD5" w14:textId="77777777" w:rsidR="007D1BB2" w:rsidRPr="00292100" w:rsidRDefault="000A0456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92100">
              <w:rPr>
                <w:rFonts w:ascii="Arial" w:hAnsi="Arial" w:cs="Arial"/>
                <w:lang w:val="en-GB"/>
              </w:rPr>
              <w:t>Is the</w:t>
            </w:r>
            <w:r w:rsidRPr="00292100">
              <w:rPr>
                <w:rFonts w:ascii="Arial" w:hAnsi="Arial" w:cs="Arial"/>
                <w:lang w:val="en-GB"/>
              </w:rPr>
              <w:t xml:space="preserve"> manuscript scientifically, correct? Please write here.</w:t>
            </w:r>
          </w:p>
        </w:tc>
        <w:tc>
          <w:tcPr>
            <w:tcW w:w="2208" w:type="pct"/>
          </w:tcPr>
          <w:p w14:paraId="73CE57E0" w14:textId="77777777" w:rsidR="007D1BB2" w:rsidRPr="00292100" w:rsidRDefault="000A045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92100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9" w:type="pct"/>
          </w:tcPr>
          <w:p w14:paraId="4E699EBB" w14:textId="77777777" w:rsidR="007D1BB2" w:rsidRPr="00292100" w:rsidRDefault="007D1BB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D1BB2" w:rsidRPr="00292100" w14:paraId="6C68678D" w14:textId="77777777" w:rsidTr="00292100">
        <w:trPr>
          <w:trHeight w:val="703"/>
        </w:trPr>
        <w:tc>
          <w:tcPr>
            <w:tcW w:w="1263" w:type="pct"/>
            <w:noWrap/>
          </w:tcPr>
          <w:p w14:paraId="0BCC90E1" w14:textId="77777777" w:rsidR="007D1BB2" w:rsidRPr="00292100" w:rsidRDefault="000A045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921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08" w:type="pct"/>
          </w:tcPr>
          <w:p w14:paraId="1ED56834" w14:textId="77777777" w:rsidR="007D1BB2" w:rsidRPr="00292100" w:rsidRDefault="000A045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92100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9" w:type="pct"/>
          </w:tcPr>
          <w:p w14:paraId="0F29D08B" w14:textId="77777777" w:rsidR="007D1BB2" w:rsidRPr="00292100" w:rsidRDefault="007D1BB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D1BB2" w:rsidRPr="00292100" w14:paraId="0A73E3DD" w14:textId="77777777" w:rsidTr="00292100">
        <w:trPr>
          <w:trHeight w:val="386"/>
        </w:trPr>
        <w:tc>
          <w:tcPr>
            <w:tcW w:w="1263" w:type="pct"/>
            <w:noWrap/>
          </w:tcPr>
          <w:p w14:paraId="022F426C" w14:textId="77777777" w:rsidR="007D1BB2" w:rsidRPr="00292100" w:rsidRDefault="000A0456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92100">
              <w:rPr>
                <w:rFonts w:ascii="Arial" w:hAnsi="Arial" w:cs="Arial"/>
                <w:bCs w:val="0"/>
                <w:lang w:val="en-GB"/>
              </w:rPr>
              <w:t xml:space="preserve">Is the language/English quality of the article suitable </w:t>
            </w:r>
            <w:r w:rsidRPr="00292100">
              <w:rPr>
                <w:rFonts w:ascii="Arial" w:hAnsi="Arial" w:cs="Arial"/>
                <w:bCs w:val="0"/>
                <w:lang w:val="en-GB"/>
              </w:rPr>
              <w:t>for scholarly communications?</w:t>
            </w:r>
          </w:p>
          <w:p w14:paraId="79F45838" w14:textId="77777777" w:rsidR="007D1BB2" w:rsidRPr="00292100" w:rsidRDefault="007D1BB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08" w:type="pct"/>
          </w:tcPr>
          <w:p w14:paraId="01F1776C" w14:textId="77777777" w:rsidR="007D1BB2" w:rsidRPr="00292100" w:rsidRDefault="000A04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2100">
              <w:rPr>
                <w:rFonts w:ascii="Arial" w:hAnsi="Arial" w:cs="Arial"/>
                <w:sz w:val="20"/>
                <w:szCs w:val="20"/>
                <w:lang w:val="en-GB"/>
              </w:rPr>
              <w:t>yes, but there are a few typographical corrections to be made</w:t>
            </w:r>
          </w:p>
        </w:tc>
        <w:tc>
          <w:tcPr>
            <w:tcW w:w="1529" w:type="pct"/>
          </w:tcPr>
          <w:p w14:paraId="496D0EAA" w14:textId="77777777" w:rsidR="007D1BB2" w:rsidRPr="00292100" w:rsidRDefault="000A04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2100">
              <w:rPr>
                <w:rFonts w:ascii="Arial" w:hAnsi="Arial" w:cs="Arial"/>
                <w:sz w:val="20"/>
                <w:szCs w:val="20"/>
                <w:lang w:val="en-GB"/>
              </w:rPr>
              <w:t>These have been corrected</w:t>
            </w:r>
          </w:p>
        </w:tc>
      </w:tr>
      <w:tr w:rsidR="007D1BB2" w:rsidRPr="00292100" w14:paraId="20E0821B" w14:textId="77777777" w:rsidTr="00292100">
        <w:trPr>
          <w:trHeight w:val="100"/>
        </w:trPr>
        <w:tc>
          <w:tcPr>
            <w:tcW w:w="1263" w:type="pct"/>
            <w:noWrap/>
          </w:tcPr>
          <w:p w14:paraId="38E85AFE" w14:textId="77777777" w:rsidR="007D1BB2" w:rsidRPr="00292100" w:rsidRDefault="000A045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92100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92100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92100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91D9BC2" w14:textId="77777777" w:rsidR="007D1BB2" w:rsidRPr="00292100" w:rsidRDefault="007D1BB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08" w:type="pct"/>
          </w:tcPr>
          <w:p w14:paraId="79B0AA6A" w14:textId="77777777" w:rsidR="007D1BB2" w:rsidRPr="00292100" w:rsidRDefault="007D1BB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9" w:type="pct"/>
          </w:tcPr>
          <w:p w14:paraId="666FAEC5" w14:textId="77777777" w:rsidR="007D1BB2" w:rsidRPr="00292100" w:rsidRDefault="007D1BB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CD5D4DF" w14:textId="77777777" w:rsidR="007D1BB2" w:rsidRPr="00292100" w:rsidRDefault="007D1BB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7D1BB2" w:rsidRPr="00292100" w14:paraId="7156320D" w14:textId="7777777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1D78A" w14:textId="77777777" w:rsidR="007D1BB2" w:rsidRPr="00292100" w:rsidRDefault="000A045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29210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9210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3421BBE" w14:textId="77777777" w:rsidR="007D1BB2" w:rsidRPr="00292100" w:rsidRDefault="007D1BB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D1BB2" w:rsidRPr="00292100" w14:paraId="3C4771FE" w14:textId="7777777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2CC9A" w14:textId="77777777" w:rsidR="007D1BB2" w:rsidRPr="00292100" w:rsidRDefault="007D1BB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72DB7" w14:textId="77777777" w:rsidR="007D1BB2" w:rsidRPr="00292100" w:rsidRDefault="000A045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9210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A608C" w14:textId="77777777" w:rsidR="007D1BB2" w:rsidRPr="00292100" w:rsidRDefault="000A045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9210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9210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9210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 xml:space="preserve">(if agreed with reviewer, correct the manuscript </w:t>
            </w:r>
            <w:r w:rsidRPr="0029210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and highlight that part in the manuscript. It is mandatory that authors should write his/her feedback here)</w:t>
            </w:r>
          </w:p>
        </w:tc>
      </w:tr>
      <w:tr w:rsidR="007D1BB2" w:rsidRPr="00292100" w14:paraId="54F74D26" w14:textId="7777777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2E0C9" w14:textId="77777777" w:rsidR="007D1BB2" w:rsidRPr="00292100" w:rsidRDefault="000A045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9210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587D5B7" w14:textId="77777777" w:rsidR="007D1BB2" w:rsidRPr="00292100" w:rsidRDefault="007D1BB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C6E3E" w14:textId="77777777" w:rsidR="007D1BB2" w:rsidRPr="00292100" w:rsidRDefault="000A0456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9210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9210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9210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592F5C1" w14:textId="77777777" w:rsidR="007D1BB2" w:rsidRPr="00292100" w:rsidRDefault="007D1BB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606D305" w14:textId="77777777" w:rsidR="007D1BB2" w:rsidRPr="00292100" w:rsidRDefault="007D1BB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E7E22" w14:textId="77777777" w:rsidR="007D1BB2" w:rsidRPr="00292100" w:rsidRDefault="007D1BB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7FB22E2" w14:textId="77777777" w:rsidR="007D1BB2" w:rsidRPr="00292100" w:rsidRDefault="007D1BB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1AAB582" w14:textId="77777777" w:rsidR="007D1BB2" w:rsidRPr="00292100" w:rsidRDefault="007D1BB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6CEFC72D" w14:textId="77777777" w:rsidR="007D1BB2" w:rsidRPr="00292100" w:rsidRDefault="007D1BB2">
      <w:pPr>
        <w:rPr>
          <w:rFonts w:ascii="Arial" w:hAnsi="Arial" w:cs="Arial"/>
          <w:sz w:val="20"/>
          <w:szCs w:val="20"/>
        </w:rPr>
      </w:pPr>
    </w:p>
    <w:bookmarkEnd w:id="3"/>
    <w:p w14:paraId="41DAE223" w14:textId="77777777" w:rsidR="007D1BB2" w:rsidRPr="00292100" w:rsidRDefault="007D1BB2">
      <w:pPr>
        <w:rPr>
          <w:rFonts w:ascii="Arial" w:hAnsi="Arial" w:cs="Arial"/>
          <w:sz w:val="20"/>
          <w:szCs w:val="20"/>
        </w:rPr>
      </w:pPr>
    </w:p>
    <w:p w14:paraId="12C9701A" w14:textId="77777777" w:rsidR="007D1BB2" w:rsidRPr="00292100" w:rsidRDefault="007D1BB2">
      <w:pPr>
        <w:rPr>
          <w:rFonts w:ascii="Arial" w:hAnsi="Arial" w:cs="Arial"/>
          <w:sz w:val="20"/>
          <w:szCs w:val="20"/>
        </w:rPr>
      </w:pPr>
    </w:p>
    <w:p w14:paraId="05148B61" w14:textId="77777777" w:rsidR="007D1BB2" w:rsidRPr="00292100" w:rsidRDefault="007D1BB2">
      <w:pPr>
        <w:pStyle w:val="BodyText"/>
        <w:rPr>
          <w:rFonts w:ascii="Arial" w:hAnsi="Arial" w:cs="Arial"/>
          <w:bCs/>
          <w:sz w:val="20"/>
          <w:szCs w:val="20"/>
          <w:lang w:val="en-GB"/>
        </w:rPr>
      </w:pPr>
    </w:p>
    <w:p w14:paraId="53CDDD33" w14:textId="77777777" w:rsidR="007D1BB2" w:rsidRPr="00292100" w:rsidRDefault="007D1BB2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p w14:paraId="4BE5B31B" w14:textId="77777777" w:rsidR="007D1BB2" w:rsidRPr="00292100" w:rsidRDefault="007D1BB2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4" w:name="_GoBack"/>
      <w:bookmarkEnd w:id="4"/>
    </w:p>
    <w:sectPr w:rsidR="007D1BB2" w:rsidRPr="00292100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8D484" w14:textId="77777777" w:rsidR="000A0456" w:rsidRDefault="000A0456">
      <w:r>
        <w:separator/>
      </w:r>
    </w:p>
  </w:endnote>
  <w:endnote w:type="continuationSeparator" w:id="0">
    <w:p w14:paraId="192C78F8" w14:textId="77777777" w:rsidR="000A0456" w:rsidRDefault="000A0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SimSun"/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DED52" w14:textId="77777777" w:rsidR="007D1BB2" w:rsidRDefault="000A0456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ECF2C" w14:textId="77777777" w:rsidR="000A0456" w:rsidRDefault="000A0456">
      <w:r>
        <w:separator/>
      </w:r>
    </w:p>
  </w:footnote>
  <w:footnote w:type="continuationSeparator" w:id="0">
    <w:p w14:paraId="533EE626" w14:textId="77777777" w:rsidR="000A0456" w:rsidRDefault="000A04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E8C64" w14:textId="77777777" w:rsidR="007D1BB2" w:rsidRDefault="007D1BB2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420CFCE" w14:textId="77777777" w:rsidR="007D1BB2" w:rsidRDefault="000A0456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7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0579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65D6"/>
    <w:rsid w:val="00084D7C"/>
    <w:rsid w:val="00091112"/>
    <w:rsid w:val="000936AC"/>
    <w:rsid w:val="00095A59"/>
    <w:rsid w:val="000A0456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1081"/>
    <w:rsid w:val="00184644"/>
    <w:rsid w:val="0018753A"/>
    <w:rsid w:val="00193B91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4F91"/>
    <w:rsid w:val="0023696A"/>
    <w:rsid w:val="00240E08"/>
    <w:rsid w:val="002422CB"/>
    <w:rsid w:val="00245E23"/>
    <w:rsid w:val="0025366D"/>
    <w:rsid w:val="00254F80"/>
    <w:rsid w:val="00262634"/>
    <w:rsid w:val="002643B3"/>
    <w:rsid w:val="002663EA"/>
    <w:rsid w:val="00275984"/>
    <w:rsid w:val="00280EC9"/>
    <w:rsid w:val="00291D08"/>
    <w:rsid w:val="00292100"/>
    <w:rsid w:val="00293482"/>
    <w:rsid w:val="002A417F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701B8"/>
    <w:rsid w:val="003A04E7"/>
    <w:rsid w:val="003A4991"/>
    <w:rsid w:val="003A6E1A"/>
    <w:rsid w:val="003B2172"/>
    <w:rsid w:val="003C5607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39B2"/>
    <w:rsid w:val="004674B4"/>
    <w:rsid w:val="0047024E"/>
    <w:rsid w:val="004876C1"/>
    <w:rsid w:val="004B4CAD"/>
    <w:rsid w:val="004B4FDC"/>
    <w:rsid w:val="004C3DF1"/>
    <w:rsid w:val="004D2E36"/>
    <w:rsid w:val="004E09D4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321F7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72B0"/>
    <w:rsid w:val="00760782"/>
    <w:rsid w:val="00766889"/>
    <w:rsid w:val="00766A0D"/>
    <w:rsid w:val="00767F8C"/>
    <w:rsid w:val="00780B67"/>
    <w:rsid w:val="007B1099"/>
    <w:rsid w:val="007B6E18"/>
    <w:rsid w:val="007D0246"/>
    <w:rsid w:val="007D1BB2"/>
    <w:rsid w:val="007E77CA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0AE5"/>
    <w:rsid w:val="0087201B"/>
    <w:rsid w:val="008774B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65D7A"/>
    <w:rsid w:val="0097330E"/>
    <w:rsid w:val="00974330"/>
    <w:rsid w:val="0097498C"/>
    <w:rsid w:val="00982766"/>
    <w:rsid w:val="009852C4"/>
    <w:rsid w:val="00985F26"/>
    <w:rsid w:val="00987239"/>
    <w:rsid w:val="0099583E"/>
    <w:rsid w:val="009A0242"/>
    <w:rsid w:val="009A59ED"/>
    <w:rsid w:val="009B5AA8"/>
    <w:rsid w:val="009C30C8"/>
    <w:rsid w:val="009C45A0"/>
    <w:rsid w:val="009C5642"/>
    <w:rsid w:val="009E13C3"/>
    <w:rsid w:val="009E204E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A4798"/>
    <w:rsid w:val="00CB429B"/>
    <w:rsid w:val="00CC2753"/>
    <w:rsid w:val="00CD093E"/>
    <w:rsid w:val="00CD1556"/>
    <w:rsid w:val="00CD1FD7"/>
    <w:rsid w:val="00CD63E9"/>
    <w:rsid w:val="00CE199A"/>
    <w:rsid w:val="00CE2D1C"/>
    <w:rsid w:val="00CE37A2"/>
    <w:rsid w:val="00CE5AC7"/>
    <w:rsid w:val="00CF0BBB"/>
    <w:rsid w:val="00CF1252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036A9"/>
    <w:rsid w:val="00E043E3"/>
    <w:rsid w:val="00E451EA"/>
    <w:rsid w:val="00E53E52"/>
    <w:rsid w:val="00E57F4B"/>
    <w:rsid w:val="00E60850"/>
    <w:rsid w:val="00E63889"/>
    <w:rsid w:val="00E65EB7"/>
    <w:rsid w:val="00E71C8D"/>
    <w:rsid w:val="00E72360"/>
    <w:rsid w:val="00E7490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144C"/>
    <w:rsid w:val="00FC2E17"/>
    <w:rsid w:val="00FC6387"/>
    <w:rsid w:val="00FC6802"/>
    <w:rsid w:val="00FD70A7"/>
    <w:rsid w:val="00FE5DBB"/>
    <w:rsid w:val="00FF09A0"/>
    <w:rsid w:val="0447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FBECC"/>
  <w15:docId w15:val="{883329F0-5BE7-44FD-A46F-72ADF025F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qFormat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qFormat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qFormat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qFormat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qFormat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Revision1">
    <w:name w:val="Revision1"/>
    <w:hidden/>
    <w:uiPriority w:val="99"/>
    <w:semiHidden/>
    <w:qFormat/>
    <w:rPr>
      <w:sz w:val="22"/>
      <w:szCs w:val="22"/>
    </w:rPr>
  </w:style>
  <w:style w:type="character" w:customStyle="1" w:styleId="UnresolvedMention1">
    <w:name w:val="Unresolved Mention1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ocamr.com/index.php/JOCAM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1A56F-BC34-48CF-B655-37735D841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3</cp:revision>
  <dcterms:created xsi:type="dcterms:W3CDTF">2025-04-11T14:28:00Z</dcterms:created>
  <dcterms:modified xsi:type="dcterms:W3CDTF">2025-04-15T11:41:00Z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2057-12.2.0.19805</vt:lpwstr>
  </property>
  <property fmtid="{D5CDD505-2E9C-101B-9397-08002B2CF9AE}" pid="3" name="ICV">
    <vt:lpwstr>48F2175327D44E27B0577B4AA31B82A2_12</vt:lpwstr>
  </property>
</Properties>
</file>