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3A80" w14:textId="77777777" w:rsidR="00A86835" w:rsidRDefault="00A86835">
      <w:pPr>
        <w:pStyle w:val="Corpsdetexte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A86835" w14:paraId="34527621" w14:textId="77777777">
        <w:trPr>
          <w:trHeight w:val="290"/>
        </w:trPr>
        <w:tc>
          <w:tcPr>
            <w:tcW w:w="5168" w:type="dxa"/>
          </w:tcPr>
          <w:p w14:paraId="31B32AD3" w14:textId="77777777" w:rsidR="00A86835" w:rsidRDefault="002914A2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417EB0D3" w14:textId="77777777" w:rsidR="00A86835" w:rsidRDefault="002914A2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hyperlink r:id="rId7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Advances</w:t>
              </w:r>
              <w:r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Mathematics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Computer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Science</w:t>
              </w:r>
            </w:hyperlink>
          </w:p>
        </w:tc>
      </w:tr>
      <w:tr w:rsidR="00A86835" w14:paraId="1D86BAF8" w14:textId="77777777">
        <w:trPr>
          <w:trHeight w:val="290"/>
        </w:trPr>
        <w:tc>
          <w:tcPr>
            <w:tcW w:w="5168" w:type="dxa"/>
          </w:tcPr>
          <w:p w14:paraId="5A8AA3E8" w14:textId="77777777" w:rsidR="00A86835" w:rsidRDefault="002914A2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13BEE5E8" w14:textId="77777777" w:rsidR="00A86835" w:rsidRDefault="002914A2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Ms_JAMCS_133688</w:t>
            </w:r>
          </w:p>
        </w:tc>
      </w:tr>
      <w:tr w:rsidR="00A86835" w14:paraId="6EFC38A9" w14:textId="77777777">
        <w:trPr>
          <w:trHeight w:val="650"/>
        </w:trPr>
        <w:tc>
          <w:tcPr>
            <w:tcW w:w="5168" w:type="dxa"/>
          </w:tcPr>
          <w:p w14:paraId="54BF6CB9" w14:textId="77777777" w:rsidR="00A86835" w:rsidRDefault="002914A2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4EBACAA0" w14:textId="77777777" w:rsidR="00A86835" w:rsidRDefault="002914A2">
            <w:pPr>
              <w:pStyle w:val="TableParagraph"/>
              <w:spacing w:before="21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Application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M.C.A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method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solution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fractional-order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integro</w:t>
            </w:r>
            <w:proofErr w:type="spellEnd"/>
            <w:r>
              <w:rPr>
                <w:rFonts w:ascii="Arial"/>
                <w:b/>
                <w:sz w:val="20"/>
              </w:rPr>
              <w:t>-differential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equations</w:t>
            </w:r>
          </w:p>
        </w:tc>
      </w:tr>
      <w:tr w:rsidR="00A86835" w14:paraId="10994878" w14:textId="77777777">
        <w:trPr>
          <w:trHeight w:val="333"/>
        </w:trPr>
        <w:tc>
          <w:tcPr>
            <w:tcW w:w="5168" w:type="dxa"/>
          </w:tcPr>
          <w:p w14:paraId="5D1691BF" w14:textId="77777777" w:rsidR="00A86835" w:rsidRDefault="002914A2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612B14C9" w14:textId="14CE49EC" w:rsidR="00FE0E30" w:rsidRDefault="00FE0E30" w:rsidP="00FE0E30">
            <w:r>
              <w:t>Original Research Article</w:t>
            </w:r>
          </w:p>
          <w:p w14:paraId="45E22B05" w14:textId="77777777" w:rsidR="00A86835" w:rsidRDefault="00A86835">
            <w:pPr>
              <w:pStyle w:val="TableParagraph"/>
              <w:rPr>
                <w:sz w:val="18"/>
              </w:rPr>
            </w:pPr>
          </w:p>
        </w:tc>
      </w:tr>
    </w:tbl>
    <w:p w14:paraId="637DDB6A" w14:textId="77777777" w:rsidR="00A86835" w:rsidRDefault="00A86835">
      <w:pPr>
        <w:pStyle w:val="Corpsdetexte"/>
        <w:rPr>
          <w:b w:val="0"/>
        </w:rPr>
      </w:pPr>
    </w:p>
    <w:p w14:paraId="6E5757B5" w14:textId="77777777" w:rsidR="00A86835" w:rsidRDefault="00A86835">
      <w:pPr>
        <w:pStyle w:val="Corpsdetexte"/>
        <w:spacing w:before="15"/>
        <w:rPr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A86835" w14:paraId="72C8AAC9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27CCB1AB" w14:textId="77777777" w:rsidR="00A86835" w:rsidRDefault="002914A2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A86835" w14:paraId="74F8EA12" w14:textId="77777777">
        <w:trPr>
          <w:trHeight w:val="964"/>
        </w:trPr>
        <w:tc>
          <w:tcPr>
            <w:tcW w:w="5352" w:type="dxa"/>
          </w:tcPr>
          <w:p w14:paraId="174CCDAB" w14:textId="77777777" w:rsidR="00A86835" w:rsidRDefault="00A86835">
            <w:pPr>
              <w:pStyle w:val="TableParagraph"/>
              <w:rPr>
                <w:sz w:val="18"/>
              </w:rPr>
            </w:pPr>
          </w:p>
        </w:tc>
        <w:tc>
          <w:tcPr>
            <w:tcW w:w="9356" w:type="dxa"/>
          </w:tcPr>
          <w:p w14:paraId="787ADB48" w14:textId="77777777" w:rsidR="00A86835" w:rsidRDefault="002914A2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1C3B41E9" w14:textId="77777777" w:rsidR="00A86835" w:rsidRDefault="002914A2">
            <w:pPr>
              <w:pStyle w:val="TableParagraph"/>
              <w:ind w:left="108" w:right="131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285C38B9" w14:textId="77777777" w:rsidR="00A86835" w:rsidRDefault="002914A2">
            <w:pPr>
              <w:pStyle w:val="TableParagraph"/>
              <w:ind w:left="108" w:right="171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A86835" w14:paraId="6E71CBC0" w14:textId="77777777">
        <w:trPr>
          <w:trHeight w:val="2301"/>
        </w:trPr>
        <w:tc>
          <w:tcPr>
            <w:tcW w:w="5352" w:type="dxa"/>
          </w:tcPr>
          <w:p w14:paraId="0C389EB7" w14:textId="77777777" w:rsidR="00A86835" w:rsidRDefault="002914A2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732D94CA" w14:textId="77777777" w:rsidR="00A86835" w:rsidRDefault="002914A2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paper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good,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but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improvements:</w:t>
            </w:r>
          </w:p>
          <w:p w14:paraId="36B20012" w14:textId="77777777" w:rsidR="00A86835" w:rsidRDefault="00A86835">
            <w:pPr>
              <w:pStyle w:val="TableParagraph"/>
              <w:spacing w:before="1"/>
              <w:rPr>
                <w:sz w:val="20"/>
              </w:rPr>
            </w:pPr>
          </w:p>
          <w:p w14:paraId="65B98196" w14:textId="77777777" w:rsidR="00A86835" w:rsidRDefault="002914A2">
            <w:pPr>
              <w:pStyle w:val="TableParagraph"/>
              <w:spacing w:line="480" w:lineRule="auto"/>
              <w:ind w:left="141" w:right="3873"/>
              <w:rPr>
                <w:b/>
                <w:sz w:val="20"/>
              </w:rPr>
            </w:pPr>
            <w:r>
              <w:rPr>
                <w:b/>
                <w:sz w:val="20"/>
              </w:rPr>
              <w:t>1: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preferable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relevant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references. 2: Improve the linguistic formulation.</w:t>
            </w:r>
          </w:p>
          <w:p w14:paraId="18AD4989" w14:textId="77777777" w:rsidR="00A86835" w:rsidRDefault="002914A2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3: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Include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illustrative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figures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solutions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comparison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tables.</w:t>
            </w:r>
          </w:p>
          <w:p w14:paraId="4AEAD1C7" w14:textId="77777777" w:rsidR="00A86835" w:rsidRDefault="002914A2">
            <w:pPr>
              <w:pStyle w:val="TableParagraph"/>
              <w:spacing w:before="211" w:line="230" w:lineRule="atLeas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4: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scientific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explanation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consistently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obtaining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accurate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solutions?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yield exact or approximate solutions, and what is the criterion for convergence?</w:t>
            </w:r>
          </w:p>
        </w:tc>
        <w:tc>
          <w:tcPr>
            <w:tcW w:w="6445" w:type="dxa"/>
          </w:tcPr>
          <w:p w14:paraId="0FB215B1" w14:textId="77777777" w:rsidR="00D22B07" w:rsidRPr="00A313F6" w:rsidRDefault="00D22B07" w:rsidP="00D22B07">
            <w:r w:rsidRPr="00A313F6">
              <w:t xml:space="preserve">The manuscript contains an improved version of Adomian's </w:t>
            </w:r>
            <w:proofErr w:type="spellStart"/>
            <w:r w:rsidRPr="00A313F6">
              <w:t>Decompositional</w:t>
            </w:r>
            <w:proofErr w:type="spellEnd"/>
            <w:r w:rsidRPr="00A313F6">
              <w:t xml:space="preserve"> method. It gives approximate solutions and can also give the exact solution if there is one. It has the advantage of converging more quickly than the classical method.</w:t>
            </w:r>
          </w:p>
          <w:p w14:paraId="5D03E3BC" w14:textId="77777777" w:rsidR="00A86835" w:rsidRPr="00A313F6" w:rsidRDefault="00D22B07">
            <w:pPr>
              <w:pStyle w:val="TableParagraph"/>
            </w:pPr>
            <w:r w:rsidRPr="00A313F6">
              <w:t>Graphical representations of the obtained solutions will be included to improve the manuscript.</w:t>
            </w:r>
          </w:p>
          <w:p w14:paraId="2D7EA44C" w14:textId="68B53B98" w:rsidR="00A313F6" w:rsidRDefault="00A313F6">
            <w:pPr>
              <w:pStyle w:val="TableParagraph"/>
              <w:rPr>
                <w:sz w:val="18"/>
              </w:rPr>
            </w:pPr>
            <w:r w:rsidRPr="00A313F6">
              <w:t>The method gives the exact solution if there is one. When it is difficult or impossible to have the exact solution, we obtain an approximate solution.</w:t>
            </w:r>
          </w:p>
        </w:tc>
      </w:tr>
      <w:tr w:rsidR="00A86835" w14:paraId="49F2140F" w14:textId="77777777">
        <w:trPr>
          <w:trHeight w:val="1262"/>
        </w:trPr>
        <w:tc>
          <w:tcPr>
            <w:tcW w:w="5352" w:type="dxa"/>
          </w:tcPr>
          <w:p w14:paraId="1EA28448" w14:textId="77777777" w:rsidR="00A86835" w:rsidRDefault="002914A2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5BB977A0" w14:textId="77777777" w:rsidR="00A86835" w:rsidRDefault="002914A2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752F1B2D" w14:textId="77777777" w:rsidR="00A86835" w:rsidRDefault="002914A2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Yes</w:t>
            </w:r>
          </w:p>
        </w:tc>
        <w:tc>
          <w:tcPr>
            <w:tcW w:w="6445" w:type="dxa"/>
          </w:tcPr>
          <w:p w14:paraId="2B327653" w14:textId="77777777" w:rsidR="00A86835" w:rsidRDefault="00A86835">
            <w:pPr>
              <w:pStyle w:val="TableParagraph"/>
              <w:rPr>
                <w:sz w:val="18"/>
              </w:rPr>
            </w:pPr>
          </w:p>
        </w:tc>
      </w:tr>
      <w:tr w:rsidR="00A86835" w14:paraId="58BE5EE9" w14:textId="77777777">
        <w:trPr>
          <w:trHeight w:val="1262"/>
        </w:trPr>
        <w:tc>
          <w:tcPr>
            <w:tcW w:w="5352" w:type="dxa"/>
          </w:tcPr>
          <w:p w14:paraId="66F86F58" w14:textId="77777777" w:rsidR="00A86835" w:rsidRDefault="002914A2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3D47263" w14:textId="77777777" w:rsidR="00A86835" w:rsidRDefault="002914A2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Yes</w:t>
            </w:r>
          </w:p>
        </w:tc>
        <w:tc>
          <w:tcPr>
            <w:tcW w:w="6445" w:type="dxa"/>
          </w:tcPr>
          <w:p w14:paraId="68351DA0" w14:textId="77777777" w:rsidR="00A86835" w:rsidRDefault="00A86835">
            <w:pPr>
              <w:pStyle w:val="TableParagraph"/>
              <w:rPr>
                <w:sz w:val="18"/>
              </w:rPr>
            </w:pPr>
          </w:p>
        </w:tc>
      </w:tr>
      <w:tr w:rsidR="00A86835" w14:paraId="19DB7519" w14:textId="77777777">
        <w:trPr>
          <w:trHeight w:val="703"/>
        </w:trPr>
        <w:tc>
          <w:tcPr>
            <w:tcW w:w="5352" w:type="dxa"/>
          </w:tcPr>
          <w:p w14:paraId="1A4BFE0B" w14:textId="77777777" w:rsidR="00A86835" w:rsidRDefault="002914A2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705DA6F6" w14:textId="77777777" w:rsidR="00A86835" w:rsidRDefault="00A86835">
            <w:pPr>
              <w:pStyle w:val="TableParagraph"/>
              <w:rPr>
                <w:sz w:val="18"/>
              </w:rPr>
            </w:pPr>
          </w:p>
        </w:tc>
        <w:tc>
          <w:tcPr>
            <w:tcW w:w="6445" w:type="dxa"/>
          </w:tcPr>
          <w:p w14:paraId="53DB29B2" w14:textId="08212FEB" w:rsidR="00A86835" w:rsidRDefault="00C101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Yes </w:t>
            </w:r>
          </w:p>
        </w:tc>
      </w:tr>
      <w:tr w:rsidR="00A86835" w14:paraId="1DC3A940" w14:textId="77777777">
        <w:trPr>
          <w:trHeight w:val="702"/>
        </w:trPr>
        <w:tc>
          <w:tcPr>
            <w:tcW w:w="5352" w:type="dxa"/>
          </w:tcPr>
          <w:p w14:paraId="1327F4FC" w14:textId="77777777" w:rsidR="00A86835" w:rsidRDefault="002914A2">
            <w:pPr>
              <w:pStyle w:val="TableParagraph"/>
              <w:spacing w:line="230" w:lineRule="atLeast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EEE2429" w14:textId="77777777" w:rsidR="00A86835" w:rsidRDefault="00A86835">
            <w:pPr>
              <w:pStyle w:val="TableParagraph"/>
              <w:rPr>
                <w:sz w:val="18"/>
              </w:rPr>
            </w:pPr>
          </w:p>
        </w:tc>
        <w:tc>
          <w:tcPr>
            <w:tcW w:w="6445" w:type="dxa"/>
          </w:tcPr>
          <w:p w14:paraId="62C61B70" w14:textId="77777777" w:rsidR="00D22B07" w:rsidRDefault="00D22B07" w:rsidP="00D22B07">
            <w:r w:rsidRPr="00F6218B">
              <w:t>Several references in this article are recent. However, some recent references are being added and older ones are being removed.</w:t>
            </w:r>
          </w:p>
          <w:p w14:paraId="10EE3714" w14:textId="77777777" w:rsidR="00A86835" w:rsidRDefault="00A86835">
            <w:pPr>
              <w:pStyle w:val="TableParagraph"/>
              <w:rPr>
                <w:sz w:val="18"/>
              </w:rPr>
            </w:pPr>
          </w:p>
        </w:tc>
      </w:tr>
      <w:tr w:rsidR="00A86835" w14:paraId="010CFE8D" w14:textId="77777777">
        <w:trPr>
          <w:trHeight w:val="690"/>
        </w:trPr>
        <w:tc>
          <w:tcPr>
            <w:tcW w:w="5352" w:type="dxa"/>
          </w:tcPr>
          <w:p w14:paraId="7640AB74" w14:textId="77777777" w:rsidR="00A86835" w:rsidRDefault="002914A2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9FE6B9E" w14:textId="77777777" w:rsidR="00A86835" w:rsidRDefault="002914A2">
            <w:pPr>
              <w:pStyle w:val="TableParagraph"/>
              <w:ind w:left="108" w:right="13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good,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attention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typographical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errors,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linguistic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rephrasing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should be corrected.</w:t>
            </w:r>
          </w:p>
        </w:tc>
        <w:tc>
          <w:tcPr>
            <w:tcW w:w="6445" w:type="dxa"/>
          </w:tcPr>
          <w:p w14:paraId="1E9A5E79" w14:textId="1734D6F4" w:rsidR="00D22B07" w:rsidRDefault="00D22B07" w:rsidP="00D22B07">
            <w:r w:rsidRPr="00F6218B">
              <w:t>The document is written in English. Any inadvertent language errors will be corrected.</w:t>
            </w:r>
          </w:p>
          <w:p w14:paraId="20734439" w14:textId="77777777" w:rsidR="00A86835" w:rsidRDefault="00A86835">
            <w:pPr>
              <w:pStyle w:val="TableParagraph"/>
              <w:rPr>
                <w:sz w:val="18"/>
              </w:rPr>
            </w:pPr>
          </w:p>
        </w:tc>
      </w:tr>
      <w:tr w:rsidR="00A86835" w14:paraId="3E198C2B" w14:textId="77777777">
        <w:trPr>
          <w:trHeight w:val="1177"/>
        </w:trPr>
        <w:tc>
          <w:tcPr>
            <w:tcW w:w="5352" w:type="dxa"/>
          </w:tcPr>
          <w:p w14:paraId="6A8E1168" w14:textId="77777777" w:rsidR="00A86835" w:rsidRDefault="002914A2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673EA6BC" w14:textId="77777777" w:rsidR="00A86835" w:rsidRDefault="00A86835">
            <w:pPr>
              <w:pStyle w:val="TableParagraph"/>
              <w:rPr>
                <w:sz w:val="18"/>
              </w:rPr>
            </w:pPr>
          </w:p>
        </w:tc>
        <w:tc>
          <w:tcPr>
            <w:tcW w:w="6445" w:type="dxa"/>
          </w:tcPr>
          <w:p w14:paraId="698F6B70" w14:textId="77777777" w:rsidR="00A86835" w:rsidRDefault="00A86835">
            <w:pPr>
              <w:pStyle w:val="TableParagraph"/>
              <w:rPr>
                <w:sz w:val="18"/>
              </w:rPr>
            </w:pPr>
          </w:p>
        </w:tc>
      </w:tr>
    </w:tbl>
    <w:p w14:paraId="75231759" w14:textId="77777777" w:rsidR="00A86835" w:rsidRDefault="00A86835">
      <w:pPr>
        <w:pStyle w:val="Corpsdetexte"/>
        <w:rPr>
          <w:b w:val="0"/>
        </w:rPr>
      </w:pPr>
    </w:p>
    <w:p w14:paraId="5E43A758" w14:textId="77777777" w:rsidR="00A86835" w:rsidRDefault="00A86835">
      <w:pPr>
        <w:pStyle w:val="Corpsdetexte"/>
        <w:rPr>
          <w:b w:val="0"/>
        </w:rPr>
      </w:pPr>
    </w:p>
    <w:p w14:paraId="6477B81A" w14:textId="77777777" w:rsidR="00A86835" w:rsidRDefault="00A86835">
      <w:pPr>
        <w:pStyle w:val="Corpsdetexte"/>
        <w:rPr>
          <w:b w:val="0"/>
        </w:rPr>
      </w:pPr>
    </w:p>
    <w:p w14:paraId="5FDEB52E" w14:textId="77777777" w:rsidR="00D432BD" w:rsidRDefault="00D432BD">
      <w:pPr>
        <w:pStyle w:val="Corpsdetexte"/>
        <w:rPr>
          <w:b w:val="0"/>
        </w:rPr>
      </w:pPr>
    </w:p>
    <w:p w14:paraId="7DD98996" w14:textId="77777777" w:rsidR="00D432BD" w:rsidRDefault="00D432BD">
      <w:pPr>
        <w:pStyle w:val="Corpsdetexte"/>
        <w:rPr>
          <w:b w:val="0"/>
        </w:rPr>
      </w:pPr>
    </w:p>
    <w:p w14:paraId="1D804491" w14:textId="77777777" w:rsidR="00D432BD" w:rsidRDefault="00D432BD">
      <w:pPr>
        <w:pStyle w:val="Corpsdetexte"/>
        <w:rPr>
          <w:b w:val="0"/>
        </w:rPr>
      </w:pPr>
    </w:p>
    <w:p w14:paraId="5CD338EE" w14:textId="77777777" w:rsidR="00D432BD" w:rsidRDefault="00D432BD">
      <w:pPr>
        <w:pStyle w:val="Corpsdetexte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2"/>
        <w:gridCol w:w="7711"/>
        <w:gridCol w:w="7698"/>
      </w:tblGrid>
      <w:tr w:rsidR="00D432BD" w:rsidRPr="00D432BD" w14:paraId="7DBF9C00" w14:textId="77777777" w:rsidTr="00475B1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BDC87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D432B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432B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987E742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432BD" w:rsidRPr="00D432BD" w14:paraId="022FC646" w14:textId="77777777" w:rsidTr="00475B1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A1B7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8AABE" w14:textId="77777777" w:rsidR="00D432BD" w:rsidRPr="00D432BD" w:rsidRDefault="00D432BD" w:rsidP="00D432BD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432B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31B1CE1" w14:textId="77777777" w:rsidR="00D432BD" w:rsidRPr="00D432BD" w:rsidRDefault="00D432BD" w:rsidP="00D432BD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432B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432B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432B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432BD" w:rsidRPr="00D432BD" w14:paraId="2B67969A" w14:textId="77777777" w:rsidTr="00475B1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6196F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432B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99AA566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7FE03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432B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432B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432B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F68AF9F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E267499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4540BF0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5AE7DB" w14:textId="3C9E95CD" w:rsidR="00D432BD" w:rsidRPr="00D432BD" w:rsidRDefault="00CE6B21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357D8517" w14:textId="77777777" w:rsidR="00D432BD" w:rsidRPr="00D432BD" w:rsidRDefault="00D432BD" w:rsidP="00D432B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0096438" w14:textId="77777777" w:rsidR="00D432BD" w:rsidRPr="00D432BD" w:rsidRDefault="00D432BD" w:rsidP="00D432BD">
      <w:pPr>
        <w:widowControl/>
        <w:autoSpaceDE/>
        <w:autoSpaceDN/>
        <w:rPr>
          <w:sz w:val="24"/>
          <w:szCs w:val="24"/>
        </w:rPr>
      </w:pPr>
    </w:p>
    <w:p w14:paraId="43567CC1" w14:textId="77777777" w:rsidR="00D432BD" w:rsidRPr="00D432BD" w:rsidRDefault="00D432BD" w:rsidP="00D432BD">
      <w:pPr>
        <w:widowControl/>
        <w:autoSpaceDE/>
        <w:autoSpaceDN/>
        <w:rPr>
          <w:sz w:val="24"/>
          <w:szCs w:val="24"/>
        </w:rPr>
      </w:pPr>
    </w:p>
    <w:p w14:paraId="67FCCBBB" w14:textId="77777777" w:rsidR="00D432BD" w:rsidRPr="00D432BD" w:rsidRDefault="00D432BD" w:rsidP="00D432BD">
      <w:pPr>
        <w:widowControl/>
        <w:autoSpaceDE/>
        <w:autoSpaceDN/>
        <w:rPr>
          <w:bCs/>
          <w:sz w:val="24"/>
          <w:szCs w:val="24"/>
          <w:u w:val="single"/>
          <w:lang w:val="en-GB"/>
        </w:rPr>
      </w:pPr>
    </w:p>
    <w:bookmarkEnd w:id="1"/>
    <w:p w14:paraId="6820BA0B" w14:textId="77777777" w:rsidR="00D432BD" w:rsidRPr="00D432BD" w:rsidRDefault="00D432BD" w:rsidP="00D432BD">
      <w:pPr>
        <w:widowControl/>
        <w:autoSpaceDE/>
        <w:autoSpaceDN/>
        <w:rPr>
          <w:sz w:val="24"/>
          <w:szCs w:val="24"/>
        </w:rPr>
      </w:pPr>
    </w:p>
    <w:p w14:paraId="4A8E3487" w14:textId="77777777" w:rsidR="00D432BD" w:rsidRDefault="00D432BD">
      <w:pPr>
        <w:pStyle w:val="Corpsdetexte"/>
        <w:rPr>
          <w:b w:val="0"/>
        </w:rPr>
      </w:pPr>
    </w:p>
    <w:sectPr w:rsidR="00D432BD" w:rsidSect="00D432BD">
      <w:pgSz w:w="23820" w:h="16840" w:orient="landscape"/>
      <w:pgMar w:top="1820" w:right="0" w:bottom="1555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00A5E" w14:textId="77777777" w:rsidR="002415AA" w:rsidRDefault="002415AA">
      <w:r>
        <w:separator/>
      </w:r>
    </w:p>
  </w:endnote>
  <w:endnote w:type="continuationSeparator" w:id="0">
    <w:p w14:paraId="655B6A98" w14:textId="77777777" w:rsidR="002415AA" w:rsidRDefault="0024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9855C" w14:textId="77777777" w:rsidR="002415AA" w:rsidRDefault="002415AA">
      <w:r>
        <w:separator/>
      </w:r>
    </w:p>
  </w:footnote>
  <w:footnote w:type="continuationSeparator" w:id="0">
    <w:p w14:paraId="397ACAAC" w14:textId="77777777" w:rsidR="002415AA" w:rsidRDefault="00241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1704C"/>
    <w:multiLevelType w:val="hybridMultilevel"/>
    <w:tmpl w:val="ECECAD7C"/>
    <w:lvl w:ilvl="0" w:tplc="1FCC4A8E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1A84A4A">
      <w:numFmt w:val="bullet"/>
      <w:lvlText w:val="•"/>
      <w:lvlJc w:val="left"/>
      <w:pPr>
        <w:ind w:left="1453" w:hanging="201"/>
      </w:pPr>
      <w:rPr>
        <w:rFonts w:hint="default"/>
        <w:lang w:val="en-US" w:eastAsia="en-US" w:bidi="ar-SA"/>
      </w:rPr>
    </w:lvl>
    <w:lvl w:ilvl="2" w:tplc="6268B31C">
      <w:numFmt w:val="bullet"/>
      <w:lvlText w:val="•"/>
      <w:lvlJc w:val="left"/>
      <w:pPr>
        <w:ind w:left="2606" w:hanging="201"/>
      </w:pPr>
      <w:rPr>
        <w:rFonts w:hint="default"/>
        <w:lang w:val="en-US" w:eastAsia="en-US" w:bidi="ar-SA"/>
      </w:rPr>
    </w:lvl>
    <w:lvl w:ilvl="3" w:tplc="B25A977E">
      <w:numFmt w:val="bullet"/>
      <w:lvlText w:val="•"/>
      <w:lvlJc w:val="left"/>
      <w:pPr>
        <w:ind w:left="3759" w:hanging="201"/>
      </w:pPr>
      <w:rPr>
        <w:rFonts w:hint="default"/>
        <w:lang w:val="en-US" w:eastAsia="en-US" w:bidi="ar-SA"/>
      </w:rPr>
    </w:lvl>
    <w:lvl w:ilvl="4" w:tplc="4AD67EB6">
      <w:numFmt w:val="bullet"/>
      <w:lvlText w:val="•"/>
      <w:lvlJc w:val="left"/>
      <w:pPr>
        <w:ind w:left="4912" w:hanging="201"/>
      </w:pPr>
      <w:rPr>
        <w:rFonts w:hint="default"/>
        <w:lang w:val="en-US" w:eastAsia="en-US" w:bidi="ar-SA"/>
      </w:rPr>
    </w:lvl>
    <w:lvl w:ilvl="5" w:tplc="79A4E556">
      <w:numFmt w:val="bullet"/>
      <w:lvlText w:val="•"/>
      <w:lvlJc w:val="left"/>
      <w:pPr>
        <w:ind w:left="6065" w:hanging="201"/>
      </w:pPr>
      <w:rPr>
        <w:rFonts w:hint="default"/>
        <w:lang w:val="en-US" w:eastAsia="en-US" w:bidi="ar-SA"/>
      </w:rPr>
    </w:lvl>
    <w:lvl w:ilvl="6" w:tplc="ACB8BBD8">
      <w:numFmt w:val="bullet"/>
      <w:lvlText w:val="•"/>
      <w:lvlJc w:val="left"/>
      <w:pPr>
        <w:ind w:left="7218" w:hanging="201"/>
      </w:pPr>
      <w:rPr>
        <w:rFonts w:hint="default"/>
        <w:lang w:val="en-US" w:eastAsia="en-US" w:bidi="ar-SA"/>
      </w:rPr>
    </w:lvl>
    <w:lvl w:ilvl="7" w:tplc="0666E676">
      <w:numFmt w:val="bullet"/>
      <w:lvlText w:val="•"/>
      <w:lvlJc w:val="left"/>
      <w:pPr>
        <w:ind w:left="8371" w:hanging="201"/>
      </w:pPr>
      <w:rPr>
        <w:rFonts w:hint="default"/>
        <w:lang w:val="en-US" w:eastAsia="en-US" w:bidi="ar-SA"/>
      </w:rPr>
    </w:lvl>
    <w:lvl w:ilvl="8" w:tplc="E0C0DF9C">
      <w:numFmt w:val="bullet"/>
      <w:lvlText w:val="•"/>
      <w:lvlJc w:val="left"/>
      <w:pPr>
        <w:ind w:left="9524" w:hanging="201"/>
      </w:pPr>
      <w:rPr>
        <w:rFonts w:hint="default"/>
        <w:lang w:val="en-US" w:eastAsia="en-US" w:bidi="ar-SA"/>
      </w:rPr>
    </w:lvl>
  </w:abstractNum>
  <w:num w:numId="1" w16cid:durableId="97984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6835"/>
    <w:rsid w:val="002415AA"/>
    <w:rsid w:val="002914A2"/>
    <w:rsid w:val="00327FED"/>
    <w:rsid w:val="00411FF9"/>
    <w:rsid w:val="005C6016"/>
    <w:rsid w:val="009D7B50"/>
    <w:rsid w:val="00A313F6"/>
    <w:rsid w:val="00A86835"/>
    <w:rsid w:val="00B43739"/>
    <w:rsid w:val="00C10126"/>
    <w:rsid w:val="00CE6B21"/>
    <w:rsid w:val="00D22B07"/>
    <w:rsid w:val="00D432BD"/>
    <w:rsid w:val="00FE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DF76"/>
  <w15:docId w15:val="{76F67BB9-6950-49FD-8FAA-5ACE3674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b/>
      <w:bCs/>
      <w:sz w:val="20"/>
      <w:szCs w:val="20"/>
    </w:rPr>
  </w:style>
  <w:style w:type="paragraph" w:styleId="Titr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semiHidden/>
    <w:unhideWhenUsed/>
    <w:rsid w:val="005C6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amcs.com/index.php/JAM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DELL</cp:lastModifiedBy>
  <cp:revision>5</cp:revision>
  <dcterms:created xsi:type="dcterms:W3CDTF">2025-03-28T09:05:00Z</dcterms:created>
  <dcterms:modified xsi:type="dcterms:W3CDTF">2025-04-01T19:21:00Z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2025-03-28T00:00:00Z</vt:filetime>
  </property>
  <property fmtid="{D5CDD505-2E9C-101B-9397-08002B2CF9AE}" pid="5" name="Producer">
    <vt:lpwstr>3-Heights(TM) PDF Security Shell 4.8.25.2 (http://www.pdf-tools.com)</vt:lpwstr>
  </property>
</Properties>
</file>