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83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7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before="220" w:after="0" w:line="292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It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necessary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that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end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introductory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part,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authors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highlight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="00896C4B" w:rsidRPr="006837C8">
        <w:rPr>
          <w:rFonts w:ascii="Arial" w:eastAsia="Trebuchet MS" w:hAnsi="Arial" w:cs="Arial"/>
          <w:spacing w:val="-6"/>
          <w:sz w:val="20"/>
          <w:szCs w:val="20"/>
          <w:lang w:val="en-US"/>
        </w:rPr>
        <w:t>this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="00896C4B" w:rsidRPr="006837C8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study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comparison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with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already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implemented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published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research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(or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their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contribution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scientific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discipline,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technical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social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practice).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5"/>
        </w:tabs>
        <w:autoSpaceDE w:val="0"/>
        <w:autoSpaceDN w:val="0"/>
        <w:spacing w:after="0" w:line="276" w:lineRule="exact"/>
        <w:ind w:left="425" w:hanging="283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experimental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conditions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need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be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described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much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more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detail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including:</w:t>
      </w:r>
    </w:p>
    <w:p w:rsidR="00EA60C0" w:rsidRPr="00EA60C0" w:rsidRDefault="00EA60C0" w:rsidP="00EA60C0">
      <w:pPr>
        <w:widowControl w:val="0"/>
        <w:numPr>
          <w:ilvl w:val="1"/>
          <w:numId w:val="3"/>
        </w:numPr>
        <w:tabs>
          <w:tab w:val="left" w:pos="862"/>
        </w:tabs>
        <w:autoSpaceDE w:val="0"/>
        <w:autoSpaceDN w:val="0"/>
        <w:spacing w:before="61" w:after="0" w:line="290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Where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was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cassava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grown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whether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there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pieces,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the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pieces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cassava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from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which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samples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taken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(i.e.,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example,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whether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fruit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was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healthy,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whether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pieces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approximately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size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-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since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all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this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affects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amount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water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retained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fruit).</w:t>
      </w:r>
    </w:p>
    <w:p w:rsidR="00EA60C0" w:rsidRPr="00EA60C0" w:rsidRDefault="00EA60C0" w:rsidP="00EA60C0">
      <w:pPr>
        <w:widowControl w:val="0"/>
        <w:numPr>
          <w:ilvl w:val="1"/>
          <w:numId w:val="3"/>
        </w:numPr>
        <w:tabs>
          <w:tab w:val="left" w:pos="861"/>
        </w:tabs>
        <w:autoSpaceDE w:val="0"/>
        <w:autoSpaceDN w:val="0"/>
        <w:spacing w:before="6" w:after="0" w:line="240" w:lineRule="auto"/>
        <w:ind w:left="861" w:hanging="35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What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type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oven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was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used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drying?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Did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air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circulate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oven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not?</w:t>
      </w:r>
    </w:p>
    <w:p w:rsidR="00EA60C0" w:rsidRPr="00EA60C0" w:rsidRDefault="00EA60C0" w:rsidP="00EA60C0">
      <w:pPr>
        <w:widowControl w:val="0"/>
        <w:numPr>
          <w:ilvl w:val="1"/>
          <w:numId w:val="3"/>
        </w:numPr>
        <w:tabs>
          <w:tab w:val="left" w:pos="862"/>
        </w:tabs>
        <w:autoSpaceDE w:val="0"/>
        <w:autoSpaceDN w:val="0"/>
        <w:spacing w:before="61" w:after="0" w:line="290" w:lineRule="auto"/>
        <w:ind w:right="141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many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identical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pieces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dried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temperature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due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repeated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measurements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data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statistically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processed?</w:t>
      </w:r>
    </w:p>
    <w:p w:rsidR="00EA60C0" w:rsidRPr="00EA60C0" w:rsidRDefault="00EA60C0" w:rsidP="00EA60C0">
      <w:pPr>
        <w:widowControl w:val="0"/>
        <w:numPr>
          <w:ilvl w:val="1"/>
          <w:numId w:val="3"/>
        </w:numPr>
        <w:tabs>
          <w:tab w:val="left" w:pos="862"/>
        </w:tabs>
        <w:autoSpaceDE w:val="0"/>
        <w:autoSpaceDN w:val="0"/>
        <w:spacing w:before="1" w:after="0" w:line="290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pieces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characteristics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(dimensions)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dried: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individually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in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larger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quantities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once?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they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distributed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on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mat: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randomly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or evenly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(if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larger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quantity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used)?</w:t>
      </w:r>
    </w:p>
    <w:p w:rsidR="00EA60C0" w:rsidRPr="00EA60C0" w:rsidRDefault="00EA60C0" w:rsidP="00EA60C0">
      <w:pPr>
        <w:widowControl w:val="0"/>
        <w:numPr>
          <w:ilvl w:val="1"/>
          <w:numId w:val="3"/>
        </w:numPr>
        <w:tabs>
          <w:tab w:val="left" w:pos="862"/>
        </w:tabs>
        <w:autoSpaceDE w:val="0"/>
        <w:autoSpaceDN w:val="0"/>
        <w:spacing w:before="2" w:after="0" w:line="290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How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were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pieces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placed/positioned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on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mat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during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oven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drying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(i.e.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which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surface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was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contact</w:t>
      </w:r>
      <w:r w:rsidRPr="00EA60C0">
        <w:rPr>
          <w:rFonts w:ascii="Arial" w:eastAsia="Trebuchet MS" w:hAnsi="Arial" w:cs="Arial"/>
          <w:spacing w:val="3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with</w:t>
      </w:r>
      <w:r w:rsidRPr="00EA60C0">
        <w:rPr>
          <w:rFonts w:ascii="Arial" w:eastAsia="Trebuchet MS" w:hAnsi="Arial" w:cs="Arial"/>
          <w:spacing w:val="3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mat)?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Can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position/orientation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3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 xml:space="preserve">the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2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x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1.5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x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1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cm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samples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affect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result?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Was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mat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perforated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not,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i.e.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did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warm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air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have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access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samples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also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from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bottom?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...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before="7" w:after="0" w:line="292" w:lineRule="auto"/>
        <w:ind w:right="138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z w:val="20"/>
          <w:szCs w:val="20"/>
          <w:lang w:val="en-US"/>
        </w:rPr>
        <w:t>Overall,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connection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between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weight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(weight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change)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product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 xml:space="preserve">during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drying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entirely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clear,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since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authors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do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state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either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basic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weight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the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individual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cassava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pieces,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method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weighing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them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during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oven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drying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(they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state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measurement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with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micrometer),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duration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weighing,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 xml:space="preserve">thickness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measurement.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after="0" w:line="290" w:lineRule="auto"/>
        <w:ind w:right="140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Why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unit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X(t):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water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content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product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equation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(5)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as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for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drying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rate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equation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(4)?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after="0" w:line="292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It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necessary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that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axes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graphs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Figures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2-4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show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marks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where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given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values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are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located,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because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this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makes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values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confusing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with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regard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values mentioned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text.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after="0" w:line="292" w:lineRule="auto"/>
        <w:ind w:right="138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graphs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Figure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2 seem to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be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almost identical,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...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if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authors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talk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about the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times</w:t>
      </w:r>
      <w:r w:rsidRPr="00EA60C0">
        <w:rPr>
          <w:rFonts w:ascii="Arial" w:eastAsia="Trebuchet MS" w:hAnsi="Arial" w:cs="Arial"/>
          <w:spacing w:val="3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3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3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end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drying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3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620,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540,</w:t>
      </w:r>
      <w:r w:rsidRPr="00EA60C0">
        <w:rPr>
          <w:rFonts w:ascii="Arial" w:eastAsia="Trebuchet MS" w:hAnsi="Arial" w:cs="Arial"/>
          <w:spacing w:val="3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520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460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minutes</w:t>
      </w:r>
      <w:r w:rsidRPr="00EA60C0">
        <w:rPr>
          <w:rFonts w:ascii="Arial" w:eastAsia="Trebuchet MS" w:hAnsi="Arial" w:cs="Arial"/>
          <w:spacing w:val="3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4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samples</w:t>
      </w:r>
      <w:r w:rsidRPr="00EA60C0">
        <w:rPr>
          <w:rFonts w:ascii="Arial" w:eastAsia="Trebuchet MS" w:hAnsi="Arial" w:cs="Arial"/>
          <w:spacing w:val="3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 2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x</w:t>
      </w:r>
      <w:r w:rsidRPr="00EA60C0">
        <w:rPr>
          <w:rFonts w:ascii="Arial" w:eastAsia="Trebuchet MS" w:hAnsi="Arial" w:cs="Arial"/>
          <w:spacing w:val="-2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1.5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x</w:t>
      </w:r>
      <w:r w:rsidRPr="00EA60C0">
        <w:rPr>
          <w:rFonts w:ascii="Arial" w:eastAsia="Trebuchet MS" w:hAnsi="Arial" w:cs="Arial"/>
          <w:spacing w:val="-2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1</w:t>
      </w:r>
      <w:r w:rsidRPr="00EA60C0">
        <w:rPr>
          <w:rFonts w:ascii="Arial" w:eastAsia="Trebuchet MS" w:hAnsi="Arial" w:cs="Arial"/>
          <w:spacing w:val="-2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cm,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or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640,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600,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540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480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minutes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samples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dimensions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2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x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1.5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x</w:t>
      </w:r>
    </w:p>
    <w:p w:rsidR="00EA60C0" w:rsidRPr="00EA60C0" w:rsidRDefault="00EA60C0" w:rsidP="00EA60C0">
      <w:pPr>
        <w:widowControl w:val="0"/>
        <w:autoSpaceDE w:val="0"/>
        <w:autoSpaceDN w:val="0"/>
        <w:spacing w:after="0" w:line="292" w:lineRule="auto"/>
        <w:ind w:left="426" w:right="140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1.5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cm,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...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when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looking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graphs,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it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seems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that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times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do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correspond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to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their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statements.</w:t>
      </w:r>
    </w:p>
    <w:p w:rsidR="00EA60C0" w:rsidRPr="00EA60C0" w:rsidRDefault="00EA60C0" w:rsidP="00EA60C0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90" w:lineRule="auto"/>
        <w:ind w:right="140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It seems as if the value for X/X0 at 40 deg. C was not measured, it is not visible for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X/X0 = 0.</w:t>
      </w:r>
    </w:p>
    <w:p w:rsidR="00EA60C0" w:rsidRPr="00EA60C0" w:rsidRDefault="00EA60C0" w:rsidP="00EA60C0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after="0" w:line="292" w:lineRule="auto"/>
        <w:ind w:right="139"/>
        <w:jc w:val="both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temperatures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50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60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deg.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C,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it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seems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that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zero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values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X/X0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>ratio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are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both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reached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approximately</w:t>
      </w:r>
      <w:r w:rsidRPr="00EA60C0">
        <w:rPr>
          <w:rFonts w:ascii="Arial" w:eastAsia="Trebuchet MS" w:hAnsi="Arial" w:cs="Arial"/>
          <w:spacing w:val="-1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at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600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min,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while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bookmarkStart w:id="0" w:name="_GoBack"/>
      <w:bookmarkEnd w:id="0"/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graph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Fig.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2a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these</w:t>
      </w:r>
      <w:r w:rsidRPr="00EA60C0">
        <w:rPr>
          <w:rFonts w:ascii="Arial" w:eastAsia="Trebuchet MS" w:hAnsi="Arial" w:cs="Arial"/>
          <w:spacing w:val="-1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values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should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be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540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520</w:t>
      </w:r>
      <w:r w:rsidRPr="00EA60C0">
        <w:rPr>
          <w:rFonts w:ascii="Arial" w:eastAsia="Trebuchet MS" w:hAnsi="Arial" w:cs="Arial"/>
          <w:spacing w:val="-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min,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...</w:t>
      </w:r>
    </w:p>
    <w:p w:rsidR="00EA60C0" w:rsidRPr="00EA60C0" w:rsidRDefault="00EA60C0" w:rsidP="00EA60C0">
      <w:pPr>
        <w:widowControl w:val="0"/>
        <w:autoSpaceDE w:val="0"/>
        <w:autoSpaceDN w:val="0"/>
        <w:spacing w:after="0" w:line="292" w:lineRule="auto"/>
        <w:ind w:left="862" w:right="139" w:hanging="360"/>
        <w:jc w:val="both"/>
        <w:rPr>
          <w:rFonts w:ascii="Arial" w:eastAsia="Trebuchet MS" w:hAnsi="Arial" w:cs="Arial"/>
          <w:sz w:val="20"/>
          <w:szCs w:val="20"/>
          <w:lang w:val="en-US"/>
        </w:rPr>
        <w:sectPr w:rsidR="00EA60C0" w:rsidRPr="00EA60C0" w:rsidSect="00EA60C0">
          <w:pgSz w:w="11910" w:h="16840"/>
          <w:pgMar w:top="1320" w:right="1275" w:bottom="280" w:left="1275" w:header="720" w:footer="720" w:gutter="0"/>
          <w:cols w:space="720"/>
        </w:sectPr>
      </w:pPr>
    </w:p>
    <w:p w:rsidR="00EA60C0" w:rsidRPr="00EA60C0" w:rsidRDefault="00EA60C0" w:rsidP="00EA60C0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76" w:after="0" w:line="292" w:lineRule="auto"/>
        <w:ind w:right="139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lastRenderedPageBreak/>
        <w:t>It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also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necessary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authors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use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"sampling"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on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i/>
          <w:spacing w:val="-2"/>
          <w:sz w:val="20"/>
          <w:szCs w:val="20"/>
          <w:lang w:val="en-US"/>
        </w:rPr>
        <w:t>y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-axis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the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graphs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Fig.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2a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2b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image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display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size.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after="0" w:line="292" w:lineRule="auto"/>
        <w:ind w:right="140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z w:val="20"/>
          <w:szCs w:val="20"/>
          <w:lang w:val="en-US"/>
        </w:rPr>
        <w:t>What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"V"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on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y-axis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graph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Fig.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3?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designation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„</w:t>
      </w:r>
      <w:proofErr w:type="gramStart"/>
      <w:r w:rsidRPr="00EA60C0">
        <w:rPr>
          <w:rFonts w:ascii="Arial" w:eastAsia="Trebuchet MS" w:hAnsi="Arial" w:cs="Arial"/>
          <w:sz w:val="20"/>
          <w:szCs w:val="20"/>
          <w:lang w:val="en-US"/>
        </w:rPr>
        <w:t>V“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is</w:t>
      </w:r>
      <w:proofErr w:type="gramEnd"/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18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 xml:space="preserve">explained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anywhere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text,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unit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as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e.g.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X(t)</w:t>
      </w:r>
      <w:r w:rsidRPr="00EA60C0">
        <w:rPr>
          <w:rFonts w:ascii="Arial" w:eastAsia="Trebuchet MS" w:hAnsi="Arial" w:cs="Arial"/>
          <w:spacing w:val="-19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chapter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2.2.1</w:t>
      </w:r>
      <w:r w:rsidRPr="00EA60C0">
        <w:rPr>
          <w:rFonts w:ascii="Arial" w:eastAsia="Trebuchet MS" w:hAnsi="Arial" w:cs="Arial"/>
          <w:spacing w:val="-1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...</w:t>
      </w:r>
    </w:p>
    <w:p w:rsidR="00EA60C0" w:rsidRPr="00EA60C0" w:rsidRDefault="00EA60C0" w:rsidP="00EA60C0">
      <w:pPr>
        <w:widowControl w:val="0"/>
        <w:numPr>
          <w:ilvl w:val="0"/>
          <w:numId w:val="3"/>
        </w:numPr>
        <w:tabs>
          <w:tab w:val="left" w:pos="424"/>
          <w:tab w:val="left" w:pos="426"/>
        </w:tabs>
        <w:autoSpaceDE w:val="0"/>
        <w:autoSpaceDN w:val="0"/>
        <w:spacing w:after="0" w:line="292" w:lineRule="auto"/>
        <w:ind w:right="139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From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formal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point</w:t>
      </w:r>
      <w:r w:rsidRPr="00EA60C0">
        <w:rPr>
          <w:rFonts w:ascii="Arial" w:eastAsia="Trebuchet MS" w:hAnsi="Arial" w:cs="Arial"/>
          <w:spacing w:val="-1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of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view,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article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needs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to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be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improved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connection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with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 xml:space="preserve">the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following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z w:val="20"/>
          <w:szCs w:val="20"/>
          <w:lang w:val="en-US"/>
        </w:rPr>
        <w:t>shortcomings:</w:t>
      </w:r>
    </w:p>
    <w:p w:rsidR="00EA60C0" w:rsidRPr="00EA60C0" w:rsidRDefault="00EA60C0" w:rsidP="00EA60C0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90" w:lineRule="auto"/>
        <w:ind w:right="141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writing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variables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-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text</w:t>
      </w:r>
      <w:r w:rsidRPr="00EA60C0">
        <w:rPr>
          <w:rFonts w:ascii="Arial" w:eastAsia="Trebuchet MS" w:hAnsi="Arial" w:cs="Arial"/>
          <w:spacing w:val="-1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should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use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same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formatting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for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>writing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2"/>
          <w:sz w:val="20"/>
          <w:szCs w:val="20"/>
          <w:lang w:val="en-US"/>
        </w:rPr>
        <w:t xml:space="preserve">variables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</w:t>
      </w:r>
      <w:proofErr w:type="spellStart"/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ittalic</w:t>
      </w:r>
      <w:proofErr w:type="spellEnd"/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)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as</w:t>
      </w:r>
      <w:r w:rsidRPr="00EA60C0">
        <w:rPr>
          <w:rFonts w:ascii="Arial" w:eastAsia="Trebuchet MS" w:hAnsi="Arial" w:cs="Arial"/>
          <w:spacing w:val="-2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equations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(e.g.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</w:t>
      </w:r>
      <w:r w:rsidRPr="00EA60C0">
        <w:rPr>
          <w:rFonts w:ascii="Arial" w:eastAsia="Trebuchet MS" w:hAnsi="Arial" w:cs="Arial"/>
          <w:spacing w:val="-6"/>
          <w:sz w:val="20"/>
          <w:szCs w:val="20"/>
          <w:vertAlign w:val="subscript"/>
          <w:lang w:val="en-US"/>
        </w:rPr>
        <w:t>0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,</w:t>
      </w:r>
      <w:r w:rsidRPr="00EA60C0">
        <w:rPr>
          <w:rFonts w:ascii="Arial" w:eastAsia="Trebuchet MS" w:hAnsi="Arial" w:cs="Arial"/>
          <w:spacing w:val="-24"/>
          <w:sz w:val="20"/>
          <w:szCs w:val="20"/>
          <w:lang w:val="en-US"/>
        </w:rPr>
        <w:t xml:space="preserve"> </w:t>
      </w:r>
      <w:proofErr w:type="spellStart"/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</w:t>
      </w:r>
      <w:r w:rsidRPr="00EA60C0">
        <w:rPr>
          <w:rFonts w:ascii="Arial" w:eastAsia="Trebuchet MS" w:hAnsi="Arial" w:cs="Arial"/>
          <w:spacing w:val="-6"/>
          <w:sz w:val="20"/>
          <w:szCs w:val="20"/>
          <w:vertAlign w:val="subscript"/>
          <w:lang w:val="en-US"/>
        </w:rPr>
        <w:t>s</w:t>
      </w:r>
      <w:proofErr w:type="spellEnd"/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,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m(t),</w:t>
      </w:r>
      <w:r w:rsidRPr="00EA60C0">
        <w:rPr>
          <w:rFonts w:ascii="Arial" w:eastAsia="Trebuchet MS" w:hAnsi="Arial" w:cs="Arial"/>
          <w:spacing w:val="-23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t,</w:t>
      </w:r>
      <w:r w:rsidRPr="00EA60C0">
        <w:rPr>
          <w:rFonts w:ascii="Arial" w:eastAsia="Trebuchet MS" w:hAnsi="Arial" w:cs="Arial"/>
          <w:spacing w:val="-2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>...);</w:t>
      </w:r>
    </w:p>
    <w:p w:rsidR="00EA60C0" w:rsidRPr="00EA60C0" w:rsidRDefault="00EA60C0" w:rsidP="00EA60C0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there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should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be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space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between</w:t>
      </w:r>
      <w:r w:rsidRPr="00EA60C0">
        <w:rPr>
          <w:rFonts w:ascii="Arial" w:eastAsia="Trebuchet MS" w:hAnsi="Arial" w:cs="Arial"/>
          <w:spacing w:val="-22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number</w:t>
      </w:r>
      <w:r w:rsidRPr="00EA60C0">
        <w:rPr>
          <w:rFonts w:ascii="Arial" w:eastAsia="Trebuchet MS" w:hAnsi="Arial" w:cs="Arial"/>
          <w:spacing w:val="-2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and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21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4"/>
          <w:sz w:val="20"/>
          <w:szCs w:val="20"/>
          <w:lang w:val="en-US"/>
        </w:rPr>
        <w:t>unit;</w:t>
      </w:r>
    </w:p>
    <w:p w:rsidR="00EA60C0" w:rsidRPr="00EA60C0" w:rsidRDefault="00EA60C0" w:rsidP="00EA60C0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58" w:after="0" w:line="240" w:lineRule="auto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difference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"d"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formulas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14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written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in</w:t>
      </w:r>
      <w:r w:rsidRPr="00EA60C0">
        <w:rPr>
          <w:rFonts w:ascii="Arial" w:eastAsia="Trebuchet MS" w:hAnsi="Arial" w:cs="Arial"/>
          <w:spacing w:val="-1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italics,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but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e.g.</w:t>
      </w:r>
      <w:r w:rsidRPr="00EA60C0">
        <w:rPr>
          <w:rFonts w:ascii="Arial" w:eastAsia="Trebuchet MS" w:hAnsi="Arial" w:cs="Arial"/>
          <w:spacing w:val="-15"/>
          <w:sz w:val="20"/>
          <w:szCs w:val="20"/>
          <w:lang w:val="en-US"/>
        </w:rPr>
        <w:t xml:space="preserve"> </w:t>
      </w:r>
      <w:proofErr w:type="spellStart"/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d</w:t>
      </w:r>
      <w:r w:rsidRPr="00EA60C0">
        <w:rPr>
          <w:rFonts w:ascii="Arial" w:eastAsia="Trebuchet MS" w:hAnsi="Arial" w:cs="Arial"/>
          <w:i/>
          <w:spacing w:val="-8"/>
          <w:sz w:val="20"/>
          <w:szCs w:val="20"/>
          <w:lang w:val="en-US"/>
        </w:rPr>
        <w:t>X</w:t>
      </w:r>
      <w:proofErr w:type="spellEnd"/>
      <w:r w:rsidRPr="00EA60C0">
        <w:rPr>
          <w:rFonts w:ascii="Arial" w:eastAsia="Trebuchet MS" w:hAnsi="Arial" w:cs="Arial"/>
          <w:spacing w:val="-8"/>
          <w:sz w:val="20"/>
          <w:szCs w:val="20"/>
          <w:lang w:val="en-US"/>
        </w:rPr>
        <w:t>;</w:t>
      </w:r>
    </w:p>
    <w:p w:rsidR="00EA60C0" w:rsidRPr="00EA60C0" w:rsidRDefault="00EA60C0" w:rsidP="00EA60C0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before="61" w:after="0" w:line="240" w:lineRule="auto"/>
        <w:rPr>
          <w:rFonts w:ascii="Arial" w:eastAsia="Trebuchet MS" w:hAnsi="Arial" w:cs="Arial"/>
          <w:sz w:val="20"/>
          <w:szCs w:val="20"/>
          <w:lang w:val="en-US"/>
        </w:rPr>
      </w:pP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writing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the</w:t>
      </w:r>
      <w:r w:rsidRPr="00EA60C0">
        <w:rPr>
          <w:rFonts w:ascii="Arial" w:eastAsia="Trebuchet MS" w:hAnsi="Arial" w:cs="Arial"/>
          <w:spacing w:val="-1"/>
          <w:w w:val="90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unit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kilogram</w:t>
      </w:r>
      <w:r w:rsidRPr="00EA60C0">
        <w:rPr>
          <w:rFonts w:ascii="Arial" w:eastAsia="Trebuchet MS" w:hAnsi="Arial" w:cs="Arial"/>
          <w:spacing w:val="-6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is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kg,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w w:val="90"/>
          <w:sz w:val="20"/>
          <w:szCs w:val="20"/>
          <w:lang w:val="en-US"/>
        </w:rPr>
        <w:t>not</w:t>
      </w:r>
      <w:r w:rsidRPr="00EA60C0">
        <w:rPr>
          <w:rFonts w:ascii="Arial" w:eastAsia="Trebuchet MS" w:hAnsi="Arial" w:cs="Arial"/>
          <w:spacing w:val="-7"/>
          <w:sz w:val="20"/>
          <w:szCs w:val="20"/>
          <w:lang w:val="en-US"/>
        </w:rPr>
        <w:t xml:space="preserve"> </w:t>
      </w:r>
      <w:r w:rsidRPr="00EA60C0">
        <w:rPr>
          <w:rFonts w:ascii="Arial" w:eastAsia="Trebuchet MS" w:hAnsi="Arial" w:cs="Arial"/>
          <w:spacing w:val="-5"/>
          <w:w w:val="90"/>
          <w:sz w:val="20"/>
          <w:szCs w:val="20"/>
          <w:lang w:val="en-US"/>
        </w:rPr>
        <w:t>Kg.</w:t>
      </w:r>
    </w:p>
    <w:p w:rsidR="00B1746C" w:rsidRPr="006837C8" w:rsidRDefault="00B1746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837C8" w:rsidRPr="00683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837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837C8" w:rsidRDefault="006837C8" w:rsidP="006837C8">
      <w:pPr>
        <w:rPr>
          <w:rFonts w:ascii="Arial" w:hAnsi="Arial" w:cs="Arial"/>
          <w:sz w:val="20"/>
          <w:szCs w:val="20"/>
        </w:rPr>
      </w:pPr>
      <w:proofErr w:type="spellStart"/>
      <w:r w:rsidRPr="006837C8">
        <w:rPr>
          <w:rFonts w:ascii="Arial" w:hAnsi="Arial" w:cs="Arial"/>
          <w:sz w:val="20"/>
          <w:szCs w:val="20"/>
        </w:rPr>
        <w:t>Dr.</w:t>
      </w:r>
      <w:proofErr w:type="spellEnd"/>
      <w:r w:rsidRPr="006837C8">
        <w:rPr>
          <w:rFonts w:ascii="Arial" w:hAnsi="Arial" w:cs="Arial"/>
          <w:sz w:val="20"/>
          <w:szCs w:val="20"/>
        </w:rPr>
        <w:t xml:space="preserve"> Katarina </w:t>
      </w:r>
      <w:proofErr w:type="spellStart"/>
      <w:r w:rsidRPr="006837C8">
        <w:rPr>
          <w:rFonts w:ascii="Arial" w:hAnsi="Arial" w:cs="Arial"/>
          <w:sz w:val="20"/>
          <w:szCs w:val="20"/>
        </w:rPr>
        <w:t>Monkova</w:t>
      </w:r>
      <w:proofErr w:type="spellEnd"/>
      <w:r w:rsidRPr="006837C8">
        <w:rPr>
          <w:rFonts w:ascii="Arial" w:hAnsi="Arial" w:cs="Arial"/>
          <w:sz w:val="20"/>
          <w:szCs w:val="20"/>
        </w:rPr>
        <w:t xml:space="preserve">, Tomas Bata University in </w:t>
      </w:r>
      <w:proofErr w:type="spellStart"/>
      <w:r w:rsidRPr="006837C8">
        <w:rPr>
          <w:rFonts w:ascii="Arial" w:hAnsi="Arial" w:cs="Arial"/>
          <w:sz w:val="20"/>
          <w:szCs w:val="20"/>
        </w:rPr>
        <w:t>Zlin</w:t>
      </w:r>
      <w:proofErr w:type="spellEnd"/>
      <w:r w:rsidRPr="006837C8">
        <w:rPr>
          <w:rFonts w:ascii="Arial" w:hAnsi="Arial" w:cs="Arial"/>
          <w:sz w:val="20"/>
          <w:szCs w:val="20"/>
        </w:rPr>
        <w:t>, Czech Republic</w:t>
      </w:r>
    </w:p>
    <w:sectPr w:rsidR="000F2F46" w:rsidRPr="00683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E5464"/>
    <w:multiLevelType w:val="hybridMultilevel"/>
    <w:tmpl w:val="74E0439E"/>
    <w:lvl w:ilvl="0" w:tplc="99B8CA9E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B798B7B6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5734DD64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0688C97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2A72B7B4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E9C26F3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1A6E7564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00529E56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C6D6B666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D07395"/>
    <w:multiLevelType w:val="hybridMultilevel"/>
    <w:tmpl w:val="EC307B44"/>
    <w:lvl w:ilvl="0" w:tplc="64CA0032">
      <w:start w:val="1"/>
      <w:numFmt w:val="decimal"/>
      <w:lvlText w:val="%1)"/>
      <w:lvlJc w:val="left"/>
      <w:pPr>
        <w:ind w:left="426" w:hanging="28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C3F28EB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DCC7904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3" w:tplc="27AC5850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4" w:tplc="699E45E2"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5" w:tplc="42008BC2"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6" w:tplc="16C4BFC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 w:tplc="B8F2B3BA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 w:tplc="7B8C32D2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C5F2D62"/>
    <w:multiLevelType w:val="hybridMultilevel"/>
    <w:tmpl w:val="A33E08F4"/>
    <w:lvl w:ilvl="0" w:tplc="E9D676B6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C0761BC2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5802C9D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CA98A67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FDC27FF0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91D070EC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68A4BD28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3B4AF2FC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61BE30BA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2922"/>
    <w:rsid w:val="001E1122"/>
    <w:rsid w:val="002C0B2C"/>
    <w:rsid w:val="006837C8"/>
    <w:rsid w:val="00896C4B"/>
    <w:rsid w:val="009344FF"/>
    <w:rsid w:val="009F328F"/>
    <w:rsid w:val="00A72896"/>
    <w:rsid w:val="00B1746C"/>
    <w:rsid w:val="00C34658"/>
    <w:rsid w:val="00E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10</cp:revision>
  <dcterms:created xsi:type="dcterms:W3CDTF">2025-02-19T08:37:00Z</dcterms:created>
  <dcterms:modified xsi:type="dcterms:W3CDTF">2025-03-28T07:13:00Z</dcterms:modified>
</cp:coreProperties>
</file>