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6357" w14:textId="67DEBC4C" w:rsidR="009A1B14" w:rsidRDefault="000D528F" w:rsidP="009A1B14">
      <w:pPr>
        <w:spacing w:after="0" w:line="480" w:lineRule="auto"/>
        <w:jc w:val="center"/>
        <w:rPr>
          <w:rFonts w:ascii="Times New Roman" w:hAnsi="Times New Roman" w:cs="Times New Roman"/>
          <w:b/>
          <w:bCs/>
          <w:sz w:val="24"/>
          <w:szCs w:val="24"/>
        </w:rPr>
      </w:pPr>
      <w:bookmarkStart w:id="0" w:name="_Hlk159415510"/>
      <w:r>
        <w:rPr>
          <w:rFonts w:ascii="Times New Roman" w:hAnsi="Times New Roman" w:cs="Times New Roman"/>
          <w:b/>
          <w:bCs/>
          <w:sz w:val="24"/>
          <w:szCs w:val="24"/>
        </w:rPr>
        <w:t xml:space="preserve"> </w:t>
      </w:r>
      <w:r w:rsidR="009A1B14" w:rsidRPr="0021062A">
        <w:rPr>
          <w:rFonts w:ascii="Times New Roman" w:hAnsi="Times New Roman" w:cs="Times New Roman"/>
          <w:b/>
          <w:bCs/>
          <w:sz w:val="24"/>
          <w:szCs w:val="24"/>
        </w:rPr>
        <w:t>Fiscal Sustainability in Nigeria: Does Changes in Oil Price</w:t>
      </w:r>
      <w:r w:rsidR="0082743B">
        <w:rPr>
          <w:rFonts w:ascii="Times New Roman" w:hAnsi="Times New Roman" w:cs="Times New Roman"/>
          <w:b/>
          <w:bCs/>
          <w:sz w:val="24"/>
          <w:szCs w:val="24"/>
        </w:rPr>
        <w:t>s</w:t>
      </w:r>
      <w:r w:rsidR="009A1B14" w:rsidRPr="0021062A">
        <w:rPr>
          <w:rFonts w:ascii="Times New Roman" w:hAnsi="Times New Roman" w:cs="Times New Roman"/>
          <w:b/>
          <w:bCs/>
          <w:sz w:val="24"/>
          <w:szCs w:val="24"/>
        </w:rPr>
        <w:t xml:space="preserve"> Matter?</w:t>
      </w:r>
    </w:p>
    <w:p w14:paraId="6F828089" w14:textId="77777777" w:rsidR="005A0EA8" w:rsidRPr="0021062A" w:rsidRDefault="005A0EA8" w:rsidP="009A1B14">
      <w:pPr>
        <w:spacing w:after="0" w:line="480" w:lineRule="auto"/>
        <w:jc w:val="center"/>
        <w:rPr>
          <w:rFonts w:ascii="Times New Roman" w:hAnsi="Times New Roman" w:cs="Times New Roman"/>
          <w:b/>
          <w:color w:val="000000" w:themeColor="text1"/>
          <w:sz w:val="24"/>
          <w:szCs w:val="24"/>
        </w:rPr>
      </w:pPr>
    </w:p>
    <w:bookmarkEnd w:id="0"/>
    <w:p w14:paraId="7C0E5471" w14:textId="77777777" w:rsidR="00720D39" w:rsidRDefault="00720D39" w:rsidP="009A1B14">
      <w:pPr>
        <w:spacing w:after="0" w:line="480" w:lineRule="auto"/>
        <w:jc w:val="center"/>
        <w:rPr>
          <w:rFonts w:ascii="Times New Roman" w:hAnsi="Times New Roman" w:cs="Times New Roman"/>
          <w:b/>
          <w:color w:val="000000" w:themeColor="text1"/>
          <w:sz w:val="25"/>
          <w:szCs w:val="25"/>
        </w:rPr>
      </w:pPr>
    </w:p>
    <w:p w14:paraId="04DFFF25" w14:textId="7D3BD95A" w:rsidR="009A1B14" w:rsidRDefault="009A1B14" w:rsidP="0027660E">
      <w:pPr>
        <w:spacing w:after="0" w:line="240" w:lineRule="auto"/>
      </w:pPr>
      <w:r w:rsidRPr="00F91B42">
        <w:rPr>
          <w:rFonts w:ascii="Times New Roman" w:hAnsi="Times New Roman" w:cs="Times New Roman"/>
          <w:b/>
          <w:bCs/>
          <w:sz w:val="24"/>
          <w:szCs w:val="24"/>
        </w:rPr>
        <w:t>ABSTRACT</w:t>
      </w:r>
    </w:p>
    <w:p w14:paraId="106333E3" w14:textId="1FE95706" w:rsidR="00A51549" w:rsidRDefault="00F00AC0" w:rsidP="0027660E">
      <w:pPr>
        <w:autoSpaceDE w:val="0"/>
        <w:autoSpaceDN w:val="0"/>
        <w:adjustRightInd w:val="0"/>
        <w:spacing w:after="0" w:line="240" w:lineRule="auto"/>
        <w:jc w:val="both"/>
        <w:rPr>
          <w:rFonts w:ascii="Arial" w:hAnsi="Arial" w:cs="Arial"/>
          <w:sz w:val="20"/>
          <w:szCs w:val="20"/>
          <w:shd w:val="clear" w:color="auto" w:fill="F5F5F5"/>
        </w:rPr>
      </w:pPr>
      <w:r w:rsidRPr="00122CA6">
        <w:rPr>
          <w:rFonts w:ascii="Times New Roman" w:hAnsi="Times New Roman" w:cs="Times New Roman"/>
          <w:sz w:val="24"/>
          <w:szCs w:val="24"/>
        </w:rPr>
        <w:t>In this study, we explore the link between oil price</w:t>
      </w:r>
      <w:r w:rsidR="00DA2F0A" w:rsidRPr="00122CA6">
        <w:rPr>
          <w:rFonts w:ascii="Times New Roman" w:hAnsi="Times New Roman" w:cs="Times New Roman"/>
          <w:sz w:val="24"/>
          <w:szCs w:val="24"/>
        </w:rPr>
        <w:t xml:space="preserve"> fluctuations</w:t>
      </w:r>
      <w:r w:rsidRPr="00122CA6">
        <w:rPr>
          <w:rFonts w:ascii="Times New Roman" w:hAnsi="Times New Roman" w:cs="Times New Roman"/>
          <w:sz w:val="24"/>
          <w:szCs w:val="24"/>
        </w:rPr>
        <w:t xml:space="preserve"> and fiscal </w:t>
      </w:r>
      <w:r w:rsidR="00DA2F0A" w:rsidRPr="00122CA6">
        <w:rPr>
          <w:rFonts w:ascii="Times New Roman" w:hAnsi="Times New Roman" w:cs="Times New Roman"/>
          <w:sz w:val="24"/>
          <w:szCs w:val="24"/>
        </w:rPr>
        <w:t>sustainability in the context of debt servicing</w:t>
      </w:r>
      <w:r w:rsidR="00386FE2" w:rsidRPr="00122CA6">
        <w:rPr>
          <w:rFonts w:ascii="Times New Roman" w:hAnsi="Times New Roman" w:cs="Times New Roman"/>
          <w:sz w:val="24"/>
          <w:szCs w:val="24"/>
        </w:rPr>
        <w:t xml:space="preserve"> in Nigeria</w:t>
      </w:r>
      <w:r w:rsidR="00DA2F0A" w:rsidRPr="00122CA6">
        <w:rPr>
          <w:rFonts w:ascii="Times New Roman" w:hAnsi="Times New Roman" w:cs="Times New Roman"/>
          <w:sz w:val="24"/>
          <w:szCs w:val="24"/>
        </w:rPr>
        <w:t xml:space="preserve">. </w:t>
      </w:r>
      <w:r w:rsidR="00EE19AE" w:rsidRPr="00122CA6">
        <w:rPr>
          <w:rFonts w:ascii="Times New Roman" w:hAnsi="Times New Roman" w:cs="Times New Roman"/>
          <w:sz w:val="24"/>
          <w:szCs w:val="24"/>
        </w:rPr>
        <w:t xml:space="preserve">The idea is that </w:t>
      </w:r>
      <w:r w:rsidR="004368E6" w:rsidRPr="00122CA6">
        <w:rPr>
          <w:rFonts w:ascii="Times New Roman" w:hAnsi="Times New Roman" w:cs="Times New Roman"/>
          <w:sz w:val="24"/>
          <w:szCs w:val="24"/>
        </w:rPr>
        <w:t>high oil price</w:t>
      </w:r>
      <w:r w:rsidR="00386FE2" w:rsidRPr="00122CA6">
        <w:rPr>
          <w:rFonts w:ascii="Times New Roman" w:hAnsi="Times New Roman" w:cs="Times New Roman"/>
          <w:sz w:val="24"/>
          <w:szCs w:val="24"/>
        </w:rPr>
        <w:t xml:space="preserve">s </w:t>
      </w:r>
      <w:r w:rsidR="00807D2E">
        <w:rPr>
          <w:rFonts w:ascii="Times New Roman" w:hAnsi="Times New Roman" w:cs="Times New Roman"/>
          <w:sz w:val="24"/>
          <w:szCs w:val="24"/>
        </w:rPr>
        <w:t>tend to offer</w:t>
      </w:r>
      <w:r w:rsidR="00386FE2" w:rsidRPr="00122CA6">
        <w:rPr>
          <w:rFonts w:ascii="Times New Roman" w:hAnsi="Times New Roman" w:cs="Times New Roman"/>
          <w:sz w:val="24"/>
          <w:szCs w:val="24"/>
        </w:rPr>
        <w:t xml:space="preserve"> a </w:t>
      </w:r>
      <w:r w:rsidR="004368E6" w:rsidRPr="00122CA6">
        <w:rPr>
          <w:rFonts w:ascii="Times New Roman" w:hAnsi="Times New Roman" w:cs="Times New Roman"/>
          <w:sz w:val="24"/>
          <w:szCs w:val="24"/>
        </w:rPr>
        <w:t xml:space="preserve">unique opportunity for </w:t>
      </w:r>
      <w:r w:rsidR="00386FE2" w:rsidRPr="00122CA6">
        <w:rPr>
          <w:rFonts w:ascii="Times New Roman" w:hAnsi="Times New Roman" w:cs="Times New Roman"/>
          <w:sz w:val="24"/>
          <w:szCs w:val="24"/>
        </w:rPr>
        <w:t>Nigeria</w:t>
      </w:r>
      <w:r w:rsidR="004368E6" w:rsidRPr="00122CA6">
        <w:rPr>
          <w:rFonts w:ascii="Times New Roman" w:hAnsi="Times New Roman" w:cs="Times New Roman"/>
          <w:sz w:val="24"/>
          <w:szCs w:val="24"/>
        </w:rPr>
        <w:t xml:space="preserve"> to use the windfall gains to</w:t>
      </w:r>
      <w:r w:rsidR="000120B7" w:rsidRPr="00122CA6">
        <w:rPr>
          <w:rFonts w:ascii="Times New Roman" w:hAnsi="Times New Roman" w:cs="Times New Roman"/>
          <w:sz w:val="24"/>
          <w:szCs w:val="24"/>
        </w:rPr>
        <w:t xml:space="preserve"> foster effective and sustainable debt </w:t>
      </w:r>
      <w:r w:rsidR="00881B22">
        <w:rPr>
          <w:rFonts w:ascii="Times New Roman" w:hAnsi="Times New Roman" w:cs="Times New Roman"/>
          <w:sz w:val="24"/>
          <w:szCs w:val="24"/>
        </w:rPr>
        <w:t>management</w:t>
      </w:r>
      <w:r w:rsidR="000120B7" w:rsidRPr="00122CA6">
        <w:rPr>
          <w:rFonts w:ascii="Times New Roman" w:hAnsi="Times New Roman" w:cs="Times New Roman"/>
          <w:sz w:val="24"/>
          <w:szCs w:val="24"/>
        </w:rPr>
        <w:t>. Thus, we con</w:t>
      </w:r>
      <w:r w:rsidR="000972BA" w:rsidRPr="00122CA6">
        <w:rPr>
          <w:rFonts w:ascii="Times New Roman" w:hAnsi="Times New Roman" w:cs="Times New Roman"/>
          <w:sz w:val="24"/>
          <w:szCs w:val="24"/>
        </w:rPr>
        <w:t xml:space="preserve">struct a dynamic parsimonious error correction model </w:t>
      </w:r>
      <w:r w:rsidR="00E83136" w:rsidRPr="00122CA6">
        <w:rPr>
          <w:rFonts w:ascii="Times New Roman" w:hAnsi="Times New Roman" w:cs="Times New Roman"/>
          <w:sz w:val="24"/>
          <w:szCs w:val="24"/>
        </w:rPr>
        <w:t xml:space="preserve">to quantify the </w:t>
      </w:r>
      <w:r w:rsidR="00E729CC" w:rsidRPr="00122CA6">
        <w:rPr>
          <w:rFonts w:ascii="Times New Roman" w:hAnsi="Times New Roman" w:cs="Times New Roman"/>
          <w:sz w:val="24"/>
          <w:szCs w:val="24"/>
        </w:rPr>
        <w:t xml:space="preserve">effect of Brent crude and West Texas Intermediate oil prices and exchange rate on </w:t>
      </w:r>
      <w:r w:rsidR="000314B1">
        <w:rPr>
          <w:rFonts w:ascii="Times New Roman" w:hAnsi="Times New Roman" w:cs="Times New Roman"/>
          <w:sz w:val="24"/>
          <w:szCs w:val="24"/>
        </w:rPr>
        <w:t xml:space="preserve">public </w:t>
      </w:r>
      <w:r w:rsidR="00D13457" w:rsidRPr="00122CA6">
        <w:rPr>
          <w:rFonts w:ascii="Times New Roman" w:hAnsi="Times New Roman" w:cs="Times New Roman"/>
          <w:sz w:val="24"/>
          <w:szCs w:val="24"/>
        </w:rPr>
        <w:t xml:space="preserve">debt </w:t>
      </w:r>
      <w:r w:rsidR="00D13457" w:rsidRPr="00CC4255">
        <w:rPr>
          <w:rFonts w:ascii="Times New Roman" w:hAnsi="Times New Roman" w:cs="Times New Roman"/>
          <w:color w:val="FF0000"/>
          <w:sz w:val="24"/>
          <w:szCs w:val="24"/>
        </w:rPr>
        <w:t>serving</w:t>
      </w:r>
      <w:r w:rsidR="00D13457" w:rsidRPr="00122CA6">
        <w:rPr>
          <w:rFonts w:ascii="Times New Roman" w:hAnsi="Times New Roman" w:cs="Times New Roman"/>
          <w:sz w:val="24"/>
          <w:szCs w:val="24"/>
        </w:rPr>
        <w:t xml:space="preserve"> between 1990 and 202</w:t>
      </w:r>
      <w:r w:rsidR="000D528F">
        <w:rPr>
          <w:rFonts w:ascii="Times New Roman" w:hAnsi="Times New Roman" w:cs="Times New Roman"/>
          <w:sz w:val="24"/>
          <w:szCs w:val="24"/>
        </w:rPr>
        <w:t xml:space="preserve">2 </w:t>
      </w:r>
      <w:r w:rsidR="000D528F" w:rsidRPr="00EA1212">
        <w:rPr>
          <w:rFonts w:ascii="Times New Roman" w:hAnsi="Times New Roman" w:cs="Times New Roman"/>
          <w:sz w:val="24"/>
          <w:szCs w:val="24"/>
          <w:highlight w:val="yellow"/>
        </w:rPr>
        <w:t xml:space="preserve">with </w:t>
      </w:r>
      <w:r w:rsidR="00E55F3C" w:rsidRPr="00EA1212">
        <w:rPr>
          <w:rFonts w:ascii="Times New Roman" w:hAnsi="Times New Roman" w:cs="Times New Roman"/>
          <w:sz w:val="24"/>
          <w:szCs w:val="24"/>
          <w:highlight w:val="yellow"/>
        </w:rPr>
        <w:t xml:space="preserve">the data sourced from </w:t>
      </w:r>
      <w:r w:rsidR="007D31A6" w:rsidRPr="00EA1212">
        <w:rPr>
          <w:rFonts w:ascii="Times New Roman" w:hAnsi="Times New Roman" w:cs="Times New Roman"/>
          <w:sz w:val="24"/>
          <w:szCs w:val="24"/>
          <w:highlight w:val="yellow"/>
        </w:rPr>
        <w:t>the World Ban</w:t>
      </w:r>
      <w:r w:rsidR="00B06F44" w:rsidRPr="00EA1212">
        <w:rPr>
          <w:rFonts w:ascii="Times New Roman" w:hAnsi="Times New Roman" w:cs="Times New Roman"/>
          <w:sz w:val="24"/>
          <w:szCs w:val="24"/>
          <w:highlight w:val="yellow"/>
        </w:rPr>
        <w:t xml:space="preserve">k and </w:t>
      </w:r>
      <w:r w:rsidR="00EA1212">
        <w:rPr>
          <w:rFonts w:ascii="Times New Roman" w:hAnsi="Times New Roman" w:cs="Times New Roman"/>
          <w:sz w:val="24"/>
          <w:szCs w:val="24"/>
          <w:highlight w:val="yellow"/>
        </w:rPr>
        <w:t xml:space="preserve">the </w:t>
      </w:r>
      <w:r w:rsidR="00DA3F5F" w:rsidRPr="00EA1212">
        <w:rPr>
          <w:rFonts w:ascii="Times New Roman" w:hAnsi="Times New Roman" w:cs="Times New Roman"/>
          <w:sz w:val="24"/>
          <w:szCs w:val="24"/>
          <w:highlight w:val="yellow"/>
        </w:rPr>
        <w:t>Or</w:t>
      </w:r>
      <w:r w:rsidR="0008284E" w:rsidRPr="00EA1212">
        <w:rPr>
          <w:rFonts w:ascii="Times New Roman" w:hAnsi="Times New Roman" w:cs="Times New Roman"/>
          <w:sz w:val="24"/>
          <w:szCs w:val="24"/>
          <w:highlight w:val="yellow"/>
        </w:rPr>
        <w:t>ganisation of Petroleum Exporting Countries (OPEC).</w:t>
      </w:r>
      <w:r w:rsidR="0008284E">
        <w:rPr>
          <w:rFonts w:ascii="Times New Roman" w:hAnsi="Times New Roman" w:cs="Times New Roman"/>
          <w:sz w:val="24"/>
          <w:szCs w:val="24"/>
        </w:rPr>
        <w:t xml:space="preserve"> </w:t>
      </w:r>
      <w:r w:rsidR="00093D79" w:rsidRPr="00122CA6">
        <w:rPr>
          <w:rFonts w:ascii="Times New Roman" w:hAnsi="Times New Roman" w:cs="Times New Roman"/>
          <w:sz w:val="24"/>
          <w:szCs w:val="24"/>
        </w:rPr>
        <w:t xml:space="preserve">The findings showed that </w:t>
      </w:r>
      <w:r w:rsidR="00E157F4" w:rsidRPr="00122CA6">
        <w:rPr>
          <w:rFonts w:ascii="Times New Roman" w:hAnsi="Times New Roman" w:cs="Times New Roman"/>
          <w:sz w:val="24"/>
          <w:szCs w:val="24"/>
        </w:rPr>
        <w:t xml:space="preserve">all the variables are integrated of order one, I(1) and </w:t>
      </w:r>
      <w:r w:rsidR="00171404" w:rsidRPr="00122CA6">
        <w:rPr>
          <w:rFonts w:ascii="Times New Roman" w:hAnsi="Times New Roman" w:cs="Times New Roman"/>
          <w:sz w:val="24"/>
          <w:szCs w:val="24"/>
        </w:rPr>
        <w:t xml:space="preserve">have a </w:t>
      </w:r>
      <w:r w:rsidR="00A22F12" w:rsidRPr="00122CA6">
        <w:rPr>
          <w:rFonts w:ascii="Times New Roman" w:hAnsi="Times New Roman" w:cs="Times New Roman"/>
          <w:sz w:val="24"/>
          <w:szCs w:val="24"/>
        </w:rPr>
        <w:t>long-run</w:t>
      </w:r>
      <w:r w:rsidR="00171404" w:rsidRPr="00122CA6">
        <w:rPr>
          <w:rFonts w:ascii="Times New Roman" w:hAnsi="Times New Roman" w:cs="Times New Roman"/>
          <w:sz w:val="24"/>
          <w:szCs w:val="24"/>
        </w:rPr>
        <w:t xml:space="preserve"> relationship</w:t>
      </w:r>
      <w:r w:rsidR="00E157F4" w:rsidRPr="00122CA6">
        <w:rPr>
          <w:rFonts w:ascii="Times New Roman" w:hAnsi="Times New Roman" w:cs="Times New Roman"/>
          <w:sz w:val="24"/>
          <w:szCs w:val="24"/>
        </w:rPr>
        <w:t xml:space="preserve"> at the </w:t>
      </w:r>
      <w:r w:rsidR="00171404" w:rsidRPr="00122CA6">
        <w:rPr>
          <w:rFonts w:ascii="Times New Roman" w:hAnsi="Times New Roman" w:cs="Times New Roman"/>
          <w:sz w:val="24"/>
          <w:szCs w:val="24"/>
        </w:rPr>
        <w:t xml:space="preserve">5% level. </w:t>
      </w:r>
      <w:r w:rsidR="00877821" w:rsidRPr="00122CA6">
        <w:rPr>
          <w:rFonts w:ascii="Times New Roman" w:hAnsi="Times New Roman" w:cs="Times New Roman"/>
          <w:color w:val="000000"/>
          <w:sz w:val="24"/>
          <w:szCs w:val="24"/>
        </w:rPr>
        <w:t xml:space="preserve">Evidence of a positive and significant effect of </w:t>
      </w:r>
      <w:r w:rsidR="00877821" w:rsidRPr="00122CA6">
        <w:rPr>
          <w:rFonts w:ascii="Times New Roman" w:hAnsi="Times New Roman" w:cs="Times New Roman"/>
          <w:sz w:val="24"/>
          <w:szCs w:val="24"/>
        </w:rPr>
        <w:t xml:space="preserve">Brent crude oil prices on debt servicing was </w:t>
      </w:r>
      <w:r w:rsidR="007D3788" w:rsidRPr="00122CA6">
        <w:rPr>
          <w:rFonts w:ascii="Times New Roman" w:hAnsi="Times New Roman" w:cs="Times New Roman"/>
          <w:sz w:val="24"/>
          <w:szCs w:val="24"/>
        </w:rPr>
        <w:t>established from the results</w:t>
      </w:r>
      <w:r w:rsidR="00877821" w:rsidRPr="00122CA6">
        <w:rPr>
          <w:rFonts w:ascii="Times New Roman" w:hAnsi="Times New Roman" w:cs="Times New Roman"/>
          <w:sz w:val="24"/>
          <w:szCs w:val="24"/>
        </w:rPr>
        <w:t xml:space="preserve">. This explains that an increase in Brent crude oil prices enhances the process of fiscal sustainability in Nigeria </w:t>
      </w:r>
      <w:r w:rsidR="00EA1212">
        <w:rPr>
          <w:rFonts w:ascii="Times New Roman" w:hAnsi="Times New Roman" w:cs="Times New Roman"/>
          <w:sz w:val="24"/>
          <w:szCs w:val="24"/>
        </w:rPr>
        <w:t xml:space="preserve">by meeting </w:t>
      </w:r>
      <w:r w:rsidR="00877821" w:rsidRPr="00122CA6">
        <w:rPr>
          <w:rFonts w:ascii="Times New Roman" w:hAnsi="Times New Roman" w:cs="Times New Roman"/>
          <w:sz w:val="24"/>
          <w:szCs w:val="24"/>
        </w:rPr>
        <w:t xml:space="preserve">debt service obligations. Similarly, the results showed that </w:t>
      </w:r>
      <w:r w:rsidR="00877821" w:rsidRPr="00122CA6">
        <w:rPr>
          <w:rFonts w:ascii="Times New Roman" w:hAnsi="Times New Roman" w:cs="Times New Roman"/>
          <w:color w:val="222222"/>
          <w:sz w:val="24"/>
          <w:szCs w:val="24"/>
          <w:shd w:val="clear" w:color="auto" w:fill="FFFFFF"/>
        </w:rPr>
        <w:t xml:space="preserve">West Texas Intermediate crude oil price affected debt servicing positively, but this finding is not significant at the 5% level. However, evidence of a negative effect of a negative and significant effect of exchange rates on debt servicing. This implies that an increase in the exchange rate decreases the value of the naira with adverse implications on the potential of the government to meet the debt service obligations. </w:t>
      </w:r>
      <w:r w:rsidR="00A51549" w:rsidRPr="00EA1212">
        <w:rPr>
          <w:rFonts w:ascii="Times New Roman" w:hAnsi="Times New Roman" w:cs="Times New Roman"/>
          <w:color w:val="222222"/>
          <w:sz w:val="24"/>
          <w:szCs w:val="24"/>
          <w:highlight w:val="yellow"/>
          <w:shd w:val="clear" w:color="auto" w:fill="FFFFFF"/>
        </w:rPr>
        <w:t>Given the findings, this study recommends that</w:t>
      </w:r>
      <w:r w:rsidR="00A51549" w:rsidRPr="00EA1212">
        <w:rPr>
          <w:rFonts w:asciiTheme="majorBidi" w:hAnsiTheme="majorBidi" w:cstheme="majorBidi"/>
          <w:sz w:val="24"/>
          <w:szCs w:val="24"/>
          <w:highlight w:val="yellow"/>
        </w:rPr>
        <w:t xml:space="preserve"> government must </w:t>
      </w:r>
      <w:r w:rsidR="003137DB" w:rsidRPr="00EA1212">
        <w:rPr>
          <w:rFonts w:asciiTheme="majorBidi" w:hAnsiTheme="majorBidi" w:cstheme="majorBidi"/>
          <w:sz w:val="24"/>
          <w:szCs w:val="24"/>
          <w:highlight w:val="yellow"/>
        </w:rPr>
        <w:t xml:space="preserve">optimize </w:t>
      </w:r>
      <w:r w:rsidR="003137DB" w:rsidRPr="00EA1212">
        <w:rPr>
          <w:rFonts w:ascii="Times New Roman" w:hAnsi="Times New Roman" w:cs="Times New Roman"/>
          <w:sz w:val="24"/>
          <w:szCs w:val="24"/>
          <w:highlight w:val="yellow"/>
        </w:rPr>
        <w:t xml:space="preserve">the windfall gains from </w:t>
      </w:r>
      <w:r w:rsidR="00454CF1" w:rsidRPr="00EA1212">
        <w:rPr>
          <w:rFonts w:ascii="Times New Roman" w:hAnsi="Times New Roman" w:cs="Times New Roman"/>
          <w:sz w:val="24"/>
          <w:szCs w:val="24"/>
          <w:highlight w:val="yellow"/>
        </w:rPr>
        <w:t>high</w:t>
      </w:r>
      <w:r w:rsidR="00A51549" w:rsidRPr="00EA1212">
        <w:rPr>
          <w:rFonts w:asciiTheme="majorBidi" w:hAnsiTheme="majorBidi" w:cstheme="majorBidi"/>
          <w:sz w:val="24"/>
          <w:szCs w:val="24"/>
          <w:highlight w:val="yellow"/>
        </w:rPr>
        <w:t xml:space="preserve"> oil</w:t>
      </w:r>
      <w:r w:rsidR="00454CF1" w:rsidRPr="00EA1212">
        <w:rPr>
          <w:rFonts w:asciiTheme="majorBidi" w:hAnsiTheme="majorBidi" w:cstheme="majorBidi"/>
          <w:sz w:val="24"/>
          <w:szCs w:val="24"/>
          <w:highlight w:val="yellow"/>
        </w:rPr>
        <w:t xml:space="preserve"> prices</w:t>
      </w:r>
      <w:r w:rsidR="00A51549" w:rsidRPr="00EA1212">
        <w:rPr>
          <w:rFonts w:asciiTheme="majorBidi" w:hAnsiTheme="majorBidi" w:cstheme="majorBidi"/>
          <w:sz w:val="24"/>
          <w:szCs w:val="24"/>
          <w:highlight w:val="yellow"/>
        </w:rPr>
        <w:t xml:space="preserve"> to enhance public debt sustainability for better fiscal performance</w:t>
      </w:r>
      <w:r w:rsidR="00A51549">
        <w:rPr>
          <w:rFonts w:asciiTheme="majorBidi" w:hAnsiTheme="majorBidi" w:cstheme="majorBidi"/>
          <w:sz w:val="24"/>
          <w:szCs w:val="24"/>
        </w:rPr>
        <w:t>. This could potentially create more pathways for fiscal sustainability and ensure that debt servicing remains effective and sustainable</w:t>
      </w:r>
      <w:r w:rsidR="003248C2">
        <w:rPr>
          <w:rFonts w:asciiTheme="majorBidi" w:hAnsiTheme="majorBidi" w:cstheme="majorBidi"/>
          <w:sz w:val="24"/>
          <w:szCs w:val="24"/>
        </w:rPr>
        <w:t xml:space="preserve"> in Nigeria</w:t>
      </w:r>
      <w:r w:rsidR="00A51549">
        <w:rPr>
          <w:rFonts w:ascii="Arial" w:hAnsi="Arial" w:cs="Arial"/>
          <w:sz w:val="20"/>
          <w:szCs w:val="20"/>
          <w:shd w:val="clear" w:color="auto" w:fill="F5F5F5"/>
        </w:rPr>
        <w:t xml:space="preserve">. </w:t>
      </w:r>
    </w:p>
    <w:p w14:paraId="1B74370B" w14:textId="6A4104C0" w:rsidR="009A1B14" w:rsidRDefault="009A1B14" w:rsidP="009A1B14">
      <w:pPr>
        <w:autoSpaceDE w:val="0"/>
        <w:autoSpaceDN w:val="0"/>
        <w:adjustRightInd w:val="0"/>
        <w:spacing w:after="0" w:line="480" w:lineRule="auto"/>
        <w:jc w:val="both"/>
        <w:rPr>
          <w:rFonts w:ascii="Times New Roman" w:hAnsi="Times New Roman" w:cs="Times New Roman"/>
          <w:i/>
          <w:iCs/>
          <w:sz w:val="20"/>
          <w:szCs w:val="20"/>
        </w:rPr>
      </w:pPr>
      <w:r w:rsidRPr="00CE5568">
        <w:rPr>
          <w:rFonts w:ascii="Times New Roman" w:hAnsi="Times New Roman" w:cs="Times New Roman"/>
          <w:b/>
          <w:bCs/>
          <w:color w:val="000000"/>
          <w:sz w:val="20"/>
          <w:szCs w:val="20"/>
        </w:rPr>
        <w:t>Keywords</w:t>
      </w:r>
      <w:r>
        <w:rPr>
          <w:rFonts w:ascii="Times New Roman" w:hAnsi="Times New Roman" w:cs="Times New Roman"/>
          <w:color w:val="000000"/>
          <w:sz w:val="20"/>
          <w:szCs w:val="20"/>
        </w:rPr>
        <w:t xml:space="preserve">: </w:t>
      </w:r>
      <w:r w:rsidR="00A72536" w:rsidRPr="00614306">
        <w:rPr>
          <w:rFonts w:asciiTheme="majorBidi" w:hAnsiTheme="majorBidi" w:cstheme="majorBidi"/>
          <w:i/>
          <w:iCs/>
          <w:sz w:val="20"/>
          <w:szCs w:val="20"/>
        </w:rPr>
        <w:t>Fiscal sustainability,</w:t>
      </w:r>
      <w:r w:rsidR="00A72536" w:rsidRPr="00614306">
        <w:rPr>
          <w:rFonts w:asciiTheme="majorBidi" w:hAnsiTheme="majorBidi" w:cstheme="majorBidi"/>
          <w:sz w:val="20"/>
          <w:szCs w:val="20"/>
        </w:rPr>
        <w:t xml:space="preserve"> </w:t>
      </w:r>
      <w:r w:rsidRPr="00614306">
        <w:rPr>
          <w:rFonts w:ascii="Times New Roman" w:hAnsi="Times New Roman" w:cs="Times New Roman"/>
          <w:i/>
          <w:iCs/>
          <w:color w:val="000000"/>
          <w:sz w:val="20"/>
          <w:szCs w:val="20"/>
        </w:rPr>
        <w:t xml:space="preserve">Oil prices, </w:t>
      </w:r>
      <w:r w:rsidRPr="00614306">
        <w:rPr>
          <w:rFonts w:ascii="Times New Roman" w:hAnsi="Times New Roman" w:cs="Times New Roman"/>
          <w:i/>
          <w:iCs/>
          <w:sz w:val="20"/>
          <w:szCs w:val="20"/>
        </w:rPr>
        <w:t>Brent crude, West Texas Intermediate,</w:t>
      </w:r>
      <w:r w:rsidR="00614306" w:rsidRPr="00614306">
        <w:rPr>
          <w:rFonts w:ascii="Times New Roman" w:hAnsi="Times New Roman" w:cs="Times New Roman"/>
          <w:i/>
          <w:iCs/>
          <w:sz w:val="20"/>
          <w:szCs w:val="20"/>
        </w:rPr>
        <w:t xml:space="preserve"> exchange rate</w:t>
      </w:r>
      <w:r w:rsidRPr="00614306">
        <w:rPr>
          <w:rFonts w:ascii="Times New Roman" w:hAnsi="Times New Roman" w:cs="Times New Roman"/>
          <w:i/>
          <w:iCs/>
          <w:sz w:val="20"/>
          <w:szCs w:val="20"/>
        </w:rPr>
        <w:t xml:space="preserve"> and Nigeria</w:t>
      </w:r>
    </w:p>
    <w:p w14:paraId="547068B4" w14:textId="0224BE74"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7F1A8C2A" w14:textId="3CF4845E" w:rsidR="004910D0" w:rsidRDefault="00A473F4" w:rsidP="004910D0">
      <w:pPr>
        <w:spacing w:line="360" w:lineRule="auto"/>
        <w:jc w:val="both"/>
        <w:rPr>
          <w:rFonts w:asciiTheme="majorBidi" w:hAnsiTheme="majorBidi" w:cstheme="majorBidi"/>
          <w:sz w:val="24"/>
          <w:szCs w:val="24"/>
        </w:rPr>
      </w:pPr>
      <w:r w:rsidRPr="00EF3025">
        <w:rPr>
          <w:rFonts w:asciiTheme="majorBidi" w:hAnsiTheme="majorBidi" w:cstheme="majorBidi"/>
          <w:sz w:val="24"/>
          <w:szCs w:val="24"/>
        </w:rPr>
        <w:t xml:space="preserve">Fiscal sustainability summarises </w:t>
      </w:r>
      <w:r w:rsidR="00C43FCA" w:rsidRPr="00EF3025">
        <w:rPr>
          <w:rFonts w:asciiTheme="majorBidi" w:hAnsiTheme="majorBidi" w:cstheme="majorBidi"/>
          <w:sz w:val="24"/>
          <w:szCs w:val="24"/>
        </w:rPr>
        <w:t>the government’s ability to meet its expenditure obligations while remaining solvent in terms of servicing public debt in perpetuity without explicit default</w:t>
      </w:r>
      <w:r w:rsidR="004910D0">
        <w:rPr>
          <w:rFonts w:asciiTheme="majorBidi" w:hAnsiTheme="majorBidi" w:cstheme="majorBidi"/>
          <w:sz w:val="24"/>
          <w:szCs w:val="24"/>
        </w:rPr>
        <w:t xml:space="preserve">. </w:t>
      </w:r>
      <w:r w:rsidR="004910D0" w:rsidRPr="004910D0">
        <w:rPr>
          <w:rFonts w:asciiTheme="majorBidi" w:hAnsiTheme="majorBidi" w:cstheme="majorBidi"/>
          <w:sz w:val="24"/>
          <w:szCs w:val="24"/>
        </w:rPr>
        <w:t xml:space="preserve">This concept is crucial for maintaining macroeconomic stability and achieving the Sustainable Development Goals (SDGs). The idea is that a government that practices fiscal sustainability can effectively fund both current and future public services, ultimately enhancing the well-being of its citizens. According to Alshaib </w:t>
      </w:r>
      <w:r w:rsidR="004910D0" w:rsidRPr="004910D0">
        <w:rPr>
          <w:rFonts w:asciiTheme="majorBidi" w:hAnsiTheme="majorBidi" w:cstheme="majorBidi"/>
          <w:i/>
          <w:iCs/>
          <w:sz w:val="24"/>
          <w:szCs w:val="24"/>
        </w:rPr>
        <w:t>et al.</w:t>
      </w:r>
      <w:r w:rsidR="004910D0" w:rsidRPr="004910D0">
        <w:rPr>
          <w:rFonts w:asciiTheme="majorBidi" w:hAnsiTheme="majorBidi" w:cstheme="majorBidi"/>
          <w:sz w:val="24"/>
          <w:szCs w:val="24"/>
        </w:rPr>
        <w:t xml:space="preserve"> (2023), fiscal sustainability offers developing countries a</w:t>
      </w:r>
      <w:r w:rsidR="003F2719">
        <w:rPr>
          <w:rFonts w:asciiTheme="majorBidi" w:hAnsiTheme="majorBidi" w:cstheme="majorBidi"/>
          <w:sz w:val="24"/>
          <w:szCs w:val="24"/>
        </w:rPr>
        <w:t xml:space="preserve">n opportunity </w:t>
      </w:r>
      <w:r w:rsidR="004910D0" w:rsidRPr="004910D0">
        <w:rPr>
          <w:rFonts w:asciiTheme="majorBidi" w:hAnsiTheme="majorBidi" w:cstheme="majorBidi"/>
          <w:sz w:val="24"/>
          <w:szCs w:val="24"/>
        </w:rPr>
        <w:t xml:space="preserve">to close the financing gap, </w:t>
      </w:r>
      <w:r w:rsidR="00F40F87">
        <w:rPr>
          <w:rFonts w:asciiTheme="majorBidi" w:hAnsiTheme="majorBidi" w:cstheme="majorBidi"/>
          <w:sz w:val="24"/>
          <w:szCs w:val="24"/>
        </w:rPr>
        <w:t>reduce</w:t>
      </w:r>
      <w:r w:rsidR="004910D0" w:rsidRPr="004910D0">
        <w:rPr>
          <w:rFonts w:asciiTheme="majorBidi" w:hAnsiTheme="majorBidi" w:cstheme="majorBidi"/>
          <w:sz w:val="24"/>
          <w:szCs w:val="24"/>
        </w:rPr>
        <w:t xml:space="preserve"> their debt </w:t>
      </w:r>
      <w:r w:rsidR="00F40F87">
        <w:rPr>
          <w:rFonts w:asciiTheme="majorBidi" w:hAnsiTheme="majorBidi" w:cstheme="majorBidi"/>
          <w:sz w:val="24"/>
          <w:szCs w:val="24"/>
        </w:rPr>
        <w:t>burdens</w:t>
      </w:r>
      <w:r w:rsidR="004910D0" w:rsidRPr="004910D0">
        <w:rPr>
          <w:rFonts w:asciiTheme="majorBidi" w:hAnsiTheme="majorBidi" w:cstheme="majorBidi"/>
          <w:sz w:val="24"/>
          <w:szCs w:val="24"/>
        </w:rPr>
        <w:t>, and gather resources for the SDGs. Moreover, it</w:t>
      </w:r>
      <w:r w:rsidR="004910D0">
        <w:rPr>
          <w:rFonts w:asciiTheme="majorBidi" w:hAnsiTheme="majorBidi" w:cstheme="majorBidi"/>
          <w:sz w:val="24"/>
          <w:szCs w:val="24"/>
        </w:rPr>
        <w:t xml:space="preserve"> is</w:t>
      </w:r>
      <w:r w:rsidR="004910D0" w:rsidRPr="004910D0">
        <w:rPr>
          <w:rFonts w:asciiTheme="majorBidi" w:hAnsiTheme="majorBidi" w:cstheme="majorBidi"/>
          <w:sz w:val="24"/>
          <w:szCs w:val="24"/>
        </w:rPr>
        <w:t xml:space="preserve"> widely believed that having fiscally sustainable policies is key to economic prosperity, as it allows the government to handle its spending and debt </w:t>
      </w:r>
      <w:r w:rsidR="004910D0">
        <w:rPr>
          <w:rFonts w:asciiTheme="majorBidi" w:hAnsiTheme="majorBidi" w:cstheme="majorBidi"/>
          <w:sz w:val="24"/>
          <w:szCs w:val="24"/>
        </w:rPr>
        <w:t>responsibly</w:t>
      </w:r>
      <w:r w:rsidR="004910D0" w:rsidRPr="004910D0">
        <w:rPr>
          <w:rFonts w:asciiTheme="majorBidi" w:hAnsiTheme="majorBidi" w:cstheme="majorBidi"/>
          <w:sz w:val="24"/>
          <w:szCs w:val="24"/>
        </w:rPr>
        <w:t>.</w:t>
      </w:r>
    </w:p>
    <w:p w14:paraId="342C5725" w14:textId="2E5D6FB5" w:rsidR="00D609E9" w:rsidRDefault="00B74C91" w:rsidP="00D609E9">
      <w:pPr>
        <w:spacing w:line="360" w:lineRule="auto"/>
        <w:jc w:val="both"/>
        <w:rPr>
          <w:rFonts w:ascii="Times New Roman" w:hAnsi="Times New Roman" w:cs="Times New Roman"/>
          <w:sz w:val="24"/>
          <w:szCs w:val="24"/>
        </w:rPr>
      </w:pPr>
      <w:r w:rsidRPr="000F2358">
        <w:rPr>
          <w:rFonts w:asciiTheme="majorBidi" w:hAnsiTheme="majorBidi" w:cstheme="majorBidi"/>
          <w:sz w:val="24"/>
          <w:szCs w:val="24"/>
        </w:rPr>
        <w:t xml:space="preserve">As one of Africa's largest oil producers, Nigeria's fiscal sustainability is closely linked to the vagaries of global oil prices. The fluctuations in prices may pose problems in other areas of budget allocations, public spending, and overall economic stability. In the past decade, the </w:t>
      </w:r>
      <w:r w:rsidRPr="000F2358">
        <w:rPr>
          <w:rFonts w:asciiTheme="majorBidi" w:hAnsiTheme="majorBidi" w:cstheme="majorBidi"/>
          <w:sz w:val="24"/>
          <w:szCs w:val="24"/>
        </w:rPr>
        <w:lastRenderedPageBreak/>
        <w:t>volatility of oil prices</w:t>
      </w:r>
      <w:r w:rsidR="00C40863">
        <w:rPr>
          <w:rFonts w:asciiTheme="majorBidi" w:hAnsiTheme="majorBidi" w:cstheme="majorBidi"/>
          <w:sz w:val="24"/>
          <w:szCs w:val="24"/>
        </w:rPr>
        <w:t xml:space="preserve"> - </w:t>
      </w:r>
      <w:r w:rsidRPr="000F2358">
        <w:rPr>
          <w:rFonts w:asciiTheme="majorBidi" w:hAnsiTheme="majorBidi" w:cstheme="majorBidi"/>
          <w:sz w:val="24"/>
          <w:szCs w:val="24"/>
        </w:rPr>
        <w:t xml:space="preserve">driven by geopolitical tensions, changes in global supply and demand, and </w:t>
      </w:r>
      <w:r w:rsidR="000F2358" w:rsidRPr="000F2358">
        <w:rPr>
          <w:rFonts w:asciiTheme="majorBidi" w:hAnsiTheme="majorBidi" w:cstheme="majorBidi"/>
          <w:sz w:val="24"/>
          <w:szCs w:val="24"/>
        </w:rPr>
        <w:t>the shift towards clean and renewable energy has been extremely difficult for the Nigerian government to deal with. Not only does it make budgeting a difficult task, but it raises the prospect of economic shocks, resulting in budget deficits and high levels of public debt.</w:t>
      </w:r>
      <w:r w:rsidR="008F1ED9">
        <w:rPr>
          <w:rFonts w:asciiTheme="majorBidi" w:hAnsiTheme="majorBidi" w:cstheme="majorBidi"/>
          <w:sz w:val="24"/>
          <w:szCs w:val="24"/>
        </w:rPr>
        <w:t xml:space="preserve"> </w:t>
      </w:r>
      <w:r w:rsidR="009A1B14" w:rsidRPr="001343E0">
        <w:rPr>
          <w:rFonts w:ascii="Times New Roman" w:hAnsi="Times New Roman" w:cs="Times New Roman"/>
          <w:sz w:val="24"/>
          <w:szCs w:val="24"/>
        </w:rPr>
        <w:t xml:space="preserve">According to Abdul-Mumuni </w:t>
      </w:r>
      <w:r w:rsidR="009A1B14" w:rsidRPr="001343E0">
        <w:rPr>
          <w:rFonts w:ascii="Times New Roman" w:hAnsi="Times New Roman" w:cs="Times New Roman"/>
          <w:i/>
          <w:iCs/>
          <w:sz w:val="24"/>
          <w:szCs w:val="24"/>
        </w:rPr>
        <w:t>et al.</w:t>
      </w:r>
      <w:r w:rsidR="009A1B14" w:rsidRPr="001343E0">
        <w:rPr>
          <w:rFonts w:ascii="Times New Roman" w:hAnsi="Times New Roman" w:cs="Times New Roman"/>
          <w:sz w:val="24"/>
          <w:szCs w:val="24"/>
        </w:rPr>
        <w:t xml:space="preserve"> (2023), the fluctuations in crude oil prices affect economies that export or import oil differently. </w:t>
      </w:r>
      <w:r w:rsidR="009D5100" w:rsidRPr="009D5100">
        <w:rPr>
          <w:rFonts w:asciiTheme="majorBidi" w:hAnsiTheme="majorBidi" w:cstheme="majorBidi"/>
          <w:sz w:val="24"/>
          <w:szCs w:val="24"/>
          <w:shd w:val="clear" w:color="auto" w:fill="FFFFFF"/>
        </w:rPr>
        <w:t>They further elaborated that the increase in the price level for crude oil is expected to yield favorable returns for the economy of an oil exporting country, while the economy of an oil importing country is likely to be negatively impacted by rising crude oil prices.</w:t>
      </w:r>
      <w:r w:rsidR="0051787F">
        <w:rPr>
          <w:rFonts w:ascii="Times New Roman" w:hAnsi="Times New Roman" w:cs="Times New Roman"/>
          <w:sz w:val="24"/>
          <w:szCs w:val="24"/>
        </w:rPr>
        <w:t xml:space="preserve"> </w:t>
      </w:r>
      <w:r w:rsidR="009A1B14" w:rsidRPr="001343E0">
        <w:rPr>
          <w:rFonts w:ascii="Times New Roman" w:hAnsi="Times New Roman" w:cs="Times New Roman"/>
          <w:sz w:val="24"/>
          <w:szCs w:val="24"/>
        </w:rPr>
        <w:t xml:space="preserve">Oil exporting nations face more fiscal management challenges since their governments rely substantially on the oil sector, which tends to be very volatile and may reduce long-term growth rates and social spending (Oduyemi and Owoeye, 2020). </w:t>
      </w:r>
      <w:r w:rsidR="0051787F">
        <w:rPr>
          <w:rFonts w:ascii="Times New Roman" w:hAnsi="Times New Roman" w:cs="Times New Roman"/>
          <w:sz w:val="24"/>
          <w:szCs w:val="24"/>
        </w:rPr>
        <w:t xml:space="preserve">This tends to </w:t>
      </w:r>
      <w:r w:rsidR="00B23121">
        <w:rPr>
          <w:rFonts w:ascii="Times New Roman" w:hAnsi="Times New Roman" w:cs="Times New Roman"/>
          <w:sz w:val="24"/>
          <w:szCs w:val="24"/>
        </w:rPr>
        <w:t xml:space="preserve">pose a threat to the implementation of fiscally sustainable policies. </w:t>
      </w:r>
    </w:p>
    <w:p w14:paraId="689860ED" w14:textId="77777777" w:rsidR="00363D4F" w:rsidRDefault="00D609E9" w:rsidP="00363D4F">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w:t>
      </w:r>
      <w:r w:rsidR="009A1B14" w:rsidRPr="00C53010">
        <w:rPr>
          <w:rFonts w:ascii="Times New Roman" w:hAnsi="Times New Roman" w:cs="Times New Roman"/>
          <w:sz w:val="24"/>
          <w:szCs w:val="24"/>
        </w:rPr>
        <w:t xml:space="preserve"> </w:t>
      </w:r>
      <w:r w:rsidRPr="00D609E9">
        <w:rPr>
          <w:rFonts w:ascii="Times New Roman" w:eastAsia="Times New Roman" w:hAnsi="Times New Roman" w:cs="Times New Roman"/>
          <w:sz w:val="24"/>
          <w:szCs w:val="24"/>
        </w:rPr>
        <w:t xml:space="preserve">Nwoba, Nwonu, and Agbaeze (2017) assert that fluctuations in crude oil prices cause economic anxiety, which in turn lowers the standard of living of the populace. This is in line with the understanding that fluctuations in oil prices frequently create uncertainty about future oil revenues and overall </w:t>
      </w:r>
      <w:r>
        <w:rPr>
          <w:rFonts w:ascii="Times New Roman" w:eastAsia="Times New Roman" w:hAnsi="Times New Roman" w:cs="Times New Roman"/>
          <w:sz w:val="24"/>
          <w:szCs w:val="24"/>
        </w:rPr>
        <w:t>exports</w:t>
      </w:r>
      <w:r>
        <w:rPr>
          <w:rFonts w:ascii="Times New Roman" w:eastAsia="Times New Roman" w:hAnsi="Times New Roman" w:cs="Times New Roman"/>
          <w:sz w:val="24"/>
          <w:szCs w:val="24"/>
          <w:lang w:val="en-GB"/>
        </w:rPr>
        <w:t>. T</w:t>
      </w:r>
      <w:r w:rsidRPr="00D609E9">
        <w:rPr>
          <w:rFonts w:ascii="Times New Roman" w:eastAsia="Times New Roman" w:hAnsi="Times New Roman" w:cs="Times New Roman"/>
          <w:sz w:val="24"/>
          <w:szCs w:val="24"/>
        </w:rPr>
        <w:t>he pro-cyclicality of government spending in oil-exporting countries has been linked to the instability in crude oil prices, which in turn has been linked to lower human development.</w:t>
      </w:r>
      <w:r>
        <w:rPr>
          <w:rFonts w:ascii="Times New Roman" w:eastAsia="Times New Roman" w:hAnsi="Times New Roman" w:cs="Times New Roman"/>
          <w:sz w:val="24"/>
          <w:szCs w:val="24"/>
          <w:lang w:val="en-GB"/>
        </w:rPr>
        <w:t xml:space="preserve"> It is also believed that t</w:t>
      </w:r>
      <w:r w:rsidR="009A1B14">
        <w:rPr>
          <w:rFonts w:ascii="Times New Roman" w:hAnsi="Times New Roman" w:cs="Times New Roman"/>
          <w:sz w:val="24"/>
          <w:szCs w:val="24"/>
        </w:rPr>
        <w:t>he borrowing capacity of oil-exporting countries also varies following fluctuations in oil prices. For instance, a decline in oil prices often reduces the creditworthiness of oil-exporting countries, thus reducing their capital to invest in critical economic and social services to engender sustainability of the development goals.</w:t>
      </w:r>
    </w:p>
    <w:p w14:paraId="276D8503" w14:textId="01E12B97" w:rsidR="004116FC" w:rsidRPr="004116FC" w:rsidRDefault="00363D4F" w:rsidP="00BB364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As an oil-rich economy</w:t>
      </w:r>
      <w:r w:rsidR="009A1B14" w:rsidRPr="00077819">
        <w:rPr>
          <w:rFonts w:ascii="Times New Roman" w:hAnsi="Times New Roman" w:cs="Times New Roman"/>
          <w:sz w:val="24"/>
          <w:szCs w:val="24"/>
        </w:rPr>
        <w:t xml:space="preserve">, Nigeria is </w:t>
      </w:r>
      <w:r>
        <w:rPr>
          <w:rFonts w:ascii="Times New Roman" w:hAnsi="Times New Roman" w:cs="Times New Roman"/>
          <w:sz w:val="24"/>
          <w:szCs w:val="24"/>
        </w:rPr>
        <w:t>largely</w:t>
      </w:r>
      <w:r w:rsidR="009A1B14" w:rsidRPr="00077819">
        <w:rPr>
          <w:rFonts w:ascii="Times New Roman" w:hAnsi="Times New Roman" w:cs="Times New Roman"/>
          <w:sz w:val="24"/>
          <w:szCs w:val="24"/>
        </w:rPr>
        <w:t xml:space="preserve"> dependent on crude oil for revenue generation, export revenues, and the building of external reserves.</w:t>
      </w:r>
      <w:r>
        <w:rPr>
          <w:rFonts w:ascii="Times New Roman" w:hAnsi="Times New Roman" w:cs="Times New Roman"/>
          <w:sz w:val="24"/>
          <w:szCs w:val="24"/>
        </w:rPr>
        <w:t xml:space="preserve"> The fiscal policy framework is</w:t>
      </w:r>
      <w:r w:rsidR="009A1B14" w:rsidRPr="00077819">
        <w:rPr>
          <w:rFonts w:ascii="Times New Roman" w:hAnsi="Times New Roman" w:cs="Times New Roman"/>
          <w:sz w:val="24"/>
          <w:szCs w:val="24"/>
        </w:rPr>
        <w:t xml:space="preserve"> often planned and linked to a specific predicted price and level of crude oil output. This has put the economy in a vulnerable position and exposed it to the vagaries in the international oil market. As oil revenue accounts for a sizable amount of Nigeria's export earnings, fluctuations in oil prices pose a threat to fiscal sustainability.</w:t>
      </w:r>
      <w:r w:rsidR="009A1B14">
        <w:rPr>
          <w:rFonts w:ascii="Times New Roman" w:hAnsi="Times New Roman" w:cs="Times New Roman"/>
          <w:sz w:val="24"/>
          <w:szCs w:val="24"/>
        </w:rPr>
        <w:t xml:space="preserve"> </w:t>
      </w:r>
      <w:r w:rsidRPr="00363D4F">
        <w:rPr>
          <w:rFonts w:ascii="Times New Roman" w:eastAsia="Times New Roman" w:hAnsi="Times New Roman" w:cs="Times New Roman"/>
          <w:sz w:val="24"/>
          <w:szCs w:val="24"/>
        </w:rPr>
        <w:t>Yusuf (2015)</w:t>
      </w:r>
      <w:r>
        <w:rPr>
          <w:rFonts w:ascii="Times New Roman" w:eastAsia="Times New Roman" w:hAnsi="Times New Roman" w:cs="Times New Roman"/>
          <w:sz w:val="24"/>
          <w:szCs w:val="24"/>
          <w:lang w:val="en-GB"/>
        </w:rPr>
        <w:t xml:space="preserve"> explains that </w:t>
      </w:r>
      <w:r w:rsidRPr="00363D4F">
        <w:rPr>
          <w:rFonts w:ascii="Times New Roman" w:eastAsia="Times New Roman" w:hAnsi="Times New Roman" w:cs="Times New Roman"/>
          <w:sz w:val="24"/>
          <w:szCs w:val="24"/>
        </w:rPr>
        <w:t xml:space="preserve">oil plays a significant role in Nigeria's fiscal execution in terms of achieving income and spending goals and determining borrowing capacity. This is in line with Kamer's (2023) </w:t>
      </w:r>
      <w:r w:rsidR="00044E60">
        <w:rPr>
          <w:rFonts w:ascii="Times New Roman" w:eastAsia="Times New Roman" w:hAnsi="Times New Roman" w:cs="Times New Roman"/>
          <w:sz w:val="24"/>
          <w:szCs w:val="24"/>
        </w:rPr>
        <w:t>acknowledgement</w:t>
      </w:r>
      <w:r w:rsidRPr="00363D4F">
        <w:rPr>
          <w:rFonts w:ascii="Times New Roman" w:eastAsia="Times New Roman" w:hAnsi="Times New Roman" w:cs="Times New Roman"/>
          <w:sz w:val="24"/>
          <w:szCs w:val="24"/>
        </w:rPr>
        <w:t xml:space="preserve"> of Nigeria's status as one of Africa's leading producers and exporters of oil.</w:t>
      </w:r>
      <w:r w:rsidR="00FF26E2">
        <w:rPr>
          <w:rFonts w:ascii="Times New Roman" w:eastAsia="Times New Roman" w:hAnsi="Times New Roman" w:cs="Times New Roman"/>
          <w:sz w:val="24"/>
          <w:szCs w:val="24"/>
          <w:lang w:val="en-GB"/>
        </w:rPr>
        <w:t xml:space="preserve"> </w:t>
      </w:r>
      <w:r w:rsidR="00D654C0">
        <w:rPr>
          <w:rFonts w:ascii="Times New Roman" w:hAnsi="Times New Roman" w:cs="Times New Roman"/>
          <w:sz w:val="24"/>
          <w:szCs w:val="24"/>
        </w:rPr>
        <w:t xml:space="preserve">This has renewed the interest in the implications of oil price fluctuations on macroeconomic sustainability in Nigeria. </w:t>
      </w:r>
      <w:r w:rsidR="00D014E8">
        <w:rPr>
          <w:rFonts w:ascii="Times New Roman" w:eastAsia="Times New Roman" w:hAnsi="Times New Roman" w:cs="Times New Roman"/>
          <w:sz w:val="24"/>
          <w:szCs w:val="24"/>
          <w:lang w:val="en-GB"/>
        </w:rPr>
        <w:t xml:space="preserve">Following the volatility of oil prices </w:t>
      </w:r>
      <w:r w:rsidR="00F24ECE">
        <w:rPr>
          <w:rFonts w:ascii="Times New Roman" w:eastAsia="Times New Roman" w:hAnsi="Times New Roman" w:cs="Times New Roman"/>
          <w:sz w:val="24"/>
          <w:szCs w:val="24"/>
          <w:lang w:val="en-GB"/>
        </w:rPr>
        <w:t>in</w:t>
      </w:r>
      <w:r w:rsidR="00D014E8">
        <w:rPr>
          <w:rFonts w:ascii="Times New Roman" w:eastAsia="Times New Roman" w:hAnsi="Times New Roman" w:cs="Times New Roman"/>
          <w:sz w:val="24"/>
          <w:szCs w:val="24"/>
          <w:lang w:val="en-GB"/>
        </w:rPr>
        <w:t xml:space="preserve"> the global </w:t>
      </w:r>
      <w:r w:rsidR="00D014E8">
        <w:rPr>
          <w:rFonts w:ascii="Times New Roman" w:eastAsia="Times New Roman" w:hAnsi="Times New Roman" w:cs="Times New Roman"/>
          <w:sz w:val="24"/>
          <w:szCs w:val="24"/>
          <w:lang w:val="en-GB"/>
        </w:rPr>
        <w:lastRenderedPageBreak/>
        <w:t xml:space="preserve">market, it becomes imperative to explore how it has affected Nigeria’s </w:t>
      </w:r>
      <w:r w:rsidR="00F24ECE">
        <w:rPr>
          <w:rFonts w:ascii="Times New Roman" w:eastAsia="Times New Roman" w:hAnsi="Times New Roman" w:cs="Times New Roman"/>
          <w:sz w:val="24"/>
          <w:szCs w:val="24"/>
          <w:lang w:val="en-GB"/>
        </w:rPr>
        <w:t>ability</w:t>
      </w:r>
      <w:r w:rsidR="00D014E8">
        <w:rPr>
          <w:rFonts w:ascii="Times New Roman" w:eastAsia="Times New Roman" w:hAnsi="Times New Roman" w:cs="Times New Roman"/>
          <w:sz w:val="24"/>
          <w:szCs w:val="24"/>
          <w:lang w:val="en-GB"/>
        </w:rPr>
        <w:t xml:space="preserve"> </w:t>
      </w:r>
      <w:r w:rsidR="008C0DCB">
        <w:rPr>
          <w:rFonts w:ascii="Times New Roman" w:eastAsia="Times New Roman" w:hAnsi="Times New Roman" w:cs="Times New Roman"/>
          <w:sz w:val="24"/>
          <w:szCs w:val="24"/>
          <w:lang w:val="en-GB"/>
        </w:rPr>
        <w:t xml:space="preserve">to achieve the goal of fiscal sustainability in terms of its contribution to the debt service obligations as the country </w:t>
      </w:r>
      <w:r w:rsidR="00F24ECE">
        <w:rPr>
          <w:rFonts w:ascii="Times New Roman" w:eastAsia="Times New Roman" w:hAnsi="Times New Roman" w:cs="Times New Roman"/>
          <w:sz w:val="24"/>
          <w:szCs w:val="24"/>
          <w:lang w:val="en-GB"/>
        </w:rPr>
        <w:t>faces difficult times due to</w:t>
      </w:r>
      <w:r w:rsidR="00D654C0">
        <w:rPr>
          <w:rFonts w:ascii="Times New Roman" w:eastAsia="Times New Roman" w:hAnsi="Times New Roman" w:cs="Times New Roman"/>
          <w:sz w:val="24"/>
          <w:szCs w:val="24"/>
          <w:lang w:val="en-GB"/>
        </w:rPr>
        <w:t xml:space="preserve"> </w:t>
      </w:r>
      <w:r w:rsidR="008C0DCB">
        <w:rPr>
          <w:rFonts w:ascii="Times New Roman" w:eastAsia="Times New Roman" w:hAnsi="Times New Roman" w:cs="Times New Roman"/>
          <w:sz w:val="24"/>
          <w:szCs w:val="24"/>
          <w:lang w:val="en-GB"/>
        </w:rPr>
        <w:t xml:space="preserve">rising debt burden from domestic, bilateral and multilateral sources. </w:t>
      </w:r>
      <w:r w:rsidR="004116FC">
        <w:rPr>
          <w:rFonts w:ascii="Times New Roman" w:eastAsia="Times New Roman" w:hAnsi="Times New Roman" w:cs="Times New Roman"/>
          <w:sz w:val="24"/>
          <w:szCs w:val="24"/>
        </w:rPr>
        <w:t xml:space="preserve">Given the introduction, the rest </w:t>
      </w:r>
      <w:r w:rsidR="004116FC" w:rsidRPr="004116FC">
        <w:rPr>
          <w:rFonts w:ascii="Times New Roman" w:eastAsia="Times New Roman" w:hAnsi="Times New Roman" w:cs="Times New Roman"/>
          <w:sz w:val="24"/>
          <w:szCs w:val="24"/>
        </w:rPr>
        <w:t xml:space="preserve">of the research is </w:t>
      </w:r>
      <w:r w:rsidR="00BB364F">
        <w:rPr>
          <w:rFonts w:ascii="Times New Roman" w:eastAsia="Times New Roman" w:hAnsi="Times New Roman" w:cs="Times New Roman"/>
          <w:sz w:val="24"/>
          <w:szCs w:val="24"/>
        </w:rPr>
        <w:t>organized</w:t>
      </w:r>
      <w:r w:rsidR="004116FC" w:rsidRPr="004116FC">
        <w:rPr>
          <w:rFonts w:ascii="Times New Roman" w:eastAsia="Times New Roman" w:hAnsi="Times New Roman" w:cs="Times New Roman"/>
          <w:sz w:val="24"/>
          <w:szCs w:val="24"/>
        </w:rPr>
        <w:t xml:space="preserve"> as follows: The relevant literature is presented in Section II, and the methodology and data sources are presented in Section III. Section IV presents the findings and discussion, while Section V provides the conclusion</w:t>
      </w:r>
      <w:r w:rsidR="004116FC">
        <w:rPr>
          <w:rFonts w:ascii="Times New Roman" w:eastAsia="Times New Roman" w:hAnsi="Times New Roman" w:cs="Times New Roman"/>
          <w:sz w:val="24"/>
          <w:szCs w:val="24"/>
          <w:lang w:val="en-GB"/>
        </w:rPr>
        <w:t xml:space="preserve"> and policy insights</w:t>
      </w:r>
      <w:r w:rsidR="004116FC" w:rsidRPr="004116FC">
        <w:rPr>
          <w:rFonts w:ascii="Times New Roman" w:eastAsia="Times New Roman" w:hAnsi="Times New Roman" w:cs="Times New Roman"/>
          <w:sz w:val="24"/>
          <w:szCs w:val="24"/>
        </w:rPr>
        <w:t>.</w:t>
      </w:r>
    </w:p>
    <w:p w14:paraId="5F3D7613" w14:textId="653C16AA" w:rsidR="00D20A20" w:rsidRPr="00A82A30" w:rsidRDefault="00A82A30" w:rsidP="00D20A20">
      <w:pPr>
        <w:shd w:val="clear" w:color="auto" w:fill="FFFFFF"/>
        <w:spacing w:after="0" w:line="360" w:lineRule="auto"/>
        <w:jc w:val="both"/>
        <w:rPr>
          <w:rFonts w:ascii="Times New Roman" w:eastAsia="Times New Roman" w:hAnsi="Times New Roman" w:cs="Times New Roman"/>
          <w:b/>
          <w:bCs/>
          <w:sz w:val="24"/>
          <w:szCs w:val="24"/>
          <w:lang w:val="en-GB"/>
        </w:rPr>
      </w:pPr>
      <w:r w:rsidRPr="00A82A30">
        <w:rPr>
          <w:rFonts w:ascii="Times New Roman" w:eastAsia="Times New Roman" w:hAnsi="Times New Roman" w:cs="Times New Roman"/>
          <w:b/>
          <w:bCs/>
          <w:sz w:val="24"/>
          <w:szCs w:val="24"/>
          <w:lang w:val="en-GB"/>
        </w:rPr>
        <w:t xml:space="preserve">2. Review of Related Literature </w:t>
      </w:r>
    </w:p>
    <w:p w14:paraId="2D4172A0" w14:textId="675A3292" w:rsidR="00C32F95" w:rsidRDefault="009C70DE" w:rsidP="00C32F95">
      <w:pPr>
        <w:spacing w:line="360" w:lineRule="auto"/>
        <w:jc w:val="both"/>
        <w:rPr>
          <w:rFonts w:asciiTheme="majorBidi" w:hAnsiTheme="majorBidi" w:cstheme="majorBidi"/>
          <w:sz w:val="24"/>
          <w:szCs w:val="24"/>
        </w:rPr>
      </w:pPr>
      <w:r w:rsidRPr="009C70DE">
        <w:rPr>
          <w:rFonts w:asciiTheme="majorBidi" w:hAnsiTheme="majorBidi" w:cstheme="majorBidi"/>
          <w:sz w:val="24"/>
          <w:szCs w:val="24"/>
        </w:rPr>
        <w:t xml:space="preserve">The resource curse theory was introduced by Auty </w:t>
      </w:r>
      <w:r w:rsidR="00F97880">
        <w:rPr>
          <w:rFonts w:asciiTheme="majorBidi" w:hAnsiTheme="majorBidi" w:cstheme="majorBidi"/>
          <w:sz w:val="24"/>
          <w:szCs w:val="24"/>
        </w:rPr>
        <w:t>(1</w:t>
      </w:r>
      <w:r w:rsidRPr="009C70DE">
        <w:rPr>
          <w:rFonts w:asciiTheme="majorBidi" w:hAnsiTheme="majorBidi" w:cstheme="majorBidi"/>
          <w:sz w:val="24"/>
          <w:szCs w:val="24"/>
        </w:rPr>
        <w:t>993</w:t>
      </w:r>
      <w:r w:rsidR="00F97880">
        <w:rPr>
          <w:rFonts w:asciiTheme="majorBidi" w:hAnsiTheme="majorBidi" w:cstheme="majorBidi"/>
          <w:sz w:val="24"/>
          <w:szCs w:val="24"/>
        </w:rPr>
        <w:t>)</w:t>
      </w:r>
      <w:r w:rsidRPr="009C70DE">
        <w:rPr>
          <w:rFonts w:asciiTheme="majorBidi" w:hAnsiTheme="majorBidi" w:cstheme="majorBidi"/>
          <w:sz w:val="24"/>
          <w:szCs w:val="24"/>
        </w:rPr>
        <w:t xml:space="preserve"> in his </w:t>
      </w:r>
      <w:r w:rsidR="00F97880">
        <w:rPr>
          <w:rFonts w:asciiTheme="majorBidi" w:hAnsiTheme="majorBidi" w:cstheme="majorBidi"/>
          <w:sz w:val="24"/>
          <w:szCs w:val="24"/>
        </w:rPr>
        <w:t>seminal</w:t>
      </w:r>
      <w:r w:rsidRPr="009C70DE">
        <w:rPr>
          <w:rFonts w:asciiTheme="majorBidi" w:hAnsiTheme="majorBidi" w:cstheme="majorBidi"/>
          <w:sz w:val="24"/>
          <w:szCs w:val="24"/>
        </w:rPr>
        <w:t xml:space="preserve"> work "Sustaining Growth in Mineral Economies." This theory suggests that countries rich in natural resources, particularly non-renewable ones like oil, often struggle with economic challenges </w:t>
      </w:r>
      <w:r w:rsidR="00F97880">
        <w:rPr>
          <w:rFonts w:asciiTheme="majorBidi" w:hAnsiTheme="majorBidi" w:cstheme="majorBidi"/>
          <w:sz w:val="24"/>
          <w:szCs w:val="24"/>
        </w:rPr>
        <w:t>including implementing sustainable fiscal policies and mitigating</w:t>
      </w:r>
      <w:r w:rsidRPr="009C70DE">
        <w:rPr>
          <w:rFonts w:asciiTheme="majorBidi" w:hAnsiTheme="majorBidi" w:cstheme="majorBidi"/>
          <w:sz w:val="24"/>
          <w:szCs w:val="24"/>
        </w:rPr>
        <w:t xml:space="preserve"> underdevelopment. Several factors contribute to this</w:t>
      </w:r>
      <w:r w:rsidR="00221A4D">
        <w:rPr>
          <w:rFonts w:asciiTheme="majorBidi" w:hAnsiTheme="majorBidi" w:cstheme="majorBidi"/>
          <w:sz w:val="24"/>
          <w:szCs w:val="24"/>
        </w:rPr>
        <w:t xml:space="preserve"> issue</w:t>
      </w:r>
      <w:r w:rsidRPr="009C70DE">
        <w:rPr>
          <w:rFonts w:asciiTheme="majorBidi" w:hAnsiTheme="majorBidi" w:cstheme="majorBidi"/>
          <w:sz w:val="24"/>
          <w:szCs w:val="24"/>
        </w:rPr>
        <w:t xml:space="preserve">, including a heavy dependence on resource exports, fluctuating commodity prices, corruption, ineffective governance, and Dutch disease, which occurs when a resource boom leads to currency appreciation that harms other economic sectors. Collier and Hoeffler </w:t>
      </w:r>
      <w:r w:rsidR="00221A4D">
        <w:rPr>
          <w:rFonts w:asciiTheme="majorBidi" w:hAnsiTheme="majorBidi" w:cstheme="majorBidi"/>
          <w:sz w:val="24"/>
          <w:szCs w:val="24"/>
        </w:rPr>
        <w:t>(</w:t>
      </w:r>
      <w:r w:rsidRPr="009C70DE">
        <w:rPr>
          <w:rFonts w:asciiTheme="majorBidi" w:hAnsiTheme="majorBidi" w:cstheme="majorBidi"/>
          <w:sz w:val="24"/>
          <w:szCs w:val="24"/>
        </w:rPr>
        <w:t>2002</w:t>
      </w:r>
      <w:r w:rsidR="00221A4D">
        <w:rPr>
          <w:rFonts w:asciiTheme="majorBidi" w:hAnsiTheme="majorBidi" w:cstheme="majorBidi"/>
          <w:sz w:val="24"/>
          <w:szCs w:val="24"/>
        </w:rPr>
        <w:t>) argue</w:t>
      </w:r>
      <w:r w:rsidRPr="009C70DE">
        <w:rPr>
          <w:rFonts w:asciiTheme="majorBidi" w:hAnsiTheme="majorBidi" w:cstheme="majorBidi"/>
          <w:sz w:val="24"/>
          <w:szCs w:val="24"/>
        </w:rPr>
        <w:t xml:space="preserve"> that the presence of natural resources can ignite conflicts within societies, as different groups </w:t>
      </w:r>
      <w:r w:rsidR="003578A6">
        <w:rPr>
          <w:rFonts w:asciiTheme="majorBidi" w:hAnsiTheme="majorBidi" w:cstheme="majorBidi"/>
          <w:sz w:val="24"/>
          <w:szCs w:val="24"/>
        </w:rPr>
        <w:t>struggle</w:t>
      </w:r>
      <w:r w:rsidRPr="009C70DE">
        <w:rPr>
          <w:rFonts w:asciiTheme="majorBidi" w:hAnsiTheme="majorBidi" w:cstheme="majorBidi"/>
          <w:sz w:val="24"/>
          <w:szCs w:val="24"/>
        </w:rPr>
        <w:t xml:space="preserve"> for control over these valuable assets. This competition often hampers the effective use of resources to foster social and economic development, limiting opportunities for </w:t>
      </w:r>
      <w:r w:rsidR="003578A6">
        <w:rPr>
          <w:rFonts w:asciiTheme="majorBidi" w:hAnsiTheme="majorBidi" w:cstheme="majorBidi"/>
          <w:sz w:val="24"/>
          <w:szCs w:val="24"/>
        </w:rPr>
        <w:t>sustainable development</w:t>
      </w:r>
      <w:r w:rsidRPr="009C70DE">
        <w:rPr>
          <w:rFonts w:asciiTheme="majorBidi" w:hAnsiTheme="majorBidi" w:cstheme="majorBidi"/>
          <w:sz w:val="24"/>
          <w:szCs w:val="24"/>
        </w:rPr>
        <w:t xml:space="preserve">. Consequently, the development goals that resource-rich countries aim for are often unrealistic </w:t>
      </w:r>
      <w:r w:rsidR="00D960E5">
        <w:rPr>
          <w:rFonts w:asciiTheme="majorBidi" w:hAnsiTheme="majorBidi" w:cstheme="majorBidi"/>
          <w:sz w:val="24"/>
          <w:szCs w:val="24"/>
        </w:rPr>
        <w:t xml:space="preserve">and </w:t>
      </w:r>
      <w:r w:rsidRPr="009C70DE">
        <w:rPr>
          <w:rFonts w:asciiTheme="majorBidi" w:hAnsiTheme="majorBidi" w:cstheme="majorBidi"/>
          <w:sz w:val="24"/>
          <w:szCs w:val="24"/>
        </w:rPr>
        <w:t>hindered by low economic growth, instability, authoritarian regimes, conflict, and weak institutions.</w:t>
      </w:r>
    </w:p>
    <w:p w14:paraId="29DD4D8E" w14:textId="4F09279C" w:rsidR="00D53875" w:rsidRPr="002348DC" w:rsidRDefault="00D53875" w:rsidP="00C32F95">
      <w:pPr>
        <w:spacing w:line="360" w:lineRule="auto"/>
        <w:jc w:val="both"/>
        <w:rPr>
          <w:rFonts w:asciiTheme="majorBidi" w:hAnsiTheme="majorBidi" w:cstheme="majorBidi"/>
          <w:sz w:val="24"/>
          <w:szCs w:val="24"/>
        </w:rPr>
      </w:pPr>
      <w:r w:rsidRPr="002348DC">
        <w:rPr>
          <w:rFonts w:asciiTheme="majorBidi" w:hAnsiTheme="majorBidi" w:cstheme="majorBidi"/>
          <w:sz w:val="24"/>
          <w:szCs w:val="24"/>
        </w:rPr>
        <w:t>The resource curse can hinder countries from diversifying their economies, making them more vulnerable to external shocks and slowing down long-term development. Additionally, the presence of valuable resources can lead to political instability and the rise of authoritarian regimes as powerful groups compete for control and benefits. To combat the resource curse, countries typically implement strategies that promote economic diversification, improve governance, tackle corruption, and encourage sustainable development. Moreover, a resource-dependent economy can benefit from transparent management of resource revenues through tools like sovereign wealth funds, which can help mitigate negative impacts. Auty (1998) suggests that the resource-curse theory illustrates why nations rich in natural resources often struggle to leverage their wealth for economic growth.</w:t>
      </w:r>
    </w:p>
    <w:p w14:paraId="4F679CD7" w14:textId="5BD63248" w:rsidR="009A1B14" w:rsidRDefault="009A1B14" w:rsidP="009A1B14">
      <w:pPr>
        <w:spacing w:after="0" w:line="360" w:lineRule="auto"/>
        <w:jc w:val="both"/>
        <w:rPr>
          <w:rFonts w:asciiTheme="majorBidi" w:hAnsiTheme="majorBidi" w:cstheme="majorBidi"/>
          <w:sz w:val="24"/>
          <w:szCs w:val="24"/>
        </w:rPr>
      </w:pPr>
      <w:r w:rsidRPr="00DD2091">
        <w:rPr>
          <w:rFonts w:asciiTheme="majorBidi" w:hAnsiTheme="majorBidi" w:cstheme="majorBidi"/>
          <w:sz w:val="24"/>
          <w:szCs w:val="24"/>
        </w:rPr>
        <w:lastRenderedPageBreak/>
        <w:t xml:space="preserve">Often, these countries have slower rates of economic growth than those with limited natural resources. An example of this would be the Dutch Disease syndrome, which produces an environment that impedes economic diversification and generally threatens non-oil operations. </w:t>
      </w:r>
      <w:r w:rsidR="00D53875" w:rsidRPr="00476101">
        <w:rPr>
          <w:rFonts w:asciiTheme="majorBidi" w:hAnsiTheme="majorBidi" w:cstheme="majorBidi"/>
          <w:color w:val="FF0000"/>
          <w:sz w:val="24"/>
          <w:szCs w:val="24"/>
        </w:rPr>
        <w:t xml:space="preserve">One drawback of the resource curse theory is its inherent negative correlation between economic performance and the presence of natural resources. </w:t>
      </w:r>
      <w:r w:rsidR="00D53875" w:rsidRPr="00476101">
        <w:rPr>
          <w:rFonts w:asciiTheme="majorBidi" w:hAnsiTheme="majorBidi" w:cstheme="majorBidi"/>
          <w:color w:val="FF0000"/>
          <w:sz w:val="24"/>
          <w:szCs w:val="24"/>
          <w:highlight w:val="yellow"/>
        </w:rPr>
        <w:t>Consequently, this theory fails to account for certain nations that have successfully avoided the resource curse. This indicates that there may be significant factors missing from the resource curse framework. One crucial factor could be the quality of institutions, the structure of the economy, or other relevant elements.</w:t>
      </w:r>
    </w:p>
    <w:p w14:paraId="4694B184" w14:textId="4B23E4BD" w:rsidR="00AC6DBF" w:rsidRPr="00DC2A22" w:rsidRDefault="000126BF" w:rsidP="00097D94">
      <w:pPr>
        <w:pStyle w:val="NormalWeb"/>
        <w:spacing w:before="60" w:beforeAutospacing="0" w:after="0" w:afterAutospacing="0" w:line="360" w:lineRule="auto"/>
        <w:jc w:val="both"/>
        <w:rPr>
          <w:rFonts w:asciiTheme="majorBidi" w:hAnsiTheme="majorBidi" w:cstheme="majorBidi"/>
          <w:color w:val="333333"/>
          <w:shd w:val="clear" w:color="auto" w:fill="FFFFFF"/>
          <w:lang w:val="en-GB"/>
        </w:rPr>
      </w:pPr>
      <w:r w:rsidRPr="00DC2A22">
        <w:rPr>
          <w:rFonts w:asciiTheme="majorBidi" w:hAnsiTheme="majorBidi" w:cstheme="majorBidi"/>
          <w:color w:val="001D35"/>
          <w:spacing w:val="2"/>
          <w:lang w:val="en-GB"/>
        </w:rPr>
        <w:t>Furthermore, several studies have empirically analysed how</w:t>
      </w:r>
      <w:r w:rsidR="003757FB" w:rsidRPr="00DC2A22">
        <w:rPr>
          <w:rFonts w:asciiTheme="majorBidi" w:hAnsiTheme="majorBidi" w:cstheme="majorBidi"/>
          <w:color w:val="001D35"/>
          <w:spacing w:val="2"/>
          <w:lang w:val="en-GB"/>
        </w:rPr>
        <w:t xml:space="preserve"> the vagaries of oil prices shape fiscal policy decisions of oil-producing and oil-exporting countries. </w:t>
      </w:r>
      <w:r w:rsidRPr="00DC2A22">
        <w:rPr>
          <w:rFonts w:asciiTheme="majorBidi" w:hAnsiTheme="majorBidi" w:cstheme="majorBidi"/>
          <w:color w:val="2E2E2E"/>
          <w:lang w:val="en-GB"/>
        </w:rPr>
        <w:t>The findings of these studies vary across jurisdictions, time frame and methodology. Some of these studies showed that</w:t>
      </w:r>
      <w:r w:rsidR="000D409E" w:rsidRPr="00DC2A22">
        <w:rPr>
          <w:rFonts w:asciiTheme="majorBidi" w:hAnsiTheme="majorBidi" w:cstheme="majorBidi"/>
          <w:color w:val="2E2E2E"/>
          <w:lang w:val="en-GB"/>
        </w:rPr>
        <w:t xml:space="preserve"> changes in oil prices positively </w:t>
      </w:r>
      <w:r w:rsidR="00986863" w:rsidRPr="00DC2A22">
        <w:rPr>
          <w:rFonts w:asciiTheme="majorBidi" w:hAnsiTheme="majorBidi" w:cstheme="majorBidi"/>
          <w:color w:val="2E2E2E"/>
          <w:lang w:val="en-GB"/>
        </w:rPr>
        <w:t>affect</w:t>
      </w:r>
      <w:r w:rsidR="000D409E" w:rsidRPr="00DC2A22">
        <w:rPr>
          <w:rFonts w:asciiTheme="majorBidi" w:hAnsiTheme="majorBidi" w:cstheme="majorBidi"/>
          <w:color w:val="2E2E2E"/>
          <w:lang w:val="en-GB"/>
        </w:rPr>
        <w:t xml:space="preserve"> government revenue (</w:t>
      </w:r>
      <w:r w:rsidR="000D409E" w:rsidRPr="00DC2A22">
        <w:rPr>
          <w:rFonts w:asciiTheme="majorBidi" w:hAnsiTheme="majorBidi" w:cstheme="majorBidi"/>
          <w:color w:val="222222"/>
          <w:shd w:val="clear" w:color="auto" w:fill="FFFFFF"/>
        </w:rPr>
        <w:t>Al-Jabri, Raghavan</w:t>
      </w:r>
      <w:r w:rsidR="00401F47" w:rsidRPr="00DC2A22">
        <w:rPr>
          <w:rFonts w:asciiTheme="majorBidi" w:hAnsiTheme="majorBidi" w:cstheme="majorBidi"/>
          <w:color w:val="222222"/>
          <w:shd w:val="clear" w:color="auto" w:fill="FFFFFF"/>
        </w:rPr>
        <w:t xml:space="preserve"> </w:t>
      </w:r>
      <w:r w:rsidR="000D409E" w:rsidRPr="00DC2A22">
        <w:rPr>
          <w:rFonts w:asciiTheme="majorBidi" w:hAnsiTheme="majorBidi" w:cstheme="majorBidi"/>
          <w:color w:val="222222"/>
          <w:shd w:val="clear" w:color="auto" w:fill="FFFFFF"/>
        </w:rPr>
        <w:t>&amp; Vespignani, 2022</w:t>
      </w:r>
      <w:r w:rsidR="002A12FF" w:rsidRPr="00DC2A22">
        <w:rPr>
          <w:rFonts w:asciiTheme="majorBidi" w:hAnsiTheme="majorBidi" w:cstheme="majorBidi"/>
          <w:color w:val="222222"/>
          <w:shd w:val="clear" w:color="auto" w:fill="FFFFFF"/>
        </w:rPr>
        <w:t>;</w:t>
      </w:r>
      <w:r w:rsidR="000502CA" w:rsidRPr="00DC2A22">
        <w:rPr>
          <w:rFonts w:asciiTheme="majorBidi" w:hAnsiTheme="majorBidi" w:cstheme="majorBidi"/>
          <w:color w:val="222222"/>
          <w:shd w:val="clear" w:color="auto" w:fill="FFFFFF"/>
        </w:rPr>
        <w:t xml:space="preserve"> Magazzino</w:t>
      </w:r>
      <w:r w:rsidR="00097D94" w:rsidRPr="00DC2A22">
        <w:rPr>
          <w:rFonts w:asciiTheme="majorBidi" w:hAnsiTheme="majorBidi" w:cstheme="majorBidi"/>
          <w:color w:val="222222"/>
          <w:shd w:val="clear" w:color="auto" w:fill="FFFFFF"/>
        </w:rPr>
        <w:t xml:space="preserve"> </w:t>
      </w:r>
      <w:r w:rsidR="0003557A">
        <w:rPr>
          <w:rFonts w:asciiTheme="majorBidi" w:hAnsiTheme="majorBidi" w:cstheme="majorBidi"/>
          <w:color w:val="222222"/>
          <w:shd w:val="clear" w:color="auto" w:fill="FFFFFF"/>
        </w:rPr>
        <w:t xml:space="preserve">, </w:t>
      </w:r>
      <w:r w:rsidR="00097D94" w:rsidRPr="00DC2A22">
        <w:rPr>
          <w:rFonts w:asciiTheme="majorBidi" w:hAnsiTheme="majorBidi" w:cstheme="majorBidi"/>
          <w:color w:val="222222"/>
          <w:shd w:val="clear" w:color="auto" w:fill="FFFFFF"/>
        </w:rPr>
        <w:t>2022;</w:t>
      </w:r>
      <w:r w:rsidR="002A12FF" w:rsidRPr="00DC2A22">
        <w:rPr>
          <w:rFonts w:asciiTheme="majorBidi" w:hAnsiTheme="majorBidi" w:cstheme="majorBidi"/>
          <w:color w:val="222222"/>
          <w:shd w:val="clear" w:color="auto" w:fill="FFFFFF"/>
        </w:rPr>
        <w:t xml:space="preserve"> </w:t>
      </w:r>
      <w:r w:rsidR="00050EAC" w:rsidRPr="00DC2A22">
        <w:rPr>
          <w:rFonts w:asciiTheme="majorBidi" w:hAnsiTheme="majorBidi" w:cstheme="majorBidi"/>
          <w:color w:val="222222"/>
          <w:shd w:val="clear" w:color="auto" w:fill="FFFFFF"/>
        </w:rPr>
        <w:t>Hathroubi &amp; Alou</w:t>
      </w:r>
      <w:r w:rsidR="00B515EF" w:rsidRPr="00DC2A22">
        <w:rPr>
          <w:rFonts w:asciiTheme="majorBidi" w:hAnsiTheme="majorBidi" w:cstheme="majorBidi"/>
          <w:color w:val="222222"/>
          <w:shd w:val="clear" w:color="auto" w:fill="FFFFFF"/>
        </w:rPr>
        <w:t xml:space="preserve">, </w:t>
      </w:r>
      <w:r w:rsidR="00050EAC" w:rsidRPr="00DC2A22">
        <w:rPr>
          <w:rFonts w:asciiTheme="majorBidi" w:hAnsiTheme="majorBidi" w:cstheme="majorBidi"/>
          <w:color w:val="222222"/>
          <w:shd w:val="clear" w:color="auto" w:fill="FFFFFF"/>
        </w:rPr>
        <w:t>2022</w:t>
      </w:r>
      <w:r w:rsidR="00B515EF" w:rsidRPr="00DC2A22">
        <w:rPr>
          <w:rFonts w:asciiTheme="majorBidi" w:hAnsiTheme="majorBidi" w:cstheme="majorBidi"/>
          <w:color w:val="222222"/>
          <w:shd w:val="clear" w:color="auto" w:fill="FFFFFF"/>
        </w:rPr>
        <w:t>;</w:t>
      </w:r>
      <w:r w:rsidR="00050EAC" w:rsidRPr="00DC2A22">
        <w:rPr>
          <w:rFonts w:asciiTheme="majorBidi" w:hAnsiTheme="majorBidi" w:cstheme="majorBidi"/>
          <w:color w:val="222222"/>
          <w:shd w:val="clear" w:color="auto" w:fill="FFFFFF"/>
        </w:rPr>
        <w:t xml:space="preserve"> </w:t>
      </w:r>
      <w:r w:rsidR="002A12FF" w:rsidRPr="00DC2A22">
        <w:rPr>
          <w:rFonts w:asciiTheme="majorBidi" w:hAnsiTheme="majorBidi" w:cstheme="majorBidi"/>
          <w:color w:val="222222"/>
          <w:shd w:val="clear" w:color="auto" w:fill="FFFFFF"/>
        </w:rPr>
        <w:t>Sohag, Kalina &amp; Samargandi, 2024</w:t>
      </w:r>
      <w:r w:rsidR="00E72D01" w:rsidRPr="00DC2A22">
        <w:rPr>
          <w:rFonts w:asciiTheme="majorBidi" w:hAnsiTheme="majorBidi" w:cstheme="majorBidi"/>
          <w:color w:val="222222"/>
          <w:shd w:val="clear" w:color="auto" w:fill="FFFFFF"/>
        </w:rPr>
        <w:t>;</w:t>
      </w:r>
      <w:r w:rsidR="000664C5" w:rsidRPr="00DC2A22">
        <w:rPr>
          <w:rFonts w:asciiTheme="majorBidi" w:hAnsiTheme="majorBidi" w:cstheme="majorBidi"/>
          <w:color w:val="222222"/>
          <w:shd w:val="clear" w:color="auto" w:fill="FFFFFF"/>
        </w:rPr>
        <w:t xml:space="preserve"> Huseynli, 2025</w:t>
      </w:r>
      <w:r w:rsidR="0003557A">
        <w:rPr>
          <w:rFonts w:asciiTheme="majorBidi" w:hAnsiTheme="majorBidi" w:cstheme="majorBidi"/>
          <w:color w:val="222222"/>
          <w:shd w:val="clear" w:color="auto" w:fill="FFFFFF"/>
        </w:rPr>
        <w:t xml:space="preserve">; </w:t>
      </w:r>
      <w:r w:rsidR="0003557A" w:rsidRPr="006C7D10">
        <w:rPr>
          <w:color w:val="222222"/>
          <w:shd w:val="clear" w:color="auto" w:fill="FFFFFF"/>
        </w:rPr>
        <w:t>Aremo, Orisadare</w:t>
      </w:r>
      <w:r w:rsidR="0003557A">
        <w:rPr>
          <w:color w:val="222222"/>
          <w:shd w:val="clear" w:color="auto" w:fill="FFFFFF"/>
        </w:rPr>
        <w:t xml:space="preserve"> </w:t>
      </w:r>
      <w:r w:rsidR="0003557A" w:rsidRPr="006C7D10">
        <w:rPr>
          <w:color w:val="222222"/>
          <w:shd w:val="clear" w:color="auto" w:fill="FFFFFF"/>
        </w:rPr>
        <w:t>&amp; Ekperiware</w:t>
      </w:r>
      <w:r w:rsidR="00A820AC">
        <w:rPr>
          <w:color w:val="222222"/>
          <w:shd w:val="clear" w:color="auto" w:fill="FFFFFF"/>
        </w:rPr>
        <w:t xml:space="preserve">, </w:t>
      </w:r>
      <w:r w:rsidR="0003557A" w:rsidRPr="006C7D10">
        <w:rPr>
          <w:color w:val="222222"/>
          <w:shd w:val="clear" w:color="auto" w:fill="FFFFFF"/>
        </w:rPr>
        <w:t>2012</w:t>
      </w:r>
      <w:r w:rsidR="000D409E" w:rsidRPr="00DC2A22">
        <w:rPr>
          <w:rFonts w:asciiTheme="majorBidi" w:hAnsiTheme="majorBidi" w:cstheme="majorBidi"/>
          <w:color w:val="222222"/>
          <w:shd w:val="clear" w:color="auto" w:fill="FFFFFF"/>
        </w:rPr>
        <w:t xml:space="preserve">). </w:t>
      </w:r>
      <w:r w:rsidRPr="00DC2A22">
        <w:rPr>
          <w:rFonts w:asciiTheme="majorBidi" w:hAnsiTheme="majorBidi" w:cstheme="majorBidi"/>
          <w:color w:val="222222"/>
          <w:shd w:val="clear" w:color="auto" w:fill="FFFFFF"/>
          <w:lang w:val="en-GB"/>
        </w:rPr>
        <w:t>On the other hand,</w:t>
      </w:r>
      <w:r w:rsidR="00AC6DBF" w:rsidRPr="00DC2A22">
        <w:rPr>
          <w:rFonts w:asciiTheme="majorBidi" w:hAnsiTheme="majorBidi" w:cstheme="majorBidi"/>
          <w:color w:val="222222"/>
          <w:shd w:val="clear" w:color="auto" w:fill="FFFFFF"/>
          <w:lang w:val="en-GB"/>
        </w:rPr>
        <w:t xml:space="preserve"> </w:t>
      </w:r>
      <w:r w:rsidRPr="00DC2A22">
        <w:rPr>
          <w:rFonts w:asciiTheme="majorBidi" w:hAnsiTheme="majorBidi" w:cstheme="majorBidi"/>
          <w:color w:val="222222"/>
          <w:shd w:val="clear" w:color="auto" w:fill="FFFFFF"/>
          <w:lang w:val="en-GB"/>
        </w:rPr>
        <w:t xml:space="preserve">studies such as </w:t>
      </w:r>
      <w:r w:rsidR="00D80C3F" w:rsidRPr="00DC2A22">
        <w:rPr>
          <w:rFonts w:asciiTheme="majorBidi" w:hAnsiTheme="majorBidi" w:cstheme="majorBidi"/>
          <w:color w:val="222222"/>
          <w:shd w:val="clear" w:color="auto" w:fill="FFFFFF"/>
        </w:rPr>
        <w:t>Agboola,</w:t>
      </w:r>
      <w:r w:rsidR="00DE40F8" w:rsidRPr="00DC2A22">
        <w:rPr>
          <w:rFonts w:asciiTheme="majorBidi" w:hAnsiTheme="majorBidi" w:cstheme="majorBidi"/>
          <w:color w:val="222222"/>
          <w:shd w:val="clear" w:color="auto" w:fill="FFFFFF"/>
        </w:rPr>
        <w:t xml:space="preserve"> </w:t>
      </w:r>
      <w:r w:rsidR="00D80C3F" w:rsidRPr="00DC2A22">
        <w:rPr>
          <w:rFonts w:asciiTheme="majorBidi" w:hAnsiTheme="majorBidi" w:cstheme="majorBidi"/>
          <w:color w:val="222222"/>
          <w:shd w:val="clear" w:color="auto" w:fill="FFFFFF"/>
        </w:rPr>
        <w:t>Chowdhury, &amp; Yang (2024</w:t>
      </w:r>
      <w:r w:rsidR="008B58E0" w:rsidRPr="00DC2A22">
        <w:rPr>
          <w:rFonts w:asciiTheme="majorBidi" w:hAnsiTheme="majorBidi" w:cstheme="majorBidi"/>
          <w:color w:val="222222"/>
          <w:shd w:val="clear" w:color="auto" w:fill="FFFFFF"/>
        </w:rPr>
        <w:t>; El-Naser, Dincă &amp; Dincă, 2025</w:t>
      </w:r>
      <w:r w:rsidR="00D80C3F" w:rsidRPr="00DC2A22">
        <w:rPr>
          <w:rFonts w:asciiTheme="majorBidi" w:hAnsiTheme="majorBidi" w:cstheme="majorBidi"/>
          <w:color w:val="222222"/>
          <w:shd w:val="clear" w:color="auto" w:fill="FFFFFF"/>
        </w:rPr>
        <w:t>)</w:t>
      </w:r>
      <w:r w:rsidR="00DE40F8" w:rsidRPr="00DC2A22">
        <w:rPr>
          <w:rFonts w:asciiTheme="majorBidi" w:hAnsiTheme="majorBidi" w:cstheme="majorBidi"/>
          <w:color w:val="222222"/>
          <w:shd w:val="clear" w:color="auto" w:fill="FFFFFF"/>
        </w:rPr>
        <w:t xml:space="preserve"> </w:t>
      </w:r>
      <w:r w:rsidRPr="00DC2A22">
        <w:rPr>
          <w:rFonts w:asciiTheme="majorBidi" w:hAnsiTheme="majorBidi" w:cstheme="majorBidi"/>
          <w:color w:val="333333"/>
          <w:shd w:val="clear" w:color="auto" w:fill="FFFFFF"/>
          <w:lang w:val="en-GB"/>
        </w:rPr>
        <w:t xml:space="preserve">reported that </w:t>
      </w:r>
      <w:r w:rsidR="00AC6DBF" w:rsidRPr="00DC2A22">
        <w:rPr>
          <w:rFonts w:asciiTheme="majorBidi" w:hAnsiTheme="majorBidi" w:cstheme="majorBidi"/>
          <w:color w:val="333333"/>
          <w:shd w:val="clear" w:color="auto" w:fill="FFFFFF"/>
          <w:lang w:val="en-GB"/>
        </w:rPr>
        <w:t xml:space="preserve">an increase in oil prices adversely </w:t>
      </w:r>
      <w:r w:rsidR="000C71FB" w:rsidRPr="00DC2A22">
        <w:rPr>
          <w:rFonts w:asciiTheme="majorBidi" w:hAnsiTheme="majorBidi" w:cstheme="majorBidi"/>
          <w:color w:val="333333"/>
          <w:shd w:val="clear" w:color="auto" w:fill="FFFFFF"/>
          <w:lang w:val="en-GB"/>
        </w:rPr>
        <w:t>affects</w:t>
      </w:r>
      <w:r w:rsidR="00AC6DBF" w:rsidRPr="00DC2A22">
        <w:rPr>
          <w:rFonts w:asciiTheme="majorBidi" w:hAnsiTheme="majorBidi" w:cstheme="majorBidi"/>
          <w:color w:val="333333"/>
          <w:shd w:val="clear" w:color="auto" w:fill="FFFFFF"/>
          <w:lang w:val="en-GB"/>
        </w:rPr>
        <w:t xml:space="preserve"> </w:t>
      </w:r>
      <w:r w:rsidR="000C71FB" w:rsidRPr="00DC2A22">
        <w:rPr>
          <w:rFonts w:asciiTheme="majorBidi" w:hAnsiTheme="majorBidi" w:cstheme="majorBidi"/>
          <w:color w:val="333333"/>
          <w:shd w:val="clear" w:color="auto" w:fill="FFFFFF"/>
          <w:lang w:val="en-GB"/>
        </w:rPr>
        <w:t>the government's</w:t>
      </w:r>
      <w:r w:rsidR="008D7DB3" w:rsidRPr="00DC2A22">
        <w:rPr>
          <w:rFonts w:asciiTheme="majorBidi" w:hAnsiTheme="majorBidi" w:cstheme="majorBidi"/>
          <w:color w:val="333333"/>
          <w:shd w:val="clear" w:color="auto" w:fill="FFFFFF"/>
          <w:lang w:val="en-GB"/>
        </w:rPr>
        <w:t xml:space="preserve"> capacity to </w:t>
      </w:r>
      <w:r w:rsidR="000C71FB" w:rsidRPr="00DC2A22">
        <w:rPr>
          <w:rFonts w:asciiTheme="majorBidi" w:hAnsiTheme="majorBidi" w:cstheme="majorBidi"/>
          <w:color w:val="333333"/>
          <w:shd w:val="clear" w:color="auto" w:fill="FFFFFF"/>
          <w:lang w:val="en-GB"/>
        </w:rPr>
        <w:t xml:space="preserve">meet </w:t>
      </w:r>
      <w:r w:rsidR="008D7DB3" w:rsidRPr="00DC2A22">
        <w:rPr>
          <w:rFonts w:asciiTheme="majorBidi" w:hAnsiTheme="majorBidi" w:cstheme="majorBidi"/>
          <w:color w:val="333333"/>
          <w:shd w:val="clear" w:color="auto" w:fill="FFFFFF"/>
          <w:lang w:val="en-GB"/>
        </w:rPr>
        <w:t xml:space="preserve">debt servicing and expenditure obligations. </w:t>
      </w:r>
      <w:r w:rsidR="00545706" w:rsidRPr="00DC2A22">
        <w:rPr>
          <w:rFonts w:asciiTheme="majorBidi" w:hAnsiTheme="majorBidi" w:cstheme="majorBidi"/>
          <w:color w:val="333333"/>
          <w:shd w:val="clear" w:color="auto" w:fill="FFFFFF"/>
          <w:lang w:val="en-GB"/>
        </w:rPr>
        <w:t xml:space="preserve">However, </w:t>
      </w:r>
      <w:r w:rsidR="00545706" w:rsidRPr="00DC2A22">
        <w:rPr>
          <w:rFonts w:asciiTheme="majorBidi" w:hAnsiTheme="majorBidi" w:cstheme="majorBidi"/>
          <w:color w:val="222222"/>
          <w:shd w:val="clear" w:color="auto" w:fill="FFFFFF"/>
        </w:rPr>
        <w:t xml:space="preserve">Eze </w:t>
      </w:r>
      <w:r w:rsidR="00545706" w:rsidRPr="00DC2A22">
        <w:rPr>
          <w:rFonts w:asciiTheme="majorBidi" w:hAnsiTheme="majorBidi" w:cstheme="majorBidi"/>
          <w:color w:val="222222"/>
          <w:shd w:val="clear" w:color="auto" w:fill="FFFFFF"/>
          <w:lang w:val="en-GB"/>
        </w:rPr>
        <w:t xml:space="preserve">&amp; Apiri (2020) found that </w:t>
      </w:r>
      <w:r w:rsidR="00167C05" w:rsidRPr="00DC2A22">
        <w:rPr>
          <w:rFonts w:asciiTheme="majorBidi" w:hAnsiTheme="majorBidi" w:cstheme="majorBidi"/>
          <w:color w:val="222222"/>
          <w:shd w:val="clear" w:color="auto" w:fill="FFFFFF"/>
          <w:lang w:val="en-GB"/>
        </w:rPr>
        <w:t xml:space="preserve">oil prices do not significantly affect </w:t>
      </w:r>
      <w:r w:rsidR="00605303" w:rsidRPr="00DC2A22">
        <w:rPr>
          <w:rFonts w:asciiTheme="majorBidi" w:hAnsiTheme="majorBidi" w:cstheme="majorBidi"/>
          <w:color w:val="222222"/>
          <w:shd w:val="clear" w:color="auto" w:fill="FFFFFF"/>
          <w:lang w:val="en-GB"/>
        </w:rPr>
        <w:t>total external debt in Nigeria.</w:t>
      </w:r>
    </w:p>
    <w:p w14:paraId="0D8AD371" w14:textId="28AC1321" w:rsidR="00ED4154" w:rsidRPr="009D06CC" w:rsidRDefault="00A529B9" w:rsidP="00097D94">
      <w:pPr>
        <w:pStyle w:val="NormalWeb"/>
        <w:spacing w:before="60" w:beforeAutospacing="0" w:after="0" w:afterAutospacing="0" w:line="360" w:lineRule="auto"/>
        <w:jc w:val="both"/>
        <w:rPr>
          <w:rFonts w:asciiTheme="majorBidi" w:hAnsiTheme="majorBidi" w:cstheme="majorBidi"/>
          <w:b/>
          <w:bCs/>
          <w:color w:val="333333"/>
          <w:shd w:val="clear" w:color="auto" w:fill="FFFFFF"/>
          <w:lang w:val="en-GB"/>
        </w:rPr>
      </w:pPr>
      <w:r w:rsidRPr="009D06CC">
        <w:rPr>
          <w:rFonts w:asciiTheme="majorBidi" w:hAnsiTheme="majorBidi" w:cstheme="majorBidi"/>
          <w:b/>
          <w:bCs/>
          <w:color w:val="333333"/>
          <w:shd w:val="clear" w:color="auto" w:fill="FFFFFF"/>
          <w:lang w:val="en-GB"/>
        </w:rPr>
        <w:t>2.</w:t>
      </w:r>
      <w:r w:rsidR="00D71D61" w:rsidRPr="009D06CC">
        <w:rPr>
          <w:rFonts w:asciiTheme="majorBidi" w:hAnsiTheme="majorBidi" w:cstheme="majorBidi"/>
          <w:b/>
          <w:bCs/>
          <w:color w:val="333333"/>
          <w:shd w:val="clear" w:color="auto" w:fill="FFFFFF"/>
          <w:lang w:val="en-GB"/>
        </w:rPr>
        <w:t xml:space="preserve">1 </w:t>
      </w:r>
      <w:r w:rsidR="00ED4154" w:rsidRPr="009D06CC">
        <w:rPr>
          <w:rFonts w:asciiTheme="majorBidi" w:hAnsiTheme="majorBidi" w:cstheme="majorBidi"/>
          <w:b/>
          <w:bCs/>
          <w:color w:val="333333"/>
          <w:shd w:val="clear" w:color="auto" w:fill="FFFFFF"/>
          <w:lang w:val="en-GB"/>
        </w:rPr>
        <w:t>Stylized Facts</w:t>
      </w:r>
      <w:r w:rsidR="00D71D61" w:rsidRPr="009D06CC">
        <w:rPr>
          <w:rFonts w:asciiTheme="majorBidi" w:hAnsiTheme="majorBidi" w:cstheme="majorBidi"/>
          <w:b/>
          <w:bCs/>
          <w:color w:val="333333"/>
          <w:shd w:val="clear" w:color="auto" w:fill="FFFFFF"/>
          <w:lang w:val="en-GB"/>
        </w:rPr>
        <w:t xml:space="preserve"> on </w:t>
      </w:r>
      <w:r w:rsidR="007F6897" w:rsidRPr="009D06CC">
        <w:rPr>
          <w:rFonts w:asciiTheme="majorBidi" w:hAnsiTheme="majorBidi" w:cstheme="majorBidi"/>
          <w:b/>
          <w:bCs/>
          <w:color w:val="333333"/>
          <w:shd w:val="clear" w:color="auto" w:fill="FFFFFF"/>
          <w:lang w:val="en-GB"/>
        </w:rPr>
        <w:t>Debt Servicing</w:t>
      </w:r>
    </w:p>
    <w:p w14:paraId="35751F69" w14:textId="7D14F92D" w:rsidR="007F6897" w:rsidRPr="00F45BC5" w:rsidRDefault="00E620A4" w:rsidP="00F45BC5">
      <w:pPr>
        <w:spacing w:line="360" w:lineRule="auto"/>
        <w:jc w:val="both"/>
        <w:rPr>
          <w:rFonts w:asciiTheme="majorBidi" w:hAnsiTheme="majorBidi" w:cstheme="majorBidi"/>
          <w:sz w:val="24"/>
          <w:szCs w:val="24"/>
        </w:rPr>
      </w:pPr>
      <w:r w:rsidRPr="00F45BC5">
        <w:rPr>
          <w:rFonts w:asciiTheme="majorBidi" w:hAnsiTheme="majorBidi" w:cstheme="majorBidi"/>
          <w:sz w:val="24"/>
          <w:szCs w:val="24"/>
        </w:rPr>
        <w:t xml:space="preserve">As an integral </w:t>
      </w:r>
      <w:r w:rsidR="00401109" w:rsidRPr="00F45BC5">
        <w:rPr>
          <w:rFonts w:asciiTheme="majorBidi" w:hAnsiTheme="majorBidi" w:cstheme="majorBidi"/>
          <w:sz w:val="24"/>
          <w:szCs w:val="24"/>
        </w:rPr>
        <w:t>aspect of fiscal sustainability, debt servicing, which covers the interest payments and principal repayments on any outstanding debt, has continued to vary in Nigeria in the past two decades. When these costs are high, they can put a real strain on government budgets, often forcing them to redirect funds away from crucial public services such as healthcare, education, and infrastructure.</w:t>
      </w:r>
      <w:r w:rsidR="000C41CD" w:rsidRPr="00F45BC5">
        <w:rPr>
          <w:rFonts w:asciiTheme="majorBidi" w:hAnsiTheme="majorBidi" w:cstheme="majorBidi"/>
          <w:sz w:val="24"/>
          <w:szCs w:val="24"/>
        </w:rPr>
        <w:t xml:space="preserve"> The </w:t>
      </w:r>
      <w:r w:rsidR="000C33EC" w:rsidRPr="00F45BC5">
        <w:rPr>
          <w:rFonts w:asciiTheme="majorBidi" w:hAnsiTheme="majorBidi" w:cstheme="majorBidi"/>
          <w:sz w:val="24"/>
          <w:szCs w:val="24"/>
        </w:rPr>
        <w:t xml:space="preserve">rising debt servicing obligations </w:t>
      </w:r>
      <w:r w:rsidR="00B40E60" w:rsidRPr="00F45BC5">
        <w:rPr>
          <w:rFonts w:asciiTheme="majorBidi" w:hAnsiTheme="majorBidi" w:cstheme="majorBidi"/>
          <w:sz w:val="24"/>
          <w:szCs w:val="24"/>
        </w:rPr>
        <w:t xml:space="preserve">are largely linked to </w:t>
      </w:r>
      <w:r w:rsidR="00320ABA" w:rsidRPr="00F45BC5">
        <w:rPr>
          <w:rFonts w:asciiTheme="majorBidi" w:hAnsiTheme="majorBidi" w:cstheme="majorBidi"/>
          <w:sz w:val="24"/>
          <w:szCs w:val="24"/>
        </w:rPr>
        <w:t>the growth of public debt from various sources</w:t>
      </w:r>
      <w:r w:rsidR="009D06CC" w:rsidRPr="00F45BC5">
        <w:rPr>
          <w:rFonts w:asciiTheme="majorBidi" w:hAnsiTheme="majorBidi" w:cstheme="majorBidi"/>
          <w:sz w:val="24"/>
          <w:szCs w:val="24"/>
        </w:rPr>
        <w:t xml:space="preserve">, especially bilateral and multilateral sources. </w:t>
      </w:r>
      <w:r w:rsidR="00F63581" w:rsidRPr="00F45BC5">
        <w:rPr>
          <w:rFonts w:asciiTheme="majorBidi" w:hAnsiTheme="majorBidi" w:cstheme="majorBidi"/>
          <w:sz w:val="24"/>
          <w:szCs w:val="24"/>
        </w:rPr>
        <w:t xml:space="preserve">The </w:t>
      </w:r>
      <w:r w:rsidR="00F45BC5" w:rsidRPr="00F45BC5">
        <w:rPr>
          <w:rFonts w:asciiTheme="majorBidi" w:hAnsiTheme="majorBidi" w:cstheme="majorBidi"/>
          <w:sz w:val="24"/>
          <w:szCs w:val="24"/>
        </w:rPr>
        <w:t>trajectory</w:t>
      </w:r>
      <w:r w:rsidR="00F63581" w:rsidRPr="00F45BC5">
        <w:rPr>
          <w:rFonts w:asciiTheme="majorBidi" w:hAnsiTheme="majorBidi" w:cstheme="majorBidi"/>
          <w:sz w:val="24"/>
          <w:szCs w:val="24"/>
        </w:rPr>
        <w:t xml:space="preserve"> of debt servicing in Nigeria between 2002 and 2022 is </w:t>
      </w:r>
      <w:r w:rsidR="00F45BC5" w:rsidRPr="00F45BC5">
        <w:rPr>
          <w:rFonts w:asciiTheme="majorBidi" w:hAnsiTheme="majorBidi" w:cstheme="majorBidi"/>
          <w:sz w:val="24"/>
          <w:szCs w:val="24"/>
        </w:rPr>
        <w:t>presented in Figure 1</w:t>
      </w:r>
    </w:p>
    <w:p w14:paraId="5108F513" w14:textId="5FAEA9ED" w:rsidR="00ED4154" w:rsidRDefault="00ED4154" w:rsidP="00097D94">
      <w:pPr>
        <w:pStyle w:val="NormalWeb"/>
        <w:spacing w:before="60" w:beforeAutospacing="0" w:after="0" w:afterAutospacing="0" w:line="360" w:lineRule="auto"/>
        <w:jc w:val="both"/>
        <w:rPr>
          <w:rFonts w:asciiTheme="majorBidi" w:hAnsiTheme="majorBidi" w:cstheme="majorBidi"/>
          <w:color w:val="333333"/>
          <w:shd w:val="clear" w:color="auto" w:fill="FFFFFF"/>
          <w:lang w:val="en-GB"/>
        </w:rPr>
      </w:pPr>
      <w:r>
        <w:rPr>
          <w:noProof/>
        </w:rPr>
        <w:lastRenderedPageBreak/>
        <w:drawing>
          <wp:inline distT="0" distB="0" distL="0" distR="0" wp14:anchorId="4AB9C2A3" wp14:editId="19CD3148">
            <wp:extent cx="5695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869077" w14:textId="553397F9" w:rsidR="00060D9E" w:rsidRPr="00060D9E" w:rsidRDefault="00060D9E" w:rsidP="00060D9E">
      <w:pPr>
        <w:pStyle w:val="NormalWeb"/>
        <w:spacing w:before="60" w:beforeAutospacing="0" w:after="0" w:afterAutospacing="0" w:line="360" w:lineRule="auto"/>
        <w:jc w:val="both"/>
        <w:rPr>
          <w:rFonts w:asciiTheme="majorBidi" w:hAnsiTheme="majorBidi" w:cstheme="majorBidi"/>
          <w:b/>
          <w:bCs/>
          <w:color w:val="333333"/>
          <w:shd w:val="clear" w:color="auto" w:fill="FFFFFF"/>
          <w:lang w:val="en-GB"/>
        </w:rPr>
      </w:pPr>
      <w:r w:rsidRPr="00060D9E">
        <w:rPr>
          <w:rFonts w:asciiTheme="majorBidi" w:hAnsiTheme="majorBidi" w:cstheme="majorBidi"/>
          <w:b/>
          <w:bCs/>
          <w:color w:val="333333"/>
          <w:shd w:val="clear" w:color="auto" w:fill="FFFFFF"/>
          <w:lang w:val="en-GB"/>
        </w:rPr>
        <w:t>Figure 1: Debt service (% of export of goods and services)</w:t>
      </w:r>
      <w:r w:rsidR="00283807">
        <w:rPr>
          <w:rFonts w:asciiTheme="majorBidi" w:hAnsiTheme="majorBidi" w:cstheme="majorBidi"/>
          <w:b/>
          <w:bCs/>
          <w:color w:val="333333"/>
          <w:shd w:val="clear" w:color="auto" w:fill="FFFFFF"/>
          <w:lang w:val="en-GB"/>
        </w:rPr>
        <w:t>, 2000</w:t>
      </w:r>
      <w:r w:rsidR="00BC13E8">
        <w:rPr>
          <w:rFonts w:asciiTheme="majorBidi" w:hAnsiTheme="majorBidi" w:cstheme="majorBidi"/>
          <w:b/>
          <w:bCs/>
          <w:color w:val="333333"/>
          <w:shd w:val="clear" w:color="auto" w:fill="FFFFFF"/>
          <w:lang w:val="en-GB"/>
        </w:rPr>
        <w:t>-2022</w:t>
      </w:r>
    </w:p>
    <w:p w14:paraId="2B78B6CC" w14:textId="14112035" w:rsidR="008575AF" w:rsidRPr="008575AF" w:rsidRDefault="008575AF" w:rsidP="008575AF">
      <w:pPr>
        <w:spacing w:line="360" w:lineRule="auto"/>
        <w:jc w:val="both"/>
        <w:rPr>
          <w:rFonts w:asciiTheme="majorBidi" w:hAnsiTheme="majorBidi" w:cstheme="majorBidi"/>
          <w:sz w:val="24"/>
          <w:szCs w:val="24"/>
        </w:rPr>
      </w:pPr>
      <w:r w:rsidRPr="008575AF">
        <w:rPr>
          <w:rFonts w:asciiTheme="majorBidi" w:hAnsiTheme="majorBidi" w:cstheme="majorBidi"/>
          <w:sz w:val="24"/>
          <w:szCs w:val="24"/>
        </w:rPr>
        <w:t xml:space="preserve">The </w:t>
      </w:r>
      <w:r>
        <w:rPr>
          <w:rFonts w:asciiTheme="majorBidi" w:hAnsiTheme="majorBidi" w:cstheme="majorBidi"/>
          <w:sz w:val="24"/>
          <w:szCs w:val="24"/>
        </w:rPr>
        <w:t xml:space="preserve">trajectory </w:t>
      </w:r>
      <w:r w:rsidRPr="008575AF">
        <w:rPr>
          <w:rFonts w:asciiTheme="majorBidi" w:hAnsiTheme="majorBidi" w:cstheme="majorBidi"/>
          <w:sz w:val="24"/>
          <w:szCs w:val="24"/>
        </w:rPr>
        <w:t>of debt service, measured as a percentage of exports of goods and services, shown in Figure 1, varied quite a bit throughout the study period. It rose from 8.21% in 2000 to 12.46% in 2021, then dipped to 4.47% in 2004. Interestingly, debt service payments hit a peak of 15.41% in 2005. This sharp rise can be attributed to a significant amount of external debt, primarily owed to the "Paris Club" of creditors. This situation developed over years of heavy borrowing to support development projects, coupled with economic downturns that made it tough for the country to repay the loans, leading to a hefty accumulation of interest on the outstanding debt. Fortunately, in 2007, debt service obligations dropped dramatically to 1.14% after a major debt relief package from the Paris Club eased Nigeria’s debt burden. From 2008 to 2015, debt servicing in Nigeria saw an upward trend, climbing to 5.09% in 2021 before slightly decreasing to 4.29% in 2022. This trend highlights the rising costs of debt servicing, which have significantly impacted the fiscal space of the Nigerian economy.</w:t>
      </w:r>
    </w:p>
    <w:p w14:paraId="610D1F0E" w14:textId="6FDFA83B" w:rsidR="009A1B14" w:rsidRDefault="009A1B14" w:rsidP="009A1B1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EF11AB" w:rsidRPr="007E577C">
        <w:rPr>
          <w:rFonts w:ascii="Times New Roman" w:hAnsi="Times New Roman" w:cs="Times New Roman"/>
          <w:b/>
          <w:color w:val="FF0000"/>
          <w:sz w:val="24"/>
          <w:szCs w:val="24"/>
        </w:rPr>
        <w:t>Data</w:t>
      </w:r>
      <w:r w:rsidR="00EF11AB">
        <w:rPr>
          <w:rFonts w:ascii="Times New Roman" w:hAnsi="Times New Roman" w:cs="Times New Roman"/>
          <w:b/>
          <w:sz w:val="24"/>
          <w:szCs w:val="24"/>
        </w:rPr>
        <w:t xml:space="preserve"> and </w:t>
      </w:r>
      <w:r>
        <w:rPr>
          <w:rFonts w:ascii="Times New Roman" w:hAnsi="Times New Roman" w:cs="Times New Roman"/>
          <w:b/>
          <w:sz w:val="24"/>
          <w:szCs w:val="24"/>
        </w:rPr>
        <w:t xml:space="preserve">Methodology </w:t>
      </w:r>
    </w:p>
    <w:p w14:paraId="148C7CB8" w14:textId="77777777" w:rsidR="009A1B14" w:rsidRDefault="009A1B14" w:rsidP="009A1B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Model Specification </w:t>
      </w:r>
    </w:p>
    <w:p w14:paraId="6C996E1E" w14:textId="16F4F75B" w:rsidR="009A1B14" w:rsidRPr="003921FB" w:rsidRDefault="00466C9A" w:rsidP="00466C9A">
      <w:pPr>
        <w:spacing w:after="0" w:line="360" w:lineRule="auto"/>
        <w:jc w:val="both"/>
        <w:rPr>
          <w:rFonts w:ascii="Arial" w:hAnsi="Arial" w:cs="Arial"/>
          <w:color w:val="222222"/>
          <w:sz w:val="20"/>
          <w:szCs w:val="20"/>
          <w:shd w:val="clear" w:color="auto" w:fill="FFFFFF"/>
        </w:rPr>
      </w:pPr>
      <w:r w:rsidRPr="00466C9A">
        <w:rPr>
          <w:rFonts w:asciiTheme="majorBidi" w:hAnsiTheme="majorBidi" w:cstheme="majorBidi"/>
          <w:sz w:val="24"/>
          <w:szCs w:val="24"/>
        </w:rPr>
        <w:t>Our research built upon the earlier work</w:t>
      </w:r>
      <w:r w:rsidR="00B02CF1" w:rsidRPr="00B02CF1">
        <w:rPr>
          <w:rFonts w:asciiTheme="majorBidi" w:hAnsiTheme="majorBidi" w:cstheme="majorBidi"/>
          <w:color w:val="FF0000"/>
          <w:sz w:val="24"/>
          <w:szCs w:val="24"/>
        </w:rPr>
        <w:t>s</w:t>
      </w:r>
      <w:r w:rsidRPr="00466C9A">
        <w:rPr>
          <w:rFonts w:asciiTheme="majorBidi" w:hAnsiTheme="majorBidi" w:cstheme="majorBidi"/>
          <w:sz w:val="24"/>
          <w:szCs w:val="24"/>
        </w:rPr>
        <w:t xml:space="preserve"> of Ako-Nai &amp; Ayoola (2013) and Nwoba, Nwonu &amp; Agbaeze (2017), but we made some adjustments by concentrating on debt service as a percentage of exports and incorporating the price of West Texas Intermediate crude oil. The framework for this study is grounded in the resource curse theory, which suggests that countries rich in natural resources, particularly non-renewable ones like oil, often face economic hurdles, including struggles to meet their debt service commitments.</w:t>
      </w:r>
      <w:r w:rsidR="005C4726">
        <w:rPr>
          <w:rFonts w:asciiTheme="majorBidi" w:hAnsiTheme="majorBidi" w:cstheme="majorBidi"/>
          <w:sz w:val="24"/>
          <w:szCs w:val="24"/>
        </w:rPr>
        <w:t xml:space="preserve"> </w:t>
      </w:r>
      <w:r w:rsidR="005C4726" w:rsidRPr="00AC4EFF">
        <w:rPr>
          <w:rFonts w:asciiTheme="majorBidi" w:hAnsiTheme="majorBidi" w:cstheme="majorBidi"/>
          <w:sz w:val="24"/>
          <w:szCs w:val="24"/>
          <w:highlight w:val="yellow"/>
        </w:rPr>
        <w:t xml:space="preserve">Notably, the </w:t>
      </w:r>
      <w:r w:rsidR="005C4726" w:rsidRPr="00AC4EFF">
        <w:rPr>
          <w:rFonts w:asciiTheme="majorBidi" w:hAnsiTheme="majorBidi" w:cstheme="majorBidi"/>
          <w:sz w:val="24"/>
          <w:szCs w:val="24"/>
          <w:highlight w:val="yellow"/>
        </w:rPr>
        <w:lastRenderedPageBreak/>
        <w:t>data f</w:t>
      </w:r>
      <w:r w:rsidR="00AC4EFF" w:rsidRPr="00AC4EFF">
        <w:rPr>
          <w:rFonts w:asciiTheme="majorBidi" w:hAnsiTheme="majorBidi" w:cstheme="majorBidi"/>
          <w:sz w:val="24"/>
          <w:szCs w:val="24"/>
          <w:highlight w:val="yellow"/>
        </w:rPr>
        <w:t>or the variables were sourced from</w:t>
      </w:r>
      <w:r w:rsidR="00AC4EFF">
        <w:rPr>
          <w:rFonts w:asciiTheme="majorBidi" w:hAnsiTheme="majorBidi" w:cstheme="majorBidi"/>
          <w:sz w:val="24"/>
          <w:szCs w:val="24"/>
        </w:rPr>
        <w:t xml:space="preserve"> </w:t>
      </w:r>
      <w:r w:rsidR="00AC4EFF" w:rsidRPr="00EA1212">
        <w:rPr>
          <w:rFonts w:ascii="Times New Roman" w:hAnsi="Times New Roman" w:cs="Times New Roman"/>
          <w:sz w:val="24"/>
          <w:szCs w:val="24"/>
          <w:highlight w:val="yellow"/>
        </w:rPr>
        <w:t xml:space="preserve">the World Bank and </w:t>
      </w:r>
      <w:r w:rsidR="00AC4EFF">
        <w:rPr>
          <w:rFonts w:ascii="Times New Roman" w:hAnsi="Times New Roman" w:cs="Times New Roman"/>
          <w:sz w:val="24"/>
          <w:szCs w:val="24"/>
          <w:highlight w:val="yellow"/>
        </w:rPr>
        <w:t xml:space="preserve">the </w:t>
      </w:r>
      <w:r w:rsidR="00AC4EFF" w:rsidRPr="00EA1212">
        <w:rPr>
          <w:rFonts w:ascii="Times New Roman" w:hAnsi="Times New Roman" w:cs="Times New Roman"/>
          <w:sz w:val="24"/>
          <w:szCs w:val="24"/>
          <w:highlight w:val="yellow"/>
        </w:rPr>
        <w:t>Organization of Petroleum Exporting Countries (OPEC).</w:t>
      </w:r>
      <w:r w:rsidR="00AC4EFF">
        <w:rPr>
          <w:rFonts w:ascii="Times New Roman" w:hAnsi="Times New Roman" w:cs="Times New Roman"/>
          <w:sz w:val="24"/>
          <w:szCs w:val="24"/>
        </w:rPr>
        <w:t xml:space="preserve"> </w:t>
      </w:r>
      <w:r>
        <w:rPr>
          <w:rFonts w:ascii="Arial" w:hAnsi="Arial" w:cs="Arial"/>
          <w:color w:val="000000"/>
          <w:sz w:val="27"/>
          <w:szCs w:val="27"/>
          <w:shd w:val="clear" w:color="auto" w:fill="F4F5F6"/>
        </w:rPr>
        <w:t xml:space="preserve"> </w:t>
      </w:r>
      <w:r w:rsidR="009A1B14" w:rsidRPr="007F1043">
        <w:rPr>
          <w:rFonts w:ascii="Times New Roman" w:eastAsia="Times New Roman" w:hAnsi="Times New Roman" w:cs="Times New Roman"/>
          <w:sz w:val="24"/>
          <w:szCs w:val="24"/>
        </w:rPr>
        <w:t>The function specification of the model is as follows:</w:t>
      </w:r>
    </w:p>
    <w:p w14:paraId="5522557B" w14:textId="75D47D39" w:rsidR="009A1B14" w:rsidRDefault="00950367"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w:t>
      </w:r>
      <w:r w:rsidR="00B37019">
        <w:rPr>
          <w:rFonts w:ascii="Times New Roman" w:eastAsia="Times New Roman" w:hAnsi="Times New Roman" w:cs="Times New Roman"/>
          <w:sz w:val="24"/>
          <w:szCs w:val="24"/>
        </w:rPr>
        <w:t>DS</w:t>
      </w:r>
      <w:r w:rsidR="009A1B14">
        <w:rPr>
          <w:rFonts w:ascii="Times New Roman" w:eastAsia="Times New Roman" w:hAnsi="Times New Roman" w:cs="Times New Roman"/>
          <w:sz w:val="24"/>
          <w:szCs w:val="24"/>
        </w:rPr>
        <w:t xml:space="preserve"> = f (BCP, WTI, EXH)</w:t>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sidRPr="00A73FE0">
        <w:rPr>
          <w:rFonts w:ascii="Times New Roman" w:eastAsia="Times New Roman" w:hAnsi="Times New Roman" w:cs="Times New Roman"/>
          <w:sz w:val="24"/>
          <w:szCs w:val="24"/>
        </w:rPr>
        <w:t>(3.1)</w:t>
      </w:r>
      <w:r w:rsidR="009A1B14" w:rsidRPr="00A73FE0">
        <w:rPr>
          <w:rFonts w:ascii="Times New Roman" w:eastAsia="Times New Roman" w:hAnsi="Times New Roman" w:cs="Times New Roman"/>
          <w:sz w:val="24"/>
          <w:szCs w:val="24"/>
        </w:rPr>
        <w:tab/>
      </w:r>
    </w:p>
    <w:p w14:paraId="21362EC5" w14:textId="467736E6" w:rsidR="009A1B14" w:rsidRDefault="009A1B14" w:rsidP="009A1B14">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t xml:space="preserve"> </w:t>
      </w:r>
      <w:r w:rsidR="00B37019">
        <w:rPr>
          <w:rFonts w:ascii="Times New Roman" w:eastAsia="Times New Roman" w:hAnsi="Times New Roman" w:cs="Times New Roman"/>
          <w:sz w:val="24"/>
          <w:szCs w:val="24"/>
        </w:rPr>
        <w:t>EXDS</w:t>
      </w:r>
      <w:r>
        <w:rPr>
          <w:rFonts w:ascii="Times New Roman" w:eastAsia="Times New Roman" w:hAnsi="Times New Roman" w:cs="Times New Roman"/>
          <w:sz w:val="24"/>
          <w:szCs w:val="24"/>
        </w:rPr>
        <w:t xml:space="preserve"> = </w:t>
      </w:r>
      <w:r w:rsidR="00B37019">
        <w:rPr>
          <w:rFonts w:ascii="Times New Roman" w:eastAsia="Times New Roman" w:hAnsi="Times New Roman" w:cs="Times New Roman"/>
          <w:sz w:val="24"/>
          <w:szCs w:val="24"/>
        </w:rPr>
        <w:t>External debt service</w:t>
      </w:r>
      <w:r>
        <w:rPr>
          <w:rFonts w:ascii="Times New Roman" w:eastAsia="Times New Roman" w:hAnsi="Times New Roman" w:cs="Times New Roman"/>
          <w:sz w:val="24"/>
          <w:szCs w:val="24"/>
        </w:rPr>
        <w:t>,</w:t>
      </w:r>
      <w:r w:rsidR="00FD3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BCP = Brent crude oil price,</w:t>
      </w:r>
      <w:r w:rsidR="0054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WTI =</w:t>
      </w:r>
      <w:r w:rsidR="0054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West Texas Intermediate crude oil price, EXH =</w:t>
      </w:r>
      <w:r>
        <w:rPr>
          <w:rFonts w:ascii="Times New Roman" w:eastAsia="Times New Roman" w:hAnsi="Times New Roman" w:cs="Times New Roman"/>
          <w:sz w:val="24"/>
          <w:szCs w:val="24"/>
        </w:rPr>
        <w:tab/>
        <w:t xml:space="preserve"> Exchange rate</w:t>
      </w:r>
    </w:p>
    <w:p w14:paraId="36AD024D" w14:textId="77777777" w:rsidR="009A1B14" w:rsidRDefault="009A1B14"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linear econometric model of the functional equation is provided below:</w:t>
      </w:r>
    </w:p>
    <w:p w14:paraId="263E096F" w14:textId="26A0B0F2" w:rsidR="009A1B14" w:rsidRPr="00990127" w:rsidRDefault="00A9107A" w:rsidP="00341EBC">
      <w:pPr>
        <w:spacing w:after="0" w:line="360" w:lineRule="auto"/>
        <w:jc w:val="both"/>
        <w:rPr>
          <w:rFonts w:ascii="Times New Roman" w:eastAsia="Times New Roman" w:hAnsi="Times New Roman" w:cs="Times New Roman"/>
          <w:i/>
          <w:iCs/>
          <w:sz w:val="24"/>
          <w:szCs w:val="24"/>
          <w:lang w:val="fr-FR"/>
        </w:rPr>
      </w:pPr>
      <w:r>
        <w:rPr>
          <w:rFonts w:ascii="Times New Roman" w:eastAsia="Times New Roman" w:hAnsi="Times New Roman" w:cs="Times New Roman"/>
          <w:sz w:val="24"/>
          <w:szCs w:val="24"/>
          <w:lang w:val="fr-FR"/>
        </w:rPr>
        <w:t>EXDS</w:t>
      </w:r>
      <w:r w:rsidR="009A1B14" w:rsidRPr="00990127">
        <w:rPr>
          <w:rFonts w:ascii="Times New Roman" w:eastAsia="Times New Roman" w:hAnsi="Times New Roman" w:cs="Times New Roman"/>
          <w:sz w:val="24"/>
          <w:szCs w:val="24"/>
          <w:vertAlign w:val="subscript"/>
          <w:lang w:val="fr-FR"/>
        </w:rPr>
        <w:t>t</w:t>
      </w:r>
      <w:r w:rsidR="009A1B14" w:rsidRPr="00990127">
        <w:rPr>
          <w:rFonts w:ascii="Times New Roman" w:eastAsia="Times New Roman" w:hAnsi="Times New Roman" w:cs="Times New Roman"/>
          <w:sz w:val="24"/>
          <w:szCs w:val="24"/>
          <w:lang w:val="fr-FR"/>
        </w:rPr>
        <w:t xml:space="preserve"> =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 xml:space="preserve">0 </w:t>
      </w:r>
      <w:r w:rsidR="009A1B14" w:rsidRPr="00990127">
        <w:rPr>
          <w:rFonts w:ascii="Times New Roman" w:eastAsia="Times New Roman" w:hAnsi="Times New Roman" w:cs="Times New Roman"/>
          <w:sz w:val="24"/>
          <w:szCs w:val="24"/>
          <w:lang w:val="fr-FR"/>
        </w:rPr>
        <w:t xml:space="preserve">+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1</w:t>
      </w:r>
      <w:r w:rsidR="009A1B14" w:rsidRPr="00990127">
        <w:rPr>
          <w:rFonts w:ascii="Times New Roman" w:eastAsia="Times New Roman" w:hAnsi="Times New Roman" w:cs="Times New Roman"/>
          <w:sz w:val="24"/>
          <w:szCs w:val="24"/>
          <w:lang w:val="fr-FR"/>
        </w:rPr>
        <w:t>LOG(BCP)</w:t>
      </w:r>
      <w:r w:rsidR="009A1B14" w:rsidRPr="00990127">
        <w:rPr>
          <w:rFonts w:ascii="Times New Roman" w:eastAsia="Times New Roman" w:hAnsi="Times New Roman" w:cs="Times New Roman"/>
          <w:sz w:val="24"/>
          <w:szCs w:val="24"/>
          <w:vertAlign w:val="subscript"/>
          <w:lang w:val="fr-FR"/>
        </w:rPr>
        <w:t xml:space="preserve">t </w:t>
      </w:r>
      <w:r w:rsidR="009A1B14" w:rsidRPr="00990127">
        <w:rPr>
          <w:rFonts w:ascii="Times New Roman" w:eastAsia="Times New Roman" w:hAnsi="Times New Roman" w:cs="Times New Roman"/>
          <w:sz w:val="24"/>
          <w:szCs w:val="24"/>
          <w:lang w:val="fr-FR"/>
        </w:rPr>
        <w:t xml:space="preserve">+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2</w:t>
      </w:r>
      <w:r w:rsidR="009A1B14" w:rsidRPr="00990127">
        <w:rPr>
          <w:rFonts w:ascii="Times New Roman" w:eastAsia="Times New Roman" w:hAnsi="Times New Roman" w:cs="Times New Roman"/>
          <w:sz w:val="24"/>
          <w:szCs w:val="24"/>
          <w:lang w:val="fr-FR"/>
        </w:rPr>
        <w:t>LOG(WTI)</w:t>
      </w:r>
      <w:r w:rsidR="009A1B14" w:rsidRPr="00990127">
        <w:rPr>
          <w:rFonts w:ascii="Times New Roman" w:eastAsia="Times New Roman" w:hAnsi="Times New Roman" w:cs="Times New Roman"/>
          <w:sz w:val="24"/>
          <w:szCs w:val="24"/>
          <w:vertAlign w:val="subscript"/>
          <w:lang w:val="fr-FR"/>
        </w:rPr>
        <w:t>t</w:t>
      </w:r>
      <w:r w:rsidR="009A1B14" w:rsidRPr="00990127">
        <w:rPr>
          <w:rFonts w:ascii="Times New Roman" w:eastAsia="Times New Roman" w:hAnsi="Times New Roman" w:cs="Times New Roman"/>
          <w:sz w:val="24"/>
          <w:szCs w:val="24"/>
          <w:lang w:val="fr-FR"/>
        </w:rPr>
        <w:t xml:space="preserve"> +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3</w:t>
      </w:r>
      <w:r w:rsidR="009A1B14" w:rsidRPr="00990127">
        <w:rPr>
          <w:rFonts w:ascii="Times New Roman" w:eastAsia="Times New Roman" w:hAnsi="Times New Roman" w:cs="Times New Roman"/>
          <w:sz w:val="24"/>
          <w:szCs w:val="24"/>
          <w:lang w:val="fr-FR"/>
        </w:rPr>
        <w:t>LOG(EXH)</w:t>
      </w:r>
      <w:r w:rsidR="009A1B14" w:rsidRPr="00990127">
        <w:rPr>
          <w:rFonts w:ascii="Times New Roman" w:eastAsia="Times New Roman" w:hAnsi="Times New Roman" w:cs="Times New Roman"/>
          <w:sz w:val="24"/>
          <w:szCs w:val="24"/>
          <w:vertAlign w:val="subscript"/>
          <w:lang w:val="fr-FR"/>
        </w:rPr>
        <w:t xml:space="preserve">t </w:t>
      </w:r>
      <w:r w:rsidR="009A1B14" w:rsidRPr="00990127">
        <w:rPr>
          <w:rFonts w:ascii="Times New Roman" w:eastAsia="Times New Roman" w:hAnsi="Times New Roman" w:cs="Times New Roman"/>
          <w:sz w:val="24"/>
          <w:szCs w:val="24"/>
          <w:lang w:val="fr-FR"/>
        </w:rPr>
        <w:t>+ U</w:t>
      </w:r>
      <w:r w:rsidR="009A1B14" w:rsidRPr="00990127">
        <w:rPr>
          <w:rFonts w:ascii="Times New Roman" w:eastAsia="Times New Roman" w:hAnsi="Times New Roman" w:cs="Times New Roman"/>
          <w:sz w:val="24"/>
          <w:szCs w:val="24"/>
          <w:vertAlign w:val="subscript"/>
          <w:lang w:val="fr-FR"/>
        </w:rPr>
        <w:t>1t</w:t>
      </w:r>
      <w:r w:rsidR="009A1B14" w:rsidRPr="00990127">
        <w:rPr>
          <w:rFonts w:ascii="Times New Roman" w:eastAsia="Times New Roman" w:hAnsi="Times New Roman" w:cs="Times New Roman"/>
          <w:sz w:val="24"/>
          <w:szCs w:val="24"/>
          <w:lang w:val="fr-FR"/>
        </w:rPr>
        <w:tab/>
        <w:t xml:space="preserve">         </w:t>
      </w:r>
      <w:r w:rsidR="009A1B14" w:rsidRPr="00990127">
        <w:rPr>
          <w:rFonts w:ascii="Times New Roman" w:eastAsia="Times New Roman" w:hAnsi="Times New Roman" w:cs="Times New Roman"/>
          <w:sz w:val="24"/>
          <w:szCs w:val="24"/>
          <w:lang w:val="fr-FR"/>
        </w:rPr>
        <w:tab/>
      </w:r>
      <w:r w:rsidR="009A1B14" w:rsidRPr="00990127">
        <w:rPr>
          <w:rFonts w:ascii="Times New Roman" w:eastAsia="Times New Roman" w:hAnsi="Times New Roman" w:cs="Times New Roman"/>
          <w:i/>
          <w:iCs/>
          <w:sz w:val="24"/>
          <w:szCs w:val="24"/>
          <w:lang w:val="fr-FR"/>
        </w:rPr>
        <w:t>(3.2)</w:t>
      </w:r>
    </w:p>
    <w:p w14:paraId="34FCA969" w14:textId="44359396" w:rsidR="009A1B14" w:rsidRDefault="009A1B14"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r w:rsidR="00FB0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  Intercept, α</w:t>
      </w:r>
      <w:r>
        <w:rPr>
          <w:rFonts w:ascii="Times New Roman" w:eastAsia="Times New Roman" w:hAnsi="Times New Roman" w:cs="Times New Roman"/>
          <w:sz w:val="24"/>
          <w:szCs w:val="24"/>
          <w:vertAlign w:val="subscript"/>
        </w:rPr>
        <w:t xml:space="preserve">1 </w:t>
      </w:r>
      <w:r>
        <w:rPr>
          <w:rFonts w:ascii="Times New Roman" w:hAnsi="Times New Roman" w:cs="Times New Roman"/>
          <w:b/>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3</w:t>
      </w:r>
      <w:r w:rsidR="00FB0506">
        <w:rPr>
          <w:rFonts w:ascii="Times New Roman" w:eastAsia="Times New Roman" w:hAnsi="Times New Roman" w:cs="Times New Roman"/>
          <w:sz w:val="24"/>
          <w:szCs w:val="24"/>
          <w:vertAlign w:val="subscript"/>
        </w:rPr>
        <w:t xml:space="preserve"> </w:t>
      </w:r>
      <w:r>
        <w:rPr>
          <w:rFonts w:ascii="Times New Roman" w:hAnsi="Times New Roman" w:cs="Times New Roman"/>
          <w:b/>
          <w:sz w:val="24"/>
          <w:szCs w:val="24"/>
        </w:rPr>
        <w:t xml:space="preserve">= </w:t>
      </w:r>
      <w:r>
        <w:rPr>
          <w:rFonts w:ascii="Times New Roman" w:hAnsi="Times New Roman" w:cs="Times New Roman"/>
          <w:bCs/>
          <w:sz w:val="24"/>
          <w:szCs w:val="24"/>
        </w:rPr>
        <w:t>Slope parameters to be estimated,</w:t>
      </w:r>
      <w:r>
        <w:rPr>
          <w:rFonts w:ascii="Times New Roman" w:hAnsi="Times New Roman" w:cs="Times New Roman"/>
          <w:sz w:val="24"/>
          <w:szCs w:val="24"/>
        </w:rPr>
        <w:tab/>
        <w:t>LOG =</w:t>
      </w:r>
      <w:r w:rsidR="00FB0506">
        <w:rPr>
          <w:rFonts w:ascii="Times New Roman" w:hAnsi="Times New Roman" w:cs="Times New Roman"/>
          <w:sz w:val="24"/>
          <w:szCs w:val="24"/>
        </w:rPr>
        <w:t xml:space="preserve"> </w:t>
      </w:r>
      <w:r>
        <w:rPr>
          <w:rFonts w:ascii="Times New Roman" w:hAnsi="Times New Roman" w:cs="Times New Roman"/>
          <w:sz w:val="24"/>
          <w:szCs w:val="24"/>
        </w:rPr>
        <w:t xml:space="preserve">Natural log notation, </w:t>
      </w:r>
      <w:r>
        <w:rPr>
          <w:rFonts w:ascii="Times New Roman" w:eastAsia="Times New Roman" w:hAnsi="Times New Roman" w:cs="Times New Roman"/>
          <w:sz w:val="24"/>
          <w:szCs w:val="24"/>
        </w:rPr>
        <w:t>U</w:t>
      </w:r>
      <w:r>
        <w:rPr>
          <w:rFonts w:ascii="Times New Roman" w:eastAsia="Times New Roman" w:hAnsi="Times New Roman" w:cs="Times New Roman"/>
          <w:sz w:val="24"/>
          <w:szCs w:val="24"/>
          <w:vertAlign w:val="subscript"/>
        </w:rPr>
        <w:t xml:space="preserve">1t  </w:t>
      </w:r>
      <w:r>
        <w:rPr>
          <w:rFonts w:ascii="Times New Roman" w:eastAsia="Times New Roman" w:hAnsi="Times New Roman" w:cs="Times New Roman"/>
          <w:sz w:val="24"/>
          <w:szCs w:val="24"/>
        </w:rPr>
        <w:t xml:space="preserve">=   Disturbance term, </w:t>
      </w:r>
    </w:p>
    <w:p w14:paraId="5BFC02ED" w14:textId="77777777" w:rsidR="009A1B14" w:rsidRDefault="009A1B14" w:rsidP="009A1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error correction model (ECM) of the equation is specified as follows:</w:t>
      </w:r>
    </w:p>
    <w:p w14:paraId="6E091982" w14:textId="3B2F705A" w:rsidR="009A1B14" w:rsidRPr="00E84057" w:rsidRDefault="009A1B14" w:rsidP="009A1B14">
      <w:pPr>
        <w:spacing w:after="0" w:line="360" w:lineRule="auto"/>
        <w:jc w:val="both"/>
        <w:rPr>
          <w:rFonts w:ascii="Times New Roman" w:hAnsi="Times New Roman" w:cs="Times New Roman"/>
          <w:i/>
          <w:iCs/>
          <w:sz w:val="24"/>
          <w:szCs w:val="24"/>
        </w:rPr>
      </w:pPr>
      <m:oMath>
        <m:r>
          <w:rPr>
            <w:rFonts w:ascii="Cambria Math" w:eastAsiaTheme="minorEastAsia" w:hAnsi="Times New Roman" w:cs="Times New Roman"/>
            <w:sz w:val="24"/>
            <w:szCs w:val="24"/>
          </w:rPr>
          <m:t>ΔEXDS=</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ΔEXD</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S</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r>
              <w:rPr>
                <w:rFonts w:ascii="Cambria Math" w:eastAsiaTheme="minorEastAsia" w:hAnsi="Times New Roman" w:cs="Times New Roman"/>
                <w:sz w:val="24"/>
                <w:szCs w:val="24"/>
              </w:rPr>
              <m:t>+</m:t>
            </m:r>
          </m:e>
        </m:nary>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ΔLOG(HDI</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3</m:t>
                    </m:r>
                  </m:sub>
                </m:sSub>
                <m:r>
                  <w:rPr>
                    <w:rFonts w:ascii="Cambria Math" w:eastAsiaTheme="minorEastAsia" w:hAnsi="Times New Roman" w:cs="Times New Roman"/>
                    <w:sz w:val="24"/>
                    <w:szCs w:val="24"/>
                  </w:rPr>
                  <m:t>ΔLOG(</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WTI)</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ctrlPr>
                  <w:rPr>
                    <w:rFonts w:ascii="Cambria Math" w:eastAsiaTheme="minorEastAsia" w:hAnsi="Cambria Math" w:cs="Times New Roman"/>
                    <w:i/>
                    <w:sz w:val="24"/>
                    <w:szCs w:val="24"/>
                  </w:rPr>
                </m:ctrlPr>
              </m:e>
            </m:nary>
            <m:ctrlPr>
              <w:rPr>
                <w:rFonts w:ascii="Cambria Math" w:eastAsiaTheme="minorEastAsia" w:hAnsi="Cambria Math" w:cs="Times New Roman"/>
                <w:i/>
                <w:sz w:val="24"/>
                <w:szCs w:val="24"/>
              </w:rPr>
            </m:ctrlPr>
          </m:e>
        </m:nary>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a</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4</m:t>
                </m:r>
              </m:sub>
            </m:sSub>
            <m:r>
              <w:rPr>
                <w:rFonts w:ascii="Cambria Math" w:eastAsiaTheme="minorEastAsia" w:hAnsi="Times New Roman" w:cs="Times New Roman"/>
                <w:sz w:val="24"/>
                <w:szCs w:val="24"/>
              </w:rPr>
              <m:t>ΔLOG(EXH</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ctrlPr>
              <w:rPr>
                <w:rFonts w:ascii="Cambria Math" w:eastAsiaTheme="minorEastAsia" w:hAnsi="Cambria Math" w:cs="Times New Roman"/>
                <w:i/>
                <w:sz w:val="24"/>
                <w:szCs w:val="24"/>
              </w:rPr>
            </m:ctrlPr>
          </m:e>
        </m:nary>
      </m:oMath>
      <w:r>
        <w:rPr>
          <w:rFonts w:ascii="Times New Roman" w:eastAsiaTheme="minorEastAsia" w:hAnsi="Times New Roman" w:cs="Times New Roman"/>
          <w:sz w:val="24"/>
          <w:szCs w:val="24"/>
        </w:rPr>
        <w:t xml:space="preserve">+ </w:t>
      </w:r>
      <m:oMath>
        <m:r>
          <w:rPr>
            <w:rFonts w:ascii="Cambria Math" w:hAnsi="Times New Roman" w:cs="Times New Roman"/>
            <w:sz w:val="24"/>
            <w:szCs w:val="24"/>
          </w:rPr>
          <m:t>πEC</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μ</m:t>
            </m:r>
          </m:e>
          <m:sub>
            <m:r>
              <w:rPr>
                <w:rFonts w:ascii="Cambria Math" w:hAnsi="Times New Roman" w:cs="Times New Roman"/>
                <w:sz w:val="24"/>
                <w:szCs w:val="24"/>
              </w:rPr>
              <m:t>1t</m:t>
            </m:r>
          </m:sub>
        </m:sSub>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4057">
        <w:rPr>
          <w:rFonts w:ascii="Times New Roman" w:hAnsi="Times New Roman" w:cs="Times New Roman"/>
          <w:i/>
          <w:iCs/>
          <w:sz w:val="24"/>
          <w:szCs w:val="24"/>
        </w:rPr>
        <w:t>(3.3)</w:t>
      </w:r>
    </w:p>
    <w:p w14:paraId="6E248124" w14:textId="07B07378" w:rsidR="009A1B14" w:rsidRDefault="009A1B14" w:rsidP="009A1B14">
      <w:pPr>
        <w:spacing w:after="0" w:line="36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r>
        <w:rPr>
          <w:rFonts w:ascii="Times New Roman" w:eastAsiaTheme="minorEastAsia" w:hAnsi="Times New Roman" w:cs="Times New Roman"/>
          <w:position w:val="-12"/>
          <w:sz w:val="24"/>
          <w:szCs w:val="24"/>
        </w:rPr>
        <w:object w:dxaOrig="300" w:dyaOrig="375" w14:anchorId="782C8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5pt" o:ole="">
            <v:imagedata r:id="rId8" o:title=""/>
          </v:shape>
          <o:OLEObject Type="Embed" ProgID="Equation.3" ShapeID="_x0000_i1025" DrawAspect="Content" ObjectID="_1804494160" r:id="rId9"/>
        </w:object>
      </w:r>
      <w:r w:rsidR="008F34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D369FF">
        <w:rPr>
          <w:rFonts w:ascii="Times New Roman" w:eastAsiaTheme="minorEastAsia" w:hAnsi="Times New Roman" w:cs="Times New Roman"/>
          <w:sz w:val="24"/>
          <w:szCs w:val="24"/>
        </w:rPr>
        <w:t>Intercept</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4</w:t>
      </w:r>
      <w:r w:rsidR="008F34ED">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w:r w:rsidR="008F34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Coefficients of the lagged explanatory variables, K  =   </w:t>
      </w:r>
      <w:r w:rsidR="00C30B3C">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aximum lag length for the variables, Δ = First difference operator, ECT =   Error correction term and </w:t>
      </w:r>
      <w:r>
        <w:rPr>
          <w:rFonts w:ascii="Times New Roman" w:hAnsi="Times New Roman" w:cs="Times New Roman"/>
          <w:position w:val="-10"/>
          <w:sz w:val="24"/>
          <w:szCs w:val="24"/>
        </w:rPr>
        <w:object w:dxaOrig="285" w:dyaOrig="240" w14:anchorId="5F4DD840">
          <v:shape id="_x0000_i1026" type="#_x0000_t75" style="width:14.5pt;height:12.5pt" o:ole="">
            <v:imagedata r:id="rId10" o:title=""/>
          </v:shape>
          <o:OLEObject Type="Embed" ProgID="Equation.3" ShapeID="_x0000_i1026" DrawAspect="Content" ObjectID="_1804494161" r:id="rId11"/>
        </w:object>
      </w:r>
      <w:r>
        <w:rPr>
          <w:rFonts w:ascii="Times New Roman" w:hAnsi="Times New Roman" w:cs="Times New Roman"/>
          <w:position w:val="-10"/>
          <w:sz w:val="24"/>
          <w:szCs w:val="24"/>
        </w:rPr>
        <w:t xml:space="preserve">  </w:t>
      </w:r>
      <w:r>
        <w:rPr>
          <w:rFonts w:ascii="Times New Roman" w:eastAsiaTheme="minorEastAsia" w:hAnsi="Times New Roman" w:cs="Times New Roman"/>
          <w:sz w:val="24"/>
          <w:szCs w:val="24"/>
        </w:rPr>
        <w:t xml:space="preserve">=  Error correction coefficient </w:t>
      </w:r>
    </w:p>
    <w:p w14:paraId="097B3818" w14:textId="77777777" w:rsidR="009A1B14" w:rsidRDefault="009A1B14" w:rsidP="009A1B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Method of Data Analysis</w:t>
      </w:r>
    </w:p>
    <w:p w14:paraId="6C025031" w14:textId="69D03D4A" w:rsidR="004C4E5C" w:rsidRPr="004C4E5C" w:rsidRDefault="004C4E5C" w:rsidP="004C4E5C">
      <w:pPr>
        <w:spacing w:line="360" w:lineRule="auto"/>
        <w:jc w:val="both"/>
        <w:rPr>
          <w:rFonts w:asciiTheme="majorBidi" w:hAnsiTheme="majorBidi" w:cstheme="majorBidi"/>
          <w:sz w:val="24"/>
          <w:szCs w:val="24"/>
        </w:rPr>
      </w:pPr>
      <w:r w:rsidRPr="004C4E5C">
        <w:rPr>
          <w:rFonts w:asciiTheme="majorBidi" w:hAnsiTheme="majorBidi" w:cstheme="majorBidi"/>
          <w:sz w:val="24"/>
          <w:szCs w:val="24"/>
        </w:rPr>
        <w:t xml:space="preserve">In this study, we used the </w:t>
      </w:r>
      <w:r w:rsidR="0093252F" w:rsidRPr="0093252F">
        <w:rPr>
          <w:rFonts w:asciiTheme="majorBidi" w:hAnsiTheme="majorBidi" w:cstheme="majorBidi"/>
          <w:color w:val="FF0000"/>
          <w:sz w:val="24"/>
          <w:szCs w:val="24"/>
        </w:rPr>
        <w:t>A</w:t>
      </w:r>
      <w:r w:rsidRPr="004C4E5C">
        <w:rPr>
          <w:rFonts w:asciiTheme="majorBidi" w:hAnsiTheme="majorBidi" w:cstheme="majorBidi"/>
          <w:sz w:val="24"/>
          <w:szCs w:val="24"/>
        </w:rPr>
        <w:t xml:space="preserve">ugmented Dickey-Fuller (ADF) test, which was first introduced by Dickey and Fuller </w:t>
      </w:r>
      <w:r w:rsidR="00A87552">
        <w:rPr>
          <w:rFonts w:asciiTheme="majorBidi" w:hAnsiTheme="majorBidi" w:cstheme="majorBidi"/>
          <w:sz w:val="24"/>
          <w:szCs w:val="24"/>
        </w:rPr>
        <w:t>(</w:t>
      </w:r>
      <w:r w:rsidRPr="004C4E5C">
        <w:rPr>
          <w:rFonts w:asciiTheme="majorBidi" w:hAnsiTheme="majorBidi" w:cstheme="majorBidi"/>
          <w:sz w:val="24"/>
          <w:szCs w:val="24"/>
        </w:rPr>
        <w:t>1981</w:t>
      </w:r>
      <w:r w:rsidR="00A87552">
        <w:rPr>
          <w:rFonts w:asciiTheme="majorBidi" w:hAnsiTheme="majorBidi" w:cstheme="majorBidi"/>
          <w:sz w:val="24"/>
          <w:szCs w:val="24"/>
        </w:rPr>
        <w:t>)</w:t>
      </w:r>
      <w:r w:rsidRPr="004C4E5C">
        <w:rPr>
          <w:rFonts w:asciiTheme="majorBidi" w:hAnsiTheme="majorBidi" w:cstheme="majorBidi"/>
          <w:sz w:val="24"/>
          <w:szCs w:val="24"/>
        </w:rPr>
        <w:t xml:space="preserve">, to guide our analysis. After performing the unit root test, we moved on to a cointegration test to see if the variables have a long-term relationship. The method we chose for the cointegration test was based on the results of this initial test. For our cointegration analysis, we applied the Johansen method, as described in 1988. We also included the error correction mechanism (ECM) in our data analysis. This approach is particularly useful because it allows us to re-parameterize the model, enabling us to assess the dynamic effects of oil prices on </w:t>
      </w:r>
      <w:r w:rsidR="005B3806">
        <w:rPr>
          <w:rFonts w:asciiTheme="majorBidi" w:hAnsiTheme="majorBidi" w:cstheme="majorBidi"/>
          <w:sz w:val="24"/>
          <w:szCs w:val="24"/>
        </w:rPr>
        <w:t xml:space="preserve">fiscal </w:t>
      </w:r>
      <w:r w:rsidR="00921E2D">
        <w:rPr>
          <w:rFonts w:asciiTheme="majorBidi" w:hAnsiTheme="majorBidi" w:cstheme="majorBidi"/>
          <w:sz w:val="24"/>
          <w:szCs w:val="24"/>
        </w:rPr>
        <w:t>sustainability</w:t>
      </w:r>
      <w:r w:rsidRPr="004C4E5C">
        <w:rPr>
          <w:rFonts w:asciiTheme="majorBidi" w:hAnsiTheme="majorBidi" w:cstheme="majorBidi"/>
          <w:sz w:val="24"/>
          <w:szCs w:val="24"/>
        </w:rPr>
        <w:t>, especially</w:t>
      </w:r>
      <w:r w:rsidR="000D122B">
        <w:rPr>
          <w:rFonts w:asciiTheme="majorBidi" w:hAnsiTheme="majorBidi" w:cstheme="majorBidi"/>
          <w:sz w:val="24"/>
          <w:szCs w:val="24"/>
        </w:rPr>
        <w:t xml:space="preserve"> debt servicing</w:t>
      </w:r>
      <w:r w:rsidRPr="004C4E5C">
        <w:rPr>
          <w:rFonts w:asciiTheme="majorBidi" w:hAnsiTheme="majorBidi" w:cstheme="majorBidi"/>
          <w:sz w:val="24"/>
          <w:szCs w:val="24"/>
        </w:rPr>
        <w:t xml:space="preserve">, in line with Engel and Granger's </w:t>
      </w:r>
      <w:r w:rsidR="000D122B">
        <w:rPr>
          <w:rFonts w:asciiTheme="majorBidi" w:hAnsiTheme="majorBidi" w:cstheme="majorBidi"/>
          <w:sz w:val="24"/>
          <w:szCs w:val="24"/>
        </w:rPr>
        <w:t>(</w:t>
      </w:r>
      <w:r w:rsidRPr="004C4E5C">
        <w:rPr>
          <w:rFonts w:asciiTheme="majorBidi" w:hAnsiTheme="majorBidi" w:cstheme="majorBidi"/>
          <w:sz w:val="24"/>
          <w:szCs w:val="24"/>
        </w:rPr>
        <w:t>1987</w:t>
      </w:r>
      <w:r w:rsidR="000D122B">
        <w:rPr>
          <w:rFonts w:asciiTheme="majorBidi" w:hAnsiTheme="majorBidi" w:cstheme="majorBidi"/>
          <w:sz w:val="24"/>
          <w:szCs w:val="24"/>
        </w:rPr>
        <w:t xml:space="preserve">) </w:t>
      </w:r>
      <w:r w:rsidR="00D90EE2" w:rsidRPr="00D90EE2">
        <w:rPr>
          <w:rFonts w:asciiTheme="majorBidi" w:hAnsiTheme="majorBidi" w:cstheme="majorBidi"/>
          <w:sz w:val="24"/>
          <w:szCs w:val="24"/>
          <w:highlight w:val="yellow"/>
        </w:rPr>
        <w:t>proposition.</w:t>
      </w:r>
      <w:r w:rsidRPr="004C4E5C">
        <w:rPr>
          <w:rFonts w:asciiTheme="majorBidi" w:hAnsiTheme="majorBidi" w:cstheme="majorBidi"/>
          <w:sz w:val="24"/>
          <w:szCs w:val="24"/>
        </w:rPr>
        <w:t xml:space="preserve"> Additionally, the ECM gives us insights into the speed of adjustment, helping us understand how the model approaches a long-run equilibrium. Our data analysis techniques also featured descriptive statistics, which covered aspects like mean distribution, standard deviations, and the normal distribution of each variable throughout the study period. To test for serial correlation, we used the Breusch-Godfrey (BG) test, introduced by Breusch and Godfrey in 1978. This BG test evaluates the null hypothesis that there’s no serial correlation in the error terms at a 5% significance level. Likewise, we applied White’s test from 1980 to check for heteroskedasticity, testing the null hypothesis that the variance of the error terms remains constant.</w:t>
      </w:r>
    </w:p>
    <w:p w14:paraId="0DDD5E26" w14:textId="1DEF6920" w:rsidR="009A1B14" w:rsidRPr="000A1C5E" w:rsidRDefault="009A1B14" w:rsidP="009A1B14">
      <w:pPr>
        <w:spacing w:after="0" w:line="360" w:lineRule="auto"/>
        <w:jc w:val="both"/>
        <w:rPr>
          <w:rFonts w:ascii="Times New Roman" w:hAnsi="Times New Roman"/>
          <w:b/>
          <w:bCs/>
          <w:spacing w:val="-1"/>
          <w:sz w:val="24"/>
          <w:szCs w:val="24"/>
        </w:rPr>
      </w:pPr>
      <w:r w:rsidRPr="000A1C5E">
        <w:rPr>
          <w:rFonts w:ascii="Times New Roman" w:hAnsi="Times New Roman"/>
          <w:b/>
          <w:bCs/>
          <w:spacing w:val="-1"/>
          <w:sz w:val="24"/>
          <w:szCs w:val="24"/>
        </w:rPr>
        <w:lastRenderedPageBreak/>
        <w:t>4. Results and Discussion</w:t>
      </w:r>
    </w:p>
    <w:p w14:paraId="207A4980" w14:textId="709A4702" w:rsidR="009A1B14" w:rsidRDefault="009A1B14" w:rsidP="009A1B1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4.1</w:t>
      </w:r>
      <w:r w:rsidR="005D51F1">
        <w:rPr>
          <w:rFonts w:ascii="Times New Roman" w:hAnsi="Times New Roman" w:cs="Times New Roman"/>
          <w:b/>
          <w:bCs/>
          <w:sz w:val="24"/>
          <w:szCs w:val="24"/>
        </w:rPr>
        <w:t xml:space="preserve"> </w:t>
      </w:r>
      <w:r>
        <w:rPr>
          <w:rFonts w:ascii="Times New Roman" w:hAnsi="Times New Roman" w:cs="Times New Roman"/>
          <w:b/>
          <w:bCs/>
          <w:sz w:val="24"/>
          <w:szCs w:val="24"/>
        </w:rPr>
        <w:t>Descriptive Statistics</w:t>
      </w:r>
    </w:p>
    <w:p w14:paraId="0E627DC2" w14:textId="77777777" w:rsidR="009A1B14" w:rsidRDefault="009A1B14" w:rsidP="009A1B14">
      <w:pPr>
        <w:spacing w:after="0" w:line="360" w:lineRule="auto"/>
        <w:rPr>
          <w:rFonts w:ascii="Times New Roman" w:hAnsi="Times New Roman" w:cs="Times New Roman"/>
          <w:sz w:val="24"/>
          <w:szCs w:val="24"/>
        </w:rPr>
      </w:pPr>
      <w:r>
        <w:rPr>
          <w:rFonts w:ascii="Times New Roman" w:hAnsi="Times New Roman" w:cs="Times New Roman"/>
          <w:sz w:val="24"/>
          <w:szCs w:val="24"/>
        </w:rPr>
        <w:t>The descriptive statistics for this study are presented in Table 1.</w:t>
      </w:r>
    </w:p>
    <w:p w14:paraId="737F3AAD" w14:textId="77777777" w:rsidR="009A1B14" w:rsidRPr="003716B1" w:rsidRDefault="009A1B14" w:rsidP="009A1B14">
      <w:pPr>
        <w:spacing w:after="0" w:line="360" w:lineRule="auto"/>
        <w:rPr>
          <w:rFonts w:ascii="Times New Roman" w:hAnsi="Times New Roman" w:cs="Times New Roman"/>
          <w:b/>
          <w:bCs/>
          <w:sz w:val="24"/>
          <w:szCs w:val="24"/>
        </w:rPr>
      </w:pPr>
      <w:r w:rsidRPr="003716B1">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3716B1">
        <w:rPr>
          <w:rFonts w:ascii="Times New Roman" w:hAnsi="Times New Roman" w:cs="Times New Roman"/>
          <w:b/>
          <w:bCs/>
          <w:sz w:val="24"/>
          <w:szCs w:val="24"/>
        </w:rPr>
        <w:t>: Descriptive statistics for the variables</w:t>
      </w:r>
    </w:p>
    <w:tbl>
      <w:tblPr>
        <w:tblStyle w:val="TableGrid"/>
        <w:tblW w:w="8931" w:type="dxa"/>
        <w:tblLayout w:type="fixed"/>
        <w:tblLook w:val="0000" w:firstRow="0" w:lastRow="0" w:firstColumn="0" w:lastColumn="0" w:noHBand="0" w:noVBand="0"/>
      </w:tblPr>
      <w:tblGrid>
        <w:gridCol w:w="1701"/>
        <w:gridCol w:w="1980"/>
        <w:gridCol w:w="1984"/>
        <w:gridCol w:w="1560"/>
        <w:gridCol w:w="1706"/>
      </w:tblGrid>
      <w:tr w:rsidR="009A1B14" w14:paraId="6995E981" w14:textId="77777777" w:rsidTr="001E5D3B">
        <w:trPr>
          <w:trHeight w:val="225"/>
        </w:trPr>
        <w:tc>
          <w:tcPr>
            <w:tcW w:w="1701" w:type="dxa"/>
          </w:tcPr>
          <w:p w14:paraId="72FAF412"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Statistics</w:t>
            </w:r>
          </w:p>
        </w:tc>
        <w:tc>
          <w:tcPr>
            <w:tcW w:w="1980" w:type="dxa"/>
          </w:tcPr>
          <w:p w14:paraId="20724A75" w14:textId="10092859" w:rsidR="009A1B14" w:rsidRPr="00661A2C" w:rsidRDefault="005D51F1" w:rsidP="001E5D3B">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EXDS</w:t>
            </w:r>
          </w:p>
        </w:tc>
        <w:tc>
          <w:tcPr>
            <w:tcW w:w="1984" w:type="dxa"/>
          </w:tcPr>
          <w:p w14:paraId="5B9F1DFA"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BCP</w:t>
            </w:r>
          </w:p>
        </w:tc>
        <w:tc>
          <w:tcPr>
            <w:tcW w:w="1560" w:type="dxa"/>
          </w:tcPr>
          <w:p w14:paraId="024DF7DC"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WTI</w:t>
            </w:r>
          </w:p>
        </w:tc>
        <w:tc>
          <w:tcPr>
            <w:tcW w:w="1706" w:type="dxa"/>
          </w:tcPr>
          <w:p w14:paraId="042A65F4"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EXH</w:t>
            </w:r>
          </w:p>
        </w:tc>
      </w:tr>
      <w:tr w:rsidR="009A1B14" w14:paraId="14BF2363" w14:textId="77777777" w:rsidTr="001E5D3B">
        <w:trPr>
          <w:trHeight w:val="225"/>
        </w:trPr>
        <w:tc>
          <w:tcPr>
            <w:tcW w:w="1701" w:type="dxa"/>
          </w:tcPr>
          <w:p w14:paraId="372BDC9C"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Mean</w:t>
            </w:r>
          </w:p>
        </w:tc>
        <w:tc>
          <w:tcPr>
            <w:tcW w:w="1980" w:type="dxa"/>
          </w:tcPr>
          <w:p w14:paraId="28BB26AA" w14:textId="0209B5C4" w:rsidR="009A1B14" w:rsidRPr="00571E3F" w:rsidRDefault="0086598A"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1.</w:t>
            </w:r>
            <w:r w:rsidR="00330627" w:rsidRPr="00571E3F">
              <w:rPr>
                <w:rFonts w:ascii="Times New Roman" w:hAnsi="Times New Roman" w:cs="Times New Roman"/>
                <w:color w:val="000000"/>
                <w:sz w:val="24"/>
                <w:szCs w:val="24"/>
                <w:highlight w:val="yellow"/>
              </w:rPr>
              <w:t>5316</w:t>
            </w:r>
          </w:p>
        </w:tc>
        <w:tc>
          <w:tcPr>
            <w:tcW w:w="1984" w:type="dxa"/>
          </w:tcPr>
          <w:p w14:paraId="2EC7010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51.18333</w:t>
            </w:r>
          </w:p>
        </w:tc>
        <w:tc>
          <w:tcPr>
            <w:tcW w:w="1560" w:type="dxa"/>
          </w:tcPr>
          <w:p w14:paraId="237E5483"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49.50545</w:t>
            </w:r>
          </w:p>
        </w:tc>
        <w:tc>
          <w:tcPr>
            <w:tcW w:w="1706" w:type="dxa"/>
          </w:tcPr>
          <w:p w14:paraId="407CF49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146.5576</w:t>
            </w:r>
          </w:p>
        </w:tc>
      </w:tr>
      <w:tr w:rsidR="009A1B14" w14:paraId="08232195" w14:textId="77777777" w:rsidTr="001E5D3B">
        <w:trPr>
          <w:trHeight w:val="225"/>
        </w:trPr>
        <w:tc>
          <w:tcPr>
            <w:tcW w:w="1701" w:type="dxa"/>
          </w:tcPr>
          <w:p w14:paraId="03BD5619"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Median</w:t>
            </w:r>
          </w:p>
        </w:tc>
        <w:tc>
          <w:tcPr>
            <w:tcW w:w="1980" w:type="dxa"/>
          </w:tcPr>
          <w:p w14:paraId="119CBB5A" w14:textId="49B60CF6" w:rsidR="009A1B14" w:rsidRPr="00571E3F" w:rsidRDefault="00330627"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1.1423</w:t>
            </w:r>
          </w:p>
        </w:tc>
        <w:tc>
          <w:tcPr>
            <w:tcW w:w="1984" w:type="dxa"/>
          </w:tcPr>
          <w:p w14:paraId="44CC1D0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43.67000</w:t>
            </w:r>
          </w:p>
        </w:tc>
        <w:tc>
          <w:tcPr>
            <w:tcW w:w="1560" w:type="dxa"/>
          </w:tcPr>
          <w:p w14:paraId="65815068"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43.29000</w:t>
            </w:r>
          </w:p>
        </w:tc>
        <w:tc>
          <w:tcPr>
            <w:tcW w:w="1706" w:type="dxa"/>
          </w:tcPr>
          <w:p w14:paraId="2CF68398"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129.3565</w:t>
            </w:r>
          </w:p>
        </w:tc>
      </w:tr>
      <w:tr w:rsidR="009A1B14" w14:paraId="6C49835F" w14:textId="77777777" w:rsidTr="001E5D3B">
        <w:trPr>
          <w:trHeight w:val="225"/>
        </w:trPr>
        <w:tc>
          <w:tcPr>
            <w:tcW w:w="1701" w:type="dxa"/>
          </w:tcPr>
          <w:p w14:paraId="46CC0FEB"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Maximum</w:t>
            </w:r>
          </w:p>
        </w:tc>
        <w:tc>
          <w:tcPr>
            <w:tcW w:w="1980" w:type="dxa"/>
          </w:tcPr>
          <w:p w14:paraId="1D8B8C74" w14:textId="51990647" w:rsidR="009A1B14" w:rsidRPr="00571E3F" w:rsidRDefault="007B2C84"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3</w:t>
            </w:r>
            <w:r w:rsidR="009A1B14" w:rsidRPr="00571E3F">
              <w:rPr>
                <w:rFonts w:ascii="Times New Roman" w:hAnsi="Times New Roman" w:cs="Times New Roman"/>
                <w:color w:val="000000"/>
                <w:sz w:val="24"/>
                <w:szCs w:val="24"/>
                <w:highlight w:val="yellow"/>
              </w:rPr>
              <w:t>.</w:t>
            </w:r>
            <w:r w:rsidRPr="00571E3F">
              <w:rPr>
                <w:rFonts w:ascii="Times New Roman" w:hAnsi="Times New Roman" w:cs="Times New Roman"/>
                <w:color w:val="000000"/>
                <w:sz w:val="24"/>
                <w:szCs w:val="24"/>
                <w:highlight w:val="yellow"/>
              </w:rPr>
              <w:t>8142</w:t>
            </w:r>
          </w:p>
        </w:tc>
        <w:tc>
          <w:tcPr>
            <w:tcW w:w="1984" w:type="dxa"/>
          </w:tcPr>
          <w:p w14:paraId="0D980F1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111.6300</w:t>
            </w:r>
          </w:p>
        </w:tc>
        <w:tc>
          <w:tcPr>
            <w:tcW w:w="1560" w:type="dxa"/>
          </w:tcPr>
          <w:p w14:paraId="1D86B93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99.06000</w:t>
            </w:r>
          </w:p>
        </w:tc>
        <w:tc>
          <w:tcPr>
            <w:tcW w:w="1706" w:type="dxa"/>
          </w:tcPr>
          <w:p w14:paraId="547D76F5"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423.1660</w:t>
            </w:r>
          </w:p>
        </w:tc>
      </w:tr>
      <w:tr w:rsidR="009A1B14" w14:paraId="5B7C05A9" w14:textId="77777777" w:rsidTr="001E5D3B">
        <w:trPr>
          <w:trHeight w:val="225"/>
        </w:trPr>
        <w:tc>
          <w:tcPr>
            <w:tcW w:w="1701" w:type="dxa"/>
          </w:tcPr>
          <w:p w14:paraId="5B41C2B4"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Minimum</w:t>
            </w:r>
          </w:p>
        </w:tc>
        <w:tc>
          <w:tcPr>
            <w:tcW w:w="1980" w:type="dxa"/>
          </w:tcPr>
          <w:p w14:paraId="04D76283" w14:textId="738B2C9F" w:rsidR="009A1B14" w:rsidRPr="00571E3F" w:rsidRDefault="009A1B14"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0.</w:t>
            </w:r>
            <w:r w:rsidR="007B2C84" w:rsidRPr="00571E3F">
              <w:rPr>
                <w:rFonts w:ascii="Times New Roman" w:hAnsi="Times New Roman" w:cs="Times New Roman"/>
                <w:color w:val="000000"/>
                <w:sz w:val="24"/>
                <w:szCs w:val="24"/>
                <w:highlight w:val="yellow"/>
              </w:rPr>
              <w:t>7104</w:t>
            </w:r>
          </w:p>
        </w:tc>
        <w:tc>
          <w:tcPr>
            <w:tcW w:w="1984" w:type="dxa"/>
          </w:tcPr>
          <w:p w14:paraId="55EAFD6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12.80000</w:t>
            </w:r>
          </w:p>
        </w:tc>
        <w:tc>
          <w:tcPr>
            <w:tcW w:w="1560" w:type="dxa"/>
          </w:tcPr>
          <w:p w14:paraId="33073826"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14.39000</w:t>
            </w:r>
          </w:p>
        </w:tc>
        <w:tc>
          <w:tcPr>
            <w:tcW w:w="1706" w:type="dxa"/>
          </w:tcPr>
          <w:p w14:paraId="3701CF57"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8.037808</w:t>
            </w:r>
          </w:p>
        </w:tc>
      </w:tr>
      <w:tr w:rsidR="009A1B14" w14:paraId="3C3FB6C8" w14:textId="77777777" w:rsidTr="001E5D3B">
        <w:trPr>
          <w:trHeight w:val="225"/>
        </w:trPr>
        <w:tc>
          <w:tcPr>
            <w:tcW w:w="1701" w:type="dxa"/>
          </w:tcPr>
          <w:p w14:paraId="3FF2020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Std. Dev.</w:t>
            </w:r>
          </w:p>
        </w:tc>
        <w:tc>
          <w:tcPr>
            <w:tcW w:w="1980" w:type="dxa"/>
          </w:tcPr>
          <w:p w14:paraId="4245AEE0" w14:textId="6F0DEA28" w:rsidR="009A1B14" w:rsidRPr="00571E3F" w:rsidRDefault="009A1B14"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0.</w:t>
            </w:r>
            <w:r w:rsidR="002E0F51" w:rsidRPr="00571E3F">
              <w:rPr>
                <w:rFonts w:ascii="Times New Roman" w:hAnsi="Times New Roman" w:cs="Times New Roman"/>
                <w:color w:val="000000"/>
                <w:sz w:val="24"/>
                <w:szCs w:val="24"/>
                <w:highlight w:val="yellow"/>
              </w:rPr>
              <w:t>4716</w:t>
            </w:r>
          </w:p>
        </w:tc>
        <w:tc>
          <w:tcPr>
            <w:tcW w:w="1984" w:type="dxa"/>
          </w:tcPr>
          <w:p w14:paraId="06528E69"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32.35554</w:t>
            </w:r>
          </w:p>
        </w:tc>
        <w:tc>
          <w:tcPr>
            <w:tcW w:w="1560" w:type="dxa"/>
          </w:tcPr>
          <w:p w14:paraId="282E0D1D"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28.67539</w:t>
            </w:r>
          </w:p>
        </w:tc>
        <w:tc>
          <w:tcPr>
            <w:tcW w:w="1706" w:type="dxa"/>
          </w:tcPr>
          <w:p w14:paraId="09B9E98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116.3360</w:t>
            </w:r>
          </w:p>
        </w:tc>
      </w:tr>
      <w:tr w:rsidR="009A1B14" w14:paraId="32DDF34C" w14:textId="77777777" w:rsidTr="001E5D3B">
        <w:trPr>
          <w:trHeight w:val="225"/>
        </w:trPr>
        <w:tc>
          <w:tcPr>
            <w:tcW w:w="1701" w:type="dxa"/>
          </w:tcPr>
          <w:p w14:paraId="7353E3FB"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Jarque-Bera</w:t>
            </w:r>
          </w:p>
        </w:tc>
        <w:tc>
          <w:tcPr>
            <w:tcW w:w="1980" w:type="dxa"/>
          </w:tcPr>
          <w:p w14:paraId="745DFF67" w14:textId="59AD7425" w:rsidR="009A1B14" w:rsidRPr="00571E3F" w:rsidRDefault="002E0F51"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2</w:t>
            </w:r>
            <w:r w:rsidR="009A1B14" w:rsidRPr="00571E3F">
              <w:rPr>
                <w:rFonts w:ascii="Times New Roman" w:hAnsi="Times New Roman" w:cs="Times New Roman"/>
                <w:color w:val="000000"/>
                <w:sz w:val="24"/>
                <w:szCs w:val="24"/>
                <w:highlight w:val="yellow"/>
              </w:rPr>
              <w:t>.</w:t>
            </w:r>
            <w:r w:rsidRPr="00571E3F">
              <w:rPr>
                <w:rFonts w:ascii="Times New Roman" w:hAnsi="Times New Roman" w:cs="Times New Roman"/>
                <w:color w:val="000000"/>
                <w:sz w:val="24"/>
                <w:szCs w:val="24"/>
                <w:highlight w:val="yellow"/>
              </w:rPr>
              <w:t>8157</w:t>
            </w:r>
          </w:p>
        </w:tc>
        <w:tc>
          <w:tcPr>
            <w:tcW w:w="1984" w:type="dxa"/>
          </w:tcPr>
          <w:p w14:paraId="551C0FEC"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3.053157</w:t>
            </w:r>
          </w:p>
        </w:tc>
        <w:tc>
          <w:tcPr>
            <w:tcW w:w="1560" w:type="dxa"/>
          </w:tcPr>
          <w:p w14:paraId="309BB42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3.065847</w:t>
            </w:r>
          </w:p>
        </w:tc>
        <w:tc>
          <w:tcPr>
            <w:tcW w:w="1706" w:type="dxa"/>
          </w:tcPr>
          <w:p w14:paraId="605B8A85"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3.805262</w:t>
            </w:r>
          </w:p>
        </w:tc>
      </w:tr>
      <w:tr w:rsidR="009A1B14" w14:paraId="206AF8FF" w14:textId="77777777" w:rsidTr="001E5D3B">
        <w:trPr>
          <w:trHeight w:val="225"/>
        </w:trPr>
        <w:tc>
          <w:tcPr>
            <w:tcW w:w="1701" w:type="dxa"/>
          </w:tcPr>
          <w:p w14:paraId="07CB826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Probability</w:t>
            </w:r>
          </w:p>
        </w:tc>
        <w:tc>
          <w:tcPr>
            <w:tcW w:w="1980" w:type="dxa"/>
          </w:tcPr>
          <w:p w14:paraId="255764F1" w14:textId="602405A4" w:rsidR="009A1B14" w:rsidRPr="00571E3F" w:rsidRDefault="009A1B14"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0.</w:t>
            </w:r>
            <w:r w:rsidR="002E0F51" w:rsidRPr="00571E3F">
              <w:rPr>
                <w:rFonts w:ascii="Times New Roman" w:hAnsi="Times New Roman" w:cs="Times New Roman"/>
                <w:color w:val="000000"/>
                <w:sz w:val="24"/>
                <w:szCs w:val="24"/>
                <w:highlight w:val="yellow"/>
              </w:rPr>
              <w:t>8915</w:t>
            </w:r>
          </w:p>
        </w:tc>
        <w:tc>
          <w:tcPr>
            <w:tcW w:w="1984" w:type="dxa"/>
          </w:tcPr>
          <w:p w14:paraId="24C8471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0.217278</w:t>
            </w:r>
          </w:p>
        </w:tc>
        <w:tc>
          <w:tcPr>
            <w:tcW w:w="1560" w:type="dxa"/>
          </w:tcPr>
          <w:p w14:paraId="325D345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0.215904</w:t>
            </w:r>
          </w:p>
        </w:tc>
        <w:tc>
          <w:tcPr>
            <w:tcW w:w="1706" w:type="dxa"/>
          </w:tcPr>
          <w:p w14:paraId="3CAEFE9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0.149176</w:t>
            </w:r>
          </w:p>
        </w:tc>
      </w:tr>
      <w:tr w:rsidR="009A1B14" w14:paraId="210CDD47" w14:textId="77777777" w:rsidTr="001E5D3B">
        <w:trPr>
          <w:trHeight w:val="225"/>
        </w:trPr>
        <w:tc>
          <w:tcPr>
            <w:tcW w:w="1701" w:type="dxa"/>
          </w:tcPr>
          <w:p w14:paraId="42DF234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Observations</w:t>
            </w:r>
          </w:p>
        </w:tc>
        <w:tc>
          <w:tcPr>
            <w:tcW w:w="1980" w:type="dxa"/>
          </w:tcPr>
          <w:p w14:paraId="055A4AEB" w14:textId="77777777" w:rsidR="009A1B14" w:rsidRPr="00571E3F" w:rsidRDefault="009A1B14" w:rsidP="001E5D3B">
            <w:pPr>
              <w:autoSpaceDE w:val="0"/>
              <w:autoSpaceDN w:val="0"/>
              <w:adjustRightInd w:val="0"/>
              <w:spacing w:line="360" w:lineRule="auto"/>
              <w:jc w:val="center"/>
              <w:rPr>
                <w:rFonts w:ascii="Times New Roman" w:hAnsi="Times New Roman" w:cs="Times New Roman"/>
                <w:color w:val="000000"/>
                <w:sz w:val="24"/>
                <w:szCs w:val="24"/>
                <w:highlight w:val="yellow"/>
              </w:rPr>
            </w:pPr>
            <w:r w:rsidRPr="00571E3F">
              <w:rPr>
                <w:rFonts w:ascii="Times New Roman" w:hAnsi="Times New Roman" w:cs="Times New Roman"/>
                <w:color w:val="000000"/>
                <w:sz w:val="24"/>
                <w:szCs w:val="24"/>
                <w:highlight w:val="yellow"/>
              </w:rPr>
              <w:t>33</w:t>
            </w:r>
          </w:p>
        </w:tc>
        <w:tc>
          <w:tcPr>
            <w:tcW w:w="1984" w:type="dxa"/>
          </w:tcPr>
          <w:p w14:paraId="73F8DC34"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560" w:type="dxa"/>
          </w:tcPr>
          <w:p w14:paraId="2D24B7FE"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706" w:type="dxa"/>
          </w:tcPr>
          <w:p w14:paraId="74B363E9"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r>
    </w:tbl>
    <w:p w14:paraId="0591BB8C" w14:textId="77777777" w:rsidR="009A1B14" w:rsidRDefault="009A1B14" w:rsidP="009A1B1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Source: Computed from E-views Software</w:t>
      </w:r>
    </w:p>
    <w:p w14:paraId="7117E440" w14:textId="4869121C" w:rsidR="009A1B14" w:rsidRPr="009F2A04" w:rsidRDefault="009F2A04" w:rsidP="009F2A04">
      <w:pPr>
        <w:spacing w:line="360" w:lineRule="auto"/>
        <w:jc w:val="both"/>
        <w:rPr>
          <w:rFonts w:asciiTheme="majorBidi" w:hAnsiTheme="majorBidi" w:cstheme="majorBidi"/>
          <w:sz w:val="24"/>
          <w:szCs w:val="24"/>
        </w:rPr>
      </w:pPr>
      <w:r w:rsidRPr="009F2A04">
        <w:rPr>
          <w:rFonts w:asciiTheme="majorBidi" w:hAnsiTheme="majorBidi" w:cstheme="majorBidi"/>
          <w:sz w:val="24"/>
          <w:szCs w:val="24"/>
        </w:rPr>
        <w:t xml:space="preserve">The summary statistics showed that, on average, debt service payments </w:t>
      </w:r>
      <w:r w:rsidR="008A363A">
        <w:rPr>
          <w:rFonts w:asciiTheme="majorBidi" w:hAnsiTheme="majorBidi" w:cstheme="majorBidi"/>
          <w:sz w:val="24"/>
          <w:szCs w:val="24"/>
        </w:rPr>
        <w:t>stood at</w:t>
      </w:r>
      <w:r w:rsidRPr="009F2A04">
        <w:rPr>
          <w:rFonts w:asciiTheme="majorBidi" w:hAnsiTheme="majorBidi" w:cstheme="majorBidi"/>
          <w:sz w:val="24"/>
          <w:szCs w:val="24"/>
        </w:rPr>
        <w:t xml:space="preserve"> </w:t>
      </w:r>
      <w:r w:rsidRPr="00E15175">
        <w:rPr>
          <w:rFonts w:asciiTheme="majorBidi" w:hAnsiTheme="majorBidi" w:cstheme="majorBidi"/>
          <w:color w:val="FF0000"/>
          <w:sz w:val="24"/>
          <w:szCs w:val="24"/>
        </w:rPr>
        <w:t>1.53%.</w:t>
      </w:r>
      <w:r w:rsidRPr="009F2A04">
        <w:rPr>
          <w:rFonts w:asciiTheme="majorBidi" w:hAnsiTheme="majorBidi" w:cstheme="majorBidi"/>
          <w:sz w:val="24"/>
          <w:szCs w:val="24"/>
        </w:rPr>
        <w:t xml:space="preserve"> This means that, from 1990 to 2022, these obligations represented a small </w:t>
      </w:r>
      <w:r w:rsidR="00B20ECC">
        <w:rPr>
          <w:rFonts w:asciiTheme="majorBidi" w:hAnsiTheme="majorBidi" w:cstheme="majorBidi"/>
          <w:sz w:val="24"/>
          <w:szCs w:val="24"/>
        </w:rPr>
        <w:t>proportion</w:t>
      </w:r>
      <w:r w:rsidRPr="009F2A04">
        <w:rPr>
          <w:rFonts w:asciiTheme="majorBidi" w:hAnsiTheme="majorBidi" w:cstheme="majorBidi"/>
          <w:sz w:val="24"/>
          <w:szCs w:val="24"/>
        </w:rPr>
        <w:t xml:space="preserve"> of the total exports of goods and services. Additionally, the average prices for Brent crude and West Texas Intermediate during this period were US$51.18 and US$49.505 per barrel, respectively. It</w:t>
      </w:r>
      <w:r w:rsidR="008C2E51">
        <w:rPr>
          <w:rFonts w:asciiTheme="majorBidi" w:hAnsiTheme="majorBidi" w:cstheme="majorBidi"/>
          <w:sz w:val="24"/>
          <w:szCs w:val="24"/>
        </w:rPr>
        <w:t xml:space="preserve"> is </w:t>
      </w:r>
      <w:r w:rsidRPr="009F2A04">
        <w:rPr>
          <w:rFonts w:asciiTheme="majorBidi" w:hAnsiTheme="majorBidi" w:cstheme="majorBidi"/>
          <w:sz w:val="24"/>
          <w:szCs w:val="24"/>
        </w:rPr>
        <w:t xml:space="preserve">also clear from the findings that the exchange rate averaged </w:t>
      </w:r>
      <w:r w:rsidRPr="00580E32">
        <w:rPr>
          <w:rFonts w:asciiTheme="majorBidi" w:hAnsiTheme="majorBidi" w:cstheme="majorBidi"/>
          <w:sz w:val="24"/>
          <w:szCs w:val="24"/>
        </w:rPr>
        <w:t>146.56</w:t>
      </w:r>
      <w:r w:rsidRPr="009F2A04">
        <w:rPr>
          <w:rFonts w:asciiTheme="majorBidi" w:hAnsiTheme="majorBidi" w:cstheme="majorBidi"/>
          <w:sz w:val="24"/>
          <w:szCs w:val="24"/>
        </w:rPr>
        <w:t xml:space="preserve"> naira for every dollar throughout the study</w:t>
      </w:r>
      <w:r w:rsidR="00F75F38">
        <w:rPr>
          <w:rFonts w:asciiTheme="majorBidi" w:hAnsiTheme="majorBidi" w:cstheme="majorBidi"/>
          <w:sz w:val="24"/>
          <w:szCs w:val="24"/>
        </w:rPr>
        <w:t xml:space="preserve"> period</w:t>
      </w:r>
      <w:r w:rsidRPr="009F2A04">
        <w:rPr>
          <w:rFonts w:asciiTheme="majorBidi" w:hAnsiTheme="majorBidi" w:cstheme="majorBidi"/>
          <w:sz w:val="24"/>
          <w:szCs w:val="24"/>
        </w:rPr>
        <w:t xml:space="preserve">. Interestingly, the standard deviation for each variable was higher than the mean, suggesting that the data points for each variable are closely grouped around their </w:t>
      </w:r>
      <w:r w:rsidR="009310B3">
        <w:rPr>
          <w:rFonts w:asciiTheme="majorBidi" w:hAnsiTheme="majorBidi" w:cstheme="majorBidi"/>
          <w:sz w:val="24"/>
          <w:szCs w:val="24"/>
        </w:rPr>
        <w:t>mean</w:t>
      </w:r>
      <w:r w:rsidRPr="009F2A04">
        <w:rPr>
          <w:rFonts w:asciiTheme="majorBidi" w:hAnsiTheme="majorBidi" w:cstheme="majorBidi"/>
          <w:sz w:val="24"/>
          <w:szCs w:val="24"/>
        </w:rPr>
        <w:t xml:space="preserve"> values. Furthermore, the results indicated that the Jarque-Bera statistic's probability value for each variable exceeded 0.05, which means all the variables follow a normal distribution at the 5% significance level. This evidence of normal distribution across the variables is quite significant, as it lays a solid foundation for estimating the model.</w:t>
      </w:r>
    </w:p>
    <w:p w14:paraId="3C9C4EC1" w14:textId="5AD4CD21" w:rsidR="009A1B14" w:rsidRPr="001349F0"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4.2</w:t>
      </w:r>
      <w:r w:rsidR="007D74C7">
        <w:rPr>
          <w:rFonts w:ascii="Times New Roman" w:hAnsi="Times New Roman" w:cs="Times New Roman"/>
          <w:b/>
          <w:bCs/>
          <w:sz w:val="24"/>
          <w:szCs w:val="24"/>
        </w:rPr>
        <w:t xml:space="preserve"> </w:t>
      </w:r>
      <w:r w:rsidRPr="001349F0">
        <w:rPr>
          <w:rFonts w:ascii="Times New Roman" w:hAnsi="Times New Roman" w:cs="Times New Roman"/>
          <w:b/>
          <w:bCs/>
          <w:sz w:val="24"/>
          <w:szCs w:val="24"/>
        </w:rPr>
        <w:t>Unit Root Test</w:t>
      </w:r>
    </w:p>
    <w:p w14:paraId="53862458" w14:textId="0FF18D2C" w:rsidR="009A1B14" w:rsidRPr="001349F0" w:rsidRDefault="00936007" w:rsidP="009A1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highlighted previously, </w:t>
      </w:r>
      <w:r w:rsidR="009A1B14">
        <w:rPr>
          <w:rFonts w:ascii="Times New Roman" w:hAnsi="Times New Roman" w:cs="Times New Roman"/>
          <w:sz w:val="24"/>
          <w:szCs w:val="24"/>
        </w:rPr>
        <w:t xml:space="preserve">the </w:t>
      </w:r>
      <w:r w:rsidR="009A1B14" w:rsidRPr="001349F0">
        <w:rPr>
          <w:rFonts w:ascii="Times New Roman" w:hAnsi="Times New Roman" w:cs="Times New Roman"/>
          <w:sz w:val="24"/>
          <w:szCs w:val="24"/>
        </w:rPr>
        <w:t>unit root test</w:t>
      </w:r>
      <w:r w:rsidR="009A1B14">
        <w:rPr>
          <w:rFonts w:ascii="Times New Roman" w:hAnsi="Times New Roman" w:cs="Times New Roman"/>
          <w:sz w:val="24"/>
          <w:szCs w:val="24"/>
        </w:rPr>
        <w:t xml:space="preserve"> </w:t>
      </w:r>
      <w:r w:rsidR="009A1B14" w:rsidRPr="001349F0">
        <w:rPr>
          <w:rFonts w:ascii="Times New Roman" w:hAnsi="Times New Roman" w:cs="Times New Roman"/>
          <w:sz w:val="24"/>
          <w:szCs w:val="24"/>
        </w:rPr>
        <w:t>was based on the Augmented Dickey-Fuller (ADF) method</w:t>
      </w:r>
      <w:r w:rsidR="009A1B14">
        <w:rPr>
          <w:rFonts w:ascii="Times New Roman" w:hAnsi="Times New Roman" w:cs="Times New Roman"/>
          <w:sz w:val="24"/>
          <w:szCs w:val="24"/>
        </w:rPr>
        <w:t xml:space="preserve">. </w:t>
      </w:r>
      <w:r w:rsidR="009A1B14" w:rsidRPr="001349F0">
        <w:rPr>
          <w:rFonts w:ascii="Times New Roman" w:hAnsi="Times New Roman" w:cs="Times New Roman"/>
          <w:sz w:val="24"/>
          <w:szCs w:val="24"/>
        </w:rPr>
        <w:t xml:space="preserve">The results are </w:t>
      </w:r>
      <w:r w:rsidR="009A1B14">
        <w:rPr>
          <w:rFonts w:ascii="Times New Roman" w:hAnsi="Times New Roman" w:cs="Times New Roman"/>
          <w:sz w:val="24"/>
          <w:szCs w:val="24"/>
        </w:rPr>
        <w:t>presented</w:t>
      </w:r>
      <w:r w:rsidR="009A1B14" w:rsidRPr="001349F0">
        <w:rPr>
          <w:rFonts w:ascii="Times New Roman" w:hAnsi="Times New Roman" w:cs="Times New Roman"/>
          <w:sz w:val="24"/>
          <w:szCs w:val="24"/>
        </w:rPr>
        <w:t xml:space="preserve"> in Table </w:t>
      </w:r>
      <w:r w:rsidR="009A1B14">
        <w:rPr>
          <w:rFonts w:ascii="Times New Roman" w:hAnsi="Times New Roman" w:cs="Times New Roman"/>
          <w:sz w:val="24"/>
          <w:szCs w:val="24"/>
        </w:rPr>
        <w:t>2</w:t>
      </w:r>
      <w:r w:rsidR="009A1B14" w:rsidRPr="001349F0">
        <w:rPr>
          <w:rFonts w:ascii="Times New Roman" w:hAnsi="Times New Roman" w:cs="Times New Roman"/>
          <w:sz w:val="24"/>
          <w:szCs w:val="24"/>
        </w:rPr>
        <w:t>.</w:t>
      </w:r>
    </w:p>
    <w:p w14:paraId="7C384121" w14:textId="77777777" w:rsidR="0065632A" w:rsidRDefault="0065632A" w:rsidP="009A1B14">
      <w:pPr>
        <w:spacing w:after="0" w:line="360" w:lineRule="auto"/>
        <w:rPr>
          <w:rFonts w:ascii="Times New Roman" w:hAnsi="Times New Roman" w:cs="Times New Roman"/>
          <w:b/>
          <w:sz w:val="24"/>
          <w:szCs w:val="24"/>
        </w:rPr>
      </w:pPr>
      <w:bookmarkStart w:id="1" w:name="_Hlk111035515"/>
    </w:p>
    <w:p w14:paraId="285FAB8D" w14:textId="77777777" w:rsidR="0065632A" w:rsidRDefault="0065632A" w:rsidP="009A1B14">
      <w:pPr>
        <w:spacing w:after="0" w:line="360" w:lineRule="auto"/>
        <w:rPr>
          <w:rFonts w:ascii="Times New Roman" w:hAnsi="Times New Roman" w:cs="Times New Roman"/>
          <w:b/>
          <w:sz w:val="24"/>
          <w:szCs w:val="24"/>
        </w:rPr>
      </w:pPr>
    </w:p>
    <w:p w14:paraId="5C2D22D4" w14:textId="15278680" w:rsidR="009A1B14" w:rsidRPr="001349F0" w:rsidRDefault="009A1B14" w:rsidP="009A1B14">
      <w:pPr>
        <w:spacing w:after="0" w:line="360" w:lineRule="auto"/>
        <w:rPr>
          <w:rFonts w:ascii="Times New Roman" w:hAnsi="Times New Roman" w:cs="Times New Roman"/>
          <w:b/>
          <w:sz w:val="24"/>
          <w:szCs w:val="24"/>
        </w:rPr>
      </w:pPr>
      <w:r w:rsidRPr="001349F0">
        <w:rPr>
          <w:rFonts w:ascii="Times New Roman" w:hAnsi="Times New Roman" w:cs="Times New Roman"/>
          <w:b/>
          <w:sz w:val="24"/>
          <w:szCs w:val="24"/>
        </w:rPr>
        <w:t xml:space="preserve">Table </w:t>
      </w:r>
      <w:r>
        <w:rPr>
          <w:rFonts w:ascii="Times New Roman" w:hAnsi="Times New Roman" w:cs="Times New Roman"/>
          <w:b/>
          <w:sz w:val="24"/>
          <w:szCs w:val="24"/>
        </w:rPr>
        <w:t>2</w:t>
      </w:r>
      <w:r w:rsidRPr="001349F0">
        <w:rPr>
          <w:rFonts w:ascii="Times New Roman" w:hAnsi="Times New Roman" w:cs="Times New Roman"/>
          <w:b/>
          <w:sz w:val="24"/>
          <w:szCs w:val="24"/>
        </w:rPr>
        <w:t xml:space="preserve">: </w:t>
      </w:r>
      <w:r>
        <w:rPr>
          <w:rFonts w:ascii="Times New Roman" w:hAnsi="Times New Roman" w:cs="Times New Roman"/>
          <w:b/>
          <w:sz w:val="24"/>
          <w:szCs w:val="24"/>
        </w:rPr>
        <w:t>ADF U</w:t>
      </w:r>
      <w:r w:rsidRPr="001349F0">
        <w:rPr>
          <w:rFonts w:ascii="Times New Roman" w:hAnsi="Times New Roman" w:cs="Times New Roman"/>
          <w:b/>
          <w:sz w:val="24"/>
          <w:szCs w:val="24"/>
        </w:rPr>
        <w:t>nit Root Test Result</w:t>
      </w:r>
    </w:p>
    <w:tbl>
      <w:tblPr>
        <w:tblStyle w:val="TableGrid"/>
        <w:tblW w:w="8743" w:type="dxa"/>
        <w:tblLayout w:type="fixed"/>
        <w:tblLook w:val="04A0" w:firstRow="1" w:lastRow="0" w:firstColumn="1" w:lastColumn="0" w:noHBand="0" w:noVBand="1"/>
      </w:tblPr>
      <w:tblGrid>
        <w:gridCol w:w="1854"/>
        <w:gridCol w:w="1457"/>
        <w:gridCol w:w="1988"/>
        <w:gridCol w:w="1722"/>
        <w:gridCol w:w="1722"/>
      </w:tblGrid>
      <w:tr w:rsidR="009A1B14" w:rsidRPr="00E35495" w14:paraId="0970C23D" w14:textId="77777777" w:rsidTr="001E5D3B">
        <w:trPr>
          <w:trHeight w:val="220"/>
        </w:trPr>
        <w:tc>
          <w:tcPr>
            <w:tcW w:w="1854" w:type="dxa"/>
          </w:tcPr>
          <w:p w14:paraId="4A9DF735"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lastRenderedPageBreak/>
              <w:t xml:space="preserve">Variable </w:t>
            </w:r>
          </w:p>
        </w:tc>
        <w:tc>
          <w:tcPr>
            <w:tcW w:w="1457" w:type="dxa"/>
          </w:tcPr>
          <w:p w14:paraId="29217E14"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ADF stat. at levels</w:t>
            </w:r>
          </w:p>
        </w:tc>
        <w:tc>
          <w:tcPr>
            <w:tcW w:w="1988" w:type="dxa"/>
          </w:tcPr>
          <w:p w14:paraId="04EE863B"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ADF stat. at 1</w:t>
            </w:r>
            <w:r w:rsidRPr="00E35495">
              <w:rPr>
                <w:rFonts w:ascii="Times New Roman" w:hAnsi="Times New Roman" w:cs="Times New Roman"/>
                <w:sz w:val="24"/>
                <w:szCs w:val="24"/>
                <w:vertAlign w:val="superscript"/>
              </w:rPr>
              <w:t>st</w:t>
            </w:r>
            <w:r w:rsidRPr="00E35495">
              <w:rPr>
                <w:rFonts w:ascii="Times New Roman" w:hAnsi="Times New Roman" w:cs="Times New Roman"/>
                <w:sz w:val="24"/>
                <w:szCs w:val="24"/>
              </w:rPr>
              <w:t xml:space="preserve"> diff.</w:t>
            </w:r>
          </w:p>
        </w:tc>
        <w:tc>
          <w:tcPr>
            <w:tcW w:w="1722" w:type="dxa"/>
          </w:tcPr>
          <w:p w14:paraId="4DA04B6B"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Critical Value at 5%</w:t>
            </w:r>
          </w:p>
        </w:tc>
        <w:tc>
          <w:tcPr>
            <w:tcW w:w="1722" w:type="dxa"/>
          </w:tcPr>
          <w:p w14:paraId="197A1460" w14:textId="77777777" w:rsidR="009A1B14" w:rsidRPr="00E35495" w:rsidRDefault="009A1B14" w:rsidP="001E5D3B">
            <w:pPr>
              <w:spacing w:line="360" w:lineRule="auto"/>
              <w:jc w:val="center"/>
              <w:rPr>
                <w:rFonts w:ascii="Times New Roman" w:hAnsi="Times New Roman" w:cs="Times New Roman"/>
                <w:b/>
                <w:sz w:val="24"/>
                <w:szCs w:val="24"/>
              </w:rPr>
            </w:pPr>
            <w:r w:rsidRPr="00E35495">
              <w:rPr>
                <w:rFonts w:ascii="Times New Roman" w:hAnsi="Times New Roman" w:cs="Times New Roman"/>
                <w:sz w:val="24"/>
                <w:szCs w:val="24"/>
              </w:rPr>
              <w:t>Decision</w:t>
            </w:r>
          </w:p>
          <w:p w14:paraId="7B6C6BCE"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I(d)</w:t>
            </w:r>
          </w:p>
        </w:tc>
      </w:tr>
      <w:tr w:rsidR="009A1B14" w:rsidRPr="00E35495" w14:paraId="1A6002C8" w14:textId="77777777" w:rsidTr="001E5D3B">
        <w:trPr>
          <w:trHeight w:val="220"/>
        </w:trPr>
        <w:tc>
          <w:tcPr>
            <w:tcW w:w="1854" w:type="dxa"/>
          </w:tcPr>
          <w:p w14:paraId="45D85023" w14:textId="40FF3E8A" w:rsidR="009A1B14" w:rsidRPr="00E35495" w:rsidRDefault="00000000" w:rsidP="001E5D3B">
            <w:pPr>
              <w:spacing w:line="360" w:lineRule="auto"/>
              <w:rPr>
                <w:rFonts w:ascii="Times New Roman" w:eastAsia="Calibri" w:hAnsi="Times New Roman" w:cs="Times New Roman"/>
                <w:b/>
                <w:bCs/>
                <w:sz w:val="24"/>
                <w:szCs w:val="24"/>
              </w:rPr>
            </w:pPr>
            <m:oMathPara>
              <m:oMath>
                <m:sSub>
                  <m:sSubPr>
                    <m:ctrlPr>
                      <w:rPr>
                        <w:rFonts w:ascii="Cambria Math" w:hAnsi="Cambria Math" w:cs="Times New Roman"/>
                        <w:i/>
                        <w:sz w:val="24"/>
                        <w:szCs w:val="24"/>
                      </w:rPr>
                    </m:ctrlPr>
                  </m:sSubPr>
                  <m:e>
                    <m:r>
                      <m:rPr>
                        <m:sty m:val="bi"/>
                      </m:rPr>
                      <w:rPr>
                        <w:rFonts w:ascii="Cambria Math" w:hAnsi="Cambria Math" w:cs="Times New Roman"/>
                        <w:sz w:val="24"/>
                        <w:szCs w:val="24"/>
                      </w:rPr>
                      <m:t>EXDS</m:t>
                    </m:r>
                  </m:e>
                  <m:sub>
                    <m:r>
                      <m:rPr>
                        <m:sty m:val="bi"/>
                      </m:rPr>
                      <w:rPr>
                        <w:rFonts w:ascii="Cambria Math" w:hAnsi="Cambria Math" w:cs="Times New Roman"/>
                        <w:sz w:val="24"/>
                        <w:szCs w:val="24"/>
                      </w:rPr>
                      <m:t>t</m:t>
                    </m:r>
                  </m:sub>
                </m:sSub>
              </m:oMath>
            </m:oMathPara>
          </w:p>
        </w:tc>
        <w:tc>
          <w:tcPr>
            <w:tcW w:w="1457" w:type="dxa"/>
          </w:tcPr>
          <w:p w14:paraId="16872E7A" w14:textId="62C4E619"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w:t>
            </w:r>
            <w:r w:rsidR="00A31A06">
              <w:rPr>
                <w:rFonts w:ascii="Times New Roman" w:hAnsi="Times New Roman" w:cs="Times New Roman"/>
                <w:color w:val="000000"/>
                <w:sz w:val="24"/>
                <w:szCs w:val="24"/>
              </w:rPr>
              <w:t>915</w:t>
            </w:r>
          </w:p>
        </w:tc>
        <w:tc>
          <w:tcPr>
            <w:tcW w:w="1988" w:type="dxa"/>
          </w:tcPr>
          <w:p w14:paraId="5B0EB70A" w14:textId="71C502BF"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w:t>
            </w:r>
            <w:r w:rsidR="00A31A06">
              <w:rPr>
                <w:rFonts w:ascii="Times New Roman" w:hAnsi="Times New Roman" w:cs="Times New Roman"/>
                <w:color w:val="000000"/>
                <w:sz w:val="24"/>
                <w:szCs w:val="24"/>
              </w:rPr>
              <w:t>11</w:t>
            </w:r>
            <w:r w:rsidRPr="00E35495">
              <w:rPr>
                <w:rFonts w:ascii="Times New Roman" w:hAnsi="Times New Roman" w:cs="Times New Roman"/>
                <w:color w:val="000000"/>
                <w:sz w:val="24"/>
                <w:szCs w:val="24"/>
              </w:rPr>
              <w:t>.</w:t>
            </w:r>
            <w:r w:rsidR="00A31A06">
              <w:rPr>
                <w:rFonts w:ascii="Times New Roman" w:hAnsi="Times New Roman" w:cs="Times New Roman"/>
                <w:color w:val="000000"/>
                <w:sz w:val="24"/>
                <w:szCs w:val="24"/>
              </w:rPr>
              <w:t>041</w:t>
            </w:r>
            <w:r w:rsidRPr="00E35495">
              <w:rPr>
                <w:rFonts w:ascii="Times New Roman" w:hAnsi="Times New Roman" w:cs="Times New Roman"/>
                <w:sz w:val="24"/>
                <w:szCs w:val="24"/>
                <w:shd w:val="clear" w:color="auto" w:fill="FFFFFF"/>
              </w:rPr>
              <w:t>***</w:t>
            </w:r>
          </w:p>
        </w:tc>
        <w:tc>
          <w:tcPr>
            <w:tcW w:w="1722" w:type="dxa"/>
          </w:tcPr>
          <w:p w14:paraId="5E90E7BA" w14:textId="77777777" w:rsidR="009A1B14" w:rsidRPr="00E35495" w:rsidRDefault="009A1B14" w:rsidP="001E5D3B">
            <w:pPr>
              <w:spacing w:line="360" w:lineRule="auto"/>
              <w:jc w:val="center"/>
              <w:rPr>
                <w:rFonts w:ascii="Times New Roman" w:hAnsi="Times New Roman" w:cs="Times New Roman"/>
                <w:sz w:val="24"/>
                <w:szCs w:val="24"/>
                <w:shd w:val="clear" w:color="auto" w:fill="FFFFFF"/>
              </w:rPr>
            </w:pPr>
            <w:r w:rsidRPr="00E35495">
              <w:rPr>
                <w:rFonts w:ascii="Times New Roman" w:hAnsi="Times New Roman" w:cs="Times New Roman"/>
                <w:sz w:val="24"/>
                <w:szCs w:val="24"/>
                <w:shd w:val="clear" w:color="auto" w:fill="FFFFFF"/>
              </w:rPr>
              <w:t>-2.96</w:t>
            </w:r>
          </w:p>
        </w:tc>
        <w:tc>
          <w:tcPr>
            <w:tcW w:w="1722" w:type="dxa"/>
          </w:tcPr>
          <w:p w14:paraId="7816B664"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I(1)</w:t>
            </w:r>
          </w:p>
        </w:tc>
      </w:tr>
      <w:tr w:rsidR="009A1B14" w:rsidRPr="00E35495" w14:paraId="2C25149A" w14:textId="77777777" w:rsidTr="001E5D3B">
        <w:trPr>
          <w:trHeight w:val="484"/>
        </w:trPr>
        <w:tc>
          <w:tcPr>
            <w:tcW w:w="1854" w:type="dxa"/>
            <w:hideMark/>
          </w:tcPr>
          <w:p w14:paraId="70576E39" w14:textId="77777777" w:rsidR="009A1B14" w:rsidRPr="00E35495" w:rsidRDefault="00000000"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Log(BCP</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652C6A0E"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-0.909</w:t>
            </w:r>
          </w:p>
        </w:tc>
        <w:tc>
          <w:tcPr>
            <w:tcW w:w="1988" w:type="dxa"/>
            <w:hideMark/>
          </w:tcPr>
          <w:p w14:paraId="73ED83E8"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-5.019</w:t>
            </w:r>
            <w:r w:rsidRPr="00E35495">
              <w:rPr>
                <w:rFonts w:ascii="Times New Roman" w:hAnsi="Times New Roman" w:cs="Times New Roman"/>
                <w:sz w:val="24"/>
                <w:szCs w:val="24"/>
                <w:shd w:val="clear" w:color="auto" w:fill="FFFFFF"/>
              </w:rPr>
              <w:t>***</w:t>
            </w:r>
          </w:p>
        </w:tc>
        <w:tc>
          <w:tcPr>
            <w:tcW w:w="1722" w:type="dxa"/>
          </w:tcPr>
          <w:p w14:paraId="79EA5FE7"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2F6E0E3D"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I(1)</w:t>
            </w:r>
          </w:p>
        </w:tc>
      </w:tr>
      <w:tr w:rsidR="009A1B14" w:rsidRPr="00E35495" w14:paraId="5857FD7B" w14:textId="77777777" w:rsidTr="001E5D3B">
        <w:trPr>
          <w:trHeight w:val="280"/>
        </w:trPr>
        <w:tc>
          <w:tcPr>
            <w:tcW w:w="1854" w:type="dxa"/>
            <w:hideMark/>
          </w:tcPr>
          <w:p w14:paraId="259414A4" w14:textId="77777777" w:rsidR="009A1B14" w:rsidRPr="00E35495" w:rsidRDefault="00000000"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Log(WTI</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3CE89000"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-0.975</w:t>
            </w:r>
          </w:p>
        </w:tc>
        <w:tc>
          <w:tcPr>
            <w:tcW w:w="1988" w:type="dxa"/>
            <w:hideMark/>
          </w:tcPr>
          <w:p w14:paraId="40E92139"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-5.141</w:t>
            </w:r>
            <w:r w:rsidRPr="00E35495">
              <w:rPr>
                <w:rFonts w:ascii="Times New Roman" w:hAnsi="Times New Roman" w:cs="Times New Roman"/>
                <w:sz w:val="24"/>
                <w:szCs w:val="24"/>
                <w:shd w:val="clear" w:color="auto" w:fill="FFFFFF"/>
              </w:rPr>
              <w:t>***</w:t>
            </w:r>
          </w:p>
        </w:tc>
        <w:tc>
          <w:tcPr>
            <w:tcW w:w="1722" w:type="dxa"/>
          </w:tcPr>
          <w:p w14:paraId="4AAC5DA6"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51919041"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I(1)</w:t>
            </w:r>
          </w:p>
        </w:tc>
      </w:tr>
      <w:tr w:rsidR="009A1B14" w:rsidRPr="00E35495" w14:paraId="418F8FFC" w14:textId="77777777" w:rsidTr="001E5D3B">
        <w:trPr>
          <w:trHeight w:val="228"/>
        </w:trPr>
        <w:tc>
          <w:tcPr>
            <w:tcW w:w="1854" w:type="dxa"/>
            <w:hideMark/>
          </w:tcPr>
          <w:p w14:paraId="42A438CA" w14:textId="77777777" w:rsidR="009A1B14" w:rsidRPr="00E35495" w:rsidRDefault="00000000"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Log(EXH</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312386CF"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-1.895</w:t>
            </w:r>
          </w:p>
        </w:tc>
        <w:tc>
          <w:tcPr>
            <w:tcW w:w="1988" w:type="dxa"/>
            <w:hideMark/>
          </w:tcPr>
          <w:p w14:paraId="3AF77C7B"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-5.246</w:t>
            </w:r>
            <w:r w:rsidRPr="00E35495">
              <w:rPr>
                <w:rFonts w:ascii="Times New Roman" w:hAnsi="Times New Roman" w:cs="Times New Roman"/>
                <w:sz w:val="24"/>
                <w:szCs w:val="24"/>
                <w:shd w:val="clear" w:color="auto" w:fill="FFFFFF"/>
              </w:rPr>
              <w:t>***</w:t>
            </w:r>
          </w:p>
        </w:tc>
        <w:tc>
          <w:tcPr>
            <w:tcW w:w="1722" w:type="dxa"/>
          </w:tcPr>
          <w:p w14:paraId="436F46E3"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1EFF41E4"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I(1)</w:t>
            </w:r>
          </w:p>
        </w:tc>
      </w:tr>
    </w:tbl>
    <w:p w14:paraId="3B938D50" w14:textId="1D5617E4"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E-views </w:t>
      </w:r>
      <w:r w:rsidR="00406B3C">
        <w:rPr>
          <w:rFonts w:ascii="Times New Roman" w:hAnsi="Times New Roman" w:cs="Times New Roman"/>
          <w:b/>
          <w:bCs/>
          <w:sz w:val="24"/>
          <w:szCs w:val="24"/>
        </w:rPr>
        <w:t>output (2025)</w:t>
      </w:r>
    </w:p>
    <w:p w14:paraId="0DE00C17" w14:textId="77777777" w:rsidR="009A1B14" w:rsidRPr="00E35495" w:rsidRDefault="009A1B14" w:rsidP="009A1B14">
      <w:pPr>
        <w:spacing w:after="0" w:line="360" w:lineRule="auto"/>
        <w:jc w:val="both"/>
        <w:rPr>
          <w:rFonts w:ascii="Times New Roman" w:hAnsi="Times New Roman" w:cs="Times New Roman"/>
          <w:b/>
        </w:rPr>
      </w:pPr>
      <w:r w:rsidRPr="00E35495">
        <w:rPr>
          <w:rFonts w:ascii="Times New Roman" w:hAnsi="Times New Roman" w:cs="Times New Roman"/>
          <w:b/>
        </w:rPr>
        <w:t xml:space="preserve">Note:  *, ** and *** denote Significant at 10%, 5% and 1% levels respectively </w:t>
      </w:r>
    </w:p>
    <w:bookmarkEnd w:id="1"/>
    <w:p w14:paraId="225EFF43" w14:textId="1C70E7E0" w:rsidR="00AB02F2" w:rsidRPr="00AB02F2" w:rsidRDefault="00F34704" w:rsidP="00AB02F2">
      <w:pPr>
        <w:spacing w:line="360" w:lineRule="auto"/>
        <w:jc w:val="both"/>
        <w:rPr>
          <w:rFonts w:asciiTheme="majorBidi" w:hAnsiTheme="majorBidi" w:cstheme="majorBidi"/>
          <w:sz w:val="24"/>
          <w:szCs w:val="24"/>
        </w:rPr>
      </w:pPr>
      <w:r w:rsidRPr="00AB02F2">
        <w:rPr>
          <w:rFonts w:asciiTheme="majorBidi" w:hAnsiTheme="majorBidi" w:cstheme="majorBidi"/>
          <w:sz w:val="24"/>
          <w:szCs w:val="24"/>
        </w:rPr>
        <w:t>The results from the ADF unit root test indicated that all the variables are nonstationary, as their ADF statistics exceeded the 5% critical value. This means we can</w:t>
      </w:r>
      <w:r w:rsidR="0037346F">
        <w:rPr>
          <w:rFonts w:asciiTheme="majorBidi" w:hAnsiTheme="majorBidi" w:cstheme="majorBidi"/>
          <w:sz w:val="24"/>
          <w:szCs w:val="24"/>
        </w:rPr>
        <w:t>not</w:t>
      </w:r>
      <w:r w:rsidRPr="00AB02F2">
        <w:rPr>
          <w:rFonts w:asciiTheme="majorBidi" w:hAnsiTheme="majorBidi" w:cstheme="majorBidi"/>
          <w:sz w:val="24"/>
          <w:szCs w:val="24"/>
        </w:rPr>
        <w:t xml:space="preserve"> reject the null hypothesis of a unit root (nonstationary) process for any of the variables. Given this evidence of nonstationarity, we then applied the first difference test, which revealed that the variables become stationary after the first difference. In</w:t>
      </w:r>
      <w:r w:rsidR="00B3407D">
        <w:rPr>
          <w:rFonts w:asciiTheme="majorBidi" w:hAnsiTheme="majorBidi" w:cstheme="majorBidi"/>
          <w:sz w:val="24"/>
          <w:szCs w:val="24"/>
        </w:rPr>
        <w:t xml:space="preserve"> other words,</w:t>
      </w:r>
      <w:r w:rsidRPr="00AB02F2">
        <w:rPr>
          <w:rFonts w:asciiTheme="majorBidi" w:hAnsiTheme="majorBidi" w:cstheme="majorBidi"/>
          <w:sz w:val="24"/>
          <w:szCs w:val="24"/>
        </w:rPr>
        <w:t xml:space="preserve"> all the variables are integrated of order one, I(1), which means we need to check for cointegration among them.</w:t>
      </w:r>
    </w:p>
    <w:p w14:paraId="19028665" w14:textId="32953D57" w:rsidR="009A1B14"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w:t>
      </w:r>
      <w:r>
        <w:rPr>
          <w:rFonts w:ascii="Times New Roman" w:hAnsi="Times New Roman" w:cs="Times New Roman"/>
          <w:b/>
          <w:bCs/>
          <w:sz w:val="24"/>
          <w:szCs w:val="24"/>
        </w:rPr>
        <w:t>3 Cointegration Test</w:t>
      </w:r>
    </w:p>
    <w:p w14:paraId="10EA9D7F" w14:textId="669A86EE" w:rsidR="009A1B14" w:rsidRDefault="0002631A" w:rsidP="009A1B14">
      <w:pPr>
        <w:spacing w:after="0" w:line="360" w:lineRule="auto"/>
        <w:jc w:val="both"/>
        <w:rPr>
          <w:rFonts w:ascii="Times New Roman" w:hAnsi="Times New Roman" w:cs="Times New Roman"/>
          <w:sz w:val="24"/>
          <w:szCs w:val="24"/>
        </w:rPr>
      </w:pPr>
      <w:r w:rsidRPr="0002631A">
        <w:rPr>
          <w:rFonts w:asciiTheme="majorBidi" w:hAnsiTheme="majorBidi" w:cstheme="majorBidi"/>
          <w:sz w:val="24"/>
          <w:szCs w:val="24"/>
        </w:rPr>
        <w:t>In this study, we used the Johansen maximum likelihood method for cointegration, as mentioned earlier, to determine whether there is evidence of cointegration, based on the I(1) results from the ADF unit root test.</w:t>
      </w:r>
      <w:r>
        <w:rPr>
          <w:rFonts w:ascii="Arial" w:hAnsi="Arial" w:cs="Arial"/>
          <w:color w:val="000000"/>
          <w:sz w:val="27"/>
          <w:szCs w:val="27"/>
          <w:shd w:val="clear" w:color="auto" w:fill="F4F5F6"/>
        </w:rPr>
        <w:t xml:space="preserve"> </w:t>
      </w:r>
      <w:r w:rsidR="009A1B14">
        <w:rPr>
          <w:rFonts w:ascii="Times New Roman" w:hAnsi="Times New Roman" w:cs="Times New Roman"/>
          <w:sz w:val="24"/>
          <w:szCs w:val="24"/>
        </w:rPr>
        <w:t>The results are presented in Table 3.</w:t>
      </w:r>
    </w:p>
    <w:p w14:paraId="13A8CB95" w14:textId="77777777" w:rsidR="009A1B14" w:rsidRDefault="009A1B14" w:rsidP="009A1B14">
      <w:pPr>
        <w:spacing w:after="0" w:line="360" w:lineRule="auto"/>
        <w:jc w:val="both"/>
        <w:rPr>
          <w:rFonts w:ascii="Times New Roman" w:hAnsi="Times New Roman" w:cs="Times New Roman"/>
          <w:b/>
          <w:bCs/>
          <w:sz w:val="24"/>
          <w:szCs w:val="24"/>
        </w:rPr>
      </w:pPr>
    </w:p>
    <w:p w14:paraId="4D96E0AE" w14:textId="77777777"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 Johansen cointegration test results</w:t>
      </w:r>
    </w:p>
    <w:tbl>
      <w:tblPr>
        <w:tblStyle w:val="TableGrid"/>
        <w:tblW w:w="0" w:type="auto"/>
        <w:tblLook w:val="04A0" w:firstRow="1" w:lastRow="0" w:firstColumn="1" w:lastColumn="0" w:noHBand="0" w:noVBand="1"/>
      </w:tblPr>
      <w:tblGrid>
        <w:gridCol w:w="2944"/>
        <w:gridCol w:w="2687"/>
        <w:gridCol w:w="3204"/>
      </w:tblGrid>
      <w:tr w:rsidR="000C7EB2" w:rsidRPr="005B775B" w14:paraId="7898A07E" w14:textId="77777777" w:rsidTr="00F956F5">
        <w:tc>
          <w:tcPr>
            <w:tcW w:w="8835" w:type="dxa"/>
            <w:gridSpan w:val="3"/>
          </w:tcPr>
          <w:p w14:paraId="0D39AC6E" w14:textId="7365E132" w:rsidR="000C7EB2" w:rsidRPr="005B775B" w:rsidRDefault="00F956F5" w:rsidP="00F956F5">
            <w:pPr>
              <w:spacing w:line="360" w:lineRule="auto"/>
              <w:jc w:val="both"/>
              <w:rPr>
                <w:rFonts w:ascii="Times New Roman" w:hAnsi="Times New Roman"/>
                <w:sz w:val="24"/>
                <w:szCs w:val="24"/>
              </w:rPr>
            </w:pPr>
            <w:r w:rsidRPr="00990127">
              <w:rPr>
                <w:rFonts w:ascii="Times New Roman" w:hAnsi="Times New Roman" w:cs="Times New Roman"/>
                <w:b/>
                <w:bCs/>
                <w:color w:val="000000"/>
                <w:sz w:val="24"/>
                <w:szCs w:val="24"/>
                <w:lang w:val="fr-FR"/>
              </w:rPr>
              <w:t xml:space="preserve">Series:  </w:t>
            </w:r>
            <w:r>
              <w:rPr>
                <w:rFonts w:ascii="Times New Roman" w:hAnsi="Times New Roman" w:cs="Times New Roman"/>
                <w:b/>
                <w:bCs/>
                <w:color w:val="000000"/>
                <w:sz w:val="24"/>
                <w:szCs w:val="24"/>
                <w:lang w:val="fr-FR"/>
              </w:rPr>
              <w:t xml:space="preserve">EXDS </w:t>
            </w:r>
            <w:r w:rsidRPr="00990127">
              <w:rPr>
                <w:rFonts w:ascii="Times New Roman" w:hAnsi="Times New Roman" w:cs="Times New Roman"/>
                <w:b/>
                <w:bCs/>
                <w:color w:val="000000"/>
                <w:sz w:val="24"/>
                <w:szCs w:val="24"/>
                <w:lang w:val="fr-FR"/>
              </w:rPr>
              <w:t>LOG(BCP) LOG(WTI) LOG(EXH) </w:t>
            </w:r>
          </w:p>
        </w:tc>
      </w:tr>
      <w:tr w:rsidR="006357F1" w:rsidRPr="005B775B" w14:paraId="1C8A047E" w14:textId="77777777" w:rsidTr="00F956F5">
        <w:tc>
          <w:tcPr>
            <w:tcW w:w="8835" w:type="dxa"/>
            <w:gridSpan w:val="3"/>
          </w:tcPr>
          <w:p w14:paraId="7ED3C06D" w14:textId="73C17716" w:rsidR="006357F1" w:rsidRPr="005B775B" w:rsidRDefault="006357F1" w:rsidP="00CF775C">
            <w:pPr>
              <w:jc w:val="center"/>
              <w:rPr>
                <w:rFonts w:ascii="Times New Roman" w:hAnsi="Times New Roman"/>
                <w:sz w:val="24"/>
                <w:szCs w:val="24"/>
              </w:rPr>
            </w:pPr>
            <w:r w:rsidRPr="005B775B">
              <w:rPr>
                <w:rFonts w:ascii="Times New Roman" w:hAnsi="Times New Roman"/>
                <w:sz w:val="24"/>
                <w:szCs w:val="24"/>
              </w:rPr>
              <w:t>Trace Test Results</w:t>
            </w:r>
          </w:p>
        </w:tc>
      </w:tr>
      <w:tr w:rsidR="000C7EB2" w:rsidRPr="005B775B" w14:paraId="60378169" w14:textId="77777777" w:rsidTr="00F956F5">
        <w:tc>
          <w:tcPr>
            <w:tcW w:w="2944" w:type="dxa"/>
          </w:tcPr>
          <w:p w14:paraId="12520C3E"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Null Hypothesis</w:t>
            </w:r>
          </w:p>
        </w:tc>
        <w:tc>
          <w:tcPr>
            <w:tcW w:w="2687" w:type="dxa"/>
          </w:tcPr>
          <w:p w14:paraId="70AC73C6"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Trace statistic</w:t>
            </w:r>
          </w:p>
        </w:tc>
        <w:tc>
          <w:tcPr>
            <w:tcW w:w="3204" w:type="dxa"/>
          </w:tcPr>
          <w:p w14:paraId="22E25730"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5 per cent critical value</w:t>
            </w:r>
          </w:p>
        </w:tc>
      </w:tr>
      <w:tr w:rsidR="000C7EB2" w:rsidRPr="005B775B" w14:paraId="68EBB61D" w14:textId="77777777" w:rsidTr="00F956F5">
        <w:tc>
          <w:tcPr>
            <w:tcW w:w="2944" w:type="dxa"/>
          </w:tcPr>
          <w:p w14:paraId="4C6C8318"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=0*</w:t>
            </w:r>
          </w:p>
        </w:tc>
        <w:tc>
          <w:tcPr>
            <w:tcW w:w="2687" w:type="dxa"/>
          </w:tcPr>
          <w:p w14:paraId="79EE0369" w14:textId="3FEBDCDF" w:rsidR="000C7EB2" w:rsidRPr="005B775B" w:rsidRDefault="00FD292B" w:rsidP="00CF775C">
            <w:pPr>
              <w:jc w:val="center"/>
              <w:rPr>
                <w:rFonts w:ascii="Times New Roman" w:hAnsi="Times New Roman"/>
                <w:sz w:val="24"/>
                <w:szCs w:val="24"/>
              </w:rPr>
            </w:pPr>
            <w:r>
              <w:rPr>
                <w:rFonts w:ascii="Times New Roman" w:hAnsi="Times New Roman"/>
                <w:color w:val="000000"/>
                <w:sz w:val="24"/>
                <w:szCs w:val="24"/>
              </w:rPr>
              <w:t>87</w:t>
            </w:r>
            <w:r w:rsidR="000C7EB2" w:rsidRPr="005B775B">
              <w:rPr>
                <w:rFonts w:ascii="Times New Roman" w:hAnsi="Times New Roman"/>
                <w:color w:val="000000"/>
                <w:sz w:val="24"/>
                <w:szCs w:val="24"/>
              </w:rPr>
              <w:t>.</w:t>
            </w:r>
            <w:r>
              <w:rPr>
                <w:rFonts w:ascii="Times New Roman" w:hAnsi="Times New Roman"/>
                <w:color w:val="000000"/>
                <w:sz w:val="24"/>
                <w:szCs w:val="24"/>
              </w:rPr>
              <w:t>14</w:t>
            </w:r>
          </w:p>
        </w:tc>
        <w:tc>
          <w:tcPr>
            <w:tcW w:w="3204" w:type="dxa"/>
          </w:tcPr>
          <w:p w14:paraId="3B05CF3A" w14:textId="2A60DB9F"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47.</w:t>
            </w:r>
            <w:r w:rsidR="00FD292B">
              <w:rPr>
                <w:rFonts w:ascii="Times New Roman" w:hAnsi="Times New Roman"/>
                <w:color w:val="000000"/>
                <w:sz w:val="24"/>
                <w:szCs w:val="24"/>
              </w:rPr>
              <w:t>21</w:t>
            </w:r>
          </w:p>
        </w:tc>
      </w:tr>
      <w:tr w:rsidR="000C7EB2" w:rsidRPr="005B775B" w14:paraId="7A7B9A8B" w14:textId="77777777" w:rsidTr="00F956F5">
        <w:tc>
          <w:tcPr>
            <w:tcW w:w="2944" w:type="dxa"/>
          </w:tcPr>
          <w:p w14:paraId="35B672C4"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1*</w:t>
            </w:r>
          </w:p>
        </w:tc>
        <w:tc>
          <w:tcPr>
            <w:tcW w:w="2687" w:type="dxa"/>
          </w:tcPr>
          <w:p w14:paraId="335DA930" w14:textId="032B1E45" w:rsidR="000C7EB2" w:rsidRPr="005B775B" w:rsidRDefault="00206ECF" w:rsidP="00CF775C">
            <w:pPr>
              <w:jc w:val="center"/>
              <w:rPr>
                <w:rFonts w:ascii="Times New Roman" w:hAnsi="Times New Roman"/>
                <w:sz w:val="24"/>
                <w:szCs w:val="24"/>
              </w:rPr>
            </w:pPr>
            <w:r>
              <w:rPr>
                <w:rFonts w:ascii="Times New Roman" w:hAnsi="Times New Roman"/>
                <w:color w:val="000000"/>
                <w:sz w:val="24"/>
                <w:szCs w:val="24"/>
              </w:rPr>
              <w:t>41</w:t>
            </w:r>
            <w:r w:rsidR="000C7EB2" w:rsidRPr="005B775B">
              <w:rPr>
                <w:rFonts w:ascii="Times New Roman" w:hAnsi="Times New Roman"/>
                <w:color w:val="000000"/>
                <w:sz w:val="24"/>
                <w:szCs w:val="24"/>
              </w:rPr>
              <w:t>.63</w:t>
            </w:r>
          </w:p>
        </w:tc>
        <w:tc>
          <w:tcPr>
            <w:tcW w:w="3204" w:type="dxa"/>
          </w:tcPr>
          <w:p w14:paraId="2B306411" w14:textId="1BDDADDC" w:rsidR="000C7EB2" w:rsidRPr="005B775B" w:rsidRDefault="00206ECF" w:rsidP="00CF775C">
            <w:pPr>
              <w:jc w:val="center"/>
              <w:rPr>
                <w:rFonts w:ascii="Times New Roman" w:hAnsi="Times New Roman"/>
                <w:sz w:val="24"/>
                <w:szCs w:val="24"/>
              </w:rPr>
            </w:pPr>
            <w:r>
              <w:rPr>
                <w:rFonts w:ascii="Times New Roman" w:hAnsi="Times New Roman"/>
                <w:color w:val="000000"/>
                <w:sz w:val="24"/>
                <w:szCs w:val="24"/>
              </w:rPr>
              <w:t>31</w:t>
            </w:r>
            <w:r w:rsidR="000C7EB2" w:rsidRPr="005B775B">
              <w:rPr>
                <w:rFonts w:ascii="Times New Roman" w:hAnsi="Times New Roman"/>
                <w:color w:val="000000"/>
                <w:sz w:val="24"/>
                <w:szCs w:val="24"/>
              </w:rPr>
              <w:t>.7</w:t>
            </w:r>
            <w:r>
              <w:rPr>
                <w:rFonts w:ascii="Times New Roman" w:hAnsi="Times New Roman"/>
                <w:color w:val="000000"/>
                <w:sz w:val="24"/>
                <w:szCs w:val="24"/>
              </w:rPr>
              <w:t>2</w:t>
            </w:r>
          </w:p>
        </w:tc>
      </w:tr>
      <w:tr w:rsidR="000C7EB2" w:rsidRPr="005B775B" w14:paraId="065D24A4" w14:textId="77777777" w:rsidTr="00F956F5">
        <w:tc>
          <w:tcPr>
            <w:tcW w:w="2944" w:type="dxa"/>
          </w:tcPr>
          <w:p w14:paraId="72E4B370" w14:textId="508A7010"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2</w:t>
            </w:r>
          </w:p>
        </w:tc>
        <w:tc>
          <w:tcPr>
            <w:tcW w:w="2687" w:type="dxa"/>
          </w:tcPr>
          <w:p w14:paraId="4AC4D416" w14:textId="6F42449D"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724E0">
              <w:rPr>
                <w:rFonts w:ascii="Times New Roman" w:hAnsi="Times New Roman"/>
                <w:color w:val="000000"/>
                <w:sz w:val="24"/>
                <w:szCs w:val="24"/>
              </w:rPr>
              <w:t>7</w:t>
            </w:r>
            <w:r w:rsidRPr="005B775B">
              <w:rPr>
                <w:rFonts w:ascii="Times New Roman" w:hAnsi="Times New Roman"/>
                <w:color w:val="000000"/>
                <w:sz w:val="24"/>
                <w:szCs w:val="24"/>
              </w:rPr>
              <w:t>.19</w:t>
            </w:r>
          </w:p>
        </w:tc>
        <w:tc>
          <w:tcPr>
            <w:tcW w:w="3204" w:type="dxa"/>
          </w:tcPr>
          <w:p w14:paraId="7C092854" w14:textId="0F37EB15"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724E0">
              <w:rPr>
                <w:rFonts w:ascii="Times New Roman" w:hAnsi="Times New Roman"/>
                <w:color w:val="000000"/>
                <w:sz w:val="24"/>
                <w:szCs w:val="24"/>
              </w:rPr>
              <w:t>2</w:t>
            </w:r>
            <w:r w:rsidRPr="005B775B">
              <w:rPr>
                <w:rFonts w:ascii="Times New Roman" w:hAnsi="Times New Roman"/>
                <w:color w:val="000000"/>
                <w:sz w:val="24"/>
                <w:szCs w:val="24"/>
              </w:rPr>
              <w:t>.45</w:t>
            </w:r>
          </w:p>
        </w:tc>
      </w:tr>
      <w:tr w:rsidR="000C7EB2" w:rsidRPr="005B775B" w14:paraId="4EF18179" w14:textId="77777777" w:rsidTr="00F956F5">
        <w:tc>
          <w:tcPr>
            <w:tcW w:w="2944" w:type="dxa"/>
          </w:tcPr>
          <w:p w14:paraId="3E536073"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3</w:t>
            </w:r>
          </w:p>
        </w:tc>
        <w:tc>
          <w:tcPr>
            <w:tcW w:w="2687" w:type="dxa"/>
          </w:tcPr>
          <w:p w14:paraId="1FA7F073" w14:textId="3A39AF94" w:rsidR="000C7EB2" w:rsidRPr="005B775B" w:rsidRDefault="007724E0" w:rsidP="00CF775C">
            <w:pPr>
              <w:jc w:val="center"/>
              <w:rPr>
                <w:rFonts w:ascii="Times New Roman" w:hAnsi="Times New Roman"/>
                <w:sz w:val="24"/>
                <w:szCs w:val="24"/>
              </w:rPr>
            </w:pPr>
            <w:r>
              <w:rPr>
                <w:rFonts w:ascii="Times New Roman" w:hAnsi="Times New Roman"/>
                <w:color w:val="000000"/>
                <w:sz w:val="24"/>
                <w:szCs w:val="24"/>
              </w:rPr>
              <w:t>2</w:t>
            </w:r>
            <w:r w:rsidR="000C7EB2" w:rsidRPr="005B775B">
              <w:rPr>
                <w:rFonts w:ascii="Times New Roman" w:hAnsi="Times New Roman"/>
                <w:color w:val="000000"/>
                <w:sz w:val="24"/>
                <w:szCs w:val="24"/>
              </w:rPr>
              <w:t>.</w:t>
            </w:r>
            <w:r>
              <w:rPr>
                <w:rFonts w:ascii="Times New Roman" w:hAnsi="Times New Roman"/>
                <w:color w:val="000000"/>
                <w:sz w:val="24"/>
                <w:szCs w:val="24"/>
              </w:rPr>
              <w:t>4</w:t>
            </w:r>
            <w:r w:rsidR="000C7EB2" w:rsidRPr="005B775B">
              <w:rPr>
                <w:rFonts w:ascii="Times New Roman" w:hAnsi="Times New Roman"/>
                <w:color w:val="000000"/>
                <w:sz w:val="24"/>
                <w:szCs w:val="24"/>
              </w:rPr>
              <w:t>3</w:t>
            </w:r>
          </w:p>
        </w:tc>
        <w:tc>
          <w:tcPr>
            <w:tcW w:w="3204" w:type="dxa"/>
          </w:tcPr>
          <w:p w14:paraId="08C028FF" w14:textId="48A55194" w:rsidR="000C7EB2" w:rsidRPr="005B775B" w:rsidRDefault="007724E0" w:rsidP="00CF775C">
            <w:pPr>
              <w:jc w:val="center"/>
              <w:rPr>
                <w:rFonts w:ascii="Times New Roman" w:hAnsi="Times New Roman"/>
                <w:sz w:val="24"/>
                <w:szCs w:val="24"/>
              </w:rPr>
            </w:pPr>
            <w:r>
              <w:rPr>
                <w:rFonts w:ascii="Times New Roman" w:hAnsi="Times New Roman"/>
                <w:color w:val="000000"/>
                <w:sz w:val="24"/>
                <w:szCs w:val="24"/>
              </w:rPr>
              <w:t>4</w:t>
            </w:r>
            <w:r w:rsidR="000C7EB2" w:rsidRPr="005B775B">
              <w:rPr>
                <w:rFonts w:ascii="Times New Roman" w:hAnsi="Times New Roman"/>
                <w:color w:val="000000"/>
                <w:sz w:val="24"/>
                <w:szCs w:val="24"/>
              </w:rPr>
              <w:t>.81</w:t>
            </w:r>
          </w:p>
        </w:tc>
      </w:tr>
      <w:tr w:rsidR="000C7EB2" w:rsidRPr="005B775B" w14:paraId="15AC5A3B" w14:textId="77777777" w:rsidTr="00F956F5">
        <w:tc>
          <w:tcPr>
            <w:tcW w:w="8835" w:type="dxa"/>
            <w:gridSpan w:val="3"/>
          </w:tcPr>
          <w:p w14:paraId="2200D9B3"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Maximum Eigenvalue Test Results</w:t>
            </w:r>
          </w:p>
        </w:tc>
      </w:tr>
      <w:tr w:rsidR="000C7EB2" w:rsidRPr="005B775B" w14:paraId="02CD9CBF" w14:textId="77777777" w:rsidTr="00F956F5">
        <w:tc>
          <w:tcPr>
            <w:tcW w:w="2944" w:type="dxa"/>
          </w:tcPr>
          <w:p w14:paraId="100E57BD"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Null Hypothesis</w:t>
            </w:r>
          </w:p>
        </w:tc>
        <w:tc>
          <w:tcPr>
            <w:tcW w:w="2687" w:type="dxa"/>
          </w:tcPr>
          <w:p w14:paraId="11489A05"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Max-Eigen statistic</w:t>
            </w:r>
          </w:p>
        </w:tc>
        <w:tc>
          <w:tcPr>
            <w:tcW w:w="3204" w:type="dxa"/>
          </w:tcPr>
          <w:p w14:paraId="294979AD"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5 per cent critical value</w:t>
            </w:r>
          </w:p>
        </w:tc>
      </w:tr>
      <w:tr w:rsidR="000C7EB2" w:rsidRPr="005B775B" w14:paraId="50C55E70" w14:textId="77777777" w:rsidTr="00F956F5">
        <w:tc>
          <w:tcPr>
            <w:tcW w:w="2944" w:type="dxa"/>
          </w:tcPr>
          <w:p w14:paraId="2502F606"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=0*</w:t>
            </w:r>
          </w:p>
        </w:tc>
        <w:tc>
          <w:tcPr>
            <w:tcW w:w="2687" w:type="dxa"/>
          </w:tcPr>
          <w:p w14:paraId="7DA50537" w14:textId="4164A55D" w:rsidR="000C7EB2" w:rsidRPr="005B775B" w:rsidRDefault="00AC5E0F" w:rsidP="00CF775C">
            <w:pPr>
              <w:jc w:val="center"/>
              <w:rPr>
                <w:rFonts w:ascii="Times New Roman" w:hAnsi="Times New Roman"/>
                <w:sz w:val="24"/>
                <w:szCs w:val="24"/>
              </w:rPr>
            </w:pPr>
            <w:r>
              <w:rPr>
                <w:rFonts w:ascii="Times New Roman" w:hAnsi="Times New Roman"/>
                <w:color w:val="000000"/>
                <w:sz w:val="24"/>
                <w:szCs w:val="24"/>
              </w:rPr>
              <w:t>4</w:t>
            </w:r>
            <w:r w:rsidR="000C7EB2" w:rsidRPr="005B775B">
              <w:rPr>
                <w:rFonts w:ascii="Times New Roman" w:hAnsi="Times New Roman"/>
                <w:color w:val="000000"/>
                <w:sz w:val="24"/>
                <w:szCs w:val="24"/>
              </w:rPr>
              <w:t>8.</w:t>
            </w:r>
            <w:r>
              <w:rPr>
                <w:rFonts w:ascii="Times New Roman" w:hAnsi="Times New Roman"/>
                <w:color w:val="000000"/>
                <w:sz w:val="24"/>
                <w:szCs w:val="24"/>
              </w:rPr>
              <w:t>3</w:t>
            </w:r>
            <w:r w:rsidR="000C7EB2" w:rsidRPr="005B775B">
              <w:rPr>
                <w:rFonts w:ascii="Times New Roman" w:hAnsi="Times New Roman"/>
                <w:color w:val="000000"/>
                <w:sz w:val="24"/>
                <w:szCs w:val="24"/>
              </w:rPr>
              <w:t>2</w:t>
            </w:r>
          </w:p>
        </w:tc>
        <w:tc>
          <w:tcPr>
            <w:tcW w:w="3204" w:type="dxa"/>
          </w:tcPr>
          <w:p w14:paraId="3EC6194C" w14:textId="753523BF" w:rsidR="000C7EB2" w:rsidRPr="005B775B" w:rsidRDefault="00AC5E0F" w:rsidP="00CF775C">
            <w:pPr>
              <w:jc w:val="center"/>
              <w:rPr>
                <w:rFonts w:ascii="Times New Roman" w:hAnsi="Times New Roman"/>
                <w:sz w:val="24"/>
                <w:szCs w:val="24"/>
              </w:rPr>
            </w:pPr>
            <w:r>
              <w:rPr>
                <w:rFonts w:ascii="Times New Roman" w:hAnsi="Times New Roman"/>
                <w:color w:val="000000"/>
                <w:sz w:val="24"/>
                <w:szCs w:val="24"/>
              </w:rPr>
              <w:t>33</w:t>
            </w:r>
            <w:r w:rsidR="000C7EB2" w:rsidRPr="005B775B">
              <w:rPr>
                <w:rFonts w:ascii="Times New Roman" w:hAnsi="Times New Roman"/>
                <w:color w:val="000000"/>
                <w:sz w:val="24"/>
                <w:szCs w:val="24"/>
              </w:rPr>
              <w:t>.54</w:t>
            </w:r>
          </w:p>
        </w:tc>
      </w:tr>
      <w:tr w:rsidR="000C7EB2" w:rsidRPr="005B775B" w14:paraId="69FF7E9F" w14:textId="77777777" w:rsidTr="00F956F5">
        <w:tc>
          <w:tcPr>
            <w:tcW w:w="2944" w:type="dxa"/>
          </w:tcPr>
          <w:p w14:paraId="3EC4C2C2" w14:textId="1936C6DD"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1</w:t>
            </w:r>
            <w:r w:rsidR="00F956F5">
              <w:rPr>
                <w:rFonts w:ascii="Times New Roman" w:hAnsi="Times New Roman"/>
                <w:sz w:val="24"/>
                <w:szCs w:val="24"/>
              </w:rPr>
              <w:t>*</w:t>
            </w:r>
          </w:p>
        </w:tc>
        <w:tc>
          <w:tcPr>
            <w:tcW w:w="2687" w:type="dxa"/>
          </w:tcPr>
          <w:p w14:paraId="1D705EAD" w14:textId="41BDF4A0" w:rsidR="000C7EB2" w:rsidRPr="005B775B" w:rsidRDefault="00BC1058" w:rsidP="00CF775C">
            <w:pPr>
              <w:jc w:val="center"/>
              <w:rPr>
                <w:rFonts w:ascii="Times New Roman" w:hAnsi="Times New Roman"/>
                <w:sz w:val="24"/>
                <w:szCs w:val="24"/>
              </w:rPr>
            </w:pPr>
            <w:r>
              <w:rPr>
                <w:rFonts w:ascii="Times New Roman" w:hAnsi="Times New Roman"/>
                <w:color w:val="000000"/>
                <w:sz w:val="24"/>
                <w:szCs w:val="24"/>
              </w:rPr>
              <w:t>39</w:t>
            </w:r>
            <w:r w:rsidR="000C7EB2" w:rsidRPr="005B775B">
              <w:rPr>
                <w:rFonts w:ascii="Times New Roman" w:hAnsi="Times New Roman"/>
                <w:color w:val="000000"/>
                <w:sz w:val="24"/>
                <w:szCs w:val="24"/>
              </w:rPr>
              <w:t>.63</w:t>
            </w:r>
          </w:p>
        </w:tc>
        <w:tc>
          <w:tcPr>
            <w:tcW w:w="3204" w:type="dxa"/>
          </w:tcPr>
          <w:p w14:paraId="7AECD049" w14:textId="250BF74D" w:rsidR="000C7EB2" w:rsidRPr="005B775B" w:rsidRDefault="00BC1058" w:rsidP="00CF775C">
            <w:pPr>
              <w:jc w:val="center"/>
              <w:rPr>
                <w:rFonts w:ascii="Times New Roman" w:hAnsi="Times New Roman"/>
                <w:sz w:val="24"/>
                <w:szCs w:val="24"/>
              </w:rPr>
            </w:pPr>
            <w:r>
              <w:rPr>
                <w:rFonts w:ascii="Times New Roman" w:hAnsi="Times New Roman"/>
                <w:color w:val="000000"/>
                <w:sz w:val="24"/>
                <w:szCs w:val="24"/>
              </w:rPr>
              <w:t>28</w:t>
            </w:r>
            <w:r w:rsidR="000C7EB2" w:rsidRPr="005B775B">
              <w:rPr>
                <w:rFonts w:ascii="Times New Roman" w:hAnsi="Times New Roman"/>
                <w:color w:val="000000"/>
                <w:sz w:val="24"/>
                <w:szCs w:val="24"/>
              </w:rPr>
              <w:t>.1</w:t>
            </w:r>
            <w:r>
              <w:rPr>
                <w:rFonts w:ascii="Times New Roman" w:hAnsi="Times New Roman"/>
                <w:color w:val="000000"/>
                <w:sz w:val="24"/>
                <w:szCs w:val="24"/>
              </w:rPr>
              <w:t>6</w:t>
            </w:r>
          </w:p>
        </w:tc>
      </w:tr>
      <w:tr w:rsidR="000C7EB2" w:rsidRPr="005B775B" w14:paraId="0C0B969B" w14:textId="77777777" w:rsidTr="00F956F5">
        <w:tc>
          <w:tcPr>
            <w:tcW w:w="2944" w:type="dxa"/>
          </w:tcPr>
          <w:p w14:paraId="09A98E94" w14:textId="17EBEA5B"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2</w:t>
            </w:r>
          </w:p>
        </w:tc>
        <w:tc>
          <w:tcPr>
            <w:tcW w:w="2687" w:type="dxa"/>
          </w:tcPr>
          <w:p w14:paraId="48CF7E0F" w14:textId="53BA042B" w:rsidR="000C7EB2" w:rsidRPr="005B775B" w:rsidRDefault="00C56A2B" w:rsidP="00CF775C">
            <w:pPr>
              <w:jc w:val="center"/>
              <w:rPr>
                <w:rFonts w:ascii="Times New Roman" w:hAnsi="Times New Roman"/>
                <w:sz w:val="24"/>
                <w:szCs w:val="24"/>
              </w:rPr>
            </w:pPr>
            <w:r>
              <w:rPr>
                <w:rFonts w:ascii="Times New Roman" w:hAnsi="Times New Roman"/>
                <w:color w:val="000000"/>
                <w:sz w:val="24"/>
                <w:szCs w:val="24"/>
              </w:rPr>
              <w:t>22</w:t>
            </w:r>
            <w:r w:rsidR="000C7EB2" w:rsidRPr="005B775B">
              <w:rPr>
                <w:rFonts w:ascii="Times New Roman" w:hAnsi="Times New Roman"/>
                <w:color w:val="000000"/>
                <w:sz w:val="24"/>
                <w:szCs w:val="24"/>
              </w:rPr>
              <w:t>.</w:t>
            </w:r>
            <w:r>
              <w:rPr>
                <w:rFonts w:ascii="Times New Roman" w:hAnsi="Times New Roman"/>
                <w:color w:val="000000"/>
                <w:sz w:val="24"/>
                <w:szCs w:val="24"/>
              </w:rPr>
              <w:t>08</w:t>
            </w:r>
          </w:p>
        </w:tc>
        <w:tc>
          <w:tcPr>
            <w:tcW w:w="3204" w:type="dxa"/>
          </w:tcPr>
          <w:p w14:paraId="5B23EB6D" w14:textId="7BC27B1F" w:rsidR="000C7EB2" w:rsidRPr="005B775B" w:rsidRDefault="00C56A2B" w:rsidP="00CF775C">
            <w:pPr>
              <w:jc w:val="center"/>
              <w:rPr>
                <w:rFonts w:ascii="Times New Roman" w:hAnsi="Times New Roman"/>
                <w:sz w:val="24"/>
                <w:szCs w:val="24"/>
              </w:rPr>
            </w:pPr>
            <w:r>
              <w:rPr>
                <w:rFonts w:ascii="Times New Roman" w:hAnsi="Times New Roman"/>
                <w:color w:val="000000"/>
                <w:sz w:val="24"/>
                <w:szCs w:val="24"/>
              </w:rPr>
              <w:t>16</w:t>
            </w:r>
            <w:r w:rsidR="000C7EB2" w:rsidRPr="005B775B">
              <w:rPr>
                <w:rFonts w:ascii="Times New Roman" w:hAnsi="Times New Roman"/>
                <w:color w:val="000000"/>
                <w:sz w:val="24"/>
                <w:szCs w:val="24"/>
              </w:rPr>
              <w:t>.25</w:t>
            </w:r>
          </w:p>
        </w:tc>
      </w:tr>
      <w:tr w:rsidR="000C7EB2" w:rsidRPr="005B775B" w14:paraId="748E5B5A" w14:textId="77777777" w:rsidTr="00F956F5">
        <w:tc>
          <w:tcPr>
            <w:tcW w:w="2944" w:type="dxa"/>
          </w:tcPr>
          <w:p w14:paraId="339D8244"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3</w:t>
            </w:r>
          </w:p>
        </w:tc>
        <w:tc>
          <w:tcPr>
            <w:tcW w:w="2687" w:type="dxa"/>
          </w:tcPr>
          <w:p w14:paraId="3C9B28E5" w14:textId="58064C03"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83500">
              <w:rPr>
                <w:rFonts w:ascii="Times New Roman" w:hAnsi="Times New Roman"/>
                <w:color w:val="000000"/>
                <w:sz w:val="24"/>
                <w:szCs w:val="24"/>
              </w:rPr>
              <w:t>0</w:t>
            </w:r>
            <w:r w:rsidRPr="005B775B">
              <w:rPr>
                <w:rFonts w:ascii="Times New Roman" w:hAnsi="Times New Roman"/>
                <w:color w:val="000000"/>
                <w:sz w:val="24"/>
                <w:szCs w:val="24"/>
              </w:rPr>
              <w:t>3</w:t>
            </w:r>
          </w:p>
        </w:tc>
        <w:tc>
          <w:tcPr>
            <w:tcW w:w="3204" w:type="dxa"/>
          </w:tcPr>
          <w:p w14:paraId="277CA9E4" w14:textId="5CDF5660"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3.</w:t>
            </w:r>
            <w:r w:rsidR="00783500">
              <w:rPr>
                <w:rFonts w:ascii="Times New Roman" w:hAnsi="Times New Roman"/>
                <w:color w:val="000000"/>
                <w:sz w:val="24"/>
                <w:szCs w:val="24"/>
              </w:rPr>
              <w:t>74</w:t>
            </w:r>
          </w:p>
        </w:tc>
      </w:tr>
    </w:tbl>
    <w:p w14:paraId="15AA101B" w14:textId="77777777" w:rsidR="00406B3C" w:rsidRDefault="00406B3C" w:rsidP="00406B3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0D0017F8" w14:textId="77777777" w:rsidR="009A1B14" w:rsidRPr="00247D7B" w:rsidRDefault="009A1B14" w:rsidP="009A1B14">
      <w:pPr>
        <w:spacing w:after="0" w:line="360" w:lineRule="auto"/>
        <w:jc w:val="both"/>
        <w:rPr>
          <w:rFonts w:ascii="Times New Roman" w:hAnsi="Times New Roman" w:cs="Times New Roman"/>
          <w:b/>
          <w:bCs/>
          <w:sz w:val="24"/>
          <w:szCs w:val="24"/>
        </w:rPr>
      </w:pPr>
      <w:r w:rsidRPr="00E35495">
        <w:rPr>
          <w:rFonts w:ascii="Times New Roman" w:hAnsi="Times New Roman" w:cs="Times New Roman"/>
          <w:b/>
        </w:rPr>
        <w:t xml:space="preserve">Note: </w:t>
      </w:r>
      <w:r w:rsidRPr="00247D7B">
        <w:rPr>
          <w:rFonts w:ascii="Times New Roman" w:hAnsi="Times New Roman" w:cs="Times New Roman"/>
          <w:b/>
          <w:bCs/>
          <w:sz w:val="24"/>
          <w:szCs w:val="24"/>
        </w:rPr>
        <w:t xml:space="preserve"> </w:t>
      </w:r>
      <w:r w:rsidRPr="00247D7B">
        <w:rPr>
          <w:rFonts w:ascii="Times New Roman" w:hAnsi="Times New Roman" w:cs="Times New Roman"/>
          <w:b/>
          <w:bCs/>
          <w:color w:val="000000"/>
          <w:sz w:val="24"/>
          <w:szCs w:val="24"/>
        </w:rPr>
        <w:t>* denotes rejection of the hypothesis at the 0.05 level</w:t>
      </w:r>
    </w:p>
    <w:p w14:paraId="68B0A8FB" w14:textId="512C7D47" w:rsidR="004C4063" w:rsidRPr="00F84FBB" w:rsidRDefault="004C4063" w:rsidP="00F84FBB">
      <w:pPr>
        <w:spacing w:line="360" w:lineRule="auto"/>
        <w:jc w:val="both"/>
        <w:rPr>
          <w:rFonts w:asciiTheme="majorBidi" w:hAnsiTheme="majorBidi" w:cstheme="majorBidi"/>
          <w:sz w:val="24"/>
          <w:szCs w:val="24"/>
        </w:rPr>
      </w:pPr>
      <w:r w:rsidRPr="00F84FBB">
        <w:rPr>
          <w:rFonts w:asciiTheme="majorBidi" w:hAnsiTheme="majorBidi" w:cstheme="majorBidi"/>
          <w:sz w:val="24"/>
          <w:szCs w:val="24"/>
        </w:rPr>
        <w:t xml:space="preserve">The results showed that there are two cointegrating equations based on the trace test results. Likewise, the maximum eigenvalue test also confirmed the presence of two cointegrating </w:t>
      </w:r>
      <w:r w:rsidRPr="00F84FBB">
        <w:rPr>
          <w:rFonts w:asciiTheme="majorBidi" w:hAnsiTheme="majorBidi" w:cstheme="majorBidi"/>
          <w:sz w:val="24"/>
          <w:szCs w:val="24"/>
        </w:rPr>
        <w:lastRenderedPageBreak/>
        <w:t>equations. With these findings, we can reject the null hypothesis of no cointegration at the 5% significance level. This means there</w:t>
      </w:r>
      <w:r w:rsidR="00DA7C81">
        <w:rPr>
          <w:rFonts w:asciiTheme="majorBidi" w:hAnsiTheme="majorBidi" w:cstheme="majorBidi"/>
          <w:sz w:val="24"/>
          <w:szCs w:val="24"/>
        </w:rPr>
        <w:t xml:space="preserve"> is</w:t>
      </w:r>
      <w:r w:rsidRPr="00F84FBB">
        <w:rPr>
          <w:rFonts w:asciiTheme="majorBidi" w:hAnsiTheme="majorBidi" w:cstheme="majorBidi"/>
          <w:sz w:val="24"/>
          <w:szCs w:val="24"/>
        </w:rPr>
        <w:t xml:space="preserve"> a long-term relationship between debt service payments and the independent variables, which sets the stage for </w:t>
      </w:r>
      <w:r w:rsidR="00DA7C81">
        <w:rPr>
          <w:rFonts w:asciiTheme="majorBidi" w:hAnsiTheme="majorBidi" w:cstheme="majorBidi"/>
          <w:sz w:val="24"/>
          <w:szCs w:val="24"/>
        </w:rPr>
        <w:t>modelling</w:t>
      </w:r>
      <w:r w:rsidRPr="00F84FBB">
        <w:rPr>
          <w:rFonts w:asciiTheme="majorBidi" w:hAnsiTheme="majorBidi" w:cstheme="majorBidi"/>
          <w:sz w:val="24"/>
          <w:szCs w:val="24"/>
        </w:rPr>
        <w:t xml:space="preserve"> this relationship in an error correction model, as suggested by Engel and Granger (1987). The evidence of a long-term </w:t>
      </w:r>
      <w:r w:rsidR="00DA7C81">
        <w:rPr>
          <w:rFonts w:asciiTheme="majorBidi" w:hAnsiTheme="majorBidi" w:cstheme="majorBidi"/>
          <w:sz w:val="24"/>
          <w:szCs w:val="24"/>
        </w:rPr>
        <w:t>relationship</w:t>
      </w:r>
      <w:r w:rsidRPr="00F84FBB">
        <w:rPr>
          <w:rFonts w:asciiTheme="majorBidi" w:hAnsiTheme="majorBidi" w:cstheme="majorBidi"/>
          <w:sz w:val="24"/>
          <w:szCs w:val="24"/>
        </w:rPr>
        <w:t xml:space="preserve"> between debt service payments and oil prices supports the work of Ako-Nai &amp; Ayoola (2013), who found that changes in oil prices are cointegrated with debt servicing. So, this suggests that fluctuations in oil prices can be a reliable indicator for predicting </w:t>
      </w:r>
      <w:r w:rsidR="00B56946">
        <w:rPr>
          <w:rFonts w:asciiTheme="majorBidi" w:hAnsiTheme="majorBidi" w:cstheme="majorBidi"/>
          <w:sz w:val="24"/>
          <w:szCs w:val="24"/>
        </w:rPr>
        <w:t xml:space="preserve">long-term </w:t>
      </w:r>
      <w:r w:rsidRPr="00F84FBB">
        <w:rPr>
          <w:rFonts w:asciiTheme="majorBidi" w:hAnsiTheme="majorBidi" w:cstheme="majorBidi"/>
          <w:sz w:val="24"/>
          <w:szCs w:val="24"/>
        </w:rPr>
        <w:t>changes in fiscal sustainability in Nigeria.</w:t>
      </w:r>
    </w:p>
    <w:p w14:paraId="544B917E" w14:textId="657EEF18" w:rsidR="009A1B14"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w:t>
      </w:r>
      <w:r>
        <w:rPr>
          <w:rFonts w:ascii="Times New Roman" w:hAnsi="Times New Roman" w:cs="Times New Roman"/>
          <w:b/>
          <w:bCs/>
          <w:sz w:val="24"/>
          <w:szCs w:val="24"/>
        </w:rPr>
        <w:t>4 Model Estimation</w:t>
      </w:r>
    </w:p>
    <w:p w14:paraId="72196A2F" w14:textId="4A8946D0" w:rsidR="009A1B14" w:rsidRPr="00BA036B" w:rsidRDefault="00BA036B" w:rsidP="00BA036B">
      <w:pPr>
        <w:spacing w:line="360" w:lineRule="auto"/>
        <w:rPr>
          <w:rFonts w:asciiTheme="majorBidi" w:hAnsiTheme="majorBidi" w:cstheme="majorBidi"/>
          <w:sz w:val="24"/>
          <w:szCs w:val="24"/>
        </w:rPr>
      </w:pPr>
      <w:r w:rsidRPr="00BA036B">
        <w:rPr>
          <w:rFonts w:asciiTheme="majorBidi" w:hAnsiTheme="majorBidi" w:cstheme="majorBidi"/>
          <w:sz w:val="24"/>
          <w:szCs w:val="24"/>
        </w:rPr>
        <w:t>Given the evidence that the variables are cointegrated, we applied a general-to-specific approach to estimate the Error Correction Model (ECM).</w:t>
      </w:r>
      <w:r w:rsidR="005F7D00">
        <w:rPr>
          <w:rFonts w:asciiTheme="majorBidi" w:hAnsiTheme="majorBidi" w:cstheme="majorBidi"/>
          <w:sz w:val="24"/>
          <w:szCs w:val="24"/>
        </w:rPr>
        <w:t xml:space="preserve"> </w:t>
      </w:r>
      <w:r w:rsidR="009A1B14" w:rsidRPr="00BA036B">
        <w:rPr>
          <w:rFonts w:asciiTheme="majorBidi" w:hAnsiTheme="majorBidi" w:cstheme="majorBidi"/>
          <w:sz w:val="24"/>
          <w:szCs w:val="24"/>
        </w:rPr>
        <w:t>The summar</w:t>
      </w:r>
      <w:r>
        <w:rPr>
          <w:rFonts w:asciiTheme="majorBidi" w:hAnsiTheme="majorBidi" w:cstheme="majorBidi"/>
          <w:sz w:val="24"/>
          <w:szCs w:val="24"/>
        </w:rPr>
        <w:t>i</w:t>
      </w:r>
      <w:r w:rsidR="00E92BE8">
        <w:rPr>
          <w:rFonts w:asciiTheme="majorBidi" w:hAnsiTheme="majorBidi" w:cstheme="majorBidi"/>
          <w:sz w:val="24"/>
          <w:szCs w:val="24"/>
        </w:rPr>
        <w:t>sed</w:t>
      </w:r>
      <w:r w:rsidR="009A1B14" w:rsidRPr="00BA036B">
        <w:rPr>
          <w:rFonts w:asciiTheme="majorBidi" w:hAnsiTheme="majorBidi" w:cstheme="majorBidi"/>
          <w:sz w:val="24"/>
          <w:szCs w:val="24"/>
        </w:rPr>
        <w:t xml:space="preserve"> estimated parsimonious ECM is presented in Table 4.</w:t>
      </w:r>
    </w:p>
    <w:p w14:paraId="540B7DFE" w14:textId="77777777"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4: Parsimonious ECM</w:t>
      </w:r>
    </w:p>
    <w:tbl>
      <w:tblPr>
        <w:tblStyle w:val="TableGrid"/>
        <w:tblW w:w="9918" w:type="dxa"/>
        <w:tblLayout w:type="fixed"/>
        <w:tblLook w:val="0000" w:firstRow="0" w:lastRow="0" w:firstColumn="0" w:lastColumn="0" w:noHBand="0" w:noVBand="0"/>
      </w:tblPr>
      <w:tblGrid>
        <w:gridCol w:w="2686"/>
        <w:gridCol w:w="3546"/>
        <w:gridCol w:w="2268"/>
        <w:gridCol w:w="1418"/>
      </w:tblGrid>
      <w:tr w:rsidR="00547CC3" w:rsidRPr="005D664C" w14:paraId="131AE798" w14:textId="77777777" w:rsidTr="00BD1D8A">
        <w:trPr>
          <w:trHeight w:val="225"/>
        </w:trPr>
        <w:tc>
          <w:tcPr>
            <w:tcW w:w="6232" w:type="dxa"/>
            <w:gridSpan w:val="2"/>
          </w:tcPr>
          <w:p w14:paraId="57ED48EC" w14:textId="345ACB91" w:rsidR="00547CC3" w:rsidRPr="005D664C" w:rsidRDefault="00547CC3" w:rsidP="00B00A45">
            <w:pPr>
              <w:autoSpaceDE w:val="0"/>
              <w:autoSpaceDN w:val="0"/>
              <w:adjustRightInd w:val="0"/>
              <w:rPr>
                <w:rFonts w:ascii="Times New Roman" w:hAnsi="Times New Roman" w:cs="Times New Roman"/>
                <w:color w:val="000000"/>
                <w:sz w:val="24"/>
                <w:szCs w:val="24"/>
              </w:rPr>
            </w:pPr>
            <w:bookmarkStart w:id="2" w:name="_Hlk158862449"/>
            <w:r w:rsidRPr="005D664C">
              <w:rPr>
                <w:rFonts w:ascii="Times New Roman" w:hAnsi="Times New Roman" w:cs="Times New Roman"/>
                <w:color w:val="000000"/>
                <w:sz w:val="24"/>
                <w:szCs w:val="24"/>
              </w:rPr>
              <w:t>Dependent Variable: D(</w:t>
            </w:r>
            <w:r>
              <w:rPr>
                <w:rFonts w:ascii="Times New Roman" w:hAnsi="Times New Roman" w:cs="Times New Roman"/>
                <w:color w:val="000000"/>
                <w:sz w:val="24"/>
                <w:szCs w:val="24"/>
              </w:rPr>
              <w:t>EXDS</w:t>
            </w:r>
            <w:r w:rsidRPr="005D664C">
              <w:rPr>
                <w:rFonts w:ascii="Times New Roman" w:hAnsi="Times New Roman" w:cs="Times New Roman"/>
                <w:color w:val="000000"/>
                <w:sz w:val="24"/>
                <w:szCs w:val="24"/>
              </w:rPr>
              <w:t>)</w:t>
            </w:r>
          </w:p>
        </w:tc>
        <w:tc>
          <w:tcPr>
            <w:tcW w:w="2268" w:type="dxa"/>
          </w:tcPr>
          <w:p w14:paraId="451362CC" w14:textId="1733877E"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c>
          <w:tcPr>
            <w:tcW w:w="1418" w:type="dxa"/>
          </w:tcPr>
          <w:p w14:paraId="13C1F684" w14:textId="77777777"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r>
      <w:tr w:rsidR="00547CC3" w:rsidRPr="005D664C" w14:paraId="203A1452" w14:textId="77777777" w:rsidTr="00BD1D8A">
        <w:trPr>
          <w:trHeight w:val="225"/>
        </w:trPr>
        <w:tc>
          <w:tcPr>
            <w:tcW w:w="6232" w:type="dxa"/>
            <w:gridSpan w:val="2"/>
          </w:tcPr>
          <w:p w14:paraId="0A336A32"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Method: Least Squares</w:t>
            </w:r>
          </w:p>
        </w:tc>
        <w:tc>
          <w:tcPr>
            <w:tcW w:w="2268" w:type="dxa"/>
          </w:tcPr>
          <w:p w14:paraId="717DA793" w14:textId="6E1FAE59"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c>
          <w:tcPr>
            <w:tcW w:w="1418" w:type="dxa"/>
          </w:tcPr>
          <w:p w14:paraId="7C92A111" w14:textId="77777777"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r>
      <w:tr w:rsidR="00547CC3" w:rsidRPr="005D664C" w14:paraId="1EBD9C2E" w14:textId="77777777" w:rsidTr="00BD1D8A">
        <w:trPr>
          <w:trHeight w:val="225"/>
        </w:trPr>
        <w:tc>
          <w:tcPr>
            <w:tcW w:w="2686" w:type="dxa"/>
          </w:tcPr>
          <w:p w14:paraId="6F2A4D1A"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Variable</w:t>
            </w:r>
          </w:p>
        </w:tc>
        <w:tc>
          <w:tcPr>
            <w:tcW w:w="3546" w:type="dxa"/>
          </w:tcPr>
          <w:p w14:paraId="44DCCAF1"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Coefficient</w:t>
            </w:r>
          </w:p>
        </w:tc>
        <w:tc>
          <w:tcPr>
            <w:tcW w:w="2268" w:type="dxa"/>
          </w:tcPr>
          <w:p w14:paraId="092321F8"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t-Statistic</w:t>
            </w:r>
          </w:p>
        </w:tc>
        <w:tc>
          <w:tcPr>
            <w:tcW w:w="1418" w:type="dxa"/>
          </w:tcPr>
          <w:p w14:paraId="23DADF84"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Prob.</w:t>
            </w:r>
          </w:p>
        </w:tc>
      </w:tr>
      <w:tr w:rsidR="00547CC3" w:rsidRPr="005D664C" w14:paraId="60001E74" w14:textId="77777777" w:rsidTr="00BD1D8A">
        <w:trPr>
          <w:trHeight w:val="225"/>
        </w:trPr>
        <w:tc>
          <w:tcPr>
            <w:tcW w:w="2686" w:type="dxa"/>
          </w:tcPr>
          <w:p w14:paraId="6B1D404A"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C</w:t>
            </w:r>
          </w:p>
        </w:tc>
        <w:tc>
          <w:tcPr>
            <w:tcW w:w="3546" w:type="dxa"/>
          </w:tcPr>
          <w:p w14:paraId="5C383DD5" w14:textId="79D163D9"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BD1D8A">
              <w:rPr>
                <w:rFonts w:ascii="Times New Roman" w:hAnsi="Times New Roman" w:cs="Times New Roman"/>
                <w:color w:val="000000"/>
                <w:sz w:val="24"/>
                <w:szCs w:val="24"/>
              </w:rPr>
              <w:t>1</w:t>
            </w:r>
            <w:r w:rsidRPr="005D664C">
              <w:rPr>
                <w:rFonts w:ascii="Times New Roman" w:hAnsi="Times New Roman" w:cs="Times New Roman"/>
                <w:color w:val="000000"/>
                <w:sz w:val="24"/>
                <w:szCs w:val="24"/>
              </w:rPr>
              <w:t>3</w:t>
            </w:r>
            <w:r w:rsidR="00A62B0F">
              <w:rPr>
                <w:rFonts w:ascii="Times New Roman" w:hAnsi="Times New Roman" w:cs="Times New Roman"/>
                <w:color w:val="000000"/>
                <w:sz w:val="24"/>
                <w:szCs w:val="24"/>
              </w:rPr>
              <w:t>6</w:t>
            </w:r>
          </w:p>
        </w:tc>
        <w:tc>
          <w:tcPr>
            <w:tcW w:w="2268" w:type="dxa"/>
          </w:tcPr>
          <w:p w14:paraId="131A85BD" w14:textId="2BFCD8B1" w:rsidR="00547CC3" w:rsidRPr="005D664C" w:rsidRDefault="00A62B0F"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547CC3" w:rsidRPr="005D664C">
              <w:rPr>
                <w:rFonts w:ascii="Times New Roman" w:hAnsi="Times New Roman" w:cs="Times New Roman"/>
                <w:color w:val="000000"/>
                <w:sz w:val="24"/>
                <w:szCs w:val="24"/>
              </w:rPr>
              <w:t>.</w:t>
            </w:r>
            <w:r>
              <w:rPr>
                <w:rFonts w:ascii="Times New Roman" w:hAnsi="Times New Roman" w:cs="Times New Roman"/>
                <w:color w:val="000000"/>
                <w:sz w:val="24"/>
                <w:szCs w:val="24"/>
              </w:rPr>
              <w:t>0491</w:t>
            </w:r>
          </w:p>
        </w:tc>
        <w:tc>
          <w:tcPr>
            <w:tcW w:w="1418" w:type="dxa"/>
          </w:tcPr>
          <w:p w14:paraId="7B895EA0" w14:textId="2F64ACBD"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5E0B30">
              <w:rPr>
                <w:rFonts w:ascii="Times New Roman" w:hAnsi="Times New Roman" w:cs="Times New Roman"/>
                <w:color w:val="000000"/>
                <w:sz w:val="24"/>
                <w:szCs w:val="24"/>
              </w:rPr>
              <w:t>21</w:t>
            </w:r>
            <w:r w:rsidRPr="005D664C">
              <w:rPr>
                <w:rFonts w:ascii="Times New Roman" w:hAnsi="Times New Roman" w:cs="Times New Roman"/>
                <w:color w:val="000000"/>
                <w:sz w:val="24"/>
                <w:szCs w:val="24"/>
              </w:rPr>
              <w:t>88</w:t>
            </w:r>
          </w:p>
        </w:tc>
      </w:tr>
      <w:tr w:rsidR="00547CC3" w:rsidRPr="005D664C" w14:paraId="7422928C" w14:textId="77777777" w:rsidTr="00BD1D8A">
        <w:trPr>
          <w:trHeight w:val="225"/>
        </w:trPr>
        <w:tc>
          <w:tcPr>
            <w:tcW w:w="2686" w:type="dxa"/>
          </w:tcPr>
          <w:p w14:paraId="7F9D2B91" w14:textId="23DFF9CC"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w:t>
            </w:r>
            <w:r>
              <w:rPr>
                <w:rFonts w:ascii="Times New Roman" w:hAnsi="Times New Roman" w:cs="Times New Roman"/>
                <w:color w:val="000000"/>
                <w:sz w:val="24"/>
                <w:szCs w:val="24"/>
              </w:rPr>
              <w:t>EXDS</w:t>
            </w:r>
            <w:r w:rsidRPr="005D664C">
              <w:rPr>
                <w:rFonts w:ascii="Times New Roman" w:hAnsi="Times New Roman" w:cs="Times New Roman"/>
                <w:color w:val="000000"/>
                <w:sz w:val="24"/>
                <w:szCs w:val="24"/>
              </w:rPr>
              <w:t>(-1))</w:t>
            </w:r>
          </w:p>
        </w:tc>
        <w:tc>
          <w:tcPr>
            <w:tcW w:w="3546" w:type="dxa"/>
          </w:tcPr>
          <w:p w14:paraId="4B9D5B4D" w14:textId="0B5B073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5E0B30">
              <w:rPr>
                <w:rFonts w:ascii="Times New Roman" w:hAnsi="Times New Roman" w:cs="Times New Roman"/>
                <w:color w:val="000000"/>
                <w:sz w:val="24"/>
                <w:szCs w:val="24"/>
              </w:rPr>
              <w:t>418</w:t>
            </w:r>
            <w:r w:rsidR="00A931FE">
              <w:rPr>
                <w:rFonts w:ascii="Times New Roman" w:hAnsi="Times New Roman" w:cs="Times New Roman"/>
                <w:color w:val="000000"/>
                <w:sz w:val="24"/>
                <w:szCs w:val="24"/>
              </w:rPr>
              <w:t>**</w:t>
            </w:r>
            <w:r w:rsidR="00D27E96">
              <w:rPr>
                <w:rFonts w:ascii="Times New Roman" w:hAnsi="Times New Roman" w:cs="Times New Roman"/>
                <w:color w:val="000000"/>
                <w:sz w:val="24"/>
                <w:szCs w:val="24"/>
              </w:rPr>
              <w:t>*</w:t>
            </w:r>
          </w:p>
        </w:tc>
        <w:tc>
          <w:tcPr>
            <w:tcW w:w="2268" w:type="dxa"/>
          </w:tcPr>
          <w:p w14:paraId="02D9D734" w14:textId="5F36C21B" w:rsidR="00547CC3" w:rsidRPr="005D664C" w:rsidRDefault="00A931FE"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547CC3" w:rsidRPr="005D664C">
              <w:rPr>
                <w:rFonts w:ascii="Times New Roman" w:hAnsi="Times New Roman" w:cs="Times New Roman"/>
                <w:color w:val="000000"/>
                <w:sz w:val="24"/>
                <w:szCs w:val="24"/>
              </w:rPr>
              <w:t>.51</w:t>
            </w:r>
            <w:r>
              <w:rPr>
                <w:rFonts w:ascii="Times New Roman" w:hAnsi="Times New Roman" w:cs="Times New Roman"/>
                <w:color w:val="000000"/>
                <w:sz w:val="24"/>
                <w:szCs w:val="24"/>
              </w:rPr>
              <w:t>8</w:t>
            </w:r>
          </w:p>
        </w:tc>
        <w:tc>
          <w:tcPr>
            <w:tcW w:w="1418" w:type="dxa"/>
          </w:tcPr>
          <w:p w14:paraId="7A218CC6" w14:textId="6474FA30"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A931FE">
              <w:rPr>
                <w:rFonts w:ascii="Times New Roman" w:hAnsi="Times New Roman" w:cs="Times New Roman"/>
                <w:color w:val="000000"/>
                <w:sz w:val="24"/>
                <w:szCs w:val="24"/>
              </w:rPr>
              <w:t>00</w:t>
            </w:r>
            <w:r w:rsidRPr="005D664C">
              <w:rPr>
                <w:rFonts w:ascii="Times New Roman" w:hAnsi="Times New Roman" w:cs="Times New Roman"/>
                <w:color w:val="000000"/>
                <w:sz w:val="24"/>
                <w:szCs w:val="24"/>
              </w:rPr>
              <w:t>2</w:t>
            </w:r>
            <w:r w:rsidR="00A931FE">
              <w:rPr>
                <w:rFonts w:ascii="Times New Roman" w:hAnsi="Times New Roman" w:cs="Times New Roman"/>
                <w:color w:val="000000"/>
                <w:sz w:val="24"/>
                <w:szCs w:val="24"/>
              </w:rPr>
              <w:t>6</w:t>
            </w:r>
          </w:p>
        </w:tc>
      </w:tr>
      <w:tr w:rsidR="00547CC3" w:rsidRPr="005D664C" w14:paraId="5CB1EFCA" w14:textId="77777777" w:rsidTr="00BD1D8A">
        <w:trPr>
          <w:trHeight w:val="225"/>
        </w:trPr>
        <w:tc>
          <w:tcPr>
            <w:tcW w:w="2686" w:type="dxa"/>
          </w:tcPr>
          <w:p w14:paraId="6D5CF71F"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DLOG(BCP)</w:t>
            </w:r>
          </w:p>
        </w:tc>
        <w:tc>
          <w:tcPr>
            <w:tcW w:w="3546" w:type="dxa"/>
          </w:tcPr>
          <w:p w14:paraId="2281609E" w14:textId="035DE765"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CD4D3C">
              <w:rPr>
                <w:rFonts w:ascii="Times New Roman" w:hAnsi="Times New Roman" w:cs="Times New Roman"/>
                <w:color w:val="000000"/>
                <w:sz w:val="24"/>
                <w:szCs w:val="24"/>
              </w:rPr>
              <w:t>0</w:t>
            </w:r>
            <w:r w:rsidR="00E85F43">
              <w:rPr>
                <w:rFonts w:ascii="Times New Roman" w:hAnsi="Times New Roman" w:cs="Times New Roman"/>
                <w:color w:val="000000"/>
                <w:sz w:val="24"/>
                <w:szCs w:val="24"/>
              </w:rPr>
              <w:t>1</w:t>
            </w:r>
            <w:r w:rsidRPr="005D664C">
              <w:rPr>
                <w:rFonts w:ascii="Times New Roman" w:hAnsi="Times New Roman" w:cs="Times New Roman"/>
                <w:color w:val="000000"/>
                <w:sz w:val="24"/>
                <w:szCs w:val="24"/>
              </w:rPr>
              <w:t>6</w:t>
            </w:r>
            <w:r>
              <w:rPr>
                <w:rFonts w:ascii="Times New Roman" w:hAnsi="Times New Roman" w:cs="Times New Roman"/>
                <w:color w:val="000000"/>
                <w:sz w:val="24"/>
                <w:szCs w:val="24"/>
              </w:rPr>
              <w:t>**</w:t>
            </w:r>
            <w:r w:rsidR="00E85F43">
              <w:rPr>
                <w:rFonts w:ascii="Times New Roman" w:hAnsi="Times New Roman" w:cs="Times New Roman"/>
                <w:color w:val="000000"/>
                <w:sz w:val="24"/>
                <w:szCs w:val="24"/>
              </w:rPr>
              <w:t>*</w:t>
            </w:r>
          </w:p>
        </w:tc>
        <w:tc>
          <w:tcPr>
            <w:tcW w:w="2268" w:type="dxa"/>
          </w:tcPr>
          <w:p w14:paraId="19F9D8F6" w14:textId="1BD8A2AC" w:rsidR="00547CC3" w:rsidRPr="005D664C" w:rsidRDefault="00E85F43"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547CC3" w:rsidRPr="005D664C">
              <w:rPr>
                <w:rFonts w:ascii="Times New Roman" w:hAnsi="Times New Roman" w:cs="Times New Roman"/>
                <w:color w:val="000000"/>
                <w:sz w:val="24"/>
                <w:szCs w:val="24"/>
              </w:rPr>
              <w:t>.</w:t>
            </w:r>
            <w:r>
              <w:rPr>
                <w:rFonts w:ascii="Times New Roman" w:hAnsi="Times New Roman" w:cs="Times New Roman"/>
                <w:color w:val="000000"/>
                <w:sz w:val="24"/>
                <w:szCs w:val="24"/>
              </w:rPr>
              <w:t>17</w:t>
            </w:r>
            <w:r w:rsidR="00547CC3" w:rsidRPr="005D664C">
              <w:rPr>
                <w:rFonts w:ascii="Times New Roman" w:hAnsi="Times New Roman" w:cs="Times New Roman"/>
                <w:color w:val="000000"/>
                <w:sz w:val="24"/>
                <w:szCs w:val="24"/>
              </w:rPr>
              <w:t>2</w:t>
            </w:r>
          </w:p>
        </w:tc>
        <w:tc>
          <w:tcPr>
            <w:tcW w:w="1418" w:type="dxa"/>
          </w:tcPr>
          <w:p w14:paraId="21052039" w14:textId="58193510"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E85F43">
              <w:rPr>
                <w:rFonts w:ascii="Times New Roman" w:hAnsi="Times New Roman" w:cs="Times New Roman"/>
                <w:color w:val="000000"/>
                <w:sz w:val="24"/>
                <w:szCs w:val="24"/>
              </w:rPr>
              <w:t>00</w:t>
            </w:r>
            <w:r w:rsidR="00256902">
              <w:rPr>
                <w:rFonts w:ascii="Times New Roman" w:hAnsi="Times New Roman" w:cs="Times New Roman"/>
                <w:color w:val="000000"/>
                <w:sz w:val="24"/>
                <w:szCs w:val="24"/>
              </w:rPr>
              <w:t>1</w:t>
            </w:r>
          </w:p>
        </w:tc>
      </w:tr>
      <w:tr w:rsidR="00547CC3" w:rsidRPr="005D664C" w14:paraId="1C350EE0" w14:textId="77777777" w:rsidTr="00BD1D8A">
        <w:trPr>
          <w:trHeight w:val="225"/>
        </w:trPr>
        <w:tc>
          <w:tcPr>
            <w:tcW w:w="2686" w:type="dxa"/>
          </w:tcPr>
          <w:p w14:paraId="3149045B"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DLOG(BCP(-1))</w:t>
            </w:r>
          </w:p>
        </w:tc>
        <w:tc>
          <w:tcPr>
            <w:tcW w:w="3546" w:type="dxa"/>
          </w:tcPr>
          <w:p w14:paraId="5938E715" w14:textId="6E07C3DA"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256902">
              <w:rPr>
                <w:rFonts w:ascii="Times New Roman" w:hAnsi="Times New Roman" w:cs="Times New Roman"/>
                <w:color w:val="000000"/>
                <w:sz w:val="24"/>
                <w:szCs w:val="24"/>
              </w:rPr>
              <w:t>14</w:t>
            </w:r>
          </w:p>
        </w:tc>
        <w:tc>
          <w:tcPr>
            <w:tcW w:w="2268" w:type="dxa"/>
          </w:tcPr>
          <w:p w14:paraId="38F54FC9" w14:textId="70526B2D"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1.367</w:t>
            </w:r>
          </w:p>
        </w:tc>
        <w:tc>
          <w:tcPr>
            <w:tcW w:w="1418" w:type="dxa"/>
          </w:tcPr>
          <w:p w14:paraId="360295AE" w14:textId="61E4A628"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7F03B9">
              <w:rPr>
                <w:rFonts w:ascii="Times New Roman" w:hAnsi="Times New Roman" w:cs="Times New Roman"/>
                <w:color w:val="000000"/>
                <w:sz w:val="24"/>
                <w:szCs w:val="24"/>
              </w:rPr>
              <w:t>7</w:t>
            </w:r>
            <w:r w:rsidRPr="005D664C">
              <w:rPr>
                <w:rFonts w:ascii="Times New Roman" w:hAnsi="Times New Roman" w:cs="Times New Roman"/>
                <w:color w:val="000000"/>
                <w:sz w:val="24"/>
                <w:szCs w:val="24"/>
              </w:rPr>
              <w:t>408</w:t>
            </w:r>
          </w:p>
        </w:tc>
      </w:tr>
      <w:tr w:rsidR="00547CC3" w:rsidRPr="005D664C" w14:paraId="4CF05F8D" w14:textId="77777777" w:rsidTr="00BD1D8A">
        <w:trPr>
          <w:trHeight w:val="225"/>
        </w:trPr>
        <w:tc>
          <w:tcPr>
            <w:tcW w:w="2686" w:type="dxa"/>
          </w:tcPr>
          <w:p w14:paraId="5ECCC5A0"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DLOG(WTI(-1))</w:t>
            </w:r>
          </w:p>
        </w:tc>
        <w:tc>
          <w:tcPr>
            <w:tcW w:w="3546" w:type="dxa"/>
          </w:tcPr>
          <w:p w14:paraId="70C67273" w14:textId="25C13B13"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C852D9">
              <w:rPr>
                <w:rFonts w:ascii="Times New Roman" w:hAnsi="Times New Roman" w:cs="Times New Roman"/>
                <w:color w:val="000000"/>
                <w:sz w:val="24"/>
                <w:szCs w:val="24"/>
              </w:rPr>
              <w:t>51</w:t>
            </w:r>
          </w:p>
        </w:tc>
        <w:tc>
          <w:tcPr>
            <w:tcW w:w="2268" w:type="dxa"/>
          </w:tcPr>
          <w:p w14:paraId="0AEFA248" w14:textId="40458E84"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1.</w:t>
            </w:r>
            <w:r w:rsidR="00C852D9">
              <w:rPr>
                <w:rFonts w:ascii="Times New Roman" w:hAnsi="Times New Roman" w:cs="Times New Roman"/>
                <w:color w:val="000000"/>
                <w:sz w:val="24"/>
                <w:szCs w:val="24"/>
              </w:rPr>
              <w:t>802</w:t>
            </w:r>
          </w:p>
        </w:tc>
        <w:tc>
          <w:tcPr>
            <w:tcW w:w="1418" w:type="dxa"/>
          </w:tcPr>
          <w:p w14:paraId="263150AA" w14:textId="2D746F1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666262">
              <w:rPr>
                <w:rFonts w:ascii="Times New Roman" w:hAnsi="Times New Roman" w:cs="Times New Roman"/>
                <w:color w:val="000000"/>
                <w:sz w:val="24"/>
                <w:szCs w:val="24"/>
              </w:rPr>
              <w:t>0941</w:t>
            </w:r>
          </w:p>
        </w:tc>
      </w:tr>
      <w:tr w:rsidR="00547CC3" w:rsidRPr="005D664C" w14:paraId="345589D9" w14:textId="77777777" w:rsidTr="00BD1D8A">
        <w:trPr>
          <w:trHeight w:val="225"/>
        </w:trPr>
        <w:tc>
          <w:tcPr>
            <w:tcW w:w="2686" w:type="dxa"/>
          </w:tcPr>
          <w:p w14:paraId="3C8E7D3D"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DLOG(EXH(-1))</w:t>
            </w:r>
          </w:p>
        </w:tc>
        <w:tc>
          <w:tcPr>
            <w:tcW w:w="3546" w:type="dxa"/>
          </w:tcPr>
          <w:p w14:paraId="41675EE8" w14:textId="0952D32C"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666262">
              <w:rPr>
                <w:rFonts w:ascii="Times New Roman" w:hAnsi="Times New Roman" w:cs="Times New Roman"/>
                <w:color w:val="000000"/>
                <w:sz w:val="24"/>
                <w:szCs w:val="24"/>
              </w:rPr>
              <w:t>0</w:t>
            </w:r>
            <w:r w:rsidR="00933519">
              <w:rPr>
                <w:rFonts w:ascii="Times New Roman" w:hAnsi="Times New Roman" w:cs="Times New Roman"/>
                <w:color w:val="000000"/>
                <w:sz w:val="24"/>
                <w:szCs w:val="24"/>
              </w:rPr>
              <w:t>91</w:t>
            </w:r>
            <w:r>
              <w:rPr>
                <w:rFonts w:ascii="Times New Roman" w:hAnsi="Times New Roman" w:cs="Times New Roman"/>
                <w:color w:val="000000"/>
                <w:sz w:val="24"/>
                <w:szCs w:val="24"/>
              </w:rPr>
              <w:t>**</w:t>
            </w:r>
            <w:r w:rsidR="00933519">
              <w:rPr>
                <w:rFonts w:ascii="Times New Roman" w:hAnsi="Times New Roman" w:cs="Times New Roman"/>
                <w:color w:val="000000"/>
                <w:sz w:val="24"/>
                <w:szCs w:val="24"/>
              </w:rPr>
              <w:t>*</w:t>
            </w:r>
          </w:p>
        </w:tc>
        <w:tc>
          <w:tcPr>
            <w:tcW w:w="2268" w:type="dxa"/>
          </w:tcPr>
          <w:p w14:paraId="5A5ABFAE" w14:textId="0AF403B6"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w:t>
            </w:r>
            <w:r w:rsidR="00933519">
              <w:rPr>
                <w:rFonts w:ascii="Times New Roman" w:hAnsi="Times New Roman" w:cs="Times New Roman"/>
                <w:color w:val="000000"/>
                <w:sz w:val="24"/>
                <w:szCs w:val="24"/>
              </w:rPr>
              <w:t>5</w:t>
            </w:r>
            <w:r w:rsidRPr="005D664C">
              <w:rPr>
                <w:rFonts w:ascii="Times New Roman" w:hAnsi="Times New Roman" w:cs="Times New Roman"/>
                <w:color w:val="000000"/>
                <w:sz w:val="24"/>
                <w:szCs w:val="24"/>
              </w:rPr>
              <w:t>.04</w:t>
            </w:r>
            <w:r w:rsidR="00933519">
              <w:rPr>
                <w:rFonts w:ascii="Times New Roman" w:hAnsi="Times New Roman" w:cs="Times New Roman"/>
                <w:color w:val="000000"/>
                <w:sz w:val="24"/>
                <w:szCs w:val="24"/>
              </w:rPr>
              <w:t>4</w:t>
            </w:r>
          </w:p>
        </w:tc>
        <w:tc>
          <w:tcPr>
            <w:tcW w:w="1418" w:type="dxa"/>
          </w:tcPr>
          <w:p w14:paraId="667868B3" w14:textId="2F667993"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933519">
              <w:rPr>
                <w:rFonts w:ascii="Times New Roman" w:hAnsi="Times New Roman" w:cs="Times New Roman"/>
                <w:color w:val="000000"/>
                <w:sz w:val="24"/>
                <w:szCs w:val="24"/>
              </w:rPr>
              <w:t>00</w:t>
            </w:r>
            <w:r w:rsidRPr="005D664C">
              <w:rPr>
                <w:rFonts w:ascii="Times New Roman" w:hAnsi="Times New Roman" w:cs="Times New Roman"/>
                <w:color w:val="000000"/>
                <w:sz w:val="24"/>
                <w:szCs w:val="24"/>
              </w:rPr>
              <w:t>0</w:t>
            </w:r>
          </w:p>
        </w:tc>
      </w:tr>
      <w:tr w:rsidR="00547CC3" w:rsidRPr="005D664C" w14:paraId="752ADD0A" w14:textId="77777777" w:rsidTr="00BD1D8A">
        <w:trPr>
          <w:trHeight w:val="225"/>
        </w:trPr>
        <w:tc>
          <w:tcPr>
            <w:tcW w:w="2686" w:type="dxa"/>
          </w:tcPr>
          <w:p w14:paraId="5096161C"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ECT(-1)</w:t>
            </w:r>
          </w:p>
        </w:tc>
        <w:tc>
          <w:tcPr>
            <w:tcW w:w="3546" w:type="dxa"/>
          </w:tcPr>
          <w:p w14:paraId="28DB0691" w14:textId="5F52B042" w:rsidR="00547CC3" w:rsidRPr="0072235E" w:rsidRDefault="00547CC3" w:rsidP="00B00A45">
            <w:pPr>
              <w:autoSpaceDE w:val="0"/>
              <w:autoSpaceDN w:val="0"/>
              <w:adjustRightInd w:val="0"/>
              <w:ind w:right="10"/>
              <w:jc w:val="center"/>
              <w:rPr>
                <w:rFonts w:ascii="Times New Roman" w:hAnsi="Times New Roman" w:cs="Times New Roman"/>
                <w:color w:val="000000"/>
                <w:sz w:val="24"/>
                <w:szCs w:val="24"/>
                <w:lang w:val="en-GB"/>
              </w:rPr>
            </w:pPr>
            <w:r w:rsidRPr="005D664C">
              <w:rPr>
                <w:rFonts w:ascii="Times New Roman" w:hAnsi="Times New Roman" w:cs="Times New Roman"/>
                <w:color w:val="000000"/>
                <w:sz w:val="24"/>
                <w:szCs w:val="24"/>
              </w:rPr>
              <w:t>-0.</w:t>
            </w:r>
            <w:r w:rsidR="004B1021">
              <w:rPr>
                <w:rFonts w:ascii="Times New Roman" w:hAnsi="Times New Roman" w:cs="Times New Roman"/>
                <w:color w:val="000000"/>
                <w:sz w:val="24"/>
                <w:szCs w:val="24"/>
              </w:rPr>
              <w:t>8</w:t>
            </w:r>
            <w:r w:rsidRPr="005D664C">
              <w:rPr>
                <w:rFonts w:ascii="Times New Roman" w:hAnsi="Times New Roman" w:cs="Times New Roman"/>
                <w:color w:val="000000"/>
                <w:sz w:val="24"/>
                <w:szCs w:val="24"/>
              </w:rPr>
              <w:t>7</w:t>
            </w:r>
            <w:r w:rsidR="004B102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2268" w:type="dxa"/>
          </w:tcPr>
          <w:p w14:paraId="56C99942" w14:textId="3E930E8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w:t>
            </w:r>
            <w:r w:rsidR="004B1021">
              <w:rPr>
                <w:rFonts w:ascii="Times New Roman" w:hAnsi="Times New Roman" w:cs="Times New Roman"/>
                <w:color w:val="000000"/>
                <w:sz w:val="24"/>
                <w:szCs w:val="24"/>
              </w:rPr>
              <w:t>2.</w:t>
            </w:r>
            <w:r w:rsidR="001701B2">
              <w:rPr>
                <w:rFonts w:ascii="Times New Roman" w:hAnsi="Times New Roman" w:cs="Times New Roman"/>
                <w:color w:val="000000"/>
                <w:sz w:val="24"/>
                <w:szCs w:val="24"/>
              </w:rPr>
              <w:t>189</w:t>
            </w:r>
          </w:p>
        </w:tc>
        <w:tc>
          <w:tcPr>
            <w:tcW w:w="1418" w:type="dxa"/>
          </w:tcPr>
          <w:p w14:paraId="0F095C69" w14:textId="07F8654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01B2">
              <w:rPr>
                <w:rFonts w:ascii="Times New Roman" w:hAnsi="Times New Roman" w:cs="Times New Roman"/>
                <w:color w:val="000000"/>
                <w:sz w:val="24"/>
                <w:szCs w:val="24"/>
              </w:rPr>
              <w:t>21</w:t>
            </w:r>
            <w:r w:rsidRPr="005D664C">
              <w:rPr>
                <w:rFonts w:ascii="Times New Roman" w:hAnsi="Times New Roman" w:cs="Times New Roman"/>
                <w:color w:val="000000"/>
                <w:sz w:val="24"/>
                <w:szCs w:val="24"/>
              </w:rPr>
              <w:t>4</w:t>
            </w:r>
          </w:p>
        </w:tc>
      </w:tr>
      <w:tr w:rsidR="00547CC3" w:rsidRPr="005D664C" w14:paraId="574752A1" w14:textId="77777777" w:rsidTr="00BD1D8A">
        <w:trPr>
          <w:trHeight w:val="225"/>
        </w:trPr>
        <w:tc>
          <w:tcPr>
            <w:tcW w:w="2686" w:type="dxa"/>
          </w:tcPr>
          <w:p w14:paraId="086ED1FB"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R-squared</w:t>
            </w:r>
          </w:p>
        </w:tc>
        <w:tc>
          <w:tcPr>
            <w:tcW w:w="3546" w:type="dxa"/>
          </w:tcPr>
          <w:p w14:paraId="1E7A3BB7" w14:textId="2E8CADDE"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72235E">
              <w:rPr>
                <w:rFonts w:ascii="Times New Roman" w:hAnsi="Times New Roman" w:cs="Times New Roman"/>
                <w:color w:val="000000"/>
                <w:sz w:val="24"/>
                <w:szCs w:val="24"/>
              </w:rPr>
              <w:t>71</w:t>
            </w:r>
            <w:r w:rsidR="00CB00E6">
              <w:rPr>
                <w:rFonts w:ascii="Times New Roman" w:hAnsi="Times New Roman" w:cs="Times New Roman"/>
                <w:color w:val="000000"/>
                <w:sz w:val="24"/>
                <w:szCs w:val="24"/>
              </w:rPr>
              <w:t>5</w:t>
            </w:r>
          </w:p>
        </w:tc>
        <w:tc>
          <w:tcPr>
            <w:tcW w:w="2268" w:type="dxa"/>
          </w:tcPr>
          <w:p w14:paraId="14008037" w14:textId="77777777" w:rsidR="00547CC3" w:rsidRDefault="00547CC3" w:rsidP="00B00A45">
            <w:pPr>
              <w:autoSpaceDE w:val="0"/>
              <w:autoSpaceDN w:val="0"/>
              <w:adjustRightInd w:val="0"/>
              <w:ind w:left="112"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 xml:space="preserve">Mean dependent </w:t>
            </w:r>
          </w:p>
          <w:p w14:paraId="3A1BAB71" w14:textId="63432EE0" w:rsidR="00547CC3" w:rsidRPr="005D664C" w:rsidRDefault="0072235E"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V</w:t>
            </w:r>
            <w:r w:rsidR="00547CC3" w:rsidRPr="005D664C">
              <w:rPr>
                <w:rFonts w:ascii="Times New Roman" w:hAnsi="Times New Roman" w:cs="Times New Roman"/>
                <w:color w:val="000000"/>
                <w:sz w:val="24"/>
                <w:szCs w:val="24"/>
              </w:rPr>
              <w:t>ar</w:t>
            </w:r>
          </w:p>
        </w:tc>
        <w:tc>
          <w:tcPr>
            <w:tcW w:w="1418" w:type="dxa"/>
          </w:tcPr>
          <w:p w14:paraId="1E44FA69" w14:textId="47D196A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315D">
              <w:rPr>
                <w:rFonts w:ascii="Times New Roman" w:hAnsi="Times New Roman" w:cs="Times New Roman"/>
                <w:color w:val="000000"/>
                <w:sz w:val="24"/>
                <w:szCs w:val="24"/>
              </w:rPr>
              <w:t>0124</w:t>
            </w:r>
          </w:p>
        </w:tc>
      </w:tr>
      <w:tr w:rsidR="00547CC3" w:rsidRPr="005D664C" w14:paraId="2A43CCF8" w14:textId="77777777" w:rsidTr="00BD1D8A">
        <w:trPr>
          <w:trHeight w:val="225"/>
        </w:trPr>
        <w:tc>
          <w:tcPr>
            <w:tcW w:w="2686" w:type="dxa"/>
          </w:tcPr>
          <w:p w14:paraId="6639C513"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Adjusted R-squared</w:t>
            </w:r>
          </w:p>
        </w:tc>
        <w:tc>
          <w:tcPr>
            <w:tcW w:w="3546" w:type="dxa"/>
          </w:tcPr>
          <w:p w14:paraId="514A5AE5" w14:textId="21234AC9"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CB00E6">
              <w:rPr>
                <w:rFonts w:ascii="Times New Roman" w:hAnsi="Times New Roman" w:cs="Times New Roman"/>
                <w:color w:val="000000"/>
                <w:sz w:val="24"/>
                <w:szCs w:val="24"/>
              </w:rPr>
              <w:t>693</w:t>
            </w:r>
          </w:p>
        </w:tc>
        <w:tc>
          <w:tcPr>
            <w:tcW w:w="2268" w:type="dxa"/>
          </w:tcPr>
          <w:p w14:paraId="7C77D66A" w14:textId="77777777" w:rsidR="00547CC3" w:rsidRDefault="00547CC3" w:rsidP="00B00A45">
            <w:pPr>
              <w:autoSpaceDE w:val="0"/>
              <w:autoSpaceDN w:val="0"/>
              <w:adjustRightInd w:val="0"/>
              <w:ind w:left="232"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 xml:space="preserve">S.D. dependent </w:t>
            </w:r>
          </w:p>
          <w:p w14:paraId="74C5645F" w14:textId="3E9F3211" w:rsidR="00547CC3" w:rsidRPr="005D664C" w:rsidRDefault="0072235E"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V</w:t>
            </w:r>
            <w:r w:rsidR="00547CC3" w:rsidRPr="005D664C">
              <w:rPr>
                <w:rFonts w:ascii="Times New Roman" w:hAnsi="Times New Roman" w:cs="Times New Roman"/>
                <w:color w:val="000000"/>
                <w:sz w:val="24"/>
                <w:szCs w:val="24"/>
              </w:rPr>
              <w:t>ar</w:t>
            </w:r>
          </w:p>
        </w:tc>
        <w:tc>
          <w:tcPr>
            <w:tcW w:w="1418" w:type="dxa"/>
          </w:tcPr>
          <w:p w14:paraId="58E6D344" w14:textId="17934B1A"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315D">
              <w:rPr>
                <w:rFonts w:ascii="Times New Roman" w:hAnsi="Times New Roman" w:cs="Times New Roman"/>
                <w:color w:val="000000"/>
                <w:sz w:val="24"/>
                <w:szCs w:val="24"/>
              </w:rPr>
              <w:t>0145</w:t>
            </w:r>
          </w:p>
        </w:tc>
      </w:tr>
      <w:tr w:rsidR="00547CC3" w:rsidRPr="005D664C" w14:paraId="6ECFCBE7" w14:textId="77777777" w:rsidTr="00BD1D8A">
        <w:trPr>
          <w:trHeight w:val="225"/>
        </w:trPr>
        <w:tc>
          <w:tcPr>
            <w:tcW w:w="2686" w:type="dxa"/>
          </w:tcPr>
          <w:p w14:paraId="529C2806"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F-statistic</w:t>
            </w:r>
          </w:p>
        </w:tc>
        <w:tc>
          <w:tcPr>
            <w:tcW w:w="3546" w:type="dxa"/>
          </w:tcPr>
          <w:p w14:paraId="4BB859C7" w14:textId="0470B4D6" w:rsidR="00547CC3" w:rsidRPr="005D664C" w:rsidRDefault="00CB00E6"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547CC3" w:rsidRPr="005D664C">
              <w:rPr>
                <w:rFonts w:ascii="Times New Roman" w:hAnsi="Times New Roman" w:cs="Times New Roman"/>
                <w:color w:val="000000"/>
                <w:sz w:val="24"/>
                <w:szCs w:val="24"/>
              </w:rPr>
              <w:t>290</w:t>
            </w:r>
          </w:p>
        </w:tc>
        <w:tc>
          <w:tcPr>
            <w:tcW w:w="2268" w:type="dxa"/>
          </w:tcPr>
          <w:p w14:paraId="598FD0C0"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Durbin-Watson stat</w:t>
            </w:r>
          </w:p>
        </w:tc>
        <w:tc>
          <w:tcPr>
            <w:tcW w:w="1418" w:type="dxa"/>
          </w:tcPr>
          <w:p w14:paraId="429BD1E3" w14:textId="7E3CF38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2.</w:t>
            </w:r>
            <w:r w:rsidR="00CB00E6">
              <w:rPr>
                <w:rFonts w:ascii="Times New Roman" w:hAnsi="Times New Roman" w:cs="Times New Roman"/>
                <w:color w:val="000000"/>
                <w:sz w:val="24"/>
                <w:szCs w:val="24"/>
              </w:rPr>
              <w:t>1</w:t>
            </w:r>
            <w:r w:rsidR="0017315D">
              <w:rPr>
                <w:rFonts w:ascii="Times New Roman" w:hAnsi="Times New Roman" w:cs="Times New Roman"/>
                <w:color w:val="000000"/>
                <w:sz w:val="24"/>
                <w:szCs w:val="24"/>
              </w:rPr>
              <w:t>54</w:t>
            </w:r>
            <w:r w:rsidRPr="005D664C">
              <w:rPr>
                <w:rFonts w:ascii="Times New Roman" w:hAnsi="Times New Roman" w:cs="Times New Roman"/>
                <w:color w:val="000000"/>
                <w:sz w:val="24"/>
                <w:szCs w:val="24"/>
              </w:rPr>
              <w:t>2</w:t>
            </w:r>
          </w:p>
        </w:tc>
      </w:tr>
      <w:tr w:rsidR="00547CC3" w:rsidRPr="005D664C" w14:paraId="00BAF2D7" w14:textId="77777777" w:rsidTr="00BD1D8A">
        <w:trPr>
          <w:trHeight w:val="225"/>
        </w:trPr>
        <w:tc>
          <w:tcPr>
            <w:tcW w:w="2686" w:type="dxa"/>
          </w:tcPr>
          <w:p w14:paraId="34CE3FF9"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Prob(F-statistic)</w:t>
            </w:r>
          </w:p>
        </w:tc>
        <w:tc>
          <w:tcPr>
            <w:tcW w:w="3546" w:type="dxa"/>
          </w:tcPr>
          <w:p w14:paraId="67791264" w14:textId="6A617F85"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0.000</w:t>
            </w:r>
            <w:r w:rsidR="00CB00E6">
              <w:rPr>
                <w:rFonts w:ascii="Times New Roman" w:hAnsi="Times New Roman" w:cs="Times New Roman"/>
                <w:color w:val="000000"/>
                <w:sz w:val="24"/>
                <w:szCs w:val="24"/>
              </w:rPr>
              <w:t>042</w:t>
            </w:r>
          </w:p>
        </w:tc>
        <w:tc>
          <w:tcPr>
            <w:tcW w:w="2268" w:type="dxa"/>
          </w:tcPr>
          <w:p w14:paraId="25193A1D"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p>
        </w:tc>
        <w:tc>
          <w:tcPr>
            <w:tcW w:w="1418" w:type="dxa"/>
          </w:tcPr>
          <w:p w14:paraId="53D72BDF"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p>
        </w:tc>
      </w:tr>
    </w:tbl>
    <w:bookmarkEnd w:id="2"/>
    <w:p w14:paraId="6E9E6003" w14:textId="77777777" w:rsidR="00B00A45" w:rsidRDefault="00B00A45" w:rsidP="00B00A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7422B2E9" w14:textId="77777777" w:rsidR="009A1B14" w:rsidRDefault="009A1B14" w:rsidP="009A1B14">
      <w:pPr>
        <w:spacing w:after="0" w:line="360" w:lineRule="auto"/>
        <w:jc w:val="both"/>
        <w:rPr>
          <w:rFonts w:ascii="Times New Roman" w:hAnsi="Times New Roman" w:cs="Times New Roman"/>
          <w:b/>
        </w:rPr>
      </w:pPr>
      <w:r w:rsidRPr="00E35495">
        <w:rPr>
          <w:rFonts w:ascii="Times New Roman" w:hAnsi="Times New Roman" w:cs="Times New Roman"/>
          <w:b/>
        </w:rPr>
        <w:t xml:space="preserve">Note:  *, ** and *** denote Significant at 10%, 5% and 1% levels respectively </w:t>
      </w:r>
    </w:p>
    <w:p w14:paraId="72368795" w14:textId="2A35E132" w:rsidR="009A1B14" w:rsidRPr="009E05D6" w:rsidRDefault="00876524" w:rsidP="00D82597">
      <w:pPr>
        <w:spacing w:after="0" w:line="360" w:lineRule="auto"/>
        <w:jc w:val="both"/>
        <w:rPr>
          <w:rFonts w:asciiTheme="majorBidi" w:hAnsiTheme="majorBidi" w:cstheme="majorBidi"/>
          <w:sz w:val="24"/>
          <w:szCs w:val="24"/>
        </w:rPr>
      </w:pPr>
      <w:r>
        <w:rPr>
          <w:rFonts w:ascii="Times New Roman" w:hAnsi="Times New Roman" w:cs="Times New Roman"/>
          <w:bCs/>
        </w:rPr>
        <w:t xml:space="preserve">The </w:t>
      </w:r>
      <w:r w:rsidR="00166374">
        <w:rPr>
          <w:rFonts w:ascii="Times New Roman" w:hAnsi="Times New Roman" w:cs="Times New Roman"/>
          <w:bCs/>
        </w:rPr>
        <w:t>error correction coefficient (</w:t>
      </w:r>
      <w:r w:rsidR="00166374" w:rsidRPr="005D664C">
        <w:rPr>
          <w:rFonts w:ascii="Times New Roman" w:hAnsi="Times New Roman" w:cs="Times New Roman"/>
          <w:color w:val="000000"/>
          <w:sz w:val="24"/>
          <w:szCs w:val="24"/>
        </w:rPr>
        <w:t>-0.</w:t>
      </w:r>
      <w:r w:rsidR="00166374">
        <w:rPr>
          <w:rFonts w:ascii="Times New Roman" w:hAnsi="Times New Roman" w:cs="Times New Roman"/>
          <w:color w:val="000000"/>
          <w:sz w:val="24"/>
          <w:szCs w:val="24"/>
        </w:rPr>
        <w:t>8</w:t>
      </w:r>
      <w:r w:rsidR="00166374" w:rsidRPr="005D664C">
        <w:rPr>
          <w:rFonts w:ascii="Times New Roman" w:hAnsi="Times New Roman" w:cs="Times New Roman"/>
          <w:color w:val="000000"/>
          <w:sz w:val="24"/>
          <w:szCs w:val="24"/>
        </w:rPr>
        <w:t>7</w:t>
      </w:r>
      <w:r w:rsidR="00166374">
        <w:rPr>
          <w:rFonts w:ascii="Times New Roman" w:hAnsi="Times New Roman" w:cs="Times New Roman"/>
          <w:color w:val="000000"/>
          <w:sz w:val="24"/>
          <w:szCs w:val="24"/>
        </w:rPr>
        <w:t>4) is negative and significant at the 5% level</w:t>
      </w:r>
      <w:r w:rsidR="006212E6">
        <w:rPr>
          <w:rFonts w:ascii="Times New Roman" w:hAnsi="Times New Roman" w:cs="Times New Roman"/>
          <w:color w:val="000000"/>
          <w:sz w:val="24"/>
          <w:szCs w:val="24"/>
        </w:rPr>
        <w:t xml:space="preserve">. This suggests that </w:t>
      </w:r>
      <w:r w:rsidR="00230436">
        <w:rPr>
          <w:rFonts w:ascii="Times New Roman" w:hAnsi="Times New Roman" w:cs="Times New Roman"/>
          <w:color w:val="000000"/>
          <w:sz w:val="24"/>
          <w:szCs w:val="24"/>
        </w:rPr>
        <w:t xml:space="preserve">long-term distortions in the model can be corrected at the </w:t>
      </w:r>
      <w:r w:rsidR="00486032">
        <w:rPr>
          <w:rFonts w:ascii="Times New Roman" w:hAnsi="Times New Roman" w:cs="Times New Roman"/>
          <w:color w:val="000000"/>
          <w:sz w:val="24"/>
          <w:szCs w:val="24"/>
        </w:rPr>
        <w:t xml:space="preserve">speed of 87.4% each year. </w:t>
      </w:r>
      <w:r w:rsidR="00977BC9">
        <w:rPr>
          <w:rFonts w:ascii="Times New Roman" w:hAnsi="Times New Roman" w:cs="Times New Roman"/>
          <w:color w:val="000000"/>
          <w:sz w:val="24"/>
          <w:szCs w:val="24"/>
        </w:rPr>
        <w:t xml:space="preserve">It also authenticates the evidence of long-term </w:t>
      </w:r>
      <w:r w:rsidR="00DA3F99">
        <w:rPr>
          <w:rFonts w:ascii="Times New Roman" w:hAnsi="Times New Roman" w:cs="Times New Roman"/>
          <w:color w:val="000000"/>
          <w:sz w:val="24"/>
          <w:szCs w:val="24"/>
        </w:rPr>
        <w:t>relationships</w:t>
      </w:r>
      <w:r w:rsidR="00977BC9">
        <w:rPr>
          <w:rFonts w:ascii="Times New Roman" w:hAnsi="Times New Roman" w:cs="Times New Roman"/>
          <w:color w:val="000000"/>
          <w:sz w:val="24"/>
          <w:szCs w:val="24"/>
        </w:rPr>
        <w:t xml:space="preserve"> among the </w:t>
      </w:r>
      <w:r w:rsidR="00DA3F99">
        <w:rPr>
          <w:rFonts w:ascii="Times New Roman" w:hAnsi="Times New Roman" w:cs="Times New Roman"/>
          <w:color w:val="000000"/>
          <w:sz w:val="24"/>
          <w:szCs w:val="24"/>
        </w:rPr>
        <w:t xml:space="preserve">variables as established earlier from the </w:t>
      </w:r>
      <w:r w:rsidR="00DA3F99" w:rsidRPr="004F268B">
        <w:rPr>
          <w:rFonts w:ascii="Times New Roman" w:hAnsi="Times New Roman" w:cs="Times New Roman"/>
          <w:color w:val="FF0000"/>
          <w:sz w:val="24"/>
          <w:szCs w:val="24"/>
        </w:rPr>
        <w:t>Johans</w:t>
      </w:r>
      <w:r w:rsidR="0081463A">
        <w:rPr>
          <w:rFonts w:ascii="Times New Roman" w:hAnsi="Times New Roman" w:cs="Times New Roman"/>
          <w:color w:val="FF0000"/>
          <w:sz w:val="24"/>
          <w:szCs w:val="24"/>
        </w:rPr>
        <w:t>e</w:t>
      </w:r>
      <w:r w:rsidR="00DA3F99" w:rsidRPr="004F268B">
        <w:rPr>
          <w:rFonts w:ascii="Times New Roman" w:hAnsi="Times New Roman" w:cs="Times New Roman"/>
          <w:color w:val="FF0000"/>
          <w:sz w:val="24"/>
          <w:szCs w:val="24"/>
        </w:rPr>
        <w:t>n</w:t>
      </w:r>
      <w:r w:rsidR="00DA3F99">
        <w:rPr>
          <w:rFonts w:ascii="Times New Roman" w:hAnsi="Times New Roman" w:cs="Times New Roman"/>
          <w:color w:val="000000"/>
          <w:sz w:val="24"/>
          <w:szCs w:val="24"/>
        </w:rPr>
        <w:t xml:space="preserve"> cointegration test results. </w:t>
      </w:r>
      <w:r w:rsidR="00E413CF">
        <w:rPr>
          <w:rFonts w:ascii="Times New Roman" w:hAnsi="Times New Roman" w:cs="Times New Roman"/>
          <w:color w:val="000000"/>
          <w:sz w:val="24"/>
          <w:szCs w:val="24"/>
        </w:rPr>
        <w:t xml:space="preserve">As observed from the dynamic slope parameters, </w:t>
      </w:r>
      <w:r w:rsidR="003D19D4">
        <w:rPr>
          <w:rFonts w:ascii="Times New Roman" w:hAnsi="Times New Roman" w:cs="Times New Roman"/>
          <w:color w:val="000000"/>
          <w:sz w:val="24"/>
          <w:szCs w:val="24"/>
        </w:rPr>
        <w:t xml:space="preserve">a one-period lag of external debt is positively linked to its </w:t>
      </w:r>
      <w:r w:rsidR="00EC5FF2">
        <w:rPr>
          <w:rFonts w:ascii="Times New Roman" w:hAnsi="Times New Roman" w:cs="Times New Roman"/>
          <w:color w:val="000000"/>
          <w:sz w:val="24"/>
          <w:szCs w:val="24"/>
        </w:rPr>
        <w:t xml:space="preserve">current, indicating that </w:t>
      </w:r>
      <w:r w:rsidR="00934D0F">
        <w:rPr>
          <w:rFonts w:ascii="Times New Roman" w:hAnsi="Times New Roman" w:cs="Times New Roman"/>
          <w:color w:val="000000"/>
          <w:sz w:val="24"/>
          <w:szCs w:val="24"/>
        </w:rPr>
        <w:t xml:space="preserve">previous </w:t>
      </w:r>
      <w:r w:rsidR="00EC5FF2">
        <w:rPr>
          <w:rFonts w:ascii="Times New Roman" w:hAnsi="Times New Roman" w:cs="Times New Roman"/>
          <w:color w:val="000000"/>
          <w:sz w:val="24"/>
          <w:szCs w:val="24"/>
        </w:rPr>
        <w:t>debt servic</w:t>
      </w:r>
      <w:r w:rsidR="00934D0F">
        <w:rPr>
          <w:rFonts w:ascii="Times New Roman" w:hAnsi="Times New Roman" w:cs="Times New Roman"/>
          <w:color w:val="000000"/>
          <w:sz w:val="24"/>
          <w:szCs w:val="24"/>
        </w:rPr>
        <w:t xml:space="preserve">e payments </w:t>
      </w:r>
      <w:r w:rsidR="00884C40">
        <w:rPr>
          <w:rFonts w:ascii="Times New Roman" w:hAnsi="Times New Roman" w:cs="Times New Roman"/>
          <w:color w:val="000000"/>
          <w:sz w:val="24"/>
          <w:szCs w:val="24"/>
        </w:rPr>
        <w:t>are</w:t>
      </w:r>
      <w:r w:rsidR="00934D0F">
        <w:rPr>
          <w:rFonts w:ascii="Times New Roman" w:hAnsi="Times New Roman" w:cs="Times New Roman"/>
          <w:color w:val="000000"/>
          <w:sz w:val="24"/>
          <w:szCs w:val="24"/>
        </w:rPr>
        <w:t xml:space="preserve"> important in </w:t>
      </w:r>
      <w:r w:rsidR="00884C40">
        <w:rPr>
          <w:rFonts w:ascii="Times New Roman" w:hAnsi="Times New Roman" w:cs="Times New Roman"/>
          <w:color w:val="000000"/>
          <w:sz w:val="24"/>
          <w:szCs w:val="24"/>
        </w:rPr>
        <w:t>predicting changes in</w:t>
      </w:r>
      <w:r w:rsidR="009A7EFC">
        <w:rPr>
          <w:rFonts w:ascii="Times New Roman" w:hAnsi="Times New Roman" w:cs="Times New Roman"/>
          <w:color w:val="000000"/>
          <w:sz w:val="24"/>
          <w:szCs w:val="24"/>
        </w:rPr>
        <w:t xml:space="preserve"> </w:t>
      </w:r>
      <w:r w:rsidR="009410C0">
        <w:rPr>
          <w:rFonts w:ascii="Times New Roman" w:hAnsi="Times New Roman" w:cs="Times New Roman"/>
          <w:color w:val="000000"/>
          <w:sz w:val="24"/>
          <w:szCs w:val="24"/>
        </w:rPr>
        <w:t>future</w:t>
      </w:r>
      <w:r w:rsidR="009A7EFC">
        <w:rPr>
          <w:rFonts w:ascii="Times New Roman" w:hAnsi="Times New Roman" w:cs="Times New Roman"/>
          <w:color w:val="000000"/>
          <w:sz w:val="24"/>
          <w:szCs w:val="24"/>
        </w:rPr>
        <w:t xml:space="preserve"> </w:t>
      </w:r>
      <w:r w:rsidR="00884C40">
        <w:rPr>
          <w:rFonts w:ascii="Times New Roman" w:hAnsi="Times New Roman" w:cs="Times New Roman"/>
          <w:color w:val="000000"/>
          <w:sz w:val="24"/>
          <w:szCs w:val="24"/>
        </w:rPr>
        <w:t xml:space="preserve">debt </w:t>
      </w:r>
      <w:r w:rsidR="009410C0">
        <w:rPr>
          <w:rFonts w:ascii="Times New Roman" w:hAnsi="Times New Roman" w:cs="Times New Roman"/>
          <w:color w:val="000000"/>
          <w:sz w:val="24"/>
          <w:szCs w:val="24"/>
        </w:rPr>
        <w:t>servicing.</w:t>
      </w:r>
      <w:r w:rsidR="007D2BA4">
        <w:rPr>
          <w:rFonts w:ascii="Times New Roman" w:hAnsi="Times New Roman" w:cs="Times New Roman"/>
          <w:color w:val="000000"/>
          <w:sz w:val="24"/>
          <w:szCs w:val="24"/>
        </w:rPr>
        <w:t xml:space="preserve"> </w:t>
      </w:r>
      <w:r w:rsidR="00802C0B">
        <w:rPr>
          <w:rFonts w:ascii="Times New Roman" w:hAnsi="Times New Roman" w:cs="Times New Roman"/>
          <w:color w:val="000000"/>
          <w:sz w:val="24"/>
          <w:szCs w:val="24"/>
        </w:rPr>
        <w:t xml:space="preserve">There is evidence of </w:t>
      </w:r>
      <w:r w:rsidR="007D1663">
        <w:rPr>
          <w:rFonts w:ascii="Times New Roman" w:hAnsi="Times New Roman" w:cs="Times New Roman"/>
          <w:color w:val="000000"/>
          <w:sz w:val="24"/>
          <w:szCs w:val="24"/>
        </w:rPr>
        <w:t xml:space="preserve">a </w:t>
      </w:r>
      <w:r w:rsidR="00802C0B">
        <w:rPr>
          <w:rFonts w:ascii="Times New Roman" w:hAnsi="Times New Roman" w:cs="Times New Roman"/>
          <w:color w:val="000000"/>
          <w:sz w:val="24"/>
          <w:szCs w:val="24"/>
        </w:rPr>
        <w:t xml:space="preserve">positive and significant effect </w:t>
      </w:r>
      <w:r w:rsidR="007D1663">
        <w:rPr>
          <w:rFonts w:ascii="Times New Roman" w:hAnsi="Times New Roman" w:cs="Times New Roman"/>
          <w:color w:val="000000"/>
          <w:sz w:val="24"/>
          <w:szCs w:val="24"/>
        </w:rPr>
        <w:t xml:space="preserve">of </w:t>
      </w:r>
      <w:r w:rsidR="007D1663" w:rsidRPr="0016392F">
        <w:rPr>
          <w:rFonts w:ascii="Times New Roman" w:hAnsi="Times New Roman" w:cs="Times New Roman"/>
          <w:sz w:val="24"/>
          <w:szCs w:val="24"/>
        </w:rPr>
        <w:t xml:space="preserve">Brent crude oil prices </w:t>
      </w:r>
      <w:r w:rsidR="007D1663">
        <w:rPr>
          <w:rFonts w:ascii="Times New Roman" w:hAnsi="Times New Roman" w:cs="Times New Roman"/>
          <w:sz w:val="24"/>
          <w:szCs w:val="24"/>
        </w:rPr>
        <w:lastRenderedPageBreak/>
        <w:t xml:space="preserve">on debt servicing. </w:t>
      </w:r>
      <w:r w:rsidR="002F7437">
        <w:rPr>
          <w:rFonts w:ascii="Times New Roman" w:hAnsi="Times New Roman" w:cs="Times New Roman"/>
          <w:sz w:val="24"/>
          <w:szCs w:val="24"/>
        </w:rPr>
        <w:t xml:space="preserve">This explains that an increase in </w:t>
      </w:r>
      <w:r w:rsidR="00DF2E65" w:rsidRPr="0016392F">
        <w:rPr>
          <w:rFonts w:ascii="Times New Roman" w:hAnsi="Times New Roman" w:cs="Times New Roman"/>
          <w:sz w:val="24"/>
          <w:szCs w:val="24"/>
        </w:rPr>
        <w:t>Brent crude oil prices</w:t>
      </w:r>
      <w:r w:rsidR="00DF2E65">
        <w:rPr>
          <w:rFonts w:ascii="Times New Roman" w:hAnsi="Times New Roman" w:cs="Times New Roman"/>
          <w:sz w:val="24"/>
          <w:szCs w:val="24"/>
        </w:rPr>
        <w:t xml:space="preserve"> enhances the </w:t>
      </w:r>
      <w:r w:rsidR="003F2153">
        <w:rPr>
          <w:rFonts w:ascii="Times New Roman" w:hAnsi="Times New Roman" w:cs="Times New Roman"/>
          <w:sz w:val="24"/>
          <w:szCs w:val="24"/>
        </w:rPr>
        <w:t xml:space="preserve">process of fiscal sustainability in Nigeria through </w:t>
      </w:r>
      <w:r w:rsidR="00243174">
        <w:rPr>
          <w:rFonts w:ascii="Times New Roman" w:hAnsi="Times New Roman" w:cs="Times New Roman"/>
          <w:sz w:val="24"/>
          <w:szCs w:val="24"/>
        </w:rPr>
        <w:t>meeting the debt service obligations.</w:t>
      </w:r>
      <w:r w:rsidR="00602E7B">
        <w:rPr>
          <w:rFonts w:ascii="Times New Roman" w:hAnsi="Times New Roman" w:cs="Times New Roman"/>
          <w:sz w:val="24"/>
          <w:szCs w:val="24"/>
        </w:rPr>
        <w:t xml:space="preserve"> This is not surprising following </w:t>
      </w:r>
      <w:r w:rsidR="001B462E">
        <w:rPr>
          <w:rFonts w:ascii="Times New Roman" w:hAnsi="Times New Roman" w:cs="Times New Roman"/>
          <w:sz w:val="24"/>
          <w:szCs w:val="24"/>
        </w:rPr>
        <w:t xml:space="preserve">the </w:t>
      </w:r>
      <w:r w:rsidR="004153D4">
        <w:rPr>
          <w:rFonts w:ascii="Times New Roman" w:hAnsi="Times New Roman" w:cs="Times New Roman"/>
          <w:sz w:val="24"/>
          <w:szCs w:val="24"/>
        </w:rPr>
        <w:t xml:space="preserve">large dependence </w:t>
      </w:r>
      <w:r w:rsidR="000725EE">
        <w:rPr>
          <w:rFonts w:ascii="Times New Roman" w:hAnsi="Times New Roman" w:cs="Times New Roman"/>
          <w:sz w:val="24"/>
          <w:szCs w:val="24"/>
        </w:rPr>
        <w:t>of</w:t>
      </w:r>
      <w:r w:rsidR="004153D4">
        <w:rPr>
          <w:rFonts w:ascii="Times New Roman" w:hAnsi="Times New Roman" w:cs="Times New Roman"/>
          <w:sz w:val="24"/>
          <w:szCs w:val="24"/>
        </w:rPr>
        <w:t xml:space="preserve"> Nigeria </w:t>
      </w:r>
      <w:r w:rsidR="000725EE">
        <w:rPr>
          <w:rFonts w:ascii="Times New Roman" w:hAnsi="Times New Roman" w:cs="Times New Roman"/>
          <w:sz w:val="24"/>
          <w:szCs w:val="24"/>
        </w:rPr>
        <w:t xml:space="preserve">on </w:t>
      </w:r>
      <w:r w:rsidR="000E12A4">
        <w:rPr>
          <w:rFonts w:ascii="Times New Roman" w:hAnsi="Times New Roman" w:cs="Times New Roman"/>
          <w:sz w:val="24"/>
          <w:szCs w:val="24"/>
        </w:rPr>
        <w:t xml:space="preserve">crude </w:t>
      </w:r>
      <w:r w:rsidR="004153D4">
        <w:rPr>
          <w:rFonts w:ascii="Times New Roman" w:hAnsi="Times New Roman" w:cs="Times New Roman"/>
          <w:sz w:val="24"/>
          <w:szCs w:val="24"/>
        </w:rPr>
        <w:t>oil</w:t>
      </w:r>
      <w:r w:rsidR="00B75CEB">
        <w:rPr>
          <w:rFonts w:ascii="Times New Roman" w:hAnsi="Times New Roman" w:cs="Times New Roman"/>
          <w:sz w:val="24"/>
          <w:szCs w:val="24"/>
        </w:rPr>
        <w:t xml:space="preserve"> exports</w:t>
      </w:r>
      <w:r w:rsidR="004153D4">
        <w:rPr>
          <w:rFonts w:ascii="Times New Roman" w:hAnsi="Times New Roman" w:cs="Times New Roman"/>
          <w:sz w:val="24"/>
          <w:szCs w:val="24"/>
        </w:rPr>
        <w:t xml:space="preserve"> for foreign exchange earnings</w:t>
      </w:r>
      <w:r w:rsidR="000725EE">
        <w:rPr>
          <w:rFonts w:ascii="Times New Roman" w:hAnsi="Times New Roman" w:cs="Times New Roman"/>
          <w:sz w:val="24"/>
          <w:szCs w:val="24"/>
        </w:rPr>
        <w:t xml:space="preserve"> to </w:t>
      </w:r>
      <w:r w:rsidR="00B75CEB">
        <w:rPr>
          <w:rFonts w:ascii="Times New Roman" w:hAnsi="Times New Roman" w:cs="Times New Roman"/>
          <w:sz w:val="24"/>
          <w:szCs w:val="24"/>
        </w:rPr>
        <w:t>meet fiscal o</w:t>
      </w:r>
      <w:r w:rsidR="00FD47FE">
        <w:rPr>
          <w:rFonts w:ascii="Times New Roman" w:hAnsi="Times New Roman" w:cs="Times New Roman"/>
          <w:sz w:val="24"/>
          <w:szCs w:val="24"/>
        </w:rPr>
        <w:t xml:space="preserve">bligations including debt servicing. </w:t>
      </w:r>
      <w:r w:rsidR="00643236">
        <w:rPr>
          <w:rFonts w:ascii="Times New Roman" w:hAnsi="Times New Roman" w:cs="Times New Roman"/>
          <w:sz w:val="24"/>
          <w:szCs w:val="24"/>
        </w:rPr>
        <w:t xml:space="preserve">The </w:t>
      </w:r>
      <w:r w:rsidR="00720D03">
        <w:rPr>
          <w:rFonts w:ascii="Times New Roman" w:hAnsi="Times New Roman" w:cs="Times New Roman"/>
          <w:sz w:val="24"/>
          <w:szCs w:val="24"/>
        </w:rPr>
        <w:t xml:space="preserve">significant positive contribution of </w:t>
      </w:r>
      <w:r w:rsidR="00720D03" w:rsidRPr="0016392F">
        <w:rPr>
          <w:rFonts w:ascii="Times New Roman" w:hAnsi="Times New Roman" w:cs="Times New Roman"/>
          <w:sz w:val="24"/>
          <w:szCs w:val="24"/>
        </w:rPr>
        <w:t xml:space="preserve">Brent crude oil prices </w:t>
      </w:r>
      <w:r w:rsidR="00720D03">
        <w:rPr>
          <w:rFonts w:ascii="Times New Roman" w:hAnsi="Times New Roman" w:cs="Times New Roman"/>
          <w:sz w:val="24"/>
          <w:szCs w:val="24"/>
        </w:rPr>
        <w:t xml:space="preserve">to </w:t>
      </w:r>
      <w:r w:rsidR="00553CEF">
        <w:rPr>
          <w:rFonts w:ascii="Times New Roman" w:hAnsi="Times New Roman" w:cs="Times New Roman"/>
          <w:sz w:val="24"/>
          <w:szCs w:val="24"/>
        </w:rPr>
        <w:t xml:space="preserve">fiscal sustainability </w:t>
      </w:r>
      <w:r w:rsidR="000F5E1A">
        <w:rPr>
          <w:rFonts w:ascii="Times New Roman" w:hAnsi="Times New Roman" w:cs="Times New Roman"/>
          <w:sz w:val="24"/>
          <w:szCs w:val="24"/>
        </w:rPr>
        <w:t>corroborates</w:t>
      </w:r>
      <w:r w:rsidR="00553CEF">
        <w:rPr>
          <w:rFonts w:ascii="Times New Roman" w:hAnsi="Times New Roman" w:cs="Times New Roman"/>
          <w:sz w:val="24"/>
          <w:szCs w:val="24"/>
        </w:rPr>
        <w:t xml:space="preserve"> the findings </w:t>
      </w:r>
      <w:r w:rsidR="000F5E1A">
        <w:rPr>
          <w:rFonts w:ascii="Times New Roman" w:hAnsi="Times New Roman" w:cs="Times New Roman"/>
          <w:sz w:val="24"/>
          <w:szCs w:val="24"/>
        </w:rPr>
        <w:t xml:space="preserve">of </w:t>
      </w:r>
      <w:r w:rsidR="000F5E1A" w:rsidRPr="00A529B9">
        <w:rPr>
          <w:rFonts w:asciiTheme="majorBidi" w:hAnsiTheme="majorBidi" w:cstheme="majorBidi"/>
          <w:color w:val="222222"/>
          <w:sz w:val="24"/>
          <w:szCs w:val="24"/>
          <w:shd w:val="clear" w:color="auto" w:fill="FFFFFF"/>
        </w:rPr>
        <w:t>Hathroubi &amp; Alou</w:t>
      </w:r>
      <w:r w:rsidR="000F5E1A">
        <w:rPr>
          <w:rFonts w:asciiTheme="majorBidi" w:hAnsiTheme="majorBidi" w:cstheme="majorBidi"/>
          <w:color w:val="222222"/>
          <w:sz w:val="24"/>
          <w:szCs w:val="24"/>
          <w:shd w:val="clear" w:color="auto" w:fill="FFFFFF"/>
        </w:rPr>
        <w:t xml:space="preserve"> (</w:t>
      </w:r>
      <w:r w:rsidR="000F5E1A" w:rsidRPr="00A529B9">
        <w:rPr>
          <w:rFonts w:asciiTheme="majorBidi" w:hAnsiTheme="majorBidi" w:cstheme="majorBidi"/>
          <w:color w:val="222222"/>
          <w:sz w:val="24"/>
          <w:szCs w:val="24"/>
          <w:shd w:val="clear" w:color="auto" w:fill="FFFFFF"/>
        </w:rPr>
        <w:t>2022</w:t>
      </w:r>
      <w:r w:rsidR="000F5E1A">
        <w:rPr>
          <w:rFonts w:asciiTheme="majorBidi" w:hAnsiTheme="majorBidi" w:cstheme="majorBidi"/>
          <w:color w:val="222222"/>
          <w:sz w:val="24"/>
          <w:szCs w:val="24"/>
          <w:shd w:val="clear" w:color="auto" w:fill="FFFFFF"/>
        </w:rPr>
        <w:t>) and</w:t>
      </w:r>
      <w:r w:rsidR="000F5E1A" w:rsidRPr="00A529B9">
        <w:rPr>
          <w:rFonts w:asciiTheme="majorBidi" w:hAnsiTheme="majorBidi" w:cstheme="majorBidi"/>
          <w:color w:val="222222"/>
          <w:sz w:val="24"/>
          <w:szCs w:val="24"/>
          <w:shd w:val="clear" w:color="auto" w:fill="FFFFFF"/>
        </w:rPr>
        <w:t xml:space="preserve"> Sohag, Kalina &amp; Samargandi, </w:t>
      </w:r>
      <w:r w:rsidR="000F5E1A">
        <w:rPr>
          <w:rFonts w:asciiTheme="majorBidi" w:hAnsiTheme="majorBidi" w:cstheme="majorBidi"/>
          <w:color w:val="222222"/>
          <w:sz w:val="24"/>
          <w:szCs w:val="24"/>
          <w:shd w:val="clear" w:color="auto" w:fill="FFFFFF"/>
        </w:rPr>
        <w:t>(</w:t>
      </w:r>
      <w:r w:rsidR="000F5E1A" w:rsidRPr="00A529B9">
        <w:rPr>
          <w:rFonts w:asciiTheme="majorBidi" w:hAnsiTheme="majorBidi" w:cstheme="majorBidi"/>
          <w:color w:val="222222"/>
          <w:sz w:val="24"/>
          <w:szCs w:val="24"/>
          <w:shd w:val="clear" w:color="auto" w:fill="FFFFFF"/>
        </w:rPr>
        <w:t>2024</w:t>
      </w:r>
      <w:r w:rsidR="000F5E1A">
        <w:rPr>
          <w:rFonts w:asciiTheme="majorBidi" w:hAnsiTheme="majorBidi" w:cstheme="majorBidi"/>
          <w:color w:val="222222"/>
          <w:sz w:val="24"/>
          <w:szCs w:val="24"/>
          <w:shd w:val="clear" w:color="auto" w:fill="FFFFFF"/>
        </w:rPr>
        <w:t xml:space="preserve">) </w:t>
      </w:r>
      <w:r w:rsidR="00553CEF">
        <w:rPr>
          <w:rFonts w:ascii="Times New Roman" w:hAnsi="Times New Roman" w:cs="Times New Roman"/>
          <w:sz w:val="24"/>
          <w:szCs w:val="24"/>
        </w:rPr>
        <w:t>who estab</w:t>
      </w:r>
      <w:r w:rsidR="000F5E1A">
        <w:rPr>
          <w:rFonts w:ascii="Times New Roman" w:hAnsi="Times New Roman" w:cs="Times New Roman"/>
          <w:sz w:val="24"/>
          <w:szCs w:val="24"/>
        </w:rPr>
        <w:t xml:space="preserve">lished that </w:t>
      </w:r>
      <w:r w:rsidR="00EC2ABD">
        <w:rPr>
          <w:rFonts w:ascii="Times New Roman" w:hAnsi="Times New Roman" w:cs="Times New Roman"/>
          <w:sz w:val="24"/>
          <w:szCs w:val="24"/>
        </w:rPr>
        <w:t xml:space="preserve">oil prices </w:t>
      </w:r>
      <w:r w:rsidR="00B06D34">
        <w:rPr>
          <w:rFonts w:ascii="Times New Roman" w:hAnsi="Times New Roman" w:cs="Times New Roman"/>
          <w:sz w:val="24"/>
          <w:szCs w:val="24"/>
        </w:rPr>
        <w:t>aid fiscal sustainability by boosting government</w:t>
      </w:r>
      <w:r w:rsidR="00602E7B">
        <w:rPr>
          <w:rFonts w:ascii="Times New Roman" w:hAnsi="Times New Roman" w:cs="Times New Roman"/>
          <w:sz w:val="24"/>
          <w:szCs w:val="24"/>
        </w:rPr>
        <w:t xml:space="preserve"> revenue. </w:t>
      </w:r>
      <w:r w:rsidR="00D11557">
        <w:rPr>
          <w:rFonts w:ascii="Times New Roman" w:hAnsi="Times New Roman" w:cs="Times New Roman"/>
          <w:sz w:val="24"/>
          <w:szCs w:val="24"/>
        </w:rPr>
        <w:t xml:space="preserve">Similarly, the results showed that </w:t>
      </w:r>
      <w:r w:rsidR="00971098" w:rsidRPr="0016392F">
        <w:rPr>
          <w:rFonts w:ascii="Times New Roman" w:hAnsi="Times New Roman" w:cs="Times New Roman"/>
          <w:color w:val="222222"/>
          <w:sz w:val="24"/>
          <w:szCs w:val="24"/>
          <w:shd w:val="clear" w:color="auto" w:fill="FFFFFF"/>
        </w:rPr>
        <w:t xml:space="preserve">West Texas Intermediate crude oil price </w:t>
      </w:r>
      <w:r w:rsidR="00971098">
        <w:rPr>
          <w:rFonts w:ascii="Times New Roman" w:hAnsi="Times New Roman" w:cs="Times New Roman"/>
          <w:color w:val="222222"/>
          <w:sz w:val="24"/>
          <w:szCs w:val="24"/>
          <w:shd w:val="clear" w:color="auto" w:fill="FFFFFF"/>
        </w:rPr>
        <w:t>affected</w:t>
      </w:r>
      <w:r w:rsidR="00C53B5B">
        <w:rPr>
          <w:rFonts w:ascii="Times New Roman" w:hAnsi="Times New Roman" w:cs="Times New Roman"/>
          <w:color w:val="222222"/>
          <w:sz w:val="24"/>
          <w:szCs w:val="24"/>
          <w:shd w:val="clear" w:color="auto" w:fill="FFFFFF"/>
        </w:rPr>
        <w:t xml:space="preserve"> debt servicing positively, but this finding is not significant at the </w:t>
      </w:r>
      <w:r w:rsidR="00EB67B2">
        <w:rPr>
          <w:rFonts w:ascii="Times New Roman" w:hAnsi="Times New Roman" w:cs="Times New Roman"/>
          <w:color w:val="222222"/>
          <w:sz w:val="24"/>
          <w:szCs w:val="24"/>
          <w:shd w:val="clear" w:color="auto" w:fill="FFFFFF"/>
        </w:rPr>
        <w:t>5% level</w:t>
      </w:r>
      <w:r w:rsidR="006C3BE9">
        <w:rPr>
          <w:rFonts w:ascii="Times New Roman" w:hAnsi="Times New Roman" w:cs="Times New Roman"/>
          <w:color w:val="222222"/>
          <w:sz w:val="24"/>
          <w:szCs w:val="24"/>
          <w:shd w:val="clear" w:color="auto" w:fill="FFFFFF"/>
        </w:rPr>
        <w:t>. This</w:t>
      </w:r>
      <w:r w:rsidR="00D53DF2">
        <w:rPr>
          <w:rFonts w:ascii="Times New Roman" w:hAnsi="Times New Roman" w:cs="Times New Roman"/>
          <w:color w:val="222222"/>
          <w:sz w:val="24"/>
          <w:szCs w:val="24"/>
          <w:shd w:val="clear" w:color="auto" w:fill="FFFFFF"/>
        </w:rPr>
        <w:t xml:space="preserve"> </w:t>
      </w:r>
      <w:r w:rsidR="003512A7">
        <w:rPr>
          <w:rFonts w:ascii="Times New Roman" w:hAnsi="Times New Roman" w:cs="Times New Roman"/>
          <w:color w:val="222222"/>
          <w:sz w:val="24"/>
          <w:szCs w:val="24"/>
          <w:shd w:val="clear" w:color="auto" w:fill="FFFFFF"/>
        </w:rPr>
        <w:t xml:space="preserve">aligns with the findings of </w:t>
      </w:r>
      <w:r w:rsidR="003512A7" w:rsidRPr="00DC2A22">
        <w:rPr>
          <w:rFonts w:asciiTheme="majorBidi" w:hAnsiTheme="majorBidi" w:cstheme="majorBidi"/>
          <w:color w:val="222222"/>
          <w:sz w:val="24"/>
          <w:szCs w:val="24"/>
          <w:shd w:val="clear" w:color="auto" w:fill="FFFFFF"/>
        </w:rPr>
        <w:t xml:space="preserve">Eze </w:t>
      </w:r>
      <w:r w:rsidR="003512A7" w:rsidRPr="00DC2A22">
        <w:rPr>
          <w:rFonts w:asciiTheme="majorBidi" w:hAnsiTheme="majorBidi" w:cstheme="majorBidi"/>
          <w:color w:val="222222"/>
          <w:sz w:val="24"/>
          <w:szCs w:val="24"/>
          <w:shd w:val="clear" w:color="auto" w:fill="FFFFFF"/>
          <w:lang w:val="en-GB"/>
        </w:rPr>
        <w:t>&amp; Apiri (2020)</w:t>
      </w:r>
      <w:r w:rsidR="006C3BE9">
        <w:rPr>
          <w:rFonts w:ascii="Times New Roman" w:hAnsi="Times New Roman" w:cs="Times New Roman"/>
          <w:color w:val="222222"/>
          <w:sz w:val="24"/>
          <w:szCs w:val="24"/>
          <w:shd w:val="clear" w:color="auto" w:fill="FFFFFF"/>
          <w:lang w:val="en-GB"/>
        </w:rPr>
        <w:t>, indicating</w:t>
      </w:r>
      <w:r w:rsidR="009638B9">
        <w:rPr>
          <w:rFonts w:ascii="Times New Roman" w:hAnsi="Times New Roman" w:cs="Times New Roman"/>
          <w:color w:val="222222"/>
          <w:sz w:val="24"/>
          <w:szCs w:val="24"/>
          <w:shd w:val="clear" w:color="auto" w:fill="FFFFFF"/>
        </w:rPr>
        <w:t xml:space="preserve"> </w:t>
      </w:r>
      <w:r w:rsidR="00566023">
        <w:rPr>
          <w:rFonts w:ascii="Times New Roman" w:hAnsi="Times New Roman" w:cs="Times New Roman"/>
          <w:color w:val="222222"/>
          <w:sz w:val="24"/>
          <w:szCs w:val="24"/>
          <w:shd w:val="clear" w:color="auto" w:fill="FFFFFF"/>
        </w:rPr>
        <w:t xml:space="preserve">that an increase in the price of </w:t>
      </w:r>
      <w:r w:rsidR="00566023" w:rsidRPr="0016392F">
        <w:rPr>
          <w:rFonts w:ascii="Times New Roman" w:hAnsi="Times New Roman" w:cs="Times New Roman"/>
          <w:color w:val="222222"/>
          <w:sz w:val="24"/>
          <w:szCs w:val="24"/>
          <w:shd w:val="clear" w:color="auto" w:fill="FFFFFF"/>
        </w:rPr>
        <w:t>West Texas Intermediate crude oil</w:t>
      </w:r>
      <w:r w:rsidR="00566023">
        <w:rPr>
          <w:rFonts w:ascii="Times New Roman" w:hAnsi="Times New Roman" w:cs="Times New Roman"/>
          <w:color w:val="222222"/>
          <w:sz w:val="24"/>
          <w:szCs w:val="24"/>
          <w:shd w:val="clear" w:color="auto" w:fill="FFFFFF"/>
        </w:rPr>
        <w:t xml:space="preserve"> </w:t>
      </w:r>
      <w:r w:rsidR="00FF05C3">
        <w:rPr>
          <w:rFonts w:ascii="Times New Roman" w:hAnsi="Times New Roman" w:cs="Times New Roman"/>
          <w:color w:val="222222"/>
          <w:sz w:val="24"/>
          <w:szCs w:val="24"/>
          <w:shd w:val="clear" w:color="auto" w:fill="FFFFFF"/>
        </w:rPr>
        <w:t xml:space="preserve">does </w:t>
      </w:r>
      <w:r w:rsidR="00686064">
        <w:rPr>
          <w:rFonts w:ascii="Times New Roman" w:hAnsi="Times New Roman" w:cs="Times New Roman"/>
          <w:color w:val="222222"/>
          <w:sz w:val="24"/>
          <w:szCs w:val="24"/>
          <w:shd w:val="clear" w:color="auto" w:fill="FFFFFF"/>
        </w:rPr>
        <w:t xml:space="preserve">not significantly </w:t>
      </w:r>
      <w:r w:rsidR="00337734">
        <w:rPr>
          <w:rFonts w:ascii="Times New Roman" w:hAnsi="Times New Roman" w:cs="Times New Roman"/>
          <w:color w:val="222222"/>
          <w:sz w:val="24"/>
          <w:szCs w:val="24"/>
          <w:shd w:val="clear" w:color="auto" w:fill="FFFFFF"/>
        </w:rPr>
        <w:t xml:space="preserve">improve the </w:t>
      </w:r>
      <w:r w:rsidR="007B1710">
        <w:rPr>
          <w:rFonts w:ascii="Times New Roman" w:hAnsi="Times New Roman" w:cs="Times New Roman"/>
          <w:color w:val="222222"/>
          <w:sz w:val="24"/>
          <w:szCs w:val="24"/>
          <w:shd w:val="clear" w:color="auto" w:fill="FFFFFF"/>
        </w:rPr>
        <w:t xml:space="preserve">debt service obligations. </w:t>
      </w:r>
      <w:r w:rsidR="00566023" w:rsidRPr="0016392F">
        <w:rPr>
          <w:rFonts w:ascii="Times New Roman" w:hAnsi="Times New Roman" w:cs="Times New Roman"/>
          <w:color w:val="222222"/>
          <w:sz w:val="24"/>
          <w:szCs w:val="24"/>
          <w:shd w:val="clear" w:color="auto" w:fill="FFFFFF"/>
        </w:rPr>
        <w:t xml:space="preserve"> </w:t>
      </w:r>
      <w:r w:rsidR="007B1710">
        <w:rPr>
          <w:rFonts w:ascii="Times New Roman" w:hAnsi="Times New Roman" w:cs="Times New Roman"/>
          <w:color w:val="222222"/>
          <w:sz w:val="24"/>
          <w:szCs w:val="24"/>
          <w:shd w:val="clear" w:color="auto" w:fill="FFFFFF"/>
        </w:rPr>
        <w:t xml:space="preserve">This could be linked </w:t>
      </w:r>
      <w:r w:rsidR="00B77CAA">
        <w:rPr>
          <w:rFonts w:ascii="Times New Roman" w:hAnsi="Times New Roman" w:cs="Times New Roman"/>
          <w:color w:val="222222"/>
          <w:sz w:val="24"/>
          <w:szCs w:val="24"/>
          <w:shd w:val="clear" w:color="auto" w:fill="FFFFFF"/>
        </w:rPr>
        <w:t>to the fact t</w:t>
      </w:r>
      <w:r w:rsidR="00E800FD">
        <w:rPr>
          <w:rFonts w:ascii="Times New Roman" w:hAnsi="Times New Roman" w:cs="Times New Roman"/>
          <w:color w:val="222222"/>
          <w:sz w:val="24"/>
          <w:szCs w:val="24"/>
          <w:shd w:val="clear" w:color="auto" w:fill="FFFFFF"/>
        </w:rPr>
        <w:t xml:space="preserve">hat the </w:t>
      </w:r>
      <w:r w:rsidR="00E800FD" w:rsidRPr="0016392F">
        <w:rPr>
          <w:rFonts w:ascii="Times New Roman" w:hAnsi="Times New Roman" w:cs="Times New Roman"/>
          <w:color w:val="222222"/>
          <w:sz w:val="24"/>
          <w:szCs w:val="24"/>
          <w:shd w:val="clear" w:color="auto" w:fill="FFFFFF"/>
        </w:rPr>
        <w:t xml:space="preserve">West Texas Intermediate crude oil price </w:t>
      </w:r>
      <w:r w:rsidR="00E800FD">
        <w:rPr>
          <w:rFonts w:ascii="Times New Roman" w:hAnsi="Times New Roman" w:cs="Times New Roman"/>
          <w:color w:val="222222"/>
          <w:sz w:val="24"/>
          <w:szCs w:val="24"/>
          <w:shd w:val="clear" w:color="auto" w:fill="FFFFFF"/>
        </w:rPr>
        <w:t>does not specifically apply to Nigeria</w:t>
      </w:r>
      <w:r w:rsidR="00E802E0">
        <w:rPr>
          <w:rFonts w:ascii="Times New Roman" w:hAnsi="Times New Roman" w:cs="Times New Roman"/>
          <w:color w:val="222222"/>
          <w:sz w:val="24"/>
          <w:szCs w:val="24"/>
          <w:shd w:val="clear" w:color="auto" w:fill="FFFFFF"/>
        </w:rPr>
        <w:t xml:space="preserve">. </w:t>
      </w:r>
      <w:r w:rsidR="00AD6E14">
        <w:rPr>
          <w:rFonts w:ascii="Times New Roman" w:hAnsi="Times New Roman" w:cs="Times New Roman"/>
          <w:color w:val="222222"/>
          <w:sz w:val="24"/>
          <w:szCs w:val="24"/>
          <w:shd w:val="clear" w:color="auto" w:fill="FFFFFF"/>
        </w:rPr>
        <w:t xml:space="preserve">However, evidence of </w:t>
      </w:r>
      <w:r w:rsidR="00635D19">
        <w:rPr>
          <w:rFonts w:ascii="Times New Roman" w:hAnsi="Times New Roman" w:cs="Times New Roman"/>
          <w:color w:val="222222"/>
          <w:sz w:val="24"/>
          <w:szCs w:val="24"/>
          <w:shd w:val="clear" w:color="auto" w:fill="FFFFFF"/>
        </w:rPr>
        <w:t xml:space="preserve">a </w:t>
      </w:r>
      <w:r w:rsidR="00AD6E14">
        <w:rPr>
          <w:rFonts w:ascii="Times New Roman" w:hAnsi="Times New Roman" w:cs="Times New Roman"/>
          <w:color w:val="222222"/>
          <w:sz w:val="24"/>
          <w:szCs w:val="24"/>
          <w:shd w:val="clear" w:color="auto" w:fill="FFFFFF"/>
        </w:rPr>
        <w:t xml:space="preserve">negative effect of </w:t>
      </w:r>
      <w:r w:rsidR="00B10205">
        <w:rPr>
          <w:rFonts w:ascii="Times New Roman" w:hAnsi="Times New Roman" w:cs="Times New Roman"/>
          <w:color w:val="222222"/>
          <w:sz w:val="24"/>
          <w:szCs w:val="24"/>
          <w:shd w:val="clear" w:color="auto" w:fill="FFFFFF"/>
        </w:rPr>
        <w:t xml:space="preserve">a negative and significant </w:t>
      </w:r>
      <w:r w:rsidR="009A1B14" w:rsidRPr="0016392F">
        <w:rPr>
          <w:rFonts w:ascii="Times New Roman" w:hAnsi="Times New Roman" w:cs="Times New Roman"/>
          <w:color w:val="222222"/>
          <w:sz w:val="24"/>
          <w:szCs w:val="24"/>
          <w:shd w:val="clear" w:color="auto" w:fill="FFFFFF"/>
        </w:rPr>
        <w:t>effect</w:t>
      </w:r>
      <w:r w:rsidR="00635D19">
        <w:rPr>
          <w:rFonts w:ascii="Times New Roman" w:hAnsi="Times New Roman" w:cs="Times New Roman"/>
          <w:color w:val="222222"/>
          <w:sz w:val="24"/>
          <w:szCs w:val="24"/>
          <w:shd w:val="clear" w:color="auto" w:fill="FFFFFF"/>
        </w:rPr>
        <w:t xml:space="preserve"> of exchange rates on debt servicing.</w:t>
      </w:r>
      <w:r w:rsidR="009A1B14" w:rsidRPr="0016392F">
        <w:rPr>
          <w:rFonts w:ascii="Times New Roman" w:hAnsi="Times New Roman" w:cs="Times New Roman"/>
          <w:color w:val="222222"/>
          <w:sz w:val="24"/>
          <w:szCs w:val="24"/>
          <w:shd w:val="clear" w:color="auto" w:fill="FFFFFF"/>
        </w:rPr>
        <w:t xml:space="preserve"> This implies that an increase in </w:t>
      </w:r>
      <w:r w:rsidR="00F13602">
        <w:rPr>
          <w:rFonts w:ascii="Times New Roman" w:hAnsi="Times New Roman" w:cs="Times New Roman"/>
          <w:color w:val="222222"/>
          <w:sz w:val="24"/>
          <w:szCs w:val="24"/>
          <w:shd w:val="clear" w:color="auto" w:fill="FFFFFF"/>
        </w:rPr>
        <w:t xml:space="preserve">the </w:t>
      </w:r>
      <w:r w:rsidR="009A1B14" w:rsidRPr="0016392F">
        <w:rPr>
          <w:rFonts w:ascii="Times New Roman" w:hAnsi="Times New Roman" w:cs="Times New Roman"/>
          <w:color w:val="222222"/>
          <w:sz w:val="24"/>
          <w:szCs w:val="24"/>
          <w:shd w:val="clear" w:color="auto" w:fill="FFFFFF"/>
        </w:rPr>
        <w:t xml:space="preserve">exchange rate decreases the value of the naira with adverse implications on </w:t>
      </w:r>
      <w:r w:rsidR="008929E3">
        <w:rPr>
          <w:rFonts w:ascii="Times New Roman" w:hAnsi="Times New Roman" w:cs="Times New Roman"/>
          <w:color w:val="222222"/>
          <w:sz w:val="24"/>
          <w:szCs w:val="24"/>
          <w:shd w:val="clear" w:color="auto" w:fill="FFFFFF"/>
        </w:rPr>
        <w:t xml:space="preserve">the </w:t>
      </w:r>
      <w:r w:rsidR="002804B5">
        <w:rPr>
          <w:rFonts w:ascii="Times New Roman" w:hAnsi="Times New Roman" w:cs="Times New Roman"/>
          <w:color w:val="222222"/>
          <w:sz w:val="24"/>
          <w:szCs w:val="24"/>
          <w:shd w:val="clear" w:color="auto" w:fill="FFFFFF"/>
        </w:rPr>
        <w:t xml:space="preserve">potential of the </w:t>
      </w:r>
      <w:r w:rsidR="008929E3">
        <w:rPr>
          <w:rFonts w:ascii="Times New Roman" w:hAnsi="Times New Roman" w:cs="Times New Roman"/>
          <w:color w:val="222222"/>
          <w:sz w:val="24"/>
          <w:szCs w:val="24"/>
          <w:shd w:val="clear" w:color="auto" w:fill="FFFFFF"/>
        </w:rPr>
        <w:t xml:space="preserve">government to meet the debt service obligations. </w:t>
      </w:r>
      <w:r w:rsidR="00104424">
        <w:rPr>
          <w:rFonts w:ascii="Times New Roman" w:hAnsi="Times New Roman" w:cs="Times New Roman"/>
          <w:color w:val="222222"/>
          <w:sz w:val="24"/>
          <w:szCs w:val="24"/>
          <w:shd w:val="clear" w:color="auto" w:fill="FFFFFF"/>
        </w:rPr>
        <w:t xml:space="preserve">Thus, it followed from the results that </w:t>
      </w:r>
      <w:r w:rsidR="00CC0874">
        <w:rPr>
          <w:rFonts w:ascii="Times New Roman" w:hAnsi="Times New Roman" w:cs="Times New Roman"/>
          <w:color w:val="222222"/>
          <w:sz w:val="24"/>
          <w:szCs w:val="24"/>
          <w:shd w:val="clear" w:color="auto" w:fill="FFFFFF"/>
        </w:rPr>
        <w:t xml:space="preserve">the depreciation of the naira associated with </w:t>
      </w:r>
      <w:r w:rsidR="00113B6B">
        <w:rPr>
          <w:rFonts w:ascii="Times New Roman" w:hAnsi="Times New Roman" w:cs="Times New Roman"/>
          <w:color w:val="222222"/>
          <w:sz w:val="24"/>
          <w:szCs w:val="24"/>
          <w:shd w:val="clear" w:color="auto" w:fill="FFFFFF"/>
        </w:rPr>
        <w:t xml:space="preserve">an increase in exchange rates undermines the goal of fiscal sustainability </w:t>
      </w:r>
      <w:r w:rsidR="00681A25">
        <w:rPr>
          <w:rFonts w:ascii="Times New Roman" w:hAnsi="Times New Roman" w:cs="Times New Roman"/>
          <w:color w:val="222222"/>
          <w:sz w:val="24"/>
          <w:szCs w:val="24"/>
          <w:shd w:val="clear" w:color="auto" w:fill="FFFFFF"/>
        </w:rPr>
        <w:t xml:space="preserve">through </w:t>
      </w:r>
      <w:r w:rsidR="00372115">
        <w:rPr>
          <w:rFonts w:ascii="Times New Roman" w:hAnsi="Times New Roman" w:cs="Times New Roman"/>
          <w:color w:val="222222"/>
          <w:sz w:val="24"/>
          <w:szCs w:val="24"/>
          <w:shd w:val="clear" w:color="auto" w:fill="FFFFFF"/>
        </w:rPr>
        <w:t xml:space="preserve">negative implications on debt </w:t>
      </w:r>
      <w:r w:rsidR="00893F38">
        <w:rPr>
          <w:rFonts w:ascii="Times New Roman" w:hAnsi="Times New Roman" w:cs="Times New Roman"/>
          <w:color w:val="222222"/>
          <w:sz w:val="24"/>
          <w:szCs w:val="24"/>
          <w:shd w:val="clear" w:color="auto" w:fill="FFFFFF"/>
        </w:rPr>
        <w:t>servicing</w:t>
      </w:r>
      <w:r w:rsidR="00893F38" w:rsidRPr="009E05D6">
        <w:rPr>
          <w:rFonts w:asciiTheme="majorBidi" w:hAnsiTheme="majorBidi" w:cstheme="majorBidi"/>
          <w:sz w:val="24"/>
          <w:szCs w:val="24"/>
        </w:rPr>
        <w:t xml:space="preserve">. </w:t>
      </w:r>
      <w:r w:rsidR="009E05D6" w:rsidRPr="009E05D6">
        <w:rPr>
          <w:rFonts w:asciiTheme="majorBidi" w:hAnsiTheme="majorBidi" w:cstheme="majorBidi"/>
          <w:sz w:val="24"/>
          <w:szCs w:val="24"/>
        </w:rPr>
        <w:t xml:space="preserve">The adjusted R-squared value of 0.693 indicates that the oil price indicators and exchange rate together explain 69.3% of the total variations in external debt during the study period. Additionally, the results revealed that the probability value of the F-statistic, which is 0.0000, is below 0.05. This suggests that the explanatory variables are </w:t>
      </w:r>
      <w:r w:rsidR="00084630">
        <w:rPr>
          <w:rFonts w:asciiTheme="majorBidi" w:hAnsiTheme="majorBidi" w:cstheme="majorBidi"/>
          <w:sz w:val="24"/>
          <w:szCs w:val="24"/>
        </w:rPr>
        <w:t xml:space="preserve">jointly </w:t>
      </w:r>
      <w:r w:rsidR="009E05D6" w:rsidRPr="009E05D6">
        <w:rPr>
          <w:rFonts w:asciiTheme="majorBidi" w:hAnsiTheme="majorBidi" w:cstheme="majorBidi"/>
          <w:sz w:val="24"/>
          <w:szCs w:val="24"/>
        </w:rPr>
        <w:t>significant in accounting for changes in debt servicing.</w:t>
      </w:r>
    </w:p>
    <w:p w14:paraId="30FC518C" w14:textId="08D250F4" w:rsidR="009A1B14" w:rsidRPr="001349F0"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 xml:space="preserve">Table </w:t>
      </w:r>
      <w:r w:rsidR="00A95D1A">
        <w:rPr>
          <w:rFonts w:ascii="Times New Roman" w:hAnsi="Times New Roman" w:cs="Times New Roman"/>
          <w:b/>
          <w:bCs/>
          <w:sz w:val="24"/>
          <w:szCs w:val="24"/>
        </w:rPr>
        <w:t>5</w:t>
      </w:r>
      <w:r w:rsidRPr="001349F0">
        <w:rPr>
          <w:rFonts w:ascii="Times New Roman" w:hAnsi="Times New Roman" w:cs="Times New Roman"/>
          <w:b/>
          <w:bCs/>
          <w:sz w:val="24"/>
          <w:szCs w:val="24"/>
        </w:rPr>
        <w:t>: Post-estimation test results</w:t>
      </w:r>
    </w:p>
    <w:tbl>
      <w:tblPr>
        <w:tblStyle w:val="PlainTable4"/>
        <w:tblW w:w="9061" w:type="dxa"/>
        <w:tblLook w:val="0620" w:firstRow="1" w:lastRow="0" w:firstColumn="0" w:lastColumn="0" w:noHBand="1" w:noVBand="1"/>
      </w:tblPr>
      <w:tblGrid>
        <w:gridCol w:w="5862"/>
        <w:gridCol w:w="1733"/>
        <w:gridCol w:w="1466"/>
      </w:tblGrid>
      <w:tr w:rsidR="009A1B14" w:rsidRPr="001349F0" w14:paraId="758ADA66" w14:textId="77777777" w:rsidTr="001E5D3B">
        <w:trPr>
          <w:cnfStyle w:val="100000000000" w:firstRow="1" w:lastRow="0" w:firstColumn="0" w:lastColumn="0" w:oddVBand="0" w:evenVBand="0" w:oddHBand="0" w:evenHBand="0" w:firstRowFirstColumn="0" w:firstRowLastColumn="0" w:lastRowFirstColumn="0" w:lastRowLastColumn="0"/>
          <w:trHeight w:val="292"/>
        </w:trPr>
        <w:tc>
          <w:tcPr>
            <w:tcW w:w="5862" w:type="dxa"/>
            <w:tcBorders>
              <w:top w:val="single" w:sz="4" w:space="0" w:color="auto"/>
              <w:bottom w:val="single" w:sz="4" w:space="0" w:color="auto"/>
            </w:tcBorders>
            <w:shd w:val="clear" w:color="auto" w:fill="auto"/>
          </w:tcPr>
          <w:p w14:paraId="5AD1296C"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Test Type</w:t>
            </w:r>
          </w:p>
        </w:tc>
        <w:tc>
          <w:tcPr>
            <w:tcW w:w="1733" w:type="dxa"/>
            <w:tcBorders>
              <w:top w:val="single" w:sz="4" w:space="0" w:color="auto"/>
              <w:bottom w:val="single" w:sz="4" w:space="0" w:color="auto"/>
            </w:tcBorders>
            <w:shd w:val="clear" w:color="auto" w:fill="auto"/>
          </w:tcPr>
          <w:p w14:paraId="252EEB9A"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Test Stat.</w:t>
            </w:r>
          </w:p>
        </w:tc>
        <w:tc>
          <w:tcPr>
            <w:tcW w:w="1466" w:type="dxa"/>
            <w:tcBorders>
              <w:top w:val="single" w:sz="4" w:space="0" w:color="auto"/>
              <w:bottom w:val="single" w:sz="4" w:space="0" w:color="auto"/>
            </w:tcBorders>
            <w:shd w:val="clear" w:color="auto" w:fill="auto"/>
          </w:tcPr>
          <w:p w14:paraId="141144D8"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Prob</w:t>
            </w:r>
          </w:p>
        </w:tc>
      </w:tr>
      <w:tr w:rsidR="009A1B14" w:rsidRPr="00B5116A" w14:paraId="53533CC4" w14:textId="77777777" w:rsidTr="001E5D3B">
        <w:trPr>
          <w:trHeight w:val="300"/>
        </w:trPr>
        <w:tc>
          <w:tcPr>
            <w:tcW w:w="5862" w:type="dxa"/>
            <w:tcBorders>
              <w:top w:val="single" w:sz="4" w:space="0" w:color="auto"/>
            </w:tcBorders>
            <w:shd w:val="clear" w:color="auto" w:fill="auto"/>
          </w:tcPr>
          <w:p w14:paraId="6AE96347"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Breusch-Godfrey Serial Correlation LM Test</w:t>
            </w:r>
          </w:p>
        </w:tc>
        <w:tc>
          <w:tcPr>
            <w:tcW w:w="1733" w:type="dxa"/>
            <w:tcBorders>
              <w:top w:val="single" w:sz="4" w:space="0" w:color="auto"/>
            </w:tcBorders>
            <w:shd w:val="clear" w:color="auto" w:fill="auto"/>
          </w:tcPr>
          <w:p w14:paraId="16928E1C" w14:textId="1BCE757A"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color w:val="000000"/>
                <w:sz w:val="24"/>
                <w:szCs w:val="24"/>
              </w:rPr>
              <w:t>0.</w:t>
            </w:r>
            <w:r w:rsidR="00BC44F7">
              <w:rPr>
                <w:rFonts w:ascii="Times New Roman" w:hAnsi="Times New Roman" w:cs="Times New Roman"/>
                <w:color w:val="000000"/>
                <w:sz w:val="24"/>
                <w:szCs w:val="24"/>
              </w:rPr>
              <w:t>165</w:t>
            </w:r>
          </w:p>
        </w:tc>
        <w:tc>
          <w:tcPr>
            <w:tcW w:w="1466" w:type="dxa"/>
            <w:tcBorders>
              <w:top w:val="single" w:sz="4" w:space="0" w:color="auto"/>
            </w:tcBorders>
            <w:shd w:val="clear" w:color="auto" w:fill="auto"/>
          </w:tcPr>
          <w:p w14:paraId="0F6290A1" w14:textId="63C78FBB"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244C5C">
              <w:rPr>
                <w:rFonts w:ascii="Times New Roman" w:hAnsi="Times New Roman" w:cs="Times New Roman"/>
                <w:sz w:val="24"/>
                <w:szCs w:val="24"/>
              </w:rPr>
              <w:t>4127</w:t>
            </w:r>
          </w:p>
        </w:tc>
      </w:tr>
      <w:tr w:rsidR="009A1B14" w:rsidRPr="00B5116A" w14:paraId="4F03837D" w14:textId="77777777" w:rsidTr="001E5D3B">
        <w:trPr>
          <w:trHeight w:val="311"/>
        </w:trPr>
        <w:tc>
          <w:tcPr>
            <w:tcW w:w="5862" w:type="dxa"/>
            <w:shd w:val="clear" w:color="auto" w:fill="auto"/>
          </w:tcPr>
          <w:p w14:paraId="3B4F0199"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White’s heteroscedasticity test</w:t>
            </w:r>
          </w:p>
        </w:tc>
        <w:tc>
          <w:tcPr>
            <w:tcW w:w="1733" w:type="dxa"/>
            <w:shd w:val="clear" w:color="auto" w:fill="auto"/>
          </w:tcPr>
          <w:p w14:paraId="60FD0E9E" w14:textId="33CF51CF" w:rsidR="009A1B14" w:rsidRPr="00B5116A" w:rsidRDefault="00244C5C" w:rsidP="001E5D3B">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4</w:t>
            </w:r>
            <w:r w:rsidR="009A1B14" w:rsidRPr="00B5116A">
              <w:rPr>
                <w:rFonts w:ascii="Times New Roman" w:hAnsi="Times New Roman" w:cs="Times New Roman"/>
                <w:color w:val="000000"/>
                <w:sz w:val="24"/>
                <w:szCs w:val="24"/>
              </w:rPr>
              <w:t>.</w:t>
            </w:r>
            <w:r>
              <w:rPr>
                <w:rFonts w:ascii="Times New Roman" w:hAnsi="Times New Roman" w:cs="Times New Roman"/>
                <w:color w:val="000000"/>
                <w:sz w:val="24"/>
                <w:szCs w:val="24"/>
              </w:rPr>
              <w:t>718</w:t>
            </w:r>
          </w:p>
        </w:tc>
        <w:tc>
          <w:tcPr>
            <w:tcW w:w="1466" w:type="dxa"/>
            <w:shd w:val="clear" w:color="auto" w:fill="auto"/>
          </w:tcPr>
          <w:p w14:paraId="67269A8A" w14:textId="53DA3BD4"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E671B1">
              <w:rPr>
                <w:rFonts w:ascii="Times New Roman" w:hAnsi="Times New Roman" w:cs="Times New Roman"/>
                <w:sz w:val="24"/>
                <w:szCs w:val="24"/>
              </w:rPr>
              <w:t>12</w:t>
            </w:r>
            <w:r w:rsidRPr="00B5116A">
              <w:rPr>
                <w:rFonts w:ascii="Times New Roman" w:hAnsi="Times New Roman" w:cs="Times New Roman"/>
                <w:sz w:val="24"/>
                <w:szCs w:val="24"/>
              </w:rPr>
              <w:t>46</w:t>
            </w:r>
          </w:p>
        </w:tc>
      </w:tr>
      <w:tr w:rsidR="009A1B14" w:rsidRPr="00B5116A" w14:paraId="65A8E9D9" w14:textId="77777777" w:rsidTr="001E5D3B">
        <w:trPr>
          <w:trHeight w:val="280"/>
        </w:trPr>
        <w:tc>
          <w:tcPr>
            <w:tcW w:w="5862" w:type="dxa"/>
            <w:tcBorders>
              <w:bottom w:val="single" w:sz="4" w:space="0" w:color="auto"/>
            </w:tcBorders>
            <w:shd w:val="clear" w:color="auto" w:fill="auto"/>
          </w:tcPr>
          <w:p w14:paraId="54D826B4"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Ramsey RESET</w:t>
            </w:r>
          </w:p>
        </w:tc>
        <w:tc>
          <w:tcPr>
            <w:tcW w:w="1733" w:type="dxa"/>
            <w:tcBorders>
              <w:bottom w:val="single" w:sz="4" w:space="0" w:color="auto"/>
            </w:tcBorders>
            <w:shd w:val="clear" w:color="auto" w:fill="auto"/>
          </w:tcPr>
          <w:p w14:paraId="0351AE7F" w14:textId="35A79A66"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 </w:t>
            </w:r>
            <w:r w:rsidRPr="00B5116A">
              <w:rPr>
                <w:rFonts w:ascii="Times New Roman" w:hAnsi="Times New Roman" w:cs="Times New Roman"/>
                <w:color w:val="000000"/>
                <w:sz w:val="24"/>
                <w:szCs w:val="24"/>
              </w:rPr>
              <w:t>0.</w:t>
            </w:r>
            <w:r w:rsidR="00E671B1">
              <w:rPr>
                <w:rFonts w:ascii="Times New Roman" w:hAnsi="Times New Roman" w:cs="Times New Roman"/>
                <w:color w:val="000000"/>
                <w:sz w:val="24"/>
                <w:szCs w:val="24"/>
              </w:rPr>
              <w:t>181</w:t>
            </w:r>
            <w:r w:rsidRPr="00B5116A">
              <w:rPr>
                <w:rFonts w:ascii="Times New Roman" w:hAnsi="Times New Roman" w:cs="Times New Roman"/>
                <w:color w:val="000000"/>
                <w:sz w:val="24"/>
                <w:szCs w:val="24"/>
              </w:rPr>
              <w:t>2</w:t>
            </w:r>
          </w:p>
        </w:tc>
        <w:tc>
          <w:tcPr>
            <w:tcW w:w="1466" w:type="dxa"/>
            <w:tcBorders>
              <w:bottom w:val="single" w:sz="4" w:space="0" w:color="auto"/>
            </w:tcBorders>
            <w:shd w:val="clear" w:color="auto" w:fill="auto"/>
          </w:tcPr>
          <w:p w14:paraId="6F9FEF36" w14:textId="6DBF5F4F"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E671B1">
              <w:rPr>
                <w:rFonts w:ascii="Times New Roman" w:hAnsi="Times New Roman" w:cs="Times New Roman"/>
                <w:sz w:val="24"/>
                <w:szCs w:val="24"/>
              </w:rPr>
              <w:t>965</w:t>
            </w:r>
            <w:r w:rsidR="00CD199E">
              <w:rPr>
                <w:rFonts w:ascii="Times New Roman" w:hAnsi="Times New Roman" w:cs="Times New Roman"/>
                <w:sz w:val="24"/>
                <w:szCs w:val="24"/>
              </w:rPr>
              <w:t>1</w:t>
            </w:r>
          </w:p>
        </w:tc>
      </w:tr>
    </w:tbl>
    <w:p w14:paraId="665E6D0A" w14:textId="77777777" w:rsidR="00BC44F7" w:rsidRDefault="00BC44F7" w:rsidP="00BC44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1C2E3CF9" w14:textId="246A55A6" w:rsidR="00221BE9" w:rsidRPr="00221BE9" w:rsidRDefault="00221BE9" w:rsidP="00221BE9">
      <w:pPr>
        <w:spacing w:line="360" w:lineRule="auto"/>
        <w:jc w:val="both"/>
        <w:rPr>
          <w:rFonts w:asciiTheme="majorBidi" w:hAnsiTheme="majorBidi" w:cstheme="majorBidi"/>
          <w:sz w:val="24"/>
          <w:szCs w:val="24"/>
        </w:rPr>
      </w:pPr>
      <w:r w:rsidRPr="00221BE9">
        <w:rPr>
          <w:rFonts w:asciiTheme="majorBidi" w:hAnsiTheme="majorBidi" w:cstheme="majorBidi"/>
          <w:sz w:val="24"/>
          <w:szCs w:val="24"/>
        </w:rPr>
        <w:t>From the results, we accepted the null hypotheses regarding serial independence and the homoscedasticity of the residuals at a 5</w:t>
      </w:r>
      <w:r w:rsidR="00172925">
        <w:rPr>
          <w:rFonts w:asciiTheme="majorBidi" w:hAnsiTheme="majorBidi" w:cstheme="majorBidi"/>
          <w:sz w:val="24"/>
          <w:szCs w:val="24"/>
        </w:rPr>
        <w:t>%</w:t>
      </w:r>
      <w:r w:rsidRPr="00221BE9">
        <w:rPr>
          <w:rFonts w:asciiTheme="majorBidi" w:hAnsiTheme="majorBidi" w:cstheme="majorBidi"/>
          <w:sz w:val="24"/>
          <w:szCs w:val="24"/>
        </w:rPr>
        <w:t xml:space="preserve"> significance level. This conclusion comes from the fact that the test statistics are linked to probability values exceeding 0.05. Additionally, the findings indicated that there</w:t>
      </w:r>
      <w:r w:rsidR="00172925">
        <w:rPr>
          <w:rFonts w:asciiTheme="majorBidi" w:hAnsiTheme="majorBidi" w:cstheme="majorBidi"/>
          <w:sz w:val="24"/>
          <w:szCs w:val="24"/>
        </w:rPr>
        <w:t xml:space="preserve"> i</w:t>
      </w:r>
      <w:r w:rsidRPr="00221BE9">
        <w:rPr>
          <w:rFonts w:asciiTheme="majorBidi" w:hAnsiTheme="majorBidi" w:cstheme="majorBidi"/>
          <w:sz w:val="24"/>
          <w:szCs w:val="24"/>
        </w:rPr>
        <w:t>s no specification error in the model, as evidenced by the F-statistic (0.</w:t>
      </w:r>
      <w:r w:rsidR="008078AE">
        <w:rPr>
          <w:rFonts w:asciiTheme="majorBidi" w:hAnsiTheme="majorBidi" w:cstheme="majorBidi"/>
          <w:sz w:val="24"/>
          <w:szCs w:val="24"/>
        </w:rPr>
        <w:t>181</w:t>
      </w:r>
      <w:r w:rsidR="0057086D">
        <w:rPr>
          <w:rFonts w:asciiTheme="majorBidi" w:hAnsiTheme="majorBidi" w:cstheme="majorBidi"/>
          <w:sz w:val="24"/>
          <w:szCs w:val="24"/>
        </w:rPr>
        <w:t>2</w:t>
      </w:r>
      <w:r w:rsidRPr="00221BE9">
        <w:rPr>
          <w:rFonts w:asciiTheme="majorBidi" w:hAnsiTheme="majorBidi" w:cstheme="majorBidi"/>
          <w:sz w:val="24"/>
          <w:szCs w:val="24"/>
        </w:rPr>
        <w:t>) being associated with a high probability value (</w:t>
      </w:r>
      <w:r w:rsidR="0057086D" w:rsidRPr="00B5116A">
        <w:rPr>
          <w:rFonts w:ascii="Times New Roman" w:hAnsi="Times New Roman" w:cs="Times New Roman"/>
          <w:sz w:val="24"/>
          <w:szCs w:val="24"/>
        </w:rPr>
        <w:t>0.</w:t>
      </w:r>
      <w:r w:rsidR="0057086D">
        <w:rPr>
          <w:rFonts w:ascii="Times New Roman" w:hAnsi="Times New Roman" w:cs="Times New Roman"/>
          <w:sz w:val="24"/>
          <w:szCs w:val="24"/>
        </w:rPr>
        <w:t>9651</w:t>
      </w:r>
      <w:r w:rsidRPr="00221BE9">
        <w:rPr>
          <w:rFonts w:asciiTheme="majorBidi" w:hAnsiTheme="majorBidi" w:cstheme="majorBidi"/>
          <w:sz w:val="24"/>
          <w:szCs w:val="24"/>
        </w:rPr>
        <w:t xml:space="preserve">). Consequently, </w:t>
      </w:r>
      <w:r w:rsidRPr="00221BE9">
        <w:rPr>
          <w:rFonts w:asciiTheme="majorBidi" w:hAnsiTheme="majorBidi" w:cstheme="majorBidi"/>
          <w:sz w:val="24"/>
          <w:szCs w:val="24"/>
        </w:rPr>
        <w:lastRenderedPageBreak/>
        <w:t xml:space="preserve">these results suggest that the parsimonious ECM is </w:t>
      </w:r>
      <w:r w:rsidR="006335D6">
        <w:rPr>
          <w:rFonts w:asciiTheme="majorBidi" w:hAnsiTheme="majorBidi" w:cstheme="majorBidi"/>
          <w:sz w:val="24"/>
          <w:szCs w:val="24"/>
        </w:rPr>
        <w:t>reliable</w:t>
      </w:r>
      <w:r w:rsidRPr="00221BE9">
        <w:rPr>
          <w:rFonts w:asciiTheme="majorBidi" w:hAnsiTheme="majorBidi" w:cstheme="majorBidi"/>
          <w:sz w:val="24"/>
          <w:szCs w:val="24"/>
        </w:rPr>
        <w:t xml:space="preserve"> for policy recommendations and long-term forecasting.</w:t>
      </w:r>
    </w:p>
    <w:p w14:paraId="2EDB3564" w14:textId="629C9C69" w:rsidR="009A1B14" w:rsidRDefault="00AE55DC" w:rsidP="009A1B14">
      <w:pPr>
        <w:spacing w:after="0" w:line="360" w:lineRule="auto"/>
        <w:jc w:val="both"/>
      </w:pPr>
      <w:r>
        <w:object w:dxaOrig="7271" w:dyaOrig="5060" w14:anchorId="14BE9B67">
          <v:shape id="_x0000_i1027" type="#_x0000_t75" style="width:464pt;height:252.5pt" o:ole="">
            <v:imagedata r:id="rId12" o:title=""/>
          </v:shape>
          <o:OLEObject Type="Embed" ProgID="EViews.Workfile.2" ShapeID="_x0000_i1027" DrawAspect="Content" ObjectID="_1804494162" r:id="rId13"/>
        </w:object>
      </w:r>
    </w:p>
    <w:p w14:paraId="2A9C10CD" w14:textId="47B96F9D" w:rsidR="009A1B14" w:rsidRDefault="009A1B14" w:rsidP="009A1B14">
      <w:pPr>
        <w:spacing w:after="0" w:line="360" w:lineRule="auto"/>
        <w:jc w:val="both"/>
        <w:rPr>
          <w:rFonts w:ascii="Times New Roman" w:hAnsi="Times New Roman" w:cs="Times New Roman"/>
          <w:b/>
          <w:bCs/>
          <w:sz w:val="24"/>
          <w:szCs w:val="24"/>
        </w:rPr>
      </w:pPr>
      <w:r w:rsidRPr="00B254E4">
        <w:rPr>
          <w:rFonts w:ascii="Times New Roman" w:hAnsi="Times New Roman" w:cs="Times New Roman"/>
          <w:b/>
          <w:bCs/>
          <w:sz w:val="24"/>
          <w:szCs w:val="24"/>
        </w:rPr>
        <w:t xml:space="preserve">Figure </w:t>
      </w:r>
      <w:r w:rsidR="007F45AA">
        <w:rPr>
          <w:rFonts w:ascii="Times New Roman" w:hAnsi="Times New Roman" w:cs="Times New Roman"/>
          <w:b/>
          <w:bCs/>
          <w:sz w:val="24"/>
          <w:szCs w:val="24"/>
        </w:rPr>
        <w:t>2</w:t>
      </w:r>
      <w:r w:rsidRPr="00B254E4">
        <w:rPr>
          <w:rFonts w:ascii="Times New Roman" w:hAnsi="Times New Roman" w:cs="Times New Roman"/>
          <w:b/>
          <w:bCs/>
          <w:sz w:val="24"/>
          <w:szCs w:val="24"/>
        </w:rPr>
        <w:t>: Cumulative sum (CUSUM) of squares graph</w:t>
      </w:r>
    </w:p>
    <w:p w14:paraId="19498F6C" w14:textId="77777777" w:rsidR="00C27F0B" w:rsidRDefault="00C27F0B" w:rsidP="00C27F0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216DA635" w14:textId="6807D4D6" w:rsidR="009A1B14" w:rsidRPr="00F302A8" w:rsidRDefault="00F302A8" w:rsidP="00F302A8">
      <w:pPr>
        <w:spacing w:line="360" w:lineRule="auto"/>
        <w:jc w:val="both"/>
        <w:rPr>
          <w:rFonts w:asciiTheme="majorBidi" w:hAnsiTheme="majorBidi" w:cstheme="majorBidi"/>
          <w:sz w:val="24"/>
          <w:szCs w:val="24"/>
        </w:rPr>
      </w:pPr>
      <w:bookmarkStart w:id="3" w:name="_Hlk157842636"/>
      <w:r w:rsidRPr="00F302A8">
        <w:rPr>
          <w:rFonts w:asciiTheme="majorBidi" w:hAnsiTheme="majorBidi" w:cstheme="majorBidi"/>
          <w:sz w:val="24"/>
          <w:szCs w:val="24"/>
        </w:rPr>
        <w:t>It</w:t>
      </w:r>
      <w:r>
        <w:rPr>
          <w:rFonts w:asciiTheme="majorBidi" w:hAnsiTheme="majorBidi" w:cstheme="majorBidi"/>
          <w:sz w:val="24"/>
          <w:szCs w:val="24"/>
        </w:rPr>
        <w:t xml:space="preserve"> is evident</w:t>
      </w:r>
      <w:r w:rsidRPr="00F302A8">
        <w:rPr>
          <w:rFonts w:asciiTheme="majorBidi" w:hAnsiTheme="majorBidi" w:cstheme="majorBidi"/>
          <w:sz w:val="24"/>
          <w:szCs w:val="24"/>
        </w:rPr>
        <w:t xml:space="preserve"> from Figure </w:t>
      </w:r>
      <w:r w:rsidR="007F45AA">
        <w:rPr>
          <w:rFonts w:asciiTheme="majorBidi" w:hAnsiTheme="majorBidi" w:cstheme="majorBidi"/>
          <w:sz w:val="24"/>
          <w:szCs w:val="24"/>
        </w:rPr>
        <w:t>2</w:t>
      </w:r>
      <w:r w:rsidRPr="00F302A8">
        <w:rPr>
          <w:rFonts w:asciiTheme="majorBidi" w:hAnsiTheme="majorBidi" w:cstheme="majorBidi"/>
          <w:sz w:val="24"/>
          <w:szCs w:val="24"/>
        </w:rPr>
        <w:t xml:space="preserve"> that the CUSUM of the squares graph </w:t>
      </w:r>
      <w:r>
        <w:rPr>
          <w:rFonts w:asciiTheme="majorBidi" w:hAnsiTheme="majorBidi" w:cstheme="majorBidi"/>
          <w:sz w:val="24"/>
          <w:szCs w:val="24"/>
        </w:rPr>
        <w:t>is</w:t>
      </w:r>
      <w:r w:rsidRPr="00F302A8">
        <w:rPr>
          <w:rFonts w:asciiTheme="majorBidi" w:hAnsiTheme="majorBidi" w:cstheme="majorBidi"/>
          <w:sz w:val="24"/>
          <w:szCs w:val="24"/>
        </w:rPr>
        <w:t xml:space="preserve"> within the two critical bounds at the 5% level. This indicates that the estimated parameters have remained stable throughout the study period.</w:t>
      </w:r>
    </w:p>
    <w:bookmarkEnd w:id="3"/>
    <w:p w14:paraId="068E0371" w14:textId="69843FA7" w:rsidR="009A1B14" w:rsidRDefault="009A1B14" w:rsidP="009A1B14">
      <w:pPr>
        <w:spacing w:after="0" w:line="360" w:lineRule="auto"/>
        <w:jc w:val="both"/>
        <w:rPr>
          <w:rFonts w:ascii="Times New Roman" w:hAnsi="Times New Roman" w:cs="Times New Roman"/>
          <w:b/>
          <w:bCs/>
          <w:sz w:val="24"/>
          <w:szCs w:val="24"/>
        </w:rPr>
      </w:pPr>
      <w:r w:rsidRPr="005C7FC6">
        <w:rPr>
          <w:rFonts w:ascii="Times New Roman" w:hAnsi="Times New Roman" w:cs="Times New Roman"/>
          <w:b/>
          <w:bCs/>
          <w:sz w:val="24"/>
          <w:szCs w:val="24"/>
        </w:rPr>
        <w:t>5.</w:t>
      </w:r>
      <w:r>
        <w:rPr>
          <w:rFonts w:ascii="Times New Roman" w:hAnsi="Times New Roman" w:cs="Times New Roman"/>
          <w:b/>
          <w:bCs/>
          <w:sz w:val="24"/>
          <w:szCs w:val="24"/>
        </w:rPr>
        <w:t xml:space="preserve"> </w:t>
      </w:r>
      <w:r w:rsidRPr="005C7FC6">
        <w:rPr>
          <w:rFonts w:ascii="Times New Roman" w:hAnsi="Times New Roman" w:cs="Times New Roman"/>
          <w:b/>
          <w:bCs/>
          <w:sz w:val="24"/>
          <w:szCs w:val="24"/>
        </w:rPr>
        <w:t>Conclusion</w:t>
      </w:r>
      <w:r>
        <w:rPr>
          <w:rFonts w:ascii="Times New Roman" w:hAnsi="Times New Roman" w:cs="Times New Roman"/>
          <w:b/>
          <w:bCs/>
          <w:sz w:val="24"/>
          <w:szCs w:val="24"/>
        </w:rPr>
        <w:t xml:space="preserve"> and </w:t>
      </w:r>
      <w:r w:rsidR="009A6791">
        <w:rPr>
          <w:rFonts w:ascii="Times New Roman" w:hAnsi="Times New Roman" w:cs="Times New Roman"/>
          <w:b/>
          <w:bCs/>
          <w:sz w:val="24"/>
          <w:szCs w:val="24"/>
        </w:rPr>
        <w:t>Policy Insights</w:t>
      </w:r>
    </w:p>
    <w:p w14:paraId="18E30843" w14:textId="6B162274" w:rsidR="00CE1BE3" w:rsidRDefault="000F712F" w:rsidP="009670D3">
      <w:pPr>
        <w:spacing w:after="0" w:line="360" w:lineRule="auto"/>
        <w:jc w:val="both"/>
        <w:rPr>
          <w:rFonts w:ascii="Arial" w:hAnsi="Arial" w:cs="Arial"/>
          <w:sz w:val="20"/>
          <w:szCs w:val="20"/>
          <w:shd w:val="clear" w:color="auto" w:fill="F5F5F5"/>
        </w:rPr>
      </w:pPr>
      <w:bookmarkStart w:id="4" w:name="_Hlk157842545"/>
      <w:r>
        <w:rPr>
          <w:rFonts w:asciiTheme="majorBidi" w:hAnsiTheme="majorBidi" w:cstheme="majorBidi"/>
          <w:sz w:val="24"/>
          <w:szCs w:val="24"/>
        </w:rPr>
        <w:t xml:space="preserve">The core of this study is to deepen the understanding of how fluctuations in oil prices affect fiscal sustainability in Nigeria, particularly regarding debt servicing. This arises in response to increasing concerns about the changing dynamics of oil prices in the global market and the ongoing floating of the naira in the foreign exchange market. In this context, we examined how the prices of Brent crude oil, West Texas Intermediate crude oil, and the exchange rate contribute to achieving fiscal sustainability through improved debt servicing. The findings indicated that the prices of Brent crude and West Texas Intermediate crude oil positively impacted debt servicing during the study period. In contrast, only the price of Brent crude oil significantly influences debt servicing, suggesting that the Nigerian government should capitalise on the increased revenue associated with the rising price of Brent crude to promote fiscal sustainability by servicing both domestic and external debts. </w:t>
      </w:r>
      <w:r w:rsidRPr="00C41D15">
        <w:rPr>
          <w:rFonts w:asciiTheme="majorBidi" w:hAnsiTheme="majorBidi" w:cstheme="majorBidi"/>
          <w:sz w:val="24"/>
          <w:szCs w:val="24"/>
          <w:highlight w:val="yellow"/>
        </w:rPr>
        <w:t xml:space="preserve">The government must </w:t>
      </w:r>
      <w:r w:rsidR="00EA1A41" w:rsidRPr="00C41D15">
        <w:rPr>
          <w:rFonts w:asciiTheme="majorBidi" w:hAnsiTheme="majorBidi" w:cstheme="majorBidi"/>
          <w:sz w:val="24"/>
          <w:szCs w:val="24"/>
          <w:highlight w:val="yellow"/>
        </w:rPr>
        <w:t>o</w:t>
      </w:r>
      <w:r w:rsidRPr="00C41D15">
        <w:rPr>
          <w:rFonts w:asciiTheme="majorBidi" w:hAnsiTheme="majorBidi" w:cstheme="majorBidi"/>
          <w:sz w:val="24"/>
          <w:szCs w:val="24"/>
          <w:highlight w:val="yellow"/>
        </w:rPr>
        <w:t>ptimise oil revenues to enhance public debt sustainability for better fiscal performance</w:t>
      </w:r>
      <w:r>
        <w:rPr>
          <w:rFonts w:asciiTheme="majorBidi" w:hAnsiTheme="majorBidi" w:cstheme="majorBidi"/>
          <w:sz w:val="24"/>
          <w:szCs w:val="24"/>
        </w:rPr>
        <w:t xml:space="preserve">. </w:t>
      </w:r>
      <w:r>
        <w:rPr>
          <w:rFonts w:asciiTheme="majorBidi" w:hAnsiTheme="majorBidi" w:cstheme="majorBidi"/>
          <w:sz w:val="24"/>
          <w:szCs w:val="24"/>
        </w:rPr>
        <w:lastRenderedPageBreak/>
        <w:t>Additionally, the findings revealed that exchange rates negatively affect debt servicing. This implies that an increase in the exchange rate poses a threat to the goal of fiscal sustainability in Nigeria. Therefore, the Central Bank of Nigeria must prioritise maintaining strong foreign currency reserves to mitigate the risks associated with fluctuations in exchange rates. Furthermore, policymakers, including the Debt Management Office (DMO), must enhance their efforts by diversifying debt currencies while also considering the use of financial instruments such as currency swaps to safeguard against exchange rate risks. This approach could potentially create more pathways for fiscal sustainability and ensure that debt servicing remains effective and sustainable</w:t>
      </w:r>
      <w:r w:rsidR="00890C67">
        <w:rPr>
          <w:rFonts w:ascii="Arial" w:hAnsi="Arial" w:cs="Arial"/>
          <w:sz w:val="20"/>
          <w:szCs w:val="20"/>
          <w:shd w:val="clear" w:color="auto" w:fill="F5F5F5"/>
        </w:rPr>
        <w:t xml:space="preserve">. </w:t>
      </w:r>
    </w:p>
    <w:bookmarkEnd w:id="4"/>
    <w:p w14:paraId="17576E52" w14:textId="77777777" w:rsidR="009A1B14" w:rsidRDefault="009A1B14" w:rsidP="009A1B14">
      <w:pPr>
        <w:spacing w:after="0" w:line="240" w:lineRule="auto"/>
        <w:rPr>
          <w:rFonts w:ascii="Times New Roman" w:hAnsi="Times New Roman" w:cs="Times New Roman"/>
          <w:b/>
          <w:bCs/>
          <w:sz w:val="24"/>
          <w:szCs w:val="24"/>
        </w:rPr>
      </w:pPr>
      <w:r w:rsidRPr="00B657D7">
        <w:rPr>
          <w:rFonts w:ascii="Times New Roman" w:hAnsi="Times New Roman" w:cs="Times New Roman"/>
          <w:b/>
          <w:bCs/>
          <w:sz w:val="24"/>
          <w:szCs w:val="24"/>
        </w:rPr>
        <w:t>REFERENCES</w:t>
      </w:r>
    </w:p>
    <w:p w14:paraId="26D931A7"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Abdul-Mumuni, A., Insaidoo, M., Musah, A., &amp; Akotoa, R. (2023). Effect of Crude Oil Price Changes on Human Development in Ghana: A Structural Equations Modeling Approach. </w:t>
      </w:r>
      <w:r w:rsidRPr="007920FE">
        <w:rPr>
          <w:rFonts w:asciiTheme="majorBidi" w:hAnsiTheme="majorBidi" w:cstheme="majorBidi"/>
          <w:i/>
          <w:iCs/>
          <w:color w:val="222222"/>
          <w:sz w:val="24"/>
          <w:szCs w:val="24"/>
          <w:shd w:val="clear" w:color="auto" w:fill="FFFFFF"/>
        </w:rPr>
        <w:t>Journal of Business and Economic Studies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26</w:t>
      </w:r>
      <w:r w:rsidRPr="007920FE">
        <w:rPr>
          <w:rFonts w:asciiTheme="majorBidi" w:hAnsiTheme="majorBidi" w:cstheme="majorBidi"/>
          <w:color w:val="222222"/>
          <w:sz w:val="24"/>
          <w:szCs w:val="24"/>
          <w:shd w:val="clear" w:color="auto" w:fill="FFFFFF"/>
        </w:rPr>
        <w:t>(2), 34-55.</w:t>
      </w:r>
    </w:p>
    <w:p w14:paraId="75529F58"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Agboola, E., Chowdhury, R., &amp; Yang, B. (2024). Oil price fluctuations and their impact on oil-exporting emerging economies. </w:t>
      </w:r>
      <w:r w:rsidRPr="007920FE">
        <w:rPr>
          <w:rFonts w:asciiTheme="majorBidi" w:hAnsiTheme="majorBidi" w:cstheme="majorBidi"/>
          <w:i/>
          <w:iCs/>
          <w:color w:val="222222"/>
          <w:sz w:val="24"/>
          <w:szCs w:val="24"/>
          <w:shd w:val="clear" w:color="auto" w:fill="FFFFFF"/>
        </w:rPr>
        <w:t>Economic Modelling</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132</w:t>
      </w:r>
      <w:r w:rsidRPr="007920FE">
        <w:rPr>
          <w:rFonts w:asciiTheme="majorBidi" w:hAnsiTheme="majorBidi" w:cstheme="majorBidi"/>
          <w:color w:val="222222"/>
          <w:sz w:val="24"/>
          <w:szCs w:val="24"/>
          <w:shd w:val="clear" w:color="auto" w:fill="FFFFFF"/>
        </w:rPr>
        <w:t>, 106665.</w:t>
      </w:r>
    </w:p>
    <w:p w14:paraId="7DB7DE56"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r w:rsidRPr="007920FE">
        <w:rPr>
          <w:rFonts w:asciiTheme="majorBidi" w:hAnsiTheme="majorBidi" w:cstheme="majorBidi"/>
          <w:color w:val="222222"/>
          <w:sz w:val="24"/>
          <w:szCs w:val="24"/>
          <w:shd w:val="clear" w:color="auto" w:fill="FFFFFF"/>
        </w:rPr>
        <w:t>Ako-Nai, R. I., &amp; Ayoola, A. O. (2013). Oil and debt management in Nigeria. </w:t>
      </w:r>
      <w:r w:rsidRPr="007920FE">
        <w:rPr>
          <w:rFonts w:asciiTheme="majorBidi" w:hAnsiTheme="majorBidi" w:cstheme="majorBidi"/>
          <w:i/>
          <w:iCs/>
          <w:color w:val="222222"/>
          <w:sz w:val="24"/>
          <w:szCs w:val="24"/>
          <w:shd w:val="clear" w:color="auto" w:fill="FFFFFF"/>
        </w:rPr>
        <w:t>J</w:t>
      </w:r>
      <w:r w:rsidRPr="007920FE">
        <w:rPr>
          <w:rFonts w:asciiTheme="majorBidi" w:hAnsiTheme="majorBidi" w:cstheme="majorBidi"/>
          <w:i/>
          <w:iCs/>
          <w:color w:val="222222"/>
          <w:sz w:val="24"/>
          <w:szCs w:val="24"/>
          <w:shd w:val="clear" w:color="auto" w:fill="FFFFFF"/>
          <w:lang w:val="en-GB"/>
        </w:rPr>
        <w:t>ournal of</w:t>
      </w:r>
      <w:r w:rsidRPr="007920FE">
        <w:rPr>
          <w:rFonts w:asciiTheme="majorBidi" w:hAnsiTheme="majorBidi" w:cstheme="majorBidi"/>
          <w:i/>
          <w:iCs/>
          <w:color w:val="222222"/>
          <w:sz w:val="24"/>
          <w:szCs w:val="24"/>
          <w:shd w:val="clear" w:color="auto" w:fill="FFFFFF"/>
        </w:rPr>
        <w:t xml:space="preserve"> Pol</w:t>
      </w:r>
      <w:r w:rsidRPr="007920FE">
        <w:rPr>
          <w:rFonts w:asciiTheme="majorBidi" w:hAnsiTheme="majorBidi" w:cstheme="majorBidi"/>
          <w:i/>
          <w:iCs/>
          <w:color w:val="222222"/>
          <w:sz w:val="24"/>
          <w:szCs w:val="24"/>
          <w:shd w:val="clear" w:color="auto" w:fill="FFFFFF"/>
          <w:lang w:val="en-GB"/>
        </w:rPr>
        <w:t>itics</w:t>
      </w:r>
      <w:r w:rsidRPr="007920FE">
        <w:rPr>
          <w:rFonts w:asciiTheme="majorBidi" w:hAnsiTheme="majorBidi" w:cstheme="majorBidi"/>
          <w:i/>
          <w:iCs/>
          <w:color w:val="222222"/>
          <w:sz w:val="24"/>
          <w:szCs w:val="24"/>
          <w:shd w:val="clear" w:color="auto" w:fill="FFFFFF"/>
        </w:rPr>
        <w:t xml:space="preserve"> &amp; L</w:t>
      </w:r>
      <w:r w:rsidRPr="007920FE">
        <w:rPr>
          <w:rFonts w:asciiTheme="majorBidi" w:hAnsiTheme="majorBidi" w:cstheme="majorBidi"/>
          <w:i/>
          <w:iCs/>
          <w:color w:val="222222"/>
          <w:sz w:val="24"/>
          <w:szCs w:val="24"/>
          <w:shd w:val="clear" w:color="auto" w:fill="FFFFFF"/>
          <w:lang w:val="en-GB"/>
        </w:rPr>
        <w:t>aw</w:t>
      </w:r>
      <w:r w:rsidRPr="007920FE">
        <w:rPr>
          <w:rFonts w:asciiTheme="majorBidi" w:hAnsiTheme="majorBidi" w:cstheme="majorBidi"/>
          <w:i/>
          <w:iCs/>
          <w:color w:val="222222"/>
          <w:sz w:val="24"/>
          <w:szCs w:val="24"/>
          <w:shd w:val="clear" w:color="auto" w:fill="FFFFFF"/>
        </w:rPr>
        <w:t>.</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6</w:t>
      </w:r>
      <w:r w:rsidRPr="007920FE">
        <w:rPr>
          <w:rFonts w:asciiTheme="majorBidi" w:hAnsiTheme="majorBidi" w:cstheme="majorBidi"/>
          <w:color w:val="222222"/>
          <w:sz w:val="24"/>
          <w:szCs w:val="24"/>
          <w:shd w:val="clear" w:color="auto" w:fill="FFFFFF"/>
          <w:lang w:val="en-GB"/>
        </w:rPr>
        <w:t>(2),</w:t>
      </w:r>
      <w:r w:rsidRPr="007920FE">
        <w:rPr>
          <w:rFonts w:asciiTheme="majorBidi" w:hAnsiTheme="majorBidi" w:cstheme="majorBidi"/>
          <w:color w:val="222222"/>
          <w:sz w:val="24"/>
          <w:szCs w:val="24"/>
          <w:shd w:val="clear" w:color="auto" w:fill="FFFFFF"/>
        </w:rPr>
        <w:t xml:space="preserve"> 178</w:t>
      </w:r>
    </w:p>
    <w:p w14:paraId="11D994B0"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Al Jabri, S., Raghavan, M., &amp; Vespignani, J. (2022). Oil prices and fiscal policy in an oil-exporter country: Empirical evidence from Oman. </w:t>
      </w:r>
      <w:r w:rsidRPr="007920FE">
        <w:rPr>
          <w:rFonts w:asciiTheme="majorBidi" w:hAnsiTheme="majorBidi" w:cstheme="majorBidi"/>
          <w:i/>
          <w:iCs/>
          <w:color w:val="222222"/>
          <w:sz w:val="24"/>
          <w:szCs w:val="24"/>
          <w:shd w:val="clear" w:color="auto" w:fill="FFFFFF"/>
        </w:rPr>
        <w:t>Energy Economics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111</w:t>
      </w:r>
      <w:r w:rsidRPr="007920FE">
        <w:rPr>
          <w:rFonts w:asciiTheme="majorBidi" w:hAnsiTheme="majorBidi" w:cstheme="majorBidi"/>
          <w:color w:val="222222"/>
          <w:sz w:val="24"/>
          <w:szCs w:val="24"/>
          <w:shd w:val="clear" w:color="auto" w:fill="FFFFFF"/>
        </w:rPr>
        <w:t>, 106103.</w:t>
      </w:r>
    </w:p>
    <w:p w14:paraId="2ED7B281" w14:textId="77777777" w:rsidR="001003D4" w:rsidRDefault="00F41EAE" w:rsidP="001003D4">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Alshaib, B. M., Al Khatib, A. M. G., Nuta, A. C., Hamra, M., Mishra, P., Gautam, R., ... &amp; Zamfir, C. G. (2023). Fiscal sustainability and its implications for economic growth in Egypt: An empirical analysis. </w:t>
      </w:r>
      <w:r w:rsidRPr="007920FE">
        <w:rPr>
          <w:rFonts w:asciiTheme="majorBidi" w:hAnsiTheme="majorBidi" w:cstheme="majorBidi"/>
          <w:i/>
          <w:iCs/>
          <w:color w:val="222222"/>
          <w:sz w:val="24"/>
          <w:szCs w:val="24"/>
          <w:shd w:val="clear" w:color="auto" w:fill="FFFFFF"/>
        </w:rPr>
        <w:t>SAGE Open</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13</w:t>
      </w:r>
      <w:r w:rsidRPr="007920FE">
        <w:rPr>
          <w:rFonts w:asciiTheme="majorBidi" w:hAnsiTheme="majorBidi" w:cstheme="majorBidi"/>
          <w:color w:val="222222"/>
          <w:sz w:val="24"/>
          <w:szCs w:val="24"/>
          <w:shd w:val="clear" w:color="auto" w:fill="FFFFFF"/>
        </w:rPr>
        <w:t>(4), 21582440231215983.</w:t>
      </w:r>
    </w:p>
    <w:p w14:paraId="28348613" w14:textId="5655A63F" w:rsidR="001003D4" w:rsidRPr="001003D4" w:rsidRDefault="001003D4" w:rsidP="001003D4">
      <w:pPr>
        <w:spacing w:line="276" w:lineRule="auto"/>
        <w:ind w:left="567" w:hanging="567"/>
        <w:jc w:val="both"/>
        <w:rPr>
          <w:rFonts w:asciiTheme="majorBidi" w:hAnsiTheme="majorBidi" w:cstheme="majorBidi"/>
          <w:color w:val="222222"/>
          <w:sz w:val="24"/>
          <w:szCs w:val="24"/>
          <w:shd w:val="clear" w:color="auto" w:fill="FFFFFF"/>
        </w:rPr>
      </w:pPr>
      <w:r w:rsidRPr="001003D4">
        <w:rPr>
          <w:rFonts w:ascii="Times New Roman" w:hAnsi="Times New Roman" w:cs="Times New Roman"/>
          <w:color w:val="222222"/>
          <w:sz w:val="24"/>
          <w:szCs w:val="24"/>
          <w:shd w:val="clear" w:color="auto" w:fill="FFFFFF"/>
        </w:rPr>
        <w:t xml:space="preserve">Aremo, A. G., Orisadare, M. A., &amp; Ekperiware, C. M. (2012). Oil price shocks and fiscal policy management: Implications for Nigerian economic planning (1980-2009). </w:t>
      </w:r>
      <w:r w:rsidRPr="001003D4">
        <w:rPr>
          <w:rFonts w:ascii="Times New Roman" w:hAnsi="Times New Roman" w:cs="Times New Roman"/>
          <w:i/>
          <w:iCs/>
          <w:color w:val="222222"/>
          <w:sz w:val="24"/>
          <w:szCs w:val="24"/>
          <w:shd w:val="clear" w:color="auto" w:fill="FFFFFF"/>
        </w:rPr>
        <w:t>International journal of development and sustainability</w:t>
      </w:r>
      <w:r w:rsidRPr="001003D4">
        <w:rPr>
          <w:rFonts w:ascii="Times New Roman" w:hAnsi="Times New Roman" w:cs="Times New Roman"/>
          <w:color w:val="222222"/>
          <w:sz w:val="24"/>
          <w:szCs w:val="24"/>
          <w:shd w:val="clear" w:color="auto" w:fill="FFFFFF"/>
        </w:rPr>
        <w:t xml:space="preserve">, </w:t>
      </w:r>
      <w:r w:rsidRPr="001003D4">
        <w:rPr>
          <w:rFonts w:ascii="Times New Roman" w:hAnsi="Times New Roman" w:cs="Times New Roman"/>
          <w:i/>
          <w:iCs/>
          <w:color w:val="222222"/>
          <w:sz w:val="24"/>
          <w:szCs w:val="24"/>
          <w:shd w:val="clear" w:color="auto" w:fill="FFFFFF"/>
        </w:rPr>
        <w:t>1</w:t>
      </w:r>
      <w:r w:rsidRPr="001003D4">
        <w:rPr>
          <w:rFonts w:ascii="Times New Roman" w:hAnsi="Times New Roman" w:cs="Times New Roman"/>
          <w:color w:val="222222"/>
          <w:sz w:val="24"/>
          <w:szCs w:val="24"/>
          <w:shd w:val="clear" w:color="auto" w:fill="FFFFFF"/>
        </w:rPr>
        <w:t>(3), 1121-1139.</w:t>
      </w:r>
    </w:p>
    <w:p w14:paraId="576D8CDA" w14:textId="77777777" w:rsidR="00F41EAE" w:rsidRPr="007920FE" w:rsidRDefault="00F41EAE" w:rsidP="00F41EAE">
      <w:pPr>
        <w:spacing w:after="0" w:line="276" w:lineRule="auto"/>
        <w:ind w:left="567" w:hanging="567"/>
        <w:jc w:val="both"/>
        <w:rPr>
          <w:rFonts w:asciiTheme="majorBidi" w:hAnsiTheme="majorBidi" w:cstheme="majorBidi"/>
          <w:sz w:val="24"/>
          <w:szCs w:val="24"/>
        </w:rPr>
      </w:pPr>
      <w:r w:rsidRPr="007920FE">
        <w:rPr>
          <w:rFonts w:asciiTheme="majorBidi" w:hAnsiTheme="majorBidi" w:cstheme="majorBidi"/>
          <w:sz w:val="24"/>
          <w:szCs w:val="24"/>
        </w:rPr>
        <w:t>Auty, R. M. (1993). Sustaining Development in Mineral Economies: The Resource Curse Thesis, London: Routledge.</w:t>
      </w:r>
    </w:p>
    <w:p w14:paraId="20C16322" w14:textId="77777777" w:rsidR="00F41EAE" w:rsidRPr="007920FE" w:rsidRDefault="00F41EAE" w:rsidP="00F41EAE">
      <w:pPr>
        <w:spacing w:after="0" w:line="276" w:lineRule="auto"/>
        <w:ind w:left="567" w:hanging="567"/>
        <w:jc w:val="both"/>
        <w:rPr>
          <w:rFonts w:asciiTheme="majorBidi" w:hAnsiTheme="majorBidi" w:cstheme="majorBidi"/>
          <w:sz w:val="24"/>
          <w:szCs w:val="24"/>
        </w:rPr>
      </w:pPr>
      <w:r w:rsidRPr="007920FE">
        <w:rPr>
          <w:rFonts w:asciiTheme="majorBidi" w:hAnsiTheme="majorBidi" w:cstheme="majorBidi"/>
          <w:sz w:val="24"/>
          <w:szCs w:val="24"/>
        </w:rPr>
        <w:t>Auty, R. M. (1998). Resource Abundance and Economic Development: Improving the Performance of Resource Rich Countries, Helsinki: UNU World Institute for Development Economics research.</w:t>
      </w:r>
    </w:p>
    <w:p w14:paraId="3604E452"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Collier, P., &amp; Hoeffler, A. (2002). On the incidence of civil war in Africa. </w:t>
      </w:r>
      <w:r w:rsidRPr="007920FE">
        <w:rPr>
          <w:rFonts w:asciiTheme="majorBidi" w:hAnsiTheme="majorBidi" w:cstheme="majorBidi"/>
          <w:i/>
          <w:iCs/>
          <w:color w:val="222222"/>
          <w:sz w:val="24"/>
          <w:szCs w:val="24"/>
          <w:shd w:val="clear" w:color="auto" w:fill="FFFFFF"/>
        </w:rPr>
        <w:t>Journal of Conflict Resolution</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46</w:t>
      </w:r>
      <w:r w:rsidRPr="007920FE">
        <w:rPr>
          <w:rFonts w:asciiTheme="majorBidi" w:hAnsiTheme="majorBidi" w:cstheme="majorBidi"/>
          <w:color w:val="222222"/>
          <w:sz w:val="24"/>
          <w:szCs w:val="24"/>
          <w:shd w:val="clear" w:color="auto" w:fill="FFFFFF"/>
        </w:rPr>
        <w:t>(1), 13-28.</w:t>
      </w:r>
    </w:p>
    <w:p w14:paraId="74B7F6E0"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Dickey, D. A., &amp; Fuller, W. A. (1981). Likelihood ratio statistics for autoregressive time series with a unit root. </w:t>
      </w:r>
      <w:r w:rsidRPr="007920FE">
        <w:rPr>
          <w:rFonts w:asciiTheme="majorBidi" w:hAnsiTheme="majorBidi" w:cstheme="majorBidi"/>
          <w:i/>
          <w:iCs/>
          <w:color w:val="222222"/>
          <w:sz w:val="24"/>
          <w:szCs w:val="24"/>
          <w:shd w:val="clear" w:color="auto" w:fill="FFFFFF"/>
        </w:rPr>
        <w:t>Econometrica: journal of the Econometric Society</w:t>
      </w:r>
      <w:r w:rsidRPr="007920FE">
        <w:rPr>
          <w:rFonts w:asciiTheme="majorBidi" w:hAnsiTheme="majorBidi" w:cstheme="majorBidi"/>
          <w:color w:val="222222"/>
          <w:sz w:val="24"/>
          <w:szCs w:val="24"/>
          <w:shd w:val="clear" w:color="auto" w:fill="FFFFFF"/>
        </w:rPr>
        <w:t>, 1057-1072.</w:t>
      </w:r>
    </w:p>
    <w:p w14:paraId="5086EE74"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El-Naser, A., Dincă, G., &amp; Dincă, M. S. (2025). Investigating the Determinants of Public Debt Sustainability for European Union Countries. </w:t>
      </w:r>
      <w:r w:rsidRPr="007920FE">
        <w:rPr>
          <w:rFonts w:asciiTheme="majorBidi" w:hAnsiTheme="majorBidi" w:cstheme="majorBidi"/>
          <w:i/>
          <w:iCs/>
          <w:color w:val="222222"/>
          <w:sz w:val="24"/>
          <w:szCs w:val="24"/>
          <w:shd w:val="clear" w:color="auto" w:fill="FFFFFF"/>
        </w:rPr>
        <w:t>Scientific Annals of Economics and Business</w:t>
      </w:r>
      <w:r w:rsidRPr="007920FE">
        <w:rPr>
          <w:rFonts w:asciiTheme="majorBidi" w:hAnsiTheme="majorBidi" w:cstheme="majorBidi"/>
          <w:color w:val="222222"/>
          <w:sz w:val="24"/>
          <w:szCs w:val="24"/>
          <w:shd w:val="clear" w:color="auto" w:fill="FFFFFF"/>
        </w:rPr>
        <w:t>.</w:t>
      </w:r>
    </w:p>
    <w:p w14:paraId="6376B460" w14:textId="77777777" w:rsidR="00F41EAE" w:rsidRPr="007920FE" w:rsidRDefault="00F41EAE" w:rsidP="00F41EAE">
      <w:pPr>
        <w:spacing w:after="0" w:line="276" w:lineRule="auto"/>
        <w:ind w:left="567" w:hanging="567"/>
        <w:jc w:val="both"/>
        <w:rPr>
          <w:rFonts w:asciiTheme="majorBidi" w:hAnsiTheme="majorBidi" w:cstheme="majorBidi"/>
          <w:b/>
          <w:bCs/>
          <w:sz w:val="24"/>
          <w:szCs w:val="24"/>
        </w:rPr>
      </w:pPr>
      <w:r w:rsidRPr="007920FE">
        <w:rPr>
          <w:rFonts w:asciiTheme="majorBidi" w:hAnsiTheme="majorBidi" w:cstheme="majorBidi"/>
          <w:color w:val="222222"/>
          <w:sz w:val="24"/>
          <w:szCs w:val="24"/>
          <w:shd w:val="clear" w:color="auto" w:fill="FFFFFF"/>
        </w:rPr>
        <w:lastRenderedPageBreak/>
        <w:t>Engle, R. F., &amp; Granger, C. W. (1987). Co-integration and error correction: representation, estimation, and testing. </w:t>
      </w:r>
      <w:r w:rsidRPr="007920FE">
        <w:rPr>
          <w:rFonts w:asciiTheme="majorBidi" w:hAnsiTheme="majorBidi" w:cstheme="majorBidi"/>
          <w:i/>
          <w:iCs/>
          <w:color w:val="222222"/>
          <w:sz w:val="24"/>
          <w:szCs w:val="24"/>
          <w:shd w:val="clear" w:color="auto" w:fill="FFFFFF"/>
        </w:rPr>
        <w:t>Econometrica: journal of the Econometric Society</w:t>
      </w:r>
      <w:r w:rsidRPr="007920FE">
        <w:rPr>
          <w:rFonts w:asciiTheme="majorBidi" w:hAnsiTheme="majorBidi" w:cstheme="majorBidi"/>
          <w:color w:val="222222"/>
          <w:sz w:val="24"/>
          <w:szCs w:val="24"/>
          <w:shd w:val="clear" w:color="auto" w:fill="FFFFFF"/>
        </w:rPr>
        <w:t>, 251-276.</w:t>
      </w:r>
    </w:p>
    <w:p w14:paraId="5BF2B7B7"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r w:rsidRPr="005B604D">
        <w:rPr>
          <w:rFonts w:asciiTheme="majorBidi" w:hAnsiTheme="majorBidi" w:cstheme="majorBidi"/>
          <w:color w:val="222222"/>
          <w:sz w:val="24"/>
          <w:szCs w:val="24"/>
          <w:shd w:val="clear" w:color="auto" w:fill="FFFFFF"/>
          <w:lang w:val="fr-FR"/>
        </w:rPr>
        <w:t xml:space="preserve">Eze, G. P. &amp; Apiri, T. R. (2020). </w:t>
      </w:r>
      <w:r w:rsidRPr="007920FE">
        <w:rPr>
          <w:rFonts w:asciiTheme="majorBidi" w:hAnsiTheme="majorBidi" w:cstheme="majorBidi"/>
          <w:color w:val="222222"/>
          <w:sz w:val="24"/>
          <w:szCs w:val="24"/>
          <w:shd w:val="clear" w:color="auto" w:fill="FFFFFF"/>
        </w:rPr>
        <w:t>Oil Price Volatility And External Debt Management In Nigeria: Empirical Evidence.</w:t>
      </w:r>
      <w:r w:rsidRPr="007920FE">
        <w:rPr>
          <w:rFonts w:asciiTheme="majorBidi" w:hAnsiTheme="majorBidi" w:cstheme="majorBidi"/>
          <w:color w:val="222222"/>
          <w:sz w:val="24"/>
          <w:szCs w:val="24"/>
          <w:shd w:val="clear" w:color="auto" w:fill="FFFFFF"/>
          <w:lang w:val="en-GB"/>
        </w:rPr>
        <w:t xml:space="preserve"> International Journal of Scientific and Research Publications, 10(1), 669-705.</w:t>
      </w:r>
    </w:p>
    <w:p w14:paraId="097ED674"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Hathroubi, S., &amp; Aloui, C. (2022). Oil price dynamics and fiscal policy cyclicality in Saudi Arabia: New evidence from partial and multiple wavelet coherences. </w:t>
      </w:r>
      <w:r w:rsidRPr="007920FE">
        <w:rPr>
          <w:rFonts w:asciiTheme="majorBidi" w:hAnsiTheme="majorBidi" w:cstheme="majorBidi"/>
          <w:i/>
          <w:iCs/>
          <w:color w:val="222222"/>
          <w:sz w:val="24"/>
          <w:szCs w:val="24"/>
          <w:shd w:val="clear" w:color="auto" w:fill="FFFFFF"/>
        </w:rPr>
        <w:t>The Quarterly Review of Economics and Finance</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85</w:t>
      </w:r>
      <w:r w:rsidRPr="007920FE">
        <w:rPr>
          <w:rFonts w:asciiTheme="majorBidi" w:hAnsiTheme="majorBidi" w:cstheme="majorBidi"/>
          <w:color w:val="222222"/>
          <w:sz w:val="24"/>
          <w:szCs w:val="24"/>
          <w:shd w:val="clear" w:color="auto" w:fill="FFFFFF"/>
        </w:rPr>
        <w:t>, 149-160.</w:t>
      </w:r>
    </w:p>
    <w:p w14:paraId="61F5D3FD"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Huseynli, N. (2025). Empirical Research on the Effect of Oil Revenues on Government Debt in The Case of Azerbaijan. </w:t>
      </w:r>
      <w:r w:rsidRPr="007920FE">
        <w:rPr>
          <w:rFonts w:asciiTheme="majorBidi" w:hAnsiTheme="majorBidi" w:cstheme="majorBidi"/>
          <w:i/>
          <w:iCs/>
          <w:color w:val="222222"/>
          <w:sz w:val="24"/>
          <w:szCs w:val="24"/>
          <w:shd w:val="clear" w:color="auto" w:fill="FFFFFF"/>
        </w:rPr>
        <w:t>International Journal of Energy Economics and Policy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15</w:t>
      </w:r>
      <w:r w:rsidRPr="007920FE">
        <w:rPr>
          <w:rFonts w:asciiTheme="majorBidi" w:hAnsiTheme="majorBidi" w:cstheme="majorBidi"/>
          <w:color w:val="222222"/>
          <w:sz w:val="24"/>
          <w:szCs w:val="24"/>
          <w:shd w:val="clear" w:color="auto" w:fill="FFFFFF"/>
        </w:rPr>
        <w:t>(2), 96-101.</w:t>
      </w:r>
    </w:p>
    <w:p w14:paraId="2ED2856D"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sz w:val="24"/>
          <w:szCs w:val="24"/>
        </w:rPr>
        <w:t xml:space="preserve">Kamer, L. (2023). </w:t>
      </w:r>
      <w:r w:rsidRPr="007920FE">
        <w:rPr>
          <w:rFonts w:asciiTheme="majorBidi" w:hAnsiTheme="majorBidi" w:cstheme="majorBidi"/>
          <w:i/>
          <w:iCs/>
          <w:sz w:val="24"/>
          <w:szCs w:val="24"/>
        </w:rPr>
        <w:t>Main oil producing countries in Africa 2019.</w:t>
      </w:r>
      <w:r w:rsidRPr="007920FE">
        <w:rPr>
          <w:rFonts w:asciiTheme="majorBidi" w:hAnsiTheme="majorBidi" w:cstheme="majorBidi"/>
          <w:sz w:val="24"/>
          <w:szCs w:val="24"/>
        </w:rPr>
        <w:t xml:space="preserve"> Statista. https://www.statista.com/statistics/1178514/main-oil-producing-countries-in-Africa/</w:t>
      </w:r>
    </w:p>
    <w:p w14:paraId="5D556B61"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Magazzino, C. (2022). Fiscal sustainability in the GCC countries. </w:t>
      </w:r>
      <w:r w:rsidRPr="007920FE">
        <w:rPr>
          <w:rFonts w:asciiTheme="majorBidi" w:hAnsiTheme="majorBidi" w:cstheme="majorBidi"/>
          <w:i/>
          <w:iCs/>
          <w:color w:val="222222"/>
          <w:sz w:val="24"/>
          <w:szCs w:val="24"/>
          <w:shd w:val="clear" w:color="auto" w:fill="FFFFFF"/>
        </w:rPr>
        <w:t>International Journal of Economic Policy Studies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16</w:t>
      </w:r>
      <w:r w:rsidRPr="007920FE">
        <w:rPr>
          <w:rFonts w:asciiTheme="majorBidi" w:hAnsiTheme="majorBidi" w:cstheme="majorBidi"/>
          <w:color w:val="222222"/>
          <w:sz w:val="24"/>
          <w:szCs w:val="24"/>
          <w:shd w:val="clear" w:color="auto" w:fill="FFFFFF"/>
        </w:rPr>
        <w:t>(2), 389-408.</w:t>
      </w:r>
    </w:p>
    <w:p w14:paraId="31055EB3"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sz w:val="24"/>
          <w:szCs w:val="24"/>
        </w:rPr>
        <w:t xml:space="preserve">Nwoba, M. O. E., Nwonu, C. O., &amp; Agbaeze, E. K. (2017). Impact of fallen oil prices on the Nigeria economy. </w:t>
      </w:r>
      <w:r w:rsidRPr="007920FE">
        <w:rPr>
          <w:rFonts w:asciiTheme="majorBidi" w:hAnsiTheme="majorBidi" w:cstheme="majorBidi"/>
          <w:i/>
          <w:iCs/>
          <w:sz w:val="24"/>
          <w:szCs w:val="24"/>
        </w:rPr>
        <w:t>Journal of Poverty, Investment and Development, 33</w:t>
      </w:r>
      <w:r w:rsidRPr="007920FE">
        <w:rPr>
          <w:rFonts w:asciiTheme="majorBidi" w:hAnsiTheme="majorBidi" w:cstheme="majorBidi"/>
          <w:sz w:val="24"/>
          <w:szCs w:val="24"/>
        </w:rPr>
        <w:t>(2), 75-82.</w:t>
      </w:r>
    </w:p>
    <w:p w14:paraId="360ED989"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Oduyemi, G., &amp; Owoeye, T. (2020). Oil price fluctuation and health outcomes in an oil exporting country: Evidence from Nigeria. </w:t>
      </w:r>
      <w:r w:rsidRPr="007920FE">
        <w:rPr>
          <w:rFonts w:asciiTheme="majorBidi" w:hAnsiTheme="majorBidi" w:cstheme="majorBidi"/>
          <w:i/>
          <w:iCs/>
          <w:color w:val="222222"/>
          <w:sz w:val="24"/>
          <w:szCs w:val="24"/>
          <w:shd w:val="clear" w:color="auto" w:fill="FFFFFF"/>
        </w:rPr>
        <w:t>International Journal of Energy Economics and Policy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10</w:t>
      </w:r>
      <w:r w:rsidRPr="007920FE">
        <w:rPr>
          <w:rFonts w:asciiTheme="majorBidi" w:hAnsiTheme="majorBidi" w:cstheme="majorBidi"/>
          <w:color w:val="222222"/>
          <w:sz w:val="24"/>
          <w:szCs w:val="24"/>
          <w:shd w:val="clear" w:color="auto" w:fill="FFFFFF"/>
        </w:rPr>
        <w:t>(4), 212-220.</w:t>
      </w:r>
    </w:p>
    <w:p w14:paraId="72BC34CF"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Sohag, K., Kalina, I., &amp; Samargandi, N. (2024). Oil market cyclical shocks and fiscal stance in OPEC+. </w:t>
      </w:r>
      <w:r w:rsidRPr="007920FE">
        <w:rPr>
          <w:rFonts w:asciiTheme="majorBidi" w:hAnsiTheme="majorBidi" w:cstheme="majorBidi"/>
          <w:i/>
          <w:iCs/>
          <w:color w:val="222222"/>
          <w:sz w:val="24"/>
          <w:szCs w:val="24"/>
          <w:shd w:val="clear" w:color="auto" w:fill="FFFFFF"/>
        </w:rPr>
        <w:t>Energy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296</w:t>
      </w:r>
      <w:r w:rsidRPr="007920FE">
        <w:rPr>
          <w:rFonts w:asciiTheme="majorBidi" w:hAnsiTheme="majorBidi" w:cstheme="majorBidi"/>
          <w:color w:val="222222"/>
          <w:sz w:val="24"/>
          <w:szCs w:val="24"/>
          <w:shd w:val="clear" w:color="auto" w:fill="FFFFFF"/>
        </w:rPr>
        <w:t>, 130949.</w:t>
      </w:r>
    </w:p>
    <w:p w14:paraId="3942D373"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r w:rsidRPr="007920FE">
        <w:rPr>
          <w:rFonts w:asciiTheme="majorBidi" w:hAnsiTheme="majorBidi" w:cstheme="majorBidi"/>
          <w:color w:val="222222"/>
          <w:sz w:val="24"/>
          <w:szCs w:val="24"/>
          <w:shd w:val="clear" w:color="auto" w:fill="FFFFFF"/>
        </w:rPr>
        <w:t>Yusuf, M. (2015). An analysis of the impact of oil price shocks on the growth of the Nigerian economy: 1970-2011. </w:t>
      </w:r>
      <w:r w:rsidRPr="007920FE">
        <w:rPr>
          <w:rFonts w:asciiTheme="majorBidi" w:hAnsiTheme="majorBidi" w:cstheme="majorBidi"/>
          <w:i/>
          <w:iCs/>
          <w:color w:val="222222"/>
          <w:sz w:val="24"/>
          <w:szCs w:val="24"/>
          <w:shd w:val="clear" w:color="auto" w:fill="FFFFFF"/>
        </w:rPr>
        <w:t>African journal of business management</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9</w:t>
      </w:r>
      <w:r w:rsidRPr="007920FE">
        <w:rPr>
          <w:rFonts w:asciiTheme="majorBidi" w:hAnsiTheme="majorBidi" w:cstheme="majorBidi"/>
          <w:color w:val="222222"/>
          <w:sz w:val="24"/>
          <w:szCs w:val="24"/>
          <w:shd w:val="clear" w:color="auto" w:fill="FFFFFF"/>
        </w:rPr>
        <w:t>(3), 103</w:t>
      </w:r>
      <w:r w:rsidRPr="007920FE">
        <w:rPr>
          <w:rFonts w:asciiTheme="majorBidi" w:hAnsiTheme="majorBidi" w:cstheme="majorBidi"/>
          <w:color w:val="222222"/>
          <w:sz w:val="24"/>
          <w:szCs w:val="24"/>
          <w:shd w:val="clear" w:color="auto" w:fill="FFFFFF"/>
          <w:lang w:val="en-GB"/>
        </w:rPr>
        <w:t>-116.</w:t>
      </w:r>
    </w:p>
    <w:p w14:paraId="38ADC09A" w14:textId="77777777" w:rsidR="00F41EAE" w:rsidRDefault="00F41EAE" w:rsidP="00F41EAE">
      <w:pPr>
        <w:spacing w:after="0" w:line="240" w:lineRule="auto"/>
        <w:rPr>
          <w:rFonts w:ascii="Times New Roman" w:hAnsi="Times New Roman" w:cs="Times New Roman"/>
          <w:b/>
          <w:bCs/>
          <w:sz w:val="24"/>
          <w:szCs w:val="24"/>
        </w:rPr>
      </w:pPr>
    </w:p>
    <w:p w14:paraId="426934BC" w14:textId="77777777" w:rsidR="009A1B14" w:rsidRDefault="009A1B14" w:rsidP="009A1B14">
      <w:pPr>
        <w:spacing w:after="0" w:line="480" w:lineRule="auto"/>
        <w:ind w:left="360"/>
        <w:rPr>
          <w:rFonts w:ascii="Times New Roman" w:hAnsi="Times New Roman" w:cs="Times New Roman"/>
          <w:sz w:val="24"/>
          <w:szCs w:val="24"/>
        </w:rPr>
      </w:pPr>
    </w:p>
    <w:p w14:paraId="1D64A73F" w14:textId="77777777" w:rsidR="00C3338C" w:rsidRDefault="00C3338C"/>
    <w:sectPr w:rsidR="00C3338C" w:rsidSect="00E84057">
      <w:headerReference w:type="even" r:id="rId14"/>
      <w:headerReference w:type="default" r:id="rId15"/>
      <w:footerReference w:type="even" r:id="rId16"/>
      <w:footerReference w:type="default" r:id="rId17"/>
      <w:headerReference w:type="first" r:id="rId18"/>
      <w:footerReference w:type="first" r:id="rId19"/>
      <w:pgSz w:w="11907" w:h="16840" w:code="9"/>
      <w:pgMar w:top="1440" w:right="1361" w:bottom="144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0169" w14:textId="77777777" w:rsidR="002C2335" w:rsidRDefault="002C2335">
      <w:pPr>
        <w:spacing w:after="0" w:line="240" w:lineRule="auto"/>
      </w:pPr>
      <w:r>
        <w:separator/>
      </w:r>
    </w:p>
  </w:endnote>
  <w:endnote w:type="continuationSeparator" w:id="0">
    <w:p w14:paraId="41B1B65A" w14:textId="77777777" w:rsidR="002C2335" w:rsidRDefault="002C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69BA" w14:textId="77777777" w:rsidR="000B4CD6" w:rsidRDefault="000B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915666"/>
      <w:docPartObj>
        <w:docPartGallery w:val="Page Numbers (Bottom of Page)"/>
        <w:docPartUnique/>
      </w:docPartObj>
    </w:sdtPr>
    <w:sdtEndPr>
      <w:rPr>
        <w:noProof/>
      </w:rPr>
    </w:sdtEndPr>
    <w:sdtContent>
      <w:p w14:paraId="5918DBC0" w14:textId="77777777" w:rsidR="00F00AEC" w:rsidRDefault="009A1B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32B38" w14:textId="77777777" w:rsidR="00F00AEC" w:rsidRDefault="00F0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3672" w14:textId="77777777" w:rsidR="000B4CD6" w:rsidRDefault="000B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FC03" w14:textId="77777777" w:rsidR="002C2335" w:rsidRDefault="002C2335">
      <w:pPr>
        <w:spacing w:after="0" w:line="240" w:lineRule="auto"/>
      </w:pPr>
      <w:r>
        <w:separator/>
      </w:r>
    </w:p>
  </w:footnote>
  <w:footnote w:type="continuationSeparator" w:id="0">
    <w:p w14:paraId="2EC979E2" w14:textId="77777777" w:rsidR="002C2335" w:rsidRDefault="002C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A17F" w14:textId="04DACBD9" w:rsidR="000B4CD6" w:rsidRDefault="00000000">
    <w:pPr>
      <w:pStyle w:val="Header"/>
    </w:pPr>
    <w:r>
      <w:rPr>
        <w:noProof/>
      </w:rPr>
      <w:pict w14:anchorId="6E74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4" o:spid="_x0000_s1026" type="#_x0000_t136" style="position:absolute;margin-left:0;margin-top:0;width:525pt;height:9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6C6D" w14:textId="30165684" w:rsidR="000B4CD6" w:rsidRDefault="00000000">
    <w:pPr>
      <w:pStyle w:val="Header"/>
    </w:pPr>
    <w:r>
      <w:rPr>
        <w:noProof/>
      </w:rPr>
      <w:pict w14:anchorId="0D37C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5" o:spid="_x0000_s1027" type="#_x0000_t136" style="position:absolute;margin-left:0;margin-top:0;width:525pt;height:9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A908" w14:textId="48E207A9" w:rsidR="000B4CD6" w:rsidRDefault="00000000">
    <w:pPr>
      <w:pStyle w:val="Header"/>
    </w:pPr>
    <w:r>
      <w:rPr>
        <w:noProof/>
      </w:rPr>
      <w:pict w14:anchorId="61991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3" o:spid="_x0000_s1025" type="#_x0000_t136" style="position:absolute;margin-left:0;margin-top:0;width:525pt;height:9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CEC"/>
    <w:multiLevelType w:val="hybridMultilevel"/>
    <w:tmpl w:val="90769A80"/>
    <w:lvl w:ilvl="0" w:tplc="87902050">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511C8D"/>
    <w:multiLevelType w:val="hybridMultilevel"/>
    <w:tmpl w:val="ED847458"/>
    <w:lvl w:ilvl="0" w:tplc="A0DC95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01C6E"/>
    <w:multiLevelType w:val="hybridMultilevel"/>
    <w:tmpl w:val="0C625A66"/>
    <w:lvl w:ilvl="0" w:tplc="925C80D0">
      <w:start w:val="1"/>
      <w:numFmt w:val="lowerRoman"/>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06A49AB"/>
    <w:multiLevelType w:val="multilevel"/>
    <w:tmpl w:val="00A06B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87234"/>
    <w:multiLevelType w:val="hybridMultilevel"/>
    <w:tmpl w:val="2B420C54"/>
    <w:lvl w:ilvl="0" w:tplc="6838908C">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8445B5"/>
    <w:multiLevelType w:val="hybridMultilevel"/>
    <w:tmpl w:val="159AFE28"/>
    <w:lvl w:ilvl="0" w:tplc="C78AB36C">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3400EE"/>
    <w:multiLevelType w:val="hybridMultilevel"/>
    <w:tmpl w:val="A71437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5C44FC"/>
    <w:multiLevelType w:val="hybridMultilevel"/>
    <w:tmpl w:val="77B27E1E"/>
    <w:lvl w:ilvl="0" w:tplc="2000001B">
      <w:start w:val="1"/>
      <w:numFmt w:val="lowerRoman"/>
      <w:lvlText w:val="%1."/>
      <w:lvlJc w:val="right"/>
      <w:pPr>
        <w:ind w:left="810" w:hanging="360"/>
      </w:p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8" w15:restartNumberingAfterBreak="0">
    <w:nsid w:val="5C950B8A"/>
    <w:multiLevelType w:val="hybridMultilevel"/>
    <w:tmpl w:val="5CB291F0"/>
    <w:lvl w:ilvl="0" w:tplc="0C5C9558">
      <w:start w:val="1"/>
      <w:numFmt w:val="lowerRoman"/>
      <w:lvlText w:val="%1)"/>
      <w:lvlJc w:val="righ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D6704ED"/>
    <w:multiLevelType w:val="hybridMultilevel"/>
    <w:tmpl w:val="18969C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4704310">
    <w:abstractNumId w:val="5"/>
  </w:num>
  <w:num w:numId="2" w16cid:durableId="2039305898">
    <w:abstractNumId w:val="2"/>
  </w:num>
  <w:num w:numId="3" w16cid:durableId="1364792455">
    <w:abstractNumId w:val="1"/>
  </w:num>
  <w:num w:numId="4" w16cid:durableId="1038318730">
    <w:abstractNumId w:val="7"/>
  </w:num>
  <w:num w:numId="5" w16cid:durableId="1870486373">
    <w:abstractNumId w:val="8"/>
  </w:num>
  <w:num w:numId="6" w16cid:durableId="1234004226">
    <w:abstractNumId w:val="4"/>
  </w:num>
  <w:num w:numId="7" w16cid:durableId="4600325">
    <w:abstractNumId w:val="0"/>
  </w:num>
  <w:num w:numId="8" w16cid:durableId="1836066849">
    <w:abstractNumId w:val="3"/>
  </w:num>
  <w:num w:numId="9" w16cid:durableId="639765836">
    <w:abstractNumId w:val="9"/>
  </w:num>
  <w:num w:numId="10" w16cid:durableId="41498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14"/>
    <w:rsid w:val="00002536"/>
    <w:rsid w:val="00005241"/>
    <w:rsid w:val="00010A6E"/>
    <w:rsid w:val="000120B7"/>
    <w:rsid w:val="000126BF"/>
    <w:rsid w:val="00014162"/>
    <w:rsid w:val="00020086"/>
    <w:rsid w:val="0002631A"/>
    <w:rsid w:val="000314B1"/>
    <w:rsid w:val="00031BC2"/>
    <w:rsid w:val="0003557A"/>
    <w:rsid w:val="00044E60"/>
    <w:rsid w:val="000502CA"/>
    <w:rsid w:val="00050EAC"/>
    <w:rsid w:val="000600AE"/>
    <w:rsid w:val="00060D9E"/>
    <w:rsid w:val="000664C5"/>
    <w:rsid w:val="000725EE"/>
    <w:rsid w:val="00076D91"/>
    <w:rsid w:val="0008284E"/>
    <w:rsid w:val="00082BD9"/>
    <w:rsid w:val="00084630"/>
    <w:rsid w:val="00086E7A"/>
    <w:rsid w:val="00093D79"/>
    <w:rsid w:val="000972BA"/>
    <w:rsid w:val="00097D94"/>
    <w:rsid w:val="000B4CD6"/>
    <w:rsid w:val="000C33EC"/>
    <w:rsid w:val="000C41CD"/>
    <w:rsid w:val="000C71FB"/>
    <w:rsid w:val="000C7EB2"/>
    <w:rsid w:val="000D122B"/>
    <w:rsid w:val="000D409E"/>
    <w:rsid w:val="000D528F"/>
    <w:rsid w:val="000E12A4"/>
    <w:rsid w:val="000E1D05"/>
    <w:rsid w:val="000E465A"/>
    <w:rsid w:val="000F2358"/>
    <w:rsid w:val="000F52DE"/>
    <w:rsid w:val="000F5E1A"/>
    <w:rsid w:val="000F712F"/>
    <w:rsid w:val="001003D4"/>
    <w:rsid w:val="00104424"/>
    <w:rsid w:val="00113B6B"/>
    <w:rsid w:val="00122CA6"/>
    <w:rsid w:val="00166374"/>
    <w:rsid w:val="00167C05"/>
    <w:rsid w:val="001701B2"/>
    <w:rsid w:val="00171404"/>
    <w:rsid w:val="00172925"/>
    <w:rsid w:val="0017315D"/>
    <w:rsid w:val="00186CCE"/>
    <w:rsid w:val="001B2371"/>
    <w:rsid w:val="001B462E"/>
    <w:rsid w:val="001D128A"/>
    <w:rsid w:val="001D6FF1"/>
    <w:rsid w:val="001E6ADE"/>
    <w:rsid w:val="001F1679"/>
    <w:rsid w:val="001F365F"/>
    <w:rsid w:val="001F3818"/>
    <w:rsid w:val="00204126"/>
    <w:rsid w:val="00206ECF"/>
    <w:rsid w:val="0021062A"/>
    <w:rsid w:val="002215B6"/>
    <w:rsid w:val="00221A4D"/>
    <w:rsid w:val="00221BE9"/>
    <w:rsid w:val="00222D69"/>
    <w:rsid w:val="00230436"/>
    <w:rsid w:val="002348DC"/>
    <w:rsid w:val="00243174"/>
    <w:rsid w:val="00244C5C"/>
    <w:rsid w:val="00245B0E"/>
    <w:rsid w:val="00256902"/>
    <w:rsid w:val="0027660E"/>
    <w:rsid w:val="002804B5"/>
    <w:rsid w:val="00283807"/>
    <w:rsid w:val="002850A7"/>
    <w:rsid w:val="00290423"/>
    <w:rsid w:val="002A086D"/>
    <w:rsid w:val="002A12FF"/>
    <w:rsid w:val="002A3186"/>
    <w:rsid w:val="002B027A"/>
    <w:rsid w:val="002C2335"/>
    <w:rsid w:val="002C2AC0"/>
    <w:rsid w:val="002C3106"/>
    <w:rsid w:val="002C312E"/>
    <w:rsid w:val="002C4185"/>
    <w:rsid w:val="002C421D"/>
    <w:rsid w:val="002E0F51"/>
    <w:rsid w:val="002F7437"/>
    <w:rsid w:val="003028B6"/>
    <w:rsid w:val="00311CDC"/>
    <w:rsid w:val="003137DB"/>
    <w:rsid w:val="00315B3B"/>
    <w:rsid w:val="00320ABA"/>
    <w:rsid w:val="003248C2"/>
    <w:rsid w:val="00330627"/>
    <w:rsid w:val="00337734"/>
    <w:rsid w:val="00341EBC"/>
    <w:rsid w:val="003512A7"/>
    <w:rsid w:val="003578A6"/>
    <w:rsid w:val="00363D4F"/>
    <w:rsid w:val="00372115"/>
    <w:rsid w:val="003725F0"/>
    <w:rsid w:val="0037346F"/>
    <w:rsid w:val="0037359D"/>
    <w:rsid w:val="003757FB"/>
    <w:rsid w:val="00376406"/>
    <w:rsid w:val="00376D68"/>
    <w:rsid w:val="00386119"/>
    <w:rsid w:val="00386FE2"/>
    <w:rsid w:val="003921FB"/>
    <w:rsid w:val="00396F0E"/>
    <w:rsid w:val="003D19D4"/>
    <w:rsid w:val="003D5B21"/>
    <w:rsid w:val="003D5F8D"/>
    <w:rsid w:val="003E7226"/>
    <w:rsid w:val="003F2153"/>
    <w:rsid w:val="003F2719"/>
    <w:rsid w:val="003F3897"/>
    <w:rsid w:val="00401109"/>
    <w:rsid w:val="00401F47"/>
    <w:rsid w:val="00406B3C"/>
    <w:rsid w:val="004116FC"/>
    <w:rsid w:val="004123C0"/>
    <w:rsid w:val="004153D4"/>
    <w:rsid w:val="004368E6"/>
    <w:rsid w:val="00437817"/>
    <w:rsid w:val="00450AD6"/>
    <w:rsid w:val="00454CF1"/>
    <w:rsid w:val="00465C14"/>
    <w:rsid w:val="00466C9A"/>
    <w:rsid w:val="00475FA8"/>
    <w:rsid w:val="00476101"/>
    <w:rsid w:val="00486032"/>
    <w:rsid w:val="0049041C"/>
    <w:rsid w:val="004910D0"/>
    <w:rsid w:val="004933CA"/>
    <w:rsid w:val="004A0DBA"/>
    <w:rsid w:val="004B1021"/>
    <w:rsid w:val="004B16D1"/>
    <w:rsid w:val="004B6702"/>
    <w:rsid w:val="004C4063"/>
    <w:rsid w:val="004C4E2E"/>
    <w:rsid w:val="004C4E5C"/>
    <w:rsid w:val="004E3149"/>
    <w:rsid w:val="004F268B"/>
    <w:rsid w:val="005021B4"/>
    <w:rsid w:val="005032B3"/>
    <w:rsid w:val="00506AC1"/>
    <w:rsid w:val="0051787F"/>
    <w:rsid w:val="0052098D"/>
    <w:rsid w:val="00544223"/>
    <w:rsid w:val="00545706"/>
    <w:rsid w:val="00547CC3"/>
    <w:rsid w:val="00553CEF"/>
    <w:rsid w:val="00554605"/>
    <w:rsid w:val="00566023"/>
    <w:rsid w:val="0057086D"/>
    <w:rsid w:val="005711EC"/>
    <w:rsid w:val="00571E3F"/>
    <w:rsid w:val="00572B6A"/>
    <w:rsid w:val="00580E32"/>
    <w:rsid w:val="005815B1"/>
    <w:rsid w:val="00590E2F"/>
    <w:rsid w:val="00591488"/>
    <w:rsid w:val="0059496B"/>
    <w:rsid w:val="00597EF9"/>
    <w:rsid w:val="005A0EA8"/>
    <w:rsid w:val="005B1CC9"/>
    <w:rsid w:val="005B3806"/>
    <w:rsid w:val="005B5EAD"/>
    <w:rsid w:val="005B604D"/>
    <w:rsid w:val="005C4726"/>
    <w:rsid w:val="005C76BD"/>
    <w:rsid w:val="005C7FB7"/>
    <w:rsid w:val="005C7FE2"/>
    <w:rsid w:val="005D51F1"/>
    <w:rsid w:val="005E0B30"/>
    <w:rsid w:val="005F7D00"/>
    <w:rsid w:val="00602E7B"/>
    <w:rsid w:val="00605303"/>
    <w:rsid w:val="0061402B"/>
    <w:rsid w:val="00614306"/>
    <w:rsid w:val="0061554D"/>
    <w:rsid w:val="006212E6"/>
    <w:rsid w:val="00622A8B"/>
    <w:rsid w:val="006335D6"/>
    <w:rsid w:val="006357F1"/>
    <w:rsid w:val="00635D19"/>
    <w:rsid w:val="00643236"/>
    <w:rsid w:val="006525A3"/>
    <w:rsid w:val="0065632A"/>
    <w:rsid w:val="00666262"/>
    <w:rsid w:val="006702FE"/>
    <w:rsid w:val="006722AC"/>
    <w:rsid w:val="00681A25"/>
    <w:rsid w:val="0068312E"/>
    <w:rsid w:val="00686064"/>
    <w:rsid w:val="0069588C"/>
    <w:rsid w:val="006A3C11"/>
    <w:rsid w:val="006C3BE9"/>
    <w:rsid w:val="0070546A"/>
    <w:rsid w:val="00705ED8"/>
    <w:rsid w:val="00715F7B"/>
    <w:rsid w:val="00720D03"/>
    <w:rsid w:val="00720D39"/>
    <w:rsid w:val="0072235E"/>
    <w:rsid w:val="0076668B"/>
    <w:rsid w:val="007724E0"/>
    <w:rsid w:val="00774982"/>
    <w:rsid w:val="00783500"/>
    <w:rsid w:val="007B1710"/>
    <w:rsid w:val="007B2682"/>
    <w:rsid w:val="007B2C84"/>
    <w:rsid w:val="007B6F07"/>
    <w:rsid w:val="007C0510"/>
    <w:rsid w:val="007C6BA6"/>
    <w:rsid w:val="007D1663"/>
    <w:rsid w:val="007D2BA4"/>
    <w:rsid w:val="007D31A6"/>
    <w:rsid w:val="007D3788"/>
    <w:rsid w:val="007D74C7"/>
    <w:rsid w:val="007E577C"/>
    <w:rsid w:val="007F03B9"/>
    <w:rsid w:val="007F45AA"/>
    <w:rsid w:val="007F5E86"/>
    <w:rsid w:val="007F6897"/>
    <w:rsid w:val="00802C0B"/>
    <w:rsid w:val="008078AE"/>
    <w:rsid w:val="00807D2E"/>
    <w:rsid w:val="0081463A"/>
    <w:rsid w:val="0081542F"/>
    <w:rsid w:val="0082743B"/>
    <w:rsid w:val="008474DE"/>
    <w:rsid w:val="00853D5A"/>
    <w:rsid w:val="008575AF"/>
    <w:rsid w:val="0086598A"/>
    <w:rsid w:val="00876524"/>
    <w:rsid w:val="00876A25"/>
    <w:rsid w:val="00877821"/>
    <w:rsid w:val="00881B22"/>
    <w:rsid w:val="00884C40"/>
    <w:rsid w:val="0088772A"/>
    <w:rsid w:val="00890C67"/>
    <w:rsid w:val="008919D8"/>
    <w:rsid w:val="008929E3"/>
    <w:rsid w:val="00893F38"/>
    <w:rsid w:val="00896C6B"/>
    <w:rsid w:val="008A363A"/>
    <w:rsid w:val="008A619C"/>
    <w:rsid w:val="008A7657"/>
    <w:rsid w:val="008B572B"/>
    <w:rsid w:val="008B58E0"/>
    <w:rsid w:val="008C035F"/>
    <w:rsid w:val="008C0DCB"/>
    <w:rsid w:val="008C2E51"/>
    <w:rsid w:val="008D7DB3"/>
    <w:rsid w:val="008E0239"/>
    <w:rsid w:val="008E3E30"/>
    <w:rsid w:val="008F1ED9"/>
    <w:rsid w:val="008F34ED"/>
    <w:rsid w:val="009107E6"/>
    <w:rsid w:val="009143E3"/>
    <w:rsid w:val="00921E2D"/>
    <w:rsid w:val="00925FCB"/>
    <w:rsid w:val="009310B3"/>
    <w:rsid w:val="0093252F"/>
    <w:rsid w:val="00933519"/>
    <w:rsid w:val="00934D0F"/>
    <w:rsid w:val="00936007"/>
    <w:rsid w:val="009410C0"/>
    <w:rsid w:val="00944000"/>
    <w:rsid w:val="00945D8C"/>
    <w:rsid w:val="00950367"/>
    <w:rsid w:val="00961F20"/>
    <w:rsid w:val="009623A4"/>
    <w:rsid w:val="009638B9"/>
    <w:rsid w:val="009670D3"/>
    <w:rsid w:val="00971098"/>
    <w:rsid w:val="00977BC9"/>
    <w:rsid w:val="009812C4"/>
    <w:rsid w:val="00982C1A"/>
    <w:rsid w:val="00986863"/>
    <w:rsid w:val="00986A97"/>
    <w:rsid w:val="009906F7"/>
    <w:rsid w:val="00993488"/>
    <w:rsid w:val="009A1B14"/>
    <w:rsid w:val="009A6791"/>
    <w:rsid w:val="009A7EFC"/>
    <w:rsid w:val="009B76D0"/>
    <w:rsid w:val="009C70DE"/>
    <w:rsid w:val="009D069E"/>
    <w:rsid w:val="009D06CC"/>
    <w:rsid w:val="009D5100"/>
    <w:rsid w:val="009E05D6"/>
    <w:rsid w:val="009F2A04"/>
    <w:rsid w:val="00A023FE"/>
    <w:rsid w:val="00A03B1D"/>
    <w:rsid w:val="00A11D13"/>
    <w:rsid w:val="00A22F12"/>
    <w:rsid w:val="00A31A06"/>
    <w:rsid w:val="00A42989"/>
    <w:rsid w:val="00A43F29"/>
    <w:rsid w:val="00A473F4"/>
    <w:rsid w:val="00A51549"/>
    <w:rsid w:val="00A529B9"/>
    <w:rsid w:val="00A62B0F"/>
    <w:rsid w:val="00A72536"/>
    <w:rsid w:val="00A77235"/>
    <w:rsid w:val="00A820AC"/>
    <w:rsid w:val="00A82A30"/>
    <w:rsid w:val="00A87552"/>
    <w:rsid w:val="00A9107A"/>
    <w:rsid w:val="00A91EE4"/>
    <w:rsid w:val="00A931FE"/>
    <w:rsid w:val="00A95D1A"/>
    <w:rsid w:val="00AA73CF"/>
    <w:rsid w:val="00AB00A9"/>
    <w:rsid w:val="00AB02F2"/>
    <w:rsid w:val="00AB1D89"/>
    <w:rsid w:val="00AB5E83"/>
    <w:rsid w:val="00AC27D1"/>
    <w:rsid w:val="00AC4EFF"/>
    <w:rsid w:val="00AC5E0F"/>
    <w:rsid w:val="00AC6DBF"/>
    <w:rsid w:val="00AD6E14"/>
    <w:rsid w:val="00AE00B1"/>
    <w:rsid w:val="00AE14E9"/>
    <w:rsid w:val="00AE3A5F"/>
    <w:rsid w:val="00AE55DC"/>
    <w:rsid w:val="00AE6CD4"/>
    <w:rsid w:val="00AF1E9E"/>
    <w:rsid w:val="00AF1F3A"/>
    <w:rsid w:val="00B00A45"/>
    <w:rsid w:val="00B02CF1"/>
    <w:rsid w:val="00B06D34"/>
    <w:rsid w:val="00B06F44"/>
    <w:rsid w:val="00B10205"/>
    <w:rsid w:val="00B1243B"/>
    <w:rsid w:val="00B12831"/>
    <w:rsid w:val="00B1768F"/>
    <w:rsid w:val="00B20ECC"/>
    <w:rsid w:val="00B23121"/>
    <w:rsid w:val="00B3407D"/>
    <w:rsid w:val="00B34304"/>
    <w:rsid w:val="00B37019"/>
    <w:rsid w:val="00B40E60"/>
    <w:rsid w:val="00B515EF"/>
    <w:rsid w:val="00B52D57"/>
    <w:rsid w:val="00B56946"/>
    <w:rsid w:val="00B573DA"/>
    <w:rsid w:val="00B65A9D"/>
    <w:rsid w:val="00B74C91"/>
    <w:rsid w:val="00B75CEB"/>
    <w:rsid w:val="00B77CAA"/>
    <w:rsid w:val="00BA036B"/>
    <w:rsid w:val="00BB2AED"/>
    <w:rsid w:val="00BB364F"/>
    <w:rsid w:val="00BC1058"/>
    <w:rsid w:val="00BC13E8"/>
    <w:rsid w:val="00BC1B84"/>
    <w:rsid w:val="00BC39E7"/>
    <w:rsid w:val="00BC44F7"/>
    <w:rsid w:val="00BD1D8A"/>
    <w:rsid w:val="00BD3CCB"/>
    <w:rsid w:val="00BE36C3"/>
    <w:rsid w:val="00C02C24"/>
    <w:rsid w:val="00C10662"/>
    <w:rsid w:val="00C1269A"/>
    <w:rsid w:val="00C215F9"/>
    <w:rsid w:val="00C25878"/>
    <w:rsid w:val="00C267EC"/>
    <w:rsid w:val="00C27F0B"/>
    <w:rsid w:val="00C30B3C"/>
    <w:rsid w:val="00C32F95"/>
    <w:rsid w:val="00C3338C"/>
    <w:rsid w:val="00C34F94"/>
    <w:rsid w:val="00C40863"/>
    <w:rsid w:val="00C41D15"/>
    <w:rsid w:val="00C43FCA"/>
    <w:rsid w:val="00C53B5B"/>
    <w:rsid w:val="00C550BE"/>
    <w:rsid w:val="00C56A2B"/>
    <w:rsid w:val="00C620A8"/>
    <w:rsid w:val="00C632E6"/>
    <w:rsid w:val="00C852D9"/>
    <w:rsid w:val="00C919C5"/>
    <w:rsid w:val="00C91D2C"/>
    <w:rsid w:val="00CB00E6"/>
    <w:rsid w:val="00CC0874"/>
    <w:rsid w:val="00CC3AED"/>
    <w:rsid w:val="00CC4255"/>
    <w:rsid w:val="00CC73C8"/>
    <w:rsid w:val="00CD199E"/>
    <w:rsid w:val="00CD4D3C"/>
    <w:rsid w:val="00CE1BE3"/>
    <w:rsid w:val="00D014E8"/>
    <w:rsid w:val="00D04710"/>
    <w:rsid w:val="00D11557"/>
    <w:rsid w:val="00D13457"/>
    <w:rsid w:val="00D14DF1"/>
    <w:rsid w:val="00D20A20"/>
    <w:rsid w:val="00D2140B"/>
    <w:rsid w:val="00D2274E"/>
    <w:rsid w:val="00D25178"/>
    <w:rsid w:val="00D27E96"/>
    <w:rsid w:val="00D347EB"/>
    <w:rsid w:val="00D369FF"/>
    <w:rsid w:val="00D53875"/>
    <w:rsid w:val="00D53DF2"/>
    <w:rsid w:val="00D609E9"/>
    <w:rsid w:val="00D654C0"/>
    <w:rsid w:val="00D71169"/>
    <w:rsid w:val="00D71D61"/>
    <w:rsid w:val="00D80C3F"/>
    <w:rsid w:val="00D82597"/>
    <w:rsid w:val="00D84AB4"/>
    <w:rsid w:val="00D90EE2"/>
    <w:rsid w:val="00D960E5"/>
    <w:rsid w:val="00D97D58"/>
    <w:rsid w:val="00DA18C4"/>
    <w:rsid w:val="00DA2F0A"/>
    <w:rsid w:val="00DA3F5F"/>
    <w:rsid w:val="00DA3F99"/>
    <w:rsid w:val="00DA7C81"/>
    <w:rsid w:val="00DC1F0D"/>
    <w:rsid w:val="00DC2A22"/>
    <w:rsid w:val="00DD2091"/>
    <w:rsid w:val="00DE187E"/>
    <w:rsid w:val="00DE40F8"/>
    <w:rsid w:val="00DF0B81"/>
    <w:rsid w:val="00DF126D"/>
    <w:rsid w:val="00DF2E65"/>
    <w:rsid w:val="00DF769B"/>
    <w:rsid w:val="00E056D9"/>
    <w:rsid w:val="00E15175"/>
    <w:rsid w:val="00E157F4"/>
    <w:rsid w:val="00E16FB8"/>
    <w:rsid w:val="00E26506"/>
    <w:rsid w:val="00E33693"/>
    <w:rsid w:val="00E413CF"/>
    <w:rsid w:val="00E43806"/>
    <w:rsid w:val="00E5255B"/>
    <w:rsid w:val="00E52872"/>
    <w:rsid w:val="00E55F3C"/>
    <w:rsid w:val="00E620A4"/>
    <w:rsid w:val="00E671B1"/>
    <w:rsid w:val="00E71A1C"/>
    <w:rsid w:val="00E729CC"/>
    <w:rsid w:val="00E72D01"/>
    <w:rsid w:val="00E800FD"/>
    <w:rsid w:val="00E802E0"/>
    <w:rsid w:val="00E83136"/>
    <w:rsid w:val="00E83FFA"/>
    <w:rsid w:val="00E85F43"/>
    <w:rsid w:val="00E86DFB"/>
    <w:rsid w:val="00E91987"/>
    <w:rsid w:val="00E92BE8"/>
    <w:rsid w:val="00EA0293"/>
    <w:rsid w:val="00EA1212"/>
    <w:rsid w:val="00EA1A41"/>
    <w:rsid w:val="00EB5AC1"/>
    <w:rsid w:val="00EB67B2"/>
    <w:rsid w:val="00EC2ABD"/>
    <w:rsid w:val="00EC5FF2"/>
    <w:rsid w:val="00ED4154"/>
    <w:rsid w:val="00EE19AE"/>
    <w:rsid w:val="00EE19D6"/>
    <w:rsid w:val="00EF11AB"/>
    <w:rsid w:val="00EF3025"/>
    <w:rsid w:val="00EF5BED"/>
    <w:rsid w:val="00F00AC0"/>
    <w:rsid w:val="00F00AEC"/>
    <w:rsid w:val="00F05137"/>
    <w:rsid w:val="00F06A1F"/>
    <w:rsid w:val="00F07112"/>
    <w:rsid w:val="00F13602"/>
    <w:rsid w:val="00F24ECE"/>
    <w:rsid w:val="00F302A8"/>
    <w:rsid w:val="00F34704"/>
    <w:rsid w:val="00F40F87"/>
    <w:rsid w:val="00F41EAE"/>
    <w:rsid w:val="00F44C15"/>
    <w:rsid w:val="00F45BC5"/>
    <w:rsid w:val="00F525BE"/>
    <w:rsid w:val="00F533FB"/>
    <w:rsid w:val="00F609D9"/>
    <w:rsid w:val="00F63581"/>
    <w:rsid w:val="00F65175"/>
    <w:rsid w:val="00F71E59"/>
    <w:rsid w:val="00F75F38"/>
    <w:rsid w:val="00F811D6"/>
    <w:rsid w:val="00F84FBB"/>
    <w:rsid w:val="00F860E9"/>
    <w:rsid w:val="00F9215F"/>
    <w:rsid w:val="00F956F5"/>
    <w:rsid w:val="00F97880"/>
    <w:rsid w:val="00FB0506"/>
    <w:rsid w:val="00FB387A"/>
    <w:rsid w:val="00FC0DE4"/>
    <w:rsid w:val="00FD292B"/>
    <w:rsid w:val="00FD3E5A"/>
    <w:rsid w:val="00FD47FE"/>
    <w:rsid w:val="00FF05C3"/>
    <w:rsid w:val="00FF26E2"/>
    <w:rsid w:val="00FF2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86269"/>
  <w15:chartTrackingRefBased/>
  <w15:docId w15:val="{7010511C-FCD4-4032-95D4-EC9EE30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14"/>
  </w:style>
  <w:style w:type="paragraph" w:styleId="Heading1">
    <w:name w:val="heading 1"/>
    <w:basedOn w:val="Normal"/>
    <w:link w:val="Heading1Char"/>
    <w:uiPriority w:val="9"/>
    <w:qFormat/>
    <w:rsid w:val="009A1B14"/>
    <w:pPr>
      <w:spacing w:beforeAutospacing="1" w:after="0" w:afterAutospacing="1" w:line="480" w:lineRule="auto"/>
      <w:outlineLvl w:val="0"/>
    </w:pPr>
    <w:rPr>
      <w:rFonts w:ascii="Times New Roman" w:eastAsia="Times New Roman" w:hAnsi="Times New Roman" w:cs="Times New Roman"/>
      <w:b/>
      <w:bCs/>
      <w:color w:val="323E4F" w:themeColor="text2" w:themeShade="BF"/>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A1B14"/>
    <w:rPr>
      <w:rFonts w:ascii="Times New Roman" w:eastAsia="Times New Roman" w:hAnsi="Times New Roman" w:cs="Times New Roman"/>
      <w:b/>
      <w:bCs/>
      <w:color w:val="323E4F" w:themeColor="text2" w:themeShade="BF"/>
      <w:kern w:val="36"/>
      <w:sz w:val="24"/>
      <w:szCs w:val="48"/>
      <w:lang w:val="en-US"/>
    </w:rPr>
  </w:style>
  <w:style w:type="table" w:styleId="TableGrid">
    <w:name w:val="Table Grid"/>
    <w:basedOn w:val="TableNormal"/>
    <w:uiPriority w:val="39"/>
    <w:rsid w:val="009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A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qFormat/>
    <w:rsid w:val="009A1B14"/>
    <w:pPr>
      <w:spacing w:after="0" w:line="240" w:lineRule="auto"/>
    </w:pPr>
    <w:rPr>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mp">
    <w:name w:val="comp"/>
    <w:basedOn w:val="Normal"/>
    <w:uiPriority w:val="99"/>
    <w:qFormat/>
    <w:rsid w:val="009A1B1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1B14"/>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9A1B14"/>
    <w:pPr>
      <w:ind w:left="720"/>
      <w:contextualSpacing/>
    </w:pPr>
  </w:style>
  <w:style w:type="character" w:customStyle="1" w:styleId="ListParagraphChar">
    <w:name w:val="List Paragraph Char"/>
    <w:basedOn w:val="DefaultParagraphFont"/>
    <w:link w:val="ListParagraph"/>
    <w:uiPriority w:val="34"/>
    <w:locked/>
    <w:rsid w:val="009A1B14"/>
    <w:rPr>
      <w:lang w:val="en-US"/>
    </w:rPr>
  </w:style>
  <w:style w:type="paragraph" w:styleId="NormalWeb">
    <w:name w:val="Normal (Web)"/>
    <w:basedOn w:val="Normal"/>
    <w:uiPriority w:val="99"/>
    <w:unhideWhenUsed/>
    <w:rsid w:val="009A1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1B14"/>
  </w:style>
  <w:style w:type="paragraph" w:styleId="Header">
    <w:name w:val="header"/>
    <w:basedOn w:val="Normal"/>
    <w:link w:val="HeaderChar"/>
    <w:uiPriority w:val="99"/>
    <w:unhideWhenUsed/>
    <w:rsid w:val="009A1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14"/>
    <w:rPr>
      <w:lang w:val="en-US"/>
    </w:rPr>
  </w:style>
  <w:style w:type="paragraph" w:styleId="Footer">
    <w:name w:val="footer"/>
    <w:basedOn w:val="Normal"/>
    <w:link w:val="FooterChar"/>
    <w:uiPriority w:val="99"/>
    <w:unhideWhenUsed/>
    <w:rsid w:val="009A1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14"/>
    <w:rPr>
      <w:lang w:val="en-US"/>
    </w:rPr>
  </w:style>
  <w:style w:type="paragraph" w:styleId="BalloonText">
    <w:name w:val="Balloon Text"/>
    <w:basedOn w:val="Normal"/>
    <w:link w:val="BalloonTextChar"/>
    <w:uiPriority w:val="99"/>
    <w:semiHidden/>
    <w:unhideWhenUsed/>
    <w:rsid w:val="009A1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14"/>
    <w:rPr>
      <w:rFonts w:ascii="Segoe UI" w:hAnsi="Segoe UI" w:cs="Segoe UI"/>
      <w:sz w:val="18"/>
      <w:szCs w:val="18"/>
      <w:lang w:val="en-US"/>
    </w:rPr>
  </w:style>
  <w:style w:type="character" w:customStyle="1" w:styleId="editortaddedltunj">
    <w:name w:val="editor_t__added__ltunj"/>
    <w:basedOn w:val="DefaultParagraphFont"/>
    <w:rsid w:val="00B74C91"/>
  </w:style>
  <w:style w:type="character" w:customStyle="1" w:styleId="editortnoteditedwurp8">
    <w:name w:val="editor_t__not_edited__wurp8"/>
    <w:basedOn w:val="DefaultParagraphFont"/>
    <w:rsid w:val="00B74C91"/>
  </w:style>
  <w:style w:type="character" w:customStyle="1" w:styleId="editortnoteditedlongjunnx">
    <w:name w:val="editor_t__not_edited_long__junnx"/>
    <w:basedOn w:val="DefaultParagraphFont"/>
    <w:rsid w:val="00B74C91"/>
  </w:style>
  <w:style w:type="character" w:styleId="Emphasis">
    <w:name w:val="Emphasis"/>
    <w:basedOn w:val="DefaultParagraphFont"/>
    <w:uiPriority w:val="20"/>
    <w:qFormat/>
    <w:rsid w:val="000126BF"/>
    <w:rPr>
      <w:i/>
      <w:iCs/>
    </w:rPr>
  </w:style>
  <w:style w:type="character" w:styleId="Hyperlink">
    <w:name w:val="Hyperlink"/>
    <w:basedOn w:val="DefaultParagraphFont"/>
    <w:uiPriority w:val="99"/>
    <w:unhideWhenUsed/>
    <w:rsid w:val="002C2AC0"/>
    <w:rPr>
      <w:color w:val="0563C1" w:themeColor="hyperlink"/>
      <w:u w:val="single"/>
    </w:rPr>
  </w:style>
  <w:style w:type="character" w:styleId="UnresolvedMention">
    <w:name w:val="Unresolved Mention"/>
    <w:basedOn w:val="DefaultParagraphFont"/>
    <w:uiPriority w:val="99"/>
    <w:semiHidden/>
    <w:unhideWhenUsed/>
    <w:rsid w:val="002C2AC0"/>
    <w:rPr>
      <w:color w:val="605E5C"/>
      <w:shd w:val="clear" w:color="auto" w:fill="E1DFDD"/>
    </w:rPr>
  </w:style>
  <w:style w:type="character" w:styleId="CommentReference">
    <w:name w:val="annotation reference"/>
    <w:basedOn w:val="DefaultParagraphFont"/>
    <w:uiPriority w:val="99"/>
    <w:semiHidden/>
    <w:unhideWhenUsed/>
    <w:rsid w:val="00D14DF1"/>
    <w:rPr>
      <w:sz w:val="16"/>
      <w:szCs w:val="16"/>
    </w:rPr>
  </w:style>
  <w:style w:type="paragraph" w:styleId="CommentText">
    <w:name w:val="annotation text"/>
    <w:basedOn w:val="Normal"/>
    <w:link w:val="CommentTextChar"/>
    <w:uiPriority w:val="99"/>
    <w:semiHidden/>
    <w:unhideWhenUsed/>
    <w:rsid w:val="00D14DF1"/>
    <w:pPr>
      <w:spacing w:line="240" w:lineRule="auto"/>
    </w:pPr>
    <w:rPr>
      <w:sz w:val="20"/>
      <w:szCs w:val="20"/>
    </w:rPr>
  </w:style>
  <w:style w:type="character" w:customStyle="1" w:styleId="CommentTextChar">
    <w:name w:val="Comment Text Char"/>
    <w:basedOn w:val="DefaultParagraphFont"/>
    <w:link w:val="CommentText"/>
    <w:uiPriority w:val="99"/>
    <w:semiHidden/>
    <w:rsid w:val="00D14DF1"/>
    <w:rPr>
      <w:sz w:val="20"/>
      <w:szCs w:val="20"/>
    </w:rPr>
  </w:style>
  <w:style w:type="paragraph" w:styleId="CommentSubject">
    <w:name w:val="annotation subject"/>
    <w:basedOn w:val="CommentText"/>
    <w:next w:val="CommentText"/>
    <w:link w:val="CommentSubjectChar"/>
    <w:uiPriority w:val="99"/>
    <w:semiHidden/>
    <w:unhideWhenUsed/>
    <w:rsid w:val="00D14DF1"/>
    <w:rPr>
      <w:b/>
      <w:bCs/>
    </w:rPr>
  </w:style>
  <w:style w:type="character" w:customStyle="1" w:styleId="CommentSubjectChar">
    <w:name w:val="Comment Subject Char"/>
    <w:basedOn w:val="CommentTextChar"/>
    <w:link w:val="CommentSubject"/>
    <w:uiPriority w:val="99"/>
    <w:semiHidden/>
    <w:rsid w:val="00D14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812">
      <w:bodyDiv w:val="1"/>
      <w:marLeft w:val="0"/>
      <w:marRight w:val="0"/>
      <w:marTop w:val="0"/>
      <w:marBottom w:val="0"/>
      <w:divBdr>
        <w:top w:val="none" w:sz="0" w:space="0" w:color="auto"/>
        <w:left w:val="none" w:sz="0" w:space="0" w:color="auto"/>
        <w:bottom w:val="none" w:sz="0" w:space="0" w:color="auto"/>
        <w:right w:val="none" w:sz="0" w:space="0" w:color="auto"/>
      </w:divBdr>
    </w:div>
    <w:div w:id="604920535">
      <w:bodyDiv w:val="1"/>
      <w:marLeft w:val="0"/>
      <w:marRight w:val="0"/>
      <w:marTop w:val="0"/>
      <w:marBottom w:val="0"/>
      <w:divBdr>
        <w:top w:val="none" w:sz="0" w:space="0" w:color="auto"/>
        <w:left w:val="none" w:sz="0" w:space="0" w:color="auto"/>
        <w:bottom w:val="none" w:sz="0" w:space="0" w:color="auto"/>
        <w:right w:val="none" w:sz="0" w:space="0" w:color="auto"/>
      </w:divBdr>
    </w:div>
    <w:div w:id="674763763">
      <w:bodyDiv w:val="1"/>
      <w:marLeft w:val="0"/>
      <w:marRight w:val="0"/>
      <w:marTop w:val="0"/>
      <w:marBottom w:val="0"/>
      <w:divBdr>
        <w:top w:val="none" w:sz="0" w:space="0" w:color="auto"/>
        <w:left w:val="none" w:sz="0" w:space="0" w:color="auto"/>
        <w:bottom w:val="none" w:sz="0" w:space="0" w:color="auto"/>
        <w:right w:val="none" w:sz="0" w:space="0" w:color="auto"/>
      </w:divBdr>
    </w:div>
    <w:div w:id="1401950121">
      <w:bodyDiv w:val="1"/>
      <w:marLeft w:val="0"/>
      <w:marRight w:val="0"/>
      <w:marTop w:val="0"/>
      <w:marBottom w:val="0"/>
      <w:divBdr>
        <w:top w:val="none" w:sz="0" w:space="0" w:color="auto"/>
        <w:left w:val="none" w:sz="0" w:space="0" w:color="auto"/>
        <w:bottom w:val="none" w:sz="0" w:space="0" w:color="auto"/>
        <w:right w:val="none" w:sz="0" w:space="0" w:color="auto"/>
      </w:divBdr>
    </w:div>
    <w:div w:id="1596354945">
      <w:bodyDiv w:val="1"/>
      <w:marLeft w:val="0"/>
      <w:marRight w:val="0"/>
      <w:marTop w:val="0"/>
      <w:marBottom w:val="0"/>
      <w:divBdr>
        <w:top w:val="none" w:sz="0" w:space="0" w:color="auto"/>
        <w:left w:val="none" w:sz="0" w:space="0" w:color="auto"/>
        <w:bottom w:val="none" w:sz="0" w:space="0" w:color="auto"/>
        <w:right w:val="none" w:sz="0" w:space="0" w:color="auto"/>
      </w:divBdr>
    </w:div>
    <w:div w:id="1807433772">
      <w:bodyDiv w:val="1"/>
      <w:marLeft w:val="0"/>
      <w:marRight w:val="0"/>
      <w:marTop w:val="0"/>
      <w:marBottom w:val="0"/>
      <w:divBdr>
        <w:top w:val="none" w:sz="0" w:space="0" w:color="auto"/>
        <w:left w:val="none" w:sz="0" w:space="0" w:color="auto"/>
        <w:bottom w:val="none" w:sz="0" w:space="0" w:color="auto"/>
        <w:right w:val="none" w:sz="0" w:space="0" w:color="auto"/>
      </w:divBdr>
    </w:div>
    <w:div w:id="21054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Debt service (% of export of goods and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lineChart>
        <c:grouping val="standard"/>
        <c:varyColors val="0"/>
        <c:ser>
          <c:idx val="0"/>
          <c:order val="0"/>
          <c:tx>
            <c:strRef>
              <c:f>Sheet1!$B$1</c:f>
              <c:strCache>
                <c:ptCount val="1"/>
                <c:pt idx="0">
                  <c:v>Debt service (% of export of goods and services)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Sheet1!$B$2:$B$24</c:f>
              <c:numCache>
                <c:formatCode>General</c:formatCode>
                <c:ptCount val="23"/>
                <c:pt idx="0">
                  <c:v>8.2100000000000009</c:v>
                </c:pt>
                <c:pt idx="1">
                  <c:v>12.46</c:v>
                </c:pt>
                <c:pt idx="2">
                  <c:v>7.83</c:v>
                </c:pt>
                <c:pt idx="3">
                  <c:v>5.93</c:v>
                </c:pt>
                <c:pt idx="4">
                  <c:v>4.47</c:v>
                </c:pt>
                <c:pt idx="5">
                  <c:v>15.41</c:v>
                </c:pt>
                <c:pt idx="6">
                  <c:v>10.98</c:v>
                </c:pt>
                <c:pt idx="7">
                  <c:v>1.44</c:v>
                </c:pt>
                <c:pt idx="8">
                  <c:v>0.48</c:v>
                </c:pt>
                <c:pt idx="9">
                  <c:v>0.73</c:v>
                </c:pt>
                <c:pt idx="10">
                  <c:v>0.38</c:v>
                </c:pt>
                <c:pt idx="11">
                  <c:v>0.34</c:v>
                </c:pt>
                <c:pt idx="12">
                  <c:v>0.25</c:v>
                </c:pt>
                <c:pt idx="13">
                  <c:v>0.4</c:v>
                </c:pt>
                <c:pt idx="14">
                  <c:v>0.31</c:v>
                </c:pt>
                <c:pt idx="15">
                  <c:v>0.8</c:v>
                </c:pt>
                <c:pt idx="16">
                  <c:v>0.9</c:v>
                </c:pt>
                <c:pt idx="17">
                  <c:v>0.66</c:v>
                </c:pt>
                <c:pt idx="18">
                  <c:v>2.11</c:v>
                </c:pt>
                <c:pt idx="19">
                  <c:v>1.96</c:v>
                </c:pt>
                <c:pt idx="20">
                  <c:v>3.82</c:v>
                </c:pt>
                <c:pt idx="21">
                  <c:v>5.09</c:v>
                </c:pt>
                <c:pt idx="22">
                  <c:v>4.29</c:v>
                </c:pt>
              </c:numCache>
            </c:numRef>
          </c:val>
          <c:smooth val="0"/>
          <c:extLst>
            <c:ext xmlns:c16="http://schemas.microsoft.com/office/drawing/2014/chart" uri="{C3380CC4-5D6E-409C-BE32-E72D297353CC}">
              <c16:uniqueId val="{00000000-103C-46F0-817D-E3444A70F060}"/>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Sheet1!$C$2:$C$24</c:f>
              <c:numCache>
                <c:formatCode>General</c:formatCode>
                <c:ptCount val="23"/>
              </c:numCache>
            </c:numRef>
          </c:val>
          <c:smooth val="0"/>
          <c:extLst>
            <c:ext xmlns:c16="http://schemas.microsoft.com/office/drawing/2014/chart" uri="{C3380CC4-5D6E-409C-BE32-E72D297353CC}">
              <c16:uniqueId val="{00000001-103C-46F0-817D-E3444A70F060}"/>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Sheet1!$D$2:$D$24</c:f>
              <c:numCache>
                <c:formatCode>General</c:formatCode>
                <c:ptCount val="23"/>
              </c:numCache>
            </c:numRef>
          </c:val>
          <c:smooth val="0"/>
          <c:extLst>
            <c:ext xmlns:c16="http://schemas.microsoft.com/office/drawing/2014/chart" uri="{C3380CC4-5D6E-409C-BE32-E72D297353CC}">
              <c16:uniqueId val="{00000002-103C-46F0-817D-E3444A70F060}"/>
            </c:ext>
          </c:extLst>
        </c:ser>
        <c:dLbls>
          <c:showLegendKey val="0"/>
          <c:showVal val="0"/>
          <c:showCatName val="0"/>
          <c:showSerName val="0"/>
          <c:showPercent val="0"/>
          <c:showBubbleSize val="0"/>
        </c:dLbls>
        <c:marker val="1"/>
        <c:smooth val="0"/>
        <c:axId val="1370088288"/>
        <c:axId val="1370089536"/>
      </c:lineChart>
      <c:catAx>
        <c:axId val="137008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370089536"/>
        <c:crosses val="autoZero"/>
        <c:auto val="1"/>
        <c:lblAlgn val="ctr"/>
        <c:lblOffset val="100"/>
        <c:noMultiLvlLbl val="0"/>
      </c:catAx>
      <c:valAx>
        <c:axId val="1370089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Debt service (% of export of goods and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370088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christoezekwe@gmail.com</dc:creator>
  <cp:keywords/>
  <dc:description/>
  <cp:lastModifiedBy>Editor-11</cp:lastModifiedBy>
  <cp:revision>31</cp:revision>
  <dcterms:created xsi:type="dcterms:W3CDTF">2025-03-25T01:03:00Z</dcterms:created>
  <dcterms:modified xsi:type="dcterms:W3CDTF">2025-03-26T06:06:00Z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a19957ba-d7cb-498f-819f-4742f4c6ed16</vt:lpwstr>
  </property>
</Properties>
</file>