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1578" w:rsidRDefault="00000000">
      <w:pPr>
        <w:jc w:val="center"/>
        <w:rPr>
          <w:rFonts w:ascii="Times New Roman" w:hAnsi="Times New Roman" w:cs="Times New Roman"/>
          <w:b/>
          <w:bCs/>
          <w:sz w:val="30"/>
          <w:szCs w:val="30"/>
        </w:rPr>
      </w:pPr>
      <w:r>
        <w:rPr>
          <w:rFonts w:ascii="Times New Roman" w:hAnsi="Times New Roman" w:cs="Times New Roman" w:hint="eastAsia"/>
          <w:b/>
          <w:bCs/>
          <w:sz w:val="30"/>
          <w:szCs w:val="30"/>
        </w:rPr>
        <w:t>Evaluation of Profitability in Chinese Snack Food Enterprises: A DuPont Empirical Analysis</w:t>
      </w:r>
    </w:p>
    <w:p w:rsidR="00BC1578" w:rsidRDefault="00BC1578">
      <w:pPr>
        <w:jc w:val="center"/>
        <w:rPr>
          <w:rFonts w:ascii="Times New Roman" w:hAnsi="Times New Roman" w:cs="Times New Roman"/>
          <w:sz w:val="24"/>
        </w:rPr>
      </w:pPr>
    </w:p>
    <w:p w:rsidR="00BC1578" w:rsidRDefault="00BC1578">
      <w:pPr>
        <w:spacing w:line="360" w:lineRule="auto"/>
        <w:rPr>
          <w:rFonts w:ascii="Times New Roman" w:hAnsi="Times New Roman" w:cs="Times New Roman"/>
          <w:sz w:val="24"/>
        </w:rPr>
      </w:pPr>
    </w:p>
    <w:p w:rsidR="00BC1578" w:rsidRDefault="00000000">
      <w:pPr>
        <w:rPr>
          <w:rFonts w:ascii="Times New Roman" w:eastAsia="SimSun" w:hAnsi="Times New Roman" w:cs="Times New Roman"/>
          <w:b/>
          <w:bCs/>
          <w:sz w:val="24"/>
        </w:rPr>
      </w:pPr>
      <w:r>
        <w:rPr>
          <w:rFonts w:ascii="Times New Roman" w:eastAsia="SimSun" w:hAnsi="Times New Roman" w:cs="Times New Roman" w:hint="eastAsia"/>
          <w:b/>
          <w:bCs/>
          <w:sz w:val="24"/>
        </w:rPr>
        <w:t>ABSTR</w:t>
      </w:r>
      <w:r>
        <w:rPr>
          <w:rFonts w:ascii="Times New Roman" w:eastAsia="SimSun" w:hAnsi="Times New Roman" w:cs="Times New Roman"/>
          <w:b/>
          <w:bCs/>
          <w:sz w:val="24"/>
        </w:rPr>
        <w:t>A</w:t>
      </w:r>
      <w:r>
        <w:rPr>
          <w:rFonts w:ascii="Times New Roman" w:eastAsia="SimSun" w:hAnsi="Times New Roman" w:cs="Times New Roman" w:hint="eastAsia"/>
          <w:b/>
          <w:bCs/>
          <w:sz w:val="24"/>
        </w:rPr>
        <w:t>CT</w:t>
      </w:r>
    </w:p>
    <w:p w:rsidR="00BC1578" w:rsidRDefault="00BC1578">
      <w:pPr>
        <w:rPr>
          <w:rFonts w:ascii="Times New Roman" w:eastAsia="SimSun" w:hAnsi="Times New Roman" w:cs="Times New Roman"/>
          <w:b/>
          <w:bCs/>
          <w:sz w:val="24"/>
        </w:rPr>
      </w:pPr>
    </w:p>
    <w:p w:rsidR="00BC1578" w:rsidRDefault="00000000">
      <w:pPr>
        <w:spacing w:line="360" w:lineRule="auto"/>
        <w:ind w:firstLineChars="200" w:firstLine="480"/>
        <w:rPr>
          <w:rFonts w:ascii="Times New Roman" w:eastAsia="SimSun" w:hAnsi="Times New Roman" w:cs="Times New Roman"/>
          <w:b/>
          <w:bCs/>
          <w:sz w:val="24"/>
        </w:rPr>
      </w:pPr>
      <w:r>
        <w:rPr>
          <w:rFonts w:ascii="Times New Roman" w:eastAsia="SimSun" w:hAnsi="Times New Roman" w:cs="Times New Roman"/>
          <w:sz w:val="24"/>
        </w:rPr>
        <w:t xml:space="preserve">With the improvement in Chinese residents' consumption capacity and the leisure food market's scale surpassing one trillion yuan, the industry has shown rapid growth. However, domestic companies still face challenges in areas such as brand influence, technological research and development, and management experience. This paper takes Three Squirrels, </w:t>
      </w:r>
      <w:proofErr w:type="spellStart"/>
      <w:r>
        <w:rPr>
          <w:rFonts w:ascii="Times New Roman" w:eastAsia="SimSun" w:hAnsi="Times New Roman" w:cs="Times New Roman"/>
          <w:sz w:val="24"/>
        </w:rPr>
        <w:t>Bestore</w:t>
      </w:r>
      <w:proofErr w:type="spellEnd"/>
      <w:r>
        <w:rPr>
          <w:rFonts w:ascii="Times New Roman" w:eastAsia="SimSun" w:hAnsi="Times New Roman" w:cs="Times New Roman"/>
          <w:sz w:val="24"/>
        </w:rPr>
        <w:t xml:space="preserve">, and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as research subjects and systematically evaluates the differences in profitability and their driving factors from 2019 to 2023 using the DuPont analysis method. The net return on equity (ROE) is decomposed into net profit margin, total asset turnover, and equity multiplier. The study finds that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by optimizing cost control and adopting a differentiated product strategy, increased its ROE from 17.93% in 2019 to 39.34% in 2023, demonstrating strong profit potential. </w:t>
      </w:r>
      <w:proofErr w:type="spellStart"/>
      <w:r>
        <w:rPr>
          <w:rFonts w:ascii="Times New Roman" w:eastAsia="SimSun" w:hAnsi="Times New Roman" w:cs="Times New Roman"/>
          <w:sz w:val="24"/>
        </w:rPr>
        <w:t>Bestore</w:t>
      </w:r>
      <w:proofErr w:type="spellEnd"/>
      <w:r>
        <w:rPr>
          <w:rFonts w:ascii="Times New Roman" w:eastAsia="SimSun" w:hAnsi="Times New Roman" w:cs="Times New Roman"/>
          <w:sz w:val="24"/>
        </w:rPr>
        <w:t>, due to intensified market competition and cost pressures, saw its ROE decrease continuously from 27.02% to 7.32%, highlighting the sustainability risks of its profit model. Three Squirrels' ROE exhibited cyclical fluctuations, with a decline in asset turnover efficiency and tighter financial leverage causing its ROE to drop sharply to 5.61% in 2022. However, its capital structure stability improved. Further analysis indicates that the differences in corporate profitability stem from variations in market positioning, asset operation efficiency, and financial leverage strategies. Based on this, this paper suggests constructing a differentiated product structure, expanding diverse consumption scenarios, strengthening multi-channel synergies, and innovating marketing strategies to help companies balance financial risks and growth needs, thereby enhancing industry competitiveness. This study provides theoretical and empirical evidence for leisure food companies to optimize their profit models and achieve sustainable development.</w:t>
      </w:r>
    </w:p>
    <w:p w:rsidR="00BC1578" w:rsidRDefault="00000000">
      <w:pPr>
        <w:rPr>
          <w:rFonts w:ascii="Times New Roman" w:eastAsia="serif" w:hAnsi="Times New Roman" w:cs="Times New Roman"/>
          <w:b/>
          <w:bCs/>
          <w:i/>
          <w:iCs/>
          <w:sz w:val="24"/>
          <w:shd w:val="clear" w:color="auto" w:fill="FFFFFF"/>
        </w:rPr>
      </w:pPr>
      <w:r>
        <w:rPr>
          <w:rFonts w:ascii="Times New Roman" w:eastAsia="serif" w:hAnsi="Times New Roman" w:cs="Times New Roman"/>
          <w:b/>
          <w:bCs/>
          <w:i/>
          <w:iCs/>
          <w:sz w:val="24"/>
          <w:shd w:val="clear" w:color="auto" w:fill="FFFFFF"/>
        </w:rPr>
        <w:lastRenderedPageBreak/>
        <w:t>Keywords:</w:t>
      </w:r>
      <w:r>
        <w:rPr>
          <w:rFonts w:ascii="Times New Roman" w:eastAsia="SimSun" w:hAnsi="Times New Roman" w:cs="Times New Roman" w:hint="eastAsia"/>
          <w:b/>
          <w:bCs/>
          <w:i/>
          <w:iCs/>
          <w:sz w:val="24"/>
          <w:shd w:val="clear" w:color="auto" w:fill="FFFFFF"/>
        </w:rPr>
        <w:t xml:space="preserve"> </w:t>
      </w:r>
      <w:r>
        <w:rPr>
          <w:rFonts w:ascii="Times New Roman" w:eastAsia="serif" w:hAnsi="Times New Roman" w:cs="Times New Roman" w:hint="eastAsia"/>
          <w:sz w:val="24"/>
          <w:shd w:val="clear" w:color="auto" w:fill="FFFFFF"/>
        </w:rPr>
        <w:t>Snack Foods; DuPont Analysis; Profitability; Chain Substitution Method; Enterprise Evaluation</w:t>
      </w:r>
    </w:p>
    <w:p w:rsidR="00BC1578" w:rsidRDefault="00BC1578">
      <w:pPr>
        <w:rPr>
          <w:rFonts w:ascii="SimSun" w:eastAsia="SimSun" w:hAnsi="SimSun" w:cs="SimSun"/>
          <w:b/>
          <w:bCs/>
          <w:sz w:val="24"/>
          <w:shd w:val="clear" w:color="auto" w:fill="FFFFFF"/>
        </w:rPr>
      </w:pPr>
    </w:p>
    <w:p w:rsidR="00BC1578" w:rsidRDefault="00000000">
      <w:pPr>
        <w:rPr>
          <w:rFonts w:ascii="SimSun" w:eastAsia="SimSun" w:hAnsi="SimSun" w:cs="SimSun"/>
          <w:sz w:val="24"/>
        </w:rPr>
      </w:pPr>
      <w:r>
        <w:rPr>
          <w:rFonts w:ascii="Times New Roman" w:eastAsia="SimSun" w:hAnsi="Times New Roman" w:cs="Times New Roman"/>
          <w:b/>
          <w:bCs/>
          <w:sz w:val="28"/>
          <w:szCs w:val="28"/>
        </w:rPr>
        <w:t>1 Introduction</w:t>
      </w:r>
    </w:p>
    <w:p w:rsidR="00BC1578" w:rsidRDefault="0000000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With the steady improvement of China's economic level and the rapid development of the tourism industry, residents' purchasing power has significantly increased, leading to a continuous growth in demand for snack foods.</w:t>
      </w:r>
      <w:r>
        <w:rPr>
          <w:rFonts w:ascii="Times New Roman" w:eastAsia="SimSun" w:hAnsi="Times New Roman" w:cs="Times New Roman" w:hint="eastAsia"/>
          <w:sz w:val="24"/>
        </w:rPr>
        <w:t xml:space="preserve"> </w:t>
      </w:r>
      <w:r>
        <w:rPr>
          <w:rFonts w:ascii="Times New Roman" w:eastAsia="SimSun" w:hAnsi="Times New Roman" w:cs="Times New Roman"/>
          <w:sz w:val="24"/>
        </w:rPr>
        <w:t>Snack foods, characterized by their convenience, speed, and delicious taste, have gradually become an essential part of daily consumption.</w:t>
      </w:r>
      <w:r>
        <w:rPr>
          <w:rFonts w:ascii="Times New Roman" w:eastAsia="SimSun" w:hAnsi="Times New Roman" w:cs="Times New Roman" w:hint="eastAsia"/>
          <w:sz w:val="24"/>
        </w:rPr>
        <w:t xml:space="preserve"> </w:t>
      </w:r>
      <w:r>
        <w:rPr>
          <w:rFonts w:ascii="Times New Roman" w:eastAsia="SimSun" w:hAnsi="Times New Roman" w:cs="Times New Roman"/>
          <w:sz w:val="24"/>
        </w:rPr>
        <w:t>From nuts and puffed foods to baked pastries and functional snacks, the variety of products on the market has been expanding, catering to the personalized needs of different consumers.</w:t>
      </w:r>
      <w:r>
        <w:rPr>
          <w:rFonts w:ascii="Times New Roman" w:eastAsia="SimSun" w:hAnsi="Times New Roman" w:cs="Times New Roman" w:hint="eastAsia"/>
          <w:sz w:val="24"/>
        </w:rPr>
        <w:t xml:space="preserve"> </w:t>
      </w:r>
      <w:r>
        <w:rPr>
          <w:rFonts w:ascii="Times New Roman" w:eastAsia="SimSun" w:hAnsi="Times New Roman" w:cs="Times New Roman" w:hint="eastAsia"/>
          <w:sz w:val="24"/>
          <w:highlight w:val="yellow"/>
        </w:rPr>
        <w:t>According to China Casual Snacks Market Report, the annual demand of China's casual food market has exceeded one trillion yuan in recent years, and the market size is growing in geometric progression.</w:t>
      </w:r>
      <w:r>
        <w:rPr>
          <w:rFonts w:ascii="Times New Roman" w:eastAsia="SimSun" w:hAnsi="Times New Roman" w:cs="Times New Roman" w:hint="eastAsia"/>
          <w:sz w:val="24"/>
        </w:rPr>
        <w:t xml:space="preserve"> </w:t>
      </w:r>
      <w:r>
        <w:rPr>
          <w:rFonts w:ascii="Times New Roman" w:eastAsia="SimSun" w:hAnsi="Times New Roman" w:cs="Times New Roman"/>
          <w:sz w:val="24"/>
        </w:rPr>
        <w:t>The average annual growth rate of the consumer market has reached approximately 25%, demonstrating strong growth potential.</w:t>
      </w:r>
      <w:r>
        <w:rPr>
          <w:rFonts w:ascii="Times New Roman" w:eastAsia="SimSun" w:hAnsi="Times New Roman" w:cs="Times New Roman" w:hint="eastAsia"/>
          <w:sz w:val="24"/>
        </w:rPr>
        <w:t xml:space="preserve"> </w:t>
      </w:r>
      <w:r>
        <w:rPr>
          <w:rFonts w:ascii="Times New Roman" w:eastAsia="SimSun" w:hAnsi="Times New Roman" w:cs="Times New Roman"/>
          <w:sz w:val="24"/>
        </w:rPr>
        <w:t>Although China's snack food industry has developed rapidly, with many market participants, domestic enterprises still lag behind international brands in terms of brand influence, technological research and development, and management experience.</w:t>
      </w:r>
      <w:r>
        <w:rPr>
          <w:rFonts w:ascii="Times New Roman" w:eastAsia="SimSun" w:hAnsi="Times New Roman" w:cs="Times New Roman" w:hint="eastAsia"/>
          <w:sz w:val="24"/>
        </w:rPr>
        <w:t xml:space="preserve"> </w:t>
      </w:r>
      <w:r>
        <w:rPr>
          <w:rFonts w:ascii="Times New Roman" w:eastAsia="SimSun" w:hAnsi="Times New Roman" w:cs="Times New Roman"/>
          <w:sz w:val="24"/>
        </w:rPr>
        <w:t>The industry as a whole has a relatively short history and weaker competitive strength, with homogeneous competition among enterprises being a common phenomenon.</w:t>
      </w:r>
      <w:r>
        <w:rPr>
          <w:rFonts w:ascii="Times New Roman" w:eastAsia="SimSun" w:hAnsi="Times New Roman" w:cs="Times New Roman" w:hint="eastAsia"/>
          <w:sz w:val="24"/>
        </w:rPr>
        <w:t xml:space="preserve"> </w:t>
      </w:r>
      <w:r>
        <w:rPr>
          <w:rFonts w:ascii="Times New Roman" w:eastAsia="SimSun" w:hAnsi="Times New Roman" w:cs="Times New Roman"/>
          <w:sz w:val="24"/>
        </w:rPr>
        <w:t>With the rise of trends toward healthier, functional, and personalized consumption, market potential has been further stimulated.</w:t>
      </w:r>
      <w:r>
        <w:rPr>
          <w:rFonts w:ascii="Times New Roman" w:eastAsia="SimSun" w:hAnsi="Times New Roman" w:cs="Times New Roman" w:hint="eastAsia"/>
          <w:sz w:val="24"/>
        </w:rPr>
        <w:t xml:space="preserve"> </w:t>
      </w:r>
      <w:r>
        <w:rPr>
          <w:rFonts w:ascii="Times New Roman" w:eastAsia="SimSun" w:hAnsi="Times New Roman" w:cs="Times New Roman"/>
          <w:sz w:val="24"/>
        </w:rPr>
        <w:t>If domestic enterprises can seize this strategic opportunity by deeply understanding market demand, optimizing product structures, and enhancing operational efficiency, they are likely to achieve rapid development and breakthrough progress.</w:t>
      </w:r>
    </w:p>
    <w:p w:rsidR="00BC1578" w:rsidRDefault="0000000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The profit model is not only the key to gaining a competitive advantage but also the foundation for a company's survival and development.</w:t>
      </w:r>
      <w:r>
        <w:rPr>
          <w:rFonts w:ascii="Times New Roman" w:eastAsia="SimSun" w:hAnsi="Times New Roman" w:cs="Times New Roman" w:hint="eastAsia"/>
          <w:sz w:val="24"/>
        </w:rPr>
        <w:t xml:space="preserve">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{"citationID":"S4ht4UhW","properties":{"formattedCitation":"(Delmar et al., 2013)","plainCitation":"(Delmar et al., 2013)","noteIndex":0},"citationItems":[{"id":1294,"uris":["http://zotero.org/users/local/e4ezAbND/items/EQGQP8G9"],"itemData":{"id":1294,"type":"article-journal","abstract":"The performance of new firms is important for economic development but research has produced limited knowledge about the key relationships among growth, profitability, and survival for new firms. Based on evolutionary theory, we develop a model about how new firms resolve uncertainty about their ability to prosper in a market by monitoring changes in profitability. Our model predicts selection pressures to weed out underperforming firms and learning in order to allow survivors to improve performance and grow. We test our theory using a unique panel of knowledge-intensive new firms in Sweden. We find strong support for the notion that profitability enhances both survival and growth, and growth helps profitability but has a negative effect on survival. Implications are discussed.","collection-title":"Technology Entrepreneurship: A Special Issue in Memory of Bruce A. Kirchhoff","container-title":"Technovation","DOI":"10.1016/j.technovation.2013.02.003","ISSN":"0166-4972","issue":"8","journalAbbreviation":"Technovation","page":"276-291","source":"ScienceDirect","title":"Untangling the relationships among growth, profitability and survival in new firms","volume":"33","author":[{"family":"Delmar","given":"Frédéric"},{"family":"McKelvie","given":"Alexander"},{"family":"Wennberg","given":"Karl"}],"issued":{"date-parts":[["2013",8,1]]}}}],"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(Delmar et al., 2013)</w:t>
      </w:r>
      <w:r>
        <w:rPr>
          <w:rFonts w:ascii="Times New Roman" w:eastAsia="SimSun" w:hAnsi="Times New Roman" w:cs="Times New Roman"/>
          <w:sz w:val="24"/>
        </w:rPr>
        <w:fldChar w:fldCharType="end"/>
      </w:r>
      <w:r>
        <w:rPr>
          <w:rFonts w:ascii="Times New Roman" w:eastAsia="SimSun" w:hAnsi="Times New Roman" w:cs="Times New Roman"/>
          <w:sz w:val="24"/>
        </w:rPr>
        <w:t xml:space="preserve"> argued that a company's profitability serves as the driving force for continuous growth, while sustained growth, in turn, enhances its profitability.</w:t>
      </w:r>
      <w:r>
        <w:rPr>
          <w:rFonts w:ascii="Times New Roman" w:eastAsia="SimSun" w:hAnsi="Times New Roman" w:cs="Times New Roman" w:hint="eastAsia"/>
          <w:sz w:val="24"/>
        </w:rPr>
        <w:t xml:space="preserve">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{"citationID":"Eac0j5Pl","properties":{"formattedCitation":"(Ball et al., 2015)","plainCitation":"(Ball et al., 2015)","noteIndex":0},"citationItems":[{"id":1297,"uris":["http://zotero.org/users/local/e4ezAbND/items/LLFMCF8Z"],"itemData":{"id":1297,"type":"article-journal","abstract":"Gross profit scaled by book value of total assets predicts the cross section of average returns. Novy-Marx (2013) concludes that it outperforms other measures of profitability such as bottom line net income, cash flows, and dividends. One potential explanation for the measure׳s predictive ability is that its numerator (gross profit) is a cleaner measure of economic profitability. An alternative explanation lies in the measure׳s deflator. We find that net income equals gross profit in predictive power when they have consistent deflators. Deflating profit by the book value of total assets results in a variable that is the product of profitability and the ratio of the market value of equity to the book value of total assets, which is priced. We then construct an alternative measure of profitability, operating profitability, which better matches current expenses with current revenue. This measure exhibits a far stronger link with expected returns than either net income or gross profit. It predicts returns as far as ten years ahead, seemingly inconsistent with irrational pricing explanations.","container-title":"Journal of Financial Economics","DOI":"10.1016/j.jfineco.2015.02.004","ISSN":"0304-405X","issue":"2","journalAbbreviation":"Journal of Financial Economics","page":"225-248","source":"ScienceDirect","title":"Deflating profitability","volume":"117","author":[{"family":"Ball","given":"Ray"},{"family":"Gerakos","given":"Joseph"},{"family":"Linnainmaa","given":"Juhani T."},{"family":"Nikolaev","given":"Valeri V."}],"issued":{"date-parts":[["2015",8,1]]}}}],"schema":"https://github.com/citation-style-language/schema/raw/master/csl-citation.json"}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(Ball et al., 2015)</w:t>
      </w:r>
      <w:r>
        <w:rPr>
          <w:rFonts w:ascii="Times New Roman" w:eastAsia="SimSun" w:hAnsi="Times New Roman" w:cs="Times New Roman"/>
          <w:sz w:val="24"/>
        </w:rPr>
        <w:fldChar w:fldCharType="end"/>
      </w:r>
      <w:r>
        <w:rPr>
          <w:rFonts w:ascii="Times New Roman" w:eastAsia="SimSun" w:hAnsi="Times New Roman" w:cs="Times New Roman"/>
          <w:sz w:val="24"/>
        </w:rPr>
        <w:t xml:space="preserve"> found that profitability can be analyzed through business operations, investment, and financing, </w:t>
      </w:r>
      <w:r>
        <w:rPr>
          <w:rFonts w:ascii="Times New Roman" w:eastAsia="SimSun" w:hAnsi="Times New Roman" w:cs="Times New Roman"/>
          <w:sz w:val="24"/>
        </w:rPr>
        <w:lastRenderedPageBreak/>
        <w:t>and that these factors can be used to predict a company's future profitability.</w:t>
      </w:r>
      <w:r>
        <w:rPr>
          <w:rFonts w:ascii="Times New Roman" w:eastAsia="SimSun" w:hAnsi="Times New Roman" w:cs="Times New Roman" w:hint="eastAsia"/>
          <w:sz w:val="24"/>
        </w:rPr>
        <w:t xml:space="preserve">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{"citationID":"n81fUItX","properties":{"formattedCitation":"(Kim, 2016)","plainCitation":"(Kim, 2016)","noteIndex":0},"citationItems":[{"id":1300,"uris":["http://zotero.org/users/local/e4ezAbND/items/AH3WYKKU"],"itemData":{"id":1300,"type":"article-journal","abstract":"This study attempts to measure the financial performance of the food distribution company. In order to achieve the goal, this study have measured the ratios of ROE, ROA applying the DuPont analysis, which have been demonstrated with tables to show the change periodically. DuPont analysis is based on analysis of Return on Equity (ROE) &amp; Return on Investment (ROI). The return on equity disaggregate performance into three components: Net Profit Margin, Total Asset Turnover, and the Equity Multiplier. The return on investment consists of Assets Turnover (Operating Income&lt;TEX&gt;${\\times}$&lt;/TEX&gt;Total Assets) and Profit Margin (EBIT&lt;TEX&gt;${\\times}$&lt;/TEX&gt;Operating Income). From the study it if found that Hyundae Green Food's Financial performance is high followed by Foodmerce and then Dongwon home food and Lotte Food. The four companies are significant at their level. In conclusion, ROE &amp; ROI is the most comprehensive measure of profitability of a firm. It considers the operating and investing decisions can be made as well as the financing and their leverage-related decisions.","container-title":"Culinary science and hospitality research","ISSN":"2466-0752","issue":"6","language":"en-US","note":"publisher: Culinary Society of Korean Academy","page":"52-60","source":"koreascience.kr","title":"A study of financial performance using DuPont analysis in food distribution market","volume":"22","author":[{"family":"Kim","given":"Hak-Seon"}],"issued":{"date-parts":[["2016"]]}}}],"schema":"https://github.com/citation-style-language/schema/raw/master/csl-citation.json"}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(Kim, 2016)</w:t>
      </w:r>
      <w:r>
        <w:rPr>
          <w:rFonts w:ascii="Times New Roman" w:eastAsia="SimSun" w:hAnsi="Times New Roman" w:cs="Times New Roman"/>
          <w:sz w:val="24"/>
        </w:rPr>
        <w:fldChar w:fldCharType="end"/>
      </w:r>
      <w:r>
        <w:rPr>
          <w:rFonts w:ascii="Times New Roman" w:eastAsia="SimSun" w:hAnsi="Times New Roman" w:cs="Times New Roman"/>
          <w:sz w:val="24"/>
        </w:rPr>
        <w:t xml:space="preserve"> applied the DuPont analysis method to measure the ratio of ROE to ROA and presented its cyclical variations in tabular form. The study found that profitability can be comprehensively analyzed using ROE and ROI indicators, as this method considers the impact of operational investment and financial leverage on profitability.</w:t>
      </w:r>
      <w:r>
        <w:rPr>
          <w:rFonts w:ascii="Times New Roman" w:eastAsia="SimSun" w:hAnsi="Times New Roman" w:cs="Times New Roman" w:hint="eastAsia"/>
          <w:sz w:val="24"/>
        </w:rPr>
        <w:t xml:space="preserve">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{"citationID":"yHXPg0j6","properties":{"formattedCitation":"(Wu et al., 2021)","plainCitation":"(Wu et al., 2021)","noteIndex":0},"citationItems":[{"id":1292,"uris":["http://zotero.org/users/local/e4ezAbND/items/II8RGHFQ"],"itemData":{"id":1292,"type":"article-journal","abstract":"Corporate social responsibility (CSR) is among the dominant multi-attribute methods of comprehensively representing the competitiveness of a company. A large number of studies have commonly found that profitability can positively affect CSR. However, positivity depends on firm type and the economy, and there is little research in this area. The objective of this paper is to study and verify whether the profitability of different types of companies has a comparable impact on CSR measures in Chinese appliance listed companies. A specific multi-attribute AHP (analytic hierarchy process) model was proposed to determine the CSR for the conditions of Chines appliance listed companies. The interactive regression model serves to analyse the impact of a firm type. The specific multi-attribute AHP model was verified as a suitable tool for CSR evaluation of Chines appliance listed companies. The regression results show that for family firms, the impact of profitability on CSR is significant, while for non-family firms, the impact was not confirmed. Thus, evidence that family firms fulfil better CSR than non-family firms in the investigated Chinese sector is offered. The findings provide proof that it is essential to distinguish firm types, and the generalised findings are simplified and not valid.","container-title":"Energies","DOI":"10.3390/en14010227","ISSN":"1996-1073","issue":"1","language":"en","license":"http://creativecommons.org/licenses/by/3.0/","note":"number: 1\npublisher: Multidisciplinary Digital Publishing Institute","page":"227","source":"www.mdpi.com","title":"Corporate social responsibility and profitability: The moderating role of firm type in Chinese appliance listed companies","title-short":"Corporate Social Responsibility and Profitability","volume":"14","author":[{"family":"Wu","given":"Xiaojuan"},{"family":"Dluhošová","given":"Dana"},{"family":"Zmeškal","given":"Zdeněk"}],"issued":{"date-parts":[["2021",1]]}}}],"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(Wu et al., 2021)</w:t>
      </w:r>
      <w:r>
        <w:rPr>
          <w:rFonts w:ascii="Times New Roman" w:eastAsia="SimSun" w:hAnsi="Times New Roman" w:cs="Times New Roman"/>
          <w:sz w:val="24"/>
        </w:rPr>
        <w:fldChar w:fldCharType="end"/>
      </w:r>
      <w:r>
        <w:rPr>
          <w:rFonts w:ascii="Times New Roman" w:eastAsia="SimSun" w:hAnsi="Times New Roman" w:cs="Times New Roman"/>
          <w:sz w:val="24"/>
        </w:rPr>
        <w:t xml:space="preserve"> found that a company's profitability has a positive impact on corporate social responsibility, and the extent to which a company fulfills its social responsibilities can, to some extent, reflect its profitability.</w:t>
      </w:r>
    </w:p>
    <w:p w:rsidR="00BC1578" w:rsidRDefault="0000000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Currently, Chinese scholars primarily focus on two main directions in the study of corporate profitability analysis: On the one hand, research based on factor analysis and hierarchical analysis methods. For instance,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{"citationID":"ucy8Hxtu","properties":{"formattedCitation":"(Zhu, 2021)","plainCitation":"(Zhu, 2021)","noteIndex":0},"citationItems":[{"id":1278,"uris":["http://zotero.org/users/local/e4ezAbND/items/RASI9KZN"],"itemData":{</w:instrText>
      </w:r>
      <w:r>
        <w:rPr>
          <w:rFonts w:ascii="Times New Roman" w:eastAsia="SimSun" w:hAnsi="Times New Roman" w:cs="Times New Roman" w:hint="eastAsia"/>
          <w:sz w:val="24"/>
        </w:rPr>
        <w:instrText>"id":1278,"type":"thesis","abstract":"</w:instrText>
      </w:r>
      <w:r>
        <w:rPr>
          <w:rFonts w:ascii="Times New Roman" w:eastAsia="SimSun" w:hAnsi="Times New Roman" w:cs="Times New Roman" w:hint="eastAsia"/>
          <w:sz w:val="24"/>
        </w:rPr>
        <w:instrText>能源是推动人类社会繁荣和发展的根本动力。现代文明的不断发展使人们意识到传统能源对自然环境和人类可持续发展的危害</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世界各国政府出台相应政策以支持新能源产业发展。在这样的背景下</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新能源企业</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公司迎来了巨大的发展机遇。但由于该公司步入新能源整车行业时间不长</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还未实现规模化生产</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技术成本仍然较高</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政府对新能源汽车的补贴资金不断退坡</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公司的发展存在太多的不确定性。因此</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本文选取</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公司作为研究对象</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采取文献研究法、比较分析法和实证分析法对</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公司盈利能力展开全面的评价</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保证企业能够可持续健康发展。本文通过文献研究法、比较分析法和实证研究法对</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公司的盈利能力进行评价</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通过对盈利能力的相关内容进行概述</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阐明了</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公司盈利能力评价研究的理论框架</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然后依据盈利能力指标选取原则</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结合新能源行业特点</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分别从盈利数量性、盈利获现性、盈利成长性和收益质量四个方面构建</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公司盈利能力综合指标体系。通过计算和整理</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w:instrText>
      </w:r>
      <w:r>
        <w:rPr>
          <w:rFonts w:ascii="Times New Roman" w:eastAsia="SimSun" w:hAnsi="Times New Roman" w:cs="Times New Roman" w:hint="eastAsia"/>
          <w:sz w:val="24"/>
        </w:rPr>
        <w:instrText>2014</w:instrText>
      </w:r>
      <w:r>
        <w:rPr>
          <w:rFonts w:ascii="Times New Roman" w:eastAsia="SimSun" w:hAnsi="Times New Roman" w:cs="Times New Roman" w:hint="eastAsia"/>
          <w:sz w:val="24"/>
        </w:rPr>
        <w:instrText>年至</w:instrText>
      </w:r>
      <w:r>
        <w:rPr>
          <w:rFonts w:ascii="Times New Roman" w:eastAsia="SimSun" w:hAnsi="Times New Roman" w:cs="Times New Roman" w:hint="eastAsia"/>
          <w:sz w:val="24"/>
        </w:rPr>
        <w:instrText>2018</w:instrText>
      </w:r>
      <w:r>
        <w:rPr>
          <w:rFonts w:ascii="Times New Roman" w:eastAsia="SimSun" w:hAnsi="Times New Roman" w:cs="Times New Roman" w:hint="eastAsia"/>
          <w:sz w:val="24"/>
        </w:rPr>
        <w:instrText>年的评价指标</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将其与同行业</w:instrText>
      </w:r>
      <w:r>
        <w:rPr>
          <w:rFonts w:ascii="Times New Roman" w:eastAsia="SimSun" w:hAnsi="Times New Roman" w:cs="Times New Roman" w:hint="eastAsia"/>
          <w:sz w:val="24"/>
        </w:rPr>
        <w:instrText>30</w:instrText>
      </w:r>
      <w:r>
        <w:rPr>
          <w:rFonts w:ascii="Times New Roman" w:eastAsia="SimSun" w:hAnsi="Times New Roman" w:cs="Times New Roman" w:hint="eastAsia"/>
          <w:sz w:val="24"/>
        </w:rPr>
        <w:instrText>家新能源化工企业评价指标的平均值进行对比</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通过对指标的对比分析</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发现</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公司大部分指标数值低于同行业平均值</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部分盈利能力指标存在数据持续下滑现象。为更加综合全面的分析企业的盈利能力</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本文基于因子分析法构建了</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公司盈利能力评价模型</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提取盈利能力数量因子、盈利能力获现因子和盈利能力成长因子为主因子</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并对</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公司的盈利能力进行打分。根据综合得分及排名结果</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发现</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公司盈利能力水平在行业中排名较低</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通过对主因子进行分析</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发现影响企业盈利能力的主要因素有成本控制、应收账款管理、政府补贴和研发创新投入四个方面</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通过以上分析</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本文有针对性的提出加强成本管理、健全应收账款保障机制、以市场为导向推进整车项目的发展以及加大研发创新投入的建议</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为提高企业的盈利能力提供参考。</w:instrText>
      </w:r>
      <w:r>
        <w:rPr>
          <w:rFonts w:ascii="Times New Roman" w:eastAsia="SimSun" w:hAnsi="Times New Roman" w:cs="Times New Roman" w:hint="eastAsia"/>
          <w:sz w:val="24"/>
        </w:rPr>
        <w:instrText xml:space="preserve">","genre":"Dissertation for the Professional Master Degree","language":"zh-CN","note":"DOI: 10.27010/d.cnki.gdbnu.2020.000548\nmajor: </w:instrText>
      </w:r>
      <w:r>
        <w:rPr>
          <w:rFonts w:ascii="Times New Roman" w:eastAsia="SimSun" w:hAnsi="Times New Roman" w:cs="Times New Roman" w:hint="eastAsia"/>
          <w:sz w:val="24"/>
        </w:rPr>
        <w:instrText>会计硕士（专业学位）</w:instrText>
      </w:r>
      <w:r>
        <w:rPr>
          <w:rFonts w:ascii="Times New Roman" w:eastAsia="SimSun" w:hAnsi="Times New Roman" w:cs="Times New Roman" w:hint="eastAsia"/>
          <w:sz w:val="24"/>
        </w:rPr>
        <w:instrText xml:space="preserve">\ndownload: 1699\nalbum: </w:instrText>
      </w:r>
      <w:r>
        <w:rPr>
          <w:rFonts w:ascii="Times New Roman" w:eastAsia="SimSun" w:hAnsi="Times New Roman" w:cs="Times New Roman" w:hint="eastAsia"/>
          <w:sz w:val="24"/>
        </w:rPr>
        <w:instrText>工程科技Ⅱ辑</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经济与管理科学</w:instrText>
      </w:r>
      <w:r>
        <w:rPr>
          <w:rFonts w:ascii="Times New Roman" w:eastAsia="SimSun" w:hAnsi="Times New Roman" w:cs="Times New Roman" w:hint="eastAsia"/>
          <w:sz w:val="24"/>
        </w:rPr>
        <w:instrText>\nCLC: F426.471;F406.7\ndbcode: CMFD\ndbname: CMFD2</w:instrText>
      </w:r>
      <w:r>
        <w:rPr>
          <w:rFonts w:ascii="Times New Roman" w:eastAsia="SimSun" w:hAnsi="Times New Roman" w:cs="Times New Roman"/>
          <w:sz w:val="24"/>
        </w:rPr>
        <w:instrText xml:space="preserve">02101\nfilename: 1020078427.nh","number-of-pages":"58","publisher":"Northeast Agricultural University","source":"CNKI","title":"Research on Profitability Evaluation  of D Company","URL":"https://doi.org/10.27010/d.cnki.gdbnu.2020.000548","author":[{"family":"Zhu","given":"Yining"}],"contributor":[{"family":"Chen","given":"Fengxia"},{"family":"Guo","given":"Maolin"}],"accessed":{"date-parts":[["2025",1,4]]},"issued":{"date-parts":[["2021"]]}}}],"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(Zhu, 2021)</w:t>
      </w:r>
      <w:r>
        <w:rPr>
          <w:rFonts w:ascii="Times New Roman" w:eastAsia="SimSun" w:hAnsi="Times New Roman" w:cs="Times New Roman"/>
          <w:sz w:val="24"/>
        </w:rPr>
        <w:fldChar w:fldCharType="end"/>
      </w:r>
      <w:r>
        <w:rPr>
          <w:rFonts w:ascii="Times New Roman" w:eastAsia="SimSun" w:hAnsi="Times New Roman" w:cs="Times New Roman"/>
          <w:sz w:val="24"/>
        </w:rPr>
        <w:t xml:space="preserve"> evaluated the profitability of Company D using factor analysis, while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{"citationID":"XOKMSwzX","properties":{"formattedCitation":"(Shao, 2023)","plainCitation":"(Shao, 2023)","noteIndex":0},"citationItems":[{"id":1280,"uris":["http://zotero.org/users/local/e4ezAbND/items/ZTZPTDD2"],"itemData"</w:instrText>
      </w:r>
      <w:r>
        <w:rPr>
          <w:rFonts w:ascii="Times New Roman" w:eastAsia="SimSun" w:hAnsi="Times New Roman" w:cs="Times New Roman" w:hint="eastAsia"/>
          <w:sz w:val="24"/>
        </w:rPr>
        <w:instrText>:{"id":1280,"type":"article-journal","abstract":"</w:instrText>
      </w:r>
      <w:r>
        <w:rPr>
          <w:rFonts w:ascii="Times New Roman" w:eastAsia="SimSun" w:hAnsi="Times New Roman" w:cs="Times New Roman" w:hint="eastAsia"/>
          <w:sz w:val="24"/>
        </w:rPr>
        <w:instrText>公司的盈利能力是衡量公司发展状况的重要标志。选取国内</w:instrText>
      </w:r>
      <w:r>
        <w:rPr>
          <w:rFonts w:ascii="Times New Roman" w:eastAsia="SimSun" w:hAnsi="Times New Roman" w:cs="Times New Roman" w:hint="eastAsia"/>
          <w:sz w:val="24"/>
        </w:rPr>
        <w:instrText>35</w:instrText>
      </w:r>
      <w:r>
        <w:rPr>
          <w:rFonts w:ascii="Times New Roman" w:eastAsia="SimSun" w:hAnsi="Times New Roman" w:cs="Times New Roman" w:hint="eastAsia"/>
          <w:sz w:val="24"/>
        </w:rPr>
        <w:instrText>家上市物流公司为研究样本，运用因子分析法对公司盈利能力测度指标进行评分与排序，以此分析公司盈利能力中存在的一些问题并给出相应的建议。</w:instrText>
      </w:r>
      <w:r>
        <w:rPr>
          <w:rFonts w:ascii="Times New Roman" w:eastAsia="SimSun" w:hAnsi="Times New Roman" w:cs="Times New Roman" w:hint="eastAsia"/>
          <w:sz w:val="24"/>
        </w:rPr>
        <w:instrText xml:space="preserve">","container-title":"Logistics Technology","issue":"10","language":"zh-CN","note":"download: 1108\nalbum: </w:instrText>
      </w:r>
      <w:r>
        <w:rPr>
          <w:rFonts w:ascii="Times New Roman" w:eastAsia="SimSun" w:hAnsi="Times New Roman" w:cs="Times New Roman" w:hint="eastAsia"/>
          <w:sz w:val="24"/>
        </w:rPr>
        <w:instrText>经济与管理科学</w:instrText>
      </w:r>
      <w:r>
        <w:rPr>
          <w:rFonts w:ascii="Times New Roman" w:eastAsia="SimSun" w:hAnsi="Times New Roman" w:cs="Times New Roman" w:hint="eastAsia"/>
          <w:sz w:val="24"/>
        </w:rPr>
        <w:instrText>\nCLC: F832.51;F253.7;F259.23\ndbcode: CJFQ\ndbname: CJFDLAST2023\nfilename: WLJS202310012","page":"46-49","source":"CNKI","title":"Evaluation of Profitability of Listed Logistics Companies Based on Factor Analysis","volume":"42","author":[{"family":"Sha</w:instrText>
      </w:r>
      <w:r>
        <w:rPr>
          <w:rFonts w:ascii="Times New Roman" w:eastAsia="SimSun" w:hAnsi="Times New Roman" w:cs="Times New Roman"/>
          <w:sz w:val="24"/>
        </w:rPr>
        <w:instrText xml:space="preserve">o","given":"Keying"}],"issued":{"date-parts":[["2023"]]}}}],"schema":"https://github.com/citation-style-language/schema/raw/master/csl-citation.json"}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(Shao, 2023)</w:t>
      </w:r>
      <w:r>
        <w:rPr>
          <w:rFonts w:ascii="Times New Roman" w:eastAsia="SimSun" w:hAnsi="Times New Roman" w:cs="Times New Roman"/>
          <w:sz w:val="24"/>
        </w:rPr>
        <w:fldChar w:fldCharType="end"/>
      </w:r>
      <w:r>
        <w:rPr>
          <w:rFonts w:ascii="Times New Roman" w:eastAsia="SimSun" w:hAnsi="Times New Roman" w:cs="Times New Roman"/>
          <w:sz w:val="24"/>
        </w:rPr>
        <w:t xml:space="preserve"> applied the same method to study the profitability of logistics enterprises. In contrast,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{"citationID":"8vyOzuO4","properties":{"formattedCitation":"(Chen, 2019)","plainCitation":"(Chen, 2019)","noteIndex":0},"citationItems":[{"id":1284,"uris":["http://zotero.org/users/local/e4ezAbND/items/V6GLS7BP"],"itemData"</w:instrText>
      </w:r>
      <w:r>
        <w:rPr>
          <w:rFonts w:ascii="Times New Roman" w:eastAsia="SimSun" w:hAnsi="Times New Roman" w:cs="Times New Roman" w:hint="eastAsia"/>
          <w:sz w:val="24"/>
        </w:rPr>
        <w:instrText>:{"id":1284,"type":"article-journal","abstract":"</w:instrText>
      </w:r>
      <w:r>
        <w:rPr>
          <w:rFonts w:ascii="Times New Roman" w:eastAsia="SimSun" w:hAnsi="Times New Roman" w:cs="Times New Roman" w:hint="eastAsia"/>
          <w:sz w:val="24"/>
        </w:rPr>
        <w:instrText>本文在借鉴已有理论成果的基础上</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结合上市互联网企业特点构建盈利能力评价指标体系</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从不同维度对企业盈利能力进行测量</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分析企业轻资产运营特点</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并从客户资源、科技创新及人才培养等角度提出提升盈利能力的意见建议</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以期帮助互联网上市企业提升管理水平、增强盈利能力</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助推企业健康发展。</w:instrText>
      </w:r>
      <w:r>
        <w:rPr>
          <w:rFonts w:ascii="Times New Roman" w:eastAsia="SimSun" w:hAnsi="Times New Roman" w:cs="Times New Roman" w:hint="eastAsia"/>
          <w:sz w:val="24"/>
        </w:rPr>
        <w:instrText xml:space="preserve">","container-title":"Communication of Finance and Accounting","DOI":"10.16144/j.cnki.issn1002-8072.2019.17.013","issue":"17","language":"zh-CN","note":"download: 11882\nalbum: </w:instrText>
      </w:r>
      <w:r>
        <w:rPr>
          <w:rFonts w:ascii="Times New Roman" w:eastAsia="SimSun" w:hAnsi="Times New Roman" w:cs="Times New Roman" w:hint="eastAsia"/>
          <w:sz w:val="24"/>
        </w:rPr>
        <w:instrText>经济与管理科学</w:instrText>
      </w:r>
      <w:r>
        <w:rPr>
          <w:rFonts w:ascii="Times New Roman" w:eastAsia="SimSun" w:hAnsi="Times New Roman" w:cs="Times New Roman" w:hint="eastAsia"/>
          <w:sz w:val="24"/>
        </w:rPr>
        <w:instrText>\nCLC: F275;F49;F832.51\ndbcode: CJFQ\ndbname: CJFDLAST2019\nfilename: CKTX201917014","page":"58-62","source":"CNKI","title":"Profitability An</w:instrText>
      </w:r>
      <w:r>
        <w:rPr>
          <w:rFonts w:ascii="Times New Roman" w:eastAsia="SimSun" w:hAnsi="Times New Roman" w:cs="Times New Roman"/>
          <w:sz w:val="24"/>
        </w:rPr>
        <w:instrText xml:space="preserve">alysis of Internet-Listed Companies under the Asset-Light Model","author":[{"family":"Chen","given":"Xinzi"}],"issued":{"date-parts":[["2019"]]}}}],"schema":"https://github.com/citation-style-language/schema/raw/master/csl-citation.json"}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(Chen, 2019)</w:t>
      </w:r>
      <w:r>
        <w:rPr>
          <w:rFonts w:ascii="Times New Roman" w:eastAsia="SimSun" w:hAnsi="Times New Roman" w:cs="Times New Roman"/>
          <w:sz w:val="24"/>
        </w:rPr>
        <w:fldChar w:fldCharType="end"/>
      </w:r>
      <w:r>
        <w:rPr>
          <w:rFonts w:ascii="Times New Roman" w:eastAsia="SimSun" w:hAnsi="Times New Roman" w:cs="Times New Roman"/>
          <w:sz w:val="24"/>
        </w:rPr>
        <w:t xml:space="preserve"> and other scholars employed hierarchical analysis to assess the profitability of internet-listed companies operating under an asset-light model and shared bicycle enterprises.</w:t>
      </w:r>
      <w:r>
        <w:rPr>
          <w:rFonts w:ascii="Times New Roman" w:eastAsia="SimSun" w:hAnsi="Times New Roman" w:cs="Times New Roman" w:hint="eastAsia"/>
          <w:sz w:val="24"/>
        </w:rPr>
        <w:t xml:space="preserve"> </w:t>
      </w:r>
      <w:r>
        <w:rPr>
          <w:rFonts w:ascii="Times New Roman" w:eastAsia="SimSun" w:hAnsi="Times New Roman" w:cs="Times New Roman"/>
          <w:sz w:val="24"/>
        </w:rPr>
        <w:t xml:space="preserve">On the other hand, research based on the DuPont analysis method is also widely conducted.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{"citationID":"c1kjhPo8","properties":{"formattedCitation":"(Gao, 2020)","plainCitation":"(Gao, 2020)","noteIndex":0},"citationItems":[{"id":1286,"uris":["http://zotero.org/users/local/e4ezAbND/items/79ADYH69"],"itemData":{</w:instrText>
      </w:r>
      <w:r>
        <w:rPr>
          <w:rFonts w:ascii="Times New Roman" w:eastAsia="SimSun" w:hAnsi="Times New Roman" w:cs="Times New Roman" w:hint="eastAsia"/>
          <w:sz w:val="24"/>
        </w:rPr>
        <w:instrText>"id":1286,"type":"article-journal","abstract":"</w:instrText>
      </w:r>
      <w:r>
        <w:rPr>
          <w:rFonts w:ascii="Times New Roman" w:eastAsia="SimSun" w:hAnsi="Times New Roman" w:cs="Times New Roman" w:hint="eastAsia"/>
          <w:sz w:val="24"/>
        </w:rPr>
        <w:instrText>当前</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我国现代市场经济在快速的发展</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对企业在财务管理方面的要求越来越高</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企业必须建立起财务分析体系。杜邦财务分析体系能帮助企业管理者对于财务综合情况的深度分析和评价</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杜邦财务分析体系是目前企业较为常用的一种方法。本文分析了杜邦财务分析体系相关的各个文献资料</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在这个基础上面在根据目前经济的主要发展方向</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对以往传统型的杜邦财务分析体系当中所存在的一些问题进行分析</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针对这些问题提出相关的建议与改进策略</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很大程度地扩展开了财务分析方面的研究内容</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为以后研究提供的参考方向</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以期为现代企业对财务管理的优化提供一定的参考价值。</w:instrText>
      </w:r>
      <w:r>
        <w:rPr>
          <w:rFonts w:ascii="Times New Roman" w:eastAsia="SimSun" w:hAnsi="Times New Roman" w:cs="Times New Roman" w:hint="eastAsia"/>
          <w:sz w:val="24"/>
        </w:rPr>
        <w:instrText xml:space="preserve">","container-title":"China Circulation Economy","DOI":"10.16834/j.cnki.issn1009-5292.2020.01.091","issue":"1","language":"zh-CN","note":"download: 2517\nalbum: </w:instrText>
      </w:r>
      <w:r>
        <w:rPr>
          <w:rFonts w:ascii="Times New Roman" w:eastAsia="SimSun" w:hAnsi="Times New Roman" w:cs="Times New Roman" w:hint="eastAsia"/>
          <w:sz w:val="24"/>
        </w:rPr>
        <w:instrText>经济与管理科学</w:instrText>
      </w:r>
      <w:r>
        <w:rPr>
          <w:rFonts w:ascii="Times New Roman" w:eastAsia="SimSun" w:hAnsi="Times New Roman" w:cs="Times New Roman" w:hint="eastAsia"/>
          <w:sz w:val="24"/>
        </w:rPr>
        <w:instrText>\nCLC: F275\ndbcode: CJFQ\ndbname: CJ</w:instrText>
      </w:r>
      <w:r>
        <w:rPr>
          <w:rFonts w:ascii="Times New Roman" w:eastAsia="SimSun" w:hAnsi="Times New Roman" w:cs="Times New Roman"/>
          <w:sz w:val="24"/>
        </w:rPr>
        <w:instrText xml:space="preserve">FDLAST2020\nfilename: QGSQ202001092","page":"189-190","source":"CNKI","title":"Improvements and Developments in the DuPont Financial Analysis System","author":[{"family":"Gao","given":"Yixuan"}],"issued":{"date-parts":[["2020"]]}}}],"schema":"https://github.com/citation-style-language/schema/raw/master/csl-citation.json"}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(Gao, 2020)</w:t>
      </w:r>
      <w:r>
        <w:rPr>
          <w:rFonts w:ascii="Times New Roman" w:eastAsia="SimSun" w:hAnsi="Times New Roman" w:cs="Times New Roman"/>
          <w:sz w:val="24"/>
        </w:rPr>
        <w:fldChar w:fldCharType="end"/>
      </w:r>
      <w:r>
        <w:rPr>
          <w:rFonts w:ascii="Times New Roman" w:eastAsia="SimSun" w:hAnsi="Times New Roman" w:cs="Times New Roman"/>
          <w:sz w:val="24"/>
        </w:rPr>
        <w:t xml:space="preserve"> proposed incorporating targeted financial indicators into the DuPont analysis framework to evaluate corporate development capabilities. Additionally, the inclusion of cash flow indicators enhances the dynamism of financial analysis, thereby improving its comprehensiveness and scientific rigor.</w:t>
      </w:r>
      <w:r>
        <w:rPr>
          <w:rFonts w:ascii="Times New Roman" w:eastAsia="SimSun" w:hAnsi="Times New Roman" w:cs="Times New Roman" w:hint="eastAsia"/>
          <w:sz w:val="24"/>
        </w:rPr>
        <w:t xml:space="preserve">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{"citationID":"9v2gmqLD","properties":{"formattedCitation":"(Wang, 2020)","plainCitation":"(Wang, 2020)","noteIndex":0},"citationItems":[{"id":1288,"uris":["http://zotero.org/users/local/e4ezAbND/items/UDCWILWT"],"itemData"</w:instrText>
      </w:r>
      <w:r>
        <w:rPr>
          <w:rFonts w:ascii="Times New Roman" w:eastAsia="SimSun" w:hAnsi="Times New Roman" w:cs="Times New Roman" w:hint="eastAsia"/>
          <w:sz w:val="24"/>
        </w:rPr>
        <w:instrText>:{"id":1288,"type":"article-journal","abstract":"</w:instrText>
      </w:r>
      <w:r>
        <w:rPr>
          <w:rFonts w:ascii="Times New Roman" w:eastAsia="SimSun" w:hAnsi="Times New Roman" w:cs="Times New Roman" w:hint="eastAsia"/>
          <w:sz w:val="24"/>
        </w:rPr>
        <w:instrText>杜邦财务分析体系主要是以权益净利率为核心</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分解为总资产收益率、销售净利率和权益乘数三个基础的财务指标。对杜邦财务分析体系的分解</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不仅可以反映出企业的财务策略</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还能体现出企业的战略经营方针。但是随时现代化企业发展日益复杂</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传统的杜邦财务分析体系已经不能全面满足企业财务分析的需求。本文从引入可持续增长率和现金流量状况两个方面</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进一步完善传统杜邦财务分析体系。</w:instrText>
      </w:r>
      <w:r>
        <w:rPr>
          <w:rFonts w:ascii="Times New Roman" w:eastAsia="SimSun" w:hAnsi="Times New Roman" w:cs="Times New Roman" w:hint="eastAsia"/>
          <w:sz w:val="24"/>
        </w:rPr>
        <w:instrText xml:space="preserve">","container-title":"Money Chian","issue":"25","language":"zh-CN","note":"download: 1004\nalbum: </w:instrText>
      </w:r>
      <w:r>
        <w:rPr>
          <w:rFonts w:ascii="Times New Roman" w:eastAsia="SimSun" w:hAnsi="Times New Roman" w:cs="Times New Roman" w:hint="eastAsia"/>
          <w:sz w:val="24"/>
        </w:rPr>
        <w:instrText>经济与管理科学</w:instrText>
      </w:r>
      <w:r>
        <w:rPr>
          <w:rFonts w:ascii="Times New Roman" w:eastAsia="SimSun" w:hAnsi="Times New Roman" w:cs="Times New Roman" w:hint="eastAsia"/>
          <w:sz w:val="24"/>
        </w:rPr>
        <w:instrText>\nCLC: F275\ndbcode: CJFQ\ndbname: CJFDLAST2020\nfilename: CJJI202025082","page":"141-142","source":"CNKI","title":"Research on the Improved DuPont Financial Analysis System","aut</w:instrText>
      </w:r>
      <w:r>
        <w:rPr>
          <w:rFonts w:ascii="Times New Roman" w:eastAsia="SimSun" w:hAnsi="Times New Roman" w:cs="Times New Roman"/>
          <w:sz w:val="24"/>
        </w:rPr>
        <w:instrText xml:space="preserve">hor":[{"family":"Wang","given":"Gangxu"}],"issued":{"date-parts":[["2020"]]}}}],"schema":"https://github.com/citation-style-language/schema/raw/master/csl-citation.json"}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(Wang, 2020)</w:t>
      </w:r>
      <w:r>
        <w:rPr>
          <w:rFonts w:ascii="Times New Roman" w:eastAsia="SimSun" w:hAnsi="Times New Roman" w:cs="Times New Roman"/>
          <w:sz w:val="24"/>
        </w:rPr>
        <w:fldChar w:fldCharType="end"/>
      </w:r>
      <w:r>
        <w:rPr>
          <w:rFonts w:ascii="Times New Roman" w:eastAsia="SimSun" w:hAnsi="Times New Roman" w:cs="Times New Roman"/>
          <w:sz w:val="24"/>
        </w:rPr>
        <w:t xml:space="preserve"> further suggested incorporating the sustainable growth rate and cash flow indicators into the analytical framework to enhance the rationality and systematic nature of financial analysis.</w:t>
      </w:r>
      <w:r>
        <w:rPr>
          <w:rFonts w:ascii="Times New Roman" w:eastAsia="SimSun" w:hAnsi="Times New Roman" w:cs="Times New Roman" w:hint="eastAsia"/>
          <w:sz w:val="24"/>
        </w:rPr>
        <w:t xml:space="preserve"> </w:t>
      </w:r>
      <w:r>
        <w:rPr>
          <w:rFonts w:ascii="Times New Roman" w:eastAsia="SimSun" w:hAnsi="Times New Roman" w:cs="Times New Roman"/>
          <w:sz w:val="24"/>
        </w:rPr>
        <w:t>These studies provide a theoretical foundation and methodological support for the multidimensional evaluation of corporate profitability, highlighting the advantages and characteristics of different analytical approaches in practical applications.</w:t>
      </w:r>
    </w:p>
    <w:p w:rsidR="00BC1578" w:rsidRDefault="0000000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Based on this, this study selects Three Squirrels, </w:t>
      </w:r>
      <w:proofErr w:type="spellStart"/>
      <w:r>
        <w:rPr>
          <w:rFonts w:ascii="Times New Roman" w:eastAsia="SimSun" w:hAnsi="Times New Roman" w:cs="Times New Roman"/>
          <w:sz w:val="24"/>
        </w:rPr>
        <w:t>Bestore</w:t>
      </w:r>
      <w:proofErr w:type="spellEnd"/>
      <w:r>
        <w:rPr>
          <w:rFonts w:ascii="Times New Roman" w:eastAsia="SimSun" w:hAnsi="Times New Roman" w:cs="Times New Roman"/>
          <w:sz w:val="24"/>
        </w:rPr>
        <w:t xml:space="preserve">, and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as research subjects and systematically analyzes the components of their profit models from 2019 to 2023. The study utilizes financial data and relevant business information, combined with the DuPont analysis method, to compare the profitability of the three </w:t>
      </w:r>
      <w:r>
        <w:rPr>
          <w:rFonts w:ascii="Times New Roman" w:eastAsia="SimSun" w:hAnsi="Times New Roman" w:cs="Times New Roman"/>
          <w:sz w:val="24"/>
        </w:rPr>
        <w:lastRenderedPageBreak/>
        <w:t>companies by examining key indicators such as return on equity (ROE), profit margin (PM), asset turnover ratio (ATO), and equity multiplier (EM). Additionally, by considering the current state and development trends of the snack food industry, this study explores the strengths and weaknesses of these enterprises in market competition, providing insights for industry development.</w:t>
      </w:r>
    </w:p>
    <w:p w:rsidR="00BC1578" w:rsidRDefault="00BC1578">
      <w:pPr>
        <w:spacing w:line="360" w:lineRule="auto"/>
        <w:ind w:firstLineChars="200" w:firstLine="480"/>
        <w:rPr>
          <w:rFonts w:ascii="Times New Roman" w:eastAsia="SimSun" w:hAnsi="Times New Roman" w:cs="Times New Roman"/>
          <w:sz w:val="24"/>
        </w:rPr>
      </w:pPr>
    </w:p>
    <w:p w:rsidR="00BC1578" w:rsidRDefault="00000000">
      <w:pPr>
        <w:spacing w:line="360" w:lineRule="auto"/>
        <w:rPr>
          <w:rFonts w:ascii="Times New Roman" w:eastAsia="SimSun" w:hAnsi="Times New Roman" w:cs="Times New Roman"/>
          <w:b/>
          <w:bCs/>
          <w:sz w:val="28"/>
          <w:szCs w:val="28"/>
        </w:rPr>
      </w:pPr>
      <w:r>
        <w:rPr>
          <w:rFonts w:ascii="Times New Roman" w:eastAsia="SimSun" w:hAnsi="Times New Roman" w:cs="Times New Roman"/>
          <w:b/>
          <w:bCs/>
          <w:sz w:val="28"/>
          <w:szCs w:val="28"/>
        </w:rPr>
        <w:t>2</w:t>
      </w:r>
      <w:r>
        <w:rPr>
          <w:rFonts w:ascii="Times New Roman" w:eastAsia="SimSun" w:hAnsi="Times New Roman" w:cs="Times New Roman" w:hint="eastAsia"/>
          <w:b/>
          <w:bCs/>
          <w:sz w:val="28"/>
          <w:szCs w:val="28"/>
        </w:rPr>
        <w:t xml:space="preserve"> </w:t>
      </w:r>
      <w:r>
        <w:rPr>
          <w:rFonts w:ascii="Times New Roman" w:eastAsia="SimSun" w:hAnsi="Times New Roman" w:cs="Times New Roman"/>
          <w:b/>
          <w:bCs/>
          <w:sz w:val="28"/>
          <w:szCs w:val="28"/>
        </w:rPr>
        <w:t>Research Foundation</w:t>
      </w:r>
    </w:p>
    <w:p w:rsidR="00BC1578" w:rsidRDefault="00000000">
      <w:pPr>
        <w:spacing w:line="360" w:lineRule="auto"/>
        <w:rPr>
          <w:rFonts w:ascii="Times New Roman" w:eastAsia="SimSun" w:hAnsi="Times New Roman" w:cs="Times New Roman"/>
          <w:b/>
          <w:bCs/>
          <w:color w:val="000000"/>
          <w:sz w:val="24"/>
        </w:rPr>
      </w:pPr>
      <w:r>
        <w:rPr>
          <w:rFonts w:ascii="Times New Roman" w:eastAsia="SimSun" w:hAnsi="Times New Roman" w:cs="Times New Roman" w:hint="eastAsia"/>
          <w:b/>
          <w:bCs/>
          <w:color w:val="000000"/>
          <w:sz w:val="24"/>
        </w:rPr>
        <w:t>2.1 Research methodology</w:t>
      </w:r>
    </w:p>
    <w:p w:rsidR="00BC1578" w:rsidRDefault="0000000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highlight w:val="yellow"/>
        </w:rPr>
        <w:t>DuPont Analysis is a comprehensive financial analysis tool that was first introduced by DuPont Corporation in the early 20th century.</w:t>
      </w:r>
      <w:r>
        <w:rPr>
          <w:rFonts w:ascii="Times New Roman" w:eastAsia="SimSun" w:hAnsi="Times New Roman" w:cs="Times New Roman"/>
          <w:sz w:val="24"/>
          <w:highlight w:val="yellow"/>
        </w:rPr>
        <w:fldChar w:fldCharType="begin"/>
      </w:r>
      <w:r>
        <w:rPr>
          <w:rFonts w:ascii="Times New Roman" w:eastAsia="SimSun" w:hAnsi="Times New Roman" w:cs="Times New Roman"/>
          <w:sz w:val="24"/>
          <w:highlight w:val="yellow"/>
        </w:rPr>
        <w:instrText xml:space="preserve"> ADDIN ZOTERO_ITEM CSL_CITATION {"citationID":"rUEy91md","properties":{"formattedCitation":"(Hu et al., 2024)","plainCitation":"(Hu et al., 2024)","noteIndex":0},"citationItems":[{"id":1312,"uris":["http://zotero.org/users/local/e4ezAbND/items/N2K23H2I"],"itemData":{"id":1312,"type":"article-journal","abstract":"This study delves into the financial performance of the Compañía Española de Petróleos, S.A.U. (CEPSA) within the context of the ongoing ESG transformation in the Energy Sector. The primary aim of this research is to understand the critical dimensions essential for evaluating energy companies’ ESG performances. The research assesses the changes in CEPSA’s financial indicators over the last five years (2018–2022). The report uses DuPont analysis to evaluate CEPSA’s environmental and social responsibility performances. The study examines several financial performance metrics, including return on net assets, profitability, and corporate financing structure changes. The methodology of this study comprehensively assesses CEPSA’s sustainable development trajectory and ESG management system. The analysis reveals that CEPSA has consistently improved its sustainable development capabilities over the last five years by establishing a comprehensive ESG management system. While return on net assets and profitability indicators have shown positive trends, the financing structure has changed significantly. Notably, the proportion of debt financing has increased substantially, and there is a slight decline in the net profit margin. The formal transformation in 2020 further influenced increases in liabilities and fixed assets for CEPSA. The study focuses on CEPSA’s sustained improvements in ESG management and the associated shifts in financial metrics, adding originality to the study and offering a nuanced perspective on the evolving landscape of sustainable practices. The study reveals the financial implications of ESG transformation in the energy sector and offers valuable insights for stakeholders. Moreover, this research contributes to the existing literature by employing the DuPont analysis system to explore the intricate relationship between ESG performance and financial indicators in the energy sector.","container-title":"Sustainability","DOI":"10.3390/su16072772","ISSN":"2071-1050","issue":"7","language":"en","license":"http://creativecommons.org/licenses/by/3.0/","note":"number: 7\npublisher: Multidisciplinary Digital Publishing Institute","page":"2772","source":"www.mdpi.com","title":"Examining the interplay between CEPSA’s ESG performance and financial performance: An overview of the energy sector transformation","title-short":"Examining the Interplay between CEPSA’s ESG Performance and Financial Performance","volume":"16","author":[{"family":"Hu","given":"Yangxueyi"},{"family":"Hassan","given":"Abeer"},{"family":"Atif","given":"Sehrish"}],"issued":{"date-parts":[["2024",1]]}}}],"schema":"https://github.com/citation-style-language/schema/raw/master/csl-citation.json"} </w:instrText>
      </w:r>
      <w:r>
        <w:rPr>
          <w:rFonts w:ascii="Times New Roman" w:eastAsia="SimSun" w:hAnsi="Times New Roman" w:cs="Times New Roman"/>
          <w:sz w:val="24"/>
          <w:highlight w:val="yellow"/>
        </w:rPr>
        <w:fldChar w:fldCharType="separate"/>
      </w:r>
      <w:r>
        <w:rPr>
          <w:rFonts w:ascii="Times New Roman" w:hAnsi="Times New Roman" w:cs="Times New Roman"/>
          <w:sz w:val="24"/>
          <w:highlight w:val="yellow"/>
        </w:rPr>
        <w:t>(Hu et al., 2024)</w:t>
      </w:r>
      <w:r>
        <w:rPr>
          <w:rFonts w:ascii="Times New Roman" w:eastAsia="SimSun" w:hAnsi="Times New Roman" w:cs="Times New Roman"/>
          <w:sz w:val="24"/>
          <w:highlight w:val="yellow"/>
        </w:rPr>
        <w:fldChar w:fldCharType="end"/>
      </w:r>
      <w:r>
        <w:rPr>
          <w:rFonts w:ascii="Times New Roman" w:eastAsia="SimSun" w:hAnsi="Times New Roman" w:cs="Times New Roman"/>
          <w:sz w:val="24"/>
        </w:rPr>
        <w:t xml:space="preserve"> This method systematically breaks down a company's financial performance, helping analysts gain a deeper understanding of the interrelationships between profitability, operational efficiency, and financial leverage. As a result, it provides a more comprehensive assessment of financial health for company management, investors, and other stakeholders. DuPont Analysis does not focus solely on a single financial ratio; instead, it integrates multiple financial indicators to reveal a more detailed picture of financial performance. Specifically, DuPont Analysis deconstructs Return on Equity (ROE), allowing management to clearly identify how various factors influence a company’s overall profitability. ROE is a key indicator of shareholder investment returns, making it highly significant for investors and shareholders. DuPont Analysis breaks ROE down into three main components: net profit margin, total asset turnover, and the equity multiplier. These components represent a company's profitability, asset utilization efficiency, and the leverage effect of its capital structure, respectively. By deconstructing ROE in this way, DuPont Analysis not only helps analysts assess a company’s financial condition but also provides guidance on improving performance in each aspect to enhance overall financial performance. The formula for DuPont Analysis is as follows:</w:t>
      </w:r>
    </w:p>
    <w:p w:rsidR="00BC1578" w:rsidRDefault="00BC1578">
      <w:pPr>
        <w:spacing w:line="360" w:lineRule="auto"/>
        <w:ind w:firstLineChars="200" w:firstLine="480"/>
        <w:rPr>
          <w:rFonts w:ascii="Times New Roman" w:eastAsia="SimSun" w:hAnsi="Times New Roman" w:cs="Times New Roman"/>
          <w:sz w:val="24"/>
        </w:rPr>
      </w:pPr>
    </w:p>
    <w:p w:rsidR="00BC1578" w:rsidRDefault="00000000">
      <w:pPr>
        <w:spacing w:line="360" w:lineRule="auto"/>
        <w:rPr>
          <w:rFonts w:ascii="Times New Roman" w:eastAsia="SimSun" w:hAnsi="Times New Roman" w:cs="Times New Roman"/>
          <w:color w:val="000000"/>
          <w:sz w:val="24"/>
        </w:rPr>
      </w:pPr>
      <w:r>
        <w:rPr>
          <w:rFonts w:ascii="Times New Roman" w:eastAsia="SimSun" w:hAnsi="Times New Roman" w:cs="Times New Roman" w:hint="eastAsia"/>
          <w:color w:val="000000"/>
          <w:sz w:val="24"/>
        </w:rPr>
        <w:t>（</w:t>
      </w:r>
      <w:r>
        <w:rPr>
          <w:rFonts w:ascii="Times New Roman" w:eastAsia="SimSun" w:hAnsi="Times New Roman" w:cs="Times New Roman" w:hint="eastAsia"/>
          <w:color w:val="000000"/>
          <w:sz w:val="24"/>
        </w:rPr>
        <w:t>1</w:t>
      </w:r>
      <w:r>
        <w:rPr>
          <w:rFonts w:ascii="Times New Roman" w:eastAsia="SimSun" w:hAnsi="Times New Roman" w:cs="Times New Roman" w:hint="eastAsia"/>
          <w:color w:val="000000"/>
          <w:sz w:val="24"/>
        </w:rPr>
        <w:t>）</w:t>
      </w:r>
      <w:r>
        <w:rPr>
          <w:rFonts w:ascii="Times New Roman" w:eastAsia="SimSun" w:hAnsi="Times New Roman" w:cs="Times New Roman"/>
          <w:color w:val="000000"/>
          <w:sz w:val="24"/>
        </w:rPr>
        <w:t>Core Formula:</w:t>
      </w:r>
    </w:p>
    <w:p w:rsidR="00BC1578" w:rsidRDefault="00000000">
      <w:pPr>
        <w:spacing w:line="360" w:lineRule="auto"/>
        <w:ind w:firstLineChars="200" w:firstLine="480"/>
        <w:rPr>
          <w:rFonts w:ascii="Times New Roman" w:eastAsia="SimSun" w:hAnsi="Times New Roman" w:cs="Times New Roman"/>
          <w:color w:val="000000"/>
          <w:sz w:val="24"/>
        </w:rPr>
      </w:pPr>
      <w:r>
        <w:rPr>
          <w:rFonts w:ascii="Times New Roman" w:eastAsia="SimSun" w:hAnsi="Times New Roman" w:cs="Times New Roman"/>
          <w:color w:val="000000"/>
          <w:sz w:val="24"/>
        </w:rPr>
        <w:lastRenderedPageBreak/>
        <w:t>The core of DuPont analysis is the Return on Equity (ROE) decomposition formula:</w:t>
      </w:r>
    </w:p>
    <w:p w:rsidR="00BC1578" w:rsidRDefault="00000000">
      <w:pPr>
        <w:spacing w:line="360" w:lineRule="auto"/>
        <w:rPr>
          <w:rFonts w:ascii="Times New Roman" w:eastAsia="SimSun" w:hAnsi="Times New Roman" w:cs="Times New Roman"/>
          <w:color w:val="000000"/>
          <w:sz w:val="24"/>
        </w:rPr>
      </w:pPr>
      <m:oMathPara>
        <m:oMath>
          <m:eqArr>
            <m:eqArrPr>
              <m:maxDist m:val="1"/>
              <m:ctrlPr>
                <w:rPr>
                  <w:rFonts w:ascii="Cambria Math" w:eastAsia="SimSun" w:hAnsi="Cambria Math" w:cs="Times New Roman"/>
                  <w:i/>
                  <w:color w:val="000000"/>
                  <w:sz w:val="24"/>
                </w:rPr>
              </m:ctrlPr>
            </m:eqArrPr>
            <m:e>
              <m:r>
                <w:rPr>
                  <w:rFonts w:ascii="Cambria Math" w:eastAsia="SimSun" w:hAnsi="Cambria Math" w:cs="Times New Roman"/>
                  <w:color w:val="000000"/>
                  <w:sz w:val="24"/>
                </w:rPr>
                <m:t>ROE=</m:t>
              </m:r>
              <m:r>
                <m:rPr>
                  <m:nor/>
                </m:rPr>
                <w:rPr>
                  <w:rFonts w:ascii="Times New Roman" w:eastAsia="SimSun" w:hAnsi="Times New Roman" w:cs="Times New Roman"/>
                  <w:color w:val="000000"/>
                  <w:sz w:val="24"/>
                </w:rPr>
                <m:t>Net Profit Margin</m:t>
              </m:r>
              <m:r>
                <w:rPr>
                  <w:rFonts w:ascii="Cambria Math" w:eastAsia="SimSun" w:hAnsi="Cambria Math" w:cs="Times New Roman"/>
                  <w:color w:val="000000"/>
                  <w:sz w:val="24"/>
                </w:rPr>
                <m:t>×</m:t>
              </m:r>
              <m:r>
                <m:rPr>
                  <m:nor/>
                </m:rPr>
                <w:rPr>
                  <w:rFonts w:ascii="Times New Roman" w:eastAsia="SimSun" w:hAnsi="Times New Roman" w:cs="Times New Roman"/>
                  <w:color w:val="000000"/>
                  <w:sz w:val="24"/>
                </w:rPr>
                <m:t>Total Asset Turnover</m:t>
              </m:r>
              <m:r>
                <w:rPr>
                  <w:rFonts w:ascii="Cambria Math" w:eastAsia="SimSun" w:hAnsi="Cambria Math" w:cs="Times New Roman"/>
                  <w:color w:val="000000"/>
                  <w:sz w:val="24"/>
                </w:rPr>
                <m:t>×</m:t>
              </m:r>
              <m:r>
                <m:rPr>
                  <m:nor/>
                </m:rPr>
                <w:rPr>
                  <w:rFonts w:ascii="Times New Roman" w:eastAsia="SimSun" w:hAnsi="Times New Roman" w:cs="Times New Roman"/>
                  <w:color w:val="000000"/>
                  <w:sz w:val="24"/>
                </w:rPr>
                <m:t>Equity Multiplier</m:t>
              </m:r>
              <m:r>
                <w:rPr>
                  <w:rFonts w:ascii="Cambria Math" w:eastAsia="SimSun" w:hAnsi="Cambria Math" w:cs="Times New Roman"/>
                  <w:color w:val="000000"/>
                  <w:sz w:val="24"/>
                </w:rPr>
                <m:t>#</m:t>
              </m:r>
              <m:d>
                <m:dPr>
                  <m:begChr m:val="（"/>
                  <m:endChr m:val="）"/>
                  <m:ctrlPr>
                    <w:rPr>
                      <w:rFonts w:ascii="Cambria Math" w:eastAsia="SimSun" w:hAnsi="Cambria Math" w:cs="Times New Roman"/>
                      <w:i/>
                      <w:color w:val="000000"/>
                      <w:sz w:val="24"/>
                    </w:rPr>
                  </m:ctrlPr>
                </m:dPr>
                <m:e>
                  <m:r>
                    <w:rPr>
                      <w:rFonts w:ascii="Cambria Math" w:eastAsia="SimSun" w:hAnsi="Cambria Math" w:cs="Times New Roman"/>
                      <w:color w:val="000000"/>
                      <w:sz w:val="24"/>
                    </w:rPr>
                    <m:t>1</m:t>
                  </m:r>
                </m:e>
              </m:d>
            </m:e>
          </m:eqArr>
        </m:oMath>
      </m:oMathPara>
    </w:p>
    <w:p w:rsidR="00BC1578" w:rsidRDefault="00000000">
      <w:pPr>
        <w:spacing w:line="360" w:lineRule="auto"/>
        <w:rPr>
          <w:rFonts w:ascii="Times New Roman" w:eastAsia="SimSun" w:hAnsi="Times New Roman" w:cs="Times New Roman"/>
          <w:color w:val="000000"/>
          <w:sz w:val="24"/>
        </w:rPr>
      </w:pPr>
      <w:r>
        <w:rPr>
          <w:rFonts w:ascii="Times New Roman" w:eastAsia="SimSun" w:hAnsi="Times New Roman" w:cs="Times New Roman" w:hint="eastAsia"/>
          <w:color w:val="000000"/>
          <w:sz w:val="24"/>
        </w:rPr>
        <w:t>（</w:t>
      </w:r>
      <w:r>
        <w:rPr>
          <w:rFonts w:ascii="Times New Roman" w:eastAsia="SimSun" w:hAnsi="Times New Roman" w:cs="Times New Roman" w:hint="eastAsia"/>
          <w:color w:val="000000"/>
          <w:sz w:val="24"/>
        </w:rPr>
        <w:t>2</w:t>
      </w:r>
      <w:r>
        <w:rPr>
          <w:rFonts w:ascii="Times New Roman" w:eastAsia="SimSun" w:hAnsi="Times New Roman" w:cs="Times New Roman" w:hint="eastAsia"/>
          <w:color w:val="000000"/>
          <w:sz w:val="24"/>
        </w:rPr>
        <w:t>）</w:t>
      </w:r>
      <w:r>
        <w:rPr>
          <w:rFonts w:ascii="Times New Roman" w:eastAsia="SimSun" w:hAnsi="Times New Roman" w:cs="Times New Roman"/>
          <w:color w:val="000000"/>
          <w:sz w:val="24"/>
        </w:rPr>
        <w:t>Net Profit Margin</w:t>
      </w:r>
    </w:p>
    <w:p w:rsidR="00BC1578" w:rsidRDefault="00000000">
      <w:pPr>
        <w:spacing w:line="360" w:lineRule="auto"/>
        <w:ind w:firstLineChars="200" w:firstLine="480"/>
        <w:rPr>
          <w:rFonts w:ascii="Times New Roman" w:eastAsia="SimSun" w:hAnsi="Times New Roman" w:cs="Times New Roman"/>
          <w:color w:val="000000"/>
          <w:sz w:val="24"/>
        </w:rPr>
      </w:pPr>
      <w:r>
        <w:rPr>
          <w:rFonts w:ascii="Times New Roman" w:eastAsia="SimSun" w:hAnsi="Times New Roman" w:cs="Times New Roman"/>
          <w:color w:val="000000"/>
          <w:sz w:val="24"/>
        </w:rPr>
        <w:t>Reflects the company's ability to generate profit from its sales activities, representing profitability:</w:t>
      </w:r>
    </w:p>
    <w:p w:rsidR="00BC1578" w:rsidRDefault="00000000">
      <w:pPr>
        <w:spacing w:line="360" w:lineRule="auto"/>
        <w:ind w:firstLineChars="200" w:firstLine="480"/>
        <w:rPr>
          <w:rFonts w:ascii="Times New Roman" w:eastAsia="SimSun" w:hAnsi="Times New Roman" w:cs="Times New Roman"/>
          <w:color w:val="000000"/>
          <w:sz w:val="24"/>
        </w:rPr>
      </w:pPr>
      <m:oMathPara>
        <m:oMath>
          <m:eqArr>
            <m:eqArrPr>
              <m:maxDist m:val="1"/>
              <m:ctrlPr>
                <w:rPr>
                  <w:rFonts w:ascii="Cambria Math" w:eastAsia="SimSun" w:hAnsi="Cambria Math" w:cs="Times New Roman"/>
                  <w:i/>
                  <w:color w:val="000000"/>
                  <w:sz w:val="24"/>
                </w:rPr>
              </m:ctrlPr>
            </m:eqArrPr>
            <m:e>
              <m:r>
                <m:rPr>
                  <m:nor/>
                </m:rPr>
                <w:rPr>
                  <w:rFonts w:ascii="Cambria Math" w:eastAsia="SimSun" w:hAnsi="Cambria Math" w:cs="Times New Roman"/>
                  <w:color w:val="000000"/>
                  <w:sz w:val="24"/>
                </w:rPr>
                <m:t>Net Profit Margin</m:t>
              </m:r>
              <m:r>
                <w:rPr>
                  <w:rFonts w:ascii="Cambria Math" w:eastAsia="SimSun" w:hAnsi="Cambria Math" w:cs="Times New Roman"/>
                  <w:color w:val="000000"/>
                  <w:sz w:val="24"/>
                </w:rPr>
                <m:t>=</m:t>
              </m:r>
              <m:f>
                <m:fPr>
                  <m:ctrlPr>
                    <w:rPr>
                      <w:rFonts w:ascii="Cambria Math" w:eastAsia="SimSun" w:hAnsi="Cambria Math" w:cs="Times New Roman"/>
                      <w:color w:val="000000"/>
                      <w:sz w:val="24"/>
                    </w:rPr>
                  </m:ctrlPr>
                </m:fPr>
                <m:num>
                  <m:r>
                    <m:rPr>
                      <m:sty m:val="p"/>
                    </m:rPr>
                    <w:rPr>
                      <w:rFonts w:ascii="Cambria Math" w:eastAsia="SimSun" w:hAnsi="Cambria Math" w:cs="Times New Roman"/>
                      <w:color w:val="000000"/>
                      <w:sz w:val="24"/>
                    </w:rPr>
                    <m:t>NetProfit</m:t>
                  </m:r>
                </m:num>
                <m:den>
                  <m:r>
                    <m:rPr>
                      <m:nor/>
                    </m:rPr>
                    <w:rPr>
                      <w:rFonts w:ascii="Cambria Math" w:eastAsia="SimSun" w:hAnsi="Cambria Math" w:cs="Times New Roman"/>
                      <w:color w:val="000000"/>
                      <w:sz w:val="24"/>
                    </w:rPr>
                    <m:t>Sales Revenue</m:t>
                  </m:r>
                </m:den>
              </m:f>
              <m:r>
                <w:rPr>
                  <w:rFonts w:ascii="Cambria Math" w:eastAsia="SimSun" w:hAnsi="Cambria Math" w:cs="Times New Roman"/>
                  <w:color w:val="000000"/>
                  <w:sz w:val="24"/>
                </w:rPr>
                <m:t>#</m:t>
              </m:r>
              <m:d>
                <m:dPr>
                  <m:begChr m:val="（"/>
                  <m:endChr m:val="）"/>
                  <m:ctrlPr>
                    <w:rPr>
                      <w:rFonts w:ascii="Cambria Math" w:eastAsia="SimSun" w:hAnsi="Cambria Math" w:cs="Times New Roman"/>
                      <w:i/>
                      <w:color w:val="000000"/>
                      <w:sz w:val="24"/>
                    </w:rPr>
                  </m:ctrlPr>
                </m:dPr>
                <m:e>
                  <m:r>
                    <w:rPr>
                      <w:rFonts w:ascii="Cambria Math" w:eastAsia="SimSun" w:hAnsi="Cambria Math" w:cs="Times New Roman"/>
                      <w:color w:val="000000"/>
                      <w:sz w:val="24"/>
                    </w:rPr>
                    <m:t>2</m:t>
                  </m:r>
                </m:e>
              </m:d>
            </m:e>
          </m:eqArr>
        </m:oMath>
      </m:oMathPara>
    </w:p>
    <w:p w:rsidR="00BC1578" w:rsidRDefault="00000000">
      <w:pPr>
        <w:snapToGrid w:val="0"/>
        <w:spacing w:line="360" w:lineRule="auto"/>
        <w:rPr>
          <w:rFonts w:ascii="Times New Roman" w:eastAsia="SimSun" w:hAnsi="Times New Roman" w:cs="Times New Roman"/>
          <w:color w:val="000000"/>
          <w:sz w:val="24"/>
        </w:rPr>
      </w:pPr>
      <w:r>
        <w:rPr>
          <w:rFonts w:ascii="Times New Roman" w:eastAsia="SimSun" w:hAnsi="Times New Roman" w:cs="Times New Roman"/>
          <w:color w:val="000000"/>
          <w:sz w:val="24"/>
        </w:rPr>
        <w:t>（</w:t>
      </w:r>
      <w:r>
        <w:rPr>
          <w:rFonts w:ascii="Times New Roman" w:eastAsia="SimSun" w:hAnsi="Times New Roman" w:cs="Times New Roman"/>
          <w:color w:val="000000"/>
          <w:sz w:val="24"/>
        </w:rPr>
        <w:t>3</w:t>
      </w:r>
      <w:r>
        <w:rPr>
          <w:rFonts w:ascii="Times New Roman" w:eastAsia="SimSun" w:hAnsi="Times New Roman" w:cs="Times New Roman"/>
          <w:color w:val="000000"/>
          <w:sz w:val="24"/>
        </w:rPr>
        <w:t>）</w:t>
      </w:r>
      <w:r>
        <w:rPr>
          <w:rFonts w:ascii="Times New Roman" w:eastAsia="SimSun" w:hAnsi="Times New Roman" w:cs="Times New Roman"/>
          <w:color w:val="000000"/>
          <w:sz w:val="24"/>
        </w:rPr>
        <w:t>Total Asset Turnover</w:t>
      </w:r>
    </w:p>
    <w:p w:rsidR="00BC1578" w:rsidRDefault="00000000">
      <w:pPr>
        <w:snapToGrid w:val="0"/>
        <w:spacing w:line="360" w:lineRule="auto"/>
        <w:ind w:firstLineChars="200" w:firstLine="480"/>
        <w:rPr>
          <w:rFonts w:ascii="Times New Roman" w:eastAsia="SimSun" w:hAnsi="Times New Roman" w:cs="Times New Roman"/>
          <w:color w:val="000000"/>
          <w:sz w:val="24"/>
        </w:rPr>
      </w:pPr>
      <w:r>
        <w:rPr>
          <w:rFonts w:ascii="Times New Roman" w:eastAsia="SimSun" w:hAnsi="Times New Roman" w:cs="Times New Roman" w:hint="eastAsia"/>
          <w:color w:val="000000"/>
          <w:sz w:val="24"/>
        </w:rPr>
        <w:t>Measures the efficiency of asset use, indicating how much sales revenue is generated from each unit of assets:</w:t>
      </w:r>
    </w:p>
    <w:p w:rsidR="00BC1578" w:rsidRDefault="00000000">
      <w:pPr>
        <w:spacing w:line="360" w:lineRule="auto"/>
        <w:ind w:firstLineChars="200" w:firstLine="480"/>
        <w:rPr>
          <w:rFonts w:ascii="Times New Roman" w:eastAsia="SimSun" w:hAnsi="Times New Roman" w:cs="Times New Roman"/>
          <w:color w:val="000000"/>
          <w:sz w:val="24"/>
        </w:rPr>
      </w:pPr>
      <m:oMathPara>
        <m:oMath>
          <m:eqArr>
            <m:eqArrPr>
              <m:maxDist m:val="1"/>
              <m:ctrlPr>
                <w:rPr>
                  <w:rFonts w:ascii="Cambria Math" w:eastAsia="SimSun" w:hAnsi="Cambria Math" w:cs="Times New Roman"/>
                  <w:i/>
                  <w:color w:val="000000"/>
                  <w:sz w:val="24"/>
                </w:rPr>
              </m:ctrlPr>
            </m:eqArrPr>
            <m:e>
              <m:r>
                <m:rPr>
                  <m:nor/>
                </m:rPr>
                <w:rPr>
                  <w:rFonts w:ascii="Cambria Math" w:eastAsia="SimSun" w:hAnsi="Cambria Math" w:cs="Times New Roman"/>
                  <w:color w:val="000000"/>
                  <w:sz w:val="24"/>
                </w:rPr>
                <m:t>Total Asset Turnover</m:t>
              </m:r>
              <m:r>
                <w:rPr>
                  <w:rFonts w:ascii="Cambria Math" w:eastAsia="SimSun" w:hAnsi="Cambria Math" w:cs="Times New Roman"/>
                  <w:color w:val="000000"/>
                  <w:sz w:val="24"/>
                </w:rPr>
                <m:t>=</m:t>
              </m:r>
              <m:f>
                <m:fPr>
                  <m:ctrlPr>
                    <w:rPr>
                      <w:rFonts w:ascii="Cambria Math" w:eastAsia="SimSun" w:hAnsi="Cambria Math" w:cs="Times New Roman"/>
                      <w:color w:val="000000"/>
                      <w:sz w:val="24"/>
                    </w:rPr>
                  </m:ctrlPr>
                </m:fPr>
                <m:num>
                  <m:r>
                    <m:rPr>
                      <m:nor/>
                    </m:rPr>
                    <w:rPr>
                      <w:rFonts w:ascii="Cambria Math" w:eastAsia="SimSun" w:hAnsi="Cambria Math" w:cs="Times New Roman"/>
                      <w:color w:val="000000"/>
                      <w:sz w:val="24"/>
                    </w:rPr>
                    <m:t>Sales Revenue</m:t>
                  </m:r>
                </m:num>
                <m:den>
                  <m:r>
                    <m:rPr>
                      <m:nor/>
                    </m:rPr>
                    <w:rPr>
                      <w:rFonts w:ascii="Cambria Math" w:eastAsia="SimSun" w:hAnsi="Cambria Math" w:cs="Times New Roman"/>
                      <w:color w:val="000000"/>
                      <w:sz w:val="24"/>
                    </w:rPr>
                    <m:t>Total Assets</m:t>
                  </m:r>
                </m:den>
              </m:f>
              <m:r>
                <w:rPr>
                  <w:rFonts w:ascii="Cambria Math" w:eastAsia="SimSun" w:hAnsi="Cambria Math" w:cs="Times New Roman"/>
                  <w:color w:val="000000"/>
                  <w:sz w:val="24"/>
                </w:rPr>
                <m:t>#</m:t>
              </m:r>
              <m:d>
                <m:dPr>
                  <m:begChr m:val="（"/>
                  <m:endChr m:val="）"/>
                  <m:ctrlPr>
                    <w:rPr>
                      <w:rFonts w:ascii="Cambria Math" w:eastAsia="SimSun" w:hAnsi="Cambria Math" w:cs="Times New Roman"/>
                      <w:i/>
                      <w:color w:val="000000"/>
                      <w:sz w:val="24"/>
                    </w:rPr>
                  </m:ctrlPr>
                </m:dPr>
                <m:e>
                  <m:r>
                    <w:rPr>
                      <w:rFonts w:ascii="Cambria Math" w:eastAsia="SimSun" w:hAnsi="Cambria Math" w:cs="Times New Roman"/>
                      <w:color w:val="000000"/>
                      <w:sz w:val="24"/>
                    </w:rPr>
                    <m:t>3</m:t>
                  </m:r>
                </m:e>
              </m:d>
            </m:e>
          </m:eqArr>
        </m:oMath>
      </m:oMathPara>
    </w:p>
    <w:p w:rsidR="00BC1578" w:rsidRDefault="00000000">
      <w:pPr>
        <w:numPr>
          <w:ilvl w:val="0"/>
          <w:numId w:val="1"/>
        </w:numPr>
        <w:rPr>
          <w:rFonts w:ascii="Times New Roman" w:eastAsia="SimSun" w:hAnsi="Times New Roman" w:cs="Times New Roman"/>
          <w:color w:val="000000"/>
          <w:sz w:val="24"/>
        </w:rPr>
      </w:pPr>
      <w:r>
        <w:rPr>
          <w:rFonts w:ascii="Times New Roman" w:eastAsia="SimSun" w:hAnsi="Times New Roman" w:cs="Times New Roman"/>
          <w:color w:val="000000"/>
          <w:sz w:val="24"/>
        </w:rPr>
        <w:t>Equity Multiplier</w:t>
      </w:r>
    </w:p>
    <w:p w:rsidR="00BC1578" w:rsidRDefault="00000000">
      <w:pPr>
        <w:spacing w:line="360" w:lineRule="auto"/>
        <w:ind w:firstLineChars="200" w:firstLine="480"/>
        <w:rPr>
          <w:rFonts w:ascii="Times New Roman" w:eastAsia="SimSun" w:hAnsi="Times New Roman" w:cs="Times New Roman"/>
          <w:color w:val="000000"/>
          <w:sz w:val="24"/>
        </w:rPr>
      </w:pPr>
      <w:r>
        <w:rPr>
          <w:rFonts w:ascii="Times New Roman" w:eastAsia="SimSun" w:hAnsi="Times New Roman" w:cs="Times New Roman"/>
          <w:color w:val="000000"/>
          <w:sz w:val="24"/>
        </w:rPr>
        <w:t>Reflects the financial leverage of the company, showing the magnifying effect of assets on equity:</w:t>
      </w:r>
    </w:p>
    <w:p w:rsidR="00BC1578" w:rsidRDefault="00000000">
      <w:pPr>
        <w:spacing w:line="360" w:lineRule="auto"/>
        <w:ind w:firstLineChars="200" w:firstLine="480"/>
        <w:rPr>
          <w:rFonts w:eastAsia="SimSun" w:hAnsi="Cambria Math" w:cs="Times New Roman"/>
          <w:color w:val="000000"/>
          <w:sz w:val="24"/>
        </w:rPr>
      </w:pPr>
      <m:oMathPara>
        <m:oMath>
          <m:eqArr>
            <m:eqArrPr>
              <m:maxDist m:val="1"/>
              <m:ctrlPr>
                <w:rPr>
                  <w:rFonts w:ascii="Cambria Math" w:eastAsia="SimSun" w:hAnsi="Cambria Math" w:cs="Times New Roman"/>
                  <w:i/>
                  <w:color w:val="000000"/>
                  <w:sz w:val="24"/>
                </w:rPr>
              </m:ctrlPr>
            </m:eqArrPr>
            <m:e>
              <m:r>
                <m:rPr>
                  <m:nor/>
                </m:rPr>
                <w:rPr>
                  <w:rFonts w:ascii="Cambria Math" w:eastAsia="SimSun" w:hAnsi="Cambria Math" w:cs="Times New Roman"/>
                  <w:color w:val="000000"/>
                  <w:sz w:val="24"/>
                </w:rPr>
                <m:t>Equity Multiplier</m:t>
              </m:r>
              <m:r>
                <w:rPr>
                  <w:rFonts w:ascii="Cambria Math" w:eastAsia="SimSun" w:hAnsi="Cambria Math" w:cs="Times New Roman"/>
                  <w:color w:val="000000"/>
                  <w:sz w:val="24"/>
                </w:rPr>
                <m:t>=</m:t>
              </m:r>
              <m:f>
                <m:fPr>
                  <m:ctrlPr>
                    <w:rPr>
                      <w:rFonts w:ascii="Cambria Math" w:eastAsia="SimSun" w:hAnsi="Cambria Math" w:cs="Times New Roman"/>
                      <w:color w:val="000000"/>
                      <w:sz w:val="24"/>
                    </w:rPr>
                  </m:ctrlPr>
                </m:fPr>
                <m:num>
                  <m:r>
                    <m:rPr>
                      <m:nor/>
                    </m:rPr>
                    <w:rPr>
                      <w:rFonts w:ascii="Cambria Math" w:eastAsia="SimSun" w:hAnsi="Cambria Math" w:cs="Times New Roman"/>
                      <w:color w:val="000000"/>
                      <w:sz w:val="24"/>
                    </w:rPr>
                    <m:t>Total Assets</m:t>
                  </m:r>
                </m:num>
                <m:den>
                  <m:r>
                    <m:rPr>
                      <m:nor/>
                    </m:rPr>
                    <w:rPr>
                      <w:rFonts w:ascii="Cambria Math" w:eastAsia="SimSun" w:hAnsi="Cambria Math" w:cs="Times New Roman"/>
                      <w:color w:val="000000"/>
                      <w:sz w:val="24"/>
                    </w:rPr>
                    <m:t>Owner's Equity</m:t>
                  </m:r>
                </m:den>
              </m:f>
              <m:r>
                <w:rPr>
                  <w:rFonts w:ascii="Cambria Math" w:eastAsia="SimSun" w:hAnsi="Cambria Math" w:cs="Times New Roman"/>
                  <w:color w:val="000000"/>
                  <w:sz w:val="24"/>
                </w:rPr>
                <m:t>#</m:t>
              </m:r>
              <m:d>
                <m:dPr>
                  <m:begChr m:val="（"/>
                  <m:endChr m:val="）"/>
                  <m:ctrlPr>
                    <w:rPr>
                      <w:rFonts w:ascii="Cambria Math" w:eastAsia="SimSun" w:hAnsi="Cambria Math" w:cs="Times New Roman"/>
                      <w:i/>
                      <w:color w:val="000000"/>
                      <w:sz w:val="24"/>
                    </w:rPr>
                  </m:ctrlPr>
                </m:dPr>
                <m:e>
                  <m:r>
                    <w:rPr>
                      <w:rFonts w:ascii="Cambria Math" w:eastAsia="SimSun" w:hAnsi="Cambria Math" w:cs="Times New Roman"/>
                      <w:color w:val="000000"/>
                      <w:sz w:val="24"/>
                    </w:rPr>
                    <m:t>4</m:t>
                  </m:r>
                </m:e>
              </m:d>
            </m:e>
          </m:eqArr>
        </m:oMath>
      </m:oMathPara>
    </w:p>
    <w:p w:rsidR="00BC1578" w:rsidRDefault="00000000">
      <w:pPr>
        <w:spacing w:line="360" w:lineRule="auto"/>
        <w:ind w:firstLineChars="200" w:firstLine="480"/>
        <w:rPr>
          <w:rFonts w:eastAsia="SimSun" w:hAnsi="Cambria Math" w:cs="Times New Roman"/>
          <w:color w:val="000000"/>
          <w:sz w:val="24"/>
        </w:rPr>
      </w:pPr>
      <w:r>
        <w:rPr>
          <w:rFonts w:ascii="Times New Roman" w:eastAsia="SimSun" w:hAnsi="Times New Roman" w:cs="Times New Roman"/>
          <w:sz w:val="24"/>
        </w:rPr>
        <w:t xml:space="preserve">The framework of DuPont Analysis can be summarized in the following aspects. the core of the DuPont Analysis system is Return on Equity (ROE), which serves as the most comprehensive financial analysis indicator. Operating net profit margin is one of the key indicators of a company’s profitability, referring to the ratio of net profit to operating revenue, which directly reflects how much net profit can be generated from each unit of operating revenue. Generally, the higher the operating net profit margin, the stronger the company’s profitability, indicating superior cost control and business model; conversely, it suggests that the company may face higher costs, sales strategy adjustments, or market competition pressures during its operations. Total asset turnover is an important indicator for measuring the relationship between a company’s asset investment scale and sales level, typically referring to the ratio of net sales revenue to average total assets over a certain period. In short, this indicator reflects the turnover of a company’s total assets, i.e., the efficiency with which the company utilizes its total assets for business activities. Generally, the higher the total </w:t>
      </w:r>
      <w:r>
        <w:rPr>
          <w:rFonts w:ascii="Times New Roman" w:eastAsia="SimSun" w:hAnsi="Times New Roman" w:cs="Times New Roman"/>
          <w:sz w:val="24"/>
        </w:rPr>
        <w:lastRenderedPageBreak/>
        <w:t>asset turnover, the higher the company’s asset utilization efficiency and the faster the capital turnover. This means that the company can more effectively use existing assets for production and operations, thereby creating greater value. Therefore, this indicator holds significant reference value in corporate operations management. The equity multiplier, also known as the capital multiplier or equity-to-total-assets ratio, is the ratio between a company’s total assets and total shareholders' equity. This indicator is used to measure the proportion of a company’s total assets that is financed by shareholders' equity, while also reflecting the degree to which the company’s assets depend on equity. In other words, the equity multiplier represents how many times the company’s total assets are relative to its equity, reflecting the company’s financial leverage effect.</w:t>
      </w:r>
      <w:r>
        <w:rPr>
          <w:rFonts w:ascii="Times New Roman" w:eastAsia="SimSun" w:hAnsi="Times New Roman" w:cs="Times New Roman" w:hint="eastAsia"/>
          <w:sz w:val="24"/>
        </w:rPr>
        <w:t xml:space="preserve"> </w:t>
      </w:r>
      <w:r>
        <w:rPr>
          <w:rFonts w:ascii="Times New Roman" w:eastAsia="SimSun" w:hAnsi="Times New Roman" w:cs="Times New Roman"/>
          <w:sz w:val="24"/>
        </w:rPr>
        <w:t>Typically, the larger the equity multiplier, the lower the proportion of shareholders’ equity in total assets, and the higher the debt level. This means the company uses less equity to support a larger operational scale, demonstrating significant financial leverage. Moderate financial leverage can help a company expand its scale and improve profitability, but excessive leverage can lead to greater financial risk and increased debt repayment pressure. Therefore, when formulating capital structure and financing strategies, a company must strike a balance between returns and risks. The financial indicator relationships in DuPont Analysis are illustrated in Figure 1.</w:t>
      </w:r>
    </w:p>
    <w:p w:rsidR="00BC1578" w:rsidRDefault="00000000">
      <w:pPr>
        <w:jc w:val="center"/>
        <w:rPr>
          <w:rFonts w:ascii="Times New Roman" w:eastAsia="SimSun" w:hAnsi="Times New Roman" w:cs="Times New Roman"/>
          <w:b/>
          <w:bCs/>
          <w:i/>
          <w:iCs/>
          <w:sz w:val="24"/>
          <w:shd w:val="clear" w:color="auto" w:fill="FFFFFF"/>
        </w:rPr>
      </w:pPr>
      <w:r>
        <w:rPr>
          <w:noProof/>
        </w:rPr>
        <w:lastRenderedPageBreak/>
        <w:drawing>
          <wp:inline distT="0" distB="0" distL="114300" distR="114300">
            <wp:extent cx="5270500" cy="3846195"/>
            <wp:effectExtent l="0" t="0" r="2540" b="952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5270500" cy="3846195"/>
                    </a:xfrm>
                    <a:prstGeom prst="rect">
                      <a:avLst/>
                    </a:prstGeom>
                    <a:noFill/>
                    <a:ln>
                      <a:noFill/>
                    </a:ln>
                  </pic:spPr>
                </pic:pic>
              </a:graphicData>
            </a:graphic>
          </wp:inline>
        </w:drawing>
      </w:r>
    </w:p>
    <w:p w:rsidR="00BC1578" w:rsidRDefault="00000000">
      <w:pPr>
        <w:jc w:val="center"/>
        <w:rPr>
          <w:rFonts w:ascii="Times New Roman" w:eastAsia="SimSun" w:hAnsi="Times New Roman" w:cs="Times New Roman"/>
          <w:sz w:val="24"/>
        </w:rPr>
      </w:pPr>
      <w:r>
        <w:rPr>
          <w:rFonts w:ascii="Times New Roman" w:eastAsia="SimSun" w:hAnsi="Times New Roman" w:cs="Times New Roman"/>
          <w:b/>
          <w:bCs/>
          <w:sz w:val="24"/>
        </w:rPr>
        <w:t>Fig.1.</w:t>
      </w:r>
      <w:r>
        <w:rPr>
          <w:rFonts w:ascii="Times New Roman" w:eastAsia="SimSun" w:hAnsi="Times New Roman" w:cs="Times New Roman" w:hint="eastAsia"/>
          <w:b/>
          <w:bCs/>
          <w:sz w:val="24"/>
        </w:rPr>
        <w:t xml:space="preserve"> DuPont Financial Analysis Chart</w:t>
      </w:r>
    </w:p>
    <w:p w:rsidR="00BC1578" w:rsidRDefault="00000000">
      <w:pPr>
        <w:jc w:val="center"/>
        <w:rPr>
          <w:rFonts w:ascii="Times New Roman" w:eastAsia="SimSun" w:hAnsi="Times New Roman" w:cs="Times New Roman"/>
          <w:sz w:val="24"/>
          <w:highlight w:val="yellow"/>
        </w:rPr>
      </w:pPr>
      <w:r>
        <w:rPr>
          <w:rFonts w:ascii="Times New Roman" w:eastAsia="SimSun" w:hAnsi="Times New Roman" w:cs="Times New Roman" w:hint="eastAsia"/>
          <w:sz w:val="24"/>
          <w:highlight w:val="yellow"/>
        </w:rPr>
        <w:t>Source: Compiled by authors</w:t>
      </w:r>
    </w:p>
    <w:p w:rsidR="00BC1578" w:rsidRDefault="00BC1578">
      <w:pPr>
        <w:rPr>
          <w:rFonts w:ascii="Times New Roman" w:eastAsia="SimSun" w:hAnsi="Times New Roman" w:cs="Times New Roman"/>
          <w:sz w:val="24"/>
        </w:rPr>
      </w:pPr>
    </w:p>
    <w:p w:rsidR="00BC1578" w:rsidRDefault="00000000">
      <w:pPr>
        <w:rPr>
          <w:rFonts w:ascii="Times New Roman" w:eastAsia="SimSun" w:hAnsi="Times New Roman" w:cs="Times New Roman"/>
          <w:b/>
          <w:bCs/>
          <w:sz w:val="24"/>
        </w:rPr>
      </w:pPr>
      <w:r>
        <w:rPr>
          <w:rFonts w:ascii="Times New Roman" w:eastAsia="SimSun" w:hAnsi="Times New Roman" w:cs="Times New Roman"/>
          <w:b/>
          <w:bCs/>
          <w:sz w:val="24"/>
        </w:rPr>
        <w:t>2.</w:t>
      </w:r>
      <w:proofErr w:type="gramStart"/>
      <w:r>
        <w:rPr>
          <w:rFonts w:ascii="Times New Roman" w:eastAsia="SimSun" w:hAnsi="Times New Roman" w:cs="Times New Roman"/>
          <w:b/>
          <w:bCs/>
          <w:sz w:val="24"/>
        </w:rPr>
        <w:t>2.Research</w:t>
      </w:r>
      <w:proofErr w:type="gramEnd"/>
      <w:r>
        <w:rPr>
          <w:rFonts w:ascii="Times New Roman" w:eastAsia="SimSun" w:hAnsi="Times New Roman" w:cs="Times New Roman"/>
          <w:b/>
          <w:bCs/>
          <w:sz w:val="24"/>
        </w:rPr>
        <w:t xml:space="preserve"> Data</w:t>
      </w:r>
    </w:p>
    <w:p w:rsidR="00BC1578" w:rsidRDefault="0000000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This study selects Three Squirrels, </w:t>
      </w:r>
      <w:proofErr w:type="spellStart"/>
      <w:r>
        <w:rPr>
          <w:rFonts w:ascii="Times New Roman" w:eastAsia="SimSun" w:hAnsi="Times New Roman" w:cs="Times New Roman"/>
          <w:sz w:val="24"/>
        </w:rPr>
        <w:t>Bestore</w:t>
      </w:r>
      <w:proofErr w:type="spellEnd"/>
      <w:r>
        <w:rPr>
          <w:rFonts w:ascii="Times New Roman" w:eastAsia="SimSun" w:hAnsi="Times New Roman" w:cs="Times New Roman"/>
          <w:sz w:val="24"/>
        </w:rPr>
        <w:t xml:space="preserve">, and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as research subjects, aiming to conduct an in-depth analysis of their operational performance and profit models. These three companies have held significant market shares and brand influence in the snack industry in recent years, making them highly representative and valuable for research.</w:t>
      </w:r>
      <w:r>
        <w:rPr>
          <w:rFonts w:ascii="Times New Roman" w:eastAsia="SimSun" w:hAnsi="Times New Roman" w:cs="Times New Roman" w:hint="eastAsia"/>
          <w:sz w:val="24"/>
        </w:rPr>
        <w:t xml:space="preserve"> </w:t>
      </w:r>
      <w:r>
        <w:rPr>
          <w:rFonts w:ascii="Times New Roman" w:eastAsia="SimSun" w:hAnsi="Times New Roman" w:cs="Times New Roman" w:hint="eastAsia"/>
          <w:sz w:val="24"/>
          <w:highlight w:val="yellow"/>
        </w:rPr>
        <w:t>To ensure objectivity and accuracy, this research relies on data from the annual reports of these companies, sourced from the Oriental Wealth website.</w:t>
      </w:r>
      <w:r>
        <w:rPr>
          <w:rFonts w:ascii="Times New Roman" w:eastAsia="SimSun" w:hAnsi="Times New Roman" w:cs="Times New Roman"/>
          <w:sz w:val="24"/>
        </w:rPr>
        <w:t xml:space="preserve"> These reports provide comprehensive insights into financial data, operational status, and market strategies, making them authoritative and highly valuable as references. The study covers the period from 2019 to 2023, a timeframe that includes industry fluctuations and corporate strategic adjustments. This comprehensive perspective helps reveal the evolution and development of corporate profit models.</w:t>
      </w:r>
    </w:p>
    <w:p w:rsidR="00BC1578" w:rsidRDefault="00BC1578">
      <w:pPr>
        <w:spacing w:line="360" w:lineRule="auto"/>
        <w:ind w:firstLineChars="200" w:firstLine="480"/>
        <w:rPr>
          <w:rFonts w:ascii="Times New Roman" w:eastAsia="SimSun" w:hAnsi="Times New Roman" w:cs="Times New Roman"/>
          <w:sz w:val="24"/>
        </w:rPr>
      </w:pPr>
    </w:p>
    <w:p w:rsidR="00BC1578" w:rsidRDefault="00000000">
      <w:pPr>
        <w:spacing w:line="360" w:lineRule="auto"/>
        <w:rPr>
          <w:rFonts w:ascii="Times New Roman" w:eastAsia="SimSun" w:hAnsi="Times New Roman" w:cs="Times New Roman"/>
          <w:b/>
          <w:bCs/>
          <w:sz w:val="28"/>
          <w:szCs w:val="28"/>
        </w:rPr>
      </w:pPr>
      <w:r>
        <w:rPr>
          <w:rFonts w:ascii="Times New Roman" w:eastAsia="SimSun" w:hAnsi="Times New Roman" w:cs="Times New Roman"/>
          <w:b/>
          <w:bCs/>
          <w:sz w:val="28"/>
          <w:szCs w:val="28"/>
        </w:rPr>
        <w:t>3</w:t>
      </w:r>
      <w:r>
        <w:rPr>
          <w:rFonts w:ascii="Times New Roman" w:eastAsia="SimSun" w:hAnsi="Times New Roman" w:cs="Times New Roman" w:hint="eastAsia"/>
          <w:b/>
          <w:bCs/>
          <w:sz w:val="28"/>
          <w:szCs w:val="28"/>
        </w:rPr>
        <w:t xml:space="preserve"> Research Analysis</w:t>
      </w:r>
    </w:p>
    <w:p w:rsidR="00BC1578" w:rsidRDefault="00000000">
      <w:pPr>
        <w:spacing w:line="360" w:lineRule="auto"/>
        <w:rPr>
          <w:rFonts w:ascii="Times New Roman" w:eastAsia="SimSun" w:hAnsi="Times New Roman" w:cs="Times New Roman"/>
          <w:b/>
          <w:bCs/>
          <w:sz w:val="24"/>
        </w:rPr>
      </w:pPr>
      <w:r>
        <w:rPr>
          <w:rFonts w:ascii="Times New Roman" w:eastAsia="SimSun" w:hAnsi="Times New Roman" w:cs="Times New Roman"/>
          <w:b/>
          <w:bCs/>
          <w:sz w:val="24"/>
        </w:rPr>
        <w:lastRenderedPageBreak/>
        <w:t>3.1 Overall Analysis</w:t>
      </w:r>
    </w:p>
    <w:p w:rsidR="00BC1578" w:rsidRDefault="0000000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The Return on Equity (ROE) of Three Squirrels remained relatively stable from 2019 to 2021 (15.88%, 15.1%, and 18.88%, respectively). However, it experienced a sharp decline to 5.61% in 2022, followed by a slight recovery to 9.05% in 2023, indicating periodic fluctuations in profitability. The ROE of </w:t>
      </w:r>
      <w:proofErr w:type="spellStart"/>
      <w:r>
        <w:rPr>
          <w:rFonts w:ascii="Times New Roman" w:eastAsia="SimSun" w:hAnsi="Times New Roman" w:cs="Times New Roman"/>
          <w:sz w:val="24"/>
        </w:rPr>
        <w:t>Bestore</w:t>
      </w:r>
      <w:proofErr w:type="spellEnd"/>
      <w:r>
        <w:rPr>
          <w:rFonts w:ascii="Times New Roman" w:eastAsia="SimSun" w:hAnsi="Times New Roman" w:cs="Times New Roman"/>
          <w:sz w:val="24"/>
        </w:rPr>
        <w:t xml:space="preserve"> exhibited a continuous downward trend, declining from 27.02% in 2019 to 7.32% in 2023, suggesting a gradual weakening of profitability, possibly due to market competition and cost pressures. The ROE of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exhibited significant fluctuations. It stood at 17.93% in 2019, surged to 29.44% in 2020, then declined to 17.65% in 2021. However, it rebounded sharply to 29.72% in 2022 and further increased to 39.34% in 2023, demonstrating strong profitability and growth potential. These differences reflect variations in market positioning, operational strategies, and cost control among these companies. The specific details are presented in Table 1.</w:t>
      </w:r>
    </w:p>
    <w:p w:rsidR="00BC1578" w:rsidRDefault="00BC1578">
      <w:pPr>
        <w:spacing w:line="360" w:lineRule="auto"/>
        <w:ind w:firstLineChars="200" w:firstLine="480"/>
        <w:rPr>
          <w:rFonts w:ascii="Times New Roman" w:eastAsia="SimSun" w:hAnsi="Times New Roman" w:cs="Times New Roman"/>
          <w:sz w:val="24"/>
        </w:rPr>
      </w:pPr>
    </w:p>
    <w:p w:rsidR="00BC1578" w:rsidRDefault="00000000">
      <w:pPr>
        <w:spacing w:line="360" w:lineRule="auto"/>
        <w:jc w:val="center"/>
        <w:rPr>
          <w:rFonts w:ascii="Times New Roman" w:eastAsia="SimSun" w:hAnsi="Times New Roman" w:cs="Times New Roman"/>
          <w:b/>
          <w:bCs/>
          <w:sz w:val="24"/>
        </w:rPr>
      </w:pPr>
      <w:r>
        <w:rPr>
          <w:rFonts w:ascii="Times New Roman" w:eastAsia="SimSun" w:hAnsi="Times New Roman" w:cs="Times New Roman"/>
          <w:b/>
          <w:bCs/>
          <w:sz w:val="24"/>
        </w:rPr>
        <w:t>Table 1.</w:t>
      </w:r>
      <w:r>
        <w:rPr>
          <w:rFonts w:ascii="Times New Roman" w:eastAsia="SimSun" w:hAnsi="Times New Roman" w:cs="Times New Roman" w:hint="eastAsia"/>
          <w:b/>
          <w:bCs/>
          <w:sz w:val="24"/>
        </w:rPr>
        <w:t xml:space="preserve"> </w:t>
      </w:r>
      <w:r>
        <w:rPr>
          <w:rFonts w:ascii="Times New Roman" w:eastAsia="SimSun" w:hAnsi="Times New Roman" w:cs="Times New Roman"/>
          <w:b/>
          <w:bCs/>
          <w:sz w:val="24"/>
        </w:rPr>
        <w:t>Comparison of Return on Equity (ROE) Indicators Among Industry Peers</w:t>
      </w:r>
    </w:p>
    <w:tbl>
      <w:tblPr>
        <w:tblStyle w:val="TableGrid"/>
        <w:tblW w:w="868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417"/>
        <w:gridCol w:w="1417"/>
        <w:gridCol w:w="1417"/>
        <w:gridCol w:w="1417"/>
        <w:gridCol w:w="1417"/>
      </w:tblGrid>
      <w:tr w:rsidR="00BC1578">
        <w:trPr>
          <w:jc w:val="center"/>
        </w:trPr>
        <w:tc>
          <w:tcPr>
            <w:tcW w:w="1596" w:type="dxa"/>
            <w:tcBorders>
              <w:bottom w:val="single" w:sz="4" w:space="0" w:color="auto"/>
            </w:tcBorders>
            <w:vAlign w:val="center"/>
          </w:tcPr>
          <w:p w:rsidR="00BC1578" w:rsidRDefault="00BC1578">
            <w:pPr>
              <w:widowControl/>
              <w:jc w:val="center"/>
              <w:textAlignment w:val="center"/>
              <w:rPr>
                <w:rFonts w:ascii="Times New Roman" w:eastAsia="SimSun" w:hAnsi="Times New Roman" w:cs="Times New Roman"/>
                <w:color w:val="000000"/>
                <w:kern w:val="0"/>
                <w:szCs w:val="21"/>
                <w:lang w:bidi="ar"/>
              </w:rPr>
            </w:pPr>
          </w:p>
        </w:tc>
        <w:tc>
          <w:tcPr>
            <w:tcW w:w="1417" w:type="dxa"/>
            <w:tcBorders>
              <w:bottom w:val="single" w:sz="4" w:space="0" w:color="auto"/>
            </w:tcBorders>
            <w:vAlign w:val="center"/>
          </w:tcPr>
          <w:p w:rsidR="00BC1578" w:rsidRDefault="00000000">
            <w:pPr>
              <w:widowControl/>
              <w:jc w:val="center"/>
              <w:textAlignment w:val="center"/>
              <w:rPr>
                <w:rFonts w:ascii="Times New Roman" w:eastAsia="SimSun" w:hAnsi="Times New Roman" w:cs="Times New Roman"/>
                <w:b/>
                <w:bCs/>
                <w:szCs w:val="21"/>
              </w:rPr>
            </w:pPr>
            <w:r>
              <w:rPr>
                <w:rFonts w:ascii="Times New Roman" w:eastAsia="SimSun" w:hAnsi="Times New Roman" w:cs="Times New Roman"/>
                <w:color w:val="000000"/>
                <w:kern w:val="0"/>
                <w:szCs w:val="21"/>
                <w:lang w:bidi="ar"/>
              </w:rPr>
              <w:t>2019</w:t>
            </w:r>
          </w:p>
        </w:tc>
        <w:tc>
          <w:tcPr>
            <w:tcW w:w="1417" w:type="dxa"/>
            <w:tcBorders>
              <w:bottom w:val="single" w:sz="4" w:space="0" w:color="auto"/>
            </w:tcBorders>
            <w:vAlign w:val="center"/>
          </w:tcPr>
          <w:p w:rsidR="00BC1578" w:rsidRDefault="00000000">
            <w:pPr>
              <w:widowControl/>
              <w:jc w:val="center"/>
              <w:textAlignment w:val="center"/>
              <w:rPr>
                <w:rFonts w:ascii="Times New Roman" w:eastAsia="SimSun" w:hAnsi="Times New Roman" w:cs="Times New Roman"/>
                <w:b/>
                <w:bCs/>
                <w:szCs w:val="21"/>
              </w:rPr>
            </w:pPr>
            <w:r>
              <w:rPr>
                <w:rFonts w:ascii="Times New Roman" w:eastAsia="SimSun" w:hAnsi="Times New Roman" w:cs="Times New Roman"/>
                <w:color w:val="000000"/>
                <w:kern w:val="0"/>
                <w:szCs w:val="21"/>
                <w:lang w:bidi="ar"/>
              </w:rPr>
              <w:t>2020</w:t>
            </w:r>
          </w:p>
        </w:tc>
        <w:tc>
          <w:tcPr>
            <w:tcW w:w="1417" w:type="dxa"/>
            <w:tcBorders>
              <w:bottom w:val="single" w:sz="4" w:space="0" w:color="auto"/>
            </w:tcBorders>
            <w:vAlign w:val="center"/>
          </w:tcPr>
          <w:p w:rsidR="00BC1578" w:rsidRDefault="00000000">
            <w:pPr>
              <w:widowControl/>
              <w:jc w:val="center"/>
              <w:textAlignment w:val="center"/>
              <w:rPr>
                <w:rFonts w:ascii="Times New Roman" w:eastAsia="SimSun" w:hAnsi="Times New Roman" w:cs="Times New Roman"/>
                <w:b/>
                <w:bCs/>
                <w:szCs w:val="21"/>
              </w:rPr>
            </w:pPr>
            <w:r>
              <w:rPr>
                <w:rFonts w:ascii="Times New Roman" w:eastAsia="SimSun" w:hAnsi="Times New Roman" w:cs="Times New Roman"/>
                <w:color w:val="000000"/>
                <w:kern w:val="0"/>
                <w:szCs w:val="21"/>
                <w:lang w:bidi="ar"/>
              </w:rPr>
              <w:t>2021</w:t>
            </w:r>
          </w:p>
        </w:tc>
        <w:tc>
          <w:tcPr>
            <w:tcW w:w="1417" w:type="dxa"/>
            <w:tcBorders>
              <w:bottom w:val="single" w:sz="4" w:space="0" w:color="auto"/>
            </w:tcBorders>
            <w:vAlign w:val="center"/>
          </w:tcPr>
          <w:p w:rsidR="00BC1578" w:rsidRDefault="00000000">
            <w:pPr>
              <w:widowControl/>
              <w:jc w:val="center"/>
              <w:textAlignment w:val="center"/>
              <w:rPr>
                <w:rFonts w:ascii="Times New Roman" w:eastAsia="SimSun" w:hAnsi="Times New Roman" w:cs="Times New Roman"/>
                <w:b/>
                <w:bCs/>
                <w:szCs w:val="21"/>
              </w:rPr>
            </w:pPr>
            <w:r>
              <w:rPr>
                <w:rFonts w:ascii="Times New Roman" w:eastAsia="SimSun" w:hAnsi="Times New Roman" w:cs="Times New Roman"/>
                <w:color w:val="000000"/>
                <w:kern w:val="0"/>
                <w:szCs w:val="21"/>
                <w:lang w:bidi="ar"/>
              </w:rPr>
              <w:t>2022</w:t>
            </w:r>
          </w:p>
        </w:tc>
        <w:tc>
          <w:tcPr>
            <w:tcW w:w="1417" w:type="dxa"/>
            <w:tcBorders>
              <w:bottom w:val="single" w:sz="4" w:space="0" w:color="auto"/>
            </w:tcBorders>
            <w:vAlign w:val="center"/>
          </w:tcPr>
          <w:p w:rsidR="00BC1578" w:rsidRDefault="00000000">
            <w:pPr>
              <w:widowControl/>
              <w:jc w:val="center"/>
              <w:textAlignment w:val="center"/>
              <w:rPr>
                <w:rFonts w:ascii="Times New Roman" w:eastAsia="SimSun" w:hAnsi="Times New Roman" w:cs="Times New Roman"/>
                <w:b/>
                <w:bCs/>
                <w:szCs w:val="21"/>
              </w:rPr>
            </w:pPr>
            <w:r>
              <w:rPr>
                <w:rFonts w:ascii="Times New Roman" w:eastAsia="SimSun" w:hAnsi="Times New Roman" w:cs="Times New Roman"/>
                <w:color w:val="000000"/>
                <w:kern w:val="0"/>
                <w:szCs w:val="21"/>
                <w:lang w:bidi="ar"/>
              </w:rPr>
              <w:t>2023</w:t>
            </w:r>
          </w:p>
        </w:tc>
      </w:tr>
      <w:tr w:rsidR="00BC1578">
        <w:trPr>
          <w:jc w:val="center"/>
        </w:trPr>
        <w:tc>
          <w:tcPr>
            <w:tcW w:w="1596" w:type="dxa"/>
            <w:tcBorders>
              <w:top w:val="single" w:sz="4" w:space="0" w:color="auto"/>
              <w:tl2br w:val="nil"/>
              <w:tr2bl w:val="nil"/>
            </w:tcBorders>
            <w:vAlign w:val="center"/>
          </w:tcPr>
          <w:p w:rsidR="00BC1578" w:rsidRDefault="00000000">
            <w:pPr>
              <w:widowControl/>
              <w:jc w:val="center"/>
              <w:textAlignment w:val="center"/>
              <w:rPr>
                <w:rFonts w:ascii="Times New Roman" w:eastAsia="SimSun" w:hAnsi="Times New Roman" w:cs="Times New Roman"/>
                <w:color w:val="000000"/>
                <w:kern w:val="0"/>
                <w:szCs w:val="21"/>
                <w:lang w:bidi="ar"/>
              </w:rPr>
            </w:pPr>
            <w:r>
              <w:rPr>
                <w:rFonts w:ascii="Times New Roman" w:eastAsia="SimSun" w:hAnsi="Times New Roman" w:cs="Times New Roman"/>
                <w:szCs w:val="21"/>
              </w:rPr>
              <w:t>Three Squirrels</w:t>
            </w:r>
          </w:p>
        </w:tc>
        <w:tc>
          <w:tcPr>
            <w:tcW w:w="1417" w:type="dxa"/>
            <w:tcBorders>
              <w:top w:val="single" w:sz="4" w:space="0" w:color="auto"/>
              <w:tl2br w:val="nil"/>
              <w:tr2bl w:val="nil"/>
            </w:tcBorders>
            <w:vAlign w:val="center"/>
          </w:tcPr>
          <w:p w:rsidR="00BC1578" w:rsidRDefault="00000000">
            <w:pPr>
              <w:widowControl/>
              <w:jc w:val="center"/>
              <w:textAlignment w:val="center"/>
              <w:rPr>
                <w:rFonts w:ascii="Times New Roman" w:eastAsia="SimSun" w:hAnsi="Times New Roman" w:cs="Times New Roman"/>
                <w:b/>
                <w:bCs/>
                <w:szCs w:val="21"/>
              </w:rPr>
            </w:pPr>
            <w:r>
              <w:rPr>
                <w:rFonts w:ascii="Times New Roman" w:eastAsia="SimSun" w:hAnsi="Times New Roman" w:cs="Times New Roman"/>
                <w:color w:val="000000"/>
                <w:kern w:val="0"/>
                <w:szCs w:val="21"/>
                <w:lang w:bidi="ar"/>
              </w:rPr>
              <w:t>15.88</w:t>
            </w:r>
          </w:p>
        </w:tc>
        <w:tc>
          <w:tcPr>
            <w:tcW w:w="1417" w:type="dxa"/>
            <w:tcBorders>
              <w:top w:val="single" w:sz="4" w:space="0" w:color="auto"/>
              <w:tl2br w:val="nil"/>
              <w:tr2bl w:val="nil"/>
            </w:tcBorders>
            <w:vAlign w:val="center"/>
          </w:tcPr>
          <w:p w:rsidR="00BC1578" w:rsidRDefault="00000000">
            <w:pPr>
              <w:widowControl/>
              <w:jc w:val="center"/>
              <w:textAlignment w:val="center"/>
              <w:rPr>
                <w:rFonts w:ascii="Times New Roman" w:eastAsia="SimSun" w:hAnsi="Times New Roman" w:cs="Times New Roman"/>
                <w:b/>
                <w:bCs/>
                <w:szCs w:val="21"/>
              </w:rPr>
            </w:pPr>
            <w:r>
              <w:rPr>
                <w:rFonts w:ascii="Times New Roman" w:eastAsia="SimSun" w:hAnsi="Times New Roman" w:cs="Times New Roman"/>
                <w:color w:val="000000"/>
                <w:kern w:val="0"/>
                <w:szCs w:val="21"/>
                <w:lang w:bidi="ar"/>
              </w:rPr>
              <w:t>15.1</w:t>
            </w:r>
          </w:p>
        </w:tc>
        <w:tc>
          <w:tcPr>
            <w:tcW w:w="1417" w:type="dxa"/>
            <w:tcBorders>
              <w:top w:val="single" w:sz="4" w:space="0" w:color="auto"/>
              <w:tl2br w:val="nil"/>
              <w:tr2bl w:val="nil"/>
            </w:tcBorders>
            <w:vAlign w:val="center"/>
          </w:tcPr>
          <w:p w:rsidR="00BC1578" w:rsidRDefault="00000000">
            <w:pPr>
              <w:widowControl/>
              <w:jc w:val="center"/>
              <w:textAlignment w:val="center"/>
              <w:rPr>
                <w:rFonts w:ascii="Times New Roman" w:eastAsia="SimSun" w:hAnsi="Times New Roman" w:cs="Times New Roman"/>
                <w:b/>
                <w:bCs/>
                <w:szCs w:val="21"/>
              </w:rPr>
            </w:pPr>
            <w:r>
              <w:rPr>
                <w:rFonts w:ascii="Times New Roman" w:eastAsia="SimSun" w:hAnsi="Times New Roman" w:cs="Times New Roman"/>
                <w:color w:val="000000"/>
                <w:kern w:val="0"/>
                <w:szCs w:val="21"/>
                <w:lang w:bidi="ar"/>
              </w:rPr>
              <w:t>18.88</w:t>
            </w:r>
          </w:p>
        </w:tc>
        <w:tc>
          <w:tcPr>
            <w:tcW w:w="1417" w:type="dxa"/>
            <w:tcBorders>
              <w:top w:val="single" w:sz="4" w:space="0" w:color="auto"/>
              <w:tl2br w:val="nil"/>
              <w:tr2bl w:val="nil"/>
            </w:tcBorders>
            <w:vAlign w:val="center"/>
          </w:tcPr>
          <w:p w:rsidR="00BC1578" w:rsidRDefault="00000000">
            <w:pPr>
              <w:widowControl/>
              <w:jc w:val="center"/>
              <w:textAlignment w:val="center"/>
              <w:rPr>
                <w:rFonts w:ascii="Times New Roman" w:eastAsia="SimSun" w:hAnsi="Times New Roman" w:cs="Times New Roman"/>
                <w:b/>
                <w:bCs/>
                <w:szCs w:val="21"/>
              </w:rPr>
            </w:pPr>
            <w:r>
              <w:rPr>
                <w:rFonts w:ascii="Times New Roman" w:eastAsia="SimSun" w:hAnsi="Times New Roman" w:cs="Times New Roman"/>
                <w:color w:val="000000"/>
                <w:kern w:val="0"/>
                <w:szCs w:val="21"/>
                <w:lang w:bidi="ar"/>
              </w:rPr>
              <w:t>5.61</w:t>
            </w:r>
          </w:p>
        </w:tc>
        <w:tc>
          <w:tcPr>
            <w:tcW w:w="1417" w:type="dxa"/>
            <w:tcBorders>
              <w:top w:val="single" w:sz="4" w:space="0" w:color="auto"/>
              <w:tl2br w:val="nil"/>
              <w:tr2bl w:val="nil"/>
            </w:tcBorders>
            <w:vAlign w:val="center"/>
          </w:tcPr>
          <w:p w:rsidR="00BC1578" w:rsidRDefault="00000000">
            <w:pPr>
              <w:widowControl/>
              <w:jc w:val="center"/>
              <w:textAlignment w:val="center"/>
              <w:rPr>
                <w:rFonts w:ascii="Times New Roman" w:eastAsia="SimSun" w:hAnsi="Times New Roman" w:cs="Times New Roman"/>
                <w:b/>
                <w:bCs/>
                <w:szCs w:val="21"/>
              </w:rPr>
            </w:pPr>
            <w:r>
              <w:rPr>
                <w:rFonts w:ascii="Times New Roman" w:eastAsia="SimSun" w:hAnsi="Times New Roman" w:cs="Times New Roman"/>
                <w:color w:val="000000"/>
                <w:kern w:val="0"/>
                <w:szCs w:val="21"/>
                <w:lang w:bidi="ar"/>
              </w:rPr>
              <w:t>9.05</w:t>
            </w:r>
          </w:p>
        </w:tc>
      </w:tr>
      <w:tr w:rsidR="00BC1578">
        <w:trPr>
          <w:jc w:val="center"/>
        </w:trPr>
        <w:tc>
          <w:tcPr>
            <w:tcW w:w="1596" w:type="dxa"/>
            <w:tcBorders>
              <w:tl2br w:val="nil"/>
              <w:tr2bl w:val="nil"/>
            </w:tcBorders>
            <w:vAlign w:val="center"/>
          </w:tcPr>
          <w:p w:rsidR="00BC1578" w:rsidRDefault="00000000">
            <w:pPr>
              <w:widowControl/>
              <w:jc w:val="center"/>
              <w:textAlignment w:val="center"/>
              <w:rPr>
                <w:rFonts w:ascii="Times New Roman" w:eastAsia="SimSun" w:hAnsi="Times New Roman" w:cs="Times New Roman"/>
                <w:color w:val="000000"/>
                <w:kern w:val="0"/>
                <w:szCs w:val="21"/>
                <w:lang w:bidi="ar"/>
              </w:rPr>
            </w:pPr>
            <w:proofErr w:type="spellStart"/>
            <w:r>
              <w:rPr>
                <w:rFonts w:ascii="Times New Roman" w:eastAsia="SimSun" w:hAnsi="Times New Roman" w:cs="Times New Roman"/>
                <w:szCs w:val="21"/>
              </w:rPr>
              <w:t>Bestore</w:t>
            </w:r>
            <w:proofErr w:type="spellEnd"/>
          </w:p>
        </w:tc>
        <w:tc>
          <w:tcPr>
            <w:tcW w:w="1417" w:type="dxa"/>
            <w:tcBorders>
              <w:tl2br w:val="nil"/>
              <w:tr2bl w:val="nil"/>
            </w:tcBorders>
            <w:vAlign w:val="center"/>
          </w:tcPr>
          <w:p w:rsidR="00BC1578" w:rsidRDefault="00000000">
            <w:pPr>
              <w:widowControl/>
              <w:jc w:val="center"/>
              <w:textAlignment w:val="center"/>
              <w:rPr>
                <w:rFonts w:ascii="Times New Roman" w:eastAsia="SimSun" w:hAnsi="Times New Roman" w:cs="Times New Roman"/>
                <w:b/>
                <w:bCs/>
                <w:szCs w:val="21"/>
              </w:rPr>
            </w:pPr>
            <w:r>
              <w:rPr>
                <w:rFonts w:ascii="Times New Roman" w:eastAsia="SimSun" w:hAnsi="Times New Roman" w:cs="Times New Roman"/>
                <w:color w:val="000000"/>
                <w:kern w:val="0"/>
                <w:szCs w:val="21"/>
                <w:lang w:bidi="ar"/>
              </w:rPr>
              <w:t>27.02</w:t>
            </w:r>
          </w:p>
        </w:tc>
        <w:tc>
          <w:tcPr>
            <w:tcW w:w="1417" w:type="dxa"/>
            <w:tcBorders>
              <w:tl2br w:val="nil"/>
              <w:tr2bl w:val="nil"/>
            </w:tcBorders>
            <w:vAlign w:val="center"/>
          </w:tcPr>
          <w:p w:rsidR="00BC1578" w:rsidRDefault="00000000">
            <w:pPr>
              <w:widowControl/>
              <w:jc w:val="center"/>
              <w:textAlignment w:val="center"/>
              <w:rPr>
                <w:rFonts w:ascii="Times New Roman" w:eastAsia="SimSun" w:hAnsi="Times New Roman" w:cs="Times New Roman"/>
                <w:b/>
                <w:bCs/>
                <w:szCs w:val="21"/>
              </w:rPr>
            </w:pPr>
            <w:r>
              <w:rPr>
                <w:rFonts w:ascii="Times New Roman" w:eastAsia="SimSun" w:hAnsi="Times New Roman" w:cs="Times New Roman"/>
                <w:color w:val="000000"/>
                <w:kern w:val="0"/>
                <w:szCs w:val="21"/>
                <w:lang w:bidi="ar"/>
              </w:rPr>
              <w:t>19.39</w:t>
            </w:r>
          </w:p>
        </w:tc>
        <w:tc>
          <w:tcPr>
            <w:tcW w:w="1417" w:type="dxa"/>
            <w:tcBorders>
              <w:tl2br w:val="nil"/>
              <w:tr2bl w:val="nil"/>
            </w:tcBorders>
            <w:vAlign w:val="center"/>
          </w:tcPr>
          <w:p w:rsidR="00BC1578" w:rsidRDefault="00000000">
            <w:pPr>
              <w:widowControl/>
              <w:jc w:val="center"/>
              <w:textAlignment w:val="center"/>
              <w:rPr>
                <w:rFonts w:ascii="Times New Roman" w:eastAsia="SimSun" w:hAnsi="Times New Roman" w:cs="Times New Roman"/>
                <w:b/>
                <w:bCs/>
                <w:szCs w:val="21"/>
              </w:rPr>
            </w:pPr>
            <w:r>
              <w:rPr>
                <w:rFonts w:ascii="Times New Roman" w:eastAsia="SimSun" w:hAnsi="Times New Roman" w:cs="Times New Roman"/>
                <w:color w:val="000000"/>
                <w:kern w:val="0"/>
                <w:szCs w:val="21"/>
                <w:lang w:bidi="ar"/>
              </w:rPr>
              <w:t>13.34</w:t>
            </w:r>
          </w:p>
        </w:tc>
        <w:tc>
          <w:tcPr>
            <w:tcW w:w="1417" w:type="dxa"/>
            <w:tcBorders>
              <w:tl2br w:val="nil"/>
              <w:tr2bl w:val="nil"/>
            </w:tcBorders>
            <w:vAlign w:val="center"/>
          </w:tcPr>
          <w:p w:rsidR="00BC1578" w:rsidRDefault="00000000">
            <w:pPr>
              <w:widowControl/>
              <w:jc w:val="center"/>
              <w:textAlignment w:val="center"/>
              <w:rPr>
                <w:rFonts w:ascii="Times New Roman" w:eastAsia="SimSun" w:hAnsi="Times New Roman" w:cs="Times New Roman"/>
                <w:b/>
                <w:bCs/>
                <w:szCs w:val="21"/>
              </w:rPr>
            </w:pPr>
            <w:r>
              <w:rPr>
                <w:rFonts w:ascii="Times New Roman" w:eastAsia="SimSun" w:hAnsi="Times New Roman" w:cs="Times New Roman"/>
                <w:color w:val="000000"/>
                <w:kern w:val="0"/>
                <w:szCs w:val="21"/>
                <w:lang w:bidi="ar"/>
              </w:rPr>
              <w:t>14.66</w:t>
            </w:r>
          </w:p>
        </w:tc>
        <w:tc>
          <w:tcPr>
            <w:tcW w:w="1417" w:type="dxa"/>
            <w:tcBorders>
              <w:tl2br w:val="nil"/>
              <w:tr2bl w:val="nil"/>
            </w:tcBorders>
            <w:vAlign w:val="center"/>
          </w:tcPr>
          <w:p w:rsidR="00BC1578" w:rsidRDefault="00000000">
            <w:pPr>
              <w:widowControl/>
              <w:jc w:val="center"/>
              <w:textAlignment w:val="center"/>
              <w:rPr>
                <w:rFonts w:ascii="Times New Roman" w:eastAsia="SimSun" w:hAnsi="Times New Roman" w:cs="Times New Roman"/>
                <w:b/>
                <w:bCs/>
                <w:szCs w:val="21"/>
              </w:rPr>
            </w:pPr>
            <w:r>
              <w:rPr>
                <w:rFonts w:ascii="Times New Roman" w:eastAsia="SimSun" w:hAnsi="Times New Roman" w:cs="Times New Roman"/>
                <w:color w:val="000000"/>
                <w:kern w:val="0"/>
                <w:szCs w:val="21"/>
                <w:lang w:bidi="ar"/>
              </w:rPr>
              <w:t>7.32</w:t>
            </w:r>
          </w:p>
        </w:tc>
      </w:tr>
      <w:tr w:rsidR="00BC1578">
        <w:trPr>
          <w:jc w:val="center"/>
        </w:trPr>
        <w:tc>
          <w:tcPr>
            <w:tcW w:w="1596" w:type="dxa"/>
            <w:tcBorders>
              <w:tl2br w:val="nil"/>
              <w:tr2bl w:val="nil"/>
            </w:tcBorders>
            <w:vAlign w:val="center"/>
          </w:tcPr>
          <w:p w:rsidR="00BC1578" w:rsidRDefault="00000000">
            <w:pPr>
              <w:widowControl/>
              <w:jc w:val="center"/>
              <w:textAlignment w:val="center"/>
              <w:rPr>
                <w:rFonts w:ascii="Times New Roman" w:eastAsia="SimSun" w:hAnsi="Times New Roman" w:cs="Times New Roman"/>
                <w:color w:val="000000"/>
                <w:kern w:val="0"/>
                <w:szCs w:val="21"/>
                <w:lang w:bidi="ar"/>
              </w:rPr>
            </w:pPr>
            <w:proofErr w:type="spellStart"/>
            <w:r>
              <w:rPr>
                <w:rFonts w:ascii="Times New Roman" w:eastAsia="SimSun" w:hAnsi="Times New Roman" w:cs="Times New Roman"/>
                <w:szCs w:val="21"/>
              </w:rPr>
              <w:t>YanJin</w:t>
            </w:r>
            <w:proofErr w:type="spellEnd"/>
            <w:r>
              <w:rPr>
                <w:rFonts w:ascii="Times New Roman" w:eastAsia="SimSun" w:hAnsi="Times New Roman" w:cs="Times New Roman"/>
                <w:szCs w:val="21"/>
              </w:rPr>
              <w:t xml:space="preserve"> Shop</w:t>
            </w:r>
          </w:p>
        </w:tc>
        <w:tc>
          <w:tcPr>
            <w:tcW w:w="1417" w:type="dxa"/>
            <w:tcBorders>
              <w:tl2br w:val="nil"/>
              <w:tr2bl w:val="nil"/>
            </w:tcBorders>
            <w:vAlign w:val="center"/>
          </w:tcPr>
          <w:p w:rsidR="00BC1578" w:rsidRDefault="00000000">
            <w:pPr>
              <w:widowControl/>
              <w:jc w:val="center"/>
              <w:textAlignment w:val="center"/>
              <w:rPr>
                <w:rFonts w:ascii="Times New Roman" w:eastAsia="SimSun" w:hAnsi="Times New Roman" w:cs="Times New Roman"/>
                <w:b/>
                <w:bCs/>
                <w:szCs w:val="21"/>
              </w:rPr>
            </w:pPr>
            <w:r>
              <w:rPr>
                <w:rFonts w:ascii="Times New Roman" w:eastAsia="SimSun" w:hAnsi="Times New Roman" w:cs="Times New Roman"/>
                <w:color w:val="000000"/>
                <w:kern w:val="0"/>
                <w:szCs w:val="21"/>
                <w:lang w:bidi="ar"/>
              </w:rPr>
              <w:t>17.93</w:t>
            </w:r>
          </w:p>
        </w:tc>
        <w:tc>
          <w:tcPr>
            <w:tcW w:w="1417" w:type="dxa"/>
            <w:tcBorders>
              <w:tl2br w:val="nil"/>
              <w:tr2bl w:val="nil"/>
            </w:tcBorders>
            <w:vAlign w:val="center"/>
          </w:tcPr>
          <w:p w:rsidR="00BC1578" w:rsidRDefault="00000000">
            <w:pPr>
              <w:widowControl/>
              <w:jc w:val="center"/>
              <w:textAlignment w:val="center"/>
              <w:rPr>
                <w:rFonts w:ascii="Times New Roman" w:eastAsia="SimSun" w:hAnsi="Times New Roman" w:cs="Times New Roman"/>
                <w:b/>
                <w:bCs/>
                <w:szCs w:val="21"/>
              </w:rPr>
            </w:pPr>
            <w:r>
              <w:rPr>
                <w:rFonts w:ascii="Times New Roman" w:eastAsia="SimSun" w:hAnsi="Times New Roman" w:cs="Times New Roman"/>
                <w:color w:val="000000"/>
                <w:kern w:val="0"/>
                <w:szCs w:val="21"/>
                <w:lang w:bidi="ar"/>
              </w:rPr>
              <w:t>29.44</w:t>
            </w:r>
          </w:p>
        </w:tc>
        <w:tc>
          <w:tcPr>
            <w:tcW w:w="1417" w:type="dxa"/>
            <w:tcBorders>
              <w:tl2br w:val="nil"/>
              <w:tr2bl w:val="nil"/>
            </w:tcBorders>
            <w:vAlign w:val="center"/>
          </w:tcPr>
          <w:p w:rsidR="00BC1578" w:rsidRDefault="00000000">
            <w:pPr>
              <w:widowControl/>
              <w:jc w:val="center"/>
              <w:textAlignment w:val="center"/>
              <w:rPr>
                <w:rFonts w:ascii="Times New Roman" w:eastAsia="SimSun" w:hAnsi="Times New Roman" w:cs="Times New Roman"/>
                <w:b/>
                <w:bCs/>
                <w:szCs w:val="21"/>
              </w:rPr>
            </w:pPr>
            <w:r>
              <w:rPr>
                <w:rFonts w:ascii="Times New Roman" w:eastAsia="SimSun" w:hAnsi="Times New Roman" w:cs="Times New Roman"/>
                <w:color w:val="000000"/>
                <w:kern w:val="0"/>
                <w:szCs w:val="21"/>
                <w:lang w:bidi="ar"/>
              </w:rPr>
              <w:t>17.65</w:t>
            </w:r>
          </w:p>
        </w:tc>
        <w:tc>
          <w:tcPr>
            <w:tcW w:w="1417" w:type="dxa"/>
            <w:tcBorders>
              <w:tl2br w:val="nil"/>
              <w:tr2bl w:val="nil"/>
            </w:tcBorders>
            <w:vAlign w:val="center"/>
          </w:tcPr>
          <w:p w:rsidR="00BC1578" w:rsidRDefault="00000000">
            <w:pPr>
              <w:widowControl/>
              <w:jc w:val="center"/>
              <w:textAlignment w:val="center"/>
              <w:rPr>
                <w:rFonts w:ascii="Times New Roman" w:eastAsia="SimSun" w:hAnsi="Times New Roman" w:cs="Times New Roman"/>
                <w:b/>
                <w:bCs/>
                <w:szCs w:val="21"/>
              </w:rPr>
            </w:pPr>
            <w:r>
              <w:rPr>
                <w:rFonts w:ascii="Times New Roman" w:eastAsia="SimSun" w:hAnsi="Times New Roman" w:cs="Times New Roman"/>
                <w:color w:val="000000"/>
                <w:kern w:val="0"/>
                <w:szCs w:val="21"/>
                <w:lang w:bidi="ar"/>
              </w:rPr>
              <w:t>29.72</w:t>
            </w:r>
          </w:p>
        </w:tc>
        <w:tc>
          <w:tcPr>
            <w:tcW w:w="1417" w:type="dxa"/>
            <w:tcBorders>
              <w:tl2br w:val="nil"/>
              <w:tr2bl w:val="nil"/>
            </w:tcBorders>
            <w:vAlign w:val="center"/>
          </w:tcPr>
          <w:p w:rsidR="00BC1578" w:rsidRDefault="00000000">
            <w:pPr>
              <w:widowControl/>
              <w:jc w:val="center"/>
              <w:textAlignment w:val="center"/>
              <w:rPr>
                <w:rFonts w:ascii="Times New Roman" w:eastAsia="SimSun" w:hAnsi="Times New Roman" w:cs="Times New Roman"/>
                <w:b/>
                <w:bCs/>
                <w:szCs w:val="21"/>
              </w:rPr>
            </w:pPr>
            <w:r>
              <w:rPr>
                <w:rFonts w:ascii="Times New Roman" w:eastAsia="SimSun" w:hAnsi="Times New Roman" w:cs="Times New Roman"/>
                <w:color w:val="000000"/>
                <w:kern w:val="0"/>
                <w:szCs w:val="21"/>
                <w:lang w:bidi="ar"/>
              </w:rPr>
              <w:t>39.34</w:t>
            </w:r>
          </w:p>
        </w:tc>
      </w:tr>
    </w:tbl>
    <w:p w:rsidR="00BC1578" w:rsidRDefault="00000000">
      <w:pPr>
        <w:spacing w:line="360" w:lineRule="auto"/>
        <w:jc w:val="left"/>
        <w:rPr>
          <w:rFonts w:ascii="Times New Roman" w:eastAsia="SimSun" w:hAnsi="Times New Roman" w:cs="Times New Roman"/>
          <w:sz w:val="24"/>
        </w:rPr>
      </w:pPr>
      <w:r>
        <w:rPr>
          <w:rFonts w:ascii="Times New Roman" w:eastAsia="SimSun" w:hAnsi="Times New Roman" w:cs="Times New Roman" w:hint="eastAsia"/>
          <w:sz w:val="24"/>
        </w:rPr>
        <w:t>Source: Compiled by authors</w:t>
      </w:r>
    </w:p>
    <w:p w:rsidR="00BC1578" w:rsidRDefault="00BC1578"/>
    <w:p w:rsidR="00BC1578" w:rsidRDefault="00000000">
      <w:pPr>
        <w:spacing w:line="360" w:lineRule="auto"/>
        <w:rPr>
          <w:rFonts w:ascii="Times New Roman" w:eastAsia="SimSun" w:hAnsi="Times New Roman" w:cs="Times New Roman"/>
          <w:b/>
          <w:bCs/>
          <w:sz w:val="24"/>
        </w:rPr>
      </w:pPr>
      <w:r>
        <w:rPr>
          <w:rFonts w:ascii="Times New Roman" w:eastAsia="SimSun" w:hAnsi="Times New Roman" w:cs="Times New Roman" w:hint="eastAsia"/>
          <w:b/>
          <w:bCs/>
          <w:sz w:val="24"/>
        </w:rPr>
        <w:t xml:space="preserve">3.2 </w:t>
      </w:r>
      <w:r>
        <w:rPr>
          <w:rFonts w:ascii="Times New Roman" w:eastAsia="SimSun" w:hAnsi="Times New Roman" w:cs="Times New Roman"/>
          <w:b/>
          <w:bCs/>
          <w:sz w:val="24"/>
        </w:rPr>
        <w:t>Three Squirrels</w:t>
      </w:r>
    </w:p>
    <w:p w:rsidR="00BC1578" w:rsidRDefault="00000000">
      <w:pPr>
        <w:pStyle w:val="NormalWeb"/>
        <w:widowControl/>
        <w:spacing w:beforeAutospacing="0" w:afterAutospacing="0" w:line="360" w:lineRule="auto"/>
        <w:ind w:firstLineChars="200" w:firstLine="480"/>
        <w:jc w:val="both"/>
        <w:rPr>
          <w:rFonts w:ascii="Times New Roman" w:hAnsi="Times New Roman"/>
        </w:rPr>
      </w:pPr>
      <w:r>
        <w:rPr>
          <w:rFonts w:ascii="Times New Roman" w:hAnsi="Times New Roman"/>
        </w:rPr>
        <w:t xml:space="preserve">As shown in Figure 2, from 2019 to 2023, Three Squirrels' operating net profit margin, total asset turnover, and equity multiplier exhibited certain fluctuations, reflecting changes in the company’s profitability, asset utilization efficiency, and capital structure management. Specifically, Three Squirrels' operating net profit margin increased from 2.35% in 2019 to 4.21% in 2024, and then decreased to 3.09% in 2023. This change reflects the profitability fluctuations Three Squirrels has faced in recent years, with the significant decline in operating net profit margin likely linked to increased market competition, rising raw material costs, and adjustments in the </w:t>
      </w:r>
      <w:r>
        <w:rPr>
          <w:rFonts w:ascii="Times New Roman" w:hAnsi="Times New Roman"/>
        </w:rPr>
        <w:lastRenderedPageBreak/>
        <w:t>company's sales strategy. Specifically, the significant reduction in operating costs was offset by the increase in sales expenses, leading to only a minor change in total costs. However, due to the intensifying industry competition, Three Squirrels' operating revenue experienced a slight decline, particularly in its online channels, where customer acquisition costs rose sharply. The steady changes in revenue were partially attributed to the increase in non-operating income and investment returns, indicating that the company is compensating for the decline in its core business through non-core operations, which further exposes Three Squirrels’ growth bottleneck amid changes in the market environment. This bottleneck reflects that, under the dual pressures of increased competition and rising costs, the company’s adjustments to its business model have not yet resulted in significant breakthroughs</w:t>
      </w:r>
      <w:r>
        <w:rPr>
          <w:rFonts w:ascii="Times New Roman" w:hAnsi="Times New Roman"/>
        </w:rPr>
        <w:fldChar w:fldCharType="begin"/>
      </w:r>
      <w:r>
        <w:rPr>
          <w:rFonts w:ascii="Times New Roman" w:hAnsi="Times New Roman"/>
        </w:rPr>
        <w:instrText xml:space="preserve"> ADDIN ZOTERO_ITEM CSL_CITATION {"citationID":"n5eHoDrb","properties":{"formattedCitation":"(Wan et al., 2015)","plainCitation":"(Wan et al., 2015)","noteIndex":0},"citationItems":[{"id":1317,"uris":["http://zotero.org/users/local/e4ezAbND/items/IT9PM3A3"],"itemData":{"id":1317,"type":"article-journal","abstract":"A growing recognition of the importance of disruptive innovation has led researchers to examine the question of how disruptive innovation comes about and to what extent it reflects “discovery” versus “creation” of opportunities. Earlier research has focused on the organisational preconditions for disruptive innovation to arise. Much less attention has been paid to the role of innovation processes, including their goals and design, in promoting disruptive innovation. In this paper we aim to begin to fill this gap by better understanding how new innovation processes can act as antecedents for disruptive innovation. We adopt an inductive theory-building methodology using a set of case studies of Chinese firms to develop propositions about how novel R&amp;D and production processes can foster disruptive innovation. We find that in the case of China the adoption of new innovation processes that re-define the focus of innovation and re-engineer traditional R&amp;D processes in ways that allow the novel deployment of Chinese cost advantages can create offerings that incorporate the key elements of disruptive innovation in the sense that they challenge incumbents׳ established business models. Realising disruptive innovation opportunities requires proactive initiatives. We conclude by discussing the managerial implications and possible responses as well as directions for future research.","collection-title":"Opportunity Recognition and Creation","container-title":"Technovation","DOI":"10.1016/j.technovation.2014.05.012","ISSN":"0166-4972","journalAbbreviation":"Technovation","page":"94-104","source":"ScienceDirect","title":"Antecedents and implications of disruptive innovation: Evidence from China","title-short":"Antecedents and implications of disruptive innovation","volume":"39-40","author":[{"family":"Wan","given":"Feng"},{"family":"Williamson","given":"Peter J."},{"family":"Yin","given":"Eden"}],"issued":{"date-parts":[["2015",5,1]]}}}],"schema":"https://github.com/citation-style-language/schema/raw/master/csl-citation.json"} </w:instrText>
      </w:r>
      <w:r>
        <w:rPr>
          <w:rFonts w:ascii="Times New Roman" w:hAnsi="Times New Roman"/>
        </w:rPr>
        <w:fldChar w:fldCharType="separate"/>
      </w:r>
      <w:r>
        <w:rPr>
          <w:rFonts w:ascii="Times New Roman" w:hAnsi="Times New Roman"/>
        </w:rPr>
        <w:t>(Wan et al., 2015)</w:t>
      </w:r>
      <w:r>
        <w:rPr>
          <w:rFonts w:ascii="Times New Roman" w:hAnsi="Times New Roman"/>
        </w:rPr>
        <w:fldChar w:fldCharType="end"/>
      </w:r>
      <w:r>
        <w:rPr>
          <w:rFonts w:ascii="Times New Roman" w:hAnsi="Times New Roman"/>
        </w:rPr>
        <w:t>.</w:t>
      </w:r>
    </w:p>
    <w:p w:rsidR="00BC1578" w:rsidRDefault="00000000">
      <w:pPr>
        <w:pStyle w:val="NormalWeb"/>
        <w:widowControl/>
        <w:spacing w:beforeAutospacing="0" w:afterAutospacing="0" w:line="360" w:lineRule="auto"/>
        <w:ind w:firstLineChars="200" w:firstLine="480"/>
        <w:jc w:val="both"/>
        <w:rPr>
          <w:rFonts w:ascii="Times New Roman" w:eastAsia="SimSun" w:hAnsi="Times New Roman"/>
        </w:rPr>
      </w:pPr>
      <w:r>
        <w:rPr>
          <w:rFonts w:ascii="Times New Roman" w:eastAsia="SimSun" w:hAnsi="Times New Roman"/>
        </w:rPr>
        <w:t>Total asset turnover is an important indicator for measuring the efficiency of a company's asset utilization. Three Squirrels' total asset turnover was 2.56 times in 2019, and it declined year by year, reaching 1.41 times in 2023. The continued decline in total asset turnover indicates that the company is facing certain challenges in improving asset utilization efficiency. This decline may be related to the expansion of asset scale, but the growth in sales revenue has not kept pace, resulting in a decrease in asset utilization efficiency. Additionally, the decrease in accounts receivable turnover may be another reason for the decline in total asset turnover. As the company’s sales scale expands, especially with the increase in online business, the difficulty of managing accounts receivable has increased. Loosening credit sales policies may result in delays in collecting receivables, thus affecting the performance of total asset turnover.</w:t>
      </w:r>
      <w:r>
        <w:rPr>
          <w:rFonts w:ascii="Times New Roman" w:eastAsia="SimSun" w:hAnsi="Times New Roman" w:hint="eastAsia"/>
        </w:rPr>
        <w:t xml:space="preserve"> </w:t>
      </w:r>
      <w:r>
        <w:rPr>
          <w:rFonts w:ascii="Times New Roman" w:eastAsia="SimSun" w:hAnsi="Times New Roman"/>
        </w:rPr>
        <w:t>Return on assets (ROA) is directly influenced by both total asset turnover and operating net profit margin. In the above analysis, difficulties in inventory turnover have worsened the turnover speed of total assets, and the decline in inventory turnover further exacerbates Three Squirrels' brand reputation issues, while also increasing customer acquisition costs, which further impacts the company's profitability.</w:t>
      </w:r>
    </w:p>
    <w:p w:rsidR="00BC1578" w:rsidRDefault="0000000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In terms of capital structure, Three Squirrels' equity multiplier decreased from 2.64 in 2019 to 2.1 in 2023, reflecting a gradual tightening of financial leverage and </w:t>
      </w:r>
      <w:r>
        <w:rPr>
          <w:rFonts w:ascii="Times New Roman" w:eastAsia="SimSun" w:hAnsi="Times New Roman" w:cs="Times New Roman"/>
          <w:sz w:val="24"/>
        </w:rPr>
        <w:lastRenderedPageBreak/>
        <w:t>the stabilization of its capital structure. The decrease in the equity multiplier indicates that Three Squirrels has reduced its reliance on external debt, thereby lowering the risks associated with financial leverage. This change may be a result of the company realizing, after experiencing a more complex market environment, the financial risks and debt repayment pressures associated with excessive reliance on leverage. Therefore, the company has gradually adjusted its capital structure to enhance financial stability. However, although a lower equity multiplier has alleviated financial risks, it may also, to some extent, limit the company's expansion speed</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{"citationID":"JgWJ4FDD","properties":{"formattedCitation":"(Yang and Zhang, 2020)","plainCitation":"(Yang and Zhang, 2020)","noteIndex":0},"citationItems":[{"id":1320,"uris":["http://zotero.org/users/local/e4ezAbND/items/H7MZUMGC"],"itemData":{"id":1320,"type":"article-journal","abstract":"The United Nations’ 2030 Agenda for Sustainable Development aims to promote inclusive and sustainable economic growth and encourage the formalization and growth of micro, small, and medium enterprises through access to financial services. This study examines the impact and mechanism of the digital financial inclusion on the sustainable growth of small and micro enterprises in China. For this purpose, it uses the data from China’s New Third Board Market listed companies from 2011 to 2018 and the digital financial inclusion index of Peking University. The results show that the development of digital financial inclusion helps promote the sustainable growth of small and micro businesses, particularly in private, high-tech industries, and competitive markets. The impact mechanism of this development prevents any financial crisis caused by the capital structure imbalance and capital liquidity problems of small and micro enterprises by alleviating the financing constraints, thus promoting their sustainable growth. The research results show that, under the background of high-quality development of China’s economy, continuous promotion of digital financial inclusion and reshaping of the ecological pattern of the financial industry can provide steady financial support for the sustainable growth of small and micro enterprises, and realize the healthy development of micro enterprises and macro economy.","container-title":"Sustainability","DOI":"10.3390/su12093733","ISSN":"2071-1050","issue":"9","language":"en","license":"http://creativecommons.org/licenses/by/3.0/","note":"number: 9\npublisher: Multidisciplinary Digital Publishing Institute","page":"3733","source":"www.mdpi.com","title":"Digital financial inclusion and sustainable growth of small and micro enterprises—evidence based on China’s new third board market listed companies","volume":"12","author":[{"family":"Yang","given":"Liu"},{"family":"Zhang","given":"Youtang"}],"issued":{"date-parts":[["2020",1]]}}}],"schema":"https://github.com/citation-style-language/schema/raw/master/csl-citation.json"}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(Yang and Zhang, 2020)</w:t>
      </w:r>
      <w:r>
        <w:rPr>
          <w:rFonts w:ascii="Times New Roman" w:eastAsia="SimSun" w:hAnsi="Times New Roman" w:cs="Times New Roman"/>
          <w:sz w:val="24"/>
        </w:rPr>
        <w:fldChar w:fldCharType="end"/>
      </w:r>
      <w:r>
        <w:rPr>
          <w:rFonts w:ascii="Times New Roman" w:eastAsia="SimSun" w:hAnsi="Times New Roman" w:cs="Times New Roman"/>
          <w:sz w:val="24"/>
        </w:rPr>
        <w:t>. Reduced external debt financing may place pressure on the company's ability to acquire capital, especially in situations requiring rapid expansion. Finding a balance between stability and growth will be crucial for the company's future development.</w:t>
      </w:r>
    </w:p>
    <w:p w:rsidR="00BC1578" w:rsidRDefault="00000000">
      <w:pPr>
        <w:jc w:val="center"/>
        <w:rPr>
          <w:rFonts w:ascii="Times New Roman" w:eastAsia="SimSun" w:hAnsi="Times New Roman" w:cs="Times New Roman"/>
          <w:b/>
          <w:bCs/>
          <w:sz w:val="24"/>
        </w:rPr>
      </w:pPr>
      <w:r>
        <w:rPr>
          <w:rFonts w:ascii="Times New Roman" w:eastAsia="SimSun" w:hAnsi="Times New Roman" w:cs="Times New Roman" w:hint="eastAsia"/>
          <w:b/>
          <w:bCs/>
          <w:noProof/>
          <w:sz w:val="24"/>
        </w:rPr>
        <w:drawing>
          <wp:inline distT="0" distB="0" distL="114300" distR="114300">
            <wp:extent cx="5273675" cy="4069080"/>
            <wp:effectExtent l="0" t="0" r="14605" b="0"/>
            <wp:docPr id="2" name="图片 2" descr="三只松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三只松鼠"/>
                    <pic:cNvPicPr>
                      <a:picLocks noChangeAspect="1"/>
                    </pic:cNvPicPr>
                  </pic:nvPicPr>
                  <pic:blipFill>
                    <a:blip r:embed="rId10"/>
                    <a:stretch>
                      <a:fillRect/>
                    </a:stretch>
                  </pic:blipFill>
                  <pic:spPr>
                    <a:xfrm>
                      <a:off x="0" y="0"/>
                      <a:ext cx="5273675" cy="4069080"/>
                    </a:xfrm>
                    <a:prstGeom prst="rect">
                      <a:avLst/>
                    </a:prstGeom>
                  </pic:spPr>
                </pic:pic>
              </a:graphicData>
            </a:graphic>
          </wp:inline>
        </w:drawing>
      </w:r>
    </w:p>
    <w:p w:rsidR="00BC1578" w:rsidRDefault="00000000">
      <w:pPr>
        <w:spacing w:line="360" w:lineRule="auto"/>
        <w:jc w:val="center"/>
        <w:rPr>
          <w:rFonts w:ascii="Times New Roman" w:eastAsia="SimSun" w:hAnsi="Times New Roman" w:cs="Times New Roman"/>
          <w:b/>
          <w:bCs/>
          <w:sz w:val="24"/>
        </w:rPr>
      </w:pPr>
      <w:r>
        <w:rPr>
          <w:rFonts w:ascii="Times New Roman" w:eastAsia="SimSun" w:hAnsi="Times New Roman" w:cs="Times New Roman"/>
          <w:b/>
          <w:bCs/>
          <w:sz w:val="24"/>
        </w:rPr>
        <w:t>Fig.</w:t>
      </w:r>
      <w:r>
        <w:rPr>
          <w:rFonts w:ascii="Times New Roman" w:eastAsia="SimSun" w:hAnsi="Times New Roman" w:cs="Times New Roman" w:hint="eastAsia"/>
          <w:b/>
          <w:bCs/>
          <w:sz w:val="24"/>
        </w:rPr>
        <w:t>2</w:t>
      </w:r>
      <w:r>
        <w:rPr>
          <w:rFonts w:ascii="Times New Roman" w:eastAsia="SimSun" w:hAnsi="Times New Roman" w:cs="Times New Roman"/>
          <w:b/>
          <w:bCs/>
          <w:sz w:val="24"/>
        </w:rPr>
        <w:t>. Key Financial Indicators of Three Squirrels</w:t>
      </w:r>
    </w:p>
    <w:p w:rsidR="00BC1578" w:rsidRDefault="00000000">
      <w:pPr>
        <w:spacing w:line="360" w:lineRule="auto"/>
        <w:jc w:val="center"/>
        <w:rPr>
          <w:rFonts w:ascii="Times New Roman" w:eastAsia="SimSun" w:hAnsi="Times New Roman" w:cs="Times New Roman"/>
          <w:sz w:val="24"/>
        </w:rPr>
      </w:pPr>
      <w:r>
        <w:rPr>
          <w:rFonts w:ascii="Times New Roman" w:eastAsia="SimSun" w:hAnsi="Times New Roman" w:cs="Times New Roman" w:hint="eastAsia"/>
          <w:sz w:val="24"/>
        </w:rPr>
        <w:t>Source: Compiled by authors</w:t>
      </w:r>
    </w:p>
    <w:p w:rsidR="00BC1578" w:rsidRDefault="00BC1578">
      <w:pPr>
        <w:spacing w:line="360" w:lineRule="auto"/>
        <w:rPr>
          <w:rFonts w:ascii="Times New Roman" w:eastAsia="SimSun" w:hAnsi="Times New Roman" w:cs="Times New Roman"/>
          <w:b/>
          <w:bCs/>
          <w:sz w:val="24"/>
        </w:rPr>
      </w:pPr>
    </w:p>
    <w:p w:rsidR="00BC1578" w:rsidRDefault="00000000">
      <w:pPr>
        <w:spacing w:line="360" w:lineRule="auto"/>
        <w:rPr>
          <w:rFonts w:ascii="Times New Roman" w:eastAsia="SimSun" w:hAnsi="Times New Roman" w:cs="Times New Roman"/>
          <w:b/>
          <w:bCs/>
          <w:sz w:val="24"/>
        </w:rPr>
      </w:pPr>
      <w:r>
        <w:rPr>
          <w:rFonts w:ascii="Times New Roman" w:eastAsia="SimSun" w:hAnsi="Times New Roman" w:cs="Times New Roman" w:hint="eastAsia"/>
          <w:b/>
          <w:bCs/>
          <w:sz w:val="24"/>
        </w:rPr>
        <w:t xml:space="preserve">3.3 </w:t>
      </w:r>
      <w:proofErr w:type="spellStart"/>
      <w:r>
        <w:rPr>
          <w:rFonts w:ascii="Times New Roman" w:eastAsia="SimSun" w:hAnsi="Times New Roman" w:cs="Times New Roman"/>
          <w:b/>
          <w:bCs/>
          <w:sz w:val="24"/>
        </w:rPr>
        <w:t>Bestore</w:t>
      </w:r>
      <w:proofErr w:type="spellEnd"/>
    </w:p>
    <w:p w:rsidR="00BC1578" w:rsidRDefault="00000000">
      <w:pPr>
        <w:pStyle w:val="NormalWeb"/>
        <w:widowControl/>
        <w:spacing w:beforeAutospacing="0" w:afterAutospacing="0" w:line="360" w:lineRule="auto"/>
        <w:ind w:firstLineChars="200" w:firstLine="480"/>
        <w:jc w:val="both"/>
        <w:rPr>
          <w:rFonts w:ascii="Times New Roman" w:eastAsia="SimSun" w:hAnsi="Times New Roman"/>
        </w:rPr>
      </w:pPr>
      <w:r>
        <w:rPr>
          <w:rFonts w:ascii="Times New Roman" w:eastAsia="SimSun" w:hAnsi="Times New Roman"/>
        </w:rPr>
        <w:lastRenderedPageBreak/>
        <w:t xml:space="preserve">As shown in Figure 3, from 2019 to 2023, the operating net profit margin, total asset turnover, and equity multiplier of </w:t>
      </w:r>
      <w:proofErr w:type="spellStart"/>
      <w:r>
        <w:rPr>
          <w:rFonts w:ascii="Times New Roman" w:eastAsia="SimSun" w:hAnsi="Times New Roman"/>
        </w:rPr>
        <w:t>Bestore</w:t>
      </w:r>
      <w:proofErr w:type="spellEnd"/>
      <w:r>
        <w:rPr>
          <w:rFonts w:ascii="Times New Roman" w:eastAsia="SimSun" w:hAnsi="Times New Roman"/>
        </w:rPr>
        <w:t xml:space="preserve"> all showed a downward trend. Among these, the decrease in the equity multiplier was relatively small, while the declines in operating net profit margin and total asset turnover were more significant. Due to the combined effects of these three indicators, </w:t>
      </w:r>
      <w:proofErr w:type="spellStart"/>
      <w:r>
        <w:rPr>
          <w:rFonts w:ascii="Times New Roman" w:eastAsia="SimSun" w:hAnsi="Times New Roman"/>
        </w:rPr>
        <w:t>Bestore's</w:t>
      </w:r>
      <w:proofErr w:type="spellEnd"/>
      <w:r>
        <w:rPr>
          <w:rFonts w:ascii="Times New Roman" w:eastAsia="SimSun" w:hAnsi="Times New Roman"/>
        </w:rPr>
        <w:t xml:space="preserve"> return on equity (ROE) showed an overall downward trend during this period. Particularly in 2023, the ROE decreased by as much as 50% compared to 2022, mainly due to the decline in operating income and net profit. This change may be related to </w:t>
      </w:r>
      <w:proofErr w:type="spellStart"/>
      <w:r>
        <w:rPr>
          <w:rFonts w:ascii="Times New Roman" w:eastAsia="SimSun" w:hAnsi="Times New Roman"/>
        </w:rPr>
        <w:t>Bestore's</w:t>
      </w:r>
      <w:proofErr w:type="spellEnd"/>
      <w:r>
        <w:rPr>
          <w:rFonts w:ascii="Times New Roman" w:eastAsia="SimSun" w:hAnsi="Times New Roman"/>
        </w:rPr>
        <w:t xml:space="preserve"> adjustment of its business strategy in 2023. The company implemented a "high quality at affordable prices" pricing strategy, reducing the prices of over 300 products. While this helped improve market competitiveness, it also somewhat suppressed the growth of operating income. Additionally, from 2019 to 2023, the changes in </w:t>
      </w:r>
      <w:proofErr w:type="spellStart"/>
      <w:r>
        <w:rPr>
          <w:rFonts w:ascii="Times New Roman" w:eastAsia="SimSun" w:hAnsi="Times New Roman"/>
        </w:rPr>
        <w:t>Bestore's</w:t>
      </w:r>
      <w:proofErr w:type="spellEnd"/>
      <w:r>
        <w:rPr>
          <w:rFonts w:ascii="Times New Roman" w:eastAsia="SimSun" w:hAnsi="Times New Roman"/>
        </w:rPr>
        <w:t xml:space="preserve"> equity multiplier were minimal, indicating that its capital structure remained stable and it maintained a relatively good development momentum.</w:t>
      </w:r>
    </w:p>
    <w:p w:rsidR="00BC1578" w:rsidRDefault="00000000">
      <w:pPr>
        <w:pStyle w:val="NormalWeb"/>
        <w:widowControl/>
        <w:spacing w:beforeAutospacing="0" w:afterAutospacing="0" w:line="360" w:lineRule="auto"/>
        <w:ind w:firstLineChars="200" w:firstLine="480"/>
        <w:jc w:val="both"/>
        <w:rPr>
          <w:rFonts w:ascii="Times New Roman" w:eastAsia="SimSun" w:hAnsi="Times New Roman"/>
        </w:rPr>
      </w:pPr>
      <w:r>
        <w:rPr>
          <w:rFonts w:ascii="Times New Roman" w:eastAsia="SimSun" w:hAnsi="Times New Roman"/>
        </w:rPr>
        <w:t xml:space="preserve">In terms of operating net profit margin, as shown in Figure 3, </w:t>
      </w:r>
      <w:proofErr w:type="spellStart"/>
      <w:r>
        <w:rPr>
          <w:rFonts w:ascii="Times New Roman" w:eastAsia="SimSun" w:hAnsi="Times New Roman"/>
        </w:rPr>
        <w:t>Bestore's</w:t>
      </w:r>
      <w:proofErr w:type="spellEnd"/>
      <w:r>
        <w:rPr>
          <w:rFonts w:ascii="Times New Roman" w:eastAsia="SimSun" w:hAnsi="Times New Roman"/>
        </w:rPr>
        <w:t xml:space="preserve"> operating net profit margin exhibited a continuous downward trend from 2019 to 2021, rebounded in 2022, but declined again in 2023. This indicates that the company's profitability has fluctuated in recent years and is generally on a downward trajectory. In contrast, Salted Fish Shop's operating net profit margin has shown a fluctuating upward trend over the past five years, indicating its stability and growth potential in terms of profitability. The further decline in </w:t>
      </w:r>
      <w:proofErr w:type="spellStart"/>
      <w:r>
        <w:rPr>
          <w:rFonts w:ascii="Times New Roman" w:eastAsia="SimSun" w:hAnsi="Times New Roman"/>
        </w:rPr>
        <w:t>Bestore's</w:t>
      </w:r>
      <w:proofErr w:type="spellEnd"/>
      <w:r>
        <w:rPr>
          <w:rFonts w:ascii="Times New Roman" w:eastAsia="SimSun" w:hAnsi="Times New Roman"/>
        </w:rPr>
        <w:t xml:space="preserve"> operating net profit margin in 2023 was mainly due to the reduction in operating income and the decline in net profit. Further analysis reveals that in 2023, </w:t>
      </w:r>
      <w:proofErr w:type="spellStart"/>
      <w:r>
        <w:rPr>
          <w:rFonts w:ascii="Times New Roman" w:eastAsia="SimSun" w:hAnsi="Times New Roman"/>
        </w:rPr>
        <w:t>Bestore</w:t>
      </w:r>
      <w:proofErr w:type="spellEnd"/>
      <w:r>
        <w:rPr>
          <w:rFonts w:ascii="Times New Roman" w:eastAsia="SimSun" w:hAnsi="Times New Roman"/>
        </w:rPr>
        <w:t xml:space="preserve"> implemented a large-scale price reduction strategy centered on the concept of "high quality at affordable prices," lowering the prices of over 300 products. This strategy has, to some extent, enhanced market competitiveness, attracted more consumers, and may have driven sales growth. However, the price reduction directly led to a decline in gross margin, thereby adversely affecting the company's overall profitability. While price reductions may stimulate short-term sales growth, without proper cost control and efficient operational management, the compression of profit margins will further exacerbate </w:t>
      </w:r>
      <w:r>
        <w:rPr>
          <w:rFonts w:ascii="Times New Roman" w:eastAsia="SimSun" w:hAnsi="Times New Roman"/>
        </w:rPr>
        <w:lastRenderedPageBreak/>
        <w:t>the decline in the company's profitability</w:t>
      </w:r>
      <w:r>
        <w:rPr>
          <w:rFonts w:ascii="Times New Roman" w:eastAsia="SimSun" w:hAnsi="Times New Roman"/>
        </w:rPr>
        <w:fldChar w:fldCharType="begin"/>
      </w:r>
      <w:r>
        <w:rPr>
          <w:rFonts w:ascii="Times New Roman" w:eastAsia="SimSun" w:hAnsi="Times New Roman"/>
        </w:rPr>
        <w:instrText xml:space="preserve"> ADDIN ZOTERO_ITEM CSL_CITATION {"citationID":"9mQTvkBf","properties":{"formattedCitation":"(Rahmandad, 2012)","plainCitation":"(Rahmandad, 2012)","noteIndex":0},"citationItems":[{"id":1322,"uris":["http://zotero.org/users/local/e4ezAbND/items/6T6EEV9U"],</w:instrText>
      </w:r>
      <w:r>
        <w:rPr>
          <w:rFonts w:ascii="Times New Roman" w:eastAsia="SimSun" w:hAnsi="Times New Roman" w:hint="eastAsia"/>
        </w:rPr>
        <w:instrText>"itemData":{"id":1322,"type":"article-journal","abstract":"</w:instrText>
      </w:r>
      <w:r>
        <w:rPr>
          <w:rFonts w:ascii="Times New Roman" w:eastAsia="SimSun" w:hAnsi="Times New Roman" w:hint="eastAsia"/>
        </w:rPr>
        <w:instrText>管理者应该如何在生产、产品开发、品牌、国际化以及其他能力和资源之间确定优先级？这个问题是基于资源的观点的核心，答案不仅取决于每种能力的直接投资回报，还取决于将这些回报用于未来增长或在竞争性市场中生存的权衡。通过模拟实验，本研究考察了在公司市场层面的竞争和增长背景下公司层面的能力发展权衡。研究发现，当运营能力投资加强了绩效、投资流程和能力发展之间的强化循环时，投资于运营能力（提高短期绩效）优先于投资于长期动态能力。这种运营能力投资提供了增长机会和竞争优势。此外，在战略竞争中，预期竞争对手专注于短期增长的公司需要进一步忽视动态（长期）能力建设才能生存。关于短期和长期投资之间的权衡如何取决于不同的公司和行业特征，提供了可测试的命题。结果可以解释为什么即使在没有贴现、短期管理激励、决策偏差或学习失败的情况下，公司仍存在以短期为中心的公司行为。</w:instrText>
      </w:r>
      <w:r>
        <w:rPr>
          <w:rFonts w:ascii="Times New Roman" w:eastAsia="SimSun" w:hAnsi="Times New Roman" w:hint="eastAsia"/>
        </w:rPr>
        <w:instrText>","container-title":"Organization Science","DOI":"10.1287/orsc.1100.0628","ISSN</w:instrText>
      </w:r>
      <w:r>
        <w:rPr>
          <w:rFonts w:ascii="Times New Roman" w:eastAsia="SimSun" w:hAnsi="Times New Roman"/>
        </w:rPr>
        <w:instrText xml:space="preserve">":"1047-7039","issue":"1","note":"publisher: INFORMS","page":"138-154","source":"pubsonline.informs.org (Atypon)","title":"Impact of growth opportunities and competition on firm-level capability development trade-offs","volume":"23","author":[{"family":"Rahmandad","given":"Hazhir"}],"issued":{"date-parts":[["2012",2]]}}}],"schema":"https://github.com/citation-style-language/schema/raw/master/csl-citation.json"} </w:instrText>
      </w:r>
      <w:r>
        <w:rPr>
          <w:rFonts w:ascii="Times New Roman" w:eastAsia="SimSun" w:hAnsi="Times New Roman"/>
        </w:rPr>
        <w:fldChar w:fldCharType="separate"/>
      </w:r>
      <w:r>
        <w:rPr>
          <w:rFonts w:ascii="Times New Roman" w:hAnsi="Times New Roman"/>
        </w:rPr>
        <w:t>(</w:t>
      </w:r>
      <w:proofErr w:type="spellStart"/>
      <w:r>
        <w:rPr>
          <w:rFonts w:ascii="Times New Roman" w:hAnsi="Times New Roman"/>
        </w:rPr>
        <w:t>Rahmandad</w:t>
      </w:r>
      <w:proofErr w:type="spellEnd"/>
      <w:r>
        <w:rPr>
          <w:rFonts w:ascii="Times New Roman" w:hAnsi="Times New Roman"/>
        </w:rPr>
        <w:t>, 2012)</w:t>
      </w:r>
      <w:r>
        <w:rPr>
          <w:rFonts w:ascii="Times New Roman" w:eastAsia="SimSun" w:hAnsi="Times New Roman"/>
        </w:rPr>
        <w:fldChar w:fldCharType="end"/>
      </w:r>
      <w:r>
        <w:rPr>
          <w:rFonts w:ascii="Times New Roman" w:eastAsia="SimSun" w:hAnsi="Times New Roman"/>
        </w:rPr>
        <w:t xml:space="preserve">. In addition, </w:t>
      </w:r>
      <w:proofErr w:type="spellStart"/>
      <w:r>
        <w:rPr>
          <w:rFonts w:ascii="Times New Roman" w:eastAsia="SimSun" w:hAnsi="Times New Roman"/>
        </w:rPr>
        <w:t>Bestore's</w:t>
      </w:r>
      <w:proofErr w:type="spellEnd"/>
      <w:r>
        <w:rPr>
          <w:rFonts w:ascii="Times New Roman" w:eastAsia="SimSun" w:hAnsi="Times New Roman"/>
        </w:rPr>
        <w:t xml:space="preserve"> operating costs are relatively high, further squeezing its profit margins, resulting in a greater impact on net profit and operating net profit margin. From a long-term development perspective, </w:t>
      </w:r>
      <w:proofErr w:type="spellStart"/>
      <w:r>
        <w:rPr>
          <w:rFonts w:ascii="Times New Roman" w:eastAsia="SimSun" w:hAnsi="Times New Roman"/>
        </w:rPr>
        <w:t>Bestore</w:t>
      </w:r>
      <w:proofErr w:type="spellEnd"/>
      <w:r>
        <w:rPr>
          <w:rFonts w:ascii="Times New Roman" w:eastAsia="SimSun" w:hAnsi="Times New Roman"/>
        </w:rPr>
        <w:t xml:space="preserve"> still has considerable room for improvement in optimizing supply chain management, implementing lean production models, and strengthening refined operational cost control. By further reducing procurement and production costs, improving operational efficiency, and enhancing the precision of marketing strategies, the company may improve profitability and strengthen market competitiveness. At the same time, a reasonable pricing strategy should align with brand value and market positioning to ensure a balance between profit and market share, thus promoting the company's sustainable growth</w:t>
      </w:r>
      <w:r>
        <w:rPr>
          <w:rFonts w:ascii="Times New Roman" w:eastAsia="SimSun" w:hAnsi="Times New Roman"/>
        </w:rPr>
        <w:fldChar w:fldCharType="begin"/>
      </w:r>
      <w:r>
        <w:rPr>
          <w:rFonts w:ascii="Times New Roman" w:eastAsia="SimSun" w:hAnsi="Times New Roman"/>
        </w:rPr>
        <w:instrText xml:space="preserve"> ADDIN ZOTERO_ITEM CSL_CITATION {"citationID":"Q70GpiWa","properties":{"formattedCitation":"(Sharma et al., 2010)","plainCitation":"(Sharma et al., 2010)","noteIndex":0},"citationItems":[{"id":1324,"uris":["http://zotero.org/users/local/e4ezAbND/items/RKQQYP5G"],"itemData":{"id":1324,"type":"article-journal","abstract":"Researchers in several business disciplines have convincingly argued that environmentally responsible strategies can contribute to competitive advantage and superior financial performance. While debates on ecological conservation and environmental practices within marketing have raged for over three decades, much of the focus has been on identifying and targeting the environmentally-conscious consumer. Less attention has been given to marketing's role in a green supply chain and its interface with environmentally-friendly manufacturing and operations. We integrate disparate streams of research and develop a broader framework to understand the appropriate role and focus of business-to-business marketing in the supply chain for achieving environmental sustainability objectives. We identify three major strategies – the reduction of surplus supply of products, reduction of reverse supply, and internal marketing – where marketing's role in environmental sustainability is crucial for achieving superior competitive advantage and financial performance.","container-title":"Industrial Marketing Management","DOI":"10.1016/j.indmarman.2008.11.005","ISSN":"0019-8501","issue":"2","journalAbbreviation":"Industrial Marketing Management","page":"330-341","source":"ScienceDirect","title":"Sustainability and business-to-business marketing: A framework and implications","title-short":"Sustainability and business-to-business marketing","volume":"39","author":[{"family":"Sharma","given":"Arun"},{"family":"Iyer","given":"Gopalkrishnan R."},{"family":"Mehrotra","given":"Anuj"},{"family":"Krishnan","given":"R."}],"issued":{"date-parts":[["2010",2,1]]}}}],"schema":"https://github.com/citation-style-language/schema/raw/master/csl-citation.json"} </w:instrText>
      </w:r>
      <w:r>
        <w:rPr>
          <w:rFonts w:ascii="Times New Roman" w:eastAsia="SimSun" w:hAnsi="Times New Roman"/>
        </w:rPr>
        <w:fldChar w:fldCharType="separate"/>
      </w:r>
      <w:r>
        <w:rPr>
          <w:rFonts w:ascii="Times New Roman" w:hAnsi="Times New Roman"/>
        </w:rPr>
        <w:t>(Sharma et al., 2010)</w:t>
      </w:r>
      <w:r>
        <w:rPr>
          <w:rFonts w:ascii="Times New Roman" w:eastAsia="SimSun" w:hAnsi="Times New Roman"/>
        </w:rPr>
        <w:fldChar w:fldCharType="end"/>
      </w:r>
      <w:r>
        <w:rPr>
          <w:rFonts w:ascii="Times New Roman" w:eastAsia="SimSun" w:hAnsi="Times New Roman"/>
        </w:rPr>
        <w:t>.</w:t>
      </w:r>
    </w:p>
    <w:p w:rsidR="00BC1578" w:rsidRDefault="00000000">
      <w:pPr>
        <w:pStyle w:val="NormalWeb"/>
        <w:widowControl/>
        <w:spacing w:beforeAutospacing="0" w:afterAutospacing="0" w:line="360" w:lineRule="auto"/>
        <w:ind w:firstLineChars="200" w:firstLine="480"/>
        <w:jc w:val="both"/>
        <w:rPr>
          <w:rFonts w:ascii="Times New Roman" w:eastAsia="SimSun" w:hAnsi="Times New Roman"/>
        </w:rPr>
      </w:pPr>
      <w:r>
        <w:rPr>
          <w:rFonts w:ascii="Times New Roman" w:eastAsia="SimSun" w:hAnsi="Times New Roman"/>
        </w:rPr>
        <w:t xml:space="preserve">In terms of total asset turnover, as shown in Figure 3, </w:t>
      </w:r>
      <w:proofErr w:type="spellStart"/>
      <w:r>
        <w:rPr>
          <w:rFonts w:ascii="Times New Roman" w:eastAsia="SimSun" w:hAnsi="Times New Roman"/>
        </w:rPr>
        <w:t>Bestore’s</w:t>
      </w:r>
      <w:proofErr w:type="spellEnd"/>
      <w:r>
        <w:rPr>
          <w:rFonts w:ascii="Times New Roman" w:eastAsia="SimSun" w:hAnsi="Times New Roman"/>
        </w:rPr>
        <w:t xml:space="preserve"> total asset turnover rate continued to decline from 2019 to 2023, reaching its lowest value of 1.52 in 2023, whereas its industry peer, Salted Fish Shop, exhibited a continuously rising trend in total asset turnover. This comparison indicates that </w:t>
      </w:r>
      <w:proofErr w:type="spellStart"/>
      <w:r>
        <w:rPr>
          <w:rFonts w:ascii="Times New Roman" w:eastAsia="SimSun" w:hAnsi="Times New Roman"/>
        </w:rPr>
        <w:t>Bestore’s</w:t>
      </w:r>
      <w:proofErr w:type="spellEnd"/>
      <w:r>
        <w:rPr>
          <w:rFonts w:ascii="Times New Roman" w:eastAsia="SimSun" w:hAnsi="Times New Roman"/>
        </w:rPr>
        <w:t xml:space="preserve"> asset management capabilities and asset utilization efficiency are declining, suggesting that the company may be facing challenges in resource management and operational efficiency. The decline in total asset turnover may imply that the company has room for improvement in enhancing asset utilization efficiency, optimizing production and operational processes, and improving cash flow turnover. Further analysis reveals that one key factor affecting </w:t>
      </w:r>
      <w:proofErr w:type="spellStart"/>
      <w:r>
        <w:rPr>
          <w:rFonts w:ascii="Times New Roman" w:eastAsia="SimSun" w:hAnsi="Times New Roman"/>
        </w:rPr>
        <w:t>Bestore’s</w:t>
      </w:r>
      <w:proofErr w:type="spellEnd"/>
      <w:r>
        <w:rPr>
          <w:rFonts w:ascii="Times New Roman" w:eastAsia="SimSun" w:hAnsi="Times New Roman"/>
        </w:rPr>
        <w:t xml:space="preserve"> total asset turnover is the accounts receivable turnover rate. From 2019 to 2023, </w:t>
      </w:r>
      <w:proofErr w:type="spellStart"/>
      <w:r>
        <w:rPr>
          <w:rFonts w:ascii="Times New Roman" w:eastAsia="SimSun" w:hAnsi="Times New Roman"/>
        </w:rPr>
        <w:t>Bestore’s</w:t>
      </w:r>
      <w:proofErr w:type="spellEnd"/>
      <w:r>
        <w:rPr>
          <w:rFonts w:ascii="Times New Roman" w:eastAsia="SimSun" w:hAnsi="Times New Roman"/>
        </w:rPr>
        <w:t xml:space="preserve"> accounts receivable turnover rate showed an overall downward trend. This may indicate inefficiencies in the company’s collection process, longer customer payment cycles, or a relatively lenient credit sales policy, leading to a significant amount of capital being tied up in accounts receivable and not promptly converted into cash for reinvestment or operational use. This not only increases the company’s risk of bad debts but also, to some extent, limits its ability to use these funds for business expansion or operational improvements. From a long-term development perspective, </w:t>
      </w:r>
      <w:proofErr w:type="spellStart"/>
      <w:r>
        <w:rPr>
          <w:rFonts w:ascii="Times New Roman" w:eastAsia="SimSun" w:hAnsi="Times New Roman"/>
        </w:rPr>
        <w:t>Bestore</w:t>
      </w:r>
      <w:proofErr w:type="spellEnd"/>
      <w:r>
        <w:rPr>
          <w:rFonts w:ascii="Times New Roman" w:eastAsia="SimSun" w:hAnsi="Times New Roman"/>
        </w:rPr>
        <w:t xml:space="preserve"> needs to optimize asset management and improve capital turnover efficiency. </w:t>
      </w:r>
    </w:p>
    <w:p w:rsidR="00BC1578" w:rsidRDefault="00000000">
      <w:pPr>
        <w:pStyle w:val="NormalWeb"/>
        <w:widowControl/>
        <w:spacing w:beforeAutospacing="0" w:afterAutospacing="0" w:line="360" w:lineRule="auto"/>
        <w:ind w:firstLineChars="200" w:firstLine="480"/>
        <w:jc w:val="both"/>
        <w:rPr>
          <w:rFonts w:ascii="Times New Roman" w:eastAsia="SimSun" w:hAnsi="Times New Roman"/>
        </w:rPr>
      </w:pPr>
      <w:r>
        <w:rPr>
          <w:rFonts w:ascii="Times New Roman" w:eastAsia="SimSun" w:hAnsi="Times New Roman"/>
        </w:rPr>
        <w:lastRenderedPageBreak/>
        <w:t xml:space="preserve">In terms of the equity multiplier, as shown in Figure 3, </w:t>
      </w:r>
      <w:proofErr w:type="spellStart"/>
      <w:r>
        <w:rPr>
          <w:rFonts w:ascii="Times New Roman" w:eastAsia="SimSun" w:hAnsi="Times New Roman"/>
        </w:rPr>
        <w:t>Bestore's</w:t>
      </w:r>
      <w:proofErr w:type="spellEnd"/>
      <w:r>
        <w:rPr>
          <w:rFonts w:ascii="Times New Roman" w:eastAsia="SimSun" w:hAnsi="Times New Roman"/>
        </w:rPr>
        <w:t xml:space="preserve"> equity multiplier reached its highest point in 2019, remained relatively stable with minor fluctuations from 2020 to 2022, and then declined to its lowest level in 2023, aligning with the values of two other companies in the same industry. This trend indicates that as a leading company in the snack food industry, </w:t>
      </w:r>
      <w:proofErr w:type="spellStart"/>
      <w:r>
        <w:rPr>
          <w:rFonts w:ascii="Times New Roman" w:eastAsia="SimSun" w:hAnsi="Times New Roman"/>
        </w:rPr>
        <w:t>Bestore</w:t>
      </w:r>
      <w:proofErr w:type="spellEnd"/>
      <w:r>
        <w:rPr>
          <w:rFonts w:ascii="Times New Roman" w:eastAsia="SimSun" w:hAnsi="Times New Roman"/>
        </w:rPr>
        <w:t xml:space="preserve"> has demonstrated a high level of foresight and financial stability in its financial management. In recent years, the company has deliberately controlled its financial leverage by reducing its asset-liability ratio to optimize its capital structure, a strategy that is directly reflected in the decline of its equity multiplier. From a financial management perspective, the decline in the equity multiplier indicates that the company is relying more on its own capital rather than external debt to support operations and expansion, thereby reducing the potential risks associated with financial leverage to some extent. While a lower equity multiplier may indicate reduced reliance on external financing, it may also constrain the company's expansion pace. Therefore, in managing its capital structure in the future, </w:t>
      </w:r>
      <w:proofErr w:type="spellStart"/>
      <w:r>
        <w:rPr>
          <w:rFonts w:ascii="Times New Roman" w:eastAsia="SimSun" w:hAnsi="Times New Roman"/>
        </w:rPr>
        <w:t>Bestore</w:t>
      </w:r>
      <w:proofErr w:type="spellEnd"/>
      <w:r>
        <w:rPr>
          <w:rFonts w:ascii="Times New Roman" w:eastAsia="SimSun" w:hAnsi="Times New Roman"/>
        </w:rPr>
        <w:t xml:space="preserve"> needs to balance stability and growth. It should maintain a reasonable level of financial leverage to mitigate financial risks while effectively utilizing appropriate external financing to enhance capital efficiency and drive sustainable development</w:t>
      </w:r>
      <w:r>
        <w:rPr>
          <w:rFonts w:ascii="Times New Roman" w:eastAsia="SimSun" w:hAnsi="Times New Roman"/>
        </w:rPr>
        <w:fldChar w:fldCharType="begin"/>
      </w:r>
      <w:r>
        <w:rPr>
          <w:rFonts w:ascii="Times New Roman" w:eastAsia="SimSun" w:hAnsi="Times New Roman"/>
        </w:rPr>
        <w:instrText xml:space="preserve"> ADDIN ZOTERO_ITEM CSL_CITATION {"citationID":"LBaAo9pW","properties":{"formattedCitation":"(Ng, 2018)","plainCitation":"(Ng, 2018)","noteIndex":0},"citationItems":[{"id":1327,"uris":["http://zotero.org/users/local/e4ezAbND/items/3K87WRF5"],"itemData":{"id":1327,"type":"article-journal","abstract":"This study aims to explore the phenomenon of the adoption of sustainability accounting, sustainable financing and relevant regulatory measures for the development of a green financing system in an emerging global financial centre under the influence of sustainable global development. As Hong Kong, the Global Financial Centre of China (GFCC), emerges as a regional green finance hub, a framework of the circumstantial developments that contribute to the development of a green financing system is illustrated. It suggests a top-down approach of institutional legitimacy for sustainability influenced by a national policy and enhanced through a market-based finance approach in the GFCC. Adopting a multiple-case study approach, this paper reveals three cases of sizable listed enterprises notable for their heterogeneous approaches to embracing risk governance, sustainable accounting and financing in their issuance of green bonds. A theoretical framework is proposed over the mutually reinforcing effects of legitimate policy and market-based finance that engender the convergence of a green financing system. The implications for the integrity of a green financing system in relation to sustainability controls and cleaner production are articulated.","container-title":"Journal of Cleaner Production","DOI":"10.1016/j.jclepro.2018.05.250","ISSN":"0959-6526","journalAbbreviation":"Journal of Cleaner Production","page":"585-592","source":"ScienceDirect","title":"From sustainability accounting to a green financing system: Institutional legitimacy and market heterogeneity in a global financial centre","title-short":"From sustainability accounting to a green financing system","volume":"195","author":[{"family":"Ng","given":"Artie W."}],"issued":{"date-parts":[["2018",9,10]]}}}],"schema":"https://github.com/citation-style-language/schema/raw/master/csl-citation.json"} </w:instrText>
      </w:r>
      <w:r>
        <w:rPr>
          <w:rFonts w:ascii="Times New Roman" w:eastAsia="SimSun" w:hAnsi="Times New Roman"/>
        </w:rPr>
        <w:fldChar w:fldCharType="separate"/>
      </w:r>
      <w:r>
        <w:rPr>
          <w:rFonts w:ascii="Times New Roman" w:hAnsi="Times New Roman"/>
        </w:rPr>
        <w:t>(Ng, 2018)</w:t>
      </w:r>
      <w:r>
        <w:rPr>
          <w:rFonts w:ascii="Times New Roman" w:eastAsia="SimSun" w:hAnsi="Times New Roman"/>
        </w:rPr>
        <w:fldChar w:fldCharType="end"/>
      </w:r>
      <w:r>
        <w:rPr>
          <w:rFonts w:ascii="Times New Roman" w:eastAsia="SimSun" w:hAnsi="Times New Roman"/>
        </w:rPr>
        <w:t>.</w:t>
      </w:r>
    </w:p>
    <w:p w:rsidR="00BC1578" w:rsidRDefault="00000000">
      <w:pPr>
        <w:spacing w:line="360" w:lineRule="auto"/>
        <w:rPr>
          <w:rFonts w:ascii="Times New Roman" w:eastAsia="SimSun" w:hAnsi="Times New Roman" w:cs="Times New Roman"/>
          <w:b/>
          <w:bCs/>
          <w:sz w:val="24"/>
        </w:rPr>
      </w:pPr>
      <w:r>
        <w:rPr>
          <w:rFonts w:ascii="Times New Roman" w:eastAsia="SimSun" w:hAnsi="Times New Roman" w:cs="Times New Roman" w:hint="eastAsia"/>
          <w:b/>
          <w:bCs/>
          <w:noProof/>
          <w:sz w:val="24"/>
        </w:rPr>
        <w:lastRenderedPageBreak/>
        <w:drawing>
          <wp:inline distT="0" distB="0" distL="114300" distR="114300">
            <wp:extent cx="5270500" cy="4032250"/>
            <wp:effectExtent l="0" t="0" r="2540" b="6350"/>
            <wp:docPr id="3" name="图片 3" descr="良品铺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良品铺子"/>
                    <pic:cNvPicPr>
                      <a:picLocks noChangeAspect="1"/>
                    </pic:cNvPicPr>
                  </pic:nvPicPr>
                  <pic:blipFill>
                    <a:blip r:embed="rId11"/>
                    <a:stretch>
                      <a:fillRect/>
                    </a:stretch>
                  </pic:blipFill>
                  <pic:spPr>
                    <a:xfrm>
                      <a:off x="0" y="0"/>
                      <a:ext cx="5270500" cy="4032250"/>
                    </a:xfrm>
                    <a:prstGeom prst="rect">
                      <a:avLst/>
                    </a:prstGeom>
                  </pic:spPr>
                </pic:pic>
              </a:graphicData>
            </a:graphic>
          </wp:inline>
        </w:drawing>
      </w:r>
    </w:p>
    <w:p w:rsidR="00BC1578" w:rsidRDefault="00000000">
      <w:pPr>
        <w:spacing w:line="360" w:lineRule="auto"/>
        <w:jc w:val="center"/>
        <w:rPr>
          <w:rFonts w:ascii="Times New Roman" w:eastAsia="SimSun" w:hAnsi="Times New Roman" w:cs="Times New Roman"/>
          <w:sz w:val="24"/>
        </w:rPr>
      </w:pPr>
      <w:r>
        <w:rPr>
          <w:rFonts w:ascii="Times New Roman" w:eastAsia="SimSun" w:hAnsi="Times New Roman" w:cs="Times New Roman"/>
          <w:b/>
          <w:bCs/>
          <w:sz w:val="24"/>
        </w:rPr>
        <w:t>Fig.</w:t>
      </w:r>
      <w:r>
        <w:rPr>
          <w:rFonts w:ascii="Times New Roman" w:eastAsia="SimSun" w:hAnsi="Times New Roman" w:cs="Times New Roman" w:hint="eastAsia"/>
          <w:b/>
          <w:bCs/>
          <w:sz w:val="24"/>
        </w:rPr>
        <w:t>3</w:t>
      </w:r>
      <w:r>
        <w:rPr>
          <w:rFonts w:ascii="Times New Roman" w:eastAsia="SimSun" w:hAnsi="Times New Roman" w:cs="Times New Roman"/>
          <w:b/>
          <w:bCs/>
          <w:sz w:val="24"/>
        </w:rPr>
        <w:t xml:space="preserve">. Key Financial Indicators of </w:t>
      </w:r>
      <w:proofErr w:type="spellStart"/>
      <w:r>
        <w:rPr>
          <w:rFonts w:ascii="Times New Roman" w:eastAsia="SimSun" w:hAnsi="Times New Roman" w:cs="Times New Roman"/>
          <w:b/>
          <w:bCs/>
          <w:sz w:val="24"/>
        </w:rPr>
        <w:t>Bestore</w:t>
      </w:r>
      <w:proofErr w:type="spellEnd"/>
    </w:p>
    <w:p w:rsidR="00BC1578" w:rsidRDefault="00000000">
      <w:pPr>
        <w:spacing w:line="360" w:lineRule="auto"/>
        <w:jc w:val="center"/>
        <w:rPr>
          <w:rFonts w:ascii="Times New Roman" w:eastAsia="SimSun" w:hAnsi="Times New Roman" w:cs="Times New Roman"/>
          <w:sz w:val="24"/>
        </w:rPr>
      </w:pPr>
      <w:r>
        <w:rPr>
          <w:rFonts w:ascii="Times New Roman" w:eastAsia="SimSun" w:hAnsi="Times New Roman" w:cs="Times New Roman" w:hint="eastAsia"/>
          <w:sz w:val="24"/>
        </w:rPr>
        <w:t>Source: Compiled by authors</w:t>
      </w:r>
    </w:p>
    <w:p w:rsidR="00BC1578" w:rsidRDefault="00BC1578">
      <w:pPr>
        <w:spacing w:line="360" w:lineRule="auto"/>
        <w:rPr>
          <w:rFonts w:ascii="Times New Roman" w:eastAsia="SimSun" w:hAnsi="Times New Roman" w:cs="Times New Roman"/>
          <w:sz w:val="24"/>
        </w:rPr>
      </w:pPr>
    </w:p>
    <w:p w:rsidR="00BC1578" w:rsidRDefault="00000000">
      <w:pPr>
        <w:spacing w:line="360" w:lineRule="auto"/>
        <w:rPr>
          <w:rFonts w:ascii="Times New Roman" w:eastAsia="SimSun" w:hAnsi="Times New Roman" w:cs="Times New Roman"/>
          <w:b/>
          <w:bCs/>
          <w:sz w:val="24"/>
        </w:rPr>
      </w:pPr>
      <w:r>
        <w:rPr>
          <w:rFonts w:ascii="Times New Roman" w:eastAsia="SimSun" w:hAnsi="Times New Roman" w:cs="Times New Roman" w:hint="eastAsia"/>
          <w:b/>
          <w:bCs/>
          <w:sz w:val="24"/>
        </w:rPr>
        <w:t xml:space="preserve">3.4 </w:t>
      </w:r>
      <w:proofErr w:type="spellStart"/>
      <w:r>
        <w:rPr>
          <w:rFonts w:ascii="Times New Roman" w:eastAsia="SimSun" w:hAnsi="Times New Roman" w:cs="Times New Roman"/>
          <w:b/>
          <w:bCs/>
          <w:sz w:val="24"/>
        </w:rPr>
        <w:t>YanJin</w:t>
      </w:r>
      <w:proofErr w:type="spellEnd"/>
      <w:r>
        <w:rPr>
          <w:rFonts w:ascii="Times New Roman" w:eastAsia="SimSun" w:hAnsi="Times New Roman" w:cs="Times New Roman"/>
          <w:b/>
          <w:bCs/>
          <w:sz w:val="24"/>
        </w:rPr>
        <w:t xml:space="preserve"> Shop</w:t>
      </w:r>
    </w:p>
    <w:p w:rsidR="00BC1578" w:rsidRDefault="0000000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As shown in Figure 4, from 2019 to 2023,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Shop's operating net profit margin, total asset turnover ratio, and equity multiplier exhibited a steady upward trend, reflecting the company's positive performance in profitability, asset utilization efficiency, and capital structure optimization. Specifically,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Shop's operating net profit margin increased from 9.2% in 2019 to 12.47% in 2023. This growth trend indicates that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has effectively enhanced its profitability over the past few years, particularly achieving significant success in cost control and profit model optimization. In particular, regarding sales strategy and product pricing,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has effectively responded to industry competition pressure through precise market positioning and a differentiated product strategy, thereby improving its operating net profit margin.</w:t>
      </w:r>
    </w:p>
    <w:p w:rsidR="00BC1578" w:rsidRDefault="0000000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In terms of total asset turnover,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Shop's ratio gradually increased from 0.99 </w:t>
      </w:r>
      <w:r>
        <w:rPr>
          <w:rFonts w:ascii="Times New Roman" w:eastAsia="SimSun" w:hAnsi="Times New Roman" w:cs="Times New Roman"/>
          <w:sz w:val="24"/>
        </w:rPr>
        <w:lastRenderedPageBreak/>
        <w:t xml:space="preserve">in 2019 to 1.55 in 2023, demonstrating the company's active efforts to enhance asset utilization efficiency. The continuous increase in total asset turnover reflects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Shop’s gradual improvement in asset utilization efficiency through measures such as optimizing supply chain management, accelerating inventory turnover, and strengthening accounts receivable management. In particular, the optimization of its supply chain management has enabled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to better respond to market demand fluctuations, effectively reduce inventory backlog, and further improve capital utilization efficiency.</w:t>
      </w:r>
    </w:p>
    <w:p w:rsidR="00BC1578" w:rsidRDefault="0000000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In terms of capital structure,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Shop's equity multiplier increased from 1.98 in 2019 to 2.04 in 2023, indicating a growing reliance on external debt in its capital structure management. By leveraging financial leverage,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has been able to expand its business scale and enhance profitability. However, as the equity multiplier rises, the company also faces greater financial risks, particularly in an environment of increasing market uncertainty. In the future,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must strike a balance between leveraging financial debt and managing financial risk to ensure that expansion does not come at the cost of financial stability.</w:t>
      </w:r>
    </w:p>
    <w:p w:rsidR="00BC1578" w:rsidRDefault="00000000">
      <w:pPr>
        <w:spacing w:line="360" w:lineRule="auto"/>
        <w:rPr>
          <w:rFonts w:ascii="Times New Roman" w:eastAsia="SimSun" w:hAnsi="Times New Roman" w:cs="Times New Roman"/>
          <w:b/>
          <w:bCs/>
          <w:sz w:val="24"/>
        </w:rPr>
      </w:pPr>
      <w:r>
        <w:rPr>
          <w:rFonts w:ascii="Times New Roman" w:eastAsia="SimSun" w:hAnsi="Times New Roman" w:cs="Times New Roman" w:hint="eastAsia"/>
          <w:b/>
          <w:bCs/>
          <w:noProof/>
          <w:sz w:val="24"/>
        </w:rPr>
        <w:drawing>
          <wp:inline distT="0" distB="0" distL="114300" distR="114300">
            <wp:extent cx="5269865" cy="3977640"/>
            <wp:effectExtent l="0" t="0" r="3175" b="0"/>
            <wp:docPr id="4" name="图片 4" descr="盐津铺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盐津铺子"/>
                    <pic:cNvPicPr>
                      <a:picLocks noChangeAspect="1"/>
                    </pic:cNvPicPr>
                  </pic:nvPicPr>
                  <pic:blipFill>
                    <a:blip r:embed="rId12"/>
                    <a:stretch>
                      <a:fillRect/>
                    </a:stretch>
                  </pic:blipFill>
                  <pic:spPr>
                    <a:xfrm>
                      <a:off x="0" y="0"/>
                      <a:ext cx="5269865" cy="3977640"/>
                    </a:xfrm>
                    <a:prstGeom prst="rect">
                      <a:avLst/>
                    </a:prstGeom>
                  </pic:spPr>
                </pic:pic>
              </a:graphicData>
            </a:graphic>
          </wp:inline>
        </w:drawing>
      </w:r>
    </w:p>
    <w:p w:rsidR="00BC1578" w:rsidRDefault="00000000">
      <w:pPr>
        <w:jc w:val="center"/>
        <w:rPr>
          <w:rFonts w:ascii="Times New Roman" w:eastAsia="SimSun" w:hAnsi="Times New Roman" w:cs="Times New Roman"/>
          <w:sz w:val="24"/>
        </w:rPr>
      </w:pPr>
      <w:r>
        <w:rPr>
          <w:rFonts w:ascii="Times New Roman" w:eastAsia="SimSun" w:hAnsi="Times New Roman" w:cs="Times New Roman"/>
          <w:b/>
          <w:bCs/>
          <w:sz w:val="24"/>
        </w:rPr>
        <w:lastRenderedPageBreak/>
        <w:t>Fig.</w:t>
      </w:r>
      <w:r>
        <w:rPr>
          <w:rFonts w:ascii="Times New Roman" w:eastAsia="SimSun" w:hAnsi="Times New Roman" w:cs="Times New Roman" w:hint="eastAsia"/>
          <w:b/>
          <w:bCs/>
          <w:sz w:val="24"/>
        </w:rPr>
        <w:t>4</w:t>
      </w:r>
      <w:r>
        <w:rPr>
          <w:rFonts w:ascii="Times New Roman" w:eastAsia="SimSun" w:hAnsi="Times New Roman" w:cs="Times New Roman"/>
          <w:b/>
          <w:bCs/>
          <w:sz w:val="24"/>
        </w:rPr>
        <w:t xml:space="preserve">. Key Financial Indicators of </w:t>
      </w:r>
      <w:proofErr w:type="spellStart"/>
      <w:r>
        <w:rPr>
          <w:rFonts w:ascii="Times New Roman" w:eastAsia="SimSun" w:hAnsi="Times New Roman" w:cs="Times New Roman"/>
          <w:b/>
          <w:bCs/>
          <w:sz w:val="24"/>
        </w:rPr>
        <w:t>YanJin</w:t>
      </w:r>
      <w:proofErr w:type="spellEnd"/>
      <w:r>
        <w:rPr>
          <w:rFonts w:ascii="Times New Roman" w:eastAsia="SimSun" w:hAnsi="Times New Roman" w:cs="Times New Roman"/>
          <w:b/>
          <w:bCs/>
          <w:sz w:val="24"/>
        </w:rPr>
        <w:t xml:space="preserve"> Shop</w:t>
      </w:r>
    </w:p>
    <w:p w:rsidR="00BC1578" w:rsidRDefault="00000000">
      <w:pPr>
        <w:spacing w:line="360" w:lineRule="auto"/>
        <w:jc w:val="center"/>
        <w:rPr>
          <w:rFonts w:ascii="Times New Roman" w:eastAsia="SimSun" w:hAnsi="Times New Roman" w:cs="Times New Roman"/>
          <w:sz w:val="24"/>
        </w:rPr>
      </w:pPr>
      <w:r>
        <w:rPr>
          <w:rFonts w:ascii="Times New Roman" w:eastAsia="SimSun" w:hAnsi="Times New Roman" w:cs="Times New Roman" w:hint="eastAsia"/>
          <w:sz w:val="24"/>
        </w:rPr>
        <w:t>Source: Compiled by authors</w:t>
      </w:r>
    </w:p>
    <w:p w:rsidR="00BC1578" w:rsidRDefault="00BC1578">
      <w:pPr>
        <w:jc w:val="center"/>
        <w:rPr>
          <w:rFonts w:ascii="Times New Roman" w:eastAsia="SimSun" w:hAnsi="Times New Roman" w:cs="Times New Roman"/>
          <w:sz w:val="24"/>
        </w:rPr>
      </w:pPr>
    </w:p>
    <w:p w:rsidR="00BC1578" w:rsidRDefault="00000000">
      <w:pPr>
        <w:spacing w:line="360" w:lineRule="auto"/>
        <w:ind w:firstLineChars="200" w:firstLine="480"/>
        <w:rPr>
          <w:rFonts w:ascii="Times New Roman" w:eastAsia="SimSun" w:hAnsi="Times New Roman" w:cs="Times New Roman"/>
          <w:bCs/>
          <w:sz w:val="24"/>
        </w:rPr>
      </w:pPr>
      <w:r>
        <w:rPr>
          <w:rStyle w:val="Strong"/>
          <w:rFonts w:ascii="Times New Roman" w:eastAsia="SimSun" w:hAnsi="Times New Roman" w:cs="Times New Roman"/>
          <w:b w:val="0"/>
          <w:bCs/>
          <w:sz w:val="24"/>
        </w:rPr>
        <w:t xml:space="preserve">Analysis of </w:t>
      </w:r>
      <w:proofErr w:type="spellStart"/>
      <w:r>
        <w:rPr>
          <w:rStyle w:val="Strong"/>
          <w:rFonts w:ascii="Times New Roman" w:eastAsia="SimSun" w:hAnsi="Times New Roman" w:cs="Times New Roman"/>
          <w:b w:val="0"/>
          <w:bCs/>
          <w:sz w:val="24"/>
        </w:rPr>
        <w:t>Yanjin</w:t>
      </w:r>
      <w:proofErr w:type="spellEnd"/>
      <w:r>
        <w:rPr>
          <w:rStyle w:val="Strong"/>
          <w:rFonts w:ascii="Times New Roman" w:eastAsia="SimSun" w:hAnsi="Times New Roman" w:cs="Times New Roman"/>
          <w:b w:val="0"/>
          <w:bCs/>
          <w:sz w:val="24"/>
        </w:rPr>
        <w:t xml:space="preserve"> Shop’s Target Consumer Segments.</w:t>
      </w:r>
      <w:r>
        <w:rPr>
          <w:rFonts w:ascii="Times New Roman" w:eastAsia="SimSun" w:hAnsi="Times New Roman" w:cs="Times New Roman"/>
          <w:bCs/>
          <w:sz w:val="24"/>
        </w:rPr>
        <w:t xml:space="preserve"> </w:t>
      </w:r>
      <w:proofErr w:type="spellStart"/>
      <w:r>
        <w:rPr>
          <w:rFonts w:ascii="Times New Roman" w:eastAsia="SimSun" w:hAnsi="Times New Roman" w:cs="Times New Roman"/>
          <w:bCs/>
          <w:sz w:val="24"/>
        </w:rPr>
        <w:t>Yanjin</w:t>
      </w:r>
      <w:proofErr w:type="spellEnd"/>
      <w:r>
        <w:rPr>
          <w:rFonts w:ascii="Times New Roman" w:eastAsia="SimSun" w:hAnsi="Times New Roman" w:cs="Times New Roman"/>
          <w:bCs/>
          <w:sz w:val="24"/>
        </w:rPr>
        <w:t xml:space="preserve"> Shop's primary target consumer segments consist of children and young adults, with different snack food production lines and marketing channels catering to distinct demographic groups. Specifically, the traditional specialty savory snack production line primarily targets young adults, whereas the leisure baking pastry production line is aimed at children, thereby expanding the scope of its target consumers. Previously, </w:t>
      </w:r>
      <w:proofErr w:type="spellStart"/>
      <w:r>
        <w:rPr>
          <w:rFonts w:ascii="Times New Roman" w:eastAsia="SimSun" w:hAnsi="Times New Roman" w:cs="Times New Roman"/>
          <w:bCs/>
          <w:sz w:val="24"/>
        </w:rPr>
        <w:t>Yanjin</w:t>
      </w:r>
      <w:proofErr w:type="spellEnd"/>
      <w:r>
        <w:rPr>
          <w:rFonts w:ascii="Times New Roman" w:eastAsia="SimSun" w:hAnsi="Times New Roman" w:cs="Times New Roman"/>
          <w:bCs/>
          <w:sz w:val="24"/>
        </w:rPr>
        <w:t xml:space="preserve"> Shop primarily adopted a supermarket-based sales model and maintained long-term cooperation with major retail chains, making frequent supermarket shoppers its key profit-generating customer base. </w:t>
      </w:r>
      <w:r>
        <w:rPr>
          <w:rStyle w:val="Strong"/>
          <w:rFonts w:ascii="Times New Roman" w:eastAsia="SimSun" w:hAnsi="Times New Roman" w:cs="Times New Roman"/>
          <w:b w:val="0"/>
          <w:bCs/>
          <w:sz w:val="24"/>
        </w:rPr>
        <w:t xml:space="preserve">Analysis of </w:t>
      </w:r>
      <w:proofErr w:type="spellStart"/>
      <w:r>
        <w:rPr>
          <w:rStyle w:val="Strong"/>
          <w:rFonts w:ascii="Times New Roman" w:eastAsia="SimSun" w:hAnsi="Times New Roman" w:cs="Times New Roman"/>
          <w:b w:val="0"/>
          <w:bCs/>
          <w:sz w:val="24"/>
        </w:rPr>
        <w:t>Yanjin</w:t>
      </w:r>
      <w:proofErr w:type="spellEnd"/>
      <w:r>
        <w:rPr>
          <w:rStyle w:val="Strong"/>
          <w:rFonts w:ascii="Times New Roman" w:eastAsia="SimSun" w:hAnsi="Times New Roman" w:cs="Times New Roman"/>
          <w:b w:val="0"/>
          <w:bCs/>
          <w:sz w:val="24"/>
        </w:rPr>
        <w:t xml:space="preserve"> Shop’s Revenue Sources.</w:t>
      </w:r>
      <w:r>
        <w:rPr>
          <w:rFonts w:ascii="Times New Roman" w:eastAsia="SimSun" w:hAnsi="Times New Roman" w:cs="Times New Roman"/>
          <w:bCs/>
          <w:sz w:val="24"/>
        </w:rPr>
        <w:t xml:space="preserve"> </w:t>
      </w:r>
      <w:proofErr w:type="spellStart"/>
      <w:r>
        <w:rPr>
          <w:rFonts w:ascii="Times New Roman" w:eastAsia="SimSun" w:hAnsi="Times New Roman" w:cs="Times New Roman"/>
          <w:bCs/>
          <w:sz w:val="24"/>
        </w:rPr>
        <w:t>Yanjin</w:t>
      </w:r>
      <w:proofErr w:type="spellEnd"/>
      <w:r>
        <w:rPr>
          <w:rFonts w:ascii="Times New Roman" w:eastAsia="SimSun" w:hAnsi="Times New Roman" w:cs="Times New Roman"/>
          <w:bCs/>
          <w:sz w:val="24"/>
        </w:rPr>
        <w:t xml:space="preserve"> Shop primarily relies on a supermarket-based sales model, maintaining long-term and stable cooperation with major domestic retail chains such as </w:t>
      </w:r>
      <w:proofErr w:type="spellStart"/>
      <w:r>
        <w:rPr>
          <w:rFonts w:ascii="Times New Roman" w:eastAsia="SimSun" w:hAnsi="Times New Roman" w:cs="Times New Roman"/>
          <w:bCs/>
          <w:sz w:val="24"/>
        </w:rPr>
        <w:t>Yonghui</w:t>
      </w:r>
      <w:proofErr w:type="spellEnd"/>
      <w:r>
        <w:rPr>
          <w:rFonts w:ascii="Times New Roman" w:eastAsia="SimSun" w:hAnsi="Times New Roman" w:cs="Times New Roman"/>
          <w:bCs/>
          <w:sz w:val="24"/>
        </w:rPr>
        <w:t xml:space="preserve"> Superstores, Carrefour, and Rainbow Department Store. The company supplies products to these retail giants and establishes dedicated display shelves within supermarkets to generate revenue through wholesale and retail sales. However, as the expansion potential of the supermarket model has become increasingly limited, </w:t>
      </w:r>
      <w:proofErr w:type="spellStart"/>
      <w:r>
        <w:rPr>
          <w:rFonts w:ascii="Times New Roman" w:eastAsia="SimSun" w:hAnsi="Times New Roman" w:cs="Times New Roman"/>
          <w:bCs/>
          <w:sz w:val="24"/>
        </w:rPr>
        <w:t>Yanjin</w:t>
      </w:r>
      <w:proofErr w:type="spellEnd"/>
      <w:r>
        <w:rPr>
          <w:rFonts w:ascii="Times New Roman" w:eastAsia="SimSun" w:hAnsi="Times New Roman" w:cs="Times New Roman"/>
          <w:bCs/>
          <w:sz w:val="24"/>
        </w:rPr>
        <w:t xml:space="preserve"> Shop is actively accelerating its transition toward an omnichannel sales approach that integrates both online and offline platforms. </w:t>
      </w:r>
      <w:r>
        <w:rPr>
          <w:rStyle w:val="Strong"/>
          <w:rFonts w:ascii="Times New Roman" w:eastAsia="SimSun" w:hAnsi="Times New Roman" w:cs="Times New Roman"/>
          <w:b w:val="0"/>
          <w:bCs/>
          <w:sz w:val="24"/>
        </w:rPr>
        <w:t xml:space="preserve">Analysis of </w:t>
      </w:r>
      <w:proofErr w:type="spellStart"/>
      <w:r>
        <w:rPr>
          <w:rStyle w:val="Strong"/>
          <w:rFonts w:ascii="Times New Roman" w:eastAsia="SimSun" w:hAnsi="Times New Roman" w:cs="Times New Roman"/>
          <w:b w:val="0"/>
          <w:bCs/>
          <w:sz w:val="24"/>
        </w:rPr>
        <w:t>Yanjin</w:t>
      </w:r>
      <w:proofErr w:type="spellEnd"/>
      <w:r>
        <w:rPr>
          <w:rStyle w:val="Strong"/>
          <w:rFonts w:ascii="Times New Roman" w:eastAsia="SimSun" w:hAnsi="Times New Roman" w:cs="Times New Roman"/>
          <w:b w:val="0"/>
          <w:bCs/>
          <w:sz w:val="24"/>
        </w:rPr>
        <w:t xml:space="preserve"> Shop’s Profit Drivers.</w:t>
      </w:r>
      <w:r>
        <w:rPr>
          <w:rFonts w:ascii="Times New Roman" w:eastAsia="SimSun" w:hAnsi="Times New Roman" w:cs="Times New Roman"/>
          <w:bCs/>
          <w:sz w:val="24"/>
        </w:rPr>
        <w:t xml:space="preserve"> </w:t>
      </w:r>
      <w:proofErr w:type="spellStart"/>
      <w:r>
        <w:rPr>
          <w:rFonts w:ascii="Times New Roman" w:eastAsia="SimSun" w:hAnsi="Times New Roman" w:cs="Times New Roman"/>
          <w:bCs/>
          <w:sz w:val="24"/>
        </w:rPr>
        <w:t>Yanjin</w:t>
      </w:r>
      <w:proofErr w:type="spellEnd"/>
      <w:r>
        <w:rPr>
          <w:rFonts w:ascii="Times New Roman" w:eastAsia="SimSun" w:hAnsi="Times New Roman" w:cs="Times New Roman"/>
          <w:bCs/>
          <w:sz w:val="24"/>
        </w:rPr>
        <w:t xml:space="preserve"> Shop's primary profit drivers are derived from three major production lines: the first focuses on traditional specialty savory snacks, the second on leisure baking pastries, and the third on spicy marinated snack products. Among these, traditional savory snacks, leisure pastries, and spicy marinated snacks constitute the core sources of the company's revenue. Furthermore, </w:t>
      </w:r>
      <w:proofErr w:type="spellStart"/>
      <w:r>
        <w:rPr>
          <w:rFonts w:ascii="Times New Roman" w:eastAsia="SimSun" w:hAnsi="Times New Roman" w:cs="Times New Roman"/>
          <w:bCs/>
          <w:sz w:val="24"/>
        </w:rPr>
        <w:t>Yanjin</w:t>
      </w:r>
      <w:proofErr w:type="spellEnd"/>
      <w:r>
        <w:rPr>
          <w:rFonts w:ascii="Times New Roman" w:eastAsia="SimSun" w:hAnsi="Times New Roman" w:cs="Times New Roman"/>
          <w:bCs/>
          <w:sz w:val="24"/>
        </w:rPr>
        <w:t xml:space="preserve"> Shop has capitalized on the rising popularity of fish tofu products by launching its sub-brand “31° Fresh,” specializing in the research, development, and production of deep-sea snack products, thereby further enhancing its revenue stream.</w:t>
      </w:r>
    </w:p>
    <w:p w:rsidR="00BC1578" w:rsidRDefault="00BC1578">
      <w:pPr>
        <w:spacing w:line="360" w:lineRule="auto"/>
        <w:rPr>
          <w:rFonts w:ascii="Times New Roman" w:eastAsia="SimSun" w:hAnsi="Times New Roman" w:cs="Times New Roman"/>
          <w:bCs/>
          <w:sz w:val="24"/>
        </w:rPr>
      </w:pPr>
    </w:p>
    <w:p w:rsidR="00BC1578" w:rsidRDefault="00000000">
      <w:pPr>
        <w:rPr>
          <w:rFonts w:ascii="Times New Roman" w:eastAsia="SimSun" w:hAnsi="Times New Roman" w:cs="Times New Roman"/>
          <w:b/>
          <w:bCs/>
          <w:sz w:val="28"/>
          <w:szCs w:val="28"/>
        </w:rPr>
      </w:pPr>
      <w:r>
        <w:rPr>
          <w:rFonts w:ascii="Times New Roman" w:eastAsia="SimSun" w:hAnsi="Times New Roman" w:cs="Times New Roman"/>
          <w:b/>
          <w:bCs/>
          <w:sz w:val="28"/>
          <w:szCs w:val="28"/>
        </w:rPr>
        <w:t>4 Conclusions and Implications</w:t>
      </w:r>
    </w:p>
    <w:p w:rsidR="00BC1578" w:rsidRDefault="00000000">
      <w:pPr>
        <w:spacing w:line="360" w:lineRule="auto"/>
        <w:rPr>
          <w:rFonts w:ascii="Times New Roman" w:eastAsia="SimSun" w:hAnsi="Times New Roman" w:cs="Times New Roman"/>
          <w:b/>
          <w:bCs/>
          <w:sz w:val="24"/>
          <w:highlight w:val="yellow"/>
        </w:rPr>
      </w:pPr>
      <w:r>
        <w:rPr>
          <w:rFonts w:ascii="Times New Roman" w:eastAsia="SimSun" w:hAnsi="Times New Roman" w:cs="Times New Roman" w:hint="eastAsia"/>
          <w:b/>
          <w:bCs/>
          <w:sz w:val="24"/>
          <w:highlight w:val="yellow"/>
        </w:rPr>
        <w:lastRenderedPageBreak/>
        <w:t>4.1</w:t>
      </w:r>
      <w:r>
        <w:rPr>
          <w:rFonts w:ascii="Times New Roman" w:eastAsia="SimSun" w:hAnsi="Times New Roman" w:cs="Times New Roman" w:hint="eastAsia"/>
          <w:sz w:val="24"/>
          <w:highlight w:val="yellow"/>
        </w:rPr>
        <w:t xml:space="preserve"> </w:t>
      </w:r>
      <w:r>
        <w:rPr>
          <w:rFonts w:ascii="Times New Roman" w:eastAsia="SimSun" w:hAnsi="Times New Roman" w:cs="Times New Roman"/>
          <w:b/>
          <w:bCs/>
          <w:sz w:val="24"/>
          <w:highlight w:val="yellow"/>
        </w:rPr>
        <w:t>Conclusions</w:t>
      </w:r>
    </w:p>
    <w:p w:rsidR="00BC1578" w:rsidRDefault="0000000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This study systematically analyzes the profitability of three Chinese snack food companies—Three Squirrels, </w:t>
      </w:r>
      <w:proofErr w:type="spellStart"/>
      <w:r>
        <w:rPr>
          <w:rFonts w:ascii="Times New Roman" w:eastAsia="SimSun" w:hAnsi="Times New Roman" w:cs="Times New Roman"/>
          <w:sz w:val="24"/>
        </w:rPr>
        <w:t>Bestore</w:t>
      </w:r>
      <w:proofErr w:type="spellEnd"/>
      <w:r>
        <w:rPr>
          <w:rFonts w:ascii="Times New Roman" w:eastAsia="SimSun" w:hAnsi="Times New Roman" w:cs="Times New Roman"/>
          <w:sz w:val="24"/>
        </w:rPr>
        <w:t xml:space="preserve">, and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Shop—using the DuPont analysis method. By deconstructing the return on equity (ROE) and its influencing factors from 2019 to 2023, the study finds that different business models, market positioning, and operational strategies directly impact financial performance. First,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achieved significant ROE growth over five years, increasing from 17.93% in 2019 to 39.34% in 2023, driven by excellent cost control and a differentiated product strategy. The improvement in profitability is primarily attributed to optimized supply chain management, enhanced asset utilization efficiency, and precise market positioning. The company has demonstrated strong profit potential in the snack food industry and continues to expand its market share. Second, </w:t>
      </w:r>
      <w:proofErr w:type="spellStart"/>
      <w:r>
        <w:rPr>
          <w:rFonts w:ascii="Times New Roman" w:eastAsia="SimSun" w:hAnsi="Times New Roman" w:cs="Times New Roman"/>
          <w:sz w:val="24"/>
        </w:rPr>
        <w:t>Bestore’s</w:t>
      </w:r>
      <w:proofErr w:type="spellEnd"/>
      <w:r>
        <w:rPr>
          <w:rFonts w:ascii="Times New Roman" w:eastAsia="SimSun" w:hAnsi="Times New Roman" w:cs="Times New Roman"/>
          <w:sz w:val="24"/>
        </w:rPr>
        <w:t xml:space="preserve"> ROE showed a continuous decline, dropping from 27.02% in 2019 to 7.32% in 2023. The analysis indicates that the decline in profitability was mainly due to intensified market competition, rising sales costs, and sustainability risks associated with its profit model. Although the company adopted pricing adjustments to attract consumers, the decline in gross profit margin further squeezed profit margins. Additionally, the decline in total asset turnover suggests that the company needs to improve asset utilization efficiency and cash flow recovery speed. Three Squirrels' ROE was significantly affected by cyclical market fluctuations, dropping to 5.61% in 2022 before rebounding to 9.05% in 2023. The volatility in profitability was mainly due to a decline in asset turnover efficiency and adjustments in financial leverage. Although the company has strengthened capital structure management and reduced financial leverage risks in recent years, intensified market competition and rising operating costs continue to challenge its profitability.</w:t>
      </w:r>
    </w:p>
    <w:p w:rsidR="00BC1578" w:rsidRDefault="0000000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Overall, the differences in profitability among the three companies stem from variations in market positioning, asset operation efficiency, and financial leverage strategies. The findings of this study suggest that key factors for enhancing profitability include optimizing cost management, strengthening product differentiation, improving asset utilization efficiency, and appropriately allocating financial leverage. In the future, snack food companies should adjust their business </w:t>
      </w:r>
      <w:r>
        <w:rPr>
          <w:rFonts w:ascii="Times New Roman" w:eastAsia="SimSun" w:hAnsi="Times New Roman" w:cs="Times New Roman"/>
          <w:sz w:val="24"/>
        </w:rPr>
        <w:lastRenderedPageBreak/>
        <w:t>strategies based on market trends, leverage new retail models to enhance brand competitiveness, and seek sustainable development paths in an increasingly competitive environment.</w:t>
      </w:r>
    </w:p>
    <w:p w:rsidR="00BC1578" w:rsidRDefault="00BC1578">
      <w:pPr>
        <w:spacing w:line="360" w:lineRule="auto"/>
        <w:ind w:firstLineChars="200" w:firstLine="480"/>
        <w:rPr>
          <w:rFonts w:ascii="Times New Roman" w:eastAsia="SimSun" w:hAnsi="Times New Roman" w:cs="Times New Roman"/>
          <w:sz w:val="24"/>
        </w:rPr>
      </w:pPr>
    </w:p>
    <w:p w:rsidR="00BC1578" w:rsidRDefault="00000000">
      <w:pPr>
        <w:spacing w:line="360" w:lineRule="auto"/>
        <w:rPr>
          <w:rFonts w:ascii="Times New Roman" w:eastAsia="SimSun" w:hAnsi="Times New Roman" w:cs="Times New Roman"/>
          <w:b/>
          <w:bCs/>
          <w:sz w:val="24"/>
        </w:rPr>
      </w:pPr>
      <w:r>
        <w:rPr>
          <w:rFonts w:ascii="Times New Roman" w:eastAsia="SimSun" w:hAnsi="Times New Roman" w:cs="Times New Roman" w:hint="eastAsia"/>
          <w:b/>
          <w:bCs/>
          <w:sz w:val="24"/>
        </w:rPr>
        <w:t xml:space="preserve">4.2 </w:t>
      </w:r>
      <w:r>
        <w:rPr>
          <w:rFonts w:ascii="Times New Roman" w:eastAsia="SimSun" w:hAnsi="Times New Roman" w:cs="Times New Roman"/>
          <w:b/>
          <w:bCs/>
          <w:sz w:val="24"/>
        </w:rPr>
        <w:t>Implications</w:t>
      </w:r>
    </w:p>
    <w:p w:rsidR="00BC1578" w:rsidRDefault="00000000">
      <w:pPr>
        <w:pStyle w:val="NormalWeb"/>
        <w:widowControl/>
        <w:spacing w:beforeAutospacing="0" w:afterAutospacing="0" w:line="360" w:lineRule="auto"/>
        <w:rPr>
          <w:rFonts w:ascii="Times New Roman" w:eastAsia="SimSun" w:hAnsi="Times New Roman"/>
          <w:b/>
          <w:bCs/>
        </w:rPr>
      </w:pPr>
      <w:r>
        <w:rPr>
          <w:rFonts w:ascii="Times New Roman" w:eastAsia="SimSun" w:hAnsi="Times New Roman" w:hint="eastAsia"/>
          <w:b/>
          <w:bCs/>
        </w:rPr>
        <w:t xml:space="preserve">(1) </w:t>
      </w:r>
      <w:r>
        <w:rPr>
          <w:rFonts w:ascii="Times New Roman" w:eastAsia="SimSun" w:hAnsi="Times New Roman"/>
          <w:b/>
          <w:bCs/>
        </w:rPr>
        <w:t>Constructing a Differentiated Product Structure Based on the New Retail Business Model</w:t>
      </w:r>
    </w:p>
    <w:p w:rsidR="00BC1578" w:rsidRDefault="00000000">
      <w:pPr>
        <w:pStyle w:val="NormalWeb"/>
        <w:widowControl/>
        <w:spacing w:beforeAutospacing="0" w:afterAutospacing="0" w:line="360" w:lineRule="auto"/>
        <w:ind w:firstLineChars="200" w:firstLine="480"/>
        <w:jc w:val="both"/>
        <w:rPr>
          <w:rFonts w:ascii="Times New Roman" w:eastAsia="SimSun" w:hAnsi="Times New Roman"/>
          <w:b/>
          <w:bCs/>
        </w:rPr>
      </w:pPr>
      <w:r>
        <w:rPr>
          <w:rFonts w:ascii="Times New Roman" w:eastAsia="SimSun" w:hAnsi="Times New Roman"/>
        </w:rPr>
        <w:t xml:space="preserve">Analyzing the profit models of </w:t>
      </w:r>
      <w:proofErr w:type="spellStart"/>
      <w:r>
        <w:rPr>
          <w:rFonts w:ascii="Times New Roman" w:eastAsia="SimSun" w:hAnsi="Times New Roman"/>
        </w:rPr>
        <w:t>Bestore</w:t>
      </w:r>
      <w:proofErr w:type="spellEnd"/>
      <w:r>
        <w:rPr>
          <w:rFonts w:ascii="Times New Roman" w:eastAsia="SimSun" w:hAnsi="Times New Roman"/>
        </w:rPr>
        <w:t xml:space="preserve"> and </w:t>
      </w:r>
      <w:proofErr w:type="spellStart"/>
      <w:r>
        <w:rPr>
          <w:rFonts w:ascii="Times New Roman" w:eastAsia="SimSun" w:hAnsi="Times New Roman"/>
        </w:rPr>
        <w:t>Yanjin</w:t>
      </w:r>
      <w:proofErr w:type="spellEnd"/>
      <w:r>
        <w:rPr>
          <w:rFonts w:ascii="Times New Roman" w:eastAsia="SimSun" w:hAnsi="Times New Roman"/>
        </w:rPr>
        <w:t xml:space="preserve"> Shop clearly reveals that the new retail business model demonstrates significant vitality and innovation potential in today's market environment. Online sales channels have become a crucial marketing avenue in the snack food industry. As a comprehensive omnichannel strategy, the new retail model not only focuses on the development of online platforms but also emphasizes the meticulous planning and optimization of offline store layouts. This model achieves a seamless integration of online and offline channels, offering consumers a more convenient and personalized shopping experience. Against this backdrop, snack food enterprises should continuously refine their marketing strategies, deeply analyze consumer demand patterns in the digital age, and develop a differentiated product portfolio tailored to diverse consumer segments. Through precise market segmentation, enterprises can offer products that cater to various age groups and consumption levels while implementing personalized innovations in product design and service models</w:t>
      </w:r>
      <w:r>
        <w:rPr>
          <w:rFonts w:ascii="Times New Roman" w:eastAsia="SimSun" w:hAnsi="Times New Roman"/>
        </w:rPr>
        <w:fldChar w:fldCharType="begin"/>
      </w:r>
      <w:r>
        <w:rPr>
          <w:rFonts w:ascii="Times New Roman" w:eastAsia="SimSun" w:hAnsi="Times New Roman"/>
        </w:rPr>
        <w:instrText xml:space="preserve"> ADDIN ZOTERO_ITEM CSL_CITATION {"citationID":"KkIHZxIt","properties":{"formattedCitation":"(Padual et al., 2024)","plainCitation":"(Padual et al., 2024)","noteIndex":0},"citationItems":[{"id":1341,"uris":["http://zotero.org/users/local/e4ezAbND/items/UQLVZ7BU"],"itemData":{"id":1341,"type":"article-journal","abstract":"In modern marketing, the emergence of mass customization has reoriented the focus from traditional marketing practices toward a customer-centric approach. The individualization feel among consumers and the innovative approach taken by businesses are currently evident in the market but has yet been holistically analyzed. This study applied a modified Theory of Planned Behavior by incorporating the need for individualization, hedonic and utilitarian motivations, with a 4Ps marketing mix – with the main objective to identify factors contributing to the intention to make purchase of customized products. The survey involved 311 participants who completed an online questionnaire utilizing purposive sampling approach, focusing on those who had previously bought customized products. Structural Equation Modeling was employed as a statistical method to analyze the data with SPSS AMOS v25. Findings revealed that the need for individualization proved to have the highest effect on the intention to purchase customized products, explaining that consumers who are strongly inclined toward individualization not only perceive greater value in customized products but also express a higher intention to purchase them. This was followed by its direct significant effect on attitude, with an even higher effect on perceived behavioral control, along with the marketing mix latent variable and customer perceived value on purchasing intention. This study offers valuable insights for retail brand management and provides potential strategies for business improvement. Moreover, a valuable contribution to the limited literature on the promotion of customized product purchases was identified. Lastly, the developed framework and implications may be applied and extended by future research in the consumer behavior field.","container-title":"Acta Psychologica","DOI":"10.1016/j.actpsy.2024.104473","ISSN":"0001-6918","journalAbbreviation":"Acta Psychologica","page":"104473","source":"ScienceDirect","title":"The need for individualization: An open innovation perspective on the case for customized products","title-short":"The need for individualization","volume":"249","author":[{"family":"Padual","given":"Stephen Randell M."},{"family":"Ong","given":"Ardvin Kester S."},{"family":"German","given":"Josephine D."},{"family":"Gumasing","given":"Ma. Janice J."}],"issued":{"date-parts":[["2024",9,1]]}}}],"schema":"https://github.com/citation-style-language/schema/raw/master/csl-citation.json"} </w:instrText>
      </w:r>
      <w:r>
        <w:rPr>
          <w:rFonts w:ascii="Times New Roman" w:eastAsia="SimSun" w:hAnsi="Times New Roman"/>
        </w:rPr>
        <w:fldChar w:fldCharType="separate"/>
      </w:r>
      <w:r>
        <w:rPr>
          <w:rFonts w:ascii="Times New Roman" w:hAnsi="Times New Roman"/>
        </w:rPr>
        <w:t>(</w:t>
      </w:r>
      <w:proofErr w:type="spellStart"/>
      <w:r>
        <w:rPr>
          <w:rFonts w:ascii="Times New Roman" w:hAnsi="Times New Roman"/>
        </w:rPr>
        <w:t>Padual</w:t>
      </w:r>
      <w:proofErr w:type="spellEnd"/>
      <w:r>
        <w:rPr>
          <w:rFonts w:ascii="Times New Roman" w:hAnsi="Times New Roman"/>
        </w:rPr>
        <w:t xml:space="preserve"> et al., 2024)</w:t>
      </w:r>
      <w:r>
        <w:rPr>
          <w:rFonts w:ascii="Times New Roman" w:eastAsia="SimSun" w:hAnsi="Times New Roman"/>
        </w:rPr>
        <w:fldChar w:fldCharType="end"/>
      </w:r>
      <w:r>
        <w:rPr>
          <w:rFonts w:ascii="Times New Roman" w:eastAsia="SimSun" w:hAnsi="Times New Roman"/>
        </w:rPr>
        <w:t>. This approach strengthens consumer engagement and loyalty. Establishing a differentiated product structure not only enables enterprises to stand out in a highly competitive market but also enhances their operational efficiency and overall market competitiveness. Furthermore, snack food enterprises should actively promote an omnichannel sales model that integrates online and offline platforms. By leveraging data-driven precision marketing and optimized supply chain management, companies can enhance customer satisfaction and shopping experiences. This model allows businesses to effectively respond to market demand fluctuations, improve resource allocation efficiency, and drive sustainable growth and long-term competitiveness</w:t>
      </w:r>
      <w:r>
        <w:rPr>
          <w:rFonts w:ascii="Times New Roman" w:eastAsia="SimSun" w:hAnsi="Times New Roman"/>
        </w:rPr>
        <w:fldChar w:fldCharType="begin"/>
      </w:r>
      <w:r>
        <w:rPr>
          <w:rFonts w:ascii="Times New Roman" w:eastAsia="SimSun" w:hAnsi="Times New Roman"/>
        </w:rPr>
        <w:instrText xml:space="preserve"> ADDIN ZOTERO_ITEM CSL_CITATION {"citationID":"e9abJvUl","properties":{"formattedCitation":"(Hsieh and Chou, 2018)","plainCitation":"(Hsieh and Chou, 2018)","noteIndex":0},"citationItems":[{"id":1330,"uris":["http://zotero.org/users/local/e4ezAbND/items/TZ4RFGTD"],"itemData":{"id":1330,"type":"article-journal","abstract":"Small and medium-sized enterprises have played an important role in Taiwan's economic development. As the importance of service grows, SMEs could undergo transformation via service innovation. SMEs are likely to encounter within the context of globalization and tried to identify the key factors influencing service innovation. Resource-based theory was used to construct system dynamics models for the SMEs prior to and after service innovation in order to develop a set of evaluation mechanisms. Simulation results showed that SMEs face operational difficulties due to globalization. Thus, SMEs should invest appropriate resources to develop market adaptability, knowledge application capability, collaboration abilities, and the effective application of information technology. This will enhance the overall service innovation capability of the business, which could then establish a new service value and increase market competitiveness.","container-title":"Simulation Modelling Practice and Theory","DOI":"10.1016/j.simpat.2017.12.004","ISSN":"1569-190X","journalAbbreviation":"Simulation Modelling Practice and Theory","page":"84-102","source":"ScienceDirect","title":"Modeling the impact of service innovation for small and medium enterprises: A system dynamics approach","title-short":"Modeling the impact of service innovation for small and medium enterprises","volume":"82","author":[{"family":"Hsieh","given":"Yen-Hao"},{"family":"Chou","given":"Yun-Hsuan"}],"issued":{"date-parts":[["2018",3,1]]}}}],"schema":"https://github.com/citation-style-language/schema/raw/master/csl-citation.json"} </w:instrText>
      </w:r>
      <w:r>
        <w:rPr>
          <w:rFonts w:ascii="Times New Roman" w:eastAsia="SimSun" w:hAnsi="Times New Roman"/>
        </w:rPr>
        <w:fldChar w:fldCharType="separate"/>
      </w:r>
      <w:r>
        <w:rPr>
          <w:rFonts w:ascii="Times New Roman" w:hAnsi="Times New Roman"/>
        </w:rPr>
        <w:t>(Hsieh and Chou, 2018)</w:t>
      </w:r>
      <w:r>
        <w:rPr>
          <w:rFonts w:ascii="Times New Roman" w:eastAsia="SimSun" w:hAnsi="Times New Roman"/>
        </w:rPr>
        <w:fldChar w:fldCharType="end"/>
      </w:r>
      <w:r>
        <w:rPr>
          <w:rFonts w:ascii="Times New Roman" w:eastAsia="SimSun" w:hAnsi="Times New Roman"/>
        </w:rPr>
        <w:t xml:space="preserve">. Therefore, </w:t>
      </w:r>
      <w:r>
        <w:rPr>
          <w:rFonts w:ascii="Times New Roman" w:eastAsia="SimSun" w:hAnsi="Times New Roman"/>
        </w:rPr>
        <w:lastRenderedPageBreak/>
        <w:t>constructing a differentiated product structure within the framework of the new retail business model is not only a key strategy for improving business performance but also serves as a critical foundation for securing long-term competitive advantages in an increasingly competitive market.</w:t>
      </w:r>
    </w:p>
    <w:p w:rsidR="00BC1578" w:rsidRDefault="00BC1578">
      <w:pPr>
        <w:rPr>
          <w:rFonts w:ascii="Times New Roman" w:eastAsia="SimSun" w:hAnsi="Times New Roman" w:cs="Times New Roman"/>
          <w:sz w:val="24"/>
        </w:rPr>
      </w:pPr>
    </w:p>
    <w:p w:rsidR="00BC1578" w:rsidRDefault="00000000">
      <w:pPr>
        <w:numPr>
          <w:ilvl w:val="0"/>
          <w:numId w:val="2"/>
        </w:numPr>
        <w:spacing w:line="360" w:lineRule="auto"/>
        <w:rPr>
          <w:rFonts w:ascii="Times New Roman" w:eastAsia="SimSun" w:hAnsi="Times New Roman" w:cs="Times New Roman"/>
          <w:b/>
          <w:bCs/>
          <w:sz w:val="24"/>
        </w:rPr>
      </w:pPr>
      <w:r>
        <w:rPr>
          <w:rFonts w:ascii="Times New Roman" w:eastAsia="SimSun" w:hAnsi="Times New Roman" w:cs="Times New Roman"/>
          <w:b/>
          <w:bCs/>
          <w:sz w:val="24"/>
        </w:rPr>
        <w:t>Constructing Diversified Consumption Scenarios Based on Differences in Profit Target Demands</w:t>
      </w:r>
    </w:p>
    <w:p w:rsidR="00BC1578" w:rsidRDefault="0000000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Different enterprises adopt differentiated market engagement strategies based on the specific demand characteristics of their profit targets, thereby optimizing resource allocation and facilitating market expansion. </w:t>
      </w:r>
      <w:proofErr w:type="spellStart"/>
      <w:r>
        <w:rPr>
          <w:rFonts w:ascii="Times New Roman" w:eastAsia="SimSun" w:hAnsi="Times New Roman" w:cs="Times New Roman"/>
          <w:sz w:val="24"/>
        </w:rPr>
        <w:t>Bestore</w:t>
      </w:r>
      <w:proofErr w:type="spellEnd"/>
      <w:r>
        <w:rPr>
          <w:rFonts w:ascii="Times New Roman" w:eastAsia="SimSun" w:hAnsi="Times New Roman" w:cs="Times New Roman"/>
          <w:sz w:val="24"/>
        </w:rPr>
        <w:t xml:space="preserve"> precisely targets young consumers who frequently shop online, attracting its target audience through online campaigns and digital marketing strategies while leveraging social media platforms and e-commerce channels for product promotion. In contrast,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focuses on a broader consumer group that primarily engages in offline shopping. Its marketing efforts are predominantly offline, aiming to enhance in-store consumer experiences and expand the target audience across different age groups. Both marketing models have achieved remarkable success within their respective profit frameworks. The key reason lies in their ability to construct consumption scenarios that closely align with consumer needs and expectations, thereby effectively meeting actual consumer demands in specific purchasing environments. Therefore, snack food enterprises should actively explore and develop diversified consumption scenarios to better cater to the varied needs of different consumer segments. By designing rich and engaging consumption scenarios, enterprises can offer consumers a personalized and immersive shopping experience, thereby strengthening brand competitiveness and customer loyalty. Specifically, enterprises should integrate online platforms such as WeChat Mini Programs and shopping apps with offline channels such as community stores and regional flagship stores to achieve a seamless online-offline synergy that meets consumer needs across various consumption scenarios. Additionally, enterprises can conduct in-depth analyses of consumer shopping behaviors and preferences to offer customized products and services tailored to different consumer groups, ultimately </w:t>
      </w:r>
      <w:r>
        <w:rPr>
          <w:rFonts w:ascii="Times New Roman" w:eastAsia="SimSun" w:hAnsi="Times New Roman" w:cs="Times New Roman"/>
          <w:sz w:val="24"/>
        </w:rPr>
        <w:lastRenderedPageBreak/>
        <w:t>enhancing overall customer satisfaction and brand loyalty</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{"citationID":"5EacLZ0y","properties":{"formattedCitation":"(Theodorakopoulos and Theodoropoulou, 2024)","plainCitation":"(Theodorakopoulos and Theodoropoulou, 2024)","noteIndex":0},"citationItems":[{"id":1333,"uris":["http://zotero.org/users/local/e4ezAbND/items/LTN6VNYS"],"itemData":{"id":1333,"type":"article-journal","abstract":"The integration of big data analytics in digital marketing has fundamentally transformed how organizations understand and influence consumer behavior. This systematic review explores the potential of big data to offer deep insights into consumer preferences and behaviors. The current literature on big data and consumer behavior showcases its potential in enhancing marketing and customer experiences. However, significant gaps exist, such as longitudinal studies on how continuous big data–driven personalization affects consumer trust and loyalty over time. Addressing these gaps will advance academic understanding and offer practical insights for optimizing marketing strategies and improving customer experiences ethically. Focusing on these areas will contribute to a holistic view of big data’s responsible use in digital marketing. By utilizing large datasets, businesses can now tailor their marketing strategies to individual consumers, enhancing customer satisfaction and engagement. Adopting the PRISMA methodology, this review synthesizes recent literature to evaluate the benefits of big data in digital marketing. The research was conducted through a rigorous five-stage process, encompassing the identification of key research questions, database searches, and the critical analysis of selected articles: (1) defining the initial topic, (2) developing the appropriate research questions, (3) identifying the necessary keywords, (4) identifying and searching databases, and finally (5) accessing and reading the articles. The databases that were searched were as follows: Scopus, Web of Science, Emerald Insight, Springer Link, and ScienceDirect. The articles that were selected were 19, in a total sum of 265 identified articles. The findings consolidate current knowledge on how big data analytics can optimize marketing strategies and consumer experiences. Ultimately, this review underscores the transformative potential of big data in digital marketing, highlighting its role in enhancing customer insights and driving more effective marketing strategies.","container-title":"Human Behavior and Emerging Technologies","DOI":"10.1155/2024/3641502","ISSN":"2578-1863","issue":"1","language":"en","license":"Copyright © 2024 Leonidas Theodorakopoulos and Alexandra Theodoropoulou.","note":"_eprint: https://onlinelibrary.wiley.com/doi/pdf/10.1155/2024/3641502","page":"3641502","source":"Wiley Online Library","title":"Leveraging big data analytics for understanding consumer behavior in digital marketing: A systematic review","title-short":"Leveraging Big Data Analytics for Understanding Consumer Behavior in Digital Marketing","volume":"2024","author":[{"family":"Theodorakopoulos","given":"Leonidas"},{"family":"Theodoropoulou","given":"Alexandra"}],"issued":{"date-parts":[["2024"]]}}}],"schema":"https://github.com/citation-style-language/schema/raw/master/csl-citation.json"}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(Theodorakopoulos and Theodoropoulou, 2024)</w:t>
      </w:r>
      <w:r>
        <w:rPr>
          <w:rFonts w:ascii="Times New Roman" w:eastAsia="SimSun" w:hAnsi="Times New Roman" w:cs="Times New Roman"/>
          <w:sz w:val="24"/>
        </w:rPr>
        <w:fldChar w:fldCharType="end"/>
      </w:r>
      <w:r>
        <w:rPr>
          <w:rFonts w:ascii="Times New Roman" w:eastAsia="SimSun" w:hAnsi="Times New Roman" w:cs="Times New Roman"/>
          <w:sz w:val="24"/>
        </w:rPr>
        <w:t>. As the market environment continues to evolve, enterprises must consistently innovate their consumption scenarios and adapt their marketing strategies flexibly to develop a more diversified market structure, thereby driving sustained business growth and expanding market share.</w:t>
      </w:r>
    </w:p>
    <w:p w:rsidR="00BC1578" w:rsidRDefault="00BC1578">
      <w:pPr>
        <w:spacing w:line="360" w:lineRule="auto"/>
        <w:ind w:firstLineChars="200" w:firstLine="480"/>
        <w:rPr>
          <w:rFonts w:ascii="Times New Roman" w:eastAsia="SimSun" w:hAnsi="Times New Roman" w:cs="Times New Roman"/>
          <w:sz w:val="24"/>
        </w:rPr>
      </w:pPr>
    </w:p>
    <w:p w:rsidR="00BC1578" w:rsidRDefault="00000000">
      <w:pPr>
        <w:numPr>
          <w:ilvl w:val="0"/>
          <w:numId w:val="3"/>
        </w:numPr>
        <w:spacing w:line="360" w:lineRule="auto"/>
        <w:rPr>
          <w:rFonts w:ascii="Times New Roman" w:eastAsia="SimSun" w:hAnsi="Times New Roman" w:cs="Times New Roman"/>
          <w:b/>
          <w:bCs/>
          <w:sz w:val="24"/>
        </w:rPr>
      </w:pPr>
      <w:r>
        <w:rPr>
          <w:rFonts w:ascii="Times New Roman" w:eastAsia="SimSun" w:hAnsi="Times New Roman" w:cs="Times New Roman"/>
          <w:b/>
          <w:bCs/>
          <w:sz w:val="24"/>
        </w:rPr>
        <w:t>Strengthening the Collaborative Effect of Multiple Stakeholders in Marketing Channel Construction</w:t>
      </w:r>
    </w:p>
    <w:p w:rsidR="00BC1578" w:rsidRDefault="0000000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Snack food enterprises should focus on strengthening the collaborative involvement of multiple stakeholders and constructing an effective marketing channel system aimed at achieving balanced development of both online and offline channels. First, in terms of physical store layout, enterprises should consider the ready-to-eat nature of snack foods, combining sensory experiences such as touch, vision, smell, and taste to optimize the in-store experience from multiple dimensions. This ensures that consumers receive a distinct, real-world shopping experience when visiting the store, motivating immediate consumption. Through this approach, enterprises can enhance consumers' immersion in the shopping experience, thereby increasing their purchase conversion rate. Secondly, enterprises should actively explore and promote the implementation of the innovative “community + delivery” sales model</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{"citationID":"JJIOCMSv","properties":{"formattedCitation":"(Kantamaturapoj et al., 2022)","plainCitation":"(Kantamaturapoj et al., 2022)","noteIndex":0},"citationItems":[{"id":1336,"uris":["http://zotero.org/users/local/e4ezAbND/items/8ZJAA67R"],"itemData":{"id":1336,"type":"article-journal","abstract":"Conventional policy approaches emphasize technical solutions and individual behavioral change, but practice-based policy approaches offer an alternative. This paper examines the operationalization of a practice-oriented futures policy development process. The process builds on practice theory to generate alternative sustainable future pathways and policy intervention ideas, and in doing so, extends the vocabulary for policy-focused futures work. We focus on three practices with implications for urban sustainability - food purchasing, eating out, and home cooking in Bangkok, Thailand. A multi-phase process of interlinked workshops including visioning, scenario evaluation, and transition pathways was enacted with food system actors and policy makers. Role-play and narrative elements were incorporated to elicit transformative and systems knowledge on how practices are or might be embedded in everyday life and generated policy ideas to enable such practices to emerge in the future. Different practices showed varying degrees of amenability to the process, based on participants' sense of agency and individual and community-based practice memories. This paper contributes to our understanding of how future practices are co-constructed and how policies might guide practice trajectories in the future. Practice-oriented futures policy development opens pathways for integrated policy ideas, mirroring the growing recognition for integrated governance structures.","container-title":"Futures","DOI":"10.1016/j.futures.2022.102949","ISSN":"0016-3287","journalAbbreviation":"Futures","page":"102949","source":"ScienceDirect","title":"Constructing practice-oriented futures for sustainable urban food policy in bangkok","volume":"139","author":[{"family":"Kantamaturapoj","given":"Kanang"},{"family":"McGreevy","given":"Steven R."},{"family":"Thongplew","given":"Natapol"},{"family":"Akitsu","given":"Motoki"},{"family":"Vervoort","given":"Joost"},{"family":"Mangnus","given":"Astrid"},{"family":"Ota","given":"Kazuhiko"},{"family":"Rupprecht","given":"Christoph D. D."},{"family":"Tamura","given":"Norie"},{"family":"Spiegelberg","given":"Maximillian"},{"family":"Kobayashi","given":"Mai"},{"family":"Pongkijvorasin","given":"Sittidaj"},{"family":"Wibulpolprasert","given":"Suwit"}],"issued":{"date-parts":[["2022",5,1]]}}}],"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w:t>
      </w:r>
      <w:proofErr w:type="spellStart"/>
      <w:r>
        <w:rPr>
          <w:rFonts w:ascii="Times New Roman" w:hAnsi="Times New Roman" w:cs="Times New Roman"/>
          <w:sz w:val="24"/>
        </w:rPr>
        <w:t>Kantamaturapoj</w:t>
      </w:r>
      <w:proofErr w:type="spellEnd"/>
      <w:r>
        <w:rPr>
          <w:rFonts w:ascii="Times New Roman" w:hAnsi="Times New Roman" w:cs="Times New Roman"/>
          <w:sz w:val="24"/>
        </w:rPr>
        <w:t xml:space="preserve"> et al., 2022)</w:t>
      </w:r>
      <w:r>
        <w:rPr>
          <w:rFonts w:ascii="Times New Roman" w:eastAsia="SimSun" w:hAnsi="Times New Roman" w:cs="Times New Roman"/>
          <w:sz w:val="24"/>
        </w:rPr>
        <w:fldChar w:fldCharType="end"/>
      </w:r>
      <w:r>
        <w:rPr>
          <w:rFonts w:ascii="Times New Roman" w:eastAsia="SimSun" w:hAnsi="Times New Roman" w:cs="Times New Roman"/>
          <w:sz w:val="24"/>
        </w:rPr>
        <w:t xml:space="preserve">. In this model, enterprises can establish offline stores in communities and create convenient online shopping channels through online platforms, allowing consumers to place orders online directly at community stores for nearby delivery. This model not only utilizes community stores as inventory management centers to improve product turnover efficiency but also leverages the advantages of new media and social e-commerce, enabling enterprises to respond quickly to market demand and improve inventory turnover. Through diversified channel construction and effective resource integration, snack food enterprises can achieve the organic integration of online and offline businesses, enhancing consumer convenience and overall shopping experience, thereby standing out in a highly competitive market environment. At the same time, the construction of these </w:t>
      </w:r>
      <w:r>
        <w:rPr>
          <w:rFonts w:ascii="Times New Roman" w:eastAsia="SimSun" w:hAnsi="Times New Roman" w:cs="Times New Roman"/>
          <w:sz w:val="24"/>
        </w:rPr>
        <w:lastRenderedPageBreak/>
        <w:t>collaborative marketing channels helps enterprises accelerate product circulation, improve operational efficiency, and thereby promote sustainable development.</w:t>
      </w:r>
    </w:p>
    <w:p w:rsidR="00BC1578" w:rsidRDefault="00BC1578">
      <w:pPr>
        <w:rPr>
          <w:rFonts w:ascii="Times New Roman" w:eastAsia="SimSun" w:hAnsi="Times New Roman" w:cs="Times New Roman"/>
          <w:sz w:val="24"/>
        </w:rPr>
      </w:pPr>
    </w:p>
    <w:p w:rsidR="00BC1578" w:rsidRDefault="00000000">
      <w:pPr>
        <w:spacing w:line="360" w:lineRule="auto"/>
        <w:rPr>
          <w:rFonts w:ascii="Times New Roman" w:eastAsia="SimSun" w:hAnsi="Times New Roman" w:cs="Times New Roman"/>
          <w:b/>
          <w:bCs/>
          <w:sz w:val="24"/>
        </w:rPr>
      </w:pPr>
      <w:r>
        <w:rPr>
          <w:rFonts w:ascii="Times New Roman" w:eastAsia="SimSun" w:hAnsi="Times New Roman" w:cs="Times New Roman"/>
          <w:b/>
          <w:bCs/>
          <w:sz w:val="24"/>
        </w:rPr>
        <w:t>(4) Expanding Revenue Sources Using Modern Marketing Strategies</w:t>
      </w:r>
    </w:p>
    <w:p w:rsidR="00BC1578" w:rsidRDefault="0000000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One of the core strategies for enhancing a company’s profitability is to expand revenue sources. By adopting a multi-channel revenue model, the company can maintain a stable overall revenue level even if a specific income channel faces issues. In addition to traditional sales services, snack food enterprises should actively develop and offer derivative products and services. For instance, companies could develop merchandise based on the mascots and packaging designs of snack foods and offer these items as giveaways or promotional tools in marketing activities. This can attract consumer attention, especially during new product launches, where such derivatives can help drive more traffic and achieve more efficient marketing results. Moreover, with the rapid development of internet e-commerce, snack food enterprises should precisely grasp this trend and optimize their business layout on major e-commerce platforms. By expanding online marketing channels, they can further increase their revenue sources. Leveraging the traffic advantage of e-commerce platforms, enterprises can reach a broader consumer base, enhance brand exposure, and use platform data analytics to fine-tune marketing strategies, thereby maximizing revenue potential. By comprehensively utilizing modern marketing approaches, enterprises can not only diversify their revenue sources but also enhance market competitiveness and brand influence, leading to sustainable profit growth</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{"citationID":"neLnOUO2","properties":{"formattedCitation":"(Tang et al., 2024)","plainCitation":"(Tang et al., 2024)","noteIndex":0},"citationItems":[{"id":1339,"uris":["http://zotero.org/users/local/e4ezAbND/items/W3JFIGK4"],"itemData":{"id":1339,"type":"article-journal","abstract":"Agricultural products are pivotal to the national economy, and a comprehensive analysis of brand competitiveness significantly contributes to the support of agricultural structural adjustment and modernization. Focusing on the Yangtze River Delta region of China, this study develops an evaluation index system encompassing four dimensions: core brand competitiveness, brand management, market competitiveness, and innovation in branding. Utilizing a DEMATEL-ISM model, this research elucidates the intrinsic relationships among factors that influence brand competitiveness, resulting in a four-tier hierarchical model. The analysis delineates key factors at superficial, intermediate, and profound levels that influence brand competitiveness. Notably, regional production bases, along with innovations in brand technology and systems, emerge as profound influencers. Drawing on these findings, the study recommends strategies to enhance production foundations, accurately define development trajectories, spearhead technological innovation to foster collective reform efforts, and advocate for institutional advancements to bolster healthy brand growth.","container-title":"Scientific Reports","DOI":"10.1038/s41598-024-62068-1","ISSN":"2045-2322","issue":"1","journalAbbreviation":"Sci Rep","language":"en","license":"2024 The Author(s)","note":"publisher: Nature Publishing Group","page":"11363","source":"www.nature.com","title":"Research on the influencing factors of Chinese agricultural brand competitiveness based on DEMATEL-ISM","volume":"14","author":[{"family":"Tang","given":"Huanchen"},{"family":"Liu","given":"Xiaodong"},{"family":"Li","given":"Meiyu"}],"issued":{"date-parts":[["2024",5,18]]}}}],"schema":"https://github.com/citation-style-language/schema/raw/master/csl-citation.json"}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(Tang et al., 2024)</w:t>
      </w:r>
      <w:r>
        <w:rPr>
          <w:rFonts w:ascii="Times New Roman" w:eastAsia="SimSun" w:hAnsi="Times New Roman" w:cs="Times New Roman"/>
          <w:sz w:val="24"/>
        </w:rPr>
        <w:fldChar w:fldCharType="end"/>
      </w:r>
      <w:r>
        <w:rPr>
          <w:rFonts w:ascii="Times New Roman" w:eastAsia="SimSun" w:hAnsi="Times New Roman" w:cs="Times New Roman"/>
          <w:sz w:val="24"/>
        </w:rPr>
        <w:t>.</w:t>
      </w:r>
    </w:p>
    <w:p w:rsidR="00BC1578" w:rsidRDefault="00BC1578">
      <w:pPr>
        <w:spacing w:line="360" w:lineRule="auto"/>
        <w:ind w:firstLineChars="200" w:firstLine="480"/>
        <w:rPr>
          <w:rFonts w:ascii="Times New Roman" w:eastAsia="SimSun" w:hAnsi="Times New Roman" w:cs="Times New Roman"/>
          <w:sz w:val="24"/>
        </w:rPr>
      </w:pPr>
    </w:p>
    <w:p w:rsidR="00BC1578" w:rsidRDefault="00000000">
      <w:pPr>
        <w:spacing w:line="360" w:lineRule="auto"/>
        <w:rPr>
          <w:rFonts w:ascii="Times New Roman" w:eastAsia="SimSun" w:hAnsi="Times New Roman" w:cs="Times New Roman"/>
          <w:b/>
          <w:bCs/>
          <w:sz w:val="24"/>
        </w:rPr>
      </w:pPr>
      <w:r>
        <w:rPr>
          <w:rFonts w:ascii="Times New Roman" w:eastAsia="SimSun" w:hAnsi="Times New Roman" w:cs="Times New Roman" w:hint="eastAsia"/>
          <w:b/>
          <w:bCs/>
          <w:sz w:val="24"/>
        </w:rPr>
        <w:t>DISCLAIMER (ARTIFICIAL INTELLIGENCE)</w:t>
      </w:r>
    </w:p>
    <w:p w:rsidR="00BC1578" w:rsidRDefault="0000000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The author(s)declare that only generative Al tools (e.g., GPT) were used for translation purposes. No generative Al technologies were employed in the writing or editing of the other content in this manuscript.</w:t>
      </w:r>
    </w:p>
    <w:p w:rsidR="00BC1578" w:rsidRDefault="00BC1578">
      <w:pPr>
        <w:spacing w:line="360" w:lineRule="auto"/>
        <w:rPr>
          <w:rFonts w:ascii="Times New Roman" w:eastAsia="SimSun" w:hAnsi="Times New Roman" w:cs="Times New Roman"/>
          <w:sz w:val="24"/>
        </w:rPr>
      </w:pPr>
    </w:p>
    <w:p w:rsidR="00BC1578" w:rsidRDefault="00000000">
      <w:pPr>
        <w:spacing w:line="360" w:lineRule="auto"/>
        <w:rPr>
          <w:rFonts w:ascii="Times New Roman" w:eastAsia="SimSun" w:hAnsi="Times New Roman" w:cs="Times New Roman"/>
          <w:b/>
          <w:bCs/>
          <w:sz w:val="24"/>
        </w:rPr>
      </w:pPr>
      <w:r>
        <w:rPr>
          <w:rFonts w:ascii="Times New Roman" w:eastAsia="SimSun" w:hAnsi="Times New Roman" w:cs="Times New Roman" w:hint="eastAsia"/>
          <w:b/>
          <w:bCs/>
          <w:sz w:val="24"/>
        </w:rPr>
        <w:t>COMPETING INTERESTS</w:t>
      </w:r>
    </w:p>
    <w:p w:rsidR="00BC1578" w:rsidRDefault="0000000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Authors have declared that no competing interests exist.</w:t>
      </w:r>
    </w:p>
    <w:p w:rsidR="00BC1578" w:rsidRDefault="00BC1578">
      <w:pPr>
        <w:spacing w:line="360" w:lineRule="auto"/>
        <w:ind w:firstLineChars="200" w:firstLine="480"/>
        <w:rPr>
          <w:rFonts w:ascii="Times New Roman" w:eastAsia="SimSun" w:hAnsi="Times New Roman" w:cs="Times New Roman"/>
          <w:sz w:val="24"/>
        </w:rPr>
      </w:pPr>
    </w:p>
    <w:p w:rsidR="00BC1578" w:rsidRDefault="00000000">
      <w:pPr>
        <w:spacing w:line="360" w:lineRule="auto"/>
        <w:rPr>
          <w:rFonts w:ascii="Times New Roman" w:eastAsia="SimSun" w:hAnsi="Times New Roman" w:cs="Times New Roman"/>
          <w:b/>
          <w:bCs/>
          <w:sz w:val="24"/>
        </w:rPr>
      </w:pPr>
      <w:r>
        <w:rPr>
          <w:rFonts w:ascii="Times New Roman" w:eastAsia="SimSun" w:hAnsi="Times New Roman" w:cs="Times New Roman"/>
          <w:b/>
          <w:bCs/>
          <w:sz w:val="24"/>
        </w:rPr>
        <w:t>COMPETING INTERESTS DISCLAIMER</w:t>
      </w:r>
    </w:p>
    <w:p w:rsidR="00BC1578" w:rsidRDefault="0000000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Authors have declared that they have no known competing financial interests OR non-financial interests OR personal relationships that could have appeared to influence the work reported in this paper.</w:t>
      </w:r>
    </w:p>
    <w:p w:rsidR="00BC1578" w:rsidRDefault="00BC1578">
      <w:pPr>
        <w:rPr>
          <w:rFonts w:ascii="Times New Roman" w:eastAsia="SimSun" w:hAnsi="Times New Roman" w:cs="Times New Roman"/>
          <w:sz w:val="24"/>
        </w:rPr>
      </w:pPr>
    </w:p>
    <w:p w:rsidR="00BC1578" w:rsidRDefault="00000000">
      <w:pPr>
        <w:rPr>
          <w:rFonts w:ascii="Times New Roman" w:eastAsia="SimSun" w:hAnsi="Times New Roman" w:cs="Times New Roman"/>
          <w:b/>
          <w:bCs/>
          <w:sz w:val="28"/>
          <w:szCs w:val="28"/>
        </w:rPr>
      </w:pPr>
      <w:r>
        <w:rPr>
          <w:rFonts w:ascii="Times New Roman" w:eastAsia="SimSun" w:hAnsi="Times New Roman" w:cs="Times New Roman"/>
          <w:b/>
          <w:bCs/>
          <w:sz w:val="28"/>
          <w:szCs w:val="28"/>
        </w:rPr>
        <w:t>REFERENCES</w:t>
      </w:r>
    </w:p>
    <w:p w:rsidR="00BC1578" w:rsidRDefault="00000000">
      <w:pPr>
        <w:pStyle w:val="Bibliography1"/>
        <w:spacing w:line="360" w:lineRule="auto"/>
        <w:ind w:left="422" w:hangingChars="200" w:hanging="422"/>
        <w:rPr>
          <w:rFonts w:ascii="Times New Roman" w:eastAsia="SimSun" w:hAnsi="Times New Roman" w:cs="Times New Roman"/>
          <w:sz w:val="24"/>
        </w:rPr>
      </w:pPr>
      <w:r>
        <w:rPr>
          <w:rFonts w:ascii="Times New Roman" w:eastAsia="SimSun" w:hAnsi="Times New Roman"/>
          <w:b/>
          <w:bCs/>
        </w:rPr>
        <w:fldChar w:fldCharType="begin"/>
      </w:r>
      <w:r>
        <w:rPr>
          <w:rFonts w:ascii="Times New Roman" w:eastAsia="SimSun" w:hAnsi="Times New Roman"/>
          <w:b/>
          <w:bCs/>
        </w:rPr>
        <w:instrText xml:space="preserve"> ADDIN ZOTERO_BIBL {"uncited":[],"omitted":[],"custom":[]} CSL_BIBLIOGRAPHY </w:instrText>
      </w:r>
      <w:r>
        <w:rPr>
          <w:rFonts w:ascii="Times New Roman" w:eastAsia="SimSun" w:hAnsi="Times New Roman"/>
          <w:b/>
          <w:bCs/>
        </w:rPr>
        <w:fldChar w:fldCharType="separate"/>
      </w:r>
      <w:r>
        <w:rPr>
          <w:rFonts w:ascii="Times New Roman" w:eastAsia="SimSun" w:hAnsi="Times New Roman" w:cs="Times New Roman"/>
          <w:sz w:val="24"/>
        </w:rPr>
        <w:t>Ball, R., Gerakos, J., Linnainmaa, J.T., Nikolaev, V.V., 2015. Deflating profitability. Journal of Financial Economics 117, 225–248. https://doi.org/10.1016/j.jfineco.2015.02.004</w:t>
      </w:r>
    </w:p>
    <w:p w:rsidR="00BC1578" w:rsidRDefault="00000000">
      <w:pPr>
        <w:pStyle w:val="Bibliography1"/>
        <w:spacing w:line="360" w:lineRule="auto"/>
        <w:ind w:left="480" w:hangingChars="200" w:hanging="480"/>
        <w:rPr>
          <w:rFonts w:ascii="Times New Roman" w:eastAsia="SimSun" w:hAnsi="Times New Roman" w:cs="Times New Roman"/>
          <w:sz w:val="24"/>
        </w:rPr>
      </w:pPr>
      <w:r>
        <w:rPr>
          <w:rFonts w:ascii="Times New Roman" w:eastAsia="SimSun" w:hAnsi="Times New Roman" w:cs="Times New Roman"/>
          <w:sz w:val="24"/>
        </w:rPr>
        <w:t>Chen X., 2019. Profitability Analysis of Internet-Listed Companies under the Asset-Light Model. Communication of Finance and Accounting 58–62. https://doi.org/10.16144/j.cnki.issn1002-8072.2019.17.013</w:t>
      </w:r>
    </w:p>
    <w:p w:rsidR="00BC1578" w:rsidRDefault="00000000">
      <w:pPr>
        <w:pStyle w:val="Bibliography1"/>
        <w:spacing w:line="360" w:lineRule="auto"/>
        <w:ind w:left="480" w:hangingChars="200" w:hanging="480"/>
        <w:rPr>
          <w:rFonts w:ascii="Times New Roman" w:eastAsia="SimSun" w:hAnsi="Times New Roman" w:cs="Times New Roman"/>
          <w:sz w:val="24"/>
        </w:rPr>
      </w:pPr>
      <w:r>
        <w:rPr>
          <w:rFonts w:ascii="Times New Roman" w:eastAsia="SimSun" w:hAnsi="Times New Roman" w:cs="Times New Roman"/>
          <w:sz w:val="24"/>
        </w:rPr>
        <w:t>Delmar, F., McKelvie, A., Wennberg, K., 2013. Untangling the relationships among growth, profitability and survival in new firms. Technovation, Technology Entrepreneurship: A Special Issue in Memory of Bruce A. Kirchhoff 33, 276–291. https://doi.org/10.1016/j.technovation.2013.02.003</w:t>
      </w:r>
    </w:p>
    <w:p w:rsidR="00BC1578" w:rsidRDefault="00000000">
      <w:pPr>
        <w:pStyle w:val="Bibliography1"/>
        <w:spacing w:line="360" w:lineRule="auto"/>
        <w:ind w:left="480" w:hangingChars="200" w:hanging="480"/>
        <w:rPr>
          <w:rFonts w:ascii="Times New Roman" w:eastAsia="SimSun" w:hAnsi="Times New Roman" w:cs="Times New Roman"/>
          <w:sz w:val="24"/>
        </w:rPr>
      </w:pPr>
      <w:r>
        <w:rPr>
          <w:rFonts w:ascii="Times New Roman" w:eastAsia="SimSun" w:hAnsi="Times New Roman" w:cs="Times New Roman"/>
          <w:sz w:val="24"/>
        </w:rPr>
        <w:t>Gao Y., 2020. Improvements and Developments in the DuPont Financial Analysis System. China Circulation Economy 189–190. https://doi.org/10.16834/j.cnki.issn1009-5292.2020.01.091</w:t>
      </w:r>
    </w:p>
    <w:p w:rsidR="00BC1578" w:rsidRDefault="00000000">
      <w:pPr>
        <w:pStyle w:val="Bibliography1"/>
        <w:spacing w:line="360" w:lineRule="auto"/>
        <w:ind w:left="480" w:hangingChars="200" w:hanging="480"/>
        <w:rPr>
          <w:rFonts w:ascii="Times New Roman" w:eastAsia="SimSun" w:hAnsi="Times New Roman" w:cs="Times New Roman"/>
          <w:sz w:val="24"/>
        </w:rPr>
      </w:pPr>
      <w:r>
        <w:rPr>
          <w:rFonts w:ascii="Times New Roman" w:eastAsia="SimSun" w:hAnsi="Times New Roman" w:cs="Times New Roman"/>
          <w:sz w:val="24"/>
        </w:rPr>
        <w:t>Hsieh, Y.-H., Chou, Y.-H., 2018. Modeling the impact of service innovation for small and medium enterprises: A system dynamics approach. Simulation Modelling Practice and Theory 82, 84–102. https://doi.org/10.1016/j.simpat.2017.12.004</w:t>
      </w:r>
    </w:p>
    <w:p w:rsidR="00BC1578" w:rsidRDefault="00000000">
      <w:pPr>
        <w:pStyle w:val="Bibliography1"/>
        <w:spacing w:line="360" w:lineRule="auto"/>
        <w:ind w:left="480" w:hangingChars="200" w:hanging="480"/>
        <w:rPr>
          <w:rFonts w:ascii="Times New Roman" w:eastAsia="SimSun" w:hAnsi="Times New Roman" w:cs="Times New Roman"/>
          <w:sz w:val="24"/>
        </w:rPr>
      </w:pPr>
      <w:r>
        <w:rPr>
          <w:rFonts w:ascii="Times New Roman" w:eastAsia="SimSun" w:hAnsi="Times New Roman" w:cs="Times New Roman"/>
          <w:sz w:val="24"/>
        </w:rPr>
        <w:t>Hu, Y., Hassan, A., Atif, S., 2024. Examining the interplay between CEPSA’s ESG performance and financial performance: An overview of the energy sector transformation. Sustainability 16, 2772. https://doi.org/10.3390/su16072772</w:t>
      </w:r>
    </w:p>
    <w:p w:rsidR="00BC1578" w:rsidRDefault="00000000">
      <w:pPr>
        <w:pStyle w:val="Bibliography1"/>
        <w:spacing w:line="360" w:lineRule="auto"/>
        <w:ind w:left="480" w:hangingChars="200" w:hanging="480"/>
        <w:rPr>
          <w:rFonts w:ascii="Times New Roman" w:eastAsia="SimSun" w:hAnsi="Times New Roman" w:cs="Times New Roman"/>
          <w:sz w:val="24"/>
        </w:rPr>
      </w:pPr>
      <w:r>
        <w:rPr>
          <w:rFonts w:ascii="Times New Roman" w:eastAsia="SimSun" w:hAnsi="Times New Roman" w:cs="Times New Roman"/>
          <w:sz w:val="24"/>
        </w:rPr>
        <w:t xml:space="preserve">Kantamaturapoj, K., McGreevy, S.R., Thongplew, N., Akitsu, M., Vervoort, J., Mangnus, A., Ota, K., Rupprecht, C.D.D., Tamura, N., Spiegelberg, M., Kobayashi, M., Pongkijvorasin, S., Wibulpolprasert, S., 2022. Constructing practice-oriented futures for sustainable urban food policy in bangkok. Futures </w:t>
      </w:r>
      <w:r>
        <w:rPr>
          <w:rFonts w:ascii="Times New Roman" w:eastAsia="SimSun" w:hAnsi="Times New Roman" w:cs="Times New Roman"/>
          <w:sz w:val="24"/>
        </w:rPr>
        <w:lastRenderedPageBreak/>
        <w:t>139, 102949. https://doi.org/10.1016/j.futures.2022.102949</w:t>
      </w:r>
    </w:p>
    <w:p w:rsidR="00BC1578" w:rsidRDefault="00000000">
      <w:pPr>
        <w:pStyle w:val="Bibliography1"/>
        <w:spacing w:line="360" w:lineRule="auto"/>
        <w:ind w:left="480" w:hangingChars="200" w:hanging="480"/>
        <w:rPr>
          <w:rFonts w:ascii="Times New Roman" w:eastAsia="SimSun" w:hAnsi="Times New Roman" w:cs="Times New Roman"/>
          <w:sz w:val="24"/>
        </w:rPr>
      </w:pPr>
      <w:r>
        <w:rPr>
          <w:rFonts w:ascii="Times New Roman" w:eastAsia="SimSun" w:hAnsi="Times New Roman" w:cs="Times New Roman"/>
          <w:sz w:val="24"/>
        </w:rPr>
        <w:t>Kim, H.-S., 2016. A study of financial performance using DuPont analysis in food distribution market. Culinary science and hospitality research 22, 52–60.</w:t>
      </w:r>
    </w:p>
    <w:p w:rsidR="00BC1578" w:rsidRDefault="00000000">
      <w:pPr>
        <w:pStyle w:val="Bibliography1"/>
        <w:spacing w:line="360" w:lineRule="auto"/>
        <w:ind w:left="480" w:hangingChars="200" w:hanging="480"/>
        <w:rPr>
          <w:rFonts w:ascii="Times New Roman" w:eastAsia="SimSun" w:hAnsi="Times New Roman" w:cs="Times New Roman"/>
          <w:sz w:val="24"/>
        </w:rPr>
      </w:pPr>
      <w:r>
        <w:rPr>
          <w:rFonts w:ascii="Times New Roman" w:eastAsia="SimSun" w:hAnsi="Times New Roman" w:cs="Times New Roman"/>
          <w:sz w:val="24"/>
        </w:rPr>
        <w:t>Ng, A.W., 2018. From sustainability accounting to a green financing system: Institutional legitimacy and market heterogeneity in a global financial centre. Journal of Cleaner Production 195, 585–592. https://doi.org/10.1016/j.jclepro.2018.05.250</w:t>
      </w:r>
    </w:p>
    <w:p w:rsidR="00BC1578" w:rsidRDefault="00000000">
      <w:pPr>
        <w:pStyle w:val="Bibliography1"/>
        <w:spacing w:line="360" w:lineRule="auto"/>
        <w:ind w:left="480" w:hangingChars="200" w:hanging="480"/>
        <w:rPr>
          <w:rFonts w:ascii="Times New Roman" w:eastAsia="SimSun" w:hAnsi="Times New Roman" w:cs="Times New Roman"/>
          <w:sz w:val="24"/>
        </w:rPr>
      </w:pPr>
      <w:r>
        <w:rPr>
          <w:rFonts w:ascii="Times New Roman" w:eastAsia="SimSun" w:hAnsi="Times New Roman" w:cs="Times New Roman"/>
          <w:sz w:val="24"/>
        </w:rPr>
        <w:t>Padual, S.R.M., Ong, A.K.S., German, J.D., Gumasing, Ma.J.J., 2024. The need for individualization: An open innovation perspective on the case for customized products. Acta Psychologica 249, 104473. https://doi.org/10.1016/j.actpsy.2024.104473</w:t>
      </w:r>
    </w:p>
    <w:p w:rsidR="00BC1578" w:rsidRDefault="00000000">
      <w:pPr>
        <w:pStyle w:val="Bibliography1"/>
        <w:spacing w:line="360" w:lineRule="auto"/>
        <w:ind w:left="480" w:hangingChars="200" w:hanging="480"/>
        <w:rPr>
          <w:rFonts w:ascii="Times New Roman" w:eastAsia="SimSun" w:hAnsi="Times New Roman" w:cs="Times New Roman"/>
          <w:sz w:val="24"/>
        </w:rPr>
      </w:pPr>
      <w:r>
        <w:rPr>
          <w:rFonts w:ascii="Times New Roman" w:eastAsia="SimSun" w:hAnsi="Times New Roman" w:cs="Times New Roman"/>
          <w:sz w:val="24"/>
        </w:rPr>
        <w:t>Rahmandad, H., 2012. Impact of growth opportunities and competition on firm-level capability development trade-offs. Organization Science 23, 138–154. https://doi.org/10.1287/orsc.1100.0628</w:t>
      </w:r>
    </w:p>
    <w:p w:rsidR="00BC1578" w:rsidRDefault="00000000">
      <w:pPr>
        <w:pStyle w:val="Bibliography1"/>
        <w:spacing w:line="360" w:lineRule="auto"/>
        <w:ind w:left="480" w:hangingChars="200" w:hanging="480"/>
        <w:rPr>
          <w:rFonts w:ascii="Times New Roman" w:eastAsia="SimSun" w:hAnsi="Times New Roman" w:cs="Times New Roman"/>
          <w:sz w:val="24"/>
        </w:rPr>
      </w:pPr>
      <w:r>
        <w:rPr>
          <w:rFonts w:ascii="Times New Roman" w:eastAsia="SimSun" w:hAnsi="Times New Roman" w:cs="Times New Roman"/>
          <w:sz w:val="24"/>
        </w:rPr>
        <w:t>Shao K., 2023. Evaluation of Profitability of Listed Logistics Companies Based on Factor Analysis. Logistics Technology 42, 46–49.</w:t>
      </w:r>
    </w:p>
    <w:p w:rsidR="00BC1578" w:rsidRDefault="00000000">
      <w:pPr>
        <w:pStyle w:val="Bibliography1"/>
        <w:spacing w:line="360" w:lineRule="auto"/>
        <w:ind w:left="480" w:hangingChars="200" w:hanging="480"/>
        <w:rPr>
          <w:rFonts w:ascii="Times New Roman" w:eastAsia="SimSun" w:hAnsi="Times New Roman" w:cs="Times New Roman"/>
          <w:sz w:val="24"/>
        </w:rPr>
      </w:pPr>
      <w:r>
        <w:rPr>
          <w:rFonts w:ascii="Times New Roman" w:eastAsia="SimSun" w:hAnsi="Times New Roman" w:cs="Times New Roman"/>
          <w:sz w:val="24"/>
        </w:rPr>
        <w:t>Sharma, A., Iyer, G.R., Mehrotra, A., Krishnan, R., 2010. Sustainability and business-to-business marketing: A framework and implications. Industrial Marketing Management 39, 330–341. https://doi.org/10.1016/j.indmarman.2008.11.005</w:t>
      </w:r>
    </w:p>
    <w:p w:rsidR="00BC1578" w:rsidRDefault="00000000">
      <w:pPr>
        <w:pStyle w:val="Bibliography1"/>
        <w:spacing w:line="360" w:lineRule="auto"/>
        <w:ind w:left="480" w:hangingChars="200" w:hanging="480"/>
        <w:rPr>
          <w:rFonts w:ascii="Times New Roman" w:eastAsia="SimSun" w:hAnsi="Times New Roman" w:cs="Times New Roman"/>
          <w:sz w:val="24"/>
        </w:rPr>
      </w:pPr>
      <w:r>
        <w:rPr>
          <w:rFonts w:ascii="Times New Roman" w:eastAsia="SimSun" w:hAnsi="Times New Roman" w:cs="Times New Roman"/>
          <w:sz w:val="24"/>
        </w:rPr>
        <w:t>Tang, H., Liu, X., Li, M., 2024. Research on the influencing factors of Chinese agricultural brand competitiveness based on DEMATEL-ISM. Sci Rep 14, 11363. https://doi.org/10.1038/s41598-024-62068-1</w:t>
      </w:r>
    </w:p>
    <w:p w:rsidR="00BC1578" w:rsidRDefault="00000000">
      <w:pPr>
        <w:pStyle w:val="Bibliography1"/>
        <w:spacing w:line="360" w:lineRule="auto"/>
        <w:ind w:left="480" w:hangingChars="200" w:hanging="480"/>
        <w:rPr>
          <w:rFonts w:ascii="Times New Roman" w:eastAsia="SimSun" w:hAnsi="Times New Roman" w:cs="Times New Roman"/>
          <w:sz w:val="24"/>
        </w:rPr>
      </w:pPr>
      <w:r>
        <w:rPr>
          <w:rFonts w:ascii="Times New Roman" w:eastAsia="SimSun" w:hAnsi="Times New Roman" w:cs="Times New Roman"/>
          <w:sz w:val="24"/>
        </w:rPr>
        <w:t>Theodorakopoulos, L., Theodoropoulou, A., 2024. Leveraging big data analytics for understanding consumer behavior in digital marketing: A systematic review. Human Behavior and Emerging Technologies 2024, 3641502. https://doi.org/10.1155/2024/3641502</w:t>
      </w:r>
    </w:p>
    <w:p w:rsidR="00BC1578" w:rsidRDefault="00000000">
      <w:pPr>
        <w:pStyle w:val="Bibliography1"/>
        <w:spacing w:line="360" w:lineRule="auto"/>
        <w:ind w:left="480" w:hangingChars="200" w:hanging="480"/>
        <w:rPr>
          <w:rFonts w:ascii="Times New Roman" w:eastAsia="SimSun" w:hAnsi="Times New Roman" w:cs="Times New Roman"/>
          <w:sz w:val="24"/>
        </w:rPr>
      </w:pPr>
      <w:r>
        <w:rPr>
          <w:rFonts w:ascii="Times New Roman" w:eastAsia="SimSun" w:hAnsi="Times New Roman" w:cs="Times New Roman"/>
          <w:sz w:val="24"/>
        </w:rPr>
        <w:t>Wan, F., Williamson, P.J., Yin, E., 2015. Antecedents and implications of disruptive innovation: Evidence from China. Technovation, Opportunity Recognition and Creation 39–40, 94–104. https://doi.org/10.1016/j.technovation.2014.05.012</w:t>
      </w:r>
    </w:p>
    <w:p w:rsidR="00BC1578" w:rsidRDefault="00000000">
      <w:pPr>
        <w:pStyle w:val="Bibliography1"/>
        <w:spacing w:line="360" w:lineRule="auto"/>
        <w:ind w:left="480" w:hangingChars="200" w:hanging="480"/>
        <w:rPr>
          <w:rFonts w:ascii="Times New Roman" w:eastAsia="SimSun" w:hAnsi="Times New Roman" w:cs="Times New Roman"/>
          <w:sz w:val="24"/>
        </w:rPr>
      </w:pPr>
      <w:r>
        <w:rPr>
          <w:rFonts w:ascii="Times New Roman" w:eastAsia="SimSun" w:hAnsi="Times New Roman" w:cs="Times New Roman"/>
          <w:sz w:val="24"/>
        </w:rPr>
        <w:lastRenderedPageBreak/>
        <w:t>Wang G., 2020. Research on the Improved DuPont Financial Analysis System. Money Chian 141–142.</w:t>
      </w:r>
    </w:p>
    <w:p w:rsidR="00BC1578" w:rsidRDefault="00000000">
      <w:pPr>
        <w:pStyle w:val="Bibliography1"/>
        <w:spacing w:line="360" w:lineRule="auto"/>
        <w:ind w:left="480" w:hangingChars="200" w:hanging="480"/>
        <w:rPr>
          <w:rFonts w:ascii="Times New Roman" w:eastAsia="SimSun" w:hAnsi="Times New Roman" w:cs="Times New Roman"/>
          <w:sz w:val="24"/>
        </w:rPr>
      </w:pPr>
      <w:r>
        <w:rPr>
          <w:rFonts w:ascii="Times New Roman" w:eastAsia="SimSun" w:hAnsi="Times New Roman" w:cs="Times New Roman"/>
          <w:sz w:val="24"/>
        </w:rPr>
        <w:t>Wu, X., Dluhošová, D., Zmeškal, Z., 2021. Corporate social responsibility and profitability: The moderating role of firm type in Chinese appliance listed companies. Energies 14, 227. https://doi.org/10.3390/en14010227</w:t>
      </w:r>
    </w:p>
    <w:p w:rsidR="00BC1578" w:rsidRDefault="00000000">
      <w:pPr>
        <w:pStyle w:val="Bibliography1"/>
        <w:spacing w:line="360" w:lineRule="auto"/>
        <w:ind w:left="480" w:hangingChars="200" w:hanging="480"/>
        <w:rPr>
          <w:rFonts w:ascii="Times New Roman" w:eastAsia="SimSun" w:hAnsi="Times New Roman" w:cs="Times New Roman"/>
          <w:sz w:val="24"/>
        </w:rPr>
      </w:pPr>
      <w:r>
        <w:rPr>
          <w:rFonts w:ascii="Times New Roman" w:eastAsia="SimSun" w:hAnsi="Times New Roman" w:cs="Times New Roman"/>
          <w:sz w:val="24"/>
        </w:rPr>
        <w:t>Yang, L., Zhang, Y., 2020. Digital financial inclusion and sustainable growth of small and micro enterprises—evidence based on China’s new third board market listed companies. Sustainability 12, 3733. https://doi.org/10.3390/su12093733</w:t>
      </w:r>
    </w:p>
    <w:p w:rsidR="00BC1578" w:rsidRDefault="00000000">
      <w:pPr>
        <w:pStyle w:val="Bibliography1"/>
        <w:spacing w:line="360" w:lineRule="auto"/>
        <w:ind w:left="480" w:hangingChars="200" w:hanging="480"/>
        <w:rPr>
          <w:rFonts w:ascii="Times New Roman" w:eastAsia="SimSun" w:hAnsi="Times New Roman" w:cs="Times New Roman"/>
          <w:sz w:val="24"/>
        </w:rPr>
      </w:pPr>
      <w:r>
        <w:rPr>
          <w:rFonts w:ascii="Times New Roman" w:eastAsia="SimSun" w:hAnsi="Times New Roman" w:cs="Times New Roman"/>
          <w:sz w:val="24"/>
        </w:rPr>
        <w:t>Zhu Y., 2021. Research on Profitability Evaluation  of D Company (Dissertation for the Professional Master Degree). Northeast Agricultural University. https://doi.org/10.27010/d.cnki.gdbnu.2020.000548</w:t>
      </w:r>
    </w:p>
    <w:p w:rsidR="00BC1578" w:rsidRDefault="00000000">
      <w:pPr>
        <w:spacing w:line="360" w:lineRule="auto"/>
        <w:ind w:left="482" w:hangingChars="200" w:hanging="482"/>
        <w:rPr>
          <w:rFonts w:ascii="Times New Roman" w:eastAsia="serif" w:hAnsi="Times New Roman" w:cs="Times New Roman"/>
          <w:b/>
          <w:bCs/>
          <w:i/>
          <w:iCs/>
          <w:sz w:val="24"/>
          <w:shd w:val="clear" w:color="auto" w:fill="FFFFFF"/>
        </w:rPr>
      </w:pPr>
      <w:r>
        <w:rPr>
          <w:rFonts w:ascii="Times New Roman" w:eastAsia="SimSun" w:hAnsi="Times New Roman" w:cs="Times New Roman"/>
          <w:b/>
          <w:bCs/>
          <w:sz w:val="24"/>
        </w:rPr>
        <w:fldChar w:fldCharType="end"/>
      </w:r>
    </w:p>
    <w:sectPr w:rsidR="00BC1578">
      <w:headerReference w:type="even" r:id="rId13"/>
      <w:headerReference w:type="default" r:id="rId14"/>
      <w:footerReference w:type="even" r:id="rId15"/>
      <w:footerReference w:type="default" r:id="rId16"/>
      <w:headerReference w:type="first" r:id="rId17"/>
      <w:footerReference w:type="first" r:id="rId18"/>
      <w:footnotePr>
        <w:numFmt w:val="chicago"/>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3C50" w:rsidRDefault="00303C50">
      <w:r>
        <w:separator/>
      </w:r>
    </w:p>
  </w:endnote>
  <w:endnote w:type="continuationSeparator" w:id="0">
    <w:p w:rsidR="00303C50" w:rsidRDefault="0030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1578" w:rsidRDefault="00BC1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1578" w:rsidRDefault="00000000">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C1578"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BC1578"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1578" w:rsidRDefault="00BC1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3C50" w:rsidRDefault="00303C50">
      <w:r>
        <w:separator/>
      </w:r>
    </w:p>
  </w:footnote>
  <w:footnote w:type="continuationSeparator" w:id="0">
    <w:p w:rsidR="00303C50" w:rsidRDefault="00303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1578" w:rsidRDefault="0000000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1578" w:rsidRDefault="0000000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493.05pt;height:92.4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1578" w:rsidRDefault="0000000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AACA10"/>
    <w:multiLevelType w:val="singleLevel"/>
    <w:tmpl w:val="E8AACA10"/>
    <w:lvl w:ilvl="0">
      <w:start w:val="3"/>
      <w:numFmt w:val="decimal"/>
      <w:suff w:val="space"/>
      <w:lvlText w:val="(%1)"/>
      <w:lvlJc w:val="left"/>
    </w:lvl>
  </w:abstractNum>
  <w:abstractNum w:abstractNumId="1" w15:restartNumberingAfterBreak="0">
    <w:nsid w:val="EE7FCC08"/>
    <w:multiLevelType w:val="singleLevel"/>
    <w:tmpl w:val="EE7FCC08"/>
    <w:lvl w:ilvl="0">
      <w:start w:val="4"/>
      <w:numFmt w:val="decimal"/>
      <w:suff w:val="nothing"/>
      <w:lvlText w:val="（%1）"/>
      <w:lvlJc w:val="left"/>
    </w:lvl>
  </w:abstractNum>
  <w:abstractNum w:abstractNumId="2" w15:restartNumberingAfterBreak="0">
    <w:nsid w:val="0395314C"/>
    <w:multiLevelType w:val="singleLevel"/>
    <w:tmpl w:val="0395314C"/>
    <w:lvl w:ilvl="0">
      <w:start w:val="2"/>
      <w:numFmt w:val="decimal"/>
      <w:suff w:val="space"/>
      <w:lvlText w:val="(%1)"/>
      <w:lvlJc w:val="left"/>
    </w:lvl>
  </w:abstractNum>
  <w:num w:numId="1" w16cid:durableId="1683779446">
    <w:abstractNumId w:val="1"/>
  </w:num>
  <w:num w:numId="2" w16cid:durableId="303391498">
    <w:abstractNumId w:val="2"/>
  </w:num>
  <w:num w:numId="3" w16cid:durableId="340201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1FA1AAF"/>
    <w:rsid w:val="000305B3"/>
    <w:rsid w:val="0006201F"/>
    <w:rsid w:val="000D35F1"/>
    <w:rsid w:val="000F0138"/>
    <w:rsid w:val="001166D2"/>
    <w:rsid w:val="001A43CF"/>
    <w:rsid w:val="001A59FC"/>
    <w:rsid w:val="00251766"/>
    <w:rsid w:val="00296D42"/>
    <w:rsid w:val="002A3D20"/>
    <w:rsid w:val="00303C50"/>
    <w:rsid w:val="00304B20"/>
    <w:rsid w:val="003573B9"/>
    <w:rsid w:val="00387279"/>
    <w:rsid w:val="003A0331"/>
    <w:rsid w:val="003A24F0"/>
    <w:rsid w:val="003E526B"/>
    <w:rsid w:val="0046739D"/>
    <w:rsid w:val="004741F1"/>
    <w:rsid w:val="004A645C"/>
    <w:rsid w:val="004E2CA4"/>
    <w:rsid w:val="00564FB8"/>
    <w:rsid w:val="00575FF8"/>
    <w:rsid w:val="005814BC"/>
    <w:rsid w:val="005D1F7E"/>
    <w:rsid w:val="00642FF8"/>
    <w:rsid w:val="00677706"/>
    <w:rsid w:val="00692B46"/>
    <w:rsid w:val="007244C9"/>
    <w:rsid w:val="007475A2"/>
    <w:rsid w:val="007D2978"/>
    <w:rsid w:val="0095188D"/>
    <w:rsid w:val="009E6F0D"/>
    <w:rsid w:val="00A65518"/>
    <w:rsid w:val="00AE65FE"/>
    <w:rsid w:val="00BC1578"/>
    <w:rsid w:val="00CF703F"/>
    <w:rsid w:val="00D07873"/>
    <w:rsid w:val="00D31437"/>
    <w:rsid w:val="00DB1C62"/>
    <w:rsid w:val="00DB3064"/>
    <w:rsid w:val="00E56D99"/>
    <w:rsid w:val="00E648C5"/>
    <w:rsid w:val="00EB0909"/>
    <w:rsid w:val="00EB4C6F"/>
    <w:rsid w:val="00EF7273"/>
    <w:rsid w:val="00F13EE5"/>
    <w:rsid w:val="00F4716C"/>
    <w:rsid w:val="00F80639"/>
    <w:rsid w:val="0227311A"/>
    <w:rsid w:val="03CA6F85"/>
    <w:rsid w:val="04AE18D1"/>
    <w:rsid w:val="060E6ACB"/>
    <w:rsid w:val="081D1247"/>
    <w:rsid w:val="095C5D9F"/>
    <w:rsid w:val="0E032C8D"/>
    <w:rsid w:val="0E7476E7"/>
    <w:rsid w:val="0EE52393"/>
    <w:rsid w:val="0F87344A"/>
    <w:rsid w:val="108160EB"/>
    <w:rsid w:val="11F50B3F"/>
    <w:rsid w:val="128F4AEF"/>
    <w:rsid w:val="12AA7B7B"/>
    <w:rsid w:val="16BB0C02"/>
    <w:rsid w:val="1A0F4768"/>
    <w:rsid w:val="1DFD14A7"/>
    <w:rsid w:val="213C22E6"/>
    <w:rsid w:val="242D5F16"/>
    <w:rsid w:val="252F3F10"/>
    <w:rsid w:val="25787665"/>
    <w:rsid w:val="26085AF6"/>
    <w:rsid w:val="2859377E"/>
    <w:rsid w:val="2B7E1BD5"/>
    <w:rsid w:val="2C9917B7"/>
    <w:rsid w:val="2EE01961"/>
    <w:rsid w:val="30AE4883"/>
    <w:rsid w:val="31AC272E"/>
    <w:rsid w:val="31C12394"/>
    <w:rsid w:val="340F5638"/>
    <w:rsid w:val="3505772E"/>
    <w:rsid w:val="362C2598"/>
    <w:rsid w:val="3848463C"/>
    <w:rsid w:val="385A1469"/>
    <w:rsid w:val="3B554279"/>
    <w:rsid w:val="401A063A"/>
    <w:rsid w:val="403C5A07"/>
    <w:rsid w:val="41FA1AAF"/>
    <w:rsid w:val="43DA0191"/>
    <w:rsid w:val="45464C32"/>
    <w:rsid w:val="4A360986"/>
    <w:rsid w:val="4BE807F1"/>
    <w:rsid w:val="4C751238"/>
    <w:rsid w:val="4CC21042"/>
    <w:rsid w:val="4D04165B"/>
    <w:rsid w:val="4D565C2E"/>
    <w:rsid w:val="5187285A"/>
    <w:rsid w:val="526E44CD"/>
    <w:rsid w:val="52A411FB"/>
    <w:rsid w:val="54F87601"/>
    <w:rsid w:val="559E63C4"/>
    <w:rsid w:val="5705494D"/>
    <w:rsid w:val="57B974E6"/>
    <w:rsid w:val="5AE26D53"/>
    <w:rsid w:val="5B3A6DC6"/>
    <w:rsid w:val="66532B3A"/>
    <w:rsid w:val="68183DB4"/>
    <w:rsid w:val="68751207"/>
    <w:rsid w:val="6BB169FA"/>
    <w:rsid w:val="6E895A0C"/>
    <w:rsid w:val="6EF45CF4"/>
    <w:rsid w:val="6FA02431"/>
    <w:rsid w:val="6FBD3BBF"/>
    <w:rsid w:val="725E2D0C"/>
    <w:rsid w:val="72A5093A"/>
    <w:rsid w:val="73702CF6"/>
    <w:rsid w:val="73A51128"/>
    <w:rsid w:val="76E732D0"/>
    <w:rsid w:val="77AD4FDD"/>
    <w:rsid w:val="7A0F3ECF"/>
    <w:rsid w:val="7B4C4049"/>
    <w:rsid w:val="7BA84B8C"/>
    <w:rsid w:val="7C014E34"/>
    <w:rsid w:val="7C9E08D4"/>
    <w:rsid w:val="7ECA5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0B616"/>
  <w15:docId w15:val="{C4C35D33-2F45-4D77-9319-72FCB13E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3">
    <w:name w:val="heading 3"/>
    <w:basedOn w:val="Normal"/>
    <w:next w:val="Normal"/>
    <w:semiHidden/>
    <w:unhideWhenUsed/>
    <w:qFormat/>
    <w:pPr>
      <w:spacing w:beforeAutospacing="1" w:afterAutospacing="1"/>
      <w:jc w:val="left"/>
      <w:outlineLvl w:val="2"/>
    </w:pPr>
    <w:rPr>
      <w:rFonts w:ascii="SimSun" w:eastAsia="SimSun" w:hAnsi="SimSun" w:cs="Times New Roman" w:hint="eastAsia"/>
      <w:b/>
      <w:bCs/>
      <w:kern w:val="0"/>
      <w:sz w:val="27"/>
      <w:szCs w:val="27"/>
    </w:rPr>
  </w:style>
  <w:style w:type="paragraph" w:styleId="Heading5">
    <w:name w:val="heading 5"/>
    <w:basedOn w:val="Normal"/>
    <w:next w:val="Normal"/>
    <w:semiHidden/>
    <w:unhideWhenUsed/>
    <w:qFormat/>
    <w:pPr>
      <w:spacing w:beforeAutospacing="1" w:afterAutospacing="1"/>
      <w:jc w:val="left"/>
      <w:outlineLvl w:val="4"/>
    </w:pPr>
    <w:rPr>
      <w:rFonts w:ascii="SimSun" w:eastAsia="SimSun" w:hAnsi="SimSun" w:cs="Times New Roman" w:hint="eastAsia"/>
      <w:b/>
      <w:bC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noteText">
    <w:name w:val="footnote text"/>
    <w:basedOn w:val="Normal"/>
    <w:qFormat/>
    <w:pPr>
      <w:snapToGrid w:val="0"/>
      <w:jc w:val="left"/>
    </w:pPr>
    <w:rPr>
      <w:sz w:val="18"/>
    </w:rPr>
  </w:style>
  <w:style w:type="paragraph" w:styleId="NormalWeb">
    <w:name w:val="Normal (Web)"/>
    <w:basedOn w:val="Normal"/>
    <w:qFormat/>
    <w:pPr>
      <w:spacing w:beforeAutospacing="1" w:afterAutospacing="1"/>
      <w:jc w:val="left"/>
    </w:pPr>
    <w:rPr>
      <w:rFonts w:cs="Times New Roman"/>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Hyperlink">
    <w:name w:val="Hyperlink"/>
    <w:basedOn w:val="DefaultParagraphFont"/>
    <w:qFormat/>
    <w:rPr>
      <w:color w:val="0026E5" w:themeColor="hyperlink"/>
      <w:u w:val="single"/>
    </w:rPr>
  </w:style>
  <w:style w:type="character" w:styleId="FootnoteReference">
    <w:name w:val="footnote reference"/>
    <w:basedOn w:val="DefaultParagraphFont"/>
    <w:qFormat/>
    <w:rPr>
      <w:vertAlign w:val="superscript"/>
    </w:rPr>
  </w:style>
  <w:style w:type="paragraph" w:customStyle="1" w:styleId="1">
    <w:name w:val="书目1"/>
    <w:basedOn w:val="Normal"/>
    <w:next w:val="Normal"/>
    <w:uiPriority w:val="37"/>
    <w:unhideWhenUsed/>
    <w:qFormat/>
    <w:pPr>
      <w:ind w:left="720" w:hanging="720"/>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2">
    <w:name w:val="书目2"/>
    <w:basedOn w:val="Normal"/>
    <w:next w:val="Normal"/>
    <w:uiPriority w:val="37"/>
    <w:unhideWhenUsed/>
    <w:qFormat/>
  </w:style>
  <w:style w:type="paragraph" w:customStyle="1" w:styleId="Bibliography1">
    <w:name w:val="Bibliography1"/>
    <w:basedOn w:val="Normal"/>
    <w:next w:val="Normal"/>
    <w:uiPriority w:val="37"/>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7"/>
    <customShpInfo spid="_x0000_s1026" textRotate="1"/>
    <customShpInfo spid="_x0000_s1025"/>
  </customShpExts>
</s:customData>
</file>

<file path=customXml/itemProps1.xml><?xml version="1.0" encoding="utf-8"?>
<ds:datastoreItem xmlns:ds="http://schemas.openxmlformats.org/officeDocument/2006/customXml" ds:itemID="{70938DC7-DA42-4B2A-BE70-F61E12A34B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12686</Words>
  <Characters>72312</Characters>
  <Application>Microsoft Office Word</Application>
  <DocSecurity>0</DocSecurity>
  <Lines>602</Lines>
  <Paragraphs>169</Paragraphs>
  <ScaleCrop>false</ScaleCrop>
  <Company/>
  <LinksUpToDate>false</LinksUpToDate>
  <CharactersWithSpaces>84829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WPS_1539008377</dc:creator>
  <cp:lastModifiedBy>Editor-11</cp:lastModifiedBy>
  <cp:revision>26</cp:revision>
  <dcterms:created xsi:type="dcterms:W3CDTF">2025-01-03T13:28:00Z</dcterms:created>
  <dcterms:modified xsi:type="dcterms:W3CDTF">2025-03-15T07:58:00Z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7DE83EDE664A476FAA636C1EC2B9A012_11</vt:lpwstr>
  </property>
  <property fmtid="{D5CDD505-2E9C-101B-9397-08002B2CF9AE}" pid="4" name="KSOTemplateDocerSaveRecord">
    <vt:lpwstr>eyJoZGlkIjoiNWI3MDhlZDg5ZDI5NmQyNzhiNDMwYjFiYmYwNWUwMDgiLCJ1c2VySWQiOiI0MTQzNTM0OTUifQ==</vt:lpwstr>
  </property>
  <property fmtid="{D5CDD505-2E9C-101B-9397-08002B2CF9AE}" pid="5" name="ZOTERO_PREF_1">
    <vt:lpwstr>&lt;data data-version="3" zotero-version="7.0.13"&gt;&lt;session id="UvW1pnE4"/&gt;&lt;style id="http://www.zotero.org/styles/journal-of-environmental-sciences" hasBibliography="1" bibliographyStyleHasBeenSet="1"/&gt;&lt;prefs&gt;&lt;pref name="fieldType" value="Field"/&gt;&lt;/prefs&gt;&lt;/d</vt:lpwstr>
  </property>
  <property fmtid="{D5CDD505-2E9C-101B-9397-08002B2CF9AE}" pid="6" name="ZOTERO_PREF_2">
    <vt:lpwstr>ata&gt;</vt:lpwstr>
  </property>
</Properties>
</file>