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2ADD" w14:textId="4930FB76" w:rsidR="00AB58A9" w:rsidRDefault="00AB58A9" w:rsidP="00174F29">
      <w:pPr>
        <w:spacing w:after="0" w:line="360" w:lineRule="auto"/>
        <w:jc w:val="right"/>
        <w:rPr>
          <w:rFonts w:cs="Times New Roman"/>
          <w:b/>
          <w:bCs/>
        </w:rPr>
      </w:pPr>
    </w:p>
    <w:p w14:paraId="4853907A" w14:textId="77777777" w:rsidR="00F32A8B" w:rsidRPr="00F32A8B" w:rsidRDefault="00F32A8B" w:rsidP="00FC164E">
      <w:pPr>
        <w:spacing w:after="0" w:line="360" w:lineRule="auto"/>
        <w:jc w:val="both"/>
        <w:rPr>
          <w:rFonts w:cs="Times New Roman"/>
          <w:b/>
          <w:bCs/>
        </w:rPr>
      </w:pPr>
    </w:p>
    <w:p w14:paraId="1B1D92DB" w14:textId="211A874B" w:rsidR="0022555F" w:rsidRDefault="0022555F" w:rsidP="00FC164E">
      <w:pPr>
        <w:spacing w:after="0" w:line="360" w:lineRule="auto"/>
        <w:jc w:val="center"/>
        <w:rPr>
          <w:rFonts w:cs="Times New Roman"/>
          <w:b/>
          <w:bCs/>
        </w:rPr>
      </w:pPr>
      <w:proofErr w:type="spellStart"/>
      <w:r w:rsidRPr="00F32A8B">
        <w:rPr>
          <w:rFonts w:cs="Times New Roman"/>
          <w:b/>
          <w:bCs/>
        </w:rPr>
        <w:t>Optimising</w:t>
      </w:r>
      <w:proofErr w:type="spellEnd"/>
      <w:r w:rsidRPr="00F32A8B">
        <w:rPr>
          <w:rFonts w:cs="Times New Roman"/>
          <w:b/>
          <w:bCs/>
        </w:rPr>
        <w:t xml:space="preserve"> </w:t>
      </w:r>
      <w:bookmarkStart w:id="0" w:name="_Hlk191745719"/>
      <w:r w:rsidRPr="00F32A8B">
        <w:rPr>
          <w:rFonts w:cs="Times New Roman"/>
          <w:b/>
          <w:bCs/>
        </w:rPr>
        <w:t>Service Delivery in State-Owned Energy Corporations: Examining Stakeholder Participation Strategies at Uganda Electricity Distribution Company</w:t>
      </w:r>
      <w:bookmarkEnd w:id="0"/>
      <w:r w:rsidR="00DB3180">
        <w:rPr>
          <w:rFonts w:cs="Times New Roman"/>
          <w:b/>
          <w:bCs/>
        </w:rPr>
        <w:t xml:space="preserve"> Limited </w:t>
      </w:r>
    </w:p>
    <w:p w14:paraId="459D6618" w14:textId="77777777" w:rsidR="00A0208D" w:rsidRPr="00A0208D" w:rsidRDefault="00A0208D" w:rsidP="00A0208D">
      <w:pPr>
        <w:spacing w:line="360" w:lineRule="auto"/>
        <w:jc w:val="center"/>
        <w:rPr>
          <w:rFonts w:cs="Times New Roman"/>
          <w:b/>
          <w:color w:val="000000" w:themeColor="text1"/>
          <w:szCs w:val="24"/>
        </w:rPr>
      </w:pPr>
    </w:p>
    <w:p w14:paraId="08028ED1" w14:textId="652D8ED0" w:rsidR="00876B4B" w:rsidRPr="00F32A8B" w:rsidRDefault="0022555F" w:rsidP="00FC164E">
      <w:pPr>
        <w:spacing w:line="360" w:lineRule="auto"/>
        <w:jc w:val="both"/>
        <w:rPr>
          <w:rFonts w:cs="Times New Roman"/>
          <w:b/>
        </w:rPr>
      </w:pPr>
      <w:r w:rsidRPr="00F32A8B">
        <w:rPr>
          <w:rFonts w:cs="Times New Roman"/>
          <w:b/>
        </w:rPr>
        <w:t xml:space="preserve">Abstract </w:t>
      </w:r>
    </w:p>
    <w:p w14:paraId="6849EA5E" w14:textId="7B30100D" w:rsidR="002D0936" w:rsidRPr="0085501D" w:rsidRDefault="002D0936" w:rsidP="0085501D">
      <w:pPr>
        <w:spacing w:before="100" w:beforeAutospacing="1" w:after="100" w:afterAutospacing="1" w:line="360" w:lineRule="auto"/>
        <w:jc w:val="both"/>
        <w:rPr>
          <w:rFonts w:eastAsia="Times New Roman" w:cs="Times New Roman"/>
          <w:kern w:val="0"/>
          <w:szCs w:val="24"/>
        </w:rPr>
      </w:pPr>
      <w:bookmarkStart w:id="1" w:name="_Hlk192313640"/>
      <w:r w:rsidRPr="002D0936">
        <w:rPr>
          <w:rFonts w:eastAsia="Times New Roman" w:cs="Times New Roman"/>
          <w:kern w:val="0"/>
          <w:szCs w:val="24"/>
        </w:rPr>
        <w:t xml:space="preserve">This research examined the </w:t>
      </w:r>
      <w:r w:rsidR="0008101A">
        <w:rPr>
          <w:rFonts w:eastAsia="Times New Roman" w:cs="Times New Roman"/>
          <w:kern w:val="0"/>
          <w:szCs w:val="24"/>
        </w:rPr>
        <w:t>influence</w:t>
      </w:r>
      <w:r w:rsidRPr="002D0936">
        <w:rPr>
          <w:rFonts w:eastAsia="Times New Roman" w:cs="Times New Roman"/>
          <w:kern w:val="0"/>
          <w:szCs w:val="24"/>
        </w:rPr>
        <w:t xml:space="preserve"> of </w:t>
      </w:r>
      <w:r w:rsidR="0008101A">
        <w:rPr>
          <w:rFonts w:eastAsia="Times New Roman" w:cs="Times New Roman"/>
          <w:kern w:val="0"/>
          <w:szCs w:val="24"/>
        </w:rPr>
        <w:t>stakeholder participation</w:t>
      </w:r>
      <w:r w:rsidRPr="002D0936">
        <w:rPr>
          <w:rFonts w:eastAsia="Times New Roman" w:cs="Times New Roman"/>
          <w:kern w:val="0"/>
          <w:szCs w:val="24"/>
        </w:rPr>
        <w:t xml:space="preserve"> on service delivery in state-owned energy corporations, focusing on Uganda Electricity Distribution Company </w:t>
      </w:r>
      <w:r w:rsidR="00FC164E">
        <w:rPr>
          <w:rFonts w:eastAsia="Times New Roman" w:cs="Times New Roman"/>
          <w:kern w:val="0"/>
          <w:szCs w:val="24"/>
        </w:rPr>
        <w:t xml:space="preserve">Limited (UEDCL) </w:t>
      </w:r>
      <w:r w:rsidRPr="002D0936">
        <w:rPr>
          <w:rFonts w:eastAsia="Times New Roman" w:cs="Times New Roman"/>
          <w:kern w:val="0"/>
          <w:szCs w:val="24"/>
        </w:rPr>
        <w:t>Limited.</w:t>
      </w:r>
      <w:bookmarkEnd w:id="1"/>
      <w:r w:rsidRPr="002D0936">
        <w:rPr>
          <w:rFonts w:eastAsia="Times New Roman" w:cs="Times New Roman"/>
          <w:kern w:val="0"/>
          <w:szCs w:val="24"/>
        </w:rPr>
        <w:t xml:space="preserve"> Stakeholder Theory provided the foundation for assessing how stakeholder participation influences service efficiency. A quantitative approach incorporating correlational and survey research designs was adopted, targeting 678 individuals, including board members, </w:t>
      </w:r>
      <w:bookmarkStart w:id="2" w:name="_Hlk191757857"/>
      <w:r w:rsidRPr="002D0936">
        <w:rPr>
          <w:rFonts w:eastAsia="Times New Roman" w:cs="Times New Roman"/>
          <w:kern w:val="0"/>
          <w:szCs w:val="24"/>
        </w:rPr>
        <w:t>UEDCL</w:t>
      </w:r>
      <w:bookmarkEnd w:id="2"/>
      <w:r w:rsidRPr="002D0936">
        <w:rPr>
          <w:rFonts w:eastAsia="Times New Roman" w:cs="Times New Roman"/>
          <w:kern w:val="0"/>
          <w:szCs w:val="24"/>
        </w:rPr>
        <w:t xml:space="preserve"> employees, and private sector participants in the energy industry. Stratified, proportionate, purposive, and simple random sampling techniques facilitated the selection of 251 respondents. Self-administered questionnaires were used for data collection, with analysis conducted through descriptive statistics such as means, frequencies, percentages, and standard deviations, alongside inferential techniques, including linear regression and correlation analysis, using SPSS version 28. Results indicated a significant relationship between stakeholder participation and service delivery (β = 0.401, t = 6.057, p = 0.000; p &lt; 0.05), </w:t>
      </w:r>
      <w:proofErr w:type="spellStart"/>
      <w:r w:rsidRPr="002D0936">
        <w:rPr>
          <w:rFonts w:eastAsia="Times New Roman" w:cs="Times New Roman"/>
          <w:kern w:val="0"/>
          <w:szCs w:val="24"/>
        </w:rPr>
        <w:t>emphasising</w:t>
      </w:r>
      <w:proofErr w:type="spellEnd"/>
      <w:r w:rsidRPr="002D0936">
        <w:rPr>
          <w:rFonts w:eastAsia="Times New Roman" w:cs="Times New Roman"/>
          <w:kern w:val="0"/>
          <w:szCs w:val="24"/>
        </w:rPr>
        <w:t xml:space="preserve"> the crucial role of stakeholder engagement in improving service efficiency. Strengthening stakeholder involvement mechanisms can enhance responsiveness and decision-making processes in service delivery. This study provides an empirical examination of stakeholder participation in Uganda’s energy sector, offering valuable insights for improving governance and operational efficiency in state-owned enterprises.</w:t>
      </w:r>
    </w:p>
    <w:p w14:paraId="2607A291" w14:textId="276454D1" w:rsidR="0022555F" w:rsidRPr="00FC164E" w:rsidRDefault="0022555F" w:rsidP="00FC164E">
      <w:pPr>
        <w:spacing w:line="360" w:lineRule="auto"/>
        <w:jc w:val="both"/>
        <w:rPr>
          <w:rFonts w:cs="Times New Roman"/>
          <w:bCs/>
        </w:rPr>
      </w:pPr>
      <w:r w:rsidRPr="00F32A8B">
        <w:rPr>
          <w:rFonts w:cs="Times New Roman"/>
          <w:b/>
        </w:rPr>
        <w:t>Keywords:</w:t>
      </w:r>
      <w:r w:rsidR="002809D6" w:rsidRPr="00F32A8B">
        <w:rPr>
          <w:rFonts w:cs="Times New Roman"/>
        </w:rPr>
        <w:t xml:space="preserve"> </w:t>
      </w:r>
      <w:r w:rsidR="002809D6" w:rsidRPr="00F32A8B">
        <w:rPr>
          <w:rFonts w:cs="Times New Roman"/>
          <w:bCs/>
        </w:rPr>
        <w:t>Service Delivery, Energy Corporations, Stakeholder Participation, Electricity Distribution Company</w:t>
      </w:r>
    </w:p>
    <w:p w14:paraId="53A5E748" w14:textId="77777777" w:rsidR="002D0936" w:rsidRPr="002D0936" w:rsidRDefault="0022555F" w:rsidP="00FC164E">
      <w:pPr>
        <w:pStyle w:val="NormalWeb"/>
        <w:spacing w:line="360" w:lineRule="auto"/>
        <w:jc w:val="both"/>
        <w:rPr>
          <w:rFonts w:eastAsia="Times New Roman"/>
          <w:kern w:val="0"/>
        </w:rPr>
      </w:pPr>
      <w:r w:rsidRPr="00F32A8B">
        <w:rPr>
          <w:b/>
        </w:rPr>
        <w:t xml:space="preserve">Introduction </w:t>
      </w:r>
      <w:r w:rsidR="00117AF0" w:rsidRPr="00F32A8B">
        <w:br/>
      </w:r>
      <w:r w:rsidR="002D0936" w:rsidRPr="002D0936">
        <w:rPr>
          <w:rFonts w:eastAsia="Times New Roman"/>
          <w:kern w:val="0"/>
        </w:rPr>
        <w:t xml:space="preserve">State-owned energy corporations significantly contribute to providing essential services and ensuring national energy security. Achieving effective service delivery in these entities depends on stakeholder participation strategies that enhance operational efficiency, transparency, and </w:t>
      </w:r>
      <w:r w:rsidR="002D0936" w:rsidRPr="002D0936">
        <w:rPr>
          <w:rFonts w:eastAsia="Times New Roman"/>
          <w:kern w:val="0"/>
        </w:rPr>
        <w:lastRenderedPageBreak/>
        <w:t xml:space="preserve">service quality (Bhattacharya et al., 2020; Ghosh et al., 2022). Research highlights that stakeholder involvement promotes collaboration and accountability, leading to improved policy implementation and project success (Mahapatra &amp; Mahapatra, 2020; Kumar et al., 2022). Reports from global </w:t>
      </w:r>
      <w:proofErr w:type="spellStart"/>
      <w:r w:rsidR="002D0936" w:rsidRPr="002D0936">
        <w:rPr>
          <w:rFonts w:eastAsia="Times New Roman"/>
          <w:kern w:val="0"/>
        </w:rPr>
        <w:t>organisations</w:t>
      </w:r>
      <w:proofErr w:type="spellEnd"/>
      <w:r w:rsidR="002D0936" w:rsidRPr="002D0936">
        <w:rPr>
          <w:rFonts w:eastAsia="Times New Roman"/>
          <w:kern w:val="0"/>
        </w:rPr>
        <w:t xml:space="preserve"> </w:t>
      </w:r>
      <w:proofErr w:type="spellStart"/>
      <w:r w:rsidR="002D0936" w:rsidRPr="002D0936">
        <w:rPr>
          <w:rFonts w:eastAsia="Times New Roman"/>
          <w:kern w:val="0"/>
        </w:rPr>
        <w:t>emphasise</w:t>
      </w:r>
      <w:proofErr w:type="spellEnd"/>
      <w:r w:rsidR="002D0936" w:rsidRPr="002D0936">
        <w:rPr>
          <w:rFonts w:eastAsia="Times New Roman"/>
          <w:kern w:val="0"/>
        </w:rPr>
        <w:t xml:space="preserve"> that engagement strategies support long-term energy transitions and climate goals (IEA, 2020; IRENA, 2022). Inclusive participation strengthens stakeholder satisfaction and trust in public energy services, reinforcing the need for structured engagement mechanisms (UNDP, 2020). Examining stakeholder participation in state-owned energy corporations remains critical for </w:t>
      </w:r>
      <w:proofErr w:type="spellStart"/>
      <w:r w:rsidR="002D0936" w:rsidRPr="002D0936">
        <w:rPr>
          <w:rFonts w:eastAsia="Times New Roman"/>
          <w:kern w:val="0"/>
        </w:rPr>
        <w:t>optimising</w:t>
      </w:r>
      <w:proofErr w:type="spellEnd"/>
      <w:r w:rsidR="002D0936" w:rsidRPr="002D0936">
        <w:rPr>
          <w:rFonts w:eastAsia="Times New Roman"/>
          <w:kern w:val="0"/>
        </w:rPr>
        <w:t xml:space="preserve"> service delivery and ensuring sustainable energy development.</w:t>
      </w:r>
    </w:p>
    <w:p w14:paraId="1EA684CF" w14:textId="168D3F62" w:rsidR="002D0936" w:rsidRPr="002D0936" w:rsidRDefault="002D0936" w:rsidP="00FC164E">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t xml:space="preserve">Enhancing service efficiency, transparency, and trust in state-owned energy corporations requires well-structured stakeholder participation strategies. Research suggests that engaging stakeholders through structured dialogue fosters effective policy implementation and improved service outcomes (Bhattacharya et al., 2020; Mahapatra &amp; Mahapatra, 2020). Stakeholder mapping and analysis help energy corporations tailor engagement strategies based on the influence and interests of different groups (Ghosh et al., 2022; Kumar et al., 2022). The International Energy Agency </w:t>
      </w:r>
      <w:r w:rsidR="00262FA0">
        <w:rPr>
          <w:rFonts w:eastAsia="Times New Roman" w:cs="Times New Roman"/>
          <w:kern w:val="0"/>
          <w:szCs w:val="24"/>
        </w:rPr>
        <w:t xml:space="preserve">[IEA] </w:t>
      </w:r>
      <w:r w:rsidRPr="002D0936">
        <w:rPr>
          <w:rFonts w:eastAsia="Times New Roman" w:cs="Times New Roman"/>
          <w:kern w:val="0"/>
          <w:szCs w:val="24"/>
        </w:rPr>
        <w:t xml:space="preserve">(2020) and IRENA (2022) highlight that transparent communication and continuous feedback mechanisms increase stakeholder satisfaction and facilitate sustainable energy transitions. Strengthening accountability and public trust remains essential for the long-term success of these corporations (UNDP, 2020; Climate Investment Funds, 2020). Addressing stakeholder concerns early in project planning ensures smoother implementation and </w:t>
      </w:r>
      <w:proofErr w:type="spellStart"/>
      <w:r w:rsidRPr="002D0936">
        <w:rPr>
          <w:rFonts w:eastAsia="Times New Roman" w:cs="Times New Roman"/>
          <w:kern w:val="0"/>
          <w:szCs w:val="24"/>
        </w:rPr>
        <w:t>minimises</w:t>
      </w:r>
      <w:proofErr w:type="spellEnd"/>
      <w:r w:rsidRPr="002D0936">
        <w:rPr>
          <w:rFonts w:eastAsia="Times New Roman" w:cs="Times New Roman"/>
          <w:kern w:val="0"/>
          <w:szCs w:val="24"/>
        </w:rPr>
        <w:t xml:space="preserve"> resistance, ultimately improving service delivery in the energy sector (National Renewable Energy Laboratory, 2021; Initiative for Climate Action Transparency, 2020).</w:t>
      </w:r>
    </w:p>
    <w:p w14:paraId="7F8E5EB6" w14:textId="77777777" w:rsidR="002D0936" w:rsidRPr="002D0936" w:rsidRDefault="002D0936" w:rsidP="00FC164E">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t>State-owned energy corporations in advanced economies often achieve high service delivery standards due to substantial investments in infrastructure, technology, and regulatory frameworks (</w:t>
      </w:r>
      <w:proofErr w:type="spellStart"/>
      <w:r w:rsidRPr="002D0936">
        <w:rPr>
          <w:rFonts w:eastAsia="Times New Roman" w:cs="Times New Roman"/>
          <w:kern w:val="0"/>
          <w:szCs w:val="24"/>
        </w:rPr>
        <w:t>Bardouille</w:t>
      </w:r>
      <w:proofErr w:type="spellEnd"/>
      <w:r w:rsidRPr="002D0936">
        <w:rPr>
          <w:rFonts w:eastAsia="Times New Roman" w:cs="Times New Roman"/>
          <w:kern w:val="0"/>
          <w:szCs w:val="24"/>
        </w:rPr>
        <w:t>, 2022). Utilities such as Eversource and United Illuminating in Connecticut, USA, ensure transparency and efficiency by segmenting customer bills into supply, local delivery, transmission, and public benefits components (CT Insider, 2025). Structured regulatory processes and public consultations facilitate stakeholder participation, enabling consumers and other interested parties to influence decision-making (Littlechild, 2020). Balancing diverse stakeholder interests and ensuring equitable service access remain ongoing challenges (</w:t>
      </w:r>
      <w:proofErr w:type="spellStart"/>
      <w:r w:rsidRPr="002D0936">
        <w:rPr>
          <w:rFonts w:eastAsia="Times New Roman" w:cs="Times New Roman"/>
          <w:kern w:val="0"/>
          <w:szCs w:val="24"/>
        </w:rPr>
        <w:t>Sovacool</w:t>
      </w:r>
      <w:proofErr w:type="spellEnd"/>
      <w:r w:rsidRPr="002D0936">
        <w:rPr>
          <w:rFonts w:eastAsia="Times New Roman" w:cs="Times New Roman"/>
          <w:kern w:val="0"/>
          <w:szCs w:val="24"/>
        </w:rPr>
        <w:t xml:space="preserve"> et al., 2020).</w:t>
      </w:r>
    </w:p>
    <w:p w14:paraId="13D47038" w14:textId="77777777" w:rsidR="002D0936" w:rsidRPr="002D0936" w:rsidRDefault="002D0936" w:rsidP="00FC164E">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lastRenderedPageBreak/>
        <w:t xml:space="preserve">Distinct challenges affect state-owned energy corporations in emerging economies, often arising from financial constraints, infrastructural deficits, and governance issues (Kumar et al., 2022). In India, financial aid is being considered for debt-ridden power distribution utilities to </w:t>
      </w:r>
      <w:proofErr w:type="spellStart"/>
      <w:r w:rsidRPr="002D0936">
        <w:rPr>
          <w:rFonts w:eastAsia="Times New Roman" w:cs="Times New Roman"/>
          <w:kern w:val="0"/>
          <w:szCs w:val="24"/>
        </w:rPr>
        <w:t>stabilise</w:t>
      </w:r>
      <w:proofErr w:type="spellEnd"/>
      <w:r w:rsidRPr="002D0936">
        <w:rPr>
          <w:rFonts w:eastAsia="Times New Roman" w:cs="Times New Roman"/>
          <w:kern w:val="0"/>
          <w:szCs w:val="24"/>
        </w:rPr>
        <w:t xml:space="preserve"> the sector amid growing demand (Reuters, 2025). Limited communication channels and transparency hinder stakeholder participation, fostering mistrust and resistance within local communities (Ghosh et al., 2022). Political influences and regulatory uncertainties further complicate engagement efforts, restricting effective collaboration between utilities and stakeholders (Marples, 2020).</w:t>
      </w:r>
    </w:p>
    <w:p w14:paraId="57E1D0CF" w14:textId="51971E86" w:rsidR="002D0936" w:rsidRPr="002D0936" w:rsidRDefault="002D0936" w:rsidP="00FC164E">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t>Uganda’s state-owned energy corporations have undergone significant reforms to enhance efficiency and accessibility. The unbundling of the power sector in 1999 resulted in the establishment of separate entities for generation, transmission, and distribution, with UEDCL responsible for distribution. Persistent challenges, including infrastructural deficits, financial constraints, and delays in planned mergers, continue to disrupt service delivery and impede sector performance (New Vision, 2024).</w:t>
      </w:r>
    </w:p>
    <w:p w14:paraId="068EFE10" w14:textId="36B55792" w:rsidR="0085501D" w:rsidRDefault="002D0936" w:rsidP="0085501D">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t>Stakeholder participation plays a vital role in ensuring effective service delivery within UEDCL, though several challenges hinder meaningful engagement (</w:t>
      </w:r>
      <w:proofErr w:type="spellStart"/>
      <w:r w:rsidRPr="002D0936">
        <w:rPr>
          <w:rFonts w:eastAsia="Times New Roman" w:cs="Times New Roman"/>
          <w:kern w:val="0"/>
          <w:szCs w:val="24"/>
        </w:rPr>
        <w:t>Kagenyi</w:t>
      </w:r>
      <w:proofErr w:type="spellEnd"/>
      <w:r w:rsidRPr="002D0936">
        <w:rPr>
          <w:rFonts w:eastAsia="Times New Roman" w:cs="Times New Roman"/>
          <w:kern w:val="0"/>
          <w:szCs w:val="24"/>
        </w:rPr>
        <w:t xml:space="preserve">, 2022). Initiatives such as public consultations on electricity tariffs </w:t>
      </w:r>
      <w:proofErr w:type="spellStart"/>
      <w:r w:rsidRPr="002D0936">
        <w:rPr>
          <w:rFonts w:eastAsia="Times New Roman" w:cs="Times New Roman"/>
          <w:kern w:val="0"/>
          <w:szCs w:val="24"/>
        </w:rPr>
        <w:t>organised</w:t>
      </w:r>
      <w:proofErr w:type="spellEnd"/>
      <w:r w:rsidRPr="002D0936">
        <w:rPr>
          <w:rFonts w:eastAsia="Times New Roman" w:cs="Times New Roman"/>
          <w:kern w:val="0"/>
          <w:szCs w:val="24"/>
        </w:rPr>
        <w:t xml:space="preserve"> by the Electricity Regulatory Authority (ERA) have provided platforms for stakeholders to voice concerns regarding affordability and reliability (ERA, 2022). Limited communication channels (Muhumuza, 2022), inadequate transparency (</w:t>
      </w:r>
      <w:proofErr w:type="spellStart"/>
      <w:r w:rsidRPr="002D0936">
        <w:rPr>
          <w:rFonts w:eastAsia="Times New Roman" w:cs="Times New Roman"/>
          <w:kern w:val="0"/>
          <w:szCs w:val="24"/>
        </w:rPr>
        <w:t>Ssekandi</w:t>
      </w:r>
      <w:proofErr w:type="spellEnd"/>
      <w:r w:rsidRPr="002D0936">
        <w:rPr>
          <w:rFonts w:eastAsia="Times New Roman" w:cs="Times New Roman"/>
          <w:kern w:val="0"/>
          <w:szCs w:val="24"/>
        </w:rPr>
        <w:t>, 2022), and political influences (Tumwine, 2022) continue to obstruct constructive dialogue, resulting in mistrust and resistance from local communities (Kasozi, 2022). Strengthening communication strategies (Manyak, 2020), enhancing transparency (Bategeka, 2020), and promoting inclusive participation (Mugisha, 2022) are essential for building trust and improving service outcomes (</w:t>
      </w:r>
      <w:proofErr w:type="spellStart"/>
      <w:r w:rsidRPr="002D0936">
        <w:rPr>
          <w:rFonts w:eastAsia="Times New Roman" w:cs="Times New Roman"/>
          <w:kern w:val="0"/>
          <w:szCs w:val="24"/>
        </w:rPr>
        <w:t>Kagenyi</w:t>
      </w:r>
      <w:proofErr w:type="spellEnd"/>
      <w:r w:rsidRPr="002D0936">
        <w:rPr>
          <w:rFonts w:eastAsia="Times New Roman" w:cs="Times New Roman"/>
          <w:kern w:val="0"/>
          <w:szCs w:val="24"/>
        </w:rPr>
        <w:t>, 2022). These challenges provided the context for this study, which examined the effectiveness of stakeholder participation strategies implemented by UEDCL to enhance service delivery.</w:t>
      </w:r>
    </w:p>
    <w:p w14:paraId="4187A68C" w14:textId="4DE33823" w:rsidR="00DB3180" w:rsidRPr="00DB3180" w:rsidRDefault="00DB3180" w:rsidP="00DB3180">
      <w:pPr>
        <w:spacing w:before="100" w:beforeAutospacing="1" w:after="100" w:afterAutospacing="1" w:line="360" w:lineRule="auto"/>
        <w:jc w:val="both"/>
        <w:rPr>
          <w:rFonts w:eastAsia="Times New Roman" w:cs="Times New Roman"/>
          <w:kern w:val="0"/>
          <w:szCs w:val="24"/>
        </w:rPr>
      </w:pPr>
      <w:r w:rsidRPr="00DB3180">
        <w:rPr>
          <w:rFonts w:eastAsia="Times New Roman" w:cs="Times New Roman"/>
          <w:kern w:val="0"/>
          <w:szCs w:val="24"/>
        </w:rPr>
        <w:t>Th</w:t>
      </w:r>
      <w:r>
        <w:rPr>
          <w:rFonts w:eastAsia="Times New Roman" w:cs="Times New Roman"/>
          <w:kern w:val="0"/>
          <w:szCs w:val="24"/>
        </w:rPr>
        <w:t>is</w:t>
      </w:r>
      <w:r w:rsidRPr="00DB3180">
        <w:rPr>
          <w:rFonts w:eastAsia="Times New Roman" w:cs="Times New Roman"/>
          <w:kern w:val="0"/>
          <w:szCs w:val="24"/>
        </w:rPr>
        <w:t xml:space="preserve"> study underscores the role of stakeholder participation in enhancing service delivery efficiency, transparency, and sustainability at the Uganda Electricity Distribution Company.</w:t>
      </w:r>
    </w:p>
    <w:p w14:paraId="1C46FB3C" w14:textId="77777777" w:rsidR="0024669D" w:rsidRDefault="00366715" w:rsidP="0024669D">
      <w:pPr>
        <w:spacing w:line="360" w:lineRule="auto"/>
        <w:jc w:val="both"/>
        <w:rPr>
          <w:rFonts w:cs="Times New Roman"/>
          <w:b/>
          <w:bCs/>
          <w:szCs w:val="24"/>
          <w14:ligatures w14:val="standardContextual"/>
        </w:rPr>
      </w:pPr>
      <w:r w:rsidRPr="00F32A8B">
        <w:rPr>
          <w:rFonts w:cs="Times New Roman"/>
          <w:b/>
          <w:bCs/>
          <w:szCs w:val="24"/>
          <w14:ligatures w14:val="standardContextual"/>
        </w:rPr>
        <w:lastRenderedPageBreak/>
        <w:t>Research Question</w:t>
      </w:r>
      <w:r w:rsidR="001E0603">
        <w:rPr>
          <w:rFonts w:cs="Times New Roman"/>
          <w:b/>
          <w:bCs/>
          <w:szCs w:val="24"/>
          <w14:ligatures w14:val="standardContextual"/>
        </w:rPr>
        <w:t>s</w:t>
      </w:r>
    </w:p>
    <w:p w14:paraId="13940980" w14:textId="5195A2F6" w:rsidR="0008101A" w:rsidRPr="0024669D" w:rsidRDefault="001E0603" w:rsidP="0024669D">
      <w:pPr>
        <w:spacing w:line="360" w:lineRule="auto"/>
        <w:jc w:val="both"/>
        <w:rPr>
          <w:rFonts w:cs="Times New Roman"/>
          <w:b/>
          <w:bCs/>
          <w:szCs w:val="24"/>
          <w14:ligatures w14:val="standardContextual"/>
        </w:rPr>
      </w:pPr>
      <w:proofErr w:type="spellStart"/>
      <w:r>
        <w:rPr>
          <w:rFonts w:eastAsia="Times New Roman" w:cs="Times New Roman"/>
          <w:kern w:val="0"/>
          <w:szCs w:val="24"/>
        </w:rPr>
        <w:t>i</w:t>
      </w:r>
      <w:proofErr w:type="spellEnd"/>
      <w:r>
        <w:rPr>
          <w:rFonts w:eastAsia="Times New Roman" w:cs="Times New Roman"/>
          <w:kern w:val="0"/>
          <w:szCs w:val="24"/>
        </w:rPr>
        <w:t xml:space="preserve">. </w:t>
      </w:r>
      <w:r w:rsidR="0008101A" w:rsidRPr="0008101A">
        <w:rPr>
          <w:rFonts w:eastAsia="Times New Roman" w:cs="Times New Roman"/>
          <w:kern w:val="0"/>
          <w:szCs w:val="24"/>
        </w:rPr>
        <w:t xml:space="preserve">To what extent are structured channels </w:t>
      </w:r>
      <w:r>
        <w:rPr>
          <w:rFonts w:eastAsia="Times New Roman" w:cs="Times New Roman"/>
          <w:kern w:val="0"/>
          <w:szCs w:val="24"/>
        </w:rPr>
        <w:t xml:space="preserve">of communication </w:t>
      </w:r>
      <w:r w:rsidR="0008101A" w:rsidRPr="0008101A">
        <w:rPr>
          <w:rFonts w:eastAsia="Times New Roman" w:cs="Times New Roman"/>
          <w:kern w:val="0"/>
          <w:szCs w:val="24"/>
        </w:rPr>
        <w:t xml:space="preserve">effectively </w:t>
      </w:r>
      <w:proofErr w:type="spellStart"/>
      <w:r w:rsidR="0008101A" w:rsidRPr="0008101A">
        <w:rPr>
          <w:rFonts w:eastAsia="Times New Roman" w:cs="Times New Roman"/>
          <w:kern w:val="0"/>
          <w:szCs w:val="24"/>
        </w:rPr>
        <w:t>utilised</w:t>
      </w:r>
      <w:proofErr w:type="spellEnd"/>
      <w:r w:rsidR="0008101A" w:rsidRPr="0008101A">
        <w:rPr>
          <w:rFonts w:eastAsia="Times New Roman" w:cs="Times New Roman"/>
          <w:kern w:val="0"/>
          <w:szCs w:val="24"/>
        </w:rPr>
        <w:t xml:space="preserve"> to gather stakeholder perspectives</w:t>
      </w:r>
      <w:r>
        <w:rPr>
          <w:rFonts w:eastAsia="Times New Roman" w:cs="Times New Roman"/>
          <w:kern w:val="0"/>
          <w:szCs w:val="24"/>
        </w:rPr>
        <w:t xml:space="preserve"> </w:t>
      </w:r>
      <w:r w:rsidRPr="0008101A">
        <w:rPr>
          <w:rFonts w:eastAsia="Times New Roman" w:cs="Times New Roman"/>
          <w:kern w:val="0"/>
          <w:szCs w:val="24"/>
        </w:rPr>
        <w:t>in Uganda Electricity Distribution Company Limited?</w:t>
      </w:r>
    </w:p>
    <w:p w14:paraId="1548CD20" w14:textId="65544A53" w:rsidR="001E0603" w:rsidRDefault="001E0603" w:rsidP="0024669D">
      <w:pPr>
        <w:spacing w:before="100" w:beforeAutospacing="1" w:after="100" w:afterAutospacing="1" w:line="360" w:lineRule="auto"/>
        <w:jc w:val="both"/>
        <w:rPr>
          <w:rFonts w:eastAsia="Times New Roman" w:cs="Times New Roman"/>
          <w:kern w:val="0"/>
          <w:szCs w:val="24"/>
        </w:rPr>
      </w:pPr>
      <w:r>
        <w:rPr>
          <w:rFonts w:eastAsia="Times New Roman" w:cs="Times New Roman"/>
          <w:kern w:val="0"/>
          <w:szCs w:val="24"/>
        </w:rPr>
        <w:t xml:space="preserve">ii. </w:t>
      </w:r>
      <w:r w:rsidRPr="0008101A">
        <w:rPr>
          <w:rFonts w:eastAsia="Times New Roman" w:cs="Times New Roman"/>
          <w:kern w:val="0"/>
          <w:szCs w:val="24"/>
        </w:rPr>
        <w:t xml:space="preserve">To what extent does stakeholder feedback inform decision-making processes </w:t>
      </w:r>
      <w:bookmarkStart w:id="3" w:name="_Hlk192314371"/>
      <w:bookmarkStart w:id="4" w:name="_Hlk192313934"/>
      <w:r w:rsidRPr="0008101A">
        <w:rPr>
          <w:rFonts w:eastAsia="Times New Roman" w:cs="Times New Roman"/>
          <w:kern w:val="0"/>
          <w:szCs w:val="24"/>
        </w:rPr>
        <w:t>in Uganda Electricity Distribution Company Limited (UEDCL)?</w:t>
      </w:r>
    </w:p>
    <w:bookmarkEnd w:id="3"/>
    <w:p w14:paraId="1CE22BA1" w14:textId="7967D8BC" w:rsidR="001E0603" w:rsidRPr="0008101A" w:rsidRDefault="001E0603" w:rsidP="0024669D">
      <w:pPr>
        <w:spacing w:before="100" w:beforeAutospacing="1" w:after="100" w:afterAutospacing="1" w:line="360" w:lineRule="auto"/>
        <w:jc w:val="both"/>
        <w:rPr>
          <w:rFonts w:eastAsia="Times New Roman" w:cs="Times New Roman"/>
          <w:kern w:val="0"/>
          <w:szCs w:val="24"/>
        </w:rPr>
      </w:pPr>
      <w:r>
        <w:rPr>
          <w:rFonts w:eastAsia="Times New Roman" w:cs="Times New Roman"/>
          <w:kern w:val="0"/>
          <w:szCs w:val="24"/>
        </w:rPr>
        <w:t xml:space="preserve">iii. </w:t>
      </w:r>
      <w:r w:rsidRPr="0008101A">
        <w:rPr>
          <w:rFonts w:eastAsia="Times New Roman" w:cs="Times New Roman"/>
          <w:kern w:val="0"/>
          <w:szCs w:val="24"/>
        </w:rPr>
        <w:t>To what extent do</w:t>
      </w:r>
      <w:r>
        <w:rPr>
          <w:rFonts w:eastAsia="Times New Roman" w:cs="Times New Roman"/>
          <w:kern w:val="0"/>
          <w:szCs w:val="24"/>
        </w:rPr>
        <w:t xml:space="preserve">es </w:t>
      </w:r>
      <w:r w:rsidRPr="0008101A">
        <w:rPr>
          <w:rFonts w:eastAsia="Times New Roman" w:cs="Times New Roman"/>
          <w:kern w:val="0"/>
          <w:szCs w:val="24"/>
        </w:rPr>
        <w:t>Uganda Electricity Distribution Company Limited act on stakeholder feedback?</w:t>
      </w:r>
    </w:p>
    <w:p w14:paraId="4AB34B86" w14:textId="5EF1A8D7" w:rsidR="001E0603" w:rsidRDefault="001E0603" w:rsidP="001E0603">
      <w:pPr>
        <w:spacing w:before="100" w:beforeAutospacing="1" w:after="100" w:afterAutospacing="1" w:line="360" w:lineRule="auto"/>
        <w:jc w:val="both"/>
        <w:rPr>
          <w:rFonts w:eastAsia="Times New Roman" w:cs="Times New Roman"/>
          <w:kern w:val="0"/>
          <w:szCs w:val="24"/>
        </w:rPr>
      </w:pPr>
      <w:r>
        <w:rPr>
          <w:rFonts w:eastAsia="Times New Roman" w:cs="Times New Roman"/>
          <w:kern w:val="0"/>
          <w:szCs w:val="24"/>
        </w:rPr>
        <w:t xml:space="preserve">iv. </w:t>
      </w:r>
      <w:r w:rsidR="0024669D" w:rsidRPr="0008101A">
        <w:rPr>
          <w:rFonts w:eastAsia="Times New Roman" w:cs="Times New Roman"/>
          <w:kern w:val="0"/>
          <w:szCs w:val="24"/>
        </w:rPr>
        <w:t>Do</w:t>
      </w:r>
      <w:r w:rsidR="0024669D">
        <w:rPr>
          <w:rFonts w:eastAsia="Times New Roman" w:cs="Times New Roman"/>
          <w:kern w:val="0"/>
          <w:szCs w:val="24"/>
        </w:rPr>
        <w:t>es</w:t>
      </w:r>
      <w:r w:rsidR="0024669D" w:rsidRPr="0008101A">
        <w:rPr>
          <w:rFonts w:eastAsia="Times New Roman" w:cs="Times New Roman"/>
          <w:kern w:val="0"/>
          <w:szCs w:val="24"/>
        </w:rPr>
        <w:t xml:space="preserve"> Uganda</w:t>
      </w:r>
      <w:r w:rsidRPr="0008101A">
        <w:rPr>
          <w:rFonts w:eastAsia="Times New Roman" w:cs="Times New Roman"/>
          <w:kern w:val="0"/>
          <w:szCs w:val="24"/>
        </w:rPr>
        <w:t xml:space="preserve"> Electricity Distribution Company Limited create opportunities for stakeholders to contribute to key decisions affecting service delivery?</w:t>
      </w:r>
      <w:bookmarkEnd w:id="4"/>
    </w:p>
    <w:p w14:paraId="6C65A0BF" w14:textId="77777777" w:rsidR="00A6227A" w:rsidRDefault="00A6227A" w:rsidP="001E0603">
      <w:pPr>
        <w:spacing w:before="100" w:beforeAutospacing="1" w:after="100" w:afterAutospacing="1" w:line="360" w:lineRule="auto"/>
        <w:jc w:val="both"/>
        <w:rPr>
          <w:rFonts w:eastAsia="Times New Roman" w:cs="Times New Roman"/>
          <w:kern w:val="0"/>
          <w:szCs w:val="24"/>
        </w:rPr>
      </w:pPr>
    </w:p>
    <w:p w14:paraId="25D02355" w14:textId="77777777" w:rsidR="00A6227A" w:rsidRPr="0008101A" w:rsidRDefault="00A6227A" w:rsidP="001E0603">
      <w:pPr>
        <w:spacing w:before="100" w:beforeAutospacing="1" w:after="100" w:afterAutospacing="1" w:line="360" w:lineRule="auto"/>
        <w:jc w:val="both"/>
        <w:rPr>
          <w:rFonts w:eastAsia="Times New Roman" w:cs="Times New Roman"/>
          <w:kern w:val="0"/>
          <w:szCs w:val="24"/>
        </w:rPr>
      </w:pPr>
    </w:p>
    <w:p w14:paraId="4F851674" w14:textId="07BAB3C6" w:rsidR="0024669D" w:rsidRPr="0024669D" w:rsidRDefault="0024669D" w:rsidP="0024669D">
      <w:pPr>
        <w:spacing w:before="100" w:beforeAutospacing="1" w:after="100" w:afterAutospacing="1" w:line="360" w:lineRule="auto"/>
        <w:jc w:val="both"/>
        <w:rPr>
          <w:rFonts w:eastAsia="Times New Roman" w:cs="Times New Roman"/>
          <w:kern w:val="0"/>
          <w:szCs w:val="24"/>
        </w:rPr>
      </w:pPr>
      <w:r w:rsidRPr="0024669D">
        <w:rPr>
          <w:rFonts w:eastAsia="Times New Roman" w:cs="Times New Roman"/>
          <w:b/>
          <w:bCs/>
          <w:kern w:val="0"/>
          <w:szCs w:val="24"/>
        </w:rPr>
        <w:t>Null Hypotheses (H₀)</w:t>
      </w:r>
    </w:p>
    <w:p w14:paraId="3FBB430C" w14:textId="30A57B6D" w:rsidR="0024669D" w:rsidRPr="0024669D" w:rsidRDefault="0024669D" w:rsidP="0024669D">
      <w:pPr>
        <w:spacing w:before="100" w:beforeAutospacing="1" w:after="100" w:afterAutospacing="1" w:line="360" w:lineRule="auto"/>
        <w:jc w:val="both"/>
        <w:rPr>
          <w:rFonts w:eastAsia="Times New Roman" w:cs="Times New Roman"/>
          <w:kern w:val="0"/>
          <w:szCs w:val="24"/>
        </w:rPr>
      </w:pPr>
      <w:r w:rsidRPr="0024669D">
        <w:rPr>
          <w:rFonts w:eastAsia="Times New Roman" w:cs="Times New Roman"/>
          <w:b/>
          <w:bCs/>
          <w:kern w:val="0"/>
          <w:szCs w:val="24"/>
        </w:rPr>
        <w:t>H₀₁:</w:t>
      </w:r>
      <w:r w:rsidRPr="0024669D">
        <w:rPr>
          <w:rFonts w:eastAsia="Times New Roman" w:cs="Times New Roman"/>
          <w:kern w:val="0"/>
          <w:szCs w:val="24"/>
        </w:rPr>
        <w:t xml:space="preserve"> There is no significant relationship between the </w:t>
      </w:r>
      <w:proofErr w:type="spellStart"/>
      <w:r w:rsidRPr="0024669D">
        <w:rPr>
          <w:rFonts w:eastAsia="Times New Roman" w:cs="Times New Roman"/>
          <w:kern w:val="0"/>
          <w:szCs w:val="24"/>
        </w:rPr>
        <w:t>utilisation</w:t>
      </w:r>
      <w:proofErr w:type="spellEnd"/>
      <w:r w:rsidRPr="0024669D">
        <w:rPr>
          <w:rFonts w:eastAsia="Times New Roman" w:cs="Times New Roman"/>
          <w:kern w:val="0"/>
          <w:szCs w:val="24"/>
        </w:rPr>
        <w:t xml:space="preserve"> of structured communication channels and the gathering of stakeholder perspectives in Uganda Electricity Distribution Company Limited</w:t>
      </w:r>
      <w:r w:rsidR="00A6227A">
        <w:rPr>
          <w:rFonts w:eastAsia="Times New Roman" w:cs="Times New Roman"/>
          <w:kern w:val="0"/>
          <w:szCs w:val="24"/>
        </w:rPr>
        <w:t>.</w:t>
      </w:r>
    </w:p>
    <w:p w14:paraId="0E07F436" w14:textId="7FF16085" w:rsidR="0024669D" w:rsidRPr="0024669D" w:rsidRDefault="0024669D" w:rsidP="0024669D">
      <w:pPr>
        <w:spacing w:before="100" w:beforeAutospacing="1" w:after="100" w:afterAutospacing="1" w:line="360" w:lineRule="auto"/>
        <w:jc w:val="both"/>
        <w:rPr>
          <w:rFonts w:eastAsia="Times New Roman" w:cs="Times New Roman"/>
          <w:kern w:val="0"/>
          <w:szCs w:val="24"/>
        </w:rPr>
      </w:pPr>
      <w:r w:rsidRPr="0024669D">
        <w:rPr>
          <w:rFonts w:eastAsia="Times New Roman" w:cs="Times New Roman"/>
          <w:b/>
          <w:bCs/>
          <w:kern w:val="0"/>
          <w:szCs w:val="24"/>
        </w:rPr>
        <w:t>H₀₂:</w:t>
      </w:r>
      <w:r w:rsidRPr="0024669D">
        <w:rPr>
          <w:rFonts w:eastAsia="Times New Roman" w:cs="Times New Roman"/>
          <w:kern w:val="0"/>
          <w:szCs w:val="24"/>
        </w:rPr>
        <w:t xml:space="preserve"> There is no significant relationship between stakeholder feedback and decision-making processes in Uganda Electricity Distribution Company Limited.</w:t>
      </w:r>
    </w:p>
    <w:p w14:paraId="62306EB7" w14:textId="59E07407" w:rsidR="0024669D" w:rsidRPr="0024669D" w:rsidRDefault="0024669D" w:rsidP="0024669D">
      <w:pPr>
        <w:spacing w:before="100" w:beforeAutospacing="1" w:after="100" w:afterAutospacing="1" w:line="360" w:lineRule="auto"/>
        <w:jc w:val="both"/>
        <w:rPr>
          <w:rFonts w:eastAsia="Times New Roman" w:cs="Times New Roman"/>
          <w:kern w:val="0"/>
          <w:szCs w:val="24"/>
        </w:rPr>
      </w:pPr>
      <w:r w:rsidRPr="0024669D">
        <w:rPr>
          <w:rFonts w:eastAsia="Times New Roman" w:cs="Times New Roman"/>
          <w:b/>
          <w:bCs/>
          <w:kern w:val="0"/>
          <w:szCs w:val="24"/>
        </w:rPr>
        <w:t>H₀₃:</w:t>
      </w:r>
      <w:r w:rsidRPr="0024669D">
        <w:rPr>
          <w:rFonts w:eastAsia="Times New Roman" w:cs="Times New Roman"/>
          <w:kern w:val="0"/>
          <w:szCs w:val="24"/>
        </w:rPr>
        <w:t xml:space="preserve"> There is no significant relationship between Uganda Electricity Distribution Company Limited acting on stakeholder feedback and service delivery improvements.</w:t>
      </w:r>
    </w:p>
    <w:p w14:paraId="0028D285" w14:textId="50CE5CB9" w:rsidR="0024669D" w:rsidRPr="0024669D" w:rsidRDefault="0024669D" w:rsidP="0024669D">
      <w:pPr>
        <w:spacing w:before="100" w:beforeAutospacing="1" w:after="100" w:afterAutospacing="1" w:line="360" w:lineRule="auto"/>
        <w:jc w:val="both"/>
        <w:rPr>
          <w:rFonts w:eastAsia="Times New Roman" w:cs="Times New Roman"/>
          <w:kern w:val="0"/>
          <w:szCs w:val="24"/>
        </w:rPr>
      </w:pPr>
      <w:r w:rsidRPr="0024669D">
        <w:rPr>
          <w:rFonts w:eastAsia="Times New Roman" w:cs="Times New Roman"/>
          <w:b/>
          <w:bCs/>
          <w:kern w:val="0"/>
          <w:szCs w:val="24"/>
        </w:rPr>
        <w:t>H₀₄:</w:t>
      </w:r>
      <w:r w:rsidRPr="0024669D">
        <w:rPr>
          <w:rFonts w:eastAsia="Times New Roman" w:cs="Times New Roman"/>
          <w:kern w:val="0"/>
          <w:szCs w:val="24"/>
        </w:rPr>
        <w:t xml:space="preserve"> There is no significant relationship between Uganda Electricity Distribution Company Limited creating opportunities for stakeholder participation in key decisions and the effectiveness of service delivery.</w:t>
      </w:r>
    </w:p>
    <w:p w14:paraId="417F1F2E" w14:textId="38FDEAE3" w:rsidR="0054129F" w:rsidRPr="00F32A8B" w:rsidRDefault="00CC6EDB" w:rsidP="00FC164E">
      <w:pPr>
        <w:spacing w:after="0" w:line="360" w:lineRule="auto"/>
        <w:jc w:val="both"/>
        <w:rPr>
          <w:rFonts w:eastAsia="Times New Roman" w:cs="Times New Roman"/>
          <w:b/>
          <w:bCs/>
          <w:kern w:val="0"/>
          <w:szCs w:val="24"/>
        </w:rPr>
      </w:pPr>
      <w:r w:rsidRPr="00F32A8B">
        <w:rPr>
          <w:rFonts w:eastAsia="Times New Roman" w:cs="Times New Roman"/>
          <w:b/>
          <w:bCs/>
          <w:kern w:val="0"/>
          <w:szCs w:val="24"/>
        </w:rPr>
        <w:t xml:space="preserve">2.1 Empirical Review </w:t>
      </w:r>
    </w:p>
    <w:p w14:paraId="1AC0E14C" w14:textId="77777777" w:rsidR="002D0936" w:rsidRPr="002D0936" w:rsidRDefault="002D0936" w:rsidP="00FC164E">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lastRenderedPageBreak/>
        <w:t xml:space="preserve">Empirical research consistently demonstrates that stakeholder participation plays a vital role in enhancing service delivery within state-owned energy companies worldwide, including Uganda. Findings from </w:t>
      </w:r>
      <w:proofErr w:type="spellStart"/>
      <w:r w:rsidRPr="002D0936">
        <w:rPr>
          <w:rFonts w:eastAsia="Times New Roman" w:cs="Times New Roman"/>
          <w:kern w:val="0"/>
          <w:szCs w:val="24"/>
        </w:rPr>
        <w:t>Kagenyi</w:t>
      </w:r>
      <w:proofErr w:type="spellEnd"/>
      <w:r w:rsidRPr="002D0936">
        <w:rPr>
          <w:rFonts w:eastAsia="Times New Roman" w:cs="Times New Roman"/>
          <w:kern w:val="0"/>
          <w:szCs w:val="24"/>
        </w:rPr>
        <w:t xml:space="preserve"> (2022) indicate that involving stakeholders in Uganda’s energy sector contributes to improved service provision by incorporating diverse perspectives and addressing various needs. Mugisha (2022) further highlights that inclusive participation fosters a sense of ownership and accountability, ultimately leading to better service outcomes.</w:t>
      </w:r>
    </w:p>
    <w:p w14:paraId="748FDCB3" w14:textId="77777777" w:rsidR="002D0936" w:rsidRPr="002D0936" w:rsidRDefault="002D0936" w:rsidP="00FC164E">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t xml:space="preserve">Studies conducted in different contexts reinforce the significance of stakeholder engagement in energy service delivery. </w:t>
      </w:r>
      <w:proofErr w:type="spellStart"/>
      <w:r w:rsidRPr="002D0936">
        <w:rPr>
          <w:rFonts w:eastAsia="Times New Roman" w:cs="Times New Roman"/>
          <w:kern w:val="0"/>
          <w:szCs w:val="24"/>
        </w:rPr>
        <w:t>Sovacool</w:t>
      </w:r>
      <w:proofErr w:type="spellEnd"/>
      <w:r w:rsidRPr="002D0936">
        <w:rPr>
          <w:rFonts w:eastAsia="Times New Roman" w:cs="Times New Roman"/>
          <w:kern w:val="0"/>
          <w:szCs w:val="24"/>
        </w:rPr>
        <w:t xml:space="preserve"> et al. (2020) </w:t>
      </w:r>
      <w:proofErr w:type="spellStart"/>
      <w:r w:rsidRPr="002D0936">
        <w:rPr>
          <w:rFonts w:eastAsia="Times New Roman" w:cs="Times New Roman"/>
          <w:kern w:val="0"/>
          <w:szCs w:val="24"/>
        </w:rPr>
        <w:t>emphasise</w:t>
      </w:r>
      <w:proofErr w:type="spellEnd"/>
      <w:r w:rsidRPr="002D0936">
        <w:rPr>
          <w:rFonts w:eastAsia="Times New Roman" w:cs="Times New Roman"/>
          <w:kern w:val="0"/>
          <w:szCs w:val="24"/>
        </w:rPr>
        <w:t xml:space="preserve"> that active stakeholder involvement ensures energy services align with local community needs. Ghosh et al. (2022) also demonstrate that effective participation enhances transparency, accountability, and trust in service providers, which are essential for sustainable energy management.</w:t>
      </w:r>
    </w:p>
    <w:p w14:paraId="4E12B2CB" w14:textId="77777777" w:rsidR="002D0936" w:rsidRPr="002D0936" w:rsidRDefault="002D0936" w:rsidP="00FC164E">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t xml:space="preserve">Research also identifies key obstacles to stakeholder engagement in state-owned energy firms. Muhumuza (2022) reports that limited communication channels and a lack of transparency often hinder effective participation in Uganda’s energy sector. Tumwine (2022) further notes that political influences can distort engagement processes, leading to unequal representation and decision-making that </w:t>
      </w:r>
      <w:proofErr w:type="spellStart"/>
      <w:r w:rsidRPr="002D0936">
        <w:rPr>
          <w:rFonts w:eastAsia="Times New Roman" w:cs="Times New Roman"/>
          <w:kern w:val="0"/>
          <w:szCs w:val="24"/>
        </w:rPr>
        <w:t>favours</w:t>
      </w:r>
      <w:proofErr w:type="spellEnd"/>
      <w:r w:rsidRPr="002D0936">
        <w:rPr>
          <w:rFonts w:eastAsia="Times New Roman" w:cs="Times New Roman"/>
          <w:kern w:val="0"/>
          <w:szCs w:val="24"/>
        </w:rPr>
        <w:t xml:space="preserve"> specific groups.</w:t>
      </w:r>
    </w:p>
    <w:p w14:paraId="3E61E1A6" w14:textId="77777777" w:rsidR="002D0936" w:rsidRPr="002D0936" w:rsidRDefault="002D0936" w:rsidP="00FC164E">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t xml:space="preserve">Insights from case studies in other countries highlight successful stakeholder participation models. </w:t>
      </w:r>
      <w:proofErr w:type="spellStart"/>
      <w:r w:rsidRPr="002D0936">
        <w:rPr>
          <w:rFonts w:eastAsia="Times New Roman" w:cs="Times New Roman"/>
          <w:kern w:val="0"/>
          <w:szCs w:val="24"/>
        </w:rPr>
        <w:t>Bardouille</w:t>
      </w:r>
      <w:proofErr w:type="spellEnd"/>
      <w:r w:rsidRPr="002D0936">
        <w:rPr>
          <w:rFonts w:eastAsia="Times New Roman" w:cs="Times New Roman"/>
          <w:kern w:val="0"/>
          <w:szCs w:val="24"/>
        </w:rPr>
        <w:t xml:space="preserve"> (2020) observes that South Africa’s energy sector has achieved greater responsiveness to local needs through enhanced stakeholder involvement. Manyak (2020) similarly finds that engagement initiatives in Kenya’s energy sector have strengthened transparency and accountability, improving service provision.</w:t>
      </w:r>
    </w:p>
    <w:p w14:paraId="4C1A7738" w14:textId="77777777" w:rsidR="002D0936" w:rsidRPr="002D0936" w:rsidRDefault="002D0936" w:rsidP="00FC164E">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t xml:space="preserve">Empirical evidence affirms the critical role of stakeholder participation in ensuring effective service delivery within state-owned energy companies. Addressing communication barriers, increasing transparency, and </w:t>
      </w:r>
      <w:proofErr w:type="spellStart"/>
      <w:r w:rsidRPr="002D0936">
        <w:rPr>
          <w:rFonts w:eastAsia="Times New Roman" w:cs="Times New Roman"/>
          <w:kern w:val="0"/>
          <w:szCs w:val="24"/>
        </w:rPr>
        <w:t>minimising</w:t>
      </w:r>
      <w:proofErr w:type="spellEnd"/>
      <w:r w:rsidRPr="002D0936">
        <w:rPr>
          <w:rFonts w:eastAsia="Times New Roman" w:cs="Times New Roman"/>
          <w:kern w:val="0"/>
          <w:szCs w:val="24"/>
        </w:rPr>
        <w:t xml:space="preserve"> political interference remains essential to enabling meaningful stakeholder engagement. Strengthening these aspects ensures energy services respond effectively to community needs while promoting inclusive decision-making.</w:t>
      </w:r>
    </w:p>
    <w:p w14:paraId="5ECCC37C" w14:textId="3C327AFF" w:rsidR="00CC6EDB" w:rsidRPr="00F32A8B" w:rsidRDefault="00F9212E" w:rsidP="00FC164E">
      <w:pPr>
        <w:spacing w:after="0" w:line="360" w:lineRule="auto"/>
        <w:jc w:val="both"/>
        <w:rPr>
          <w:rFonts w:eastAsia="Times New Roman" w:cs="Times New Roman"/>
          <w:b/>
          <w:bCs/>
          <w:kern w:val="0"/>
          <w:szCs w:val="24"/>
        </w:rPr>
      </w:pPr>
      <w:r w:rsidRPr="00F32A8B">
        <w:rPr>
          <w:rFonts w:eastAsia="Times New Roman" w:cs="Times New Roman"/>
          <w:b/>
          <w:bCs/>
          <w:kern w:val="0"/>
          <w:szCs w:val="24"/>
        </w:rPr>
        <w:t xml:space="preserve">Research Gaps </w:t>
      </w:r>
    </w:p>
    <w:p w14:paraId="005109F3" w14:textId="77777777" w:rsidR="002D0936" w:rsidRPr="002D0936" w:rsidRDefault="002D0936" w:rsidP="00FC164E">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lastRenderedPageBreak/>
        <w:t xml:space="preserve">Empirical research underscores the importance of stakeholder participation in enhancing service delivery within state-owned energy companies, yet certain critical gaps remain insufficiently explored. A significant issue involves the mechanisms through which stakeholder feedback is solicited, processed, and applied to improve service delivery. Studies conducted by </w:t>
      </w:r>
      <w:proofErr w:type="spellStart"/>
      <w:r w:rsidRPr="002D0936">
        <w:rPr>
          <w:rFonts w:eastAsia="Times New Roman" w:cs="Times New Roman"/>
          <w:kern w:val="0"/>
          <w:szCs w:val="24"/>
        </w:rPr>
        <w:t>Kagenyi</w:t>
      </w:r>
      <w:proofErr w:type="spellEnd"/>
      <w:r w:rsidRPr="002D0936">
        <w:rPr>
          <w:rFonts w:eastAsia="Times New Roman" w:cs="Times New Roman"/>
          <w:kern w:val="0"/>
          <w:szCs w:val="24"/>
        </w:rPr>
        <w:t xml:space="preserve"> (2022) and Mugisha (2022) highlight the role of stakeholder engagement but do not assess whether companies have established effective feedback systems that enable meaningful contributions. </w:t>
      </w:r>
      <w:bookmarkStart w:id="5" w:name="_Hlk192313372"/>
      <w:r w:rsidRPr="002D0936">
        <w:rPr>
          <w:rFonts w:eastAsia="Times New Roman" w:cs="Times New Roman"/>
          <w:kern w:val="0"/>
          <w:szCs w:val="24"/>
        </w:rPr>
        <w:t xml:space="preserve">This study addressed this issue by examining whether structured channels such as surveys, meetings, and emails are effectively </w:t>
      </w:r>
      <w:proofErr w:type="spellStart"/>
      <w:r w:rsidRPr="002D0936">
        <w:rPr>
          <w:rFonts w:eastAsia="Times New Roman" w:cs="Times New Roman"/>
          <w:kern w:val="0"/>
          <w:szCs w:val="24"/>
        </w:rPr>
        <w:t>utilised</w:t>
      </w:r>
      <w:proofErr w:type="spellEnd"/>
      <w:r w:rsidRPr="002D0936">
        <w:rPr>
          <w:rFonts w:eastAsia="Times New Roman" w:cs="Times New Roman"/>
          <w:kern w:val="0"/>
          <w:szCs w:val="24"/>
        </w:rPr>
        <w:t xml:space="preserve"> to gather stakeholder perspectives and whether these inputs lead to tangible operational improvements.</w:t>
      </w:r>
    </w:p>
    <w:p w14:paraId="3FF76334" w14:textId="77777777" w:rsidR="002D0936" w:rsidRPr="002D0936" w:rsidRDefault="002D0936" w:rsidP="00FC164E">
      <w:pPr>
        <w:spacing w:before="100" w:beforeAutospacing="1" w:after="100" w:afterAutospacing="1" w:line="360" w:lineRule="auto"/>
        <w:jc w:val="both"/>
        <w:rPr>
          <w:rFonts w:eastAsia="Times New Roman" w:cs="Times New Roman"/>
          <w:kern w:val="0"/>
          <w:szCs w:val="24"/>
        </w:rPr>
      </w:pPr>
      <w:bookmarkStart w:id="6" w:name="_Hlk192313422"/>
      <w:bookmarkEnd w:id="5"/>
      <w:r w:rsidRPr="002D0936">
        <w:rPr>
          <w:rFonts w:eastAsia="Times New Roman" w:cs="Times New Roman"/>
          <w:kern w:val="0"/>
          <w:szCs w:val="24"/>
        </w:rPr>
        <w:t xml:space="preserve">A further gap exists regarding the extent to which stakeholder feedback informs decision-making processes. </w:t>
      </w:r>
      <w:bookmarkEnd w:id="6"/>
      <w:r w:rsidRPr="002D0936">
        <w:rPr>
          <w:rFonts w:eastAsia="Times New Roman" w:cs="Times New Roman"/>
          <w:kern w:val="0"/>
          <w:szCs w:val="24"/>
        </w:rPr>
        <w:t xml:space="preserve">Research by </w:t>
      </w:r>
      <w:proofErr w:type="spellStart"/>
      <w:r w:rsidRPr="002D0936">
        <w:rPr>
          <w:rFonts w:eastAsia="Times New Roman" w:cs="Times New Roman"/>
          <w:kern w:val="0"/>
          <w:szCs w:val="24"/>
        </w:rPr>
        <w:t>Sovacool</w:t>
      </w:r>
      <w:proofErr w:type="spellEnd"/>
      <w:r w:rsidRPr="002D0936">
        <w:rPr>
          <w:rFonts w:eastAsia="Times New Roman" w:cs="Times New Roman"/>
          <w:kern w:val="0"/>
          <w:szCs w:val="24"/>
        </w:rPr>
        <w:t xml:space="preserve"> et al. (2020) and Ghosh et al. (2022) confirms that stakeholder engagement fosters transparency and accountability, yet limited evidence exists on whether companies systematically incorporate feedback into their service enhancement strategies. This study aimed to bridge this gap by evaluating whether stakeholder input is </w:t>
      </w:r>
      <w:proofErr w:type="spellStart"/>
      <w:r w:rsidRPr="002D0936">
        <w:rPr>
          <w:rFonts w:eastAsia="Times New Roman" w:cs="Times New Roman"/>
          <w:kern w:val="0"/>
          <w:szCs w:val="24"/>
        </w:rPr>
        <w:t>analysed</w:t>
      </w:r>
      <w:proofErr w:type="spellEnd"/>
      <w:r w:rsidRPr="002D0936">
        <w:rPr>
          <w:rFonts w:eastAsia="Times New Roman" w:cs="Times New Roman"/>
          <w:kern w:val="0"/>
          <w:szCs w:val="24"/>
        </w:rPr>
        <w:t xml:space="preserve"> to identify areas for improvement and whether </w:t>
      </w:r>
      <w:proofErr w:type="spellStart"/>
      <w:r w:rsidRPr="002D0936">
        <w:rPr>
          <w:rFonts w:eastAsia="Times New Roman" w:cs="Times New Roman"/>
          <w:kern w:val="0"/>
          <w:szCs w:val="24"/>
        </w:rPr>
        <w:t>organisations</w:t>
      </w:r>
      <w:proofErr w:type="spellEnd"/>
      <w:r w:rsidRPr="002D0936">
        <w:rPr>
          <w:rFonts w:eastAsia="Times New Roman" w:cs="Times New Roman"/>
          <w:kern w:val="0"/>
          <w:szCs w:val="24"/>
        </w:rPr>
        <w:t xml:space="preserve"> actively respond to concerns raised.</w:t>
      </w:r>
    </w:p>
    <w:p w14:paraId="5D5CD8C0" w14:textId="73DD4FAE" w:rsidR="002D0936" w:rsidRDefault="002D0936" w:rsidP="00FC164E">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t xml:space="preserve">The timeliness and effectiveness of responses to stakeholder concerns also remain underexamined. Muhumuza (2022) and Tumwine (2022) identify inadequate communication channels and political influences as barriers to engagement, yet little attention has been given to whether companies address stakeholder concerns promptly and effectively. </w:t>
      </w:r>
      <w:bookmarkStart w:id="7" w:name="_Hlk192313471"/>
      <w:r w:rsidRPr="002D0936">
        <w:rPr>
          <w:rFonts w:eastAsia="Times New Roman" w:cs="Times New Roman"/>
          <w:kern w:val="0"/>
          <w:szCs w:val="24"/>
        </w:rPr>
        <w:t>This study investigated the extent to which state-owned energy companies act on stakeholder feedback and whether stakeholders perceive these responses as meaningful and impactful.</w:t>
      </w:r>
    </w:p>
    <w:bookmarkEnd w:id="7"/>
    <w:p w14:paraId="740A60D3" w14:textId="77777777" w:rsidR="002D0936" w:rsidRPr="002D0936" w:rsidRDefault="002D0936" w:rsidP="00FC164E">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t xml:space="preserve">Collaborative decision-making between energy companies and stakeholders remains an underexplored research area. While </w:t>
      </w:r>
      <w:proofErr w:type="spellStart"/>
      <w:r w:rsidRPr="002D0936">
        <w:rPr>
          <w:rFonts w:eastAsia="Times New Roman" w:cs="Times New Roman"/>
          <w:kern w:val="0"/>
          <w:szCs w:val="24"/>
        </w:rPr>
        <w:t>Bardouille</w:t>
      </w:r>
      <w:proofErr w:type="spellEnd"/>
      <w:r w:rsidRPr="002D0936">
        <w:rPr>
          <w:rFonts w:eastAsia="Times New Roman" w:cs="Times New Roman"/>
          <w:kern w:val="0"/>
          <w:szCs w:val="24"/>
        </w:rPr>
        <w:t xml:space="preserve"> (2020) and Manyak (2020) demonstrate that stakeholder engagement enhances service delivery, they do not assess the extent to which stakeholders, including employees, customers, and suppliers, actively participate in decision-making. </w:t>
      </w:r>
      <w:bookmarkStart w:id="8" w:name="_Hlk192313516"/>
      <w:r w:rsidRPr="002D0936">
        <w:rPr>
          <w:rFonts w:eastAsia="Times New Roman" w:cs="Times New Roman"/>
          <w:kern w:val="0"/>
          <w:szCs w:val="24"/>
        </w:rPr>
        <w:t>This study examined whether companies create opportunities for stakeholders to contribute to key decisions affecting service delivery and whether this collaboration leads to improved outcomes for all parties involved.</w:t>
      </w:r>
      <w:bookmarkEnd w:id="8"/>
    </w:p>
    <w:p w14:paraId="4D316A2D" w14:textId="77777777" w:rsidR="002D0936" w:rsidRDefault="002D0936" w:rsidP="00FC164E">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lastRenderedPageBreak/>
        <w:t xml:space="preserve">Limited research exists on how companies cultivate a culture of transparency, trust, and open communication with stakeholders. Previous studies have </w:t>
      </w:r>
      <w:proofErr w:type="spellStart"/>
      <w:r w:rsidRPr="002D0936">
        <w:rPr>
          <w:rFonts w:eastAsia="Times New Roman" w:cs="Times New Roman"/>
          <w:kern w:val="0"/>
          <w:szCs w:val="24"/>
        </w:rPr>
        <w:t>emphasised</w:t>
      </w:r>
      <w:proofErr w:type="spellEnd"/>
      <w:r w:rsidRPr="002D0936">
        <w:rPr>
          <w:rFonts w:eastAsia="Times New Roman" w:cs="Times New Roman"/>
          <w:kern w:val="0"/>
          <w:szCs w:val="24"/>
        </w:rPr>
        <w:t xml:space="preserve"> the importance of accountability, yet there is insufficient analysis of how </w:t>
      </w:r>
      <w:proofErr w:type="spellStart"/>
      <w:r w:rsidRPr="002D0936">
        <w:rPr>
          <w:rFonts w:eastAsia="Times New Roman" w:cs="Times New Roman"/>
          <w:kern w:val="0"/>
          <w:szCs w:val="24"/>
        </w:rPr>
        <w:t>organisational</w:t>
      </w:r>
      <w:proofErr w:type="spellEnd"/>
      <w:r w:rsidRPr="002D0936">
        <w:rPr>
          <w:rFonts w:eastAsia="Times New Roman" w:cs="Times New Roman"/>
          <w:kern w:val="0"/>
          <w:szCs w:val="24"/>
        </w:rPr>
        <w:t xml:space="preserve"> culture influences stakeholder relationships. </w:t>
      </w:r>
      <w:bookmarkStart w:id="9" w:name="_Hlk192313548"/>
      <w:r w:rsidRPr="002D0936">
        <w:rPr>
          <w:rFonts w:eastAsia="Times New Roman" w:cs="Times New Roman"/>
          <w:kern w:val="0"/>
          <w:szCs w:val="24"/>
        </w:rPr>
        <w:t>This study addressed this gap by evaluating whether energy companies actively foster a transparent and inclusive environment that promotes meaningful engagement and trust.</w:t>
      </w:r>
    </w:p>
    <w:bookmarkEnd w:id="9"/>
    <w:p w14:paraId="3CA18064" w14:textId="3BFC2B05" w:rsidR="00A0208D" w:rsidRPr="00F32A8B" w:rsidRDefault="00A0208D" w:rsidP="00A0208D">
      <w:pPr>
        <w:spacing w:before="100" w:beforeAutospacing="1" w:after="100" w:afterAutospacing="1" w:line="360" w:lineRule="auto"/>
        <w:jc w:val="both"/>
        <w:rPr>
          <w:rFonts w:eastAsia="Times New Roman" w:cs="Times New Roman"/>
          <w:b/>
          <w:bCs/>
          <w:kern w:val="0"/>
          <w:szCs w:val="24"/>
        </w:rPr>
      </w:pPr>
      <w:r w:rsidRPr="00F32A8B">
        <w:rPr>
          <w:rFonts w:eastAsia="Times New Roman" w:cs="Times New Roman"/>
          <w:b/>
          <w:bCs/>
          <w:kern w:val="0"/>
          <w:szCs w:val="24"/>
        </w:rPr>
        <w:t>2.</w:t>
      </w:r>
      <w:r w:rsidR="0008101A">
        <w:rPr>
          <w:rFonts w:eastAsia="Times New Roman" w:cs="Times New Roman"/>
          <w:b/>
          <w:bCs/>
          <w:kern w:val="0"/>
          <w:szCs w:val="24"/>
        </w:rPr>
        <w:t>3</w:t>
      </w:r>
      <w:r w:rsidRPr="00F32A8B">
        <w:rPr>
          <w:rFonts w:eastAsia="Times New Roman" w:cs="Times New Roman"/>
          <w:b/>
          <w:bCs/>
          <w:kern w:val="0"/>
          <w:szCs w:val="24"/>
        </w:rPr>
        <w:t xml:space="preserve"> Underpinning Theory </w:t>
      </w:r>
    </w:p>
    <w:p w14:paraId="1AC74B15" w14:textId="77777777" w:rsidR="00A0208D" w:rsidRPr="002D0936" w:rsidRDefault="00A0208D" w:rsidP="00A0208D">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t xml:space="preserve">Stakeholder Theory, developed by Freeman (1984), provides a fundamental basis for understanding the role of stakeholder engagement in enhancing service delivery within UEDCL. This theory asserts that </w:t>
      </w:r>
      <w:proofErr w:type="spellStart"/>
      <w:r w:rsidRPr="002D0936">
        <w:rPr>
          <w:rFonts w:eastAsia="Times New Roman" w:cs="Times New Roman"/>
          <w:kern w:val="0"/>
          <w:szCs w:val="24"/>
        </w:rPr>
        <w:t>organisations</w:t>
      </w:r>
      <w:proofErr w:type="spellEnd"/>
      <w:r w:rsidRPr="002D0936">
        <w:rPr>
          <w:rFonts w:eastAsia="Times New Roman" w:cs="Times New Roman"/>
          <w:kern w:val="0"/>
          <w:szCs w:val="24"/>
        </w:rPr>
        <w:t xml:space="preserve"> must consider the interests of all stakeholders, including customers, employees, government agencies, and communities, to achieve long-term success and legitimacy (</w:t>
      </w:r>
      <w:proofErr w:type="spellStart"/>
      <w:r w:rsidRPr="002D0936">
        <w:rPr>
          <w:rFonts w:eastAsia="Times New Roman" w:cs="Times New Roman"/>
          <w:kern w:val="0"/>
          <w:szCs w:val="24"/>
        </w:rPr>
        <w:t>Kagenyi</w:t>
      </w:r>
      <w:proofErr w:type="spellEnd"/>
      <w:r w:rsidRPr="002D0936">
        <w:rPr>
          <w:rFonts w:eastAsia="Times New Roman" w:cs="Times New Roman"/>
          <w:kern w:val="0"/>
          <w:szCs w:val="24"/>
        </w:rPr>
        <w:t xml:space="preserve">, 2022; </w:t>
      </w:r>
      <w:proofErr w:type="spellStart"/>
      <w:r w:rsidRPr="002D0936">
        <w:rPr>
          <w:rFonts w:eastAsia="Times New Roman" w:cs="Times New Roman"/>
          <w:kern w:val="0"/>
          <w:szCs w:val="24"/>
        </w:rPr>
        <w:t>Ssekandi</w:t>
      </w:r>
      <w:proofErr w:type="spellEnd"/>
      <w:r w:rsidRPr="002D0936">
        <w:rPr>
          <w:rFonts w:eastAsia="Times New Roman" w:cs="Times New Roman"/>
          <w:kern w:val="0"/>
          <w:szCs w:val="24"/>
        </w:rPr>
        <w:t xml:space="preserve">, 2022). Applying this framework to UEDCL highlights the importance of structured stakeholder involvement in decision-making, ensuring that diverse perspectives contribute to improved service efficiency and transparency (Mugisha, 2022). Inclusivity, a key tenet of the theory, underscores the need for broad stakeholder participation in </w:t>
      </w:r>
      <w:proofErr w:type="spellStart"/>
      <w:r w:rsidRPr="002D0936">
        <w:rPr>
          <w:rFonts w:eastAsia="Times New Roman" w:cs="Times New Roman"/>
          <w:kern w:val="0"/>
          <w:szCs w:val="24"/>
        </w:rPr>
        <w:t>organisational</w:t>
      </w:r>
      <w:proofErr w:type="spellEnd"/>
      <w:r w:rsidRPr="002D0936">
        <w:rPr>
          <w:rFonts w:eastAsia="Times New Roman" w:cs="Times New Roman"/>
          <w:kern w:val="0"/>
          <w:szCs w:val="24"/>
        </w:rPr>
        <w:t xml:space="preserve"> processes, particularly in regulatory decisions led by bodies such as the ERA and the Ministry of Energy (Freeman, Harrison, &amp; </w:t>
      </w:r>
      <w:proofErr w:type="spellStart"/>
      <w:r w:rsidRPr="002D0936">
        <w:rPr>
          <w:rFonts w:eastAsia="Times New Roman" w:cs="Times New Roman"/>
          <w:kern w:val="0"/>
          <w:szCs w:val="24"/>
        </w:rPr>
        <w:t>Zyglidopoulos</w:t>
      </w:r>
      <w:proofErr w:type="spellEnd"/>
      <w:r w:rsidRPr="002D0936">
        <w:rPr>
          <w:rFonts w:eastAsia="Times New Roman" w:cs="Times New Roman"/>
          <w:kern w:val="0"/>
          <w:szCs w:val="24"/>
        </w:rPr>
        <w:t xml:space="preserve">, 2018). Public consultations on electricity tariffs and service expansion plans create opportunities for consumer engagement, yet inadequate communication channels and limited transparency often undermine meaningful participation (ERA, 2022; Muhumuza, 2022). Accountability, another core principle of Stakeholder Theory, requires </w:t>
      </w:r>
      <w:proofErr w:type="spellStart"/>
      <w:r w:rsidRPr="002D0936">
        <w:rPr>
          <w:rFonts w:eastAsia="Times New Roman" w:cs="Times New Roman"/>
          <w:kern w:val="0"/>
          <w:szCs w:val="24"/>
        </w:rPr>
        <w:t>organisations</w:t>
      </w:r>
      <w:proofErr w:type="spellEnd"/>
      <w:r w:rsidRPr="002D0936">
        <w:rPr>
          <w:rFonts w:eastAsia="Times New Roman" w:cs="Times New Roman"/>
          <w:kern w:val="0"/>
          <w:szCs w:val="24"/>
        </w:rPr>
        <w:t xml:space="preserve"> to take responsibility for their actions and decisions, fostering trust through transparent engagement, independent audits, and regular reporting (Bategeka, 2020; Kasozi, 2022). Balancing competing interests is also critical, as UEDCL must navigate financial sustainability while maintaining affordability for electricity consumers, ensuring operational viability without imposing excessive costs on the public (Tumwine, 2022; </w:t>
      </w:r>
      <w:proofErr w:type="spellStart"/>
      <w:r w:rsidRPr="002D0936">
        <w:rPr>
          <w:rFonts w:eastAsia="Times New Roman" w:cs="Times New Roman"/>
          <w:kern w:val="0"/>
          <w:szCs w:val="24"/>
        </w:rPr>
        <w:t>Kagenyi</w:t>
      </w:r>
      <w:proofErr w:type="spellEnd"/>
      <w:r w:rsidRPr="002D0936">
        <w:rPr>
          <w:rFonts w:eastAsia="Times New Roman" w:cs="Times New Roman"/>
          <w:kern w:val="0"/>
          <w:szCs w:val="24"/>
        </w:rPr>
        <w:t>, 2022). Implementing effective stakeholder engagement strategies, aligned with the principles of inclusivity, accountability, and balanced decision-making, can enhance UEDCL’s credibility and contribute to a more sustainable and transparent electricity distribution system.</w:t>
      </w:r>
    </w:p>
    <w:p w14:paraId="6A98146E" w14:textId="77777777" w:rsidR="00A0208D" w:rsidRPr="002D0936" w:rsidRDefault="00A0208D" w:rsidP="00A0208D">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lastRenderedPageBreak/>
        <w:t xml:space="preserve">Collaboration and partnerships play a crucial role in strengthening service delivery within UEDCL, aligning with the principles of Stakeholder Theory. </w:t>
      </w:r>
      <w:proofErr w:type="spellStart"/>
      <w:r w:rsidRPr="002D0936">
        <w:rPr>
          <w:rFonts w:eastAsia="Times New Roman" w:cs="Times New Roman"/>
          <w:kern w:val="0"/>
          <w:szCs w:val="24"/>
        </w:rPr>
        <w:t>Organisations</w:t>
      </w:r>
      <w:proofErr w:type="spellEnd"/>
      <w:r w:rsidRPr="002D0936">
        <w:rPr>
          <w:rFonts w:eastAsia="Times New Roman" w:cs="Times New Roman"/>
          <w:kern w:val="0"/>
          <w:szCs w:val="24"/>
        </w:rPr>
        <w:t xml:space="preserve"> benefit from stakeholder relationships by gaining access to essential resources and expertise, facilitating operational efficiency and expansion (Freeman et al., 2018). UEDCL depends on government funding, private sector investments, and international donor support to advance infrastructure development and integrate new technologies. Engaging with energy sector investors and development agencies strengthens electricity distribution networks and enhances service quality (Manyak, 2020). Political interference and regulatory inconsistencies present significant challenges to effective collaboration, limiting the impact of stakeholder engagement efforts (</w:t>
      </w:r>
      <w:proofErr w:type="spellStart"/>
      <w:r w:rsidRPr="002D0936">
        <w:rPr>
          <w:rFonts w:eastAsia="Times New Roman" w:cs="Times New Roman"/>
          <w:kern w:val="0"/>
          <w:szCs w:val="24"/>
        </w:rPr>
        <w:t>Ssekandi</w:t>
      </w:r>
      <w:proofErr w:type="spellEnd"/>
      <w:r w:rsidRPr="002D0936">
        <w:rPr>
          <w:rFonts w:eastAsia="Times New Roman" w:cs="Times New Roman"/>
          <w:kern w:val="0"/>
          <w:szCs w:val="24"/>
        </w:rPr>
        <w:t>, 2022).</w:t>
      </w:r>
    </w:p>
    <w:p w14:paraId="109CA6FE" w14:textId="3EA07231" w:rsidR="00A0208D" w:rsidRDefault="00A0208D" w:rsidP="00FC164E">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t xml:space="preserve">Stakeholder Theory </w:t>
      </w:r>
      <w:proofErr w:type="spellStart"/>
      <w:r w:rsidRPr="002D0936">
        <w:rPr>
          <w:rFonts w:eastAsia="Times New Roman" w:cs="Times New Roman"/>
          <w:kern w:val="0"/>
          <w:szCs w:val="24"/>
        </w:rPr>
        <w:t>emphasises</w:t>
      </w:r>
      <w:proofErr w:type="spellEnd"/>
      <w:r w:rsidRPr="002D0936">
        <w:rPr>
          <w:rFonts w:eastAsia="Times New Roman" w:cs="Times New Roman"/>
          <w:kern w:val="0"/>
          <w:szCs w:val="24"/>
        </w:rPr>
        <w:t xml:space="preserve"> inclusive participation, accountability, balancing competing interests, and fostering strategic partnerships to improve service delivery at UEDCL. Strengthening stakeholder engagement mechanisms enhances the </w:t>
      </w:r>
      <w:proofErr w:type="spellStart"/>
      <w:r w:rsidRPr="002D0936">
        <w:rPr>
          <w:rFonts w:eastAsia="Times New Roman" w:cs="Times New Roman"/>
          <w:kern w:val="0"/>
          <w:szCs w:val="24"/>
        </w:rPr>
        <w:t>organisation’s</w:t>
      </w:r>
      <w:proofErr w:type="spellEnd"/>
      <w:r w:rsidRPr="002D0936">
        <w:rPr>
          <w:rFonts w:eastAsia="Times New Roman" w:cs="Times New Roman"/>
          <w:kern w:val="0"/>
          <w:szCs w:val="24"/>
        </w:rPr>
        <w:t xml:space="preserve"> ability to provide reliable and affordable electricity. </w:t>
      </w:r>
      <w:proofErr w:type="spellStart"/>
      <w:r w:rsidRPr="002D0936">
        <w:rPr>
          <w:rFonts w:eastAsia="Times New Roman" w:cs="Times New Roman"/>
          <w:kern w:val="0"/>
          <w:szCs w:val="24"/>
        </w:rPr>
        <w:t>Institutionalising</w:t>
      </w:r>
      <w:proofErr w:type="spellEnd"/>
      <w:r w:rsidRPr="002D0936">
        <w:rPr>
          <w:rFonts w:eastAsia="Times New Roman" w:cs="Times New Roman"/>
          <w:kern w:val="0"/>
          <w:szCs w:val="24"/>
        </w:rPr>
        <w:t xml:space="preserve"> stakeholder participation in policy development and service delivery frameworks reinforces operational efficiency and contributes to Uganda’s broader energy sector objectives.</w:t>
      </w:r>
    </w:p>
    <w:p w14:paraId="32CA2DC1" w14:textId="77777777" w:rsidR="00A6227A" w:rsidRPr="002D0936" w:rsidRDefault="00A6227A" w:rsidP="00FC164E">
      <w:pPr>
        <w:spacing w:before="100" w:beforeAutospacing="1" w:after="100" w:afterAutospacing="1" w:line="360" w:lineRule="auto"/>
        <w:jc w:val="both"/>
        <w:rPr>
          <w:rFonts w:eastAsia="Times New Roman" w:cs="Times New Roman"/>
          <w:kern w:val="0"/>
          <w:szCs w:val="24"/>
        </w:rPr>
      </w:pPr>
    </w:p>
    <w:p w14:paraId="1DD6EC8D" w14:textId="6368AC57" w:rsidR="008B2CF5" w:rsidRPr="00F32A8B" w:rsidRDefault="008B2CF5" w:rsidP="00FC164E">
      <w:pPr>
        <w:spacing w:before="100" w:beforeAutospacing="1" w:after="100" w:afterAutospacing="1" w:line="360" w:lineRule="auto"/>
        <w:jc w:val="both"/>
        <w:rPr>
          <w:rFonts w:eastAsia="Times New Roman" w:cs="Times New Roman"/>
          <w:b/>
          <w:bCs/>
          <w:kern w:val="0"/>
          <w:szCs w:val="24"/>
        </w:rPr>
      </w:pPr>
      <w:r w:rsidRPr="00F32A8B">
        <w:rPr>
          <w:rFonts w:eastAsia="Times New Roman" w:cs="Times New Roman"/>
          <w:b/>
          <w:bCs/>
          <w:kern w:val="0"/>
          <w:szCs w:val="24"/>
        </w:rPr>
        <w:t xml:space="preserve">Methodology </w:t>
      </w:r>
    </w:p>
    <w:p w14:paraId="2049570F" w14:textId="7AD1EE6C" w:rsidR="00426F3A" w:rsidRPr="00FC164E" w:rsidRDefault="00426F3A" w:rsidP="00FC164E">
      <w:pPr>
        <w:spacing w:before="100" w:beforeAutospacing="1" w:after="100" w:afterAutospacing="1" w:line="360" w:lineRule="auto"/>
        <w:jc w:val="both"/>
        <w:rPr>
          <w:rFonts w:eastAsia="Times New Roman" w:cs="Times New Roman"/>
          <w:i/>
          <w:iCs/>
          <w:kern w:val="0"/>
          <w:szCs w:val="24"/>
        </w:rPr>
      </w:pPr>
      <w:r w:rsidRPr="00FC164E">
        <w:rPr>
          <w:rFonts w:eastAsia="Times New Roman" w:cs="Times New Roman"/>
          <w:i/>
          <w:iCs/>
          <w:kern w:val="0"/>
          <w:szCs w:val="24"/>
        </w:rPr>
        <w:t xml:space="preserve">Research Approach </w:t>
      </w:r>
    </w:p>
    <w:p w14:paraId="250D0DEE" w14:textId="46692483" w:rsidR="002D0936" w:rsidRDefault="002D0936" w:rsidP="00FC164E">
      <w:pPr>
        <w:spacing w:before="100" w:beforeAutospacing="1" w:after="100" w:afterAutospacing="1" w:line="360" w:lineRule="auto"/>
        <w:jc w:val="both"/>
        <w:rPr>
          <w:rFonts w:eastAsia="Times New Roman" w:cs="Times New Roman"/>
          <w:b/>
          <w:bCs/>
          <w:kern w:val="0"/>
          <w:szCs w:val="24"/>
        </w:rPr>
      </w:pPr>
      <w:r>
        <w:t xml:space="preserve">A quantitative research approach effectively examined bureaucratic practices and service delivery in </w:t>
      </w:r>
      <w:r w:rsidR="00FC164E">
        <w:t xml:space="preserve">UEDCL </w:t>
      </w:r>
      <w:r>
        <w:t xml:space="preserve">by enabling the systematic collection of </w:t>
      </w:r>
      <w:r w:rsidR="00FC164E">
        <w:t>objectives</w:t>
      </w:r>
      <w:r>
        <w:t xml:space="preserve">, measurable data (Creswell &amp; Creswell, 2023). This method facilitated the quantification of stakeholder participation, efficiency levels, and their impact on service delivery through statistical tools, ensuring reliability and validity in findings (Saunders et al., 2023). Structured surveys and data analysis techniques captured numerical insights into procedural effectiveness, responsiveness, and customer satisfaction, allowing for </w:t>
      </w:r>
      <w:proofErr w:type="spellStart"/>
      <w:r>
        <w:t>generalisable</w:t>
      </w:r>
      <w:proofErr w:type="spellEnd"/>
      <w:r>
        <w:t xml:space="preserve"> conclusions (Bryman, 2022). The approach also supported hypothesis testing and provided empirical evidence for assessing administrative performance and decision-making within the </w:t>
      </w:r>
      <w:proofErr w:type="spellStart"/>
      <w:r>
        <w:t>organisation</w:t>
      </w:r>
      <w:proofErr w:type="spellEnd"/>
      <w:r>
        <w:t xml:space="preserve"> (Bell et al., 2022).</w:t>
      </w:r>
    </w:p>
    <w:p w14:paraId="57EBD3CC" w14:textId="65DE87CF" w:rsidR="008074E3" w:rsidRPr="00FC164E" w:rsidRDefault="008074E3" w:rsidP="00FC164E">
      <w:pPr>
        <w:spacing w:before="100" w:beforeAutospacing="1" w:after="100" w:afterAutospacing="1" w:line="360" w:lineRule="auto"/>
        <w:jc w:val="both"/>
        <w:rPr>
          <w:rFonts w:eastAsia="Times New Roman" w:cs="Times New Roman"/>
          <w:i/>
          <w:iCs/>
          <w:kern w:val="0"/>
          <w:szCs w:val="24"/>
        </w:rPr>
      </w:pPr>
      <w:r w:rsidRPr="00FC164E">
        <w:rPr>
          <w:rFonts w:eastAsia="Times New Roman" w:cs="Times New Roman"/>
          <w:i/>
          <w:iCs/>
          <w:kern w:val="0"/>
          <w:szCs w:val="24"/>
        </w:rPr>
        <w:lastRenderedPageBreak/>
        <w:t>Research Design</w:t>
      </w:r>
    </w:p>
    <w:p w14:paraId="58666C0B" w14:textId="0EE262E4" w:rsidR="00AD5E0F" w:rsidRPr="00AD5E0F" w:rsidRDefault="00AD5E0F" w:rsidP="00FC164E">
      <w:pPr>
        <w:spacing w:before="100" w:beforeAutospacing="1" w:after="100" w:afterAutospacing="1" w:line="360" w:lineRule="auto"/>
        <w:jc w:val="both"/>
        <w:rPr>
          <w:rFonts w:eastAsia="Times New Roman" w:cs="Times New Roman"/>
          <w:kern w:val="0"/>
          <w:szCs w:val="24"/>
        </w:rPr>
      </w:pPr>
      <w:r w:rsidRPr="00AD5E0F">
        <w:rPr>
          <w:rFonts w:eastAsia="Times New Roman" w:cs="Times New Roman"/>
          <w:kern w:val="0"/>
          <w:szCs w:val="24"/>
        </w:rPr>
        <w:t>A correlational and survey research design examined the relationship between bureaucratic practices and service delivery efficiency in U</w:t>
      </w:r>
      <w:r w:rsidR="00FC164E">
        <w:rPr>
          <w:rFonts w:eastAsia="Times New Roman" w:cs="Times New Roman"/>
          <w:kern w:val="0"/>
          <w:szCs w:val="24"/>
        </w:rPr>
        <w:t>EDLC</w:t>
      </w:r>
      <w:r w:rsidRPr="00AD5E0F">
        <w:rPr>
          <w:rFonts w:eastAsia="Times New Roman" w:cs="Times New Roman"/>
          <w:kern w:val="0"/>
          <w:szCs w:val="24"/>
        </w:rPr>
        <w:t>. This design effectively assessed how stakeholder participation influenced service delivery outcomes through statistical analysis (Creswell &amp; Creswell, 2023). Structured surveys ensured systematic data collection from respondents, maintaining consistency and comparability across responses (Bryman, 2022). The correlational approach identified associations between variables without manipulation, providing an objective analysis of the connection between stakeholder participation strategies and service efficiency (Saunders et al., 2023). This methodology strengthened the study’s capacity to generate empirical evidence and derive meaningful insights into administrative performance within the company.</w:t>
      </w:r>
    </w:p>
    <w:p w14:paraId="09F405E9" w14:textId="778B2C3C" w:rsidR="00426F3A" w:rsidRPr="00FC164E" w:rsidRDefault="00426F3A" w:rsidP="00FC164E">
      <w:pPr>
        <w:spacing w:before="100" w:beforeAutospacing="1" w:after="100" w:afterAutospacing="1" w:line="360" w:lineRule="auto"/>
        <w:jc w:val="both"/>
        <w:rPr>
          <w:rFonts w:cs="Times New Roman"/>
          <w:i/>
          <w:iCs/>
        </w:rPr>
      </w:pPr>
      <w:r w:rsidRPr="00FC164E">
        <w:rPr>
          <w:rFonts w:cs="Times New Roman"/>
          <w:i/>
          <w:iCs/>
        </w:rPr>
        <w:t xml:space="preserve">Target </w:t>
      </w:r>
      <w:r w:rsidR="00854DF0" w:rsidRPr="00FC164E">
        <w:rPr>
          <w:rFonts w:cs="Times New Roman"/>
          <w:i/>
          <w:iCs/>
        </w:rPr>
        <w:t xml:space="preserve">Population </w:t>
      </w:r>
    </w:p>
    <w:p w14:paraId="102F1742" w14:textId="3EF0BDB7" w:rsidR="00AD5E0F" w:rsidRPr="00AD5E0F" w:rsidRDefault="00AD5E0F" w:rsidP="00FC164E">
      <w:pPr>
        <w:spacing w:before="100" w:beforeAutospacing="1" w:after="100" w:afterAutospacing="1" w:line="360" w:lineRule="auto"/>
        <w:jc w:val="both"/>
        <w:rPr>
          <w:rFonts w:eastAsia="Times New Roman" w:cs="Times New Roman"/>
          <w:kern w:val="0"/>
          <w:szCs w:val="24"/>
        </w:rPr>
      </w:pPr>
      <w:bookmarkStart w:id="10" w:name="_Toc190215828"/>
      <w:r w:rsidRPr="00AD5E0F">
        <w:rPr>
          <w:rFonts w:eastAsia="Times New Roman" w:cs="Times New Roman"/>
          <w:kern w:val="0"/>
          <w:szCs w:val="24"/>
        </w:rPr>
        <w:t>The study focused on individuals with direct and continuous interactions with</w:t>
      </w:r>
      <w:r w:rsidR="00FC164E" w:rsidRPr="00FC164E">
        <w:rPr>
          <w:rFonts w:eastAsia="Times New Roman" w:cs="Times New Roman"/>
          <w:kern w:val="0"/>
          <w:szCs w:val="24"/>
        </w:rPr>
        <w:t xml:space="preserve"> </w:t>
      </w:r>
      <w:r w:rsidR="00FC164E" w:rsidRPr="002D0936">
        <w:rPr>
          <w:rFonts w:eastAsia="Times New Roman" w:cs="Times New Roman"/>
          <w:kern w:val="0"/>
          <w:szCs w:val="24"/>
        </w:rPr>
        <w:t>UEDCL</w:t>
      </w:r>
      <w:r w:rsidRPr="00AD5E0F">
        <w:rPr>
          <w:rFonts w:eastAsia="Times New Roman" w:cs="Times New Roman"/>
          <w:kern w:val="0"/>
          <w:szCs w:val="24"/>
        </w:rPr>
        <w:t xml:space="preserve">, ensuring that respondents possessed relevant experience and knowledge for accurate data collection. Selection criteria </w:t>
      </w:r>
      <w:proofErr w:type="spellStart"/>
      <w:r w:rsidRPr="00AD5E0F">
        <w:rPr>
          <w:rFonts w:eastAsia="Times New Roman" w:cs="Times New Roman"/>
          <w:kern w:val="0"/>
          <w:szCs w:val="24"/>
        </w:rPr>
        <w:t>prioritised</w:t>
      </w:r>
      <w:proofErr w:type="spellEnd"/>
      <w:r w:rsidRPr="00AD5E0F">
        <w:rPr>
          <w:rFonts w:eastAsia="Times New Roman" w:cs="Times New Roman"/>
          <w:kern w:val="0"/>
          <w:szCs w:val="24"/>
        </w:rPr>
        <w:t xml:space="preserve"> board members, company employees, and private sector players in the energy industry, as these groups offered valuable insights into bureaucratic practices and service delivery (Creswell &amp; Creswell, 2023). Board members contributed perspectives on strategic decision-making, employees provided insights into operational and service delivery processes, and private sector players shared external viewpoints on efficiency and collaboration within the industry (Saunders et al., 2023).</w:t>
      </w:r>
    </w:p>
    <w:p w14:paraId="363517F9" w14:textId="1C683E7B" w:rsidR="00AD5E0F" w:rsidRPr="00AD5E0F" w:rsidRDefault="00AD5E0F" w:rsidP="00FC164E">
      <w:pPr>
        <w:spacing w:before="100" w:beforeAutospacing="1" w:after="100" w:afterAutospacing="1" w:line="360" w:lineRule="auto"/>
        <w:jc w:val="both"/>
        <w:rPr>
          <w:rFonts w:eastAsia="Times New Roman" w:cs="Times New Roman"/>
          <w:kern w:val="0"/>
          <w:szCs w:val="24"/>
        </w:rPr>
      </w:pPr>
      <w:r w:rsidRPr="00AD5E0F">
        <w:rPr>
          <w:rFonts w:eastAsia="Times New Roman" w:cs="Times New Roman"/>
          <w:kern w:val="0"/>
          <w:szCs w:val="24"/>
        </w:rPr>
        <w:t>Individuals without direct involvement in the company’s operations, including customers and regulatory officials, were excluded, as their perspectives, though valuable, did not align with the study’s focus on internal bureaucratic processes (Bryman, 2022). Employees with less than a year of experience were also excluded to ensure that data was collected from respondents familiar with the company’s administrative and service delivery framework (Bell et al., 2022). This approach strengthened the reliability and validity of the findings by focusing on well-informed participants.</w:t>
      </w:r>
    </w:p>
    <w:p w14:paraId="1934FE82" w14:textId="4D7C577C" w:rsidR="00854DF0" w:rsidRPr="00854DF0" w:rsidRDefault="00854DF0" w:rsidP="00FC164E">
      <w:pPr>
        <w:spacing w:after="200" w:line="360" w:lineRule="auto"/>
        <w:jc w:val="both"/>
        <w:rPr>
          <w:rFonts w:eastAsia="Calibri" w:cs="Times New Roman"/>
          <w:b/>
          <w:iCs/>
          <w:color w:val="000000" w:themeColor="text1"/>
          <w:kern w:val="0"/>
          <w:szCs w:val="24"/>
        </w:rPr>
      </w:pPr>
      <w:r w:rsidRPr="00854DF0">
        <w:rPr>
          <w:rFonts w:eastAsia="Calibri" w:cs="Times New Roman"/>
          <w:b/>
          <w:iCs/>
          <w:color w:val="000000" w:themeColor="text1"/>
          <w:kern w:val="0"/>
          <w:szCs w:val="24"/>
        </w:rPr>
        <w:t xml:space="preserve">Table </w:t>
      </w:r>
      <w:r w:rsidRPr="00854DF0">
        <w:rPr>
          <w:rFonts w:eastAsia="Calibri" w:cs="Times New Roman"/>
          <w:b/>
          <w:iCs/>
          <w:color w:val="000000" w:themeColor="text1"/>
          <w:kern w:val="0"/>
          <w:szCs w:val="24"/>
        </w:rPr>
        <w:fldChar w:fldCharType="begin"/>
      </w:r>
      <w:r w:rsidRPr="00854DF0">
        <w:rPr>
          <w:rFonts w:eastAsia="Calibri" w:cs="Times New Roman"/>
          <w:b/>
          <w:iCs/>
          <w:color w:val="000000" w:themeColor="text1"/>
          <w:kern w:val="0"/>
          <w:szCs w:val="24"/>
        </w:rPr>
        <w:instrText xml:space="preserve"> SEQ Table \* ARABIC </w:instrText>
      </w:r>
      <w:r w:rsidRPr="00854DF0">
        <w:rPr>
          <w:rFonts w:eastAsia="Calibri" w:cs="Times New Roman"/>
          <w:b/>
          <w:iCs/>
          <w:color w:val="000000" w:themeColor="text1"/>
          <w:kern w:val="0"/>
          <w:szCs w:val="24"/>
        </w:rPr>
        <w:fldChar w:fldCharType="separate"/>
      </w:r>
      <w:r w:rsidRPr="00854DF0">
        <w:rPr>
          <w:rFonts w:eastAsia="Calibri" w:cs="Times New Roman"/>
          <w:b/>
          <w:iCs/>
          <w:noProof/>
          <w:color w:val="000000" w:themeColor="text1"/>
          <w:kern w:val="0"/>
          <w:szCs w:val="24"/>
        </w:rPr>
        <w:t>1</w:t>
      </w:r>
      <w:r w:rsidRPr="00854DF0">
        <w:rPr>
          <w:rFonts w:eastAsia="Calibri" w:cs="Times New Roman"/>
          <w:b/>
          <w:iCs/>
          <w:color w:val="000000" w:themeColor="text1"/>
          <w:kern w:val="0"/>
          <w:szCs w:val="24"/>
        </w:rPr>
        <w:fldChar w:fldCharType="end"/>
      </w:r>
      <w:r w:rsidRPr="00854DF0">
        <w:rPr>
          <w:rFonts w:eastAsia="Calibri" w:cs="Times New Roman"/>
          <w:b/>
          <w:iCs/>
          <w:color w:val="000000" w:themeColor="text1"/>
          <w:kern w:val="0"/>
          <w:szCs w:val="24"/>
        </w:rPr>
        <w:t>: Target Population</w:t>
      </w:r>
      <w:bookmarkEnd w:id="10"/>
    </w:p>
    <w:tbl>
      <w:tblPr>
        <w:tblW w:w="9356" w:type="dxa"/>
        <w:tblInd w:w="108" w:type="dxa"/>
        <w:tblBorders>
          <w:top w:val="single" w:sz="4" w:space="0" w:color="auto"/>
          <w:bottom w:val="single" w:sz="4" w:space="0" w:color="auto"/>
        </w:tblBorders>
        <w:tblLook w:val="0000" w:firstRow="0" w:lastRow="0" w:firstColumn="0" w:lastColumn="0" w:noHBand="0" w:noVBand="0"/>
      </w:tblPr>
      <w:tblGrid>
        <w:gridCol w:w="6804"/>
        <w:gridCol w:w="2552"/>
      </w:tblGrid>
      <w:tr w:rsidR="00854DF0" w:rsidRPr="00854DF0" w14:paraId="3F91D598" w14:textId="77777777" w:rsidTr="00DD29BC">
        <w:trPr>
          <w:trHeight w:val="224"/>
        </w:trPr>
        <w:tc>
          <w:tcPr>
            <w:tcW w:w="6804" w:type="dxa"/>
            <w:tcBorders>
              <w:top w:val="single" w:sz="4" w:space="0" w:color="auto"/>
              <w:bottom w:val="single" w:sz="4" w:space="0" w:color="auto"/>
            </w:tcBorders>
          </w:tcPr>
          <w:p w14:paraId="21149346" w14:textId="77777777" w:rsidR="00854DF0" w:rsidRPr="00854DF0" w:rsidRDefault="00854DF0" w:rsidP="00FC164E">
            <w:pPr>
              <w:spacing w:after="0" w:line="360" w:lineRule="auto"/>
              <w:jc w:val="both"/>
              <w:rPr>
                <w:rFonts w:cs="Times New Roman"/>
                <w:b/>
                <w:bCs/>
                <w:color w:val="000000" w:themeColor="text1"/>
                <w:szCs w:val="24"/>
              </w:rPr>
            </w:pPr>
            <w:r w:rsidRPr="00854DF0">
              <w:rPr>
                <w:rFonts w:cs="Times New Roman"/>
                <w:b/>
                <w:bCs/>
                <w:color w:val="000000" w:themeColor="text1"/>
                <w:szCs w:val="24"/>
              </w:rPr>
              <w:lastRenderedPageBreak/>
              <w:t>Target</w:t>
            </w:r>
          </w:p>
        </w:tc>
        <w:tc>
          <w:tcPr>
            <w:tcW w:w="2552" w:type="dxa"/>
            <w:tcBorders>
              <w:top w:val="single" w:sz="4" w:space="0" w:color="auto"/>
              <w:bottom w:val="single" w:sz="4" w:space="0" w:color="auto"/>
            </w:tcBorders>
            <w:shd w:val="clear" w:color="auto" w:fill="auto"/>
          </w:tcPr>
          <w:p w14:paraId="2D62BA4D" w14:textId="77777777" w:rsidR="00854DF0" w:rsidRPr="00854DF0" w:rsidRDefault="00854DF0" w:rsidP="00FC164E">
            <w:pPr>
              <w:spacing w:after="0" w:line="360" w:lineRule="auto"/>
              <w:jc w:val="both"/>
              <w:rPr>
                <w:rFonts w:cs="Times New Roman"/>
                <w:b/>
                <w:bCs/>
                <w:color w:val="000000" w:themeColor="text1"/>
                <w:szCs w:val="24"/>
              </w:rPr>
            </w:pPr>
            <w:r w:rsidRPr="00854DF0">
              <w:rPr>
                <w:rFonts w:cs="Times New Roman"/>
                <w:b/>
                <w:bCs/>
                <w:color w:val="000000" w:themeColor="text1"/>
                <w:szCs w:val="24"/>
              </w:rPr>
              <w:t>Population</w:t>
            </w:r>
          </w:p>
        </w:tc>
      </w:tr>
      <w:tr w:rsidR="00854DF0" w:rsidRPr="00854DF0" w14:paraId="6C52D178" w14:textId="77777777" w:rsidTr="00DD29BC">
        <w:trPr>
          <w:trHeight w:val="224"/>
        </w:trPr>
        <w:tc>
          <w:tcPr>
            <w:tcW w:w="6804" w:type="dxa"/>
            <w:tcBorders>
              <w:top w:val="single" w:sz="4" w:space="0" w:color="auto"/>
            </w:tcBorders>
          </w:tcPr>
          <w:p w14:paraId="58BBF5D8" w14:textId="77777777" w:rsidR="00854DF0" w:rsidRPr="00854DF0" w:rsidRDefault="00854DF0" w:rsidP="00FC164E">
            <w:pPr>
              <w:spacing w:after="0" w:line="360" w:lineRule="auto"/>
              <w:jc w:val="both"/>
              <w:rPr>
                <w:rFonts w:cs="Times New Roman"/>
                <w:bCs/>
                <w:color w:val="000000" w:themeColor="text1"/>
                <w:szCs w:val="24"/>
                <w:highlight w:val="yellow"/>
              </w:rPr>
            </w:pPr>
            <w:r w:rsidRPr="00854DF0">
              <w:rPr>
                <w:rFonts w:eastAsia="Times New Roman" w:cs="Times New Roman"/>
                <w:bCs/>
                <w:color w:val="000000" w:themeColor="text1"/>
                <w:szCs w:val="24"/>
              </w:rPr>
              <w:t>Board Members</w:t>
            </w:r>
          </w:p>
        </w:tc>
        <w:tc>
          <w:tcPr>
            <w:tcW w:w="2552" w:type="dxa"/>
            <w:tcBorders>
              <w:top w:val="single" w:sz="4" w:space="0" w:color="auto"/>
            </w:tcBorders>
            <w:shd w:val="clear" w:color="auto" w:fill="auto"/>
          </w:tcPr>
          <w:p w14:paraId="3DD34034" w14:textId="77777777" w:rsidR="00854DF0" w:rsidRPr="00854DF0" w:rsidRDefault="00854DF0" w:rsidP="00FC164E">
            <w:pPr>
              <w:spacing w:after="0" w:line="360" w:lineRule="auto"/>
              <w:jc w:val="both"/>
              <w:rPr>
                <w:rFonts w:cs="Times New Roman"/>
                <w:bCs/>
                <w:color w:val="000000" w:themeColor="text1"/>
                <w:szCs w:val="24"/>
              </w:rPr>
            </w:pPr>
            <w:r w:rsidRPr="00854DF0">
              <w:rPr>
                <w:rFonts w:cs="Times New Roman"/>
                <w:bCs/>
                <w:color w:val="000000" w:themeColor="text1"/>
                <w:szCs w:val="24"/>
              </w:rPr>
              <w:t>8</w:t>
            </w:r>
          </w:p>
        </w:tc>
      </w:tr>
      <w:tr w:rsidR="00854DF0" w:rsidRPr="00854DF0" w14:paraId="31052703" w14:textId="77777777" w:rsidTr="00DD29BC">
        <w:trPr>
          <w:trHeight w:val="224"/>
        </w:trPr>
        <w:tc>
          <w:tcPr>
            <w:tcW w:w="6804" w:type="dxa"/>
          </w:tcPr>
          <w:p w14:paraId="403AECD8" w14:textId="77777777" w:rsidR="00854DF0" w:rsidRPr="00854DF0" w:rsidRDefault="00854DF0" w:rsidP="00FC164E">
            <w:pPr>
              <w:spacing w:after="0" w:line="360" w:lineRule="auto"/>
              <w:jc w:val="both"/>
              <w:rPr>
                <w:rFonts w:cs="Times New Roman"/>
                <w:bCs/>
                <w:color w:val="000000" w:themeColor="text1"/>
                <w:szCs w:val="24"/>
                <w:highlight w:val="yellow"/>
              </w:rPr>
            </w:pPr>
            <w:r w:rsidRPr="00854DF0">
              <w:rPr>
                <w:rFonts w:eastAsia="Times New Roman" w:cs="Times New Roman"/>
                <w:bCs/>
                <w:color w:val="000000" w:themeColor="text1"/>
                <w:szCs w:val="24"/>
              </w:rPr>
              <w:t>Employees of UEDC</w:t>
            </w:r>
          </w:p>
        </w:tc>
        <w:tc>
          <w:tcPr>
            <w:tcW w:w="2552" w:type="dxa"/>
            <w:shd w:val="clear" w:color="auto" w:fill="auto"/>
          </w:tcPr>
          <w:p w14:paraId="2F9CE4E0" w14:textId="77777777" w:rsidR="00854DF0" w:rsidRPr="00854DF0" w:rsidRDefault="00854DF0" w:rsidP="00FC164E">
            <w:pPr>
              <w:spacing w:after="0" w:line="360" w:lineRule="auto"/>
              <w:jc w:val="both"/>
              <w:rPr>
                <w:rFonts w:cs="Times New Roman"/>
                <w:bCs/>
                <w:color w:val="000000" w:themeColor="text1"/>
                <w:szCs w:val="24"/>
              </w:rPr>
            </w:pPr>
            <w:r w:rsidRPr="00854DF0">
              <w:rPr>
                <w:rFonts w:cs="Times New Roman"/>
                <w:color w:val="000000" w:themeColor="text1"/>
                <w:szCs w:val="24"/>
              </w:rPr>
              <w:t>661</w:t>
            </w:r>
          </w:p>
        </w:tc>
      </w:tr>
      <w:tr w:rsidR="00854DF0" w:rsidRPr="00854DF0" w14:paraId="69B63E2E" w14:textId="77777777" w:rsidTr="00DD29BC">
        <w:trPr>
          <w:trHeight w:val="270"/>
        </w:trPr>
        <w:tc>
          <w:tcPr>
            <w:tcW w:w="6804" w:type="dxa"/>
          </w:tcPr>
          <w:p w14:paraId="2DB67C6D" w14:textId="77777777" w:rsidR="00854DF0" w:rsidRPr="00854DF0" w:rsidRDefault="00854DF0" w:rsidP="00FC164E">
            <w:pPr>
              <w:spacing w:after="0" w:line="360" w:lineRule="auto"/>
              <w:jc w:val="both"/>
              <w:rPr>
                <w:rFonts w:cs="Times New Roman"/>
                <w:color w:val="000000" w:themeColor="text1"/>
                <w:szCs w:val="24"/>
                <w:highlight w:val="yellow"/>
              </w:rPr>
            </w:pPr>
            <w:r w:rsidRPr="00854DF0">
              <w:rPr>
                <w:rFonts w:eastAsia="Times New Roman" w:cs="Times New Roman"/>
                <w:color w:val="000000" w:themeColor="text1"/>
                <w:szCs w:val="24"/>
              </w:rPr>
              <w:t>Private sector Players in the Energy Industry</w:t>
            </w:r>
          </w:p>
        </w:tc>
        <w:tc>
          <w:tcPr>
            <w:tcW w:w="2552" w:type="dxa"/>
            <w:shd w:val="clear" w:color="auto" w:fill="auto"/>
          </w:tcPr>
          <w:p w14:paraId="4CD02F5F" w14:textId="77777777" w:rsidR="00854DF0" w:rsidRPr="00854DF0" w:rsidRDefault="00854DF0" w:rsidP="00FC164E">
            <w:pPr>
              <w:spacing w:after="0" w:line="360" w:lineRule="auto"/>
              <w:jc w:val="both"/>
              <w:rPr>
                <w:rFonts w:eastAsia="Times New Roman" w:cs="Times New Roman"/>
                <w:color w:val="000000" w:themeColor="text1"/>
                <w:szCs w:val="24"/>
              </w:rPr>
            </w:pPr>
            <w:r w:rsidRPr="00854DF0">
              <w:rPr>
                <w:rFonts w:eastAsia="Times New Roman" w:cs="Times New Roman"/>
                <w:color w:val="000000" w:themeColor="text1"/>
                <w:szCs w:val="24"/>
              </w:rPr>
              <w:t>9</w:t>
            </w:r>
          </w:p>
        </w:tc>
      </w:tr>
      <w:tr w:rsidR="00854DF0" w:rsidRPr="00854DF0" w14:paraId="191772BB" w14:textId="77777777" w:rsidTr="00DD29BC">
        <w:trPr>
          <w:trHeight w:val="270"/>
        </w:trPr>
        <w:tc>
          <w:tcPr>
            <w:tcW w:w="6804" w:type="dxa"/>
          </w:tcPr>
          <w:p w14:paraId="0F7C4F6B" w14:textId="77777777" w:rsidR="00854DF0" w:rsidRPr="00854DF0" w:rsidRDefault="00854DF0" w:rsidP="00FC164E">
            <w:pPr>
              <w:spacing w:after="0" w:line="360" w:lineRule="auto"/>
              <w:jc w:val="both"/>
              <w:rPr>
                <w:rFonts w:cs="Times New Roman"/>
                <w:b/>
                <w:color w:val="000000" w:themeColor="text1"/>
              </w:rPr>
            </w:pPr>
            <w:r w:rsidRPr="00854DF0">
              <w:rPr>
                <w:rFonts w:cs="Times New Roman"/>
                <w:b/>
                <w:color w:val="000000" w:themeColor="text1"/>
              </w:rPr>
              <w:t>Total</w:t>
            </w:r>
          </w:p>
        </w:tc>
        <w:tc>
          <w:tcPr>
            <w:tcW w:w="2552" w:type="dxa"/>
            <w:shd w:val="clear" w:color="auto" w:fill="auto"/>
          </w:tcPr>
          <w:p w14:paraId="2EFF7425" w14:textId="77777777" w:rsidR="00854DF0" w:rsidRPr="00854DF0" w:rsidRDefault="00854DF0" w:rsidP="00FC164E">
            <w:pPr>
              <w:spacing w:after="0" w:line="360" w:lineRule="auto"/>
              <w:jc w:val="both"/>
              <w:rPr>
                <w:rFonts w:cs="Times New Roman"/>
                <w:b/>
                <w:color w:val="000000" w:themeColor="text1"/>
                <w:szCs w:val="24"/>
              </w:rPr>
            </w:pPr>
            <w:r w:rsidRPr="00854DF0">
              <w:rPr>
                <w:rFonts w:cs="Times New Roman"/>
                <w:b/>
                <w:color w:val="000000" w:themeColor="text1"/>
                <w:szCs w:val="24"/>
              </w:rPr>
              <w:t>678</w:t>
            </w:r>
          </w:p>
        </w:tc>
      </w:tr>
    </w:tbl>
    <w:p w14:paraId="339927C2" w14:textId="6D35C0C5" w:rsidR="00854DF0" w:rsidRPr="00F32A8B" w:rsidRDefault="00854DF0" w:rsidP="00FC164E">
      <w:pPr>
        <w:spacing w:after="0" w:line="360" w:lineRule="auto"/>
        <w:ind w:left="720" w:hanging="720"/>
        <w:jc w:val="both"/>
        <w:rPr>
          <w:rFonts w:eastAsia="Times New Roman" w:cs="Times New Roman"/>
          <w:iCs/>
          <w:color w:val="000000" w:themeColor="text1"/>
          <w:szCs w:val="24"/>
        </w:rPr>
      </w:pPr>
      <w:r w:rsidRPr="00854DF0">
        <w:rPr>
          <w:rFonts w:cs="Times New Roman"/>
          <w:b/>
          <w:bCs/>
          <w:color w:val="000000" w:themeColor="text1"/>
          <w:szCs w:val="24"/>
        </w:rPr>
        <w:t>Sources:</w:t>
      </w:r>
      <w:r w:rsidRPr="00F32A8B">
        <w:rPr>
          <w:rFonts w:cs="Times New Roman"/>
          <w:b/>
          <w:bCs/>
          <w:color w:val="000000" w:themeColor="text1"/>
          <w:szCs w:val="24"/>
        </w:rPr>
        <w:t xml:space="preserve"> </w:t>
      </w:r>
      <w:r w:rsidRPr="00854DF0">
        <w:rPr>
          <w:rFonts w:eastAsia="Times New Roman" w:cs="Times New Roman"/>
          <w:bCs/>
          <w:iCs/>
          <w:color w:val="000000" w:themeColor="text1"/>
          <w:szCs w:val="24"/>
        </w:rPr>
        <w:t>UEDC</w:t>
      </w:r>
      <w:r w:rsidRPr="00F32A8B">
        <w:rPr>
          <w:rFonts w:eastAsia="Times New Roman" w:cs="Times New Roman"/>
          <w:bCs/>
          <w:iCs/>
          <w:color w:val="000000" w:themeColor="text1"/>
          <w:szCs w:val="24"/>
        </w:rPr>
        <w:t xml:space="preserve"> </w:t>
      </w:r>
      <w:r w:rsidRPr="00854DF0">
        <w:rPr>
          <w:rFonts w:eastAsia="Times New Roman" w:cs="Times New Roman"/>
          <w:iCs/>
          <w:color w:val="000000" w:themeColor="text1"/>
          <w:szCs w:val="24"/>
        </w:rPr>
        <w:t>(2024</w:t>
      </w:r>
      <w:r w:rsidRPr="00854DF0">
        <w:rPr>
          <w:rFonts w:eastAsia="Times New Roman" w:cs="Times New Roman"/>
          <w:i/>
          <w:color w:val="000000" w:themeColor="text1"/>
          <w:szCs w:val="24"/>
        </w:rPr>
        <w:t>)</w:t>
      </w:r>
    </w:p>
    <w:p w14:paraId="060606A8" w14:textId="77777777" w:rsidR="00F53169" w:rsidRDefault="00F53169" w:rsidP="00FC164E">
      <w:pPr>
        <w:keepNext/>
        <w:keepLines/>
        <w:spacing w:after="0" w:line="360" w:lineRule="auto"/>
        <w:jc w:val="both"/>
        <w:outlineLvl w:val="1"/>
        <w:rPr>
          <w:rFonts w:eastAsiaTheme="majorEastAsia" w:cs="Times New Roman"/>
          <w:bCs/>
          <w:i/>
          <w:iCs/>
          <w:color w:val="000000" w:themeColor="text1"/>
          <w:szCs w:val="26"/>
        </w:rPr>
      </w:pPr>
    </w:p>
    <w:p w14:paraId="1C8BAFD4" w14:textId="303A1208" w:rsidR="00854DF0" w:rsidRPr="00F53169" w:rsidRDefault="00854DF0" w:rsidP="00FC164E">
      <w:pPr>
        <w:keepNext/>
        <w:keepLines/>
        <w:spacing w:after="0" w:line="360" w:lineRule="auto"/>
        <w:jc w:val="both"/>
        <w:outlineLvl w:val="1"/>
        <w:rPr>
          <w:rFonts w:eastAsiaTheme="majorEastAsia" w:cs="Times New Roman"/>
          <w:bCs/>
          <w:i/>
          <w:iCs/>
          <w:color w:val="000000" w:themeColor="text1"/>
          <w:szCs w:val="26"/>
        </w:rPr>
      </w:pPr>
      <w:r w:rsidRPr="00F53169">
        <w:rPr>
          <w:rFonts w:eastAsiaTheme="majorEastAsia" w:cs="Times New Roman"/>
          <w:bCs/>
          <w:i/>
          <w:iCs/>
          <w:color w:val="000000" w:themeColor="text1"/>
          <w:szCs w:val="26"/>
        </w:rPr>
        <w:t xml:space="preserve">Sample Size and Sampling Techniques </w:t>
      </w:r>
    </w:p>
    <w:p w14:paraId="35E51A41" w14:textId="5AF873AD" w:rsidR="00854DF0" w:rsidRPr="00854DF0" w:rsidRDefault="00854DF0" w:rsidP="00FC164E">
      <w:pPr>
        <w:spacing w:line="360" w:lineRule="auto"/>
        <w:jc w:val="both"/>
        <w:rPr>
          <w:rFonts w:eastAsia="Times New Roman" w:cs="Times New Roman"/>
          <w:color w:val="000000" w:themeColor="text1"/>
          <w:kern w:val="0"/>
          <w:szCs w:val="24"/>
        </w:rPr>
      </w:pPr>
      <w:r w:rsidRPr="00854DF0">
        <w:rPr>
          <w:rFonts w:eastAsia="Times New Roman" w:cs="Times New Roman"/>
          <w:color w:val="000000" w:themeColor="text1"/>
          <w:kern w:val="0"/>
          <w:szCs w:val="24"/>
        </w:rPr>
        <w:t>The sample size for this study was</w:t>
      </w:r>
      <w:r w:rsidRPr="00F32A8B">
        <w:rPr>
          <w:rFonts w:eastAsia="Times New Roman" w:cs="Times New Roman"/>
          <w:color w:val="000000" w:themeColor="text1"/>
          <w:kern w:val="0"/>
          <w:szCs w:val="24"/>
        </w:rPr>
        <w:t xml:space="preserve"> </w:t>
      </w:r>
      <w:r w:rsidRPr="00854DF0">
        <w:rPr>
          <w:rFonts w:eastAsia="Times New Roman" w:cs="Times New Roman"/>
          <w:color w:val="000000" w:themeColor="text1"/>
          <w:szCs w:val="24"/>
        </w:rPr>
        <w:t>251</w:t>
      </w:r>
      <w:r w:rsidRPr="00F32A8B">
        <w:rPr>
          <w:rFonts w:eastAsia="Times New Roman" w:cs="Times New Roman"/>
          <w:color w:val="000000" w:themeColor="text1"/>
          <w:kern w:val="0"/>
          <w:szCs w:val="24"/>
        </w:rPr>
        <w:t xml:space="preserve"> obtained from </w:t>
      </w:r>
      <w:r w:rsidRPr="00854DF0">
        <w:rPr>
          <w:rFonts w:eastAsia="Times New Roman" w:cs="Times New Roman"/>
          <w:color w:val="000000" w:themeColor="text1"/>
          <w:kern w:val="0"/>
          <w:szCs w:val="24"/>
        </w:rPr>
        <w:t xml:space="preserve">Yamane's (1967) formula.  </w:t>
      </w:r>
    </w:p>
    <w:p w14:paraId="312CF8F8" w14:textId="77777777" w:rsidR="00854DF0" w:rsidRPr="00854DF0" w:rsidRDefault="00854DF0" w:rsidP="00FC164E">
      <w:pPr>
        <w:spacing w:line="360" w:lineRule="auto"/>
        <w:jc w:val="both"/>
        <w:rPr>
          <w:rFonts w:eastAsia="Times New Roman" w:cs="Times New Roman"/>
          <w:color w:val="000000" w:themeColor="text1"/>
          <w:kern w:val="0"/>
          <w:szCs w:val="24"/>
        </w:rPr>
      </w:pPr>
      <w:r w:rsidRPr="00854DF0">
        <w:rPr>
          <w:rFonts w:eastAsia="Times New Roman" w:cs="Times New Roman"/>
          <w:color w:val="000000" w:themeColor="text1"/>
          <w:kern w:val="0"/>
          <w:szCs w:val="24"/>
        </w:rPr>
        <w:t>Yamane (1967):</w:t>
      </w:r>
      <m:oMath>
        <m:r>
          <w:rPr>
            <w:rFonts w:ascii="Cambria Math" w:eastAsia="Times New Roman" w:hAnsi="Cambria Math" w:cs="Times New Roman"/>
            <w:color w:val="000000" w:themeColor="text1"/>
            <w:kern w:val="0"/>
            <w:szCs w:val="24"/>
          </w:rPr>
          <m:t>n</m:t>
        </m:r>
        <m:r>
          <m:rPr>
            <m:sty m:val="p"/>
          </m:rPr>
          <w:rPr>
            <w:rFonts w:ascii="Cambria Math" w:eastAsia="Times New Roman" w:hAnsi="Cambria Math" w:cs="Times New Roman"/>
            <w:color w:val="000000" w:themeColor="text1"/>
            <w:kern w:val="0"/>
            <w:szCs w:val="24"/>
          </w:rPr>
          <m:t>=</m:t>
        </m:r>
        <m:f>
          <m:fPr>
            <m:ctrlPr>
              <w:rPr>
                <w:rFonts w:ascii="Cambria Math" w:eastAsia="Times New Roman" w:hAnsi="Cambria Math" w:cs="Times New Roman"/>
                <w:color w:val="000000" w:themeColor="text1"/>
                <w:kern w:val="0"/>
                <w:szCs w:val="24"/>
              </w:rPr>
            </m:ctrlPr>
          </m:fPr>
          <m:num>
            <m:r>
              <w:rPr>
                <w:rFonts w:ascii="Cambria Math" w:eastAsia="Times New Roman" w:hAnsi="Cambria Math" w:cs="Times New Roman"/>
                <w:color w:val="000000" w:themeColor="text1"/>
                <w:kern w:val="0"/>
                <w:szCs w:val="24"/>
              </w:rPr>
              <m:t>N</m:t>
            </m:r>
          </m:num>
          <m:den>
            <m:r>
              <m:rPr>
                <m:sty m:val="p"/>
              </m:rPr>
              <w:rPr>
                <w:rFonts w:ascii="Cambria Math" w:eastAsia="Times New Roman" w:hAnsi="Cambria Math" w:cs="Times New Roman"/>
                <w:color w:val="000000" w:themeColor="text1"/>
                <w:kern w:val="0"/>
                <w:szCs w:val="24"/>
              </w:rPr>
              <m:t>1+</m:t>
            </m:r>
            <m:r>
              <w:rPr>
                <w:rFonts w:ascii="Cambria Math" w:eastAsia="Times New Roman" w:hAnsi="Cambria Math" w:cs="Times New Roman"/>
                <w:color w:val="000000" w:themeColor="text1"/>
                <w:kern w:val="0"/>
                <w:szCs w:val="24"/>
              </w:rPr>
              <m:t>N</m:t>
            </m:r>
            <m:r>
              <m:rPr>
                <m:sty m:val="p"/>
              </m:rPr>
              <w:rPr>
                <w:rFonts w:ascii="Cambria Math" w:eastAsia="Times New Roman" w:hAnsi="Cambria Math" w:cs="Times New Roman"/>
                <w:color w:val="000000" w:themeColor="text1"/>
                <w:kern w:val="0"/>
                <w:szCs w:val="24"/>
              </w:rPr>
              <m:t>(</m:t>
            </m:r>
            <m:sSup>
              <m:sSupPr>
                <m:ctrlPr>
                  <w:rPr>
                    <w:rFonts w:ascii="Cambria Math" w:eastAsia="Times New Roman" w:hAnsi="Cambria Math" w:cs="Times New Roman"/>
                    <w:color w:val="000000" w:themeColor="text1"/>
                    <w:kern w:val="0"/>
                    <w:szCs w:val="24"/>
                  </w:rPr>
                </m:ctrlPr>
              </m:sSupPr>
              <m:e>
                <m:r>
                  <w:rPr>
                    <w:rFonts w:ascii="Cambria Math" w:eastAsia="Times New Roman" w:hAnsi="Cambria Math" w:cs="Times New Roman"/>
                    <w:color w:val="000000" w:themeColor="text1"/>
                    <w:kern w:val="0"/>
                    <w:szCs w:val="24"/>
                  </w:rPr>
                  <m:t>e</m:t>
                </m:r>
                <m:r>
                  <m:rPr>
                    <m:sty m:val="p"/>
                  </m:rPr>
                  <w:rPr>
                    <w:rFonts w:ascii="Cambria Math" w:eastAsia="Times New Roman" w:hAnsi="Cambria Math" w:cs="Times New Roman"/>
                    <w:color w:val="000000" w:themeColor="text1"/>
                    <w:kern w:val="0"/>
                    <w:szCs w:val="24"/>
                  </w:rPr>
                  <m:t>)</m:t>
                </m:r>
              </m:e>
              <m:sup>
                <m:r>
                  <m:rPr>
                    <m:sty m:val="p"/>
                  </m:rPr>
                  <w:rPr>
                    <w:rFonts w:ascii="Cambria Math" w:eastAsia="Times New Roman" w:hAnsi="Cambria Math" w:cs="Times New Roman"/>
                    <w:color w:val="000000" w:themeColor="text1"/>
                    <w:kern w:val="0"/>
                    <w:szCs w:val="24"/>
                  </w:rPr>
                  <m:t>2</m:t>
                </m:r>
              </m:sup>
            </m:sSup>
          </m:den>
        </m:f>
      </m:oMath>
    </w:p>
    <w:p w14:paraId="25581544" w14:textId="77777777" w:rsidR="00854DF0" w:rsidRPr="00854DF0" w:rsidRDefault="00854DF0" w:rsidP="00FC164E">
      <w:pPr>
        <w:spacing w:line="360" w:lineRule="auto"/>
        <w:jc w:val="both"/>
        <w:rPr>
          <w:rFonts w:eastAsia="Times New Roman" w:cs="Times New Roman"/>
          <w:color w:val="000000" w:themeColor="text1"/>
          <w:kern w:val="0"/>
          <w:szCs w:val="24"/>
        </w:rPr>
      </w:pPr>
      <w:r w:rsidRPr="00854DF0">
        <w:rPr>
          <w:rFonts w:eastAsia="Times New Roman" w:cs="Times New Roman"/>
          <w:color w:val="000000" w:themeColor="text1"/>
          <w:kern w:val="0"/>
          <w:szCs w:val="24"/>
        </w:rPr>
        <w:t xml:space="preserve">Where: </w:t>
      </w:r>
      <w:r w:rsidRPr="00854DF0">
        <w:rPr>
          <w:rFonts w:eastAsia="Times New Roman" w:cs="Times New Roman"/>
          <w:b/>
          <w:color w:val="000000" w:themeColor="text1"/>
          <w:kern w:val="0"/>
          <w:szCs w:val="24"/>
        </w:rPr>
        <w:t>N</w:t>
      </w:r>
      <w:r w:rsidRPr="00854DF0">
        <w:rPr>
          <w:rFonts w:eastAsia="Times New Roman" w:cs="Times New Roman"/>
          <w:color w:val="000000" w:themeColor="text1"/>
          <w:kern w:val="0"/>
          <w:szCs w:val="24"/>
        </w:rPr>
        <w:t xml:space="preserve"> – represents the target population; </w:t>
      </w:r>
      <w:r w:rsidRPr="00854DF0">
        <w:rPr>
          <w:rFonts w:eastAsia="Times New Roman" w:cs="Times New Roman"/>
          <w:b/>
          <w:color w:val="000000" w:themeColor="text1"/>
          <w:kern w:val="0"/>
          <w:szCs w:val="24"/>
        </w:rPr>
        <w:t>n</w:t>
      </w:r>
      <w:r w:rsidRPr="00854DF0">
        <w:rPr>
          <w:rFonts w:eastAsia="Times New Roman" w:cs="Times New Roman"/>
          <w:color w:val="000000" w:themeColor="text1"/>
          <w:kern w:val="0"/>
          <w:szCs w:val="24"/>
        </w:rPr>
        <w:t xml:space="preserve"> – represents the sample size; </w:t>
      </w:r>
      <w:r w:rsidRPr="00854DF0">
        <w:rPr>
          <w:rFonts w:eastAsia="Times New Roman" w:cs="Times New Roman"/>
          <w:b/>
          <w:color w:val="000000" w:themeColor="text1"/>
          <w:kern w:val="0"/>
          <w:szCs w:val="24"/>
        </w:rPr>
        <w:t>e</w:t>
      </w:r>
      <w:r w:rsidRPr="00854DF0">
        <w:rPr>
          <w:rFonts w:eastAsia="Times New Roman" w:cs="Times New Roman"/>
          <w:color w:val="000000" w:themeColor="text1"/>
          <w:kern w:val="0"/>
          <w:szCs w:val="24"/>
        </w:rPr>
        <w:t>- is the margin of error (0.05).</w:t>
      </w:r>
    </w:p>
    <w:p w14:paraId="3F349D02" w14:textId="77777777" w:rsidR="00854DF0" w:rsidRPr="00854DF0" w:rsidRDefault="00854DF0" w:rsidP="00FC164E">
      <w:pPr>
        <w:spacing w:after="0" w:line="360" w:lineRule="auto"/>
        <w:jc w:val="both"/>
        <w:rPr>
          <w:rFonts w:eastAsia="Times New Roman" w:cs="Times New Roman"/>
          <w:color w:val="000000" w:themeColor="text1"/>
          <w:szCs w:val="24"/>
        </w:rPr>
      </w:pPr>
      <w:r w:rsidRPr="00854DF0">
        <w:rPr>
          <w:rFonts w:cs="Times New Roman"/>
          <w:color w:val="000000" w:themeColor="text1"/>
          <w:szCs w:val="24"/>
        </w:rPr>
        <w:t>Thus,</w:t>
      </w:r>
      <w:r w:rsidRPr="00854DF0">
        <w:rPr>
          <w:rFonts w:eastAsia="Times New Roman" w:cs="Times New Roman"/>
          <w:color w:val="000000" w:themeColor="text1"/>
          <w:szCs w:val="24"/>
        </w:rPr>
        <w:fldChar w:fldCharType="begin"/>
      </w:r>
      <w:r w:rsidRPr="00854DF0">
        <w:rPr>
          <w:rFonts w:eastAsia="Times New Roman" w:cs="Times New Roman"/>
          <w:color w:val="000000" w:themeColor="text1"/>
          <w:szCs w:val="24"/>
        </w:rPr>
        <w:instrText xml:space="preserve"> QUOTE </w:instrText>
      </w:r>
      <m:oMath>
        <m:r>
          <m:rPr>
            <m:sty m:val="p"/>
          </m:rPr>
          <w:rPr>
            <w:rFonts w:ascii="Cambria Math" w:eastAsia="Cambria Math" w:hAnsi="Cambria Math" w:cs="Times New Roman"/>
            <w:color w:val="000000" w:themeColor="text1"/>
            <w:szCs w:val="24"/>
            <w:lang w:val="en-GB"/>
          </w:rPr>
          <m:t>n=</m:t>
        </m:r>
        <m:f>
          <m:fPr>
            <m:ctrlPr>
              <w:rPr>
                <w:rFonts w:ascii="Cambria Math" w:eastAsia="Cambria Math" w:hAnsi="Cambria Math" w:cs="Times New Roman"/>
                <w:color w:val="000000" w:themeColor="text1"/>
                <w:szCs w:val="24"/>
                <w:lang w:val="en-GB"/>
              </w:rPr>
            </m:ctrlPr>
          </m:fPr>
          <m:num>
            <m:r>
              <m:rPr>
                <m:sty m:val="p"/>
              </m:rPr>
              <w:rPr>
                <w:rFonts w:ascii="Cambria Math" w:eastAsia="Cambria Math" w:hAnsi="Cambria Math" w:cs="Times New Roman"/>
                <w:color w:val="000000" w:themeColor="text1"/>
                <w:szCs w:val="24"/>
                <w:lang w:val="en-GB"/>
              </w:rPr>
              <m:t>2062</m:t>
            </m:r>
          </m:num>
          <m:den>
            <m:r>
              <m:rPr>
                <m:sty m:val="p"/>
              </m:rPr>
              <w:rPr>
                <w:rFonts w:ascii="Cambria Math" w:eastAsia="Cambria Math" w:hAnsi="Cambria Math" w:cs="Times New Roman"/>
                <w:color w:val="000000" w:themeColor="text1"/>
                <w:szCs w:val="24"/>
                <w:lang w:val="en-GB"/>
              </w:rPr>
              <m:t>1+2062(</m:t>
            </m:r>
            <m:sSup>
              <m:sSupPr>
                <m:ctrlPr>
                  <w:rPr>
                    <w:rFonts w:ascii="Cambria Math" w:eastAsia="Cambria Math" w:hAnsi="Cambria Math" w:cs="Times New Roman"/>
                    <w:color w:val="000000" w:themeColor="text1"/>
                    <w:szCs w:val="24"/>
                    <w:lang w:val="en-GB"/>
                  </w:rPr>
                </m:ctrlPr>
              </m:sSupPr>
              <m:e>
                <m:r>
                  <m:rPr>
                    <m:sty m:val="p"/>
                  </m:rPr>
                  <w:rPr>
                    <w:rFonts w:ascii="Cambria Math" w:eastAsia="Cambria Math" w:hAnsi="Cambria Math" w:cs="Times New Roman"/>
                    <w:color w:val="000000" w:themeColor="text1"/>
                    <w:szCs w:val="24"/>
                    <w:lang w:val="en-GB"/>
                  </w:rPr>
                  <m:t>0.05</m:t>
                </m:r>
              </m:e>
              <m:sup>
                <m:r>
                  <m:rPr>
                    <m:sty m:val="p"/>
                  </m:rPr>
                  <w:rPr>
                    <w:rFonts w:ascii="Cambria Math" w:eastAsia="Cambria Math" w:hAnsi="Cambria Math" w:cs="Times New Roman"/>
                    <w:color w:val="000000" w:themeColor="text1"/>
                    <w:szCs w:val="24"/>
                    <w:lang w:val="en-GB"/>
                  </w:rPr>
                  <m:t>2</m:t>
                </m:r>
              </m:sup>
            </m:sSup>
            <m:r>
              <m:rPr>
                <m:sty m:val="p"/>
              </m:rPr>
              <w:rPr>
                <w:rFonts w:ascii="Cambria Math" w:eastAsia="Cambria Math" w:hAnsi="Cambria Math" w:cs="Times New Roman"/>
                <w:color w:val="000000" w:themeColor="text1"/>
                <w:szCs w:val="24"/>
                <w:lang w:val="en-GB"/>
              </w:rPr>
              <m:t>)</m:t>
            </m:r>
          </m:den>
        </m:f>
      </m:oMath>
      <w:r w:rsidRPr="00854DF0">
        <w:rPr>
          <w:rFonts w:eastAsia="Times New Roman" w:cs="Times New Roman"/>
          <w:color w:val="000000" w:themeColor="text1"/>
          <w:szCs w:val="24"/>
        </w:rPr>
        <w:fldChar w:fldCharType="separate"/>
      </w:r>
      <m:oMath>
        <m:r>
          <m:rPr>
            <m:sty m:val="p"/>
          </m:rPr>
          <w:rPr>
            <w:rFonts w:ascii="Cambria Math" w:eastAsia="Cambria Math" w:hAnsi="Cambria Math" w:cs="Times New Roman"/>
            <w:color w:val="000000" w:themeColor="text1"/>
            <w:szCs w:val="24"/>
            <w:lang w:val="en-GB"/>
          </w:rPr>
          <m:t>n=</m:t>
        </m:r>
        <m:f>
          <m:fPr>
            <m:ctrlPr>
              <w:rPr>
                <w:rFonts w:ascii="Cambria Math" w:eastAsia="Cambria Math" w:hAnsi="Cambria Math" w:cs="Times New Roman"/>
                <w:color w:val="000000" w:themeColor="text1"/>
                <w:szCs w:val="24"/>
                <w:lang w:val="en-GB"/>
              </w:rPr>
            </m:ctrlPr>
          </m:fPr>
          <m:num>
            <m:r>
              <m:rPr>
                <m:sty m:val="p"/>
              </m:rPr>
              <w:rPr>
                <w:rFonts w:ascii="Cambria Math" w:eastAsia="Cambria Math" w:hAnsi="Cambria Math" w:cs="Times New Roman"/>
                <w:color w:val="000000" w:themeColor="text1"/>
                <w:szCs w:val="24"/>
                <w:lang w:val="en-GB"/>
              </w:rPr>
              <m:t>678</m:t>
            </m:r>
          </m:num>
          <m:den>
            <m:r>
              <m:rPr>
                <m:sty m:val="p"/>
              </m:rPr>
              <w:rPr>
                <w:rFonts w:ascii="Cambria Math" w:eastAsia="Cambria Math" w:hAnsi="Cambria Math" w:cs="Times New Roman"/>
                <w:color w:val="000000" w:themeColor="text1"/>
                <w:szCs w:val="24"/>
                <w:lang w:val="en-GB"/>
              </w:rPr>
              <m:t>1+678(</m:t>
            </m:r>
            <m:sSup>
              <m:sSupPr>
                <m:ctrlPr>
                  <w:rPr>
                    <w:rFonts w:ascii="Cambria Math" w:eastAsia="Cambria Math" w:hAnsi="Cambria Math" w:cs="Times New Roman"/>
                    <w:color w:val="000000" w:themeColor="text1"/>
                    <w:szCs w:val="24"/>
                    <w:lang w:val="en-GB"/>
                  </w:rPr>
                </m:ctrlPr>
              </m:sSupPr>
              <m:e>
                <m:r>
                  <m:rPr>
                    <m:sty m:val="p"/>
                  </m:rPr>
                  <w:rPr>
                    <w:rFonts w:ascii="Cambria Math" w:eastAsia="Cambria Math" w:hAnsi="Cambria Math" w:cs="Times New Roman"/>
                    <w:color w:val="000000" w:themeColor="text1"/>
                    <w:szCs w:val="24"/>
                    <w:lang w:val="en-GB"/>
                  </w:rPr>
                  <m:t>0.05</m:t>
                </m:r>
              </m:e>
              <m:sup>
                <m:r>
                  <m:rPr>
                    <m:sty m:val="p"/>
                  </m:rPr>
                  <w:rPr>
                    <w:rFonts w:ascii="Cambria Math" w:eastAsia="Cambria Math" w:hAnsi="Cambria Math" w:cs="Times New Roman"/>
                    <w:color w:val="000000" w:themeColor="text1"/>
                    <w:szCs w:val="24"/>
                    <w:lang w:val="en-GB"/>
                  </w:rPr>
                  <m:t>2</m:t>
                </m:r>
              </m:sup>
            </m:sSup>
            <m:r>
              <m:rPr>
                <m:sty m:val="p"/>
              </m:rPr>
              <w:rPr>
                <w:rFonts w:ascii="Cambria Math" w:eastAsia="Cambria Math" w:hAnsi="Cambria Math" w:cs="Times New Roman"/>
                <w:color w:val="000000" w:themeColor="text1"/>
                <w:szCs w:val="24"/>
                <w:lang w:val="en-GB"/>
              </w:rPr>
              <m:t>)</m:t>
            </m:r>
          </m:den>
        </m:f>
      </m:oMath>
      <w:r w:rsidRPr="00854DF0">
        <w:rPr>
          <w:rFonts w:eastAsia="Times New Roman" w:cs="Times New Roman"/>
          <w:color w:val="000000" w:themeColor="text1"/>
          <w:szCs w:val="24"/>
        </w:rPr>
        <w:fldChar w:fldCharType="end"/>
      </w:r>
      <w:r w:rsidRPr="00854DF0">
        <w:rPr>
          <w:rFonts w:eastAsia="Times New Roman" w:cs="Times New Roman"/>
          <w:color w:val="000000" w:themeColor="text1"/>
          <w:szCs w:val="24"/>
        </w:rPr>
        <w:t xml:space="preserve"> =251</w:t>
      </w:r>
    </w:p>
    <w:p w14:paraId="17CED05E" w14:textId="4EA072A1" w:rsidR="00AD5E0F" w:rsidRPr="00AD5E0F" w:rsidRDefault="00AD5E0F" w:rsidP="00FC164E">
      <w:pPr>
        <w:spacing w:before="100" w:beforeAutospacing="1" w:after="100" w:afterAutospacing="1" w:line="360" w:lineRule="auto"/>
        <w:jc w:val="both"/>
        <w:rPr>
          <w:rFonts w:eastAsia="Times New Roman" w:cs="Times New Roman"/>
          <w:kern w:val="0"/>
          <w:szCs w:val="24"/>
        </w:rPr>
      </w:pPr>
      <w:r w:rsidRPr="00AD5E0F">
        <w:rPr>
          <w:rFonts w:eastAsia="Times New Roman" w:cs="Times New Roman"/>
          <w:kern w:val="0"/>
          <w:szCs w:val="24"/>
        </w:rPr>
        <w:t xml:space="preserve">The study adopted stratified, purposive, proportionate, and simple random sampling techniques to achieve a representative selection of respondents from </w:t>
      </w:r>
      <w:r w:rsidR="00FC164E" w:rsidRPr="002D0936">
        <w:rPr>
          <w:rFonts w:eastAsia="Times New Roman" w:cs="Times New Roman"/>
          <w:kern w:val="0"/>
          <w:szCs w:val="24"/>
        </w:rPr>
        <w:t>UEDCL</w:t>
      </w:r>
      <w:r w:rsidRPr="00AD5E0F">
        <w:rPr>
          <w:rFonts w:eastAsia="Times New Roman" w:cs="Times New Roman"/>
          <w:kern w:val="0"/>
          <w:szCs w:val="24"/>
        </w:rPr>
        <w:t xml:space="preserve">. Stratified sampling facilitated the </w:t>
      </w:r>
      <w:proofErr w:type="spellStart"/>
      <w:r w:rsidRPr="00AD5E0F">
        <w:rPr>
          <w:rFonts w:eastAsia="Times New Roman" w:cs="Times New Roman"/>
          <w:kern w:val="0"/>
          <w:szCs w:val="24"/>
        </w:rPr>
        <w:t>categorisation</w:t>
      </w:r>
      <w:proofErr w:type="spellEnd"/>
      <w:r w:rsidRPr="00AD5E0F">
        <w:rPr>
          <w:rFonts w:eastAsia="Times New Roman" w:cs="Times New Roman"/>
          <w:kern w:val="0"/>
          <w:szCs w:val="24"/>
        </w:rPr>
        <w:t xml:space="preserve"> of the target population into distinct groups based on roles and responsibilities, ensuring adequate representation of key respondents such as board members, employees, and private sector players (Creswell &amp; Creswell, 2023).</w:t>
      </w:r>
    </w:p>
    <w:p w14:paraId="741C574C" w14:textId="77777777" w:rsidR="00AD5E0F" w:rsidRPr="00AD5E0F" w:rsidRDefault="00AD5E0F" w:rsidP="00FC164E">
      <w:pPr>
        <w:spacing w:before="100" w:beforeAutospacing="1" w:after="100" w:afterAutospacing="1" w:line="360" w:lineRule="auto"/>
        <w:jc w:val="both"/>
        <w:rPr>
          <w:rFonts w:eastAsia="Times New Roman" w:cs="Times New Roman"/>
          <w:kern w:val="0"/>
          <w:szCs w:val="24"/>
        </w:rPr>
      </w:pPr>
      <w:r w:rsidRPr="00AD5E0F">
        <w:rPr>
          <w:rFonts w:eastAsia="Times New Roman" w:cs="Times New Roman"/>
          <w:kern w:val="0"/>
          <w:szCs w:val="24"/>
        </w:rPr>
        <w:t xml:space="preserve">Proportionate sampling ensured that the sample size for each group corresponded to its relative proportion within the overall population, </w:t>
      </w:r>
      <w:proofErr w:type="spellStart"/>
      <w:r w:rsidRPr="00AD5E0F">
        <w:rPr>
          <w:rFonts w:eastAsia="Times New Roman" w:cs="Times New Roman"/>
          <w:kern w:val="0"/>
          <w:szCs w:val="24"/>
        </w:rPr>
        <w:t>minimising</w:t>
      </w:r>
      <w:proofErr w:type="spellEnd"/>
      <w:r w:rsidRPr="00AD5E0F">
        <w:rPr>
          <w:rFonts w:eastAsia="Times New Roman" w:cs="Times New Roman"/>
          <w:kern w:val="0"/>
          <w:szCs w:val="24"/>
        </w:rPr>
        <w:t xml:space="preserve"> the risk of over- or under-representation (Saunders et al., 2023). Purposive sampling was employed to select private sector players in the energy industry, as their industry expertise and direct involvement provided critical insights into bureaucratic practices and service delivery efficiency (</w:t>
      </w:r>
      <w:proofErr w:type="spellStart"/>
      <w:r w:rsidRPr="00AD5E0F">
        <w:rPr>
          <w:rFonts w:eastAsia="Times New Roman" w:cs="Times New Roman"/>
          <w:kern w:val="0"/>
          <w:szCs w:val="24"/>
        </w:rPr>
        <w:t>Etikan</w:t>
      </w:r>
      <w:proofErr w:type="spellEnd"/>
      <w:r w:rsidRPr="00AD5E0F">
        <w:rPr>
          <w:rFonts w:eastAsia="Times New Roman" w:cs="Times New Roman"/>
          <w:kern w:val="0"/>
          <w:szCs w:val="24"/>
        </w:rPr>
        <w:t xml:space="preserve"> et al., 2023).</w:t>
      </w:r>
    </w:p>
    <w:p w14:paraId="7E4E04CD" w14:textId="77777777" w:rsidR="00AD5E0F" w:rsidRPr="00AD5E0F" w:rsidRDefault="00AD5E0F" w:rsidP="00FC164E">
      <w:pPr>
        <w:spacing w:before="100" w:beforeAutospacing="1" w:after="100" w:afterAutospacing="1" w:line="360" w:lineRule="auto"/>
        <w:jc w:val="both"/>
        <w:rPr>
          <w:rFonts w:eastAsia="Times New Roman" w:cs="Times New Roman"/>
          <w:kern w:val="0"/>
          <w:szCs w:val="24"/>
        </w:rPr>
      </w:pPr>
      <w:r w:rsidRPr="00AD5E0F">
        <w:rPr>
          <w:rFonts w:eastAsia="Times New Roman" w:cs="Times New Roman"/>
          <w:kern w:val="0"/>
          <w:szCs w:val="24"/>
        </w:rPr>
        <w:t xml:space="preserve">Simple random sampling was applied within each stratum to eliminate selection bias, ensuring equal chances of selection for all respondents and enhancing the reliability and </w:t>
      </w:r>
      <w:proofErr w:type="spellStart"/>
      <w:r w:rsidRPr="00AD5E0F">
        <w:rPr>
          <w:rFonts w:eastAsia="Times New Roman" w:cs="Times New Roman"/>
          <w:kern w:val="0"/>
          <w:szCs w:val="24"/>
        </w:rPr>
        <w:t>generalisability</w:t>
      </w:r>
      <w:proofErr w:type="spellEnd"/>
      <w:r w:rsidRPr="00AD5E0F">
        <w:rPr>
          <w:rFonts w:eastAsia="Times New Roman" w:cs="Times New Roman"/>
          <w:kern w:val="0"/>
          <w:szCs w:val="24"/>
        </w:rPr>
        <w:t xml:space="preserve"> of findings (Kumar, 2023). The integration of these techniques strengthened the study’s </w:t>
      </w:r>
      <w:r w:rsidRPr="00AD5E0F">
        <w:rPr>
          <w:rFonts w:eastAsia="Times New Roman" w:cs="Times New Roman"/>
          <w:kern w:val="0"/>
          <w:szCs w:val="24"/>
        </w:rPr>
        <w:lastRenderedPageBreak/>
        <w:t xml:space="preserve">methodological </w:t>
      </w:r>
      <w:proofErr w:type="spellStart"/>
      <w:r w:rsidRPr="00AD5E0F">
        <w:rPr>
          <w:rFonts w:eastAsia="Times New Roman" w:cs="Times New Roman"/>
          <w:kern w:val="0"/>
          <w:szCs w:val="24"/>
        </w:rPr>
        <w:t>rigour</w:t>
      </w:r>
      <w:proofErr w:type="spellEnd"/>
      <w:r w:rsidRPr="00AD5E0F">
        <w:rPr>
          <w:rFonts w:eastAsia="Times New Roman" w:cs="Times New Roman"/>
          <w:kern w:val="0"/>
          <w:szCs w:val="24"/>
        </w:rPr>
        <w:t xml:space="preserve"> by ensuring a well-balanced, representative, and unbiased participant selection.</w:t>
      </w:r>
    </w:p>
    <w:p w14:paraId="6EB83895" w14:textId="49D73DE5" w:rsidR="00854DF0" w:rsidRPr="00F53169" w:rsidRDefault="00854DF0" w:rsidP="00FC164E">
      <w:pPr>
        <w:spacing w:before="100" w:beforeAutospacing="1" w:after="100" w:afterAutospacing="1" w:line="360" w:lineRule="auto"/>
        <w:jc w:val="both"/>
        <w:rPr>
          <w:rFonts w:eastAsia="Times New Roman" w:cs="Times New Roman"/>
          <w:i/>
          <w:iCs/>
          <w:kern w:val="0"/>
          <w:szCs w:val="24"/>
        </w:rPr>
      </w:pPr>
      <w:r w:rsidRPr="00F53169">
        <w:rPr>
          <w:rFonts w:eastAsia="Times New Roman" w:cs="Times New Roman"/>
          <w:i/>
          <w:iCs/>
          <w:kern w:val="0"/>
          <w:szCs w:val="24"/>
        </w:rPr>
        <w:t xml:space="preserve">Data Collection Instruments </w:t>
      </w:r>
    </w:p>
    <w:p w14:paraId="739D934D" w14:textId="44432B87" w:rsidR="00AD5E0F" w:rsidRPr="00AD5E0F" w:rsidRDefault="00AD5E0F" w:rsidP="00FC164E">
      <w:pPr>
        <w:spacing w:before="100" w:beforeAutospacing="1" w:after="100" w:afterAutospacing="1" w:line="360" w:lineRule="auto"/>
        <w:jc w:val="both"/>
        <w:rPr>
          <w:rFonts w:eastAsia="Times New Roman" w:cs="Times New Roman"/>
          <w:kern w:val="0"/>
          <w:szCs w:val="24"/>
        </w:rPr>
      </w:pPr>
      <w:r w:rsidRPr="00AD5E0F">
        <w:rPr>
          <w:rFonts w:eastAsia="Times New Roman" w:cs="Times New Roman"/>
          <w:kern w:val="0"/>
          <w:szCs w:val="24"/>
        </w:rPr>
        <w:t xml:space="preserve">A self-administered questionnaire (SAQ) incorporating a five-point Likert scale was used to collect quantitative data, ensuring consistency with the research approach. This method enabled the </w:t>
      </w:r>
      <w:proofErr w:type="spellStart"/>
      <w:r w:rsidRPr="00AD5E0F">
        <w:rPr>
          <w:rFonts w:eastAsia="Times New Roman" w:cs="Times New Roman"/>
          <w:kern w:val="0"/>
          <w:szCs w:val="24"/>
        </w:rPr>
        <w:t>standardisation</w:t>
      </w:r>
      <w:proofErr w:type="spellEnd"/>
      <w:r w:rsidRPr="00AD5E0F">
        <w:rPr>
          <w:rFonts w:eastAsia="Times New Roman" w:cs="Times New Roman"/>
          <w:kern w:val="0"/>
          <w:szCs w:val="24"/>
        </w:rPr>
        <w:t xml:space="preserve"> of responses, allowing for the measurement of perceptions, attitudes, and experiences regarding stakeholder participation and service delivery at </w:t>
      </w:r>
      <w:r w:rsidR="00FC164E" w:rsidRPr="002D0936">
        <w:rPr>
          <w:rFonts w:eastAsia="Times New Roman" w:cs="Times New Roman"/>
          <w:kern w:val="0"/>
          <w:szCs w:val="24"/>
        </w:rPr>
        <w:t>UEDCL</w:t>
      </w:r>
      <w:r w:rsidR="00FC164E">
        <w:rPr>
          <w:rFonts w:eastAsia="Times New Roman" w:cs="Times New Roman"/>
          <w:kern w:val="0"/>
          <w:szCs w:val="24"/>
        </w:rPr>
        <w:t xml:space="preserve"> </w:t>
      </w:r>
      <w:r w:rsidRPr="00AD5E0F">
        <w:rPr>
          <w:rFonts w:eastAsia="Times New Roman" w:cs="Times New Roman"/>
          <w:kern w:val="0"/>
          <w:szCs w:val="24"/>
        </w:rPr>
        <w:t>(Creswell &amp; Creswell, 2023).</w:t>
      </w:r>
    </w:p>
    <w:p w14:paraId="7F28F0A6" w14:textId="77777777" w:rsidR="00AD5E0F" w:rsidRDefault="00AD5E0F" w:rsidP="00FC164E">
      <w:pPr>
        <w:spacing w:before="100" w:beforeAutospacing="1" w:after="100" w:afterAutospacing="1" w:line="360" w:lineRule="auto"/>
        <w:jc w:val="both"/>
        <w:rPr>
          <w:rFonts w:eastAsia="Times New Roman" w:cs="Times New Roman"/>
          <w:kern w:val="0"/>
          <w:szCs w:val="24"/>
        </w:rPr>
      </w:pPr>
      <w:r w:rsidRPr="00AD5E0F">
        <w:rPr>
          <w:rFonts w:eastAsia="Times New Roman" w:cs="Times New Roman"/>
          <w:kern w:val="0"/>
          <w:szCs w:val="24"/>
        </w:rPr>
        <w:t xml:space="preserve">The Likert scale provided a structured format for respondents to express their level of agreement or disagreement, facilitating statistical analysis of trends and correlations (Saunders et al., 2023). </w:t>
      </w:r>
      <w:proofErr w:type="spellStart"/>
      <w:r w:rsidRPr="00AD5E0F">
        <w:rPr>
          <w:rFonts w:eastAsia="Times New Roman" w:cs="Times New Roman"/>
          <w:kern w:val="0"/>
          <w:szCs w:val="24"/>
        </w:rPr>
        <w:t>Utilising</w:t>
      </w:r>
      <w:proofErr w:type="spellEnd"/>
      <w:r w:rsidRPr="00AD5E0F">
        <w:rPr>
          <w:rFonts w:eastAsia="Times New Roman" w:cs="Times New Roman"/>
          <w:kern w:val="0"/>
          <w:szCs w:val="24"/>
        </w:rPr>
        <w:t xml:space="preserve"> SAQs improved data reliability by reducing interviewer bias and allowing respondents to complete the questionnaire at their convenience, encouraging honest and reflective responses (Bryman, 2022). The structured nature of the Likert scale further ensured comparability of responses, supporting rigorous quantitative analysis to generate objective conclusions about administrative efficiency and service delivery (Kumar, 2023).</w:t>
      </w:r>
    </w:p>
    <w:p w14:paraId="63E5A48F" w14:textId="77777777" w:rsidR="00A6227A" w:rsidRPr="00AD5E0F" w:rsidRDefault="00A6227A" w:rsidP="00FC164E">
      <w:pPr>
        <w:spacing w:before="100" w:beforeAutospacing="1" w:after="100" w:afterAutospacing="1" w:line="360" w:lineRule="auto"/>
        <w:jc w:val="both"/>
        <w:rPr>
          <w:rFonts w:eastAsia="Times New Roman" w:cs="Times New Roman"/>
          <w:kern w:val="0"/>
          <w:szCs w:val="24"/>
        </w:rPr>
      </w:pPr>
    </w:p>
    <w:p w14:paraId="7617C0CF" w14:textId="2FD06532" w:rsidR="00E87193" w:rsidRPr="00F53169" w:rsidRDefault="00E87193" w:rsidP="00FC164E">
      <w:pPr>
        <w:spacing w:before="100" w:beforeAutospacing="1" w:after="100" w:afterAutospacing="1" w:line="360" w:lineRule="auto"/>
        <w:jc w:val="both"/>
        <w:rPr>
          <w:rFonts w:eastAsia="Times New Roman" w:cs="Times New Roman"/>
          <w:i/>
          <w:iCs/>
          <w:kern w:val="0"/>
          <w:szCs w:val="24"/>
        </w:rPr>
      </w:pPr>
      <w:r w:rsidRPr="00F53169">
        <w:rPr>
          <w:rFonts w:eastAsia="Times New Roman" w:cs="Times New Roman"/>
          <w:i/>
          <w:iCs/>
          <w:kern w:val="0"/>
          <w:szCs w:val="24"/>
        </w:rPr>
        <w:t xml:space="preserve">Piloting </w:t>
      </w:r>
    </w:p>
    <w:p w14:paraId="5DE9783A" w14:textId="77777777" w:rsidR="00AD5E0F" w:rsidRPr="00AD5E0F" w:rsidRDefault="00AD5E0F" w:rsidP="00FC164E">
      <w:pPr>
        <w:spacing w:before="100" w:beforeAutospacing="1" w:after="100" w:afterAutospacing="1" w:line="360" w:lineRule="auto"/>
        <w:jc w:val="both"/>
        <w:rPr>
          <w:rFonts w:eastAsia="Times New Roman" w:cs="Times New Roman"/>
          <w:kern w:val="0"/>
          <w:szCs w:val="24"/>
        </w:rPr>
      </w:pPr>
      <w:r w:rsidRPr="00AD5E0F">
        <w:rPr>
          <w:rFonts w:eastAsia="Times New Roman" w:cs="Times New Roman"/>
          <w:kern w:val="0"/>
          <w:szCs w:val="24"/>
        </w:rPr>
        <w:t>A pilot study involving 32 respondents from Umeme Limited, representing 10% of the study sample, was conducted to enhance the questionnaire’s reliability and validity. This preliminary test identified potential design flaws, ensuring clarity and consistency in the data collection tool (Hou &amp; Cheng, 2021). Following Mugenda and Mugenda’s (2003) recommendation for social science research, the pilot study provided insights into question comprehensibility and response accuracy. Data collected underwent immediate screening to assess its suitability for analysis, refining the final instrument for the main study and improving measurement precision.</w:t>
      </w:r>
    </w:p>
    <w:p w14:paraId="4ACDCDAB" w14:textId="7BE6FD47" w:rsidR="00F53169" w:rsidRPr="00AD5E0F" w:rsidRDefault="00AD5E0F" w:rsidP="00FC164E">
      <w:pPr>
        <w:spacing w:before="100" w:beforeAutospacing="1" w:after="100" w:afterAutospacing="1" w:line="360" w:lineRule="auto"/>
        <w:jc w:val="both"/>
        <w:rPr>
          <w:rFonts w:eastAsia="Times New Roman" w:cs="Times New Roman"/>
          <w:kern w:val="0"/>
          <w:szCs w:val="24"/>
        </w:rPr>
      </w:pPr>
      <w:r w:rsidRPr="00AD5E0F">
        <w:rPr>
          <w:rFonts w:eastAsia="Times New Roman" w:cs="Times New Roman"/>
          <w:kern w:val="0"/>
          <w:szCs w:val="24"/>
        </w:rPr>
        <w:t xml:space="preserve">The validity and reliability of the research instrument were assessed to ensure accuracy and consistency in data collection. Validity was established through face, construct, and content </w:t>
      </w:r>
      <w:r w:rsidRPr="00AD5E0F">
        <w:rPr>
          <w:rFonts w:eastAsia="Times New Roman" w:cs="Times New Roman"/>
          <w:kern w:val="0"/>
          <w:szCs w:val="24"/>
        </w:rPr>
        <w:lastRenderedPageBreak/>
        <w:t>validity tests, evaluating readability, clarity, and language use, as recommended by Bloomfield and Fisher (2019). A panel of experts and supervisors reviewed the questionnaire, refining it based on their feedback to enhance its effectiveness in measuring research constructs (Yasir, 2016). Reliability was tested using Cronbach’s alpha, with a threshold of 0.70 for acceptability, ensuring consistency in responses across multiple trials (Osborn &amp; Waters, 2012). SPSS v28 was employed for reliability analysis, identifying and addressing ambiguous items to improve the instrument’s precision and the overall quality of research findings (Haley et al., 2021).</w:t>
      </w:r>
    </w:p>
    <w:p w14:paraId="7C529929" w14:textId="135226FB" w:rsidR="00571EDC" w:rsidRPr="00F53169" w:rsidRDefault="00571EDC" w:rsidP="00FC164E">
      <w:pPr>
        <w:spacing w:before="100" w:beforeAutospacing="1" w:after="100" w:afterAutospacing="1" w:line="360" w:lineRule="auto"/>
        <w:jc w:val="both"/>
        <w:rPr>
          <w:rFonts w:cs="Times New Roman"/>
          <w:i/>
          <w:iCs/>
        </w:rPr>
      </w:pPr>
      <w:r w:rsidRPr="00F53169">
        <w:rPr>
          <w:rFonts w:cs="Times New Roman"/>
          <w:i/>
          <w:iCs/>
        </w:rPr>
        <w:t xml:space="preserve">Data Analysis </w:t>
      </w:r>
    </w:p>
    <w:p w14:paraId="1E46E226" w14:textId="2C36FFB7" w:rsidR="00AD5E0F" w:rsidRPr="00AD5E0F" w:rsidRDefault="00AD5E0F" w:rsidP="00FC164E">
      <w:pPr>
        <w:spacing w:before="100" w:beforeAutospacing="1" w:after="100" w:afterAutospacing="1" w:line="360" w:lineRule="auto"/>
        <w:jc w:val="both"/>
        <w:rPr>
          <w:rFonts w:eastAsia="Times New Roman" w:cs="Times New Roman"/>
          <w:kern w:val="0"/>
          <w:szCs w:val="24"/>
        </w:rPr>
      </w:pPr>
      <w:r w:rsidRPr="00AD5E0F">
        <w:rPr>
          <w:rFonts w:eastAsia="Times New Roman" w:cs="Times New Roman"/>
          <w:kern w:val="0"/>
          <w:szCs w:val="24"/>
        </w:rPr>
        <w:t xml:space="preserve">Data analysis and presentation </w:t>
      </w:r>
      <w:proofErr w:type="spellStart"/>
      <w:r w:rsidRPr="00AD5E0F">
        <w:rPr>
          <w:rFonts w:eastAsia="Times New Roman" w:cs="Times New Roman"/>
          <w:kern w:val="0"/>
          <w:szCs w:val="24"/>
        </w:rPr>
        <w:t>utilised</w:t>
      </w:r>
      <w:proofErr w:type="spellEnd"/>
      <w:r w:rsidRPr="00AD5E0F">
        <w:rPr>
          <w:rFonts w:eastAsia="Times New Roman" w:cs="Times New Roman"/>
          <w:kern w:val="0"/>
          <w:szCs w:val="24"/>
        </w:rPr>
        <w:t xml:space="preserve"> both descriptive and inferential statistics to ensure a thorough interpretation of the findings. Descriptive statistics </w:t>
      </w:r>
      <w:proofErr w:type="spellStart"/>
      <w:r w:rsidRPr="00AD5E0F">
        <w:rPr>
          <w:rFonts w:eastAsia="Times New Roman" w:cs="Times New Roman"/>
          <w:kern w:val="0"/>
          <w:szCs w:val="24"/>
        </w:rPr>
        <w:t>summarised</w:t>
      </w:r>
      <w:proofErr w:type="spellEnd"/>
      <w:r w:rsidRPr="00AD5E0F">
        <w:rPr>
          <w:rFonts w:eastAsia="Times New Roman" w:cs="Times New Roman"/>
          <w:kern w:val="0"/>
          <w:szCs w:val="24"/>
        </w:rPr>
        <w:t xml:space="preserve"> data using measures such as frequencies, means, and standard deviations, offering a clear overview of bureaucratic practices, stakeholder participation, and service delivery patterns at </w:t>
      </w:r>
      <w:r w:rsidR="00FC164E" w:rsidRPr="002D0936">
        <w:rPr>
          <w:rFonts w:eastAsia="Times New Roman" w:cs="Times New Roman"/>
          <w:kern w:val="0"/>
          <w:szCs w:val="24"/>
        </w:rPr>
        <w:t>UEDCL</w:t>
      </w:r>
      <w:r w:rsidR="00FC164E" w:rsidRPr="00AD5E0F">
        <w:rPr>
          <w:rFonts w:eastAsia="Times New Roman" w:cs="Times New Roman"/>
          <w:kern w:val="0"/>
          <w:szCs w:val="24"/>
        </w:rPr>
        <w:t xml:space="preserve"> </w:t>
      </w:r>
      <w:r w:rsidRPr="00AD5E0F">
        <w:rPr>
          <w:rFonts w:eastAsia="Times New Roman" w:cs="Times New Roman"/>
          <w:kern w:val="0"/>
          <w:szCs w:val="24"/>
        </w:rPr>
        <w:t>(Saunders et al., 2023). Inferential statistics, including simple linear regression and correlation analysis, examined the relationship between stakeholder participation and service delivery, assessing the strength and direction of their association (Creswell &amp; Creswell, 2023).</w:t>
      </w:r>
    </w:p>
    <w:p w14:paraId="6E8A0C90" w14:textId="54FCD46A" w:rsidR="00AD5E0F" w:rsidRPr="00FC164E" w:rsidRDefault="00AD5E0F" w:rsidP="00FC164E">
      <w:pPr>
        <w:spacing w:before="100" w:beforeAutospacing="1" w:after="100" w:afterAutospacing="1" w:line="360" w:lineRule="auto"/>
        <w:jc w:val="both"/>
        <w:rPr>
          <w:rFonts w:eastAsia="Times New Roman" w:cs="Times New Roman"/>
          <w:kern w:val="0"/>
          <w:szCs w:val="24"/>
        </w:rPr>
      </w:pPr>
      <w:r w:rsidRPr="00AD5E0F">
        <w:rPr>
          <w:rFonts w:eastAsia="Times New Roman" w:cs="Times New Roman"/>
          <w:kern w:val="0"/>
          <w:szCs w:val="24"/>
        </w:rPr>
        <w:t xml:space="preserve">Hypothesis testing was conducted at a 0.05 significance level to maintain statistical validity and </w:t>
      </w:r>
      <w:proofErr w:type="spellStart"/>
      <w:r w:rsidRPr="00AD5E0F">
        <w:rPr>
          <w:rFonts w:eastAsia="Times New Roman" w:cs="Times New Roman"/>
          <w:kern w:val="0"/>
          <w:szCs w:val="24"/>
        </w:rPr>
        <w:t>minimise</w:t>
      </w:r>
      <w:proofErr w:type="spellEnd"/>
      <w:r w:rsidRPr="00AD5E0F">
        <w:rPr>
          <w:rFonts w:eastAsia="Times New Roman" w:cs="Times New Roman"/>
          <w:kern w:val="0"/>
          <w:szCs w:val="24"/>
        </w:rPr>
        <w:t xml:space="preserve"> the likelihood of Type I errors (Field, 2022). The results were presented in graphs and tables, ensuring structured and visually comprehensible data interpretation, which enhanced understanding of how stakeholder involvement influences service delivery at the company (Pallant, 2023).</w:t>
      </w:r>
    </w:p>
    <w:p w14:paraId="0C7A0A5E" w14:textId="162397FA" w:rsidR="00A22992" w:rsidRPr="00F53169" w:rsidRDefault="00A22992" w:rsidP="00FC164E">
      <w:pPr>
        <w:spacing w:before="100" w:beforeAutospacing="1" w:after="100" w:afterAutospacing="1" w:line="360" w:lineRule="auto"/>
        <w:jc w:val="both"/>
        <w:rPr>
          <w:rFonts w:cs="Times New Roman"/>
          <w:i/>
          <w:iCs/>
        </w:rPr>
      </w:pPr>
      <w:r w:rsidRPr="00F53169">
        <w:rPr>
          <w:rFonts w:cs="Times New Roman"/>
          <w:i/>
          <w:iCs/>
        </w:rPr>
        <w:t xml:space="preserve">Ethical Considerations </w:t>
      </w:r>
    </w:p>
    <w:p w14:paraId="7502654A" w14:textId="77777777" w:rsidR="00AD5E0F" w:rsidRPr="00AD5E0F" w:rsidRDefault="00AD5E0F" w:rsidP="00FC164E">
      <w:pPr>
        <w:spacing w:before="100" w:beforeAutospacing="1" w:after="100" w:afterAutospacing="1" w:line="360" w:lineRule="auto"/>
        <w:jc w:val="both"/>
        <w:rPr>
          <w:rFonts w:eastAsia="Times New Roman" w:cs="Times New Roman"/>
          <w:kern w:val="0"/>
          <w:szCs w:val="24"/>
        </w:rPr>
      </w:pPr>
      <w:r w:rsidRPr="00AD5E0F">
        <w:rPr>
          <w:rFonts w:eastAsia="Times New Roman" w:cs="Times New Roman"/>
          <w:kern w:val="0"/>
          <w:szCs w:val="24"/>
        </w:rPr>
        <w:t xml:space="preserve">Ethical principles were rigorously observed throughout this study to uphold integrity, confidentiality, and respect for all participants. Informed consent was secured from respondents before data collection, ensuring voluntary participation based on a clear understanding of the study’s objectives, potential risks, and expected benefits (Cohen et al., 2023). Confidentiality and anonymity were safeguarded by assigning unique identification codes instead of personal details, protecting respondents’ privacy and preventing </w:t>
      </w:r>
      <w:proofErr w:type="spellStart"/>
      <w:r w:rsidRPr="00AD5E0F">
        <w:rPr>
          <w:rFonts w:eastAsia="Times New Roman" w:cs="Times New Roman"/>
          <w:kern w:val="0"/>
          <w:szCs w:val="24"/>
        </w:rPr>
        <w:t>unauthorised</w:t>
      </w:r>
      <w:proofErr w:type="spellEnd"/>
      <w:r w:rsidRPr="00AD5E0F">
        <w:rPr>
          <w:rFonts w:eastAsia="Times New Roman" w:cs="Times New Roman"/>
          <w:kern w:val="0"/>
          <w:szCs w:val="24"/>
        </w:rPr>
        <w:t xml:space="preserve"> access to sensitive information (Saunders et al., 2023).</w:t>
      </w:r>
    </w:p>
    <w:p w14:paraId="77F4BF17" w14:textId="77777777" w:rsidR="00AD5E0F" w:rsidRPr="00AD5E0F" w:rsidRDefault="00AD5E0F" w:rsidP="00FC164E">
      <w:pPr>
        <w:spacing w:before="100" w:beforeAutospacing="1" w:after="100" w:afterAutospacing="1" w:line="360" w:lineRule="auto"/>
        <w:jc w:val="both"/>
        <w:rPr>
          <w:rFonts w:eastAsia="Times New Roman" w:cs="Times New Roman"/>
          <w:kern w:val="0"/>
          <w:szCs w:val="24"/>
        </w:rPr>
      </w:pPr>
      <w:r w:rsidRPr="00AD5E0F">
        <w:rPr>
          <w:rFonts w:eastAsia="Times New Roman" w:cs="Times New Roman"/>
          <w:kern w:val="0"/>
          <w:szCs w:val="24"/>
        </w:rPr>
        <w:lastRenderedPageBreak/>
        <w:t>The principles of beneficence and non-maleficence were maintained by ensuring that no harm was inflicted on participants, with responses handled impartially and with due care (Bryman, 2022). Ethical approval was obtained from relevant institutional review boards, and data collection followed established professional research ethics, including accuracy in reporting findings and avoiding fabrication or manipulation of data (Resnik, 2023). Participants retained the right to withdraw from the study at any stage without facing consequences. These measures ensured responsible research conduct, reinforcing the credibility and validity of the study while safeguarding the rights and dignity of all stakeholders involved.</w:t>
      </w:r>
    </w:p>
    <w:p w14:paraId="69CE896E" w14:textId="33917D9E" w:rsidR="00A22992" w:rsidRPr="00F32A8B" w:rsidRDefault="00265877" w:rsidP="00FC164E">
      <w:pPr>
        <w:spacing w:before="100" w:beforeAutospacing="1" w:after="100" w:afterAutospacing="1" w:line="360" w:lineRule="auto"/>
        <w:jc w:val="both"/>
        <w:rPr>
          <w:rFonts w:cs="Times New Roman"/>
          <w:b/>
          <w:bCs/>
        </w:rPr>
      </w:pPr>
      <w:r w:rsidRPr="00F32A8B">
        <w:rPr>
          <w:rFonts w:cs="Times New Roman"/>
          <w:b/>
          <w:bCs/>
        </w:rPr>
        <w:t xml:space="preserve">4.0 </w:t>
      </w:r>
      <w:r w:rsidR="00A22992" w:rsidRPr="00F32A8B">
        <w:rPr>
          <w:rFonts w:cs="Times New Roman"/>
          <w:b/>
          <w:bCs/>
        </w:rPr>
        <w:t>Discussion</w:t>
      </w:r>
      <w:r w:rsidR="00262FA0">
        <w:rPr>
          <w:rFonts w:cs="Times New Roman"/>
          <w:b/>
          <w:bCs/>
        </w:rPr>
        <w:t>s</w:t>
      </w:r>
      <w:r w:rsidR="00A22992" w:rsidRPr="00F32A8B">
        <w:rPr>
          <w:rFonts w:cs="Times New Roman"/>
          <w:b/>
          <w:bCs/>
        </w:rPr>
        <w:t xml:space="preserve"> </w:t>
      </w:r>
      <w:r w:rsidR="00262FA0">
        <w:rPr>
          <w:rFonts w:cs="Times New Roman"/>
          <w:b/>
          <w:bCs/>
        </w:rPr>
        <w:t xml:space="preserve">and </w:t>
      </w:r>
      <w:r w:rsidR="00A22992" w:rsidRPr="00F32A8B">
        <w:rPr>
          <w:rFonts w:cs="Times New Roman"/>
          <w:b/>
          <w:bCs/>
        </w:rPr>
        <w:t>Findings</w:t>
      </w:r>
    </w:p>
    <w:p w14:paraId="0A5E1D1D" w14:textId="7E5502D9" w:rsidR="00DA4EED" w:rsidRPr="00FC164E" w:rsidRDefault="00DA4EED" w:rsidP="00FC164E">
      <w:pPr>
        <w:spacing w:before="100" w:beforeAutospacing="1" w:after="100" w:afterAutospacing="1" w:line="360" w:lineRule="auto"/>
        <w:jc w:val="both"/>
        <w:rPr>
          <w:rFonts w:cs="Times New Roman"/>
          <w:i/>
          <w:iCs/>
        </w:rPr>
      </w:pPr>
      <w:r w:rsidRPr="00FC164E">
        <w:rPr>
          <w:rFonts w:cs="Times New Roman"/>
          <w:i/>
          <w:iCs/>
        </w:rPr>
        <w:t xml:space="preserve">4.1 Response Rate </w:t>
      </w:r>
    </w:p>
    <w:p w14:paraId="6CFDDB53" w14:textId="038018AC" w:rsidR="00AD5E0F" w:rsidRDefault="00AD5E0F" w:rsidP="00FC164E">
      <w:pPr>
        <w:spacing w:before="100" w:beforeAutospacing="1" w:after="100" w:afterAutospacing="1" w:line="360" w:lineRule="auto"/>
        <w:jc w:val="both"/>
        <w:rPr>
          <w:rFonts w:eastAsia="Times New Roman" w:cs="Times New Roman"/>
          <w:kern w:val="0"/>
          <w:szCs w:val="24"/>
        </w:rPr>
      </w:pPr>
      <w:bookmarkStart w:id="11" w:name="_Toc190215830"/>
      <w:bookmarkStart w:id="12" w:name="_Toc89373402"/>
      <w:bookmarkStart w:id="13" w:name="_Hlk62636048"/>
      <w:r w:rsidRPr="00AD5E0F">
        <w:rPr>
          <w:rFonts w:eastAsia="Times New Roman" w:cs="Times New Roman"/>
          <w:kern w:val="0"/>
          <w:szCs w:val="24"/>
        </w:rPr>
        <w:t xml:space="preserve">A response rate of 65% was achieved, exceeding the minimum threshold considered acceptable in </w:t>
      </w:r>
      <w:proofErr w:type="spellStart"/>
      <w:r w:rsidRPr="00AD5E0F">
        <w:rPr>
          <w:rFonts w:eastAsia="Times New Roman" w:cs="Times New Roman"/>
          <w:kern w:val="0"/>
          <w:szCs w:val="24"/>
        </w:rPr>
        <w:t>organisational</w:t>
      </w:r>
      <w:proofErr w:type="spellEnd"/>
      <w:r w:rsidRPr="00AD5E0F">
        <w:rPr>
          <w:rFonts w:eastAsia="Times New Roman" w:cs="Times New Roman"/>
          <w:kern w:val="0"/>
          <w:szCs w:val="24"/>
        </w:rPr>
        <w:t xml:space="preserve"> research. Baruch and Holtom (2008) indicated that response rates ranging from 60% to 70% are adequate for ensuring data reliability and representativeness. Attaining this level of participation strengthened the study’s credibility by reducing non-response bias and ensuring that the collected data accurately represented the target population.</w:t>
      </w:r>
    </w:p>
    <w:p w14:paraId="734B8746" w14:textId="77777777" w:rsidR="00262FA0" w:rsidRPr="00AD5E0F" w:rsidRDefault="00262FA0" w:rsidP="00FC164E">
      <w:pPr>
        <w:spacing w:before="100" w:beforeAutospacing="1" w:after="100" w:afterAutospacing="1" w:line="360" w:lineRule="auto"/>
        <w:jc w:val="both"/>
        <w:rPr>
          <w:rFonts w:eastAsia="Times New Roman" w:cs="Times New Roman"/>
          <w:kern w:val="0"/>
          <w:szCs w:val="24"/>
        </w:rPr>
      </w:pPr>
    </w:p>
    <w:p w14:paraId="169C19F4" w14:textId="3330D8E2" w:rsidR="00DA4EED" w:rsidRPr="00F32A8B" w:rsidRDefault="00DA4EED" w:rsidP="00FC164E">
      <w:pPr>
        <w:pStyle w:val="Caption"/>
        <w:spacing w:line="360" w:lineRule="auto"/>
        <w:jc w:val="both"/>
        <w:rPr>
          <w:b/>
          <w:i w:val="0"/>
          <w:color w:val="000000" w:themeColor="text1"/>
          <w:sz w:val="24"/>
          <w:szCs w:val="24"/>
        </w:rPr>
      </w:pPr>
      <w:r w:rsidRPr="00F32A8B">
        <w:rPr>
          <w:b/>
          <w:i w:val="0"/>
          <w:color w:val="000000" w:themeColor="text1"/>
          <w:sz w:val="24"/>
          <w:szCs w:val="24"/>
        </w:rPr>
        <w:t xml:space="preserve">Table </w:t>
      </w:r>
      <w:r w:rsidR="00174F29">
        <w:rPr>
          <w:b/>
          <w:i w:val="0"/>
          <w:color w:val="000000" w:themeColor="text1"/>
          <w:sz w:val="24"/>
          <w:szCs w:val="24"/>
        </w:rPr>
        <w:t>2</w:t>
      </w:r>
      <w:r w:rsidRPr="00F32A8B">
        <w:rPr>
          <w:b/>
          <w:i w:val="0"/>
          <w:color w:val="000000" w:themeColor="text1"/>
          <w:sz w:val="24"/>
          <w:szCs w:val="24"/>
        </w:rPr>
        <w:t>: Response Rate</w:t>
      </w:r>
      <w:bookmarkEnd w:id="11"/>
      <w:bookmarkEnd w:id="12"/>
    </w:p>
    <w:tbl>
      <w:tblPr>
        <w:tblStyle w:val="TableGrid"/>
        <w:tblW w:w="5000" w:type="pct"/>
        <w:tblBorders>
          <w:left w:val="none" w:sz="0" w:space="0" w:color="auto"/>
          <w:right w:val="none" w:sz="0" w:space="0" w:color="auto"/>
        </w:tblBorders>
        <w:tblLook w:val="04A0" w:firstRow="1" w:lastRow="0" w:firstColumn="1" w:lastColumn="0" w:noHBand="0" w:noVBand="1"/>
      </w:tblPr>
      <w:tblGrid>
        <w:gridCol w:w="6840"/>
        <w:gridCol w:w="2520"/>
      </w:tblGrid>
      <w:tr w:rsidR="00DA4EED" w:rsidRPr="00F32A8B" w14:paraId="2FDD5324" w14:textId="77777777" w:rsidTr="00DD29BC">
        <w:trPr>
          <w:trHeight w:val="209"/>
        </w:trPr>
        <w:tc>
          <w:tcPr>
            <w:tcW w:w="3654" w:type="pct"/>
            <w:tcBorders>
              <w:bottom w:val="single" w:sz="4" w:space="0" w:color="auto"/>
              <w:right w:val="nil"/>
            </w:tcBorders>
          </w:tcPr>
          <w:bookmarkEnd w:id="13"/>
          <w:p w14:paraId="7D9C596A" w14:textId="77777777" w:rsidR="00DA4EED" w:rsidRPr="00F32A8B" w:rsidRDefault="00DA4EED" w:rsidP="00FC164E">
            <w:pPr>
              <w:spacing w:line="360" w:lineRule="auto"/>
              <w:jc w:val="both"/>
              <w:rPr>
                <w:rFonts w:eastAsia="Times New Roman" w:cs="Times New Roman"/>
                <w:b/>
                <w:color w:val="000000" w:themeColor="text1"/>
                <w:szCs w:val="24"/>
                <w:lang w:val="en-GB"/>
              </w:rPr>
            </w:pPr>
            <w:r w:rsidRPr="00F32A8B">
              <w:rPr>
                <w:rFonts w:eastAsia="Times New Roman" w:cs="Times New Roman"/>
                <w:b/>
                <w:color w:val="000000" w:themeColor="text1"/>
                <w:szCs w:val="24"/>
                <w:lang w:val="en-GB"/>
              </w:rPr>
              <w:t xml:space="preserve">Response </w:t>
            </w:r>
          </w:p>
        </w:tc>
        <w:tc>
          <w:tcPr>
            <w:tcW w:w="1346" w:type="pct"/>
            <w:tcBorders>
              <w:left w:val="nil"/>
              <w:bottom w:val="single" w:sz="4" w:space="0" w:color="auto"/>
            </w:tcBorders>
          </w:tcPr>
          <w:p w14:paraId="721F250D" w14:textId="77777777" w:rsidR="00DA4EED" w:rsidRPr="00F32A8B" w:rsidRDefault="00DA4EED" w:rsidP="00FC164E">
            <w:pPr>
              <w:spacing w:line="360" w:lineRule="auto"/>
              <w:jc w:val="both"/>
              <w:rPr>
                <w:rFonts w:eastAsia="Times New Roman" w:cs="Times New Roman"/>
                <w:b/>
                <w:color w:val="000000" w:themeColor="text1"/>
                <w:szCs w:val="24"/>
                <w:lang w:val="en-GB"/>
              </w:rPr>
            </w:pPr>
            <w:r w:rsidRPr="00F32A8B">
              <w:rPr>
                <w:rFonts w:eastAsia="Times New Roman" w:cs="Times New Roman"/>
                <w:b/>
                <w:color w:val="000000" w:themeColor="text1"/>
                <w:szCs w:val="24"/>
                <w:lang w:val="en-GB"/>
              </w:rPr>
              <w:t>Frequency/Rate</w:t>
            </w:r>
          </w:p>
        </w:tc>
      </w:tr>
      <w:tr w:rsidR="00DA4EED" w:rsidRPr="00F32A8B" w14:paraId="3F6893B3" w14:textId="77777777" w:rsidTr="00DD29BC">
        <w:trPr>
          <w:trHeight w:val="351"/>
        </w:trPr>
        <w:tc>
          <w:tcPr>
            <w:tcW w:w="3654" w:type="pct"/>
            <w:tcBorders>
              <w:bottom w:val="nil"/>
              <w:right w:val="nil"/>
            </w:tcBorders>
          </w:tcPr>
          <w:p w14:paraId="58CB69D0" w14:textId="77777777" w:rsidR="00DA4EED" w:rsidRPr="00F32A8B" w:rsidRDefault="00DA4EED" w:rsidP="00FC164E">
            <w:pPr>
              <w:spacing w:after="200" w:line="360" w:lineRule="auto"/>
              <w:jc w:val="both"/>
              <w:rPr>
                <w:rFonts w:cs="Times New Roman"/>
                <w:color w:val="000000" w:themeColor="text1"/>
                <w:szCs w:val="24"/>
                <w:lang w:val="en-GB"/>
              </w:rPr>
            </w:pPr>
            <w:r w:rsidRPr="00F32A8B">
              <w:rPr>
                <w:rFonts w:cs="Times New Roman"/>
                <w:color w:val="000000" w:themeColor="text1"/>
                <w:szCs w:val="24"/>
                <w:lang w:val="en-GB"/>
              </w:rPr>
              <w:t>Number of distributed Questionnaires</w:t>
            </w:r>
          </w:p>
        </w:tc>
        <w:tc>
          <w:tcPr>
            <w:tcW w:w="1346" w:type="pct"/>
            <w:tcBorders>
              <w:left w:val="nil"/>
              <w:bottom w:val="nil"/>
            </w:tcBorders>
          </w:tcPr>
          <w:p w14:paraId="0EA73352" w14:textId="77777777" w:rsidR="00DA4EED" w:rsidRPr="00F32A8B" w:rsidRDefault="00DA4EED" w:rsidP="00FC164E">
            <w:pPr>
              <w:spacing w:after="200" w:line="360" w:lineRule="auto"/>
              <w:jc w:val="both"/>
              <w:rPr>
                <w:rFonts w:cs="Times New Roman"/>
                <w:color w:val="000000" w:themeColor="text1"/>
                <w:szCs w:val="24"/>
                <w:lang w:val="en-GB"/>
              </w:rPr>
            </w:pPr>
            <w:r w:rsidRPr="00F32A8B">
              <w:rPr>
                <w:rFonts w:cs="Times New Roman"/>
                <w:color w:val="000000" w:themeColor="text1"/>
                <w:szCs w:val="24"/>
                <w:lang w:val="en-GB"/>
              </w:rPr>
              <w:t>251</w:t>
            </w:r>
          </w:p>
        </w:tc>
      </w:tr>
      <w:tr w:rsidR="00DA4EED" w:rsidRPr="00F32A8B" w14:paraId="16017AB3" w14:textId="77777777" w:rsidTr="00DD29BC">
        <w:trPr>
          <w:trHeight w:val="457"/>
        </w:trPr>
        <w:tc>
          <w:tcPr>
            <w:tcW w:w="3654" w:type="pct"/>
            <w:tcBorders>
              <w:top w:val="nil"/>
              <w:bottom w:val="nil"/>
              <w:right w:val="nil"/>
            </w:tcBorders>
          </w:tcPr>
          <w:p w14:paraId="29F71BBC" w14:textId="77777777" w:rsidR="00DA4EED" w:rsidRPr="00F32A8B" w:rsidRDefault="00DA4EED" w:rsidP="00FC164E">
            <w:pPr>
              <w:spacing w:after="200" w:line="360" w:lineRule="auto"/>
              <w:jc w:val="both"/>
              <w:rPr>
                <w:rFonts w:cs="Times New Roman"/>
                <w:color w:val="000000" w:themeColor="text1"/>
                <w:szCs w:val="24"/>
                <w:lang w:val="en-GB"/>
              </w:rPr>
            </w:pPr>
            <w:r w:rsidRPr="00F32A8B">
              <w:rPr>
                <w:rFonts w:cs="Times New Roman"/>
                <w:color w:val="000000" w:themeColor="text1"/>
                <w:szCs w:val="24"/>
                <w:lang w:val="en-GB"/>
              </w:rPr>
              <w:t>Returned Questionnaires</w:t>
            </w:r>
          </w:p>
        </w:tc>
        <w:tc>
          <w:tcPr>
            <w:tcW w:w="1346" w:type="pct"/>
            <w:tcBorders>
              <w:top w:val="nil"/>
              <w:left w:val="nil"/>
              <w:bottom w:val="nil"/>
            </w:tcBorders>
          </w:tcPr>
          <w:p w14:paraId="07EFCFBF" w14:textId="77777777" w:rsidR="00DA4EED" w:rsidRPr="00F32A8B" w:rsidRDefault="00DA4EED" w:rsidP="00FC164E">
            <w:pPr>
              <w:spacing w:after="200" w:line="360" w:lineRule="auto"/>
              <w:jc w:val="both"/>
              <w:rPr>
                <w:rFonts w:cs="Times New Roman"/>
                <w:color w:val="000000" w:themeColor="text1"/>
                <w:szCs w:val="24"/>
                <w:lang w:val="en-GB"/>
              </w:rPr>
            </w:pPr>
            <w:r w:rsidRPr="00F32A8B">
              <w:rPr>
                <w:rFonts w:cs="Times New Roman"/>
                <w:color w:val="000000" w:themeColor="text1"/>
                <w:szCs w:val="24"/>
                <w:lang w:val="en-GB"/>
              </w:rPr>
              <w:t>163</w:t>
            </w:r>
          </w:p>
        </w:tc>
      </w:tr>
      <w:tr w:rsidR="00DA4EED" w:rsidRPr="00F32A8B" w14:paraId="3A85D2B4" w14:textId="77777777" w:rsidTr="00DD29BC">
        <w:trPr>
          <w:trHeight w:val="374"/>
        </w:trPr>
        <w:tc>
          <w:tcPr>
            <w:tcW w:w="3654" w:type="pct"/>
            <w:tcBorders>
              <w:top w:val="nil"/>
              <w:right w:val="nil"/>
            </w:tcBorders>
          </w:tcPr>
          <w:p w14:paraId="51CCF43A" w14:textId="77777777" w:rsidR="00DA4EED" w:rsidRPr="00F32A8B" w:rsidRDefault="00DA4EED" w:rsidP="00FC164E">
            <w:pPr>
              <w:spacing w:after="200" w:line="360" w:lineRule="auto"/>
              <w:jc w:val="both"/>
              <w:rPr>
                <w:rFonts w:cs="Times New Roman"/>
                <w:color w:val="000000" w:themeColor="text1"/>
                <w:szCs w:val="24"/>
                <w:lang w:val="en-GB"/>
              </w:rPr>
            </w:pPr>
            <w:r w:rsidRPr="00F32A8B">
              <w:rPr>
                <w:rFonts w:cs="Times New Roman"/>
                <w:color w:val="000000" w:themeColor="text1"/>
                <w:szCs w:val="24"/>
                <w:lang w:val="en-GB"/>
              </w:rPr>
              <w:t xml:space="preserve">Response rate </w:t>
            </w:r>
          </w:p>
        </w:tc>
        <w:tc>
          <w:tcPr>
            <w:tcW w:w="1346" w:type="pct"/>
            <w:tcBorders>
              <w:top w:val="nil"/>
              <w:left w:val="nil"/>
            </w:tcBorders>
          </w:tcPr>
          <w:p w14:paraId="3EC22EAF" w14:textId="67FD8FAE" w:rsidR="00DA4EED" w:rsidRPr="00F32A8B" w:rsidRDefault="00DA4EED" w:rsidP="00FC164E">
            <w:pPr>
              <w:spacing w:after="200" w:line="360" w:lineRule="auto"/>
              <w:jc w:val="both"/>
              <w:rPr>
                <w:rFonts w:cs="Times New Roman"/>
                <w:color w:val="000000" w:themeColor="text1"/>
                <w:szCs w:val="24"/>
                <w:lang w:val="en-GB"/>
              </w:rPr>
            </w:pPr>
            <w:r w:rsidRPr="00F32A8B">
              <w:rPr>
                <w:rFonts w:cs="Times New Roman"/>
                <w:color w:val="000000" w:themeColor="text1"/>
                <w:szCs w:val="24"/>
                <w:lang w:val="en-GB"/>
              </w:rPr>
              <w:t>65%</w:t>
            </w:r>
          </w:p>
        </w:tc>
      </w:tr>
    </w:tbl>
    <w:p w14:paraId="3AF12925" w14:textId="3DE7634A" w:rsidR="00DA4EED" w:rsidRPr="00F32A8B" w:rsidRDefault="00DA4EED" w:rsidP="00FC164E">
      <w:pPr>
        <w:spacing w:line="360" w:lineRule="auto"/>
        <w:jc w:val="both"/>
        <w:rPr>
          <w:rFonts w:eastAsia="Times New Roman" w:cs="Times New Roman"/>
          <w:color w:val="000000" w:themeColor="text1"/>
          <w:szCs w:val="24"/>
          <w:lang w:val="en-GB"/>
        </w:rPr>
      </w:pPr>
      <w:r w:rsidRPr="00F32A8B">
        <w:rPr>
          <w:rFonts w:eastAsia="Times New Roman" w:cs="Times New Roman"/>
          <w:b/>
          <w:color w:val="000000" w:themeColor="text1"/>
          <w:szCs w:val="24"/>
          <w:lang w:val="en-GB"/>
        </w:rPr>
        <w:t xml:space="preserve">Source: </w:t>
      </w:r>
      <w:r w:rsidRPr="00F32A8B">
        <w:rPr>
          <w:rFonts w:eastAsia="Times New Roman" w:cs="Times New Roman"/>
          <w:color w:val="000000" w:themeColor="text1"/>
          <w:szCs w:val="24"/>
          <w:lang w:val="en-GB"/>
        </w:rPr>
        <w:t xml:space="preserve">Field </w:t>
      </w:r>
      <w:bookmarkStart w:id="14" w:name="_Hlk192316544"/>
      <w:r w:rsidR="00262FA0">
        <w:rPr>
          <w:rFonts w:eastAsia="Times New Roman" w:cs="Times New Roman"/>
          <w:color w:val="000000" w:themeColor="text1"/>
          <w:szCs w:val="24"/>
          <w:lang w:val="en-GB"/>
        </w:rPr>
        <w:t>Survey</w:t>
      </w:r>
      <w:bookmarkEnd w:id="14"/>
      <w:r w:rsidRPr="00F32A8B">
        <w:rPr>
          <w:rFonts w:eastAsia="Times New Roman" w:cs="Times New Roman"/>
          <w:color w:val="000000" w:themeColor="text1"/>
          <w:szCs w:val="24"/>
          <w:lang w:val="en-GB"/>
        </w:rPr>
        <w:t>, 2025</w:t>
      </w:r>
    </w:p>
    <w:p w14:paraId="59B24AA6" w14:textId="77777777" w:rsidR="00117F7E" w:rsidRPr="00117F7E" w:rsidRDefault="00117F7E" w:rsidP="00FC164E">
      <w:pPr>
        <w:keepNext/>
        <w:keepLines/>
        <w:spacing w:after="0" w:line="360" w:lineRule="auto"/>
        <w:jc w:val="both"/>
        <w:outlineLvl w:val="1"/>
        <w:rPr>
          <w:rFonts w:eastAsiaTheme="majorEastAsia" w:cs="Times New Roman"/>
          <w:b/>
          <w:color w:val="000000" w:themeColor="text1"/>
          <w:szCs w:val="26"/>
        </w:rPr>
      </w:pPr>
      <w:bookmarkStart w:id="15" w:name="_Toc186990048"/>
      <w:bookmarkStart w:id="16" w:name="_Toc190215902"/>
      <w:r w:rsidRPr="00117F7E">
        <w:rPr>
          <w:rFonts w:eastAsiaTheme="majorEastAsia" w:cs="Times New Roman"/>
          <w:b/>
          <w:color w:val="000000" w:themeColor="text1"/>
          <w:szCs w:val="26"/>
        </w:rPr>
        <w:t>4</w:t>
      </w:r>
      <w:r w:rsidRPr="00FC164E">
        <w:rPr>
          <w:rFonts w:eastAsiaTheme="majorEastAsia" w:cs="Times New Roman"/>
          <w:bCs/>
          <w:i/>
          <w:iCs/>
          <w:color w:val="000000" w:themeColor="text1"/>
          <w:szCs w:val="26"/>
        </w:rPr>
        <w:t>.2 Demographic Profile of Respondents</w:t>
      </w:r>
      <w:bookmarkEnd w:id="15"/>
      <w:bookmarkEnd w:id="16"/>
    </w:p>
    <w:p w14:paraId="27E6A669" w14:textId="24187202" w:rsidR="00117F7E" w:rsidRPr="00117F7E" w:rsidRDefault="00117F7E" w:rsidP="00FC164E">
      <w:pPr>
        <w:spacing w:before="240" w:line="360" w:lineRule="auto"/>
        <w:jc w:val="both"/>
        <w:rPr>
          <w:rFonts w:eastAsia="Times New Roman" w:cs="Times New Roman"/>
          <w:color w:val="000000" w:themeColor="text1"/>
          <w:szCs w:val="24"/>
          <w:lang w:val="en-GB"/>
        </w:rPr>
      </w:pPr>
      <w:r w:rsidRPr="00117F7E">
        <w:rPr>
          <w:rFonts w:eastAsia="Times New Roman" w:cs="Times New Roman"/>
          <w:color w:val="000000" w:themeColor="text1"/>
          <w:szCs w:val="24"/>
          <w:lang w:val="en-GB"/>
        </w:rPr>
        <w:t>Demographic data collected provided insights into the study population's characteristics. These included gender</w:t>
      </w:r>
      <w:r w:rsidRPr="00F32A8B">
        <w:rPr>
          <w:rFonts w:eastAsia="Times New Roman" w:cs="Times New Roman"/>
          <w:color w:val="000000" w:themeColor="text1"/>
          <w:szCs w:val="24"/>
          <w:lang w:val="en-GB"/>
        </w:rPr>
        <w:t xml:space="preserve"> </w:t>
      </w:r>
      <w:r w:rsidRPr="00117F7E">
        <w:rPr>
          <w:rFonts w:eastAsia="Times New Roman" w:cs="Times New Roman"/>
          <w:color w:val="000000" w:themeColor="text1"/>
          <w:szCs w:val="24"/>
          <w:lang w:val="en-GB"/>
        </w:rPr>
        <w:t>and experience of respondents</w:t>
      </w:r>
    </w:p>
    <w:p w14:paraId="5549EF38" w14:textId="58DA86C0" w:rsidR="00DA4EED" w:rsidRPr="00FC164E" w:rsidRDefault="00117F7E" w:rsidP="00FC164E">
      <w:pPr>
        <w:spacing w:after="0" w:line="360" w:lineRule="auto"/>
        <w:jc w:val="both"/>
        <w:rPr>
          <w:rFonts w:eastAsia="Times New Roman" w:cs="Times New Roman"/>
          <w:bCs/>
          <w:i/>
          <w:iCs/>
          <w:color w:val="000000" w:themeColor="text1"/>
          <w:szCs w:val="24"/>
          <w:lang w:val="en-GB"/>
        </w:rPr>
      </w:pPr>
      <w:r w:rsidRPr="00FC164E">
        <w:rPr>
          <w:rFonts w:eastAsia="Times New Roman" w:cs="Times New Roman"/>
          <w:bCs/>
          <w:i/>
          <w:iCs/>
          <w:color w:val="000000" w:themeColor="text1"/>
          <w:szCs w:val="24"/>
          <w:lang w:val="en-GB"/>
        </w:rPr>
        <w:lastRenderedPageBreak/>
        <w:t>4.2.1 Gender Profile of Respondents</w:t>
      </w:r>
    </w:p>
    <w:p w14:paraId="58CFE473" w14:textId="505576AA" w:rsidR="00AD5E0F" w:rsidRDefault="00AD5E0F" w:rsidP="00FC164E">
      <w:pPr>
        <w:spacing w:before="100" w:beforeAutospacing="1" w:after="100" w:afterAutospacing="1" w:line="360" w:lineRule="auto"/>
        <w:jc w:val="both"/>
        <w:rPr>
          <w:rFonts w:eastAsia="Times New Roman" w:cs="Times New Roman"/>
          <w:kern w:val="0"/>
          <w:szCs w:val="24"/>
        </w:rPr>
      </w:pPr>
      <w:bookmarkStart w:id="17" w:name="_Toc190215831"/>
      <w:r w:rsidRPr="00AD5E0F">
        <w:rPr>
          <w:rFonts w:eastAsia="Times New Roman" w:cs="Times New Roman"/>
          <w:kern w:val="0"/>
          <w:szCs w:val="24"/>
        </w:rPr>
        <w:t xml:space="preserve">The gender distribution of respondents at UEDCL, with 74.2% male and 25.8% female representation, aligns with broader employment patterns in the energy sector, as shown in Table </w:t>
      </w:r>
      <w:r w:rsidR="00B51313">
        <w:rPr>
          <w:rFonts w:eastAsia="Times New Roman" w:cs="Times New Roman"/>
          <w:kern w:val="0"/>
          <w:szCs w:val="24"/>
        </w:rPr>
        <w:t>3</w:t>
      </w:r>
      <w:r w:rsidRPr="00AD5E0F">
        <w:rPr>
          <w:rFonts w:eastAsia="Times New Roman" w:cs="Times New Roman"/>
          <w:kern w:val="0"/>
          <w:szCs w:val="24"/>
        </w:rPr>
        <w:t xml:space="preserve">. Global research highlights the underrepresentation of women in technical roles within utility companies. IRENA (2019) indicated that women constitute only 22% of the global energy workforce, while the World Bank (2020) identified persistent gender disparities in Sub-Saharan Africa, where female participation in technical positions rarely surpasses 30%. The African Development Bank (2023) linked this imbalance to structural barriers, including restricted access to STEM education and prevailing cultural norms. Clancy et al. (2020) observed that gender disparities impact service delivery and </w:t>
      </w:r>
      <w:proofErr w:type="spellStart"/>
      <w:r w:rsidRPr="00AD5E0F">
        <w:rPr>
          <w:rFonts w:eastAsia="Times New Roman" w:cs="Times New Roman"/>
          <w:kern w:val="0"/>
          <w:szCs w:val="24"/>
        </w:rPr>
        <w:t>organisational</w:t>
      </w:r>
      <w:proofErr w:type="spellEnd"/>
      <w:r w:rsidRPr="00AD5E0F">
        <w:rPr>
          <w:rFonts w:eastAsia="Times New Roman" w:cs="Times New Roman"/>
          <w:kern w:val="0"/>
          <w:szCs w:val="24"/>
        </w:rPr>
        <w:t xml:space="preserve"> performance in state-owned utilities. At the national level, the Uganda Bureau of Statistics (2024) reported similar trends, with female representation in technical and managerial roles at approximately 27%, aligning with this study’s findings. These insights highlight the necessity for targeted policies to enhance gender inclusivity in Uganda’s energy sector.</w:t>
      </w:r>
    </w:p>
    <w:p w14:paraId="0D67A025" w14:textId="77777777" w:rsidR="00262FA0" w:rsidRDefault="00262FA0" w:rsidP="00FC164E">
      <w:pPr>
        <w:spacing w:before="100" w:beforeAutospacing="1" w:after="100" w:afterAutospacing="1" w:line="360" w:lineRule="auto"/>
        <w:jc w:val="both"/>
        <w:rPr>
          <w:rFonts w:eastAsia="Times New Roman" w:cs="Times New Roman"/>
          <w:kern w:val="0"/>
          <w:szCs w:val="24"/>
        </w:rPr>
      </w:pPr>
    </w:p>
    <w:p w14:paraId="0F081D75" w14:textId="77777777" w:rsidR="00262FA0" w:rsidRPr="00AD5E0F" w:rsidRDefault="00262FA0" w:rsidP="00FC164E">
      <w:pPr>
        <w:spacing w:before="100" w:beforeAutospacing="1" w:after="100" w:afterAutospacing="1" w:line="360" w:lineRule="auto"/>
        <w:jc w:val="both"/>
        <w:rPr>
          <w:rFonts w:eastAsia="Times New Roman" w:cs="Times New Roman"/>
          <w:kern w:val="0"/>
          <w:szCs w:val="24"/>
        </w:rPr>
      </w:pPr>
    </w:p>
    <w:p w14:paraId="6EC2855B" w14:textId="616AE048" w:rsidR="00117F7E" w:rsidRPr="00117F7E" w:rsidRDefault="00117F7E" w:rsidP="00FC164E">
      <w:pPr>
        <w:spacing w:after="200" w:line="360" w:lineRule="auto"/>
        <w:jc w:val="both"/>
        <w:rPr>
          <w:rFonts w:eastAsia="Times New Roman" w:cs="Times New Roman"/>
          <w:b/>
          <w:iCs/>
          <w:color w:val="000000" w:themeColor="text1"/>
          <w:kern w:val="0"/>
          <w:szCs w:val="24"/>
          <w:lang w:val="en-GB"/>
        </w:rPr>
      </w:pPr>
      <w:r w:rsidRPr="00117F7E">
        <w:rPr>
          <w:rFonts w:eastAsia="Calibri" w:cs="Times New Roman"/>
          <w:b/>
          <w:iCs/>
          <w:color w:val="000000" w:themeColor="text1"/>
          <w:kern w:val="0"/>
          <w:szCs w:val="24"/>
        </w:rPr>
        <w:t xml:space="preserve">Table </w:t>
      </w:r>
      <w:r w:rsidR="00B51313">
        <w:rPr>
          <w:rFonts w:eastAsia="Calibri" w:cs="Times New Roman"/>
          <w:b/>
          <w:iCs/>
          <w:color w:val="000000" w:themeColor="text1"/>
          <w:kern w:val="0"/>
          <w:szCs w:val="24"/>
        </w:rPr>
        <w:t>3</w:t>
      </w:r>
      <w:r w:rsidRPr="00F32A8B">
        <w:rPr>
          <w:rFonts w:eastAsia="Calibri" w:cs="Times New Roman"/>
          <w:b/>
          <w:iCs/>
          <w:color w:val="000000" w:themeColor="text1"/>
          <w:kern w:val="0"/>
          <w:szCs w:val="24"/>
        </w:rPr>
        <w:t>:</w:t>
      </w:r>
      <w:r w:rsidRPr="00117F7E">
        <w:rPr>
          <w:rFonts w:eastAsia="Calibri" w:cs="Times New Roman"/>
          <w:b/>
          <w:iCs/>
          <w:color w:val="000000" w:themeColor="text1"/>
          <w:kern w:val="0"/>
          <w:szCs w:val="24"/>
        </w:rPr>
        <w:t xml:space="preserve"> </w:t>
      </w:r>
      <w:r w:rsidRPr="00117F7E">
        <w:rPr>
          <w:rFonts w:eastAsia="Times New Roman" w:cs="Times New Roman"/>
          <w:b/>
          <w:iCs/>
          <w:color w:val="000000" w:themeColor="text1"/>
          <w:kern w:val="0"/>
          <w:szCs w:val="24"/>
          <w:lang w:val="en-GB"/>
        </w:rPr>
        <w:t>Gender Profile of Respondents</w:t>
      </w:r>
      <w:bookmarkEnd w:id="17"/>
    </w:p>
    <w:tbl>
      <w:tblPr>
        <w:tblpPr w:leftFromText="180" w:rightFromText="180" w:vertAnchor="text" w:horzAnchor="margin" w:tblpY="155"/>
        <w:tblW w:w="907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699"/>
        <w:gridCol w:w="3543"/>
        <w:gridCol w:w="2835"/>
      </w:tblGrid>
      <w:tr w:rsidR="00117F7E" w:rsidRPr="00117F7E" w14:paraId="6649004A" w14:textId="77777777" w:rsidTr="00DD29BC">
        <w:trPr>
          <w:cantSplit/>
        </w:trPr>
        <w:tc>
          <w:tcPr>
            <w:tcW w:w="2699" w:type="dxa"/>
            <w:tcBorders>
              <w:top w:val="single" w:sz="4" w:space="0" w:color="auto"/>
              <w:bottom w:val="single" w:sz="4" w:space="0" w:color="auto"/>
            </w:tcBorders>
            <w:shd w:val="clear" w:color="auto" w:fill="FFFFFF"/>
            <w:vAlign w:val="bottom"/>
          </w:tcPr>
          <w:p w14:paraId="3782DBAF" w14:textId="77777777" w:rsidR="00117F7E" w:rsidRPr="00117F7E" w:rsidRDefault="00117F7E" w:rsidP="00FC164E">
            <w:pPr>
              <w:autoSpaceDE w:val="0"/>
              <w:autoSpaceDN w:val="0"/>
              <w:adjustRightInd w:val="0"/>
              <w:spacing w:after="0" w:line="360" w:lineRule="auto"/>
              <w:jc w:val="both"/>
              <w:rPr>
                <w:rFonts w:cs="Times New Roman"/>
                <w:b/>
                <w:color w:val="000000" w:themeColor="text1"/>
                <w:kern w:val="0"/>
                <w:szCs w:val="24"/>
              </w:rPr>
            </w:pPr>
            <w:r w:rsidRPr="00117F7E">
              <w:rPr>
                <w:rFonts w:cs="Times New Roman"/>
                <w:b/>
                <w:color w:val="000000" w:themeColor="text1"/>
                <w:kern w:val="0"/>
                <w:szCs w:val="24"/>
              </w:rPr>
              <w:t>Variable</w:t>
            </w:r>
          </w:p>
        </w:tc>
        <w:tc>
          <w:tcPr>
            <w:tcW w:w="3543" w:type="dxa"/>
            <w:tcBorders>
              <w:top w:val="single" w:sz="4" w:space="0" w:color="auto"/>
              <w:bottom w:val="single" w:sz="4" w:space="0" w:color="auto"/>
            </w:tcBorders>
            <w:shd w:val="clear" w:color="auto" w:fill="FFFFFF"/>
            <w:vAlign w:val="bottom"/>
          </w:tcPr>
          <w:p w14:paraId="3232AA82" w14:textId="77777777" w:rsidR="00117F7E" w:rsidRPr="00117F7E" w:rsidRDefault="00117F7E" w:rsidP="00FC164E">
            <w:pPr>
              <w:autoSpaceDE w:val="0"/>
              <w:autoSpaceDN w:val="0"/>
              <w:adjustRightInd w:val="0"/>
              <w:spacing w:after="0" w:line="360" w:lineRule="auto"/>
              <w:ind w:left="60" w:right="60"/>
              <w:jc w:val="both"/>
              <w:rPr>
                <w:rFonts w:cs="Times New Roman"/>
                <w:b/>
                <w:color w:val="000000" w:themeColor="text1"/>
                <w:kern w:val="0"/>
                <w:szCs w:val="24"/>
              </w:rPr>
            </w:pPr>
            <w:r w:rsidRPr="00117F7E">
              <w:rPr>
                <w:rFonts w:cs="Times New Roman"/>
                <w:b/>
                <w:color w:val="000000" w:themeColor="text1"/>
                <w:kern w:val="0"/>
                <w:szCs w:val="24"/>
              </w:rPr>
              <w:t>N</w:t>
            </w:r>
          </w:p>
        </w:tc>
        <w:tc>
          <w:tcPr>
            <w:tcW w:w="2835" w:type="dxa"/>
            <w:tcBorders>
              <w:top w:val="single" w:sz="4" w:space="0" w:color="auto"/>
              <w:bottom w:val="single" w:sz="4" w:space="0" w:color="auto"/>
            </w:tcBorders>
            <w:shd w:val="clear" w:color="auto" w:fill="FFFFFF"/>
            <w:vAlign w:val="bottom"/>
          </w:tcPr>
          <w:p w14:paraId="5CC40036" w14:textId="77777777" w:rsidR="00117F7E" w:rsidRPr="00117F7E" w:rsidRDefault="00117F7E" w:rsidP="00FC164E">
            <w:pPr>
              <w:autoSpaceDE w:val="0"/>
              <w:autoSpaceDN w:val="0"/>
              <w:adjustRightInd w:val="0"/>
              <w:spacing w:after="0" w:line="360" w:lineRule="auto"/>
              <w:ind w:left="60" w:right="60"/>
              <w:jc w:val="both"/>
              <w:rPr>
                <w:rFonts w:cs="Times New Roman"/>
                <w:b/>
                <w:color w:val="000000" w:themeColor="text1"/>
                <w:kern w:val="0"/>
                <w:szCs w:val="24"/>
              </w:rPr>
            </w:pPr>
            <w:r w:rsidRPr="00117F7E">
              <w:rPr>
                <w:rFonts w:cs="Times New Roman"/>
                <w:b/>
                <w:color w:val="000000" w:themeColor="text1"/>
                <w:kern w:val="0"/>
                <w:szCs w:val="24"/>
              </w:rPr>
              <w:t>%</w:t>
            </w:r>
          </w:p>
        </w:tc>
      </w:tr>
      <w:tr w:rsidR="00117F7E" w:rsidRPr="00117F7E" w14:paraId="7C8E1546" w14:textId="77777777" w:rsidTr="00DD29BC">
        <w:trPr>
          <w:cantSplit/>
        </w:trPr>
        <w:tc>
          <w:tcPr>
            <w:tcW w:w="2699" w:type="dxa"/>
            <w:tcBorders>
              <w:top w:val="single" w:sz="4" w:space="0" w:color="auto"/>
            </w:tcBorders>
            <w:shd w:val="clear" w:color="auto" w:fill="auto"/>
          </w:tcPr>
          <w:p w14:paraId="199D0D92" w14:textId="77777777" w:rsidR="00117F7E" w:rsidRPr="00117F7E" w:rsidRDefault="00117F7E" w:rsidP="00FC164E">
            <w:pPr>
              <w:autoSpaceDE w:val="0"/>
              <w:autoSpaceDN w:val="0"/>
              <w:adjustRightInd w:val="0"/>
              <w:spacing w:after="0" w:line="360" w:lineRule="auto"/>
              <w:ind w:left="60" w:right="60"/>
              <w:jc w:val="both"/>
              <w:rPr>
                <w:rFonts w:cs="Times New Roman"/>
                <w:color w:val="000000" w:themeColor="text1"/>
                <w:kern w:val="0"/>
                <w:szCs w:val="24"/>
              </w:rPr>
            </w:pPr>
            <w:r w:rsidRPr="00117F7E">
              <w:rPr>
                <w:rFonts w:cs="Times New Roman"/>
                <w:color w:val="000000" w:themeColor="text1"/>
                <w:kern w:val="0"/>
                <w:szCs w:val="24"/>
              </w:rPr>
              <w:t>Male</w:t>
            </w:r>
          </w:p>
        </w:tc>
        <w:tc>
          <w:tcPr>
            <w:tcW w:w="3543" w:type="dxa"/>
            <w:tcBorders>
              <w:top w:val="single" w:sz="4" w:space="0" w:color="auto"/>
            </w:tcBorders>
            <w:shd w:val="clear" w:color="auto" w:fill="auto"/>
          </w:tcPr>
          <w:p w14:paraId="391E6917" w14:textId="77777777" w:rsidR="00117F7E" w:rsidRPr="00117F7E" w:rsidRDefault="00117F7E" w:rsidP="00FC164E">
            <w:pPr>
              <w:autoSpaceDE w:val="0"/>
              <w:autoSpaceDN w:val="0"/>
              <w:adjustRightInd w:val="0"/>
              <w:spacing w:after="0" w:line="360" w:lineRule="auto"/>
              <w:ind w:left="60" w:right="60"/>
              <w:jc w:val="both"/>
              <w:rPr>
                <w:rFonts w:cs="Times New Roman"/>
                <w:color w:val="000000" w:themeColor="text1"/>
                <w:kern w:val="0"/>
                <w:szCs w:val="24"/>
              </w:rPr>
            </w:pPr>
            <w:r w:rsidRPr="00117F7E">
              <w:rPr>
                <w:rFonts w:cs="Times New Roman"/>
                <w:color w:val="000000" w:themeColor="text1"/>
                <w:kern w:val="0"/>
                <w:szCs w:val="24"/>
              </w:rPr>
              <w:t>121</w:t>
            </w:r>
          </w:p>
        </w:tc>
        <w:tc>
          <w:tcPr>
            <w:tcW w:w="2835" w:type="dxa"/>
            <w:tcBorders>
              <w:top w:val="single" w:sz="4" w:space="0" w:color="auto"/>
            </w:tcBorders>
            <w:shd w:val="clear" w:color="auto" w:fill="auto"/>
          </w:tcPr>
          <w:p w14:paraId="5EB26308" w14:textId="77777777" w:rsidR="00117F7E" w:rsidRPr="00117F7E" w:rsidRDefault="00117F7E" w:rsidP="00FC164E">
            <w:pPr>
              <w:autoSpaceDE w:val="0"/>
              <w:autoSpaceDN w:val="0"/>
              <w:adjustRightInd w:val="0"/>
              <w:spacing w:after="0" w:line="360" w:lineRule="auto"/>
              <w:ind w:left="60" w:right="60"/>
              <w:jc w:val="both"/>
              <w:rPr>
                <w:rFonts w:cs="Times New Roman"/>
                <w:color w:val="000000" w:themeColor="text1"/>
                <w:kern w:val="0"/>
                <w:szCs w:val="24"/>
              </w:rPr>
            </w:pPr>
            <w:r w:rsidRPr="00117F7E">
              <w:rPr>
                <w:rFonts w:cs="Times New Roman"/>
                <w:color w:val="000000" w:themeColor="text1"/>
                <w:kern w:val="0"/>
                <w:szCs w:val="24"/>
              </w:rPr>
              <w:t>74.2%</w:t>
            </w:r>
          </w:p>
        </w:tc>
      </w:tr>
      <w:tr w:rsidR="00117F7E" w:rsidRPr="00117F7E" w14:paraId="422EF2D9" w14:textId="77777777" w:rsidTr="00DD29BC">
        <w:trPr>
          <w:cantSplit/>
        </w:trPr>
        <w:tc>
          <w:tcPr>
            <w:tcW w:w="2699" w:type="dxa"/>
            <w:shd w:val="clear" w:color="auto" w:fill="auto"/>
          </w:tcPr>
          <w:p w14:paraId="71D329CB" w14:textId="77777777" w:rsidR="00117F7E" w:rsidRPr="00117F7E" w:rsidRDefault="00117F7E" w:rsidP="00FC164E">
            <w:pPr>
              <w:autoSpaceDE w:val="0"/>
              <w:autoSpaceDN w:val="0"/>
              <w:adjustRightInd w:val="0"/>
              <w:spacing w:after="0" w:line="360" w:lineRule="auto"/>
              <w:ind w:left="60" w:right="60"/>
              <w:jc w:val="both"/>
              <w:rPr>
                <w:rFonts w:cs="Times New Roman"/>
                <w:color w:val="000000" w:themeColor="text1"/>
                <w:kern w:val="0"/>
                <w:szCs w:val="24"/>
              </w:rPr>
            </w:pPr>
            <w:r w:rsidRPr="00117F7E">
              <w:rPr>
                <w:rFonts w:cs="Times New Roman"/>
                <w:color w:val="000000" w:themeColor="text1"/>
                <w:kern w:val="0"/>
                <w:szCs w:val="24"/>
              </w:rPr>
              <w:t>Female</w:t>
            </w:r>
          </w:p>
        </w:tc>
        <w:tc>
          <w:tcPr>
            <w:tcW w:w="3543" w:type="dxa"/>
            <w:shd w:val="clear" w:color="auto" w:fill="auto"/>
          </w:tcPr>
          <w:p w14:paraId="4CF74B41" w14:textId="77777777" w:rsidR="00117F7E" w:rsidRPr="00117F7E" w:rsidRDefault="00117F7E" w:rsidP="00FC164E">
            <w:pPr>
              <w:autoSpaceDE w:val="0"/>
              <w:autoSpaceDN w:val="0"/>
              <w:adjustRightInd w:val="0"/>
              <w:spacing w:after="0" w:line="360" w:lineRule="auto"/>
              <w:ind w:left="60" w:right="60"/>
              <w:jc w:val="both"/>
              <w:rPr>
                <w:rFonts w:cs="Times New Roman"/>
                <w:color w:val="000000" w:themeColor="text1"/>
                <w:kern w:val="0"/>
                <w:szCs w:val="24"/>
              </w:rPr>
            </w:pPr>
            <w:r w:rsidRPr="00117F7E">
              <w:rPr>
                <w:rFonts w:cs="Times New Roman"/>
                <w:color w:val="000000" w:themeColor="text1"/>
                <w:kern w:val="0"/>
                <w:szCs w:val="24"/>
              </w:rPr>
              <w:t>42</w:t>
            </w:r>
          </w:p>
        </w:tc>
        <w:tc>
          <w:tcPr>
            <w:tcW w:w="2835" w:type="dxa"/>
            <w:shd w:val="clear" w:color="auto" w:fill="auto"/>
          </w:tcPr>
          <w:p w14:paraId="460ED5DA" w14:textId="77777777" w:rsidR="00117F7E" w:rsidRPr="00117F7E" w:rsidRDefault="00117F7E" w:rsidP="00FC164E">
            <w:pPr>
              <w:autoSpaceDE w:val="0"/>
              <w:autoSpaceDN w:val="0"/>
              <w:adjustRightInd w:val="0"/>
              <w:spacing w:after="0" w:line="360" w:lineRule="auto"/>
              <w:ind w:left="60" w:right="60"/>
              <w:jc w:val="both"/>
              <w:rPr>
                <w:rFonts w:cs="Times New Roman"/>
                <w:color w:val="000000" w:themeColor="text1"/>
                <w:kern w:val="0"/>
                <w:szCs w:val="24"/>
              </w:rPr>
            </w:pPr>
            <w:r w:rsidRPr="00117F7E">
              <w:rPr>
                <w:rFonts w:cs="Times New Roman"/>
                <w:color w:val="000000" w:themeColor="text1"/>
                <w:kern w:val="0"/>
                <w:szCs w:val="24"/>
              </w:rPr>
              <w:t>25.8%</w:t>
            </w:r>
          </w:p>
        </w:tc>
      </w:tr>
    </w:tbl>
    <w:p w14:paraId="0908D703" w14:textId="53582474" w:rsidR="00070B78" w:rsidRPr="00F32A8B" w:rsidRDefault="00117F7E" w:rsidP="00FC164E">
      <w:pPr>
        <w:tabs>
          <w:tab w:val="left" w:pos="5179"/>
        </w:tabs>
        <w:spacing w:line="360" w:lineRule="auto"/>
        <w:jc w:val="both"/>
        <w:rPr>
          <w:rFonts w:eastAsia="Times New Roman" w:cs="Times New Roman"/>
          <w:color w:val="000000" w:themeColor="text1"/>
          <w:szCs w:val="24"/>
          <w:lang w:val="en-GB"/>
        </w:rPr>
      </w:pPr>
      <w:r w:rsidRPr="00117F7E">
        <w:rPr>
          <w:rFonts w:eastAsia="Times New Roman" w:cs="Times New Roman"/>
          <w:b/>
          <w:color w:val="000000" w:themeColor="text1"/>
          <w:szCs w:val="24"/>
          <w:lang w:val="en-GB"/>
        </w:rPr>
        <w:t>Source:</w:t>
      </w:r>
      <w:r w:rsidRPr="00117F7E">
        <w:rPr>
          <w:rFonts w:eastAsia="Times New Roman" w:cs="Times New Roman"/>
          <w:color w:val="000000" w:themeColor="text1"/>
          <w:szCs w:val="24"/>
          <w:lang w:val="en-GB"/>
        </w:rPr>
        <w:t xml:space="preserve"> Field </w:t>
      </w:r>
      <w:r w:rsidR="00262FA0">
        <w:rPr>
          <w:rFonts w:eastAsia="Times New Roman" w:cs="Times New Roman"/>
          <w:color w:val="000000" w:themeColor="text1"/>
          <w:szCs w:val="24"/>
          <w:lang w:val="en-GB"/>
        </w:rPr>
        <w:t>Survey</w:t>
      </w:r>
      <w:r w:rsidRPr="00117F7E">
        <w:rPr>
          <w:rFonts w:eastAsia="Times New Roman" w:cs="Times New Roman"/>
          <w:color w:val="000000" w:themeColor="text1"/>
          <w:szCs w:val="24"/>
          <w:lang w:val="en-GB"/>
        </w:rPr>
        <w:t xml:space="preserve"> (2025)</w:t>
      </w:r>
    </w:p>
    <w:p w14:paraId="69A17376" w14:textId="77777777" w:rsidR="00070B78" w:rsidRPr="0085501D" w:rsidRDefault="00070B78" w:rsidP="00FC164E">
      <w:pPr>
        <w:tabs>
          <w:tab w:val="left" w:pos="5179"/>
        </w:tabs>
        <w:spacing w:line="360" w:lineRule="auto"/>
        <w:jc w:val="both"/>
        <w:rPr>
          <w:rFonts w:eastAsia="Times New Roman" w:cs="Times New Roman"/>
          <w:i/>
          <w:iCs/>
          <w:color w:val="000000" w:themeColor="text1"/>
          <w:szCs w:val="24"/>
          <w:lang w:val="en-GB"/>
        </w:rPr>
      </w:pPr>
      <w:r w:rsidRPr="0085501D">
        <w:rPr>
          <w:rFonts w:eastAsia="Times New Roman" w:cs="Times New Roman"/>
          <w:i/>
          <w:iCs/>
          <w:color w:val="000000" w:themeColor="text1"/>
          <w:szCs w:val="24"/>
          <w:lang w:val="en-GB"/>
        </w:rPr>
        <w:t xml:space="preserve">4.2.2 Experience Profile of Respondents </w:t>
      </w:r>
    </w:p>
    <w:p w14:paraId="74136BA5" w14:textId="1E5B6E2F" w:rsidR="00070B78" w:rsidRPr="00F32A8B" w:rsidRDefault="00070B78" w:rsidP="00FC164E">
      <w:pPr>
        <w:spacing w:line="360" w:lineRule="auto"/>
        <w:jc w:val="both"/>
        <w:rPr>
          <w:rFonts w:eastAsia="Times New Roman" w:cs="Times New Roman"/>
          <w:color w:val="000000" w:themeColor="text1"/>
          <w:szCs w:val="24"/>
          <w:lang w:val="en-GB"/>
        </w:rPr>
      </w:pPr>
      <w:r w:rsidRPr="00F32A8B">
        <w:rPr>
          <w:rFonts w:eastAsia="Times New Roman" w:cs="Times New Roman"/>
          <w:color w:val="000000" w:themeColor="text1"/>
          <w:szCs w:val="24"/>
          <w:lang w:val="en-GB"/>
        </w:rPr>
        <w:t xml:space="preserve">The research examined respondents' experience distribution. Data on gender was collected, analysed, and presented in Table </w:t>
      </w:r>
      <w:r w:rsidR="004812DF">
        <w:rPr>
          <w:rFonts w:eastAsia="Times New Roman" w:cs="Times New Roman"/>
          <w:color w:val="000000" w:themeColor="text1"/>
          <w:szCs w:val="24"/>
          <w:lang w:val="en-GB"/>
        </w:rPr>
        <w:t>4</w:t>
      </w:r>
      <w:r w:rsidRPr="00F32A8B">
        <w:rPr>
          <w:rFonts w:eastAsia="Times New Roman" w:cs="Times New Roman"/>
          <w:color w:val="000000" w:themeColor="text1"/>
          <w:szCs w:val="24"/>
          <w:lang w:val="en-GB"/>
        </w:rPr>
        <w:t>.</w:t>
      </w:r>
    </w:p>
    <w:p w14:paraId="477F95FC" w14:textId="484A8DD7" w:rsidR="00070B78" w:rsidRPr="00070B78" w:rsidRDefault="00070B78" w:rsidP="00FC164E">
      <w:pPr>
        <w:spacing w:after="200" w:line="360" w:lineRule="auto"/>
        <w:jc w:val="both"/>
        <w:rPr>
          <w:rFonts w:eastAsia="Times New Roman" w:cs="Times New Roman"/>
          <w:b/>
          <w:iCs/>
          <w:color w:val="000000" w:themeColor="text1"/>
          <w:kern w:val="0"/>
          <w:szCs w:val="24"/>
          <w:lang w:val="en-GB"/>
        </w:rPr>
      </w:pPr>
      <w:bookmarkStart w:id="18" w:name="_Toc190215832"/>
      <w:r w:rsidRPr="00070B78">
        <w:rPr>
          <w:rFonts w:eastAsia="Calibri" w:cs="Times New Roman"/>
          <w:b/>
          <w:iCs/>
          <w:color w:val="000000" w:themeColor="text1"/>
          <w:kern w:val="0"/>
          <w:szCs w:val="24"/>
        </w:rPr>
        <w:t xml:space="preserve">Table </w:t>
      </w:r>
      <w:r w:rsidR="004812DF">
        <w:rPr>
          <w:rFonts w:eastAsia="Calibri" w:cs="Times New Roman"/>
          <w:b/>
          <w:iCs/>
          <w:color w:val="000000" w:themeColor="text1"/>
          <w:kern w:val="0"/>
          <w:szCs w:val="24"/>
        </w:rPr>
        <w:t>4</w:t>
      </w:r>
      <w:r w:rsidRPr="00070B78">
        <w:rPr>
          <w:rFonts w:eastAsia="Calibri" w:cs="Times New Roman"/>
          <w:b/>
          <w:iCs/>
          <w:color w:val="000000" w:themeColor="text1"/>
          <w:kern w:val="0"/>
          <w:szCs w:val="24"/>
        </w:rPr>
        <w:t xml:space="preserve">: </w:t>
      </w:r>
      <w:r w:rsidRPr="00070B78">
        <w:rPr>
          <w:rFonts w:eastAsia="Times New Roman" w:cs="Times New Roman"/>
          <w:b/>
          <w:iCs/>
          <w:color w:val="000000" w:themeColor="text1"/>
          <w:kern w:val="0"/>
          <w:szCs w:val="24"/>
          <w:lang w:val="en-GB"/>
        </w:rPr>
        <w:t>Experience of Respondents</w:t>
      </w:r>
      <w:bookmarkEnd w:id="18"/>
    </w:p>
    <w:tbl>
      <w:tblPr>
        <w:tblW w:w="907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4116"/>
        <w:gridCol w:w="3119"/>
        <w:gridCol w:w="1842"/>
      </w:tblGrid>
      <w:tr w:rsidR="00070B78" w:rsidRPr="00070B78" w14:paraId="47D575B6" w14:textId="77777777" w:rsidTr="00DD29BC">
        <w:trPr>
          <w:cantSplit/>
        </w:trPr>
        <w:tc>
          <w:tcPr>
            <w:tcW w:w="4116" w:type="dxa"/>
            <w:tcBorders>
              <w:top w:val="single" w:sz="4" w:space="0" w:color="auto"/>
              <w:bottom w:val="single" w:sz="4" w:space="0" w:color="auto"/>
            </w:tcBorders>
            <w:shd w:val="clear" w:color="auto" w:fill="FFFFFF"/>
            <w:vAlign w:val="bottom"/>
          </w:tcPr>
          <w:p w14:paraId="04A9CDFA" w14:textId="77777777" w:rsidR="00070B78" w:rsidRPr="00070B78" w:rsidRDefault="00070B78" w:rsidP="00FC164E">
            <w:pPr>
              <w:autoSpaceDE w:val="0"/>
              <w:autoSpaceDN w:val="0"/>
              <w:adjustRightInd w:val="0"/>
              <w:spacing w:after="0" w:line="360" w:lineRule="auto"/>
              <w:jc w:val="both"/>
              <w:rPr>
                <w:rFonts w:cs="Times New Roman"/>
                <w:b/>
                <w:color w:val="000000" w:themeColor="text1"/>
                <w:kern w:val="0"/>
                <w:szCs w:val="24"/>
              </w:rPr>
            </w:pPr>
            <w:r w:rsidRPr="00070B78">
              <w:rPr>
                <w:rFonts w:cs="Times New Roman"/>
                <w:b/>
                <w:color w:val="000000" w:themeColor="text1"/>
                <w:kern w:val="0"/>
                <w:szCs w:val="24"/>
              </w:rPr>
              <w:lastRenderedPageBreak/>
              <w:t>Period</w:t>
            </w:r>
          </w:p>
        </w:tc>
        <w:tc>
          <w:tcPr>
            <w:tcW w:w="3119" w:type="dxa"/>
            <w:tcBorders>
              <w:top w:val="single" w:sz="4" w:space="0" w:color="auto"/>
              <w:bottom w:val="single" w:sz="4" w:space="0" w:color="auto"/>
            </w:tcBorders>
            <w:shd w:val="clear" w:color="auto" w:fill="FFFFFF"/>
            <w:vAlign w:val="bottom"/>
          </w:tcPr>
          <w:p w14:paraId="014F92BE" w14:textId="77777777" w:rsidR="00070B78" w:rsidRPr="00070B78" w:rsidRDefault="00070B78" w:rsidP="00FC164E">
            <w:pPr>
              <w:autoSpaceDE w:val="0"/>
              <w:autoSpaceDN w:val="0"/>
              <w:adjustRightInd w:val="0"/>
              <w:spacing w:after="0" w:line="360" w:lineRule="auto"/>
              <w:ind w:left="60" w:right="60"/>
              <w:jc w:val="both"/>
              <w:rPr>
                <w:rFonts w:cs="Times New Roman"/>
                <w:b/>
                <w:color w:val="000000" w:themeColor="text1"/>
                <w:kern w:val="0"/>
                <w:szCs w:val="24"/>
              </w:rPr>
            </w:pPr>
            <w:r w:rsidRPr="00070B78">
              <w:rPr>
                <w:rFonts w:cs="Times New Roman"/>
                <w:b/>
                <w:color w:val="000000" w:themeColor="text1"/>
                <w:kern w:val="0"/>
                <w:szCs w:val="24"/>
              </w:rPr>
              <w:t>N</w:t>
            </w:r>
          </w:p>
        </w:tc>
        <w:tc>
          <w:tcPr>
            <w:tcW w:w="1842" w:type="dxa"/>
            <w:tcBorders>
              <w:top w:val="single" w:sz="4" w:space="0" w:color="auto"/>
              <w:bottom w:val="single" w:sz="4" w:space="0" w:color="auto"/>
            </w:tcBorders>
            <w:shd w:val="clear" w:color="auto" w:fill="FFFFFF"/>
            <w:vAlign w:val="bottom"/>
          </w:tcPr>
          <w:p w14:paraId="64BD28DC" w14:textId="77777777" w:rsidR="00070B78" w:rsidRPr="00070B78" w:rsidRDefault="00070B78" w:rsidP="00FC164E">
            <w:pPr>
              <w:autoSpaceDE w:val="0"/>
              <w:autoSpaceDN w:val="0"/>
              <w:adjustRightInd w:val="0"/>
              <w:spacing w:after="0" w:line="360" w:lineRule="auto"/>
              <w:ind w:left="60" w:right="60"/>
              <w:jc w:val="both"/>
              <w:rPr>
                <w:rFonts w:cs="Times New Roman"/>
                <w:b/>
                <w:color w:val="000000" w:themeColor="text1"/>
                <w:kern w:val="0"/>
                <w:szCs w:val="24"/>
              </w:rPr>
            </w:pPr>
            <w:r w:rsidRPr="00070B78">
              <w:rPr>
                <w:rFonts w:cs="Times New Roman"/>
                <w:b/>
                <w:color w:val="000000" w:themeColor="text1"/>
                <w:kern w:val="0"/>
                <w:szCs w:val="24"/>
              </w:rPr>
              <w:t>%</w:t>
            </w:r>
          </w:p>
        </w:tc>
      </w:tr>
      <w:tr w:rsidR="00070B78" w:rsidRPr="00070B78" w14:paraId="1F75C78F" w14:textId="77777777" w:rsidTr="00DD29BC">
        <w:trPr>
          <w:cantSplit/>
        </w:trPr>
        <w:tc>
          <w:tcPr>
            <w:tcW w:w="4116" w:type="dxa"/>
            <w:tcBorders>
              <w:top w:val="single" w:sz="4" w:space="0" w:color="auto"/>
            </w:tcBorders>
            <w:shd w:val="clear" w:color="auto" w:fill="auto"/>
          </w:tcPr>
          <w:p w14:paraId="63119ABC" w14:textId="27B6F82D" w:rsidR="00070B78" w:rsidRPr="00070B78" w:rsidRDefault="00070B78" w:rsidP="00FC164E">
            <w:pPr>
              <w:autoSpaceDE w:val="0"/>
              <w:autoSpaceDN w:val="0"/>
              <w:adjustRightInd w:val="0"/>
              <w:spacing w:after="0" w:line="360" w:lineRule="auto"/>
              <w:ind w:left="60" w:right="60"/>
              <w:jc w:val="both"/>
              <w:rPr>
                <w:rFonts w:cs="Times New Roman"/>
                <w:color w:val="000000" w:themeColor="text1"/>
                <w:kern w:val="0"/>
                <w:szCs w:val="24"/>
              </w:rPr>
            </w:pPr>
            <w:r w:rsidRPr="00070B78">
              <w:rPr>
                <w:rFonts w:cs="Times New Roman"/>
                <w:color w:val="000000" w:themeColor="text1"/>
                <w:kern w:val="0"/>
                <w:szCs w:val="24"/>
              </w:rPr>
              <w:t>Less than 1 year</w:t>
            </w:r>
          </w:p>
        </w:tc>
        <w:tc>
          <w:tcPr>
            <w:tcW w:w="3119" w:type="dxa"/>
            <w:tcBorders>
              <w:top w:val="single" w:sz="4" w:space="0" w:color="auto"/>
            </w:tcBorders>
            <w:shd w:val="clear" w:color="auto" w:fill="auto"/>
          </w:tcPr>
          <w:p w14:paraId="356A1369" w14:textId="77777777" w:rsidR="00070B78" w:rsidRPr="00070B78" w:rsidRDefault="00070B78" w:rsidP="00FC164E">
            <w:pPr>
              <w:autoSpaceDE w:val="0"/>
              <w:autoSpaceDN w:val="0"/>
              <w:adjustRightInd w:val="0"/>
              <w:spacing w:after="0" w:line="360" w:lineRule="auto"/>
              <w:ind w:left="60" w:right="60"/>
              <w:jc w:val="both"/>
              <w:rPr>
                <w:rFonts w:cs="Times New Roman"/>
                <w:color w:val="000000" w:themeColor="text1"/>
                <w:kern w:val="0"/>
                <w:szCs w:val="24"/>
              </w:rPr>
            </w:pPr>
            <w:r w:rsidRPr="00070B78">
              <w:rPr>
                <w:rFonts w:cs="Times New Roman"/>
                <w:color w:val="000000" w:themeColor="text1"/>
                <w:kern w:val="0"/>
                <w:szCs w:val="24"/>
              </w:rPr>
              <w:t>84</w:t>
            </w:r>
          </w:p>
        </w:tc>
        <w:tc>
          <w:tcPr>
            <w:tcW w:w="1842" w:type="dxa"/>
            <w:tcBorders>
              <w:top w:val="single" w:sz="4" w:space="0" w:color="auto"/>
            </w:tcBorders>
            <w:shd w:val="clear" w:color="auto" w:fill="auto"/>
          </w:tcPr>
          <w:p w14:paraId="41777950" w14:textId="77777777" w:rsidR="00070B78" w:rsidRPr="00070B78" w:rsidRDefault="00070B78" w:rsidP="00FC164E">
            <w:pPr>
              <w:autoSpaceDE w:val="0"/>
              <w:autoSpaceDN w:val="0"/>
              <w:adjustRightInd w:val="0"/>
              <w:spacing w:after="0" w:line="360" w:lineRule="auto"/>
              <w:ind w:left="60" w:right="60"/>
              <w:jc w:val="both"/>
              <w:rPr>
                <w:rFonts w:cs="Times New Roman"/>
                <w:color w:val="000000" w:themeColor="text1"/>
                <w:kern w:val="0"/>
                <w:szCs w:val="24"/>
              </w:rPr>
            </w:pPr>
            <w:r w:rsidRPr="00070B78">
              <w:rPr>
                <w:rFonts w:cs="Times New Roman"/>
                <w:color w:val="000000" w:themeColor="text1"/>
                <w:kern w:val="0"/>
                <w:szCs w:val="24"/>
              </w:rPr>
              <w:t>51.5%</w:t>
            </w:r>
          </w:p>
        </w:tc>
      </w:tr>
      <w:tr w:rsidR="00070B78" w:rsidRPr="00070B78" w14:paraId="4C78EBE3" w14:textId="77777777" w:rsidTr="00DD29BC">
        <w:trPr>
          <w:cantSplit/>
        </w:trPr>
        <w:tc>
          <w:tcPr>
            <w:tcW w:w="4116" w:type="dxa"/>
            <w:shd w:val="clear" w:color="auto" w:fill="auto"/>
          </w:tcPr>
          <w:p w14:paraId="04757618" w14:textId="7165BCF8" w:rsidR="00070B78" w:rsidRPr="00070B78" w:rsidRDefault="00070B78" w:rsidP="00FC164E">
            <w:pPr>
              <w:autoSpaceDE w:val="0"/>
              <w:autoSpaceDN w:val="0"/>
              <w:adjustRightInd w:val="0"/>
              <w:spacing w:after="0" w:line="360" w:lineRule="auto"/>
              <w:ind w:left="60" w:right="60"/>
              <w:jc w:val="both"/>
              <w:rPr>
                <w:rFonts w:cs="Times New Roman"/>
                <w:color w:val="000000" w:themeColor="text1"/>
                <w:kern w:val="0"/>
                <w:szCs w:val="24"/>
              </w:rPr>
            </w:pPr>
            <w:r w:rsidRPr="00F32A8B">
              <w:rPr>
                <w:rFonts w:cs="Times New Roman"/>
                <w:color w:val="000000" w:themeColor="text1"/>
                <w:kern w:val="0"/>
                <w:szCs w:val="24"/>
              </w:rPr>
              <w:t>2</w:t>
            </w:r>
            <w:r w:rsidRPr="00070B78">
              <w:rPr>
                <w:rFonts w:cs="Times New Roman"/>
                <w:color w:val="000000" w:themeColor="text1"/>
                <w:kern w:val="0"/>
                <w:szCs w:val="24"/>
              </w:rPr>
              <w:t>-5</w:t>
            </w:r>
          </w:p>
        </w:tc>
        <w:tc>
          <w:tcPr>
            <w:tcW w:w="3119" w:type="dxa"/>
            <w:shd w:val="clear" w:color="auto" w:fill="auto"/>
          </w:tcPr>
          <w:p w14:paraId="29403297" w14:textId="77777777" w:rsidR="00070B78" w:rsidRPr="00070B78" w:rsidRDefault="00070B78" w:rsidP="00FC164E">
            <w:pPr>
              <w:autoSpaceDE w:val="0"/>
              <w:autoSpaceDN w:val="0"/>
              <w:adjustRightInd w:val="0"/>
              <w:spacing w:after="0" w:line="360" w:lineRule="auto"/>
              <w:ind w:left="60" w:right="60"/>
              <w:jc w:val="both"/>
              <w:rPr>
                <w:rFonts w:cs="Times New Roman"/>
                <w:color w:val="000000" w:themeColor="text1"/>
                <w:kern w:val="0"/>
                <w:szCs w:val="24"/>
              </w:rPr>
            </w:pPr>
            <w:r w:rsidRPr="00070B78">
              <w:rPr>
                <w:rFonts w:cs="Times New Roman"/>
                <w:color w:val="000000" w:themeColor="text1"/>
                <w:kern w:val="0"/>
                <w:szCs w:val="24"/>
              </w:rPr>
              <w:t>28</w:t>
            </w:r>
          </w:p>
        </w:tc>
        <w:tc>
          <w:tcPr>
            <w:tcW w:w="1842" w:type="dxa"/>
            <w:shd w:val="clear" w:color="auto" w:fill="auto"/>
          </w:tcPr>
          <w:p w14:paraId="1EE1835B" w14:textId="77777777" w:rsidR="00070B78" w:rsidRPr="00070B78" w:rsidRDefault="00070B78" w:rsidP="00FC164E">
            <w:pPr>
              <w:autoSpaceDE w:val="0"/>
              <w:autoSpaceDN w:val="0"/>
              <w:adjustRightInd w:val="0"/>
              <w:spacing w:after="0" w:line="360" w:lineRule="auto"/>
              <w:ind w:left="60" w:right="60"/>
              <w:jc w:val="both"/>
              <w:rPr>
                <w:rFonts w:cs="Times New Roman"/>
                <w:color w:val="000000" w:themeColor="text1"/>
                <w:kern w:val="0"/>
                <w:szCs w:val="24"/>
              </w:rPr>
            </w:pPr>
            <w:r w:rsidRPr="00070B78">
              <w:rPr>
                <w:rFonts w:cs="Times New Roman"/>
                <w:color w:val="000000" w:themeColor="text1"/>
                <w:kern w:val="0"/>
                <w:szCs w:val="24"/>
              </w:rPr>
              <w:t>17.2%</w:t>
            </w:r>
          </w:p>
        </w:tc>
      </w:tr>
      <w:tr w:rsidR="00070B78" w:rsidRPr="00070B78" w14:paraId="726DD86D" w14:textId="77777777" w:rsidTr="00DD29BC">
        <w:trPr>
          <w:cantSplit/>
        </w:trPr>
        <w:tc>
          <w:tcPr>
            <w:tcW w:w="4116" w:type="dxa"/>
            <w:shd w:val="clear" w:color="auto" w:fill="auto"/>
          </w:tcPr>
          <w:p w14:paraId="55FE3549" w14:textId="39630B58" w:rsidR="00070B78" w:rsidRPr="00070B78" w:rsidRDefault="00070B78" w:rsidP="00FC164E">
            <w:pPr>
              <w:autoSpaceDE w:val="0"/>
              <w:autoSpaceDN w:val="0"/>
              <w:adjustRightInd w:val="0"/>
              <w:spacing w:after="0" w:line="360" w:lineRule="auto"/>
              <w:ind w:left="60" w:right="60"/>
              <w:jc w:val="both"/>
              <w:rPr>
                <w:rFonts w:cs="Times New Roman"/>
                <w:color w:val="000000" w:themeColor="text1"/>
                <w:kern w:val="0"/>
                <w:szCs w:val="24"/>
              </w:rPr>
            </w:pPr>
            <w:r w:rsidRPr="00F32A8B">
              <w:rPr>
                <w:rFonts w:cs="Times New Roman"/>
                <w:color w:val="000000" w:themeColor="text1"/>
                <w:kern w:val="0"/>
                <w:szCs w:val="24"/>
              </w:rPr>
              <w:t>6</w:t>
            </w:r>
            <w:r w:rsidRPr="00070B78">
              <w:rPr>
                <w:rFonts w:cs="Times New Roman"/>
                <w:color w:val="000000" w:themeColor="text1"/>
                <w:kern w:val="0"/>
                <w:szCs w:val="24"/>
              </w:rPr>
              <w:t>-10</w:t>
            </w:r>
          </w:p>
        </w:tc>
        <w:tc>
          <w:tcPr>
            <w:tcW w:w="3119" w:type="dxa"/>
            <w:shd w:val="clear" w:color="auto" w:fill="auto"/>
          </w:tcPr>
          <w:p w14:paraId="144F18D9" w14:textId="77777777" w:rsidR="00070B78" w:rsidRPr="00070B78" w:rsidRDefault="00070B78" w:rsidP="00FC164E">
            <w:pPr>
              <w:autoSpaceDE w:val="0"/>
              <w:autoSpaceDN w:val="0"/>
              <w:adjustRightInd w:val="0"/>
              <w:spacing w:after="0" w:line="360" w:lineRule="auto"/>
              <w:ind w:left="60" w:right="60"/>
              <w:jc w:val="both"/>
              <w:rPr>
                <w:rFonts w:cs="Times New Roman"/>
                <w:color w:val="000000" w:themeColor="text1"/>
                <w:kern w:val="0"/>
                <w:szCs w:val="24"/>
              </w:rPr>
            </w:pPr>
            <w:r w:rsidRPr="00070B78">
              <w:rPr>
                <w:rFonts w:cs="Times New Roman"/>
                <w:color w:val="000000" w:themeColor="text1"/>
                <w:kern w:val="0"/>
                <w:szCs w:val="24"/>
              </w:rPr>
              <w:t>37</w:t>
            </w:r>
          </w:p>
        </w:tc>
        <w:tc>
          <w:tcPr>
            <w:tcW w:w="1842" w:type="dxa"/>
            <w:shd w:val="clear" w:color="auto" w:fill="auto"/>
          </w:tcPr>
          <w:p w14:paraId="397902D1" w14:textId="77777777" w:rsidR="00070B78" w:rsidRPr="00070B78" w:rsidRDefault="00070B78" w:rsidP="00FC164E">
            <w:pPr>
              <w:autoSpaceDE w:val="0"/>
              <w:autoSpaceDN w:val="0"/>
              <w:adjustRightInd w:val="0"/>
              <w:spacing w:after="0" w:line="360" w:lineRule="auto"/>
              <w:ind w:left="60" w:right="60"/>
              <w:jc w:val="both"/>
              <w:rPr>
                <w:rFonts w:cs="Times New Roman"/>
                <w:color w:val="000000" w:themeColor="text1"/>
                <w:kern w:val="0"/>
                <w:szCs w:val="24"/>
              </w:rPr>
            </w:pPr>
            <w:r w:rsidRPr="00070B78">
              <w:rPr>
                <w:rFonts w:cs="Times New Roman"/>
                <w:color w:val="000000" w:themeColor="text1"/>
                <w:kern w:val="0"/>
                <w:szCs w:val="24"/>
              </w:rPr>
              <w:t>22.7%</w:t>
            </w:r>
          </w:p>
        </w:tc>
      </w:tr>
      <w:tr w:rsidR="00070B78" w:rsidRPr="00070B78" w14:paraId="222BDFE8" w14:textId="77777777" w:rsidTr="00DD29BC">
        <w:trPr>
          <w:cantSplit/>
        </w:trPr>
        <w:tc>
          <w:tcPr>
            <w:tcW w:w="4116" w:type="dxa"/>
            <w:shd w:val="clear" w:color="auto" w:fill="auto"/>
          </w:tcPr>
          <w:p w14:paraId="7B14B8E4" w14:textId="570095F1" w:rsidR="00070B78" w:rsidRPr="00070B78" w:rsidRDefault="00070B78" w:rsidP="00FC164E">
            <w:pPr>
              <w:autoSpaceDE w:val="0"/>
              <w:autoSpaceDN w:val="0"/>
              <w:adjustRightInd w:val="0"/>
              <w:spacing w:after="0" w:line="360" w:lineRule="auto"/>
              <w:ind w:left="60" w:right="60"/>
              <w:jc w:val="both"/>
              <w:rPr>
                <w:rFonts w:cs="Times New Roman"/>
                <w:color w:val="000000" w:themeColor="text1"/>
                <w:kern w:val="0"/>
                <w:szCs w:val="24"/>
              </w:rPr>
            </w:pPr>
            <w:r w:rsidRPr="00070B78">
              <w:rPr>
                <w:rFonts w:cs="Times New Roman"/>
                <w:color w:val="000000" w:themeColor="text1"/>
                <w:kern w:val="0"/>
                <w:szCs w:val="24"/>
              </w:rPr>
              <w:t>Above 1</w:t>
            </w:r>
            <w:r w:rsidRPr="00F32A8B">
              <w:rPr>
                <w:rFonts w:cs="Times New Roman"/>
                <w:color w:val="000000" w:themeColor="text1"/>
                <w:kern w:val="0"/>
                <w:szCs w:val="24"/>
              </w:rPr>
              <w:t>1</w:t>
            </w:r>
          </w:p>
        </w:tc>
        <w:tc>
          <w:tcPr>
            <w:tcW w:w="3119" w:type="dxa"/>
            <w:shd w:val="clear" w:color="auto" w:fill="auto"/>
          </w:tcPr>
          <w:p w14:paraId="65060739" w14:textId="77777777" w:rsidR="00070B78" w:rsidRPr="00070B78" w:rsidRDefault="00070B78" w:rsidP="00FC164E">
            <w:pPr>
              <w:autoSpaceDE w:val="0"/>
              <w:autoSpaceDN w:val="0"/>
              <w:adjustRightInd w:val="0"/>
              <w:spacing w:after="0" w:line="360" w:lineRule="auto"/>
              <w:ind w:left="60" w:right="60"/>
              <w:jc w:val="both"/>
              <w:rPr>
                <w:rFonts w:cs="Times New Roman"/>
                <w:color w:val="000000" w:themeColor="text1"/>
                <w:kern w:val="0"/>
                <w:szCs w:val="24"/>
              </w:rPr>
            </w:pPr>
            <w:r w:rsidRPr="00070B78">
              <w:rPr>
                <w:rFonts w:cs="Times New Roman"/>
                <w:color w:val="000000" w:themeColor="text1"/>
                <w:kern w:val="0"/>
                <w:szCs w:val="24"/>
              </w:rPr>
              <w:t>14</w:t>
            </w:r>
          </w:p>
        </w:tc>
        <w:tc>
          <w:tcPr>
            <w:tcW w:w="1842" w:type="dxa"/>
            <w:shd w:val="clear" w:color="auto" w:fill="auto"/>
          </w:tcPr>
          <w:p w14:paraId="33501469" w14:textId="77777777" w:rsidR="00070B78" w:rsidRPr="00070B78" w:rsidRDefault="00070B78" w:rsidP="00FC164E">
            <w:pPr>
              <w:autoSpaceDE w:val="0"/>
              <w:autoSpaceDN w:val="0"/>
              <w:adjustRightInd w:val="0"/>
              <w:spacing w:after="0" w:line="360" w:lineRule="auto"/>
              <w:ind w:left="60" w:right="60"/>
              <w:jc w:val="both"/>
              <w:rPr>
                <w:rFonts w:cs="Times New Roman"/>
                <w:color w:val="000000" w:themeColor="text1"/>
                <w:kern w:val="0"/>
                <w:szCs w:val="24"/>
              </w:rPr>
            </w:pPr>
            <w:r w:rsidRPr="00070B78">
              <w:rPr>
                <w:rFonts w:cs="Times New Roman"/>
                <w:color w:val="000000" w:themeColor="text1"/>
                <w:kern w:val="0"/>
                <w:szCs w:val="24"/>
              </w:rPr>
              <w:t>8.6%</w:t>
            </w:r>
          </w:p>
        </w:tc>
      </w:tr>
    </w:tbl>
    <w:p w14:paraId="34F487AD" w14:textId="74DBB0E2" w:rsidR="00070B78" w:rsidRPr="0085501D" w:rsidRDefault="00070B78" w:rsidP="0085501D">
      <w:pPr>
        <w:spacing w:line="360" w:lineRule="auto"/>
        <w:jc w:val="both"/>
        <w:rPr>
          <w:rFonts w:eastAsia="Times New Roman" w:cs="Times New Roman"/>
          <w:color w:val="000000" w:themeColor="text1"/>
          <w:szCs w:val="24"/>
          <w:lang w:val="en-GB"/>
        </w:rPr>
      </w:pPr>
      <w:r w:rsidRPr="00070B78">
        <w:rPr>
          <w:rFonts w:eastAsia="Times New Roman" w:cs="Times New Roman"/>
          <w:b/>
          <w:color w:val="000000" w:themeColor="text1"/>
          <w:szCs w:val="24"/>
          <w:lang w:val="en-GB"/>
        </w:rPr>
        <w:t>Source:</w:t>
      </w:r>
      <w:r w:rsidRPr="00070B78">
        <w:rPr>
          <w:rFonts w:eastAsia="Times New Roman" w:cs="Times New Roman"/>
          <w:color w:val="000000" w:themeColor="text1"/>
          <w:szCs w:val="24"/>
          <w:lang w:val="en-GB"/>
        </w:rPr>
        <w:t xml:space="preserve"> Field </w:t>
      </w:r>
      <w:r w:rsidR="00262FA0">
        <w:rPr>
          <w:rFonts w:eastAsia="Times New Roman" w:cs="Times New Roman"/>
          <w:color w:val="000000" w:themeColor="text1"/>
          <w:szCs w:val="24"/>
          <w:lang w:val="en-GB"/>
        </w:rPr>
        <w:t>Survey</w:t>
      </w:r>
      <w:r w:rsidRPr="00070B78">
        <w:rPr>
          <w:rFonts w:eastAsia="Times New Roman" w:cs="Times New Roman"/>
          <w:color w:val="000000" w:themeColor="text1"/>
          <w:szCs w:val="24"/>
          <w:lang w:val="en-GB"/>
        </w:rPr>
        <w:t xml:space="preserve"> (2025)</w:t>
      </w:r>
    </w:p>
    <w:p w14:paraId="0201EECE" w14:textId="16A9917A" w:rsidR="00AD5E0F" w:rsidRPr="00AD5E0F" w:rsidRDefault="00AD5E0F" w:rsidP="00FC164E">
      <w:pPr>
        <w:spacing w:before="100" w:beforeAutospacing="1" w:after="100" w:afterAutospacing="1" w:line="360" w:lineRule="auto"/>
        <w:jc w:val="both"/>
        <w:rPr>
          <w:rFonts w:eastAsia="Times New Roman" w:cs="Times New Roman"/>
          <w:kern w:val="0"/>
          <w:szCs w:val="24"/>
        </w:rPr>
      </w:pPr>
      <w:bookmarkStart w:id="19" w:name="_Toc89373192"/>
      <w:bookmarkStart w:id="20" w:name="_Toc186990049"/>
      <w:bookmarkStart w:id="21" w:name="_Toc190215903"/>
      <w:r w:rsidRPr="00AD5E0F">
        <w:rPr>
          <w:rFonts w:eastAsia="Times New Roman" w:cs="Times New Roman"/>
          <w:kern w:val="0"/>
          <w:szCs w:val="24"/>
        </w:rPr>
        <w:t xml:space="preserve">The workforce at UEDCL is predominantly composed of relatively new employees, with 51.5% having less than one year of service and only 8.6% exceeding 11 years, as shown in Table 5. This composition reflects challenges in staff retention and turnover within East African public utilities, as identified by Mwesigwa and </w:t>
      </w:r>
      <w:proofErr w:type="spellStart"/>
      <w:r w:rsidRPr="00AD5E0F">
        <w:rPr>
          <w:rFonts w:eastAsia="Times New Roman" w:cs="Times New Roman"/>
          <w:kern w:val="0"/>
          <w:szCs w:val="24"/>
        </w:rPr>
        <w:t>Namiyingo</w:t>
      </w:r>
      <w:proofErr w:type="spellEnd"/>
      <w:r w:rsidRPr="00AD5E0F">
        <w:rPr>
          <w:rFonts w:eastAsia="Times New Roman" w:cs="Times New Roman"/>
          <w:kern w:val="0"/>
          <w:szCs w:val="24"/>
        </w:rPr>
        <w:t xml:space="preserve"> (2021). A workforce where over 70% of employees have less than five years of experience, such as UEDCL's 68.7%, negatively impacts service delivery and institutional knowledge retention, as noted by Ibrahim et al. (2023). Limited retention of experienced staff often correlates with lower operational efficiency, a concern reported by the African Development Bank (2024). Employees with five to ten years of experience constitute 22.7%, aligning with World Bank (2023) findings on employment trends in developing countries. This proportion, however, remains below the recommended 30-35% necessary for effective knowledge transfer and succession planning in utility companies. Addressing these gaps requires strategic interventions to enhance staff retention and maintain an optimal experience balance at UEDCL.</w:t>
      </w:r>
    </w:p>
    <w:p w14:paraId="4E89D83A" w14:textId="348589BD" w:rsidR="00480047" w:rsidRPr="0085501D" w:rsidRDefault="00DE08BF" w:rsidP="00FC164E">
      <w:pPr>
        <w:keepNext/>
        <w:keepLines/>
        <w:spacing w:after="0" w:line="360" w:lineRule="auto"/>
        <w:jc w:val="both"/>
        <w:outlineLvl w:val="1"/>
        <w:rPr>
          <w:rFonts w:eastAsia="Times New Roman" w:cs="Times New Roman"/>
          <w:bCs/>
          <w:i/>
          <w:iCs/>
          <w:color w:val="000000" w:themeColor="text1"/>
          <w:szCs w:val="24"/>
          <w:lang w:val="en-GB"/>
        </w:rPr>
      </w:pPr>
      <w:r w:rsidRPr="0085501D">
        <w:rPr>
          <w:rFonts w:eastAsiaTheme="majorEastAsia" w:cs="Times New Roman"/>
          <w:bCs/>
          <w:i/>
          <w:iCs/>
          <w:color w:val="000000" w:themeColor="text1"/>
          <w:szCs w:val="26"/>
        </w:rPr>
        <w:t>4.3 Descriptive Statistics</w:t>
      </w:r>
      <w:bookmarkEnd w:id="19"/>
      <w:bookmarkEnd w:id="20"/>
      <w:bookmarkEnd w:id="21"/>
      <w:r w:rsidRPr="0085501D">
        <w:rPr>
          <w:rFonts w:eastAsiaTheme="majorEastAsia" w:cs="Times New Roman"/>
          <w:bCs/>
          <w:i/>
          <w:iCs/>
          <w:color w:val="000000" w:themeColor="text1"/>
          <w:szCs w:val="26"/>
        </w:rPr>
        <w:t xml:space="preserve"> on </w:t>
      </w:r>
      <w:r w:rsidR="00117F7E" w:rsidRPr="0085501D">
        <w:rPr>
          <w:rFonts w:eastAsia="Times New Roman" w:cs="Times New Roman"/>
          <w:bCs/>
          <w:i/>
          <w:iCs/>
          <w:color w:val="000000" w:themeColor="text1"/>
          <w:szCs w:val="24"/>
          <w:lang w:val="en-GB"/>
        </w:rPr>
        <w:tab/>
      </w:r>
      <w:r w:rsidR="00480047" w:rsidRPr="0085501D">
        <w:rPr>
          <w:rFonts w:eastAsiaTheme="majorEastAsia" w:cs="Times New Roman"/>
          <w:bCs/>
          <w:i/>
          <w:iCs/>
          <w:color w:val="000000" w:themeColor="text1"/>
          <w:szCs w:val="26"/>
        </w:rPr>
        <w:t xml:space="preserve">Stakeholders Participation and </w:t>
      </w:r>
      <w:r w:rsidR="009A12E2" w:rsidRPr="0085501D">
        <w:rPr>
          <w:rFonts w:eastAsiaTheme="majorEastAsia" w:cs="Times New Roman"/>
          <w:bCs/>
          <w:i/>
          <w:iCs/>
          <w:color w:val="000000" w:themeColor="text1"/>
          <w:szCs w:val="26"/>
        </w:rPr>
        <w:t xml:space="preserve">Service Delivery </w:t>
      </w:r>
    </w:p>
    <w:p w14:paraId="3DE91705" w14:textId="06897A3E" w:rsidR="00480047" w:rsidRDefault="00480047" w:rsidP="00FC164E">
      <w:pPr>
        <w:spacing w:line="360" w:lineRule="auto"/>
        <w:jc w:val="both"/>
        <w:rPr>
          <w:rFonts w:cs="Times New Roman"/>
          <w:color w:val="000000" w:themeColor="text1"/>
          <w:szCs w:val="24"/>
        </w:rPr>
      </w:pPr>
      <w:r w:rsidRPr="00480047">
        <w:rPr>
          <w:rFonts w:cs="Times New Roman"/>
          <w:color w:val="000000" w:themeColor="text1"/>
        </w:rPr>
        <w:t xml:space="preserve">The study sought </w:t>
      </w:r>
      <w:r w:rsidRPr="00480047">
        <w:rPr>
          <w:rFonts w:cs="Times New Roman"/>
          <w:color w:val="000000" w:themeColor="text1"/>
          <w:kern w:val="0"/>
        </w:rPr>
        <w:t xml:space="preserve">to determine the influence of stakeholders’ participation on service delivery in </w:t>
      </w:r>
      <w:r w:rsidRPr="00480047">
        <w:rPr>
          <w:rFonts w:cs="Times New Roman"/>
          <w:bCs/>
          <w:color w:val="000000" w:themeColor="text1"/>
          <w:szCs w:val="24"/>
          <w:shd w:val="clear" w:color="auto" w:fill="FFFFFF"/>
        </w:rPr>
        <w:t>Uganda Electricity Distribution Company.</w:t>
      </w:r>
      <w:r w:rsidRPr="00480047">
        <w:rPr>
          <w:rFonts w:cs="Times New Roman"/>
          <w:color w:val="000000" w:themeColor="text1"/>
          <w:szCs w:val="24"/>
        </w:rPr>
        <w:t xml:space="preserve"> The mean and standard deviation are provided in the table below. The Likert scale ranged 1 and 5.</w:t>
      </w:r>
    </w:p>
    <w:p w14:paraId="61E549C4" w14:textId="624F7B93" w:rsidR="00262FA0" w:rsidRPr="00480047" w:rsidRDefault="00262FA0" w:rsidP="00FC164E">
      <w:pPr>
        <w:spacing w:line="360" w:lineRule="auto"/>
        <w:jc w:val="both"/>
        <w:rPr>
          <w:rFonts w:cs="Times New Roman"/>
          <w:color w:val="000000" w:themeColor="text1"/>
          <w:szCs w:val="24"/>
        </w:rPr>
      </w:pPr>
      <w:bookmarkStart w:id="22" w:name="_Hlk192316037"/>
      <w:r>
        <w:rPr>
          <w:rFonts w:cs="Times New Roman"/>
          <w:color w:val="000000" w:themeColor="text1"/>
          <w:szCs w:val="24"/>
        </w:rPr>
        <w:t xml:space="preserve">1= Strongly Disagree 2= Disagree 3= Neutral 4= Agree 5= Strongly Agree </w:t>
      </w:r>
    </w:p>
    <w:p w14:paraId="3224F45B" w14:textId="71B2B2BB" w:rsidR="00480047" w:rsidRPr="00480047" w:rsidRDefault="00480047" w:rsidP="00FC164E">
      <w:pPr>
        <w:spacing w:after="200" w:line="360" w:lineRule="auto"/>
        <w:jc w:val="both"/>
        <w:rPr>
          <w:rFonts w:eastAsia="Calibri" w:cs="Times New Roman"/>
          <w:b/>
          <w:iCs/>
          <w:color w:val="000000" w:themeColor="text1"/>
          <w:kern w:val="0"/>
          <w:szCs w:val="24"/>
        </w:rPr>
      </w:pPr>
      <w:bookmarkStart w:id="23" w:name="_Toc190215836"/>
      <w:bookmarkEnd w:id="22"/>
      <w:r w:rsidRPr="00480047">
        <w:rPr>
          <w:rFonts w:eastAsia="Calibri" w:cs="Times New Roman"/>
          <w:b/>
          <w:iCs/>
          <w:color w:val="000000" w:themeColor="text1"/>
          <w:kern w:val="0"/>
          <w:szCs w:val="24"/>
        </w:rPr>
        <w:t xml:space="preserve">Table </w:t>
      </w:r>
      <w:r w:rsidR="004812DF">
        <w:rPr>
          <w:rFonts w:eastAsia="Calibri" w:cs="Times New Roman"/>
          <w:b/>
          <w:iCs/>
          <w:color w:val="000000" w:themeColor="text1"/>
          <w:kern w:val="0"/>
          <w:szCs w:val="24"/>
        </w:rPr>
        <w:t>5</w:t>
      </w:r>
      <w:r w:rsidRPr="00480047">
        <w:rPr>
          <w:rFonts w:eastAsia="Calibri" w:cs="Times New Roman"/>
          <w:b/>
          <w:iCs/>
          <w:color w:val="000000" w:themeColor="text1"/>
          <w:kern w:val="0"/>
          <w:szCs w:val="24"/>
        </w:rPr>
        <w:t xml:space="preserve">: </w:t>
      </w:r>
      <w:bookmarkEnd w:id="23"/>
      <w:r w:rsidRPr="00480047">
        <w:rPr>
          <w:rFonts w:eastAsia="Calibri" w:cs="Times New Roman"/>
          <w:b/>
          <w:bCs/>
          <w:color w:val="000000" w:themeColor="text1"/>
          <w:kern w:val="0"/>
          <w:szCs w:val="24"/>
        </w:rPr>
        <w:t xml:space="preserve">Stakeholders Participation and </w:t>
      </w:r>
      <w:r w:rsidRPr="00F32A8B">
        <w:rPr>
          <w:rFonts w:eastAsia="Calibri" w:cs="Times New Roman"/>
          <w:b/>
          <w:bCs/>
          <w:color w:val="000000" w:themeColor="text1"/>
          <w:kern w:val="0"/>
          <w:szCs w:val="24"/>
        </w:rPr>
        <w:t xml:space="preserve">Service Delivery </w:t>
      </w:r>
    </w:p>
    <w:tbl>
      <w:tblPr>
        <w:tblW w:w="936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235"/>
        <w:gridCol w:w="567"/>
        <w:gridCol w:w="708"/>
        <w:gridCol w:w="851"/>
      </w:tblGrid>
      <w:tr w:rsidR="00480047" w:rsidRPr="00480047" w14:paraId="3DD4C8E9" w14:textId="77777777" w:rsidTr="00DD29BC">
        <w:trPr>
          <w:cantSplit/>
        </w:trPr>
        <w:tc>
          <w:tcPr>
            <w:tcW w:w="7235" w:type="dxa"/>
            <w:tcBorders>
              <w:top w:val="single" w:sz="4" w:space="0" w:color="auto"/>
              <w:bottom w:val="single" w:sz="4" w:space="0" w:color="auto"/>
            </w:tcBorders>
            <w:shd w:val="clear" w:color="auto" w:fill="FFFFFF"/>
            <w:vAlign w:val="bottom"/>
          </w:tcPr>
          <w:p w14:paraId="4EBF2338" w14:textId="77777777" w:rsidR="00480047" w:rsidRPr="00480047" w:rsidRDefault="00480047" w:rsidP="00FC164E">
            <w:pPr>
              <w:autoSpaceDE w:val="0"/>
              <w:autoSpaceDN w:val="0"/>
              <w:adjustRightInd w:val="0"/>
              <w:spacing w:after="0" w:line="360" w:lineRule="auto"/>
              <w:jc w:val="both"/>
              <w:rPr>
                <w:rFonts w:cs="Times New Roman"/>
                <w:b/>
                <w:color w:val="000000" w:themeColor="text1"/>
                <w:kern w:val="0"/>
                <w:szCs w:val="24"/>
              </w:rPr>
            </w:pPr>
            <w:r w:rsidRPr="00480047">
              <w:rPr>
                <w:rFonts w:cs="Times New Roman"/>
                <w:b/>
                <w:color w:val="000000" w:themeColor="text1"/>
                <w:kern w:val="0"/>
                <w:szCs w:val="24"/>
              </w:rPr>
              <w:t>Statement</w:t>
            </w:r>
          </w:p>
        </w:tc>
        <w:tc>
          <w:tcPr>
            <w:tcW w:w="567" w:type="dxa"/>
            <w:tcBorders>
              <w:top w:val="single" w:sz="4" w:space="0" w:color="auto"/>
              <w:bottom w:val="single" w:sz="4" w:space="0" w:color="auto"/>
            </w:tcBorders>
            <w:shd w:val="clear" w:color="auto" w:fill="FFFFFF"/>
            <w:vAlign w:val="bottom"/>
          </w:tcPr>
          <w:p w14:paraId="15B70538" w14:textId="77777777" w:rsidR="00480047" w:rsidRPr="00480047" w:rsidRDefault="00480047" w:rsidP="00FC164E">
            <w:pPr>
              <w:autoSpaceDE w:val="0"/>
              <w:autoSpaceDN w:val="0"/>
              <w:adjustRightInd w:val="0"/>
              <w:spacing w:after="0" w:line="360" w:lineRule="auto"/>
              <w:ind w:left="60" w:right="60"/>
              <w:jc w:val="both"/>
              <w:rPr>
                <w:rFonts w:cs="Times New Roman"/>
                <w:b/>
                <w:color w:val="000000" w:themeColor="text1"/>
                <w:kern w:val="0"/>
                <w:sz w:val="18"/>
                <w:szCs w:val="18"/>
              </w:rPr>
            </w:pPr>
            <w:r w:rsidRPr="00480047">
              <w:rPr>
                <w:rFonts w:cs="Times New Roman"/>
                <w:b/>
                <w:color w:val="000000" w:themeColor="text1"/>
                <w:kern w:val="0"/>
                <w:sz w:val="18"/>
                <w:szCs w:val="18"/>
              </w:rPr>
              <w:t>N</w:t>
            </w:r>
          </w:p>
        </w:tc>
        <w:tc>
          <w:tcPr>
            <w:tcW w:w="708" w:type="dxa"/>
            <w:tcBorders>
              <w:top w:val="single" w:sz="4" w:space="0" w:color="auto"/>
              <w:bottom w:val="single" w:sz="4" w:space="0" w:color="auto"/>
            </w:tcBorders>
            <w:shd w:val="clear" w:color="auto" w:fill="FFFFFF"/>
            <w:vAlign w:val="bottom"/>
          </w:tcPr>
          <w:p w14:paraId="29500212" w14:textId="77777777" w:rsidR="00480047" w:rsidRPr="00480047" w:rsidRDefault="00480047" w:rsidP="00FC164E">
            <w:pPr>
              <w:autoSpaceDE w:val="0"/>
              <w:autoSpaceDN w:val="0"/>
              <w:adjustRightInd w:val="0"/>
              <w:spacing w:after="0" w:line="360" w:lineRule="auto"/>
              <w:ind w:left="60" w:right="60"/>
              <w:jc w:val="both"/>
              <w:rPr>
                <w:rFonts w:cs="Times New Roman"/>
                <w:b/>
                <w:color w:val="000000" w:themeColor="text1"/>
                <w:kern w:val="0"/>
                <w:sz w:val="18"/>
                <w:szCs w:val="18"/>
              </w:rPr>
            </w:pPr>
            <w:r w:rsidRPr="00480047">
              <w:rPr>
                <w:rFonts w:cs="Times New Roman"/>
                <w:b/>
                <w:color w:val="000000" w:themeColor="text1"/>
                <w:kern w:val="0"/>
                <w:sz w:val="18"/>
                <w:szCs w:val="18"/>
              </w:rPr>
              <w:t>Mean</w:t>
            </w:r>
          </w:p>
        </w:tc>
        <w:tc>
          <w:tcPr>
            <w:tcW w:w="851" w:type="dxa"/>
            <w:tcBorders>
              <w:top w:val="single" w:sz="4" w:space="0" w:color="auto"/>
              <w:bottom w:val="single" w:sz="4" w:space="0" w:color="auto"/>
            </w:tcBorders>
            <w:shd w:val="clear" w:color="auto" w:fill="FFFFFF"/>
            <w:vAlign w:val="bottom"/>
          </w:tcPr>
          <w:p w14:paraId="7D6C4660" w14:textId="77777777" w:rsidR="00480047" w:rsidRPr="00480047" w:rsidRDefault="00480047" w:rsidP="00FC164E">
            <w:pPr>
              <w:autoSpaceDE w:val="0"/>
              <w:autoSpaceDN w:val="0"/>
              <w:adjustRightInd w:val="0"/>
              <w:spacing w:after="0" w:line="360" w:lineRule="auto"/>
              <w:ind w:left="60" w:right="60"/>
              <w:jc w:val="both"/>
              <w:rPr>
                <w:rFonts w:cs="Times New Roman"/>
                <w:b/>
                <w:color w:val="000000" w:themeColor="text1"/>
                <w:kern w:val="0"/>
                <w:sz w:val="18"/>
                <w:szCs w:val="18"/>
              </w:rPr>
            </w:pPr>
            <w:r w:rsidRPr="00480047">
              <w:rPr>
                <w:rFonts w:cs="Times New Roman"/>
                <w:b/>
                <w:color w:val="000000" w:themeColor="text1"/>
                <w:kern w:val="0"/>
                <w:sz w:val="18"/>
                <w:szCs w:val="18"/>
              </w:rPr>
              <w:t>SD</w:t>
            </w:r>
          </w:p>
        </w:tc>
      </w:tr>
      <w:tr w:rsidR="00480047" w:rsidRPr="00480047" w14:paraId="4E3E4654" w14:textId="77777777" w:rsidTr="00DD29BC">
        <w:trPr>
          <w:cantSplit/>
        </w:trPr>
        <w:tc>
          <w:tcPr>
            <w:tcW w:w="7235" w:type="dxa"/>
            <w:tcBorders>
              <w:top w:val="single" w:sz="4" w:space="0" w:color="auto"/>
            </w:tcBorders>
            <w:shd w:val="clear" w:color="auto" w:fill="auto"/>
          </w:tcPr>
          <w:p w14:paraId="272C6C30"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The company has established effective feedback mechanisms that allow stakeholders to provide input on its operations.</w:t>
            </w:r>
          </w:p>
        </w:tc>
        <w:tc>
          <w:tcPr>
            <w:tcW w:w="567" w:type="dxa"/>
            <w:tcBorders>
              <w:top w:val="single" w:sz="4" w:space="0" w:color="auto"/>
            </w:tcBorders>
            <w:shd w:val="clear" w:color="auto" w:fill="auto"/>
          </w:tcPr>
          <w:p w14:paraId="6E3F233C"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163</w:t>
            </w:r>
          </w:p>
        </w:tc>
        <w:tc>
          <w:tcPr>
            <w:tcW w:w="708" w:type="dxa"/>
            <w:tcBorders>
              <w:top w:val="single" w:sz="4" w:space="0" w:color="auto"/>
            </w:tcBorders>
            <w:shd w:val="clear" w:color="auto" w:fill="auto"/>
          </w:tcPr>
          <w:p w14:paraId="07379EAD"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3.3497</w:t>
            </w:r>
          </w:p>
        </w:tc>
        <w:tc>
          <w:tcPr>
            <w:tcW w:w="851" w:type="dxa"/>
            <w:tcBorders>
              <w:top w:val="single" w:sz="4" w:space="0" w:color="auto"/>
            </w:tcBorders>
            <w:shd w:val="clear" w:color="auto" w:fill="auto"/>
          </w:tcPr>
          <w:p w14:paraId="7BCEF948"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1.39458</w:t>
            </w:r>
          </w:p>
        </w:tc>
      </w:tr>
      <w:tr w:rsidR="00480047" w:rsidRPr="00480047" w14:paraId="3D327B7A" w14:textId="77777777" w:rsidTr="00DD29BC">
        <w:trPr>
          <w:cantSplit/>
        </w:trPr>
        <w:tc>
          <w:tcPr>
            <w:tcW w:w="7235" w:type="dxa"/>
            <w:shd w:val="clear" w:color="auto" w:fill="auto"/>
          </w:tcPr>
          <w:p w14:paraId="461CD211"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Stakeholders are encouraged to provide feedback on the company's services and operations.</w:t>
            </w:r>
          </w:p>
        </w:tc>
        <w:tc>
          <w:tcPr>
            <w:tcW w:w="567" w:type="dxa"/>
            <w:shd w:val="clear" w:color="auto" w:fill="auto"/>
          </w:tcPr>
          <w:p w14:paraId="5AB3AFF0"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163</w:t>
            </w:r>
          </w:p>
        </w:tc>
        <w:tc>
          <w:tcPr>
            <w:tcW w:w="708" w:type="dxa"/>
            <w:shd w:val="clear" w:color="auto" w:fill="auto"/>
          </w:tcPr>
          <w:p w14:paraId="3A717B41"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2.8834</w:t>
            </w:r>
          </w:p>
        </w:tc>
        <w:tc>
          <w:tcPr>
            <w:tcW w:w="851" w:type="dxa"/>
            <w:shd w:val="clear" w:color="auto" w:fill="auto"/>
          </w:tcPr>
          <w:p w14:paraId="2E924A20"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1.33515</w:t>
            </w:r>
          </w:p>
        </w:tc>
      </w:tr>
      <w:tr w:rsidR="00480047" w:rsidRPr="00480047" w14:paraId="2A96F125" w14:textId="77777777" w:rsidTr="00DD29BC">
        <w:trPr>
          <w:cantSplit/>
        </w:trPr>
        <w:tc>
          <w:tcPr>
            <w:tcW w:w="7235" w:type="dxa"/>
            <w:shd w:val="clear" w:color="auto" w:fill="auto"/>
          </w:tcPr>
          <w:p w14:paraId="54B7C698"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lastRenderedPageBreak/>
              <w:t>The company regularly solicits feedback from stakeholders through various channels (e.g., surveys, meetings, email).</w:t>
            </w:r>
          </w:p>
        </w:tc>
        <w:tc>
          <w:tcPr>
            <w:tcW w:w="567" w:type="dxa"/>
            <w:shd w:val="clear" w:color="auto" w:fill="auto"/>
          </w:tcPr>
          <w:p w14:paraId="294A95CE"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163</w:t>
            </w:r>
          </w:p>
        </w:tc>
        <w:tc>
          <w:tcPr>
            <w:tcW w:w="708" w:type="dxa"/>
            <w:shd w:val="clear" w:color="auto" w:fill="auto"/>
          </w:tcPr>
          <w:p w14:paraId="2D61B87C"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2.9632</w:t>
            </w:r>
          </w:p>
        </w:tc>
        <w:tc>
          <w:tcPr>
            <w:tcW w:w="851" w:type="dxa"/>
            <w:shd w:val="clear" w:color="auto" w:fill="auto"/>
          </w:tcPr>
          <w:p w14:paraId="18EF2CD0"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1.29047</w:t>
            </w:r>
          </w:p>
        </w:tc>
      </w:tr>
      <w:tr w:rsidR="00480047" w:rsidRPr="00480047" w14:paraId="6C832EA9" w14:textId="77777777" w:rsidTr="00DD29BC">
        <w:trPr>
          <w:cantSplit/>
        </w:trPr>
        <w:tc>
          <w:tcPr>
            <w:tcW w:w="7235" w:type="dxa"/>
            <w:shd w:val="clear" w:color="auto" w:fill="auto"/>
          </w:tcPr>
          <w:p w14:paraId="7BADDA26"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Stakeholder feedback is used to identify areas for improvement and implement changes.</w:t>
            </w:r>
          </w:p>
        </w:tc>
        <w:tc>
          <w:tcPr>
            <w:tcW w:w="567" w:type="dxa"/>
            <w:shd w:val="clear" w:color="auto" w:fill="auto"/>
          </w:tcPr>
          <w:p w14:paraId="5796EF78"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163</w:t>
            </w:r>
          </w:p>
        </w:tc>
        <w:tc>
          <w:tcPr>
            <w:tcW w:w="708" w:type="dxa"/>
            <w:shd w:val="clear" w:color="auto" w:fill="auto"/>
          </w:tcPr>
          <w:p w14:paraId="546DBE9C"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2.7914</w:t>
            </w:r>
          </w:p>
        </w:tc>
        <w:tc>
          <w:tcPr>
            <w:tcW w:w="851" w:type="dxa"/>
            <w:shd w:val="clear" w:color="auto" w:fill="auto"/>
          </w:tcPr>
          <w:p w14:paraId="113655B8"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1.19388</w:t>
            </w:r>
          </w:p>
        </w:tc>
      </w:tr>
      <w:tr w:rsidR="00480047" w:rsidRPr="00480047" w14:paraId="54CF9ACA" w14:textId="77777777" w:rsidTr="00DD29BC">
        <w:trPr>
          <w:cantSplit/>
        </w:trPr>
        <w:tc>
          <w:tcPr>
            <w:tcW w:w="7235" w:type="dxa"/>
            <w:shd w:val="clear" w:color="auto" w:fill="auto"/>
          </w:tcPr>
          <w:p w14:paraId="7FA1F9C9"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The company responds to stakeholder feedback in a timely and effective manner.</w:t>
            </w:r>
          </w:p>
        </w:tc>
        <w:tc>
          <w:tcPr>
            <w:tcW w:w="567" w:type="dxa"/>
            <w:shd w:val="clear" w:color="auto" w:fill="auto"/>
          </w:tcPr>
          <w:p w14:paraId="03F87F8C"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163</w:t>
            </w:r>
          </w:p>
        </w:tc>
        <w:tc>
          <w:tcPr>
            <w:tcW w:w="708" w:type="dxa"/>
            <w:shd w:val="clear" w:color="auto" w:fill="auto"/>
          </w:tcPr>
          <w:p w14:paraId="6F41C425"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2.9080</w:t>
            </w:r>
          </w:p>
        </w:tc>
        <w:tc>
          <w:tcPr>
            <w:tcW w:w="851" w:type="dxa"/>
            <w:shd w:val="clear" w:color="auto" w:fill="auto"/>
          </w:tcPr>
          <w:p w14:paraId="490EB8AD"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1.28529</w:t>
            </w:r>
          </w:p>
        </w:tc>
      </w:tr>
      <w:tr w:rsidR="00480047" w:rsidRPr="00480047" w14:paraId="30F586CF" w14:textId="77777777" w:rsidTr="00DD29BC">
        <w:trPr>
          <w:cantSplit/>
        </w:trPr>
        <w:tc>
          <w:tcPr>
            <w:tcW w:w="7235" w:type="dxa"/>
            <w:shd w:val="clear" w:color="auto" w:fill="auto"/>
          </w:tcPr>
          <w:p w14:paraId="3B721E56"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The company collaborates effectively with stakeholders, including employees, customers, and suppliers, to achieve common goals.</w:t>
            </w:r>
          </w:p>
        </w:tc>
        <w:tc>
          <w:tcPr>
            <w:tcW w:w="567" w:type="dxa"/>
            <w:shd w:val="clear" w:color="auto" w:fill="auto"/>
          </w:tcPr>
          <w:p w14:paraId="240292C0"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163</w:t>
            </w:r>
          </w:p>
        </w:tc>
        <w:tc>
          <w:tcPr>
            <w:tcW w:w="708" w:type="dxa"/>
            <w:shd w:val="clear" w:color="auto" w:fill="auto"/>
          </w:tcPr>
          <w:p w14:paraId="11C48A7F"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2.9387</w:t>
            </w:r>
          </w:p>
        </w:tc>
        <w:tc>
          <w:tcPr>
            <w:tcW w:w="851" w:type="dxa"/>
            <w:shd w:val="clear" w:color="auto" w:fill="auto"/>
          </w:tcPr>
          <w:p w14:paraId="3C01ED33"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1.26048</w:t>
            </w:r>
          </w:p>
        </w:tc>
      </w:tr>
      <w:tr w:rsidR="00480047" w:rsidRPr="00480047" w14:paraId="4B7E5CDB" w14:textId="77777777" w:rsidTr="00DD29BC">
        <w:trPr>
          <w:cantSplit/>
        </w:trPr>
        <w:tc>
          <w:tcPr>
            <w:tcW w:w="7235" w:type="dxa"/>
            <w:shd w:val="clear" w:color="auto" w:fill="auto"/>
          </w:tcPr>
          <w:p w14:paraId="56417F66"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Stakeholders are involved in decision-making processes that affect them.</w:t>
            </w:r>
          </w:p>
        </w:tc>
        <w:tc>
          <w:tcPr>
            <w:tcW w:w="567" w:type="dxa"/>
            <w:shd w:val="clear" w:color="auto" w:fill="auto"/>
          </w:tcPr>
          <w:p w14:paraId="29C161D8"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163</w:t>
            </w:r>
          </w:p>
        </w:tc>
        <w:tc>
          <w:tcPr>
            <w:tcW w:w="708" w:type="dxa"/>
            <w:shd w:val="clear" w:color="auto" w:fill="auto"/>
          </w:tcPr>
          <w:p w14:paraId="7AD3639F"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2.6564</w:t>
            </w:r>
          </w:p>
        </w:tc>
        <w:tc>
          <w:tcPr>
            <w:tcW w:w="851" w:type="dxa"/>
            <w:shd w:val="clear" w:color="auto" w:fill="auto"/>
          </w:tcPr>
          <w:p w14:paraId="1AA1C7E5"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1.30706</w:t>
            </w:r>
          </w:p>
        </w:tc>
      </w:tr>
      <w:tr w:rsidR="00480047" w:rsidRPr="00480047" w14:paraId="5B5549EC" w14:textId="77777777" w:rsidTr="00DD29BC">
        <w:trPr>
          <w:cantSplit/>
        </w:trPr>
        <w:tc>
          <w:tcPr>
            <w:tcW w:w="7235" w:type="dxa"/>
            <w:shd w:val="clear" w:color="auto" w:fill="auto"/>
          </w:tcPr>
          <w:p w14:paraId="49BD0E08"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The company works closely with stakeholders to identify and address their needs and concerns.</w:t>
            </w:r>
          </w:p>
        </w:tc>
        <w:tc>
          <w:tcPr>
            <w:tcW w:w="567" w:type="dxa"/>
            <w:shd w:val="clear" w:color="auto" w:fill="auto"/>
          </w:tcPr>
          <w:p w14:paraId="74D025E4"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163</w:t>
            </w:r>
          </w:p>
        </w:tc>
        <w:tc>
          <w:tcPr>
            <w:tcW w:w="708" w:type="dxa"/>
            <w:shd w:val="clear" w:color="auto" w:fill="auto"/>
          </w:tcPr>
          <w:p w14:paraId="704A85A0"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2.4785</w:t>
            </w:r>
          </w:p>
        </w:tc>
        <w:tc>
          <w:tcPr>
            <w:tcW w:w="851" w:type="dxa"/>
            <w:shd w:val="clear" w:color="auto" w:fill="auto"/>
          </w:tcPr>
          <w:p w14:paraId="75F5373E"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1.24889</w:t>
            </w:r>
          </w:p>
        </w:tc>
      </w:tr>
      <w:tr w:rsidR="00480047" w:rsidRPr="00480047" w14:paraId="627A681C" w14:textId="77777777" w:rsidTr="00DD29BC">
        <w:trPr>
          <w:cantSplit/>
        </w:trPr>
        <w:tc>
          <w:tcPr>
            <w:tcW w:w="7235" w:type="dxa"/>
            <w:shd w:val="clear" w:color="auto" w:fill="auto"/>
          </w:tcPr>
          <w:p w14:paraId="7201BB12"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Collaboration with stakeholders has led to improved outcomes and benefits for all parties involved.</w:t>
            </w:r>
          </w:p>
        </w:tc>
        <w:tc>
          <w:tcPr>
            <w:tcW w:w="567" w:type="dxa"/>
            <w:shd w:val="clear" w:color="auto" w:fill="auto"/>
          </w:tcPr>
          <w:p w14:paraId="4772A7A9"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163</w:t>
            </w:r>
          </w:p>
        </w:tc>
        <w:tc>
          <w:tcPr>
            <w:tcW w:w="708" w:type="dxa"/>
            <w:shd w:val="clear" w:color="auto" w:fill="auto"/>
          </w:tcPr>
          <w:p w14:paraId="1496DDA2"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3.5153</w:t>
            </w:r>
          </w:p>
        </w:tc>
        <w:tc>
          <w:tcPr>
            <w:tcW w:w="851" w:type="dxa"/>
            <w:shd w:val="clear" w:color="auto" w:fill="auto"/>
          </w:tcPr>
          <w:p w14:paraId="7AC13E27"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1.30221</w:t>
            </w:r>
          </w:p>
        </w:tc>
      </w:tr>
      <w:tr w:rsidR="00480047" w:rsidRPr="00480047" w14:paraId="7413E828" w14:textId="77777777" w:rsidTr="00DD29BC">
        <w:trPr>
          <w:cantSplit/>
        </w:trPr>
        <w:tc>
          <w:tcPr>
            <w:tcW w:w="7235" w:type="dxa"/>
            <w:shd w:val="clear" w:color="auto" w:fill="auto"/>
          </w:tcPr>
          <w:p w14:paraId="0CF8E373"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The company fosters a culture of transparency, trust, and open communication with stakeholders</w:t>
            </w:r>
          </w:p>
        </w:tc>
        <w:tc>
          <w:tcPr>
            <w:tcW w:w="567" w:type="dxa"/>
            <w:shd w:val="clear" w:color="auto" w:fill="auto"/>
          </w:tcPr>
          <w:p w14:paraId="433A6E1F"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163</w:t>
            </w:r>
          </w:p>
        </w:tc>
        <w:tc>
          <w:tcPr>
            <w:tcW w:w="708" w:type="dxa"/>
            <w:shd w:val="clear" w:color="auto" w:fill="auto"/>
          </w:tcPr>
          <w:p w14:paraId="339F6FB5"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3.4969</w:t>
            </w:r>
          </w:p>
        </w:tc>
        <w:tc>
          <w:tcPr>
            <w:tcW w:w="851" w:type="dxa"/>
            <w:shd w:val="clear" w:color="auto" w:fill="auto"/>
          </w:tcPr>
          <w:p w14:paraId="068D416F"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1.10763</w:t>
            </w:r>
          </w:p>
        </w:tc>
      </w:tr>
      <w:tr w:rsidR="00480047" w:rsidRPr="00480047" w14:paraId="65BF2C13" w14:textId="77777777" w:rsidTr="00DD29BC">
        <w:trPr>
          <w:cantSplit/>
        </w:trPr>
        <w:tc>
          <w:tcPr>
            <w:tcW w:w="7235" w:type="dxa"/>
            <w:shd w:val="clear" w:color="auto" w:fill="auto"/>
          </w:tcPr>
          <w:p w14:paraId="3ABE4682" w14:textId="77777777" w:rsidR="00480047" w:rsidRPr="00480047" w:rsidRDefault="00480047" w:rsidP="00FC164E">
            <w:pPr>
              <w:autoSpaceDE w:val="0"/>
              <w:autoSpaceDN w:val="0"/>
              <w:adjustRightInd w:val="0"/>
              <w:spacing w:after="0" w:line="360" w:lineRule="auto"/>
              <w:ind w:left="60" w:right="60"/>
              <w:jc w:val="both"/>
              <w:rPr>
                <w:rFonts w:cs="Times New Roman"/>
                <w:b/>
                <w:color w:val="000000" w:themeColor="text1"/>
                <w:kern w:val="0"/>
                <w:sz w:val="18"/>
                <w:szCs w:val="18"/>
              </w:rPr>
            </w:pPr>
            <w:r w:rsidRPr="00480047">
              <w:rPr>
                <w:rFonts w:cs="Times New Roman"/>
                <w:b/>
                <w:color w:val="000000" w:themeColor="text1"/>
                <w:kern w:val="0"/>
                <w:sz w:val="18"/>
                <w:szCs w:val="18"/>
              </w:rPr>
              <w:t>Valid N (listwise)</w:t>
            </w:r>
          </w:p>
        </w:tc>
        <w:tc>
          <w:tcPr>
            <w:tcW w:w="567" w:type="dxa"/>
            <w:shd w:val="clear" w:color="auto" w:fill="auto"/>
          </w:tcPr>
          <w:p w14:paraId="30A3CC5C" w14:textId="77777777" w:rsidR="00480047" w:rsidRPr="00480047" w:rsidRDefault="00480047" w:rsidP="00FC164E">
            <w:pPr>
              <w:autoSpaceDE w:val="0"/>
              <w:autoSpaceDN w:val="0"/>
              <w:adjustRightInd w:val="0"/>
              <w:spacing w:after="0" w:line="360" w:lineRule="auto"/>
              <w:ind w:left="60" w:right="60"/>
              <w:jc w:val="both"/>
              <w:rPr>
                <w:rFonts w:cs="Times New Roman"/>
                <w:b/>
                <w:color w:val="000000" w:themeColor="text1"/>
                <w:kern w:val="0"/>
                <w:sz w:val="18"/>
                <w:szCs w:val="18"/>
              </w:rPr>
            </w:pPr>
            <w:r w:rsidRPr="00480047">
              <w:rPr>
                <w:rFonts w:cs="Times New Roman"/>
                <w:b/>
                <w:color w:val="000000" w:themeColor="text1"/>
                <w:kern w:val="0"/>
                <w:sz w:val="18"/>
                <w:szCs w:val="18"/>
              </w:rPr>
              <w:t>163</w:t>
            </w:r>
          </w:p>
        </w:tc>
        <w:tc>
          <w:tcPr>
            <w:tcW w:w="708" w:type="dxa"/>
            <w:shd w:val="clear" w:color="auto" w:fill="auto"/>
            <w:vAlign w:val="center"/>
          </w:tcPr>
          <w:p w14:paraId="16E3A4D0" w14:textId="77777777" w:rsidR="00480047" w:rsidRPr="00480047" w:rsidRDefault="00480047" w:rsidP="00FC164E">
            <w:pPr>
              <w:autoSpaceDE w:val="0"/>
              <w:autoSpaceDN w:val="0"/>
              <w:adjustRightInd w:val="0"/>
              <w:spacing w:after="0" w:line="360" w:lineRule="auto"/>
              <w:ind w:left="60" w:right="60"/>
              <w:jc w:val="both"/>
              <w:rPr>
                <w:rFonts w:cs="Times New Roman"/>
                <w:b/>
                <w:color w:val="000000" w:themeColor="text1"/>
                <w:kern w:val="0"/>
                <w:sz w:val="18"/>
                <w:szCs w:val="18"/>
              </w:rPr>
            </w:pPr>
            <w:r w:rsidRPr="00480047">
              <w:rPr>
                <w:rFonts w:cs="Times New Roman"/>
                <w:b/>
                <w:color w:val="000000" w:themeColor="text1"/>
                <w:kern w:val="0"/>
                <w:sz w:val="18"/>
                <w:szCs w:val="18"/>
              </w:rPr>
              <w:fldChar w:fldCharType="begin"/>
            </w:r>
            <w:r w:rsidRPr="00480047">
              <w:rPr>
                <w:rFonts w:cs="Times New Roman"/>
                <w:b/>
                <w:color w:val="000000" w:themeColor="text1"/>
                <w:kern w:val="0"/>
                <w:sz w:val="18"/>
                <w:szCs w:val="18"/>
              </w:rPr>
              <w:instrText xml:space="preserve"> =SUM(ABOVE)/10 </w:instrText>
            </w:r>
            <w:r w:rsidRPr="00480047">
              <w:rPr>
                <w:rFonts w:cs="Times New Roman"/>
                <w:b/>
                <w:color w:val="000000" w:themeColor="text1"/>
                <w:kern w:val="0"/>
                <w:sz w:val="18"/>
                <w:szCs w:val="18"/>
              </w:rPr>
              <w:fldChar w:fldCharType="separate"/>
            </w:r>
            <w:r w:rsidRPr="00480047">
              <w:rPr>
                <w:rFonts w:cs="Times New Roman"/>
                <w:b/>
                <w:color w:val="000000" w:themeColor="text1"/>
                <w:kern w:val="0"/>
                <w:sz w:val="18"/>
                <w:szCs w:val="18"/>
              </w:rPr>
              <w:t>2.9982</w:t>
            </w:r>
            <w:r w:rsidRPr="00480047">
              <w:rPr>
                <w:rFonts w:cs="Times New Roman"/>
                <w:b/>
                <w:color w:val="000000" w:themeColor="text1"/>
                <w:kern w:val="0"/>
                <w:sz w:val="18"/>
                <w:szCs w:val="18"/>
              </w:rPr>
              <w:fldChar w:fldCharType="end"/>
            </w:r>
          </w:p>
        </w:tc>
        <w:tc>
          <w:tcPr>
            <w:tcW w:w="851" w:type="dxa"/>
            <w:shd w:val="clear" w:color="auto" w:fill="auto"/>
            <w:vAlign w:val="center"/>
          </w:tcPr>
          <w:p w14:paraId="36368CAA" w14:textId="77777777" w:rsidR="00480047" w:rsidRPr="00480047" w:rsidRDefault="00480047" w:rsidP="00FC164E">
            <w:pPr>
              <w:autoSpaceDE w:val="0"/>
              <w:autoSpaceDN w:val="0"/>
              <w:adjustRightInd w:val="0"/>
              <w:spacing w:after="0" w:line="360" w:lineRule="auto"/>
              <w:ind w:left="60" w:right="60"/>
              <w:jc w:val="both"/>
              <w:rPr>
                <w:rFonts w:cs="Times New Roman"/>
                <w:b/>
                <w:color w:val="000000" w:themeColor="text1"/>
                <w:kern w:val="0"/>
                <w:sz w:val="18"/>
                <w:szCs w:val="18"/>
              </w:rPr>
            </w:pPr>
            <w:r w:rsidRPr="00480047">
              <w:rPr>
                <w:rFonts w:cs="Times New Roman"/>
                <w:b/>
                <w:color w:val="000000" w:themeColor="text1"/>
                <w:kern w:val="0"/>
                <w:sz w:val="18"/>
                <w:szCs w:val="18"/>
              </w:rPr>
              <w:fldChar w:fldCharType="begin"/>
            </w:r>
            <w:r w:rsidRPr="00480047">
              <w:rPr>
                <w:rFonts w:cs="Times New Roman"/>
                <w:b/>
                <w:color w:val="000000" w:themeColor="text1"/>
                <w:kern w:val="0"/>
                <w:sz w:val="18"/>
                <w:szCs w:val="18"/>
              </w:rPr>
              <w:instrText xml:space="preserve"> =SUM(ABOVE)/10 </w:instrText>
            </w:r>
            <w:r w:rsidRPr="00480047">
              <w:rPr>
                <w:rFonts w:cs="Times New Roman"/>
                <w:b/>
                <w:color w:val="000000" w:themeColor="text1"/>
                <w:kern w:val="0"/>
                <w:sz w:val="18"/>
                <w:szCs w:val="18"/>
              </w:rPr>
              <w:fldChar w:fldCharType="separate"/>
            </w:r>
            <w:r w:rsidRPr="00480047">
              <w:rPr>
                <w:rFonts w:cs="Times New Roman"/>
                <w:b/>
                <w:color w:val="000000" w:themeColor="text1"/>
                <w:kern w:val="0"/>
                <w:sz w:val="18"/>
                <w:szCs w:val="18"/>
              </w:rPr>
              <w:t>1.27256</w:t>
            </w:r>
            <w:r w:rsidRPr="00480047">
              <w:rPr>
                <w:rFonts w:cs="Times New Roman"/>
                <w:b/>
                <w:color w:val="000000" w:themeColor="text1"/>
                <w:kern w:val="0"/>
                <w:sz w:val="18"/>
                <w:szCs w:val="18"/>
              </w:rPr>
              <w:fldChar w:fldCharType="end"/>
            </w:r>
          </w:p>
        </w:tc>
      </w:tr>
    </w:tbl>
    <w:p w14:paraId="0F60589E" w14:textId="4EA1564B" w:rsidR="006A6774" w:rsidRPr="00F32A8B" w:rsidRDefault="00480047" w:rsidP="00FC164E">
      <w:pPr>
        <w:autoSpaceDE w:val="0"/>
        <w:autoSpaceDN w:val="0"/>
        <w:adjustRightInd w:val="0"/>
        <w:spacing w:after="0" w:line="360" w:lineRule="auto"/>
        <w:jc w:val="both"/>
        <w:rPr>
          <w:rFonts w:cs="Times New Roman"/>
          <w:color w:val="000000" w:themeColor="text1"/>
          <w:kern w:val="0"/>
          <w:szCs w:val="24"/>
        </w:rPr>
      </w:pPr>
      <w:r w:rsidRPr="00D84C0B">
        <w:rPr>
          <w:rFonts w:cs="Times New Roman"/>
          <w:b/>
          <w:bCs/>
          <w:color w:val="000000" w:themeColor="text1"/>
          <w:kern w:val="0"/>
          <w:szCs w:val="24"/>
        </w:rPr>
        <w:t>Source</w:t>
      </w:r>
      <w:r w:rsidR="006A6774" w:rsidRPr="00F32A8B">
        <w:rPr>
          <w:rFonts w:cs="Times New Roman"/>
          <w:color w:val="000000" w:themeColor="text1"/>
          <w:kern w:val="0"/>
          <w:szCs w:val="24"/>
        </w:rPr>
        <w:t>:</w:t>
      </w:r>
      <w:r w:rsidRPr="00480047">
        <w:rPr>
          <w:rFonts w:cs="Times New Roman"/>
          <w:color w:val="000000" w:themeColor="text1"/>
          <w:kern w:val="0"/>
          <w:szCs w:val="24"/>
        </w:rPr>
        <w:t xml:space="preserve"> Field</w:t>
      </w:r>
      <w:r w:rsidR="00262FA0">
        <w:rPr>
          <w:rFonts w:cs="Times New Roman"/>
          <w:color w:val="000000" w:themeColor="text1"/>
          <w:kern w:val="0"/>
          <w:szCs w:val="24"/>
        </w:rPr>
        <w:t xml:space="preserve"> </w:t>
      </w:r>
      <w:r w:rsidR="00262FA0">
        <w:rPr>
          <w:rFonts w:eastAsia="Times New Roman" w:cs="Times New Roman"/>
          <w:color w:val="000000" w:themeColor="text1"/>
          <w:szCs w:val="24"/>
          <w:lang w:val="en-GB"/>
        </w:rPr>
        <w:t>Survey,</w:t>
      </w:r>
      <w:r w:rsidRPr="00480047">
        <w:rPr>
          <w:rFonts w:cs="Times New Roman"/>
          <w:color w:val="000000" w:themeColor="text1"/>
          <w:kern w:val="0"/>
          <w:szCs w:val="24"/>
        </w:rPr>
        <w:t xml:space="preserve"> 202</w:t>
      </w:r>
      <w:r w:rsidR="00262FA0">
        <w:rPr>
          <w:rFonts w:cs="Times New Roman"/>
          <w:color w:val="000000" w:themeColor="text1"/>
          <w:kern w:val="0"/>
          <w:szCs w:val="24"/>
        </w:rPr>
        <w:t>5</w:t>
      </w:r>
    </w:p>
    <w:p w14:paraId="42A233F1" w14:textId="77777777" w:rsidR="00AD5E0F" w:rsidRPr="00AD5E0F" w:rsidRDefault="00AD5E0F" w:rsidP="00FC164E">
      <w:pPr>
        <w:spacing w:before="100" w:beforeAutospacing="1" w:after="100" w:afterAutospacing="1" w:line="360" w:lineRule="auto"/>
        <w:jc w:val="both"/>
        <w:rPr>
          <w:rFonts w:eastAsia="Times New Roman" w:cs="Times New Roman"/>
          <w:kern w:val="0"/>
          <w:szCs w:val="24"/>
        </w:rPr>
      </w:pPr>
      <w:r w:rsidRPr="00AD5E0F">
        <w:rPr>
          <w:rFonts w:eastAsia="Times New Roman" w:cs="Times New Roman"/>
          <w:kern w:val="0"/>
          <w:szCs w:val="24"/>
        </w:rPr>
        <w:t xml:space="preserve">Stakeholder engagement at UEDCL exhibits moderate effectiveness, with an overall mean of 3.00 (SD=1.27), suggesting the presence of mechanisms but limited active participation and feedback </w:t>
      </w:r>
      <w:proofErr w:type="spellStart"/>
      <w:r w:rsidRPr="00AD5E0F">
        <w:rPr>
          <w:rFonts w:eastAsia="Times New Roman" w:cs="Times New Roman"/>
          <w:kern w:val="0"/>
          <w:szCs w:val="24"/>
        </w:rPr>
        <w:t>utilisation</w:t>
      </w:r>
      <w:proofErr w:type="spellEnd"/>
      <w:r w:rsidRPr="00AD5E0F">
        <w:rPr>
          <w:rFonts w:eastAsia="Times New Roman" w:cs="Times New Roman"/>
          <w:kern w:val="0"/>
          <w:szCs w:val="24"/>
        </w:rPr>
        <w:t xml:space="preserve">. Feedback mechanisms (M=3.35, SD=1.39) are in place yet do not meet the optimal engagement levels outlined by Nyangoma (2023). Actual feedback solicitation (M=2.88, SD=1.34) and its application in decision-making (M=2.79, SD=1.19) highlight notable gaps, aligning with findings from </w:t>
      </w:r>
      <w:proofErr w:type="spellStart"/>
      <w:r w:rsidRPr="00AD5E0F">
        <w:rPr>
          <w:rFonts w:eastAsia="Times New Roman" w:cs="Times New Roman"/>
          <w:kern w:val="0"/>
          <w:szCs w:val="24"/>
        </w:rPr>
        <w:t>Mugera</w:t>
      </w:r>
      <w:proofErr w:type="spellEnd"/>
      <w:r w:rsidRPr="00AD5E0F">
        <w:rPr>
          <w:rFonts w:eastAsia="Times New Roman" w:cs="Times New Roman"/>
          <w:kern w:val="0"/>
          <w:szCs w:val="24"/>
        </w:rPr>
        <w:t xml:space="preserve"> (2024) and </w:t>
      </w:r>
      <w:proofErr w:type="spellStart"/>
      <w:r w:rsidRPr="00AD5E0F">
        <w:rPr>
          <w:rFonts w:eastAsia="Times New Roman" w:cs="Times New Roman"/>
          <w:kern w:val="0"/>
          <w:szCs w:val="24"/>
        </w:rPr>
        <w:t>Basalirwa</w:t>
      </w:r>
      <w:proofErr w:type="spellEnd"/>
      <w:r w:rsidRPr="00AD5E0F">
        <w:rPr>
          <w:rFonts w:eastAsia="Times New Roman" w:cs="Times New Roman"/>
          <w:kern w:val="0"/>
          <w:szCs w:val="24"/>
        </w:rPr>
        <w:t xml:space="preserve"> (2024). </w:t>
      </w:r>
      <w:proofErr w:type="spellStart"/>
      <w:r w:rsidRPr="00AD5E0F">
        <w:rPr>
          <w:rFonts w:eastAsia="Times New Roman" w:cs="Times New Roman"/>
          <w:kern w:val="0"/>
          <w:szCs w:val="24"/>
        </w:rPr>
        <w:t>Organisational</w:t>
      </w:r>
      <w:proofErr w:type="spellEnd"/>
      <w:r w:rsidRPr="00AD5E0F">
        <w:rPr>
          <w:rFonts w:eastAsia="Times New Roman" w:cs="Times New Roman"/>
          <w:kern w:val="0"/>
          <w:szCs w:val="24"/>
        </w:rPr>
        <w:t xml:space="preserve"> response effectiveness (M=2.91, SD=1.29) and stakeholder collaboration (M=2.94, SD=1.26) further reflect persistent challenges, as documented by Arinaitwe (2024) and Namata (2023).</w:t>
      </w:r>
    </w:p>
    <w:p w14:paraId="2E27335D" w14:textId="5174422C" w:rsidR="00AD5E0F" w:rsidRPr="0085501D" w:rsidRDefault="00AD5E0F" w:rsidP="0085501D">
      <w:pPr>
        <w:spacing w:before="100" w:beforeAutospacing="1" w:after="100" w:afterAutospacing="1" w:line="360" w:lineRule="auto"/>
        <w:jc w:val="both"/>
        <w:rPr>
          <w:rFonts w:eastAsia="Times New Roman" w:cs="Times New Roman"/>
          <w:kern w:val="0"/>
          <w:szCs w:val="24"/>
        </w:rPr>
      </w:pPr>
      <w:r w:rsidRPr="00AD5E0F">
        <w:rPr>
          <w:rFonts w:eastAsia="Times New Roman" w:cs="Times New Roman"/>
          <w:kern w:val="0"/>
          <w:szCs w:val="24"/>
        </w:rPr>
        <w:t>Stakeholder involvement in decision-making recorded the lowest score (M=2.66, SD=1.31), reinforcing Kaweesa’s (2024) conclusions on the limited participatory governance in state-owned enterprises. Efforts to address stakeholder needs (M=2.48, SD=1.25) align with Nakimuli’s (2023) observations on assessment difficulties within public utilities. Positive outcomes emerge when engagement takes place, as reflected in collaboration results (M=3.52, SD=1.30) and transparency efforts (M=3.50, SD=1.11), supporting research by Nabasa (2024) and Kisembo (2023). The overall mean underscores the necessity for strengthening stakeholder participation, enhancing feedback integration, and improving decision-making processes, consistent with Muwonge’s (2024) analysis of African utilities.</w:t>
      </w:r>
    </w:p>
    <w:p w14:paraId="13D8269B" w14:textId="3973E50F" w:rsidR="009A12E2" w:rsidRPr="0085501D" w:rsidRDefault="009A12E2" w:rsidP="00FC164E">
      <w:pPr>
        <w:spacing w:line="360" w:lineRule="auto"/>
        <w:jc w:val="both"/>
        <w:rPr>
          <w:rFonts w:eastAsia="Times New Roman" w:cs="Times New Roman"/>
          <w:bCs/>
          <w:i/>
          <w:iCs/>
          <w:color w:val="000000" w:themeColor="text1"/>
          <w:kern w:val="0"/>
          <w:szCs w:val="24"/>
          <w:shd w:val="clear" w:color="auto" w:fill="FFFFFF"/>
        </w:rPr>
      </w:pPr>
      <w:r w:rsidRPr="0085501D">
        <w:rPr>
          <w:rFonts w:cs="Times New Roman"/>
          <w:bCs/>
          <w:i/>
          <w:iCs/>
          <w:color w:val="000000" w:themeColor="text1"/>
        </w:rPr>
        <w:t xml:space="preserve">4.4 Service Delivery </w:t>
      </w:r>
      <w:bookmarkStart w:id="24" w:name="_Hlk191743241"/>
      <w:r w:rsidRPr="0085501D">
        <w:rPr>
          <w:rFonts w:cs="Times New Roman"/>
          <w:bCs/>
          <w:i/>
          <w:iCs/>
          <w:color w:val="000000" w:themeColor="text1"/>
        </w:rPr>
        <w:t xml:space="preserve">in </w:t>
      </w:r>
      <w:r w:rsidR="00265877" w:rsidRPr="0085501D">
        <w:rPr>
          <w:rFonts w:eastAsia="Times New Roman" w:cs="Times New Roman"/>
          <w:bCs/>
          <w:i/>
          <w:iCs/>
          <w:kern w:val="0"/>
          <w:szCs w:val="24"/>
        </w:rPr>
        <w:t>Uganda Electricity Distribution Company</w:t>
      </w:r>
      <w:bookmarkEnd w:id="24"/>
    </w:p>
    <w:p w14:paraId="664DB749" w14:textId="0D0E6913" w:rsidR="009A12E2" w:rsidRDefault="009A12E2" w:rsidP="00FC164E">
      <w:pPr>
        <w:spacing w:line="360" w:lineRule="auto"/>
        <w:jc w:val="both"/>
        <w:rPr>
          <w:rFonts w:cs="Times New Roman"/>
          <w:bCs/>
          <w:color w:val="000000" w:themeColor="text1"/>
          <w:szCs w:val="24"/>
          <w:shd w:val="clear" w:color="auto" w:fill="FFFFFF"/>
        </w:rPr>
      </w:pPr>
      <w:r w:rsidRPr="00F32A8B">
        <w:rPr>
          <w:rFonts w:eastAsia="Times New Roman" w:cs="Times New Roman"/>
          <w:color w:val="000000" w:themeColor="text1"/>
          <w:kern w:val="0"/>
          <w:szCs w:val="24"/>
          <w:shd w:val="clear" w:color="auto" w:fill="FFFFFF"/>
        </w:rPr>
        <w:lastRenderedPageBreak/>
        <w:t xml:space="preserve">The study sought to determine the perception of respondents on </w:t>
      </w:r>
      <w:r w:rsidRPr="00F32A8B">
        <w:rPr>
          <w:rFonts w:cs="Times New Roman"/>
          <w:color w:val="000000" w:themeColor="text1"/>
          <w:kern w:val="0"/>
        </w:rPr>
        <w:t xml:space="preserve">service delivery in </w:t>
      </w:r>
      <w:r w:rsidRPr="00F32A8B">
        <w:rPr>
          <w:rFonts w:cs="Times New Roman"/>
          <w:bCs/>
          <w:color w:val="000000" w:themeColor="text1"/>
          <w:szCs w:val="24"/>
          <w:shd w:val="clear" w:color="auto" w:fill="FFFFFF"/>
        </w:rPr>
        <w:t xml:space="preserve">Uganda </w:t>
      </w:r>
      <w:r w:rsidR="00744A6C" w:rsidRPr="00F32A8B">
        <w:rPr>
          <w:rFonts w:cs="Times New Roman"/>
          <w:bCs/>
          <w:color w:val="000000" w:themeColor="text1"/>
          <w:szCs w:val="24"/>
          <w:shd w:val="clear" w:color="auto" w:fill="FFFFFF"/>
        </w:rPr>
        <w:t xml:space="preserve">as shown in Table </w:t>
      </w:r>
      <w:r w:rsidR="004812DF">
        <w:rPr>
          <w:rFonts w:cs="Times New Roman"/>
          <w:bCs/>
          <w:color w:val="000000" w:themeColor="text1"/>
          <w:szCs w:val="24"/>
          <w:shd w:val="clear" w:color="auto" w:fill="FFFFFF"/>
        </w:rPr>
        <w:t>6</w:t>
      </w:r>
      <w:r w:rsidR="00744A6C" w:rsidRPr="00F32A8B">
        <w:rPr>
          <w:rFonts w:cs="Times New Roman"/>
          <w:bCs/>
          <w:color w:val="000000" w:themeColor="text1"/>
          <w:szCs w:val="24"/>
          <w:shd w:val="clear" w:color="auto" w:fill="FFFFFF"/>
        </w:rPr>
        <w:t>.</w:t>
      </w:r>
    </w:p>
    <w:p w14:paraId="7BAD1B03" w14:textId="53DD29D6" w:rsidR="00262FA0" w:rsidRPr="00262FA0" w:rsidRDefault="00262FA0" w:rsidP="00FC164E">
      <w:pPr>
        <w:spacing w:line="360" w:lineRule="auto"/>
        <w:jc w:val="both"/>
        <w:rPr>
          <w:rFonts w:cs="Times New Roman"/>
          <w:color w:val="000000" w:themeColor="text1"/>
          <w:szCs w:val="24"/>
        </w:rPr>
      </w:pPr>
      <w:r>
        <w:rPr>
          <w:rFonts w:cs="Times New Roman"/>
          <w:color w:val="000000" w:themeColor="text1"/>
          <w:szCs w:val="24"/>
        </w:rPr>
        <w:t xml:space="preserve">1= Strongly Disagree 2= Disagree 3= Neutral 4= Agree 5= Strongly Agree </w:t>
      </w:r>
    </w:p>
    <w:p w14:paraId="03DB920F" w14:textId="78CEEE60" w:rsidR="00744A6C" w:rsidRPr="00F53169" w:rsidRDefault="00744A6C" w:rsidP="00F53169">
      <w:pPr>
        <w:spacing w:after="200" w:line="360" w:lineRule="auto"/>
        <w:jc w:val="both"/>
        <w:rPr>
          <w:rFonts w:eastAsia="Calibri" w:cs="Times New Roman"/>
          <w:b/>
          <w:iCs/>
          <w:color w:val="000000" w:themeColor="text1"/>
          <w:kern w:val="0"/>
          <w:szCs w:val="24"/>
        </w:rPr>
      </w:pPr>
      <w:bookmarkStart w:id="25" w:name="_Toc190215837"/>
      <w:r w:rsidRPr="00744A6C">
        <w:rPr>
          <w:rFonts w:eastAsia="Calibri" w:cs="Times New Roman"/>
          <w:b/>
          <w:iCs/>
          <w:color w:val="000000" w:themeColor="text1"/>
          <w:kern w:val="0"/>
          <w:szCs w:val="24"/>
        </w:rPr>
        <w:t xml:space="preserve">Table </w:t>
      </w:r>
      <w:r w:rsidR="004812DF">
        <w:rPr>
          <w:rFonts w:eastAsia="Calibri" w:cs="Times New Roman"/>
          <w:b/>
          <w:iCs/>
          <w:color w:val="000000" w:themeColor="text1"/>
          <w:kern w:val="0"/>
          <w:szCs w:val="24"/>
        </w:rPr>
        <w:t>6</w:t>
      </w:r>
      <w:r w:rsidRPr="00F32A8B">
        <w:rPr>
          <w:rFonts w:eastAsia="Calibri" w:cs="Times New Roman"/>
          <w:b/>
          <w:iCs/>
          <w:color w:val="000000" w:themeColor="text1"/>
          <w:kern w:val="0"/>
          <w:szCs w:val="24"/>
        </w:rPr>
        <w:t>:</w:t>
      </w:r>
      <w:r w:rsidRPr="00744A6C">
        <w:rPr>
          <w:rFonts w:eastAsia="Calibri" w:cs="Times New Roman"/>
          <w:b/>
          <w:iCs/>
          <w:color w:val="000000" w:themeColor="text1"/>
          <w:kern w:val="0"/>
          <w:szCs w:val="24"/>
        </w:rPr>
        <w:t xml:space="preserve"> Service Delivery in</w:t>
      </w:r>
      <w:bookmarkEnd w:id="25"/>
      <w:r w:rsidRPr="00F32A8B">
        <w:rPr>
          <w:rFonts w:eastAsia="Calibri" w:cs="Times New Roman"/>
          <w:b/>
          <w:iCs/>
          <w:color w:val="000000" w:themeColor="text1"/>
          <w:kern w:val="0"/>
          <w:szCs w:val="24"/>
        </w:rPr>
        <w:t xml:space="preserve"> </w:t>
      </w:r>
      <w:r w:rsidRPr="00854DF0">
        <w:rPr>
          <w:rFonts w:eastAsia="Times New Roman" w:cs="Times New Roman"/>
          <w:b/>
          <w:bCs/>
          <w:kern w:val="0"/>
          <w:szCs w:val="24"/>
        </w:rPr>
        <w:t>Uganda Electricity Distribution Company</w:t>
      </w:r>
    </w:p>
    <w:tbl>
      <w:tblPr>
        <w:tblW w:w="907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6809"/>
        <w:gridCol w:w="567"/>
        <w:gridCol w:w="851"/>
        <w:gridCol w:w="850"/>
      </w:tblGrid>
      <w:tr w:rsidR="00744A6C" w:rsidRPr="00744A6C" w14:paraId="60869D69" w14:textId="77777777" w:rsidTr="00DD29BC">
        <w:trPr>
          <w:cantSplit/>
        </w:trPr>
        <w:tc>
          <w:tcPr>
            <w:tcW w:w="6809" w:type="dxa"/>
            <w:tcBorders>
              <w:top w:val="single" w:sz="4" w:space="0" w:color="auto"/>
              <w:bottom w:val="single" w:sz="4" w:space="0" w:color="auto"/>
            </w:tcBorders>
            <w:shd w:val="clear" w:color="auto" w:fill="FFFFFF"/>
            <w:vAlign w:val="bottom"/>
          </w:tcPr>
          <w:p w14:paraId="197F02D9" w14:textId="77777777" w:rsidR="00744A6C" w:rsidRPr="00744A6C" w:rsidRDefault="00744A6C" w:rsidP="00FC164E">
            <w:pPr>
              <w:autoSpaceDE w:val="0"/>
              <w:autoSpaceDN w:val="0"/>
              <w:adjustRightInd w:val="0"/>
              <w:spacing w:after="0" w:line="360" w:lineRule="auto"/>
              <w:jc w:val="both"/>
              <w:rPr>
                <w:rFonts w:cs="Times New Roman"/>
                <w:b/>
                <w:color w:val="000000" w:themeColor="text1"/>
                <w:kern w:val="0"/>
                <w:szCs w:val="24"/>
              </w:rPr>
            </w:pPr>
            <w:r w:rsidRPr="00744A6C">
              <w:rPr>
                <w:rFonts w:cs="Times New Roman"/>
                <w:b/>
                <w:color w:val="000000" w:themeColor="text1"/>
                <w:kern w:val="0"/>
                <w:szCs w:val="24"/>
              </w:rPr>
              <w:t>Statement</w:t>
            </w:r>
          </w:p>
        </w:tc>
        <w:tc>
          <w:tcPr>
            <w:tcW w:w="567" w:type="dxa"/>
            <w:tcBorders>
              <w:top w:val="single" w:sz="4" w:space="0" w:color="auto"/>
              <w:bottom w:val="single" w:sz="4" w:space="0" w:color="auto"/>
            </w:tcBorders>
            <w:shd w:val="clear" w:color="auto" w:fill="FFFFFF"/>
            <w:vAlign w:val="bottom"/>
          </w:tcPr>
          <w:p w14:paraId="389CF78E" w14:textId="77777777" w:rsidR="00744A6C" w:rsidRPr="00744A6C" w:rsidRDefault="00744A6C" w:rsidP="00FC164E">
            <w:pPr>
              <w:autoSpaceDE w:val="0"/>
              <w:autoSpaceDN w:val="0"/>
              <w:adjustRightInd w:val="0"/>
              <w:spacing w:after="0" w:line="360" w:lineRule="auto"/>
              <w:ind w:left="60" w:right="60"/>
              <w:jc w:val="both"/>
              <w:rPr>
                <w:rFonts w:cs="Times New Roman"/>
                <w:b/>
                <w:color w:val="000000" w:themeColor="text1"/>
                <w:kern w:val="0"/>
                <w:sz w:val="18"/>
                <w:szCs w:val="18"/>
              </w:rPr>
            </w:pPr>
            <w:r w:rsidRPr="00744A6C">
              <w:rPr>
                <w:rFonts w:cs="Times New Roman"/>
                <w:b/>
                <w:color w:val="000000" w:themeColor="text1"/>
                <w:kern w:val="0"/>
                <w:sz w:val="18"/>
                <w:szCs w:val="18"/>
              </w:rPr>
              <w:t>N</w:t>
            </w:r>
          </w:p>
        </w:tc>
        <w:tc>
          <w:tcPr>
            <w:tcW w:w="851" w:type="dxa"/>
            <w:tcBorders>
              <w:top w:val="single" w:sz="4" w:space="0" w:color="auto"/>
              <w:bottom w:val="single" w:sz="4" w:space="0" w:color="auto"/>
            </w:tcBorders>
            <w:shd w:val="clear" w:color="auto" w:fill="FFFFFF"/>
            <w:vAlign w:val="bottom"/>
          </w:tcPr>
          <w:p w14:paraId="78D1C951" w14:textId="77777777" w:rsidR="00744A6C" w:rsidRPr="00744A6C" w:rsidRDefault="00744A6C" w:rsidP="00FC164E">
            <w:pPr>
              <w:autoSpaceDE w:val="0"/>
              <w:autoSpaceDN w:val="0"/>
              <w:adjustRightInd w:val="0"/>
              <w:spacing w:after="0" w:line="360" w:lineRule="auto"/>
              <w:ind w:left="60" w:right="60"/>
              <w:jc w:val="both"/>
              <w:rPr>
                <w:rFonts w:cs="Times New Roman"/>
                <w:b/>
                <w:color w:val="000000" w:themeColor="text1"/>
                <w:kern w:val="0"/>
                <w:sz w:val="18"/>
                <w:szCs w:val="18"/>
              </w:rPr>
            </w:pPr>
            <w:r w:rsidRPr="00744A6C">
              <w:rPr>
                <w:rFonts w:cs="Times New Roman"/>
                <w:b/>
                <w:color w:val="000000" w:themeColor="text1"/>
                <w:kern w:val="0"/>
                <w:sz w:val="18"/>
                <w:szCs w:val="18"/>
              </w:rPr>
              <w:t>Mean</w:t>
            </w:r>
          </w:p>
        </w:tc>
        <w:tc>
          <w:tcPr>
            <w:tcW w:w="850" w:type="dxa"/>
            <w:tcBorders>
              <w:top w:val="single" w:sz="4" w:space="0" w:color="auto"/>
              <w:bottom w:val="single" w:sz="4" w:space="0" w:color="auto"/>
            </w:tcBorders>
            <w:shd w:val="clear" w:color="auto" w:fill="FFFFFF"/>
            <w:vAlign w:val="bottom"/>
          </w:tcPr>
          <w:p w14:paraId="23251440" w14:textId="77777777" w:rsidR="00744A6C" w:rsidRPr="00744A6C" w:rsidRDefault="00744A6C" w:rsidP="00FC164E">
            <w:pPr>
              <w:autoSpaceDE w:val="0"/>
              <w:autoSpaceDN w:val="0"/>
              <w:adjustRightInd w:val="0"/>
              <w:spacing w:after="0" w:line="360" w:lineRule="auto"/>
              <w:ind w:left="60" w:right="60"/>
              <w:jc w:val="both"/>
              <w:rPr>
                <w:rFonts w:cs="Times New Roman"/>
                <w:b/>
                <w:color w:val="000000" w:themeColor="text1"/>
                <w:kern w:val="0"/>
                <w:sz w:val="18"/>
                <w:szCs w:val="18"/>
              </w:rPr>
            </w:pPr>
            <w:r w:rsidRPr="00744A6C">
              <w:rPr>
                <w:rFonts w:cs="Times New Roman"/>
                <w:b/>
                <w:color w:val="000000" w:themeColor="text1"/>
                <w:kern w:val="0"/>
                <w:sz w:val="18"/>
                <w:szCs w:val="18"/>
              </w:rPr>
              <w:t>SD</w:t>
            </w:r>
          </w:p>
        </w:tc>
      </w:tr>
      <w:tr w:rsidR="00744A6C" w:rsidRPr="00744A6C" w14:paraId="3575E8DD" w14:textId="77777777" w:rsidTr="00DD29BC">
        <w:trPr>
          <w:cantSplit/>
        </w:trPr>
        <w:tc>
          <w:tcPr>
            <w:tcW w:w="6809" w:type="dxa"/>
            <w:tcBorders>
              <w:top w:val="single" w:sz="4" w:space="0" w:color="auto"/>
            </w:tcBorders>
            <w:shd w:val="clear" w:color="auto" w:fill="auto"/>
          </w:tcPr>
          <w:p w14:paraId="2751ADE5"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I believe our customers are satisfied with the overall service quality we provide.</w:t>
            </w:r>
          </w:p>
        </w:tc>
        <w:tc>
          <w:tcPr>
            <w:tcW w:w="567" w:type="dxa"/>
            <w:tcBorders>
              <w:top w:val="single" w:sz="4" w:space="0" w:color="auto"/>
            </w:tcBorders>
            <w:shd w:val="clear" w:color="auto" w:fill="auto"/>
          </w:tcPr>
          <w:p w14:paraId="0389017D"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163</w:t>
            </w:r>
          </w:p>
        </w:tc>
        <w:tc>
          <w:tcPr>
            <w:tcW w:w="851" w:type="dxa"/>
            <w:tcBorders>
              <w:top w:val="single" w:sz="4" w:space="0" w:color="auto"/>
            </w:tcBorders>
            <w:shd w:val="clear" w:color="auto" w:fill="auto"/>
          </w:tcPr>
          <w:p w14:paraId="3A0ABCFA"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3.0613</w:t>
            </w:r>
          </w:p>
        </w:tc>
        <w:tc>
          <w:tcPr>
            <w:tcW w:w="850" w:type="dxa"/>
            <w:tcBorders>
              <w:top w:val="single" w:sz="4" w:space="0" w:color="auto"/>
            </w:tcBorders>
            <w:shd w:val="clear" w:color="auto" w:fill="auto"/>
          </w:tcPr>
          <w:p w14:paraId="49008EDF"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1.28953</w:t>
            </w:r>
          </w:p>
        </w:tc>
      </w:tr>
      <w:tr w:rsidR="00744A6C" w:rsidRPr="00744A6C" w14:paraId="650E887A" w14:textId="77777777" w:rsidTr="00DD29BC">
        <w:trPr>
          <w:cantSplit/>
        </w:trPr>
        <w:tc>
          <w:tcPr>
            <w:tcW w:w="6809" w:type="dxa"/>
            <w:shd w:val="clear" w:color="auto" w:fill="auto"/>
          </w:tcPr>
          <w:p w14:paraId="077336B0"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Our customers appreciate the helpfulness and courtesy of our staff.</w:t>
            </w:r>
          </w:p>
        </w:tc>
        <w:tc>
          <w:tcPr>
            <w:tcW w:w="567" w:type="dxa"/>
            <w:shd w:val="clear" w:color="auto" w:fill="auto"/>
          </w:tcPr>
          <w:p w14:paraId="6A05AD97"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163</w:t>
            </w:r>
          </w:p>
        </w:tc>
        <w:tc>
          <w:tcPr>
            <w:tcW w:w="851" w:type="dxa"/>
            <w:shd w:val="clear" w:color="auto" w:fill="auto"/>
          </w:tcPr>
          <w:p w14:paraId="76E167C6"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3.2086</w:t>
            </w:r>
          </w:p>
        </w:tc>
        <w:tc>
          <w:tcPr>
            <w:tcW w:w="850" w:type="dxa"/>
            <w:shd w:val="clear" w:color="auto" w:fill="auto"/>
          </w:tcPr>
          <w:p w14:paraId="405702AD"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1.23954</w:t>
            </w:r>
          </w:p>
        </w:tc>
      </w:tr>
      <w:tr w:rsidR="00744A6C" w:rsidRPr="00744A6C" w14:paraId="11BBF01B" w14:textId="77777777" w:rsidTr="00DD29BC">
        <w:trPr>
          <w:cantSplit/>
        </w:trPr>
        <w:tc>
          <w:tcPr>
            <w:tcW w:w="6809" w:type="dxa"/>
            <w:shd w:val="clear" w:color="auto" w:fill="auto"/>
          </w:tcPr>
          <w:p w14:paraId="7996A428"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The company's electricity supply reliability meets customer expectations.</w:t>
            </w:r>
          </w:p>
        </w:tc>
        <w:tc>
          <w:tcPr>
            <w:tcW w:w="567" w:type="dxa"/>
            <w:shd w:val="clear" w:color="auto" w:fill="auto"/>
          </w:tcPr>
          <w:p w14:paraId="23248BB1"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163</w:t>
            </w:r>
          </w:p>
        </w:tc>
        <w:tc>
          <w:tcPr>
            <w:tcW w:w="851" w:type="dxa"/>
            <w:shd w:val="clear" w:color="auto" w:fill="auto"/>
          </w:tcPr>
          <w:p w14:paraId="4C0FD433"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2.8712</w:t>
            </w:r>
          </w:p>
        </w:tc>
        <w:tc>
          <w:tcPr>
            <w:tcW w:w="850" w:type="dxa"/>
            <w:shd w:val="clear" w:color="auto" w:fill="auto"/>
          </w:tcPr>
          <w:p w14:paraId="164C8CA2"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1.24299</w:t>
            </w:r>
          </w:p>
        </w:tc>
      </w:tr>
      <w:tr w:rsidR="00744A6C" w:rsidRPr="00744A6C" w14:paraId="726F6279" w14:textId="77777777" w:rsidTr="00DD29BC">
        <w:trPr>
          <w:cantSplit/>
        </w:trPr>
        <w:tc>
          <w:tcPr>
            <w:tcW w:w="6809" w:type="dxa"/>
            <w:shd w:val="clear" w:color="auto" w:fill="auto"/>
          </w:tcPr>
          <w:p w14:paraId="71F6F9B2"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Customers are satisfied with the timeliness of our response to their complaints.</w:t>
            </w:r>
          </w:p>
        </w:tc>
        <w:tc>
          <w:tcPr>
            <w:tcW w:w="567" w:type="dxa"/>
            <w:shd w:val="clear" w:color="auto" w:fill="auto"/>
          </w:tcPr>
          <w:p w14:paraId="2AD62337"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163</w:t>
            </w:r>
          </w:p>
        </w:tc>
        <w:tc>
          <w:tcPr>
            <w:tcW w:w="851" w:type="dxa"/>
            <w:shd w:val="clear" w:color="auto" w:fill="auto"/>
          </w:tcPr>
          <w:p w14:paraId="7411D111"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3.1840</w:t>
            </w:r>
          </w:p>
        </w:tc>
        <w:tc>
          <w:tcPr>
            <w:tcW w:w="850" w:type="dxa"/>
            <w:shd w:val="clear" w:color="auto" w:fill="auto"/>
          </w:tcPr>
          <w:p w14:paraId="6A8E5C14"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1.26315</w:t>
            </w:r>
          </w:p>
        </w:tc>
      </w:tr>
      <w:tr w:rsidR="00744A6C" w:rsidRPr="00744A6C" w14:paraId="3BA7D6BB" w14:textId="77777777" w:rsidTr="00DD29BC">
        <w:trPr>
          <w:cantSplit/>
        </w:trPr>
        <w:tc>
          <w:tcPr>
            <w:tcW w:w="6809" w:type="dxa"/>
            <w:shd w:val="clear" w:color="auto" w:fill="auto"/>
          </w:tcPr>
          <w:p w14:paraId="3621BBC9"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I think our customers are happy with the services we provide.</w:t>
            </w:r>
          </w:p>
        </w:tc>
        <w:tc>
          <w:tcPr>
            <w:tcW w:w="567" w:type="dxa"/>
            <w:shd w:val="clear" w:color="auto" w:fill="auto"/>
          </w:tcPr>
          <w:p w14:paraId="472DE35D"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163</w:t>
            </w:r>
          </w:p>
        </w:tc>
        <w:tc>
          <w:tcPr>
            <w:tcW w:w="851" w:type="dxa"/>
            <w:shd w:val="clear" w:color="auto" w:fill="auto"/>
          </w:tcPr>
          <w:p w14:paraId="46783C5A"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2.9755</w:t>
            </w:r>
          </w:p>
        </w:tc>
        <w:tc>
          <w:tcPr>
            <w:tcW w:w="850" w:type="dxa"/>
            <w:shd w:val="clear" w:color="auto" w:fill="auto"/>
          </w:tcPr>
          <w:p w14:paraId="0DB0332C"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1.28116</w:t>
            </w:r>
          </w:p>
        </w:tc>
      </w:tr>
      <w:tr w:rsidR="00744A6C" w:rsidRPr="00744A6C" w14:paraId="774439C8" w14:textId="77777777" w:rsidTr="00DD29BC">
        <w:trPr>
          <w:cantSplit/>
        </w:trPr>
        <w:tc>
          <w:tcPr>
            <w:tcW w:w="6809" w:type="dxa"/>
            <w:shd w:val="clear" w:color="auto" w:fill="auto"/>
          </w:tcPr>
          <w:p w14:paraId="30E5A32B"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Our customers are generally satisfied with the reliability of our electricity supply.</w:t>
            </w:r>
          </w:p>
        </w:tc>
        <w:tc>
          <w:tcPr>
            <w:tcW w:w="567" w:type="dxa"/>
            <w:shd w:val="clear" w:color="auto" w:fill="auto"/>
          </w:tcPr>
          <w:p w14:paraId="74B17D4A"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163</w:t>
            </w:r>
          </w:p>
        </w:tc>
        <w:tc>
          <w:tcPr>
            <w:tcW w:w="851" w:type="dxa"/>
            <w:shd w:val="clear" w:color="auto" w:fill="auto"/>
          </w:tcPr>
          <w:p w14:paraId="58206376"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3.0123</w:t>
            </w:r>
          </w:p>
        </w:tc>
        <w:tc>
          <w:tcPr>
            <w:tcW w:w="850" w:type="dxa"/>
            <w:shd w:val="clear" w:color="auto" w:fill="auto"/>
          </w:tcPr>
          <w:p w14:paraId="6D948F24"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1.14389</w:t>
            </w:r>
          </w:p>
        </w:tc>
      </w:tr>
      <w:tr w:rsidR="00744A6C" w:rsidRPr="00744A6C" w14:paraId="2A1E8105" w14:textId="77777777" w:rsidTr="00DD29BC">
        <w:trPr>
          <w:cantSplit/>
        </w:trPr>
        <w:tc>
          <w:tcPr>
            <w:tcW w:w="6809" w:type="dxa"/>
            <w:shd w:val="clear" w:color="auto" w:fill="auto"/>
          </w:tcPr>
          <w:p w14:paraId="0F69A878"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Customers appreciate our prompt response to their complaints and inquiries.</w:t>
            </w:r>
          </w:p>
        </w:tc>
        <w:tc>
          <w:tcPr>
            <w:tcW w:w="567" w:type="dxa"/>
            <w:shd w:val="clear" w:color="auto" w:fill="auto"/>
          </w:tcPr>
          <w:p w14:paraId="6370ABFA"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163</w:t>
            </w:r>
          </w:p>
        </w:tc>
        <w:tc>
          <w:tcPr>
            <w:tcW w:w="851" w:type="dxa"/>
            <w:shd w:val="clear" w:color="auto" w:fill="auto"/>
          </w:tcPr>
          <w:p w14:paraId="74829259"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3.1227</w:t>
            </w:r>
          </w:p>
        </w:tc>
        <w:tc>
          <w:tcPr>
            <w:tcW w:w="850" w:type="dxa"/>
            <w:shd w:val="clear" w:color="auto" w:fill="auto"/>
          </w:tcPr>
          <w:p w14:paraId="50355C30"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1.22108</w:t>
            </w:r>
          </w:p>
        </w:tc>
      </w:tr>
      <w:tr w:rsidR="00744A6C" w:rsidRPr="00744A6C" w14:paraId="069EE978" w14:textId="77777777" w:rsidTr="00DD29BC">
        <w:trPr>
          <w:cantSplit/>
        </w:trPr>
        <w:tc>
          <w:tcPr>
            <w:tcW w:w="6809" w:type="dxa"/>
            <w:shd w:val="clear" w:color="auto" w:fill="auto"/>
          </w:tcPr>
          <w:p w14:paraId="6F485FA6"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Our customers are happy with the overall quality of our services.</w:t>
            </w:r>
          </w:p>
        </w:tc>
        <w:tc>
          <w:tcPr>
            <w:tcW w:w="567" w:type="dxa"/>
            <w:shd w:val="clear" w:color="auto" w:fill="auto"/>
          </w:tcPr>
          <w:p w14:paraId="468A6468"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163</w:t>
            </w:r>
          </w:p>
        </w:tc>
        <w:tc>
          <w:tcPr>
            <w:tcW w:w="851" w:type="dxa"/>
            <w:shd w:val="clear" w:color="auto" w:fill="auto"/>
          </w:tcPr>
          <w:p w14:paraId="463AC26C"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2.9018</w:t>
            </w:r>
          </w:p>
        </w:tc>
        <w:tc>
          <w:tcPr>
            <w:tcW w:w="850" w:type="dxa"/>
            <w:shd w:val="clear" w:color="auto" w:fill="auto"/>
          </w:tcPr>
          <w:p w14:paraId="57417E80"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1.32038</w:t>
            </w:r>
          </w:p>
        </w:tc>
      </w:tr>
      <w:tr w:rsidR="00744A6C" w:rsidRPr="00744A6C" w14:paraId="54A57BAE" w14:textId="77777777" w:rsidTr="00DD29BC">
        <w:trPr>
          <w:cantSplit/>
        </w:trPr>
        <w:tc>
          <w:tcPr>
            <w:tcW w:w="6809" w:type="dxa"/>
            <w:shd w:val="clear" w:color="auto" w:fill="auto"/>
          </w:tcPr>
          <w:p w14:paraId="196F4277"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Customers find our billing and payment processes easy and convenient.</w:t>
            </w:r>
          </w:p>
        </w:tc>
        <w:tc>
          <w:tcPr>
            <w:tcW w:w="567" w:type="dxa"/>
            <w:shd w:val="clear" w:color="auto" w:fill="auto"/>
          </w:tcPr>
          <w:p w14:paraId="5C55869A"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163</w:t>
            </w:r>
          </w:p>
        </w:tc>
        <w:tc>
          <w:tcPr>
            <w:tcW w:w="851" w:type="dxa"/>
            <w:shd w:val="clear" w:color="auto" w:fill="auto"/>
          </w:tcPr>
          <w:p w14:paraId="5819A4B3"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3.4969</w:t>
            </w:r>
          </w:p>
        </w:tc>
        <w:tc>
          <w:tcPr>
            <w:tcW w:w="850" w:type="dxa"/>
            <w:shd w:val="clear" w:color="auto" w:fill="auto"/>
          </w:tcPr>
          <w:p w14:paraId="6AD0504D"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1.10763</w:t>
            </w:r>
          </w:p>
        </w:tc>
      </w:tr>
      <w:tr w:rsidR="00744A6C" w:rsidRPr="00744A6C" w14:paraId="51733186" w14:textId="77777777" w:rsidTr="00DD29BC">
        <w:trPr>
          <w:cantSplit/>
        </w:trPr>
        <w:tc>
          <w:tcPr>
            <w:tcW w:w="6809" w:type="dxa"/>
            <w:shd w:val="clear" w:color="auto" w:fill="auto"/>
          </w:tcPr>
          <w:p w14:paraId="6B8696A7"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Our customers would recommend our services to others.</w:t>
            </w:r>
          </w:p>
        </w:tc>
        <w:tc>
          <w:tcPr>
            <w:tcW w:w="567" w:type="dxa"/>
            <w:shd w:val="clear" w:color="auto" w:fill="auto"/>
          </w:tcPr>
          <w:p w14:paraId="254E79B5"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163</w:t>
            </w:r>
          </w:p>
        </w:tc>
        <w:tc>
          <w:tcPr>
            <w:tcW w:w="851" w:type="dxa"/>
            <w:shd w:val="clear" w:color="auto" w:fill="auto"/>
          </w:tcPr>
          <w:p w14:paraId="4E9FE41A"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2.8650</w:t>
            </w:r>
          </w:p>
        </w:tc>
        <w:tc>
          <w:tcPr>
            <w:tcW w:w="850" w:type="dxa"/>
            <w:shd w:val="clear" w:color="auto" w:fill="auto"/>
          </w:tcPr>
          <w:p w14:paraId="66FEA0FF"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1.16807</w:t>
            </w:r>
          </w:p>
        </w:tc>
      </w:tr>
      <w:tr w:rsidR="00744A6C" w:rsidRPr="00744A6C" w14:paraId="3F1D16A4" w14:textId="77777777" w:rsidTr="00DD29BC">
        <w:trPr>
          <w:cantSplit/>
        </w:trPr>
        <w:tc>
          <w:tcPr>
            <w:tcW w:w="6809" w:type="dxa"/>
            <w:shd w:val="clear" w:color="auto" w:fill="auto"/>
          </w:tcPr>
          <w:p w14:paraId="4B3FC82E" w14:textId="77777777" w:rsidR="00744A6C" w:rsidRPr="00744A6C" w:rsidRDefault="00744A6C" w:rsidP="00FC164E">
            <w:pPr>
              <w:autoSpaceDE w:val="0"/>
              <w:autoSpaceDN w:val="0"/>
              <w:adjustRightInd w:val="0"/>
              <w:spacing w:after="0" w:line="360" w:lineRule="auto"/>
              <w:ind w:left="60" w:right="60"/>
              <w:jc w:val="both"/>
              <w:rPr>
                <w:rFonts w:cs="Times New Roman"/>
                <w:b/>
                <w:color w:val="000000" w:themeColor="text1"/>
                <w:kern w:val="0"/>
                <w:sz w:val="18"/>
                <w:szCs w:val="18"/>
              </w:rPr>
            </w:pPr>
            <w:r w:rsidRPr="00744A6C">
              <w:rPr>
                <w:rFonts w:cs="Times New Roman"/>
                <w:b/>
                <w:color w:val="000000" w:themeColor="text1"/>
                <w:kern w:val="0"/>
                <w:sz w:val="18"/>
                <w:szCs w:val="18"/>
              </w:rPr>
              <w:t>Valid N (listwise)</w:t>
            </w:r>
          </w:p>
        </w:tc>
        <w:tc>
          <w:tcPr>
            <w:tcW w:w="567" w:type="dxa"/>
            <w:shd w:val="clear" w:color="auto" w:fill="auto"/>
          </w:tcPr>
          <w:p w14:paraId="68EF7921" w14:textId="77777777" w:rsidR="00744A6C" w:rsidRPr="00744A6C" w:rsidRDefault="00744A6C" w:rsidP="00FC164E">
            <w:pPr>
              <w:autoSpaceDE w:val="0"/>
              <w:autoSpaceDN w:val="0"/>
              <w:adjustRightInd w:val="0"/>
              <w:spacing w:after="0" w:line="360" w:lineRule="auto"/>
              <w:ind w:left="60" w:right="60"/>
              <w:jc w:val="both"/>
              <w:rPr>
                <w:rFonts w:cs="Times New Roman"/>
                <w:b/>
                <w:color w:val="000000" w:themeColor="text1"/>
                <w:kern w:val="0"/>
                <w:sz w:val="18"/>
                <w:szCs w:val="18"/>
              </w:rPr>
            </w:pPr>
            <w:r w:rsidRPr="00744A6C">
              <w:rPr>
                <w:rFonts w:cs="Times New Roman"/>
                <w:b/>
                <w:color w:val="000000" w:themeColor="text1"/>
                <w:kern w:val="0"/>
                <w:sz w:val="18"/>
                <w:szCs w:val="18"/>
              </w:rPr>
              <w:t>163</w:t>
            </w:r>
          </w:p>
        </w:tc>
        <w:tc>
          <w:tcPr>
            <w:tcW w:w="851" w:type="dxa"/>
            <w:shd w:val="clear" w:color="auto" w:fill="auto"/>
            <w:vAlign w:val="center"/>
          </w:tcPr>
          <w:p w14:paraId="4606E0D2" w14:textId="77777777" w:rsidR="00744A6C" w:rsidRPr="00744A6C" w:rsidRDefault="00744A6C" w:rsidP="00FC164E">
            <w:pPr>
              <w:autoSpaceDE w:val="0"/>
              <w:autoSpaceDN w:val="0"/>
              <w:adjustRightInd w:val="0"/>
              <w:spacing w:after="0" w:line="360" w:lineRule="auto"/>
              <w:ind w:left="60" w:right="60"/>
              <w:jc w:val="both"/>
              <w:rPr>
                <w:rFonts w:cs="Times New Roman"/>
                <w:b/>
                <w:color w:val="000000" w:themeColor="text1"/>
                <w:kern w:val="0"/>
                <w:sz w:val="18"/>
                <w:szCs w:val="18"/>
              </w:rPr>
            </w:pPr>
            <w:r w:rsidRPr="00744A6C">
              <w:rPr>
                <w:rFonts w:cs="Times New Roman"/>
                <w:b/>
                <w:color w:val="000000" w:themeColor="text1"/>
                <w:kern w:val="0"/>
                <w:sz w:val="18"/>
                <w:szCs w:val="18"/>
              </w:rPr>
              <w:fldChar w:fldCharType="begin"/>
            </w:r>
            <w:r w:rsidRPr="00744A6C">
              <w:rPr>
                <w:rFonts w:cs="Times New Roman"/>
                <w:b/>
                <w:color w:val="000000" w:themeColor="text1"/>
                <w:kern w:val="0"/>
                <w:sz w:val="18"/>
                <w:szCs w:val="18"/>
              </w:rPr>
              <w:instrText xml:space="preserve"> =SUM(ABOVE)/10 </w:instrText>
            </w:r>
            <w:r w:rsidRPr="00744A6C">
              <w:rPr>
                <w:rFonts w:cs="Times New Roman"/>
                <w:b/>
                <w:color w:val="000000" w:themeColor="text1"/>
                <w:kern w:val="0"/>
                <w:sz w:val="18"/>
                <w:szCs w:val="18"/>
              </w:rPr>
              <w:fldChar w:fldCharType="separate"/>
            </w:r>
            <w:r w:rsidRPr="00744A6C">
              <w:rPr>
                <w:rFonts w:cs="Times New Roman"/>
                <w:b/>
                <w:color w:val="000000" w:themeColor="text1"/>
                <w:kern w:val="0"/>
                <w:sz w:val="18"/>
                <w:szCs w:val="18"/>
              </w:rPr>
              <w:t>3.0699</w:t>
            </w:r>
            <w:r w:rsidRPr="00744A6C">
              <w:rPr>
                <w:rFonts w:cs="Times New Roman"/>
                <w:b/>
                <w:color w:val="000000" w:themeColor="text1"/>
                <w:kern w:val="0"/>
                <w:sz w:val="18"/>
                <w:szCs w:val="18"/>
              </w:rPr>
              <w:fldChar w:fldCharType="end"/>
            </w:r>
          </w:p>
        </w:tc>
        <w:tc>
          <w:tcPr>
            <w:tcW w:w="850" w:type="dxa"/>
            <w:shd w:val="clear" w:color="auto" w:fill="auto"/>
            <w:vAlign w:val="center"/>
          </w:tcPr>
          <w:p w14:paraId="10EBBF78" w14:textId="77777777" w:rsidR="00744A6C" w:rsidRPr="00744A6C" w:rsidRDefault="00744A6C" w:rsidP="00FC164E">
            <w:pPr>
              <w:autoSpaceDE w:val="0"/>
              <w:autoSpaceDN w:val="0"/>
              <w:adjustRightInd w:val="0"/>
              <w:spacing w:after="0" w:line="360" w:lineRule="auto"/>
              <w:ind w:left="60" w:right="60"/>
              <w:jc w:val="both"/>
              <w:rPr>
                <w:rFonts w:cs="Times New Roman"/>
                <w:b/>
                <w:color w:val="000000" w:themeColor="text1"/>
                <w:kern w:val="0"/>
                <w:sz w:val="18"/>
                <w:szCs w:val="18"/>
              </w:rPr>
            </w:pPr>
            <w:r w:rsidRPr="00744A6C">
              <w:rPr>
                <w:rFonts w:cs="Times New Roman"/>
                <w:b/>
                <w:color w:val="000000" w:themeColor="text1"/>
                <w:kern w:val="0"/>
                <w:sz w:val="18"/>
                <w:szCs w:val="18"/>
              </w:rPr>
              <w:fldChar w:fldCharType="begin"/>
            </w:r>
            <w:r w:rsidRPr="00744A6C">
              <w:rPr>
                <w:rFonts w:cs="Times New Roman"/>
                <w:b/>
                <w:color w:val="000000" w:themeColor="text1"/>
                <w:kern w:val="0"/>
                <w:sz w:val="18"/>
                <w:szCs w:val="18"/>
              </w:rPr>
              <w:instrText xml:space="preserve"> =SUM(ABOVE)/10 </w:instrText>
            </w:r>
            <w:r w:rsidRPr="00744A6C">
              <w:rPr>
                <w:rFonts w:cs="Times New Roman"/>
                <w:b/>
                <w:color w:val="000000" w:themeColor="text1"/>
                <w:kern w:val="0"/>
                <w:sz w:val="18"/>
                <w:szCs w:val="18"/>
              </w:rPr>
              <w:fldChar w:fldCharType="separate"/>
            </w:r>
            <w:r w:rsidRPr="00744A6C">
              <w:rPr>
                <w:rFonts w:cs="Times New Roman"/>
                <w:b/>
                <w:color w:val="000000" w:themeColor="text1"/>
                <w:kern w:val="0"/>
                <w:sz w:val="18"/>
                <w:szCs w:val="18"/>
              </w:rPr>
              <w:t>1.22774</w:t>
            </w:r>
            <w:r w:rsidRPr="00744A6C">
              <w:rPr>
                <w:rFonts w:cs="Times New Roman"/>
                <w:b/>
                <w:color w:val="000000" w:themeColor="text1"/>
                <w:kern w:val="0"/>
                <w:sz w:val="18"/>
                <w:szCs w:val="18"/>
              </w:rPr>
              <w:fldChar w:fldCharType="end"/>
            </w:r>
          </w:p>
        </w:tc>
      </w:tr>
    </w:tbl>
    <w:p w14:paraId="75C4D8A4" w14:textId="3D70B529" w:rsidR="00F8424D" w:rsidRPr="00F53169" w:rsidRDefault="00744A6C" w:rsidP="00F53169">
      <w:pPr>
        <w:autoSpaceDE w:val="0"/>
        <w:autoSpaceDN w:val="0"/>
        <w:adjustRightInd w:val="0"/>
        <w:spacing w:after="0" w:line="360" w:lineRule="auto"/>
        <w:jc w:val="both"/>
        <w:rPr>
          <w:rFonts w:cs="Times New Roman"/>
          <w:color w:val="000000" w:themeColor="text1"/>
          <w:kern w:val="0"/>
          <w:szCs w:val="24"/>
        </w:rPr>
      </w:pPr>
      <w:r w:rsidRPr="00744A6C">
        <w:rPr>
          <w:rFonts w:cs="Times New Roman"/>
          <w:b/>
          <w:bCs/>
          <w:color w:val="000000" w:themeColor="text1"/>
          <w:kern w:val="0"/>
          <w:szCs w:val="24"/>
        </w:rPr>
        <w:t>Source</w:t>
      </w:r>
      <w:r w:rsidRPr="00F32A8B">
        <w:rPr>
          <w:rFonts w:cs="Times New Roman"/>
          <w:b/>
          <w:bCs/>
          <w:color w:val="000000" w:themeColor="text1"/>
          <w:kern w:val="0"/>
          <w:szCs w:val="24"/>
        </w:rPr>
        <w:t>:</w:t>
      </w:r>
      <w:r w:rsidRPr="00744A6C">
        <w:rPr>
          <w:rFonts w:cs="Times New Roman"/>
          <w:color w:val="000000" w:themeColor="text1"/>
          <w:kern w:val="0"/>
          <w:szCs w:val="24"/>
        </w:rPr>
        <w:t xml:space="preserve"> Field</w:t>
      </w:r>
      <w:r w:rsidR="00262FA0" w:rsidRPr="00262FA0">
        <w:rPr>
          <w:rFonts w:eastAsia="Times New Roman" w:cs="Times New Roman"/>
          <w:color w:val="000000" w:themeColor="text1"/>
          <w:szCs w:val="24"/>
          <w:lang w:val="en-GB"/>
        </w:rPr>
        <w:t xml:space="preserve"> </w:t>
      </w:r>
      <w:r w:rsidR="00262FA0">
        <w:rPr>
          <w:rFonts w:eastAsia="Times New Roman" w:cs="Times New Roman"/>
          <w:color w:val="000000" w:themeColor="text1"/>
          <w:szCs w:val="24"/>
          <w:lang w:val="en-GB"/>
        </w:rPr>
        <w:t>Survey</w:t>
      </w:r>
      <w:r w:rsidRPr="00744A6C">
        <w:rPr>
          <w:rFonts w:cs="Times New Roman"/>
          <w:color w:val="000000" w:themeColor="text1"/>
          <w:kern w:val="0"/>
          <w:szCs w:val="24"/>
        </w:rPr>
        <w:t>, 202</w:t>
      </w:r>
      <w:r w:rsidR="00262FA0">
        <w:rPr>
          <w:rFonts w:cs="Times New Roman"/>
          <w:color w:val="000000" w:themeColor="text1"/>
          <w:kern w:val="0"/>
          <w:szCs w:val="24"/>
        </w:rPr>
        <w:t>5</w:t>
      </w:r>
    </w:p>
    <w:p w14:paraId="5A6F00E0" w14:textId="77777777" w:rsidR="008359F2" w:rsidRPr="008359F2" w:rsidRDefault="008359F2" w:rsidP="00FC164E">
      <w:pPr>
        <w:spacing w:before="100" w:beforeAutospacing="1" w:after="100" w:afterAutospacing="1" w:line="360" w:lineRule="auto"/>
        <w:jc w:val="both"/>
        <w:rPr>
          <w:rFonts w:eastAsia="Times New Roman" w:cs="Times New Roman"/>
          <w:kern w:val="0"/>
          <w:szCs w:val="24"/>
        </w:rPr>
      </w:pPr>
      <w:bookmarkStart w:id="26" w:name="_Toc135044190"/>
      <w:bookmarkStart w:id="27" w:name="_Toc190215908"/>
      <w:r w:rsidRPr="008359F2">
        <w:rPr>
          <w:rFonts w:eastAsia="Times New Roman" w:cs="Times New Roman"/>
          <w:kern w:val="0"/>
          <w:szCs w:val="24"/>
        </w:rPr>
        <w:t>Stakeholder engagement in the utility sector exhibits moderate effectiveness, with existing feedback mechanisms (M=3.35, SD=1.39), yet encouragement of stakeholder input remains insufficient (M=2.88, SD=1.34), highlighting challenges in fostering active participation (</w:t>
      </w:r>
      <w:proofErr w:type="spellStart"/>
      <w:r w:rsidRPr="008359F2">
        <w:rPr>
          <w:rFonts w:eastAsia="Times New Roman" w:cs="Times New Roman"/>
          <w:kern w:val="0"/>
          <w:szCs w:val="24"/>
        </w:rPr>
        <w:t>Mugera</w:t>
      </w:r>
      <w:proofErr w:type="spellEnd"/>
      <w:r w:rsidRPr="008359F2">
        <w:rPr>
          <w:rFonts w:eastAsia="Times New Roman" w:cs="Times New Roman"/>
          <w:kern w:val="0"/>
          <w:szCs w:val="24"/>
        </w:rPr>
        <w:t xml:space="preserve">, 2024; Nyangoma, 2023). Limited solicitation of feedback (M=2.96, SD=1.29) and weak integration into decision-making (M=2.79, SD=1.19) further </w:t>
      </w:r>
      <w:proofErr w:type="spellStart"/>
      <w:r w:rsidRPr="008359F2">
        <w:rPr>
          <w:rFonts w:eastAsia="Times New Roman" w:cs="Times New Roman"/>
          <w:kern w:val="0"/>
          <w:szCs w:val="24"/>
        </w:rPr>
        <w:t>emphasise</w:t>
      </w:r>
      <w:proofErr w:type="spellEnd"/>
      <w:r w:rsidRPr="008359F2">
        <w:rPr>
          <w:rFonts w:eastAsia="Times New Roman" w:cs="Times New Roman"/>
          <w:kern w:val="0"/>
          <w:szCs w:val="24"/>
        </w:rPr>
        <w:t xml:space="preserve"> engagement shortcomings (</w:t>
      </w:r>
      <w:proofErr w:type="spellStart"/>
      <w:r w:rsidRPr="008359F2">
        <w:rPr>
          <w:rFonts w:eastAsia="Times New Roman" w:cs="Times New Roman"/>
          <w:kern w:val="0"/>
          <w:szCs w:val="24"/>
        </w:rPr>
        <w:t>Basalirwa</w:t>
      </w:r>
      <w:proofErr w:type="spellEnd"/>
      <w:r w:rsidRPr="008359F2">
        <w:rPr>
          <w:rFonts w:eastAsia="Times New Roman" w:cs="Times New Roman"/>
          <w:kern w:val="0"/>
          <w:szCs w:val="24"/>
        </w:rPr>
        <w:t>, 2024; Wandera, 2023).</w:t>
      </w:r>
    </w:p>
    <w:p w14:paraId="6F816AD6" w14:textId="77777777" w:rsidR="008359F2" w:rsidRPr="008359F2" w:rsidRDefault="008359F2" w:rsidP="00FC164E">
      <w:pPr>
        <w:spacing w:before="100" w:beforeAutospacing="1" w:after="100" w:afterAutospacing="1" w:line="360" w:lineRule="auto"/>
        <w:jc w:val="both"/>
        <w:rPr>
          <w:rFonts w:eastAsia="Times New Roman" w:cs="Times New Roman"/>
          <w:kern w:val="0"/>
          <w:szCs w:val="24"/>
        </w:rPr>
      </w:pPr>
      <w:r w:rsidRPr="008359F2">
        <w:rPr>
          <w:rFonts w:eastAsia="Times New Roman" w:cs="Times New Roman"/>
          <w:kern w:val="0"/>
          <w:szCs w:val="24"/>
        </w:rPr>
        <w:t>Stakeholder response mechanisms (M=2.91, SD=1.29) and collaboration efforts (M=2.94, SD=1.26) reveal inefficiencies, aligning with studies examining public enterprise partnerships (Arinaitwe, 2024; Namata, 2023). Addressing stakeholder needs presents the greatest challenge, with the lowest score recorded (M=2.48, SD=1.25), underscoring deficiencies in inclusive decision-making (Kaweesa, 2024; Nakimuli, 2023).</w:t>
      </w:r>
    </w:p>
    <w:p w14:paraId="6BDC3B95" w14:textId="3FEC2D69" w:rsidR="008359F2" w:rsidRPr="00FC164E" w:rsidRDefault="008359F2" w:rsidP="00FC164E">
      <w:pPr>
        <w:spacing w:before="100" w:beforeAutospacing="1" w:after="100" w:afterAutospacing="1" w:line="360" w:lineRule="auto"/>
        <w:jc w:val="both"/>
        <w:rPr>
          <w:rFonts w:eastAsia="Times New Roman" w:cs="Times New Roman"/>
          <w:kern w:val="0"/>
          <w:szCs w:val="24"/>
        </w:rPr>
      </w:pPr>
      <w:r w:rsidRPr="008359F2">
        <w:rPr>
          <w:rFonts w:eastAsia="Times New Roman" w:cs="Times New Roman"/>
          <w:kern w:val="0"/>
          <w:szCs w:val="24"/>
        </w:rPr>
        <w:t xml:space="preserve">Collaboration outcomes (M=3.52, SD=1.30) and transparency (M=3.50, SD=1.11) demonstrate that engagement, when effectively implemented, leads to beneficial results (Nabasa, 2024; Kisembo, 2023). The overall mean score (M=3.00, SD=1.27) indicates moderate yet suboptimal </w:t>
      </w:r>
      <w:r w:rsidRPr="008359F2">
        <w:rPr>
          <w:rFonts w:eastAsia="Times New Roman" w:cs="Times New Roman"/>
          <w:kern w:val="0"/>
          <w:szCs w:val="24"/>
        </w:rPr>
        <w:lastRenderedPageBreak/>
        <w:t xml:space="preserve">performance, reinforcing the necessity of strengthening stakeholder involvement, particularly in active participation and feedback </w:t>
      </w:r>
      <w:proofErr w:type="spellStart"/>
      <w:r w:rsidRPr="008359F2">
        <w:rPr>
          <w:rFonts w:eastAsia="Times New Roman" w:cs="Times New Roman"/>
          <w:kern w:val="0"/>
          <w:szCs w:val="24"/>
        </w:rPr>
        <w:t>utilisation</w:t>
      </w:r>
      <w:proofErr w:type="spellEnd"/>
      <w:r w:rsidRPr="008359F2">
        <w:rPr>
          <w:rFonts w:eastAsia="Times New Roman" w:cs="Times New Roman"/>
          <w:kern w:val="0"/>
          <w:szCs w:val="24"/>
        </w:rPr>
        <w:t>, to improve decision-making and service delivery (Muwonge, 2024).</w:t>
      </w:r>
    </w:p>
    <w:p w14:paraId="47AFAC4A" w14:textId="4BC551B4" w:rsidR="00F8424D" w:rsidRPr="0085501D" w:rsidRDefault="00F8424D" w:rsidP="00FC164E">
      <w:pPr>
        <w:keepNext/>
        <w:keepLines/>
        <w:spacing w:after="0" w:line="360" w:lineRule="auto"/>
        <w:jc w:val="both"/>
        <w:outlineLvl w:val="1"/>
        <w:rPr>
          <w:rFonts w:eastAsiaTheme="majorEastAsia" w:cs="Times New Roman"/>
          <w:bCs/>
          <w:i/>
          <w:iCs/>
          <w:color w:val="000000" w:themeColor="text1"/>
          <w:szCs w:val="26"/>
        </w:rPr>
      </w:pPr>
      <w:r w:rsidRPr="0085501D">
        <w:rPr>
          <w:rFonts w:eastAsiaTheme="majorEastAsia" w:cs="Times New Roman"/>
          <w:bCs/>
          <w:i/>
          <w:iCs/>
          <w:color w:val="000000" w:themeColor="text1"/>
          <w:szCs w:val="26"/>
        </w:rPr>
        <w:t>4.4 Correlation Analysis</w:t>
      </w:r>
      <w:bookmarkEnd w:id="26"/>
      <w:bookmarkEnd w:id="27"/>
      <w:r w:rsidRPr="0085501D">
        <w:rPr>
          <w:rFonts w:eastAsiaTheme="majorEastAsia" w:cs="Times New Roman"/>
          <w:bCs/>
          <w:i/>
          <w:iCs/>
          <w:color w:val="000000" w:themeColor="text1"/>
          <w:szCs w:val="26"/>
        </w:rPr>
        <w:t xml:space="preserve"> on </w:t>
      </w:r>
      <w:r w:rsidRPr="0085501D">
        <w:rPr>
          <w:rFonts w:eastAsia="Times New Roman" w:cs="Times New Roman"/>
          <w:bCs/>
          <w:i/>
          <w:iCs/>
          <w:color w:val="000000" w:themeColor="text1"/>
          <w:kern w:val="0"/>
          <w:szCs w:val="24"/>
          <w:shd w:val="clear" w:color="auto" w:fill="FFFFFF"/>
        </w:rPr>
        <w:t>Stakeholders Participation and Service Delivery</w:t>
      </w:r>
    </w:p>
    <w:p w14:paraId="74BE3E64" w14:textId="669ACD82" w:rsidR="00F53169" w:rsidRPr="00262FA0" w:rsidRDefault="008359F2" w:rsidP="00FC164E">
      <w:pPr>
        <w:spacing w:after="200" w:line="360" w:lineRule="auto"/>
        <w:jc w:val="both"/>
      </w:pPr>
      <w:bookmarkStart w:id="28" w:name="_Toc190215838"/>
      <w:r>
        <w:t xml:space="preserve">Correlation analysis on stakeholder participation and service delivery examined the strength and direction of their relationship, assessing how engagement levels influence service effectiveness. Higher stakeholder involvement is expected to correspond with improved service quality, responsiveness, and operational efficiency. Establishing this relationship offers empirical insights that inform policy enhancements and strategic measures aimed at strengthening stakeholder engagement to </w:t>
      </w:r>
      <w:proofErr w:type="spellStart"/>
      <w:r>
        <w:t>optimise</w:t>
      </w:r>
      <w:proofErr w:type="spellEnd"/>
      <w:r>
        <w:t xml:space="preserve"> service delivery outcomes (Muwonge, 2024; Nabasa, 2024; Nyangoma, 2023).</w:t>
      </w:r>
    </w:p>
    <w:p w14:paraId="455560FA" w14:textId="33CBC060" w:rsidR="00F8424D" w:rsidRPr="00F8424D" w:rsidRDefault="00F8424D" w:rsidP="00FC164E">
      <w:pPr>
        <w:spacing w:after="200" w:line="360" w:lineRule="auto"/>
        <w:jc w:val="both"/>
        <w:rPr>
          <w:rFonts w:eastAsia="Times New Roman" w:cs="Times New Roman"/>
          <w:b/>
          <w:iCs/>
          <w:color w:val="000000" w:themeColor="text1"/>
          <w:kern w:val="0"/>
          <w:szCs w:val="24"/>
        </w:rPr>
      </w:pPr>
      <w:r w:rsidRPr="00F8424D">
        <w:rPr>
          <w:rFonts w:eastAsia="Calibri" w:cs="Times New Roman"/>
          <w:b/>
          <w:iCs/>
          <w:color w:val="000000" w:themeColor="text1"/>
          <w:kern w:val="0"/>
          <w:szCs w:val="18"/>
        </w:rPr>
        <w:t xml:space="preserve">Table </w:t>
      </w:r>
      <w:r w:rsidR="004812DF">
        <w:rPr>
          <w:rFonts w:eastAsia="Calibri" w:cs="Times New Roman"/>
          <w:b/>
          <w:iCs/>
          <w:color w:val="000000" w:themeColor="text1"/>
          <w:kern w:val="0"/>
          <w:szCs w:val="18"/>
        </w:rPr>
        <w:t>7</w:t>
      </w:r>
      <w:r w:rsidRPr="00F8424D">
        <w:rPr>
          <w:rFonts w:eastAsia="Calibri" w:cs="Times New Roman"/>
          <w:b/>
          <w:iCs/>
          <w:color w:val="000000" w:themeColor="text1"/>
          <w:kern w:val="0"/>
          <w:szCs w:val="18"/>
        </w:rPr>
        <w:t xml:space="preserve">: </w:t>
      </w:r>
      <w:r w:rsidRPr="00F8424D">
        <w:rPr>
          <w:rFonts w:eastAsia="Times New Roman" w:cs="Times New Roman"/>
          <w:b/>
          <w:iCs/>
          <w:color w:val="000000" w:themeColor="text1"/>
          <w:kern w:val="0"/>
          <w:szCs w:val="24"/>
        </w:rPr>
        <w:t>Correlation Matrix</w:t>
      </w:r>
      <w:bookmarkEnd w:id="28"/>
    </w:p>
    <w:tbl>
      <w:tblPr>
        <w:tblW w:w="618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054"/>
        <w:gridCol w:w="1669"/>
        <w:gridCol w:w="1231"/>
        <w:gridCol w:w="1232"/>
      </w:tblGrid>
      <w:tr w:rsidR="00F8424D" w:rsidRPr="00F32A8B" w14:paraId="438BF10D" w14:textId="77777777" w:rsidTr="00F8424D">
        <w:trPr>
          <w:cantSplit/>
          <w:trHeight w:val="625"/>
        </w:trPr>
        <w:tc>
          <w:tcPr>
            <w:tcW w:w="3723" w:type="dxa"/>
            <w:gridSpan w:val="2"/>
            <w:tcBorders>
              <w:bottom w:val="single" w:sz="4" w:space="0" w:color="auto"/>
            </w:tcBorders>
            <w:shd w:val="clear" w:color="auto" w:fill="FFFFFF"/>
            <w:vAlign w:val="bottom"/>
          </w:tcPr>
          <w:p w14:paraId="0C5C8EBC" w14:textId="77777777" w:rsidR="00F8424D" w:rsidRPr="00F8424D" w:rsidRDefault="00F8424D" w:rsidP="00FC164E">
            <w:pPr>
              <w:autoSpaceDE w:val="0"/>
              <w:autoSpaceDN w:val="0"/>
              <w:adjustRightInd w:val="0"/>
              <w:spacing w:after="0" w:line="360" w:lineRule="auto"/>
              <w:jc w:val="both"/>
              <w:rPr>
                <w:rFonts w:cs="Times New Roman"/>
                <w:color w:val="000000" w:themeColor="text1"/>
                <w:kern w:val="0"/>
                <w:szCs w:val="24"/>
              </w:rPr>
            </w:pPr>
          </w:p>
        </w:tc>
        <w:tc>
          <w:tcPr>
            <w:tcW w:w="1231" w:type="dxa"/>
            <w:tcBorders>
              <w:bottom w:val="single" w:sz="4" w:space="0" w:color="auto"/>
            </w:tcBorders>
            <w:shd w:val="clear" w:color="auto" w:fill="FFFFFF"/>
            <w:vAlign w:val="bottom"/>
          </w:tcPr>
          <w:p w14:paraId="15C3B05C"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proofErr w:type="spellStart"/>
            <w:r w:rsidRPr="00F8424D">
              <w:rPr>
                <w:rFonts w:cs="Times New Roman"/>
                <w:color w:val="000000" w:themeColor="text1"/>
                <w:kern w:val="0"/>
                <w:sz w:val="18"/>
                <w:szCs w:val="18"/>
              </w:rPr>
              <w:t>StakeholdersParticipation</w:t>
            </w:r>
            <w:proofErr w:type="spellEnd"/>
          </w:p>
        </w:tc>
        <w:tc>
          <w:tcPr>
            <w:tcW w:w="1232" w:type="dxa"/>
            <w:tcBorders>
              <w:bottom w:val="single" w:sz="4" w:space="0" w:color="auto"/>
            </w:tcBorders>
            <w:shd w:val="clear" w:color="auto" w:fill="FFFFFF"/>
            <w:vAlign w:val="bottom"/>
          </w:tcPr>
          <w:p w14:paraId="0F517897"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proofErr w:type="spellStart"/>
            <w:r w:rsidRPr="00F8424D">
              <w:rPr>
                <w:rFonts w:cs="Times New Roman"/>
                <w:color w:val="000000" w:themeColor="text1"/>
                <w:kern w:val="0"/>
                <w:sz w:val="18"/>
                <w:szCs w:val="18"/>
              </w:rPr>
              <w:t>ServiceDelivery</w:t>
            </w:r>
            <w:proofErr w:type="spellEnd"/>
          </w:p>
        </w:tc>
      </w:tr>
      <w:tr w:rsidR="00F8424D" w:rsidRPr="00F32A8B" w14:paraId="507FA8F6" w14:textId="77777777" w:rsidTr="00F8424D">
        <w:trPr>
          <w:cantSplit/>
          <w:trHeight w:val="327"/>
        </w:trPr>
        <w:tc>
          <w:tcPr>
            <w:tcW w:w="2054" w:type="dxa"/>
            <w:vMerge w:val="restart"/>
            <w:shd w:val="clear" w:color="auto" w:fill="auto"/>
          </w:tcPr>
          <w:p w14:paraId="5D199393" w14:textId="7F0DE6A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bookmarkStart w:id="29" w:name="_Hlk191744012"/>
            <w:r w:rsidRPr="00F8424D">
              <w:rPr>
                <w:rFonts w:cs="Times New Roman"/>
                <w:color w:val="000000" w:themeColor="text1"/>
                <w:kern w:val="0"/>
                <w:sz w:val="18"/>
                <w:szCs w:val="18"/>
              </w:rPr>
              <w:t>Stakeholder</w:t>
            </w:r>
            <w:r w:rsidR="006530EF" w:rsidRPr="00F32A8B">
              <w:rPr>
                <w:rFonts w:cs="Times New Roman"/>
                <w:color w:val="000000" w:themeColor="text1"/>
                <w:kern w:val="0"/>
                <w:sz w:val="18"/>
                <w:szCs w:val="18"/>
              </w:rPr>
              <w:t xml:space="preserve"> </w:t>
            </w:r>
            <w:r w:rsidRPr="00F8424D">
              <w:rPr>
                <w:rFonts w:cs="Times New Roman"/>
                <w:color w:val="000000" w:themeColor="text1"/>
                <w:kern w:val="0"/>
                <w:sz w:val="18"/>
                <w:szCs w:val="18"/>
              </w:rPr>
              <w:t>Participation</w:t>
            </w:r>
            <w:bookmarkEnd w:id="29"/>
          </w:p>
        </w:tc>
        <w:tc>
          <w:tcPr>
            <w:tcW w:w="1669" w:type="dxa"/>
            <w:shd w:val="clear" w:color="auto" w:fill="auto"/>
          </w:tcPr>
          <w:p w14:paraId="393F60D2"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F8424D">
              <w:rPr>
                <w:rFonts w:cs="Times New Roman"/>
                <w:color w:val="000000" w:themeColor="text1"/>
                <w:kern w:val="0"/>
                <w:sz w:val="18"/>
                <w:szCs w:val="18"/>
              </w:rPr>
              <w:t>Pearson Correlation</w:t>
            </w:r>
          </w:p>
        </w:tc>
        <w:tc>
          <w:tcPr>
            <w:tcW w:w="1231" w:type="dxa"/>
            <w:shd w:val="clear" w:color="auto" w:fill="auto"/>
          </w:tcPr>
          <w:p w14:paraId="47E32C58"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F8424D">
              <w:rPr>
                <w:rFonts w:cs="Times New Roman"/>
                <w:color w:val="000000" w:themeColor="text1"/>
                <w:kern w:val="0"/>
                <w:sz w:val="18"/>
                <w:szCs w:val="18"/>
              </w:rPr>
              <w:t>1</w:t>
            </w:r>
          </w:p>
        </w:tc>
        <w:tc>
          <w:tcPr>
            <w:tcW w:w="1232" w:type="dxa"/>
            <w:shd w:val="clear" w:color="auto" w:fill="auto"/>
          </w:tcPr>
          <w:p w14:paraId="712917B7"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F8424D">
              <w:rPr>
                <w:rFonts w:cs="Times New Roman"/>
                <w:color w:val="000000" w:themeColor="text1"/>
                <w:kern w:val="0"/>
                <w:sz w:val="18"/>
                <w:szCs w:val="18"/>
              </w:rPr>
              <w:t>.471</w:t>
            </w:r>
            <w:r w:rsidRPr="00F8424D">
              <w:rPr>
                <w:rFonts w:cs="Times New Roman"/>
                <w:color w:val="000000" w:themeColor="text1"/>
                <w:kern w:val="0"/>
                <w:sz w:val="18"/>
                <w:szCs w:val="18"/>
                <w:vertAlign w:val="superscript"/>
              </w:rPr>
              <w:t>**</w:t>
            </w:r>
          </w:p>
        </w:tc>
      </w:tr>
      <w:tr w:rsidR="00F8424D" w:rsidRPr="00F32A8B" w14:paraId="4201A54C" w14:textId="77777777" w:rsidTr="00F8424D">
        <w:trPr>
          <w:cantSplit/>
          <w:trHeight w:val="143"/>
        </w:trPr>
        <w:tc>
          <w:tcPr>
            <w:tcW w:w="2054" w:type="dxa"/>
            <w:vMerge/>
            <w:shd w:val="clear" w:color="auto" w:fill="auto"/>
          </w:tcPr>
          <w:p w14:paraId="4C81CB58" w14:textId="77777777" w:rsidR="00F8424D" w:rsidRPr="00F8424D" w:rsidRDefault="00F8424D" w:rsidP="00FC164E">
            <w:pPr>
              <w:autoSpaceDE w:val="0"/>
              <w:autoSpaceDN w:val="0"/>
              <w:adjustRightInd w:val="0"/>
              <w:spacing w:after="0" w:line="360" w:lineRule="auto"/>
              <w:jc w:val="both"/>
              <w:rPr>
                <w:rFonts w:cs="Times New Roman"/>
                <w:color w:val="000000" w:themeColor="text1"/>
                <w:kern w:val="0"/>
                <w:sz w:val="18"/>
                <w:szCs w:val="18"/>
              </w:rPr>
            </w:pPr>
          </w:p>
        </w:tc>
        <w:tc>
          <w:tcPr>
            <w:tcW w:w="1669" w:type="dxa"/>
            <w:shd w:val="clear" w:color="auto" w:fill="auto"/>
          </w:tcPr>
          <w:p w14:paraId="2A62D0FA"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F8424D">
              <w:rPr>
                <w:rFonts w:cs="Times New Roman"/>
                <w:color w:val="000000" w:themeColor="text1"/>
                <w:kern w:val="0"/>
                <w:sz w:val="18"/>
                <w:szCs w:val="18"/>
              </w:rPr>
              <w:t>Sig. (2-tailed)</w:t>
            </w:r>
          </w:p>
        </w:tc>
        <w:tc>
          <w:tcPr>
            <w:tcW w:w="1231" w:type="dxa"/>
            <w:shd w:val="clear" w:color="auto" w:fill="auto"/>
            <w:vAlign w:val="center"/>
          </w:tcPr>
          <w:p w14:paraId="35A13BEA" w14:textId="77777777" w:rsidR="00F8424D" w:rsidRPr="00F8424D" w:rsidRDefault="00F8424D" w:rsidP="00FC164E">
            <w:pPr>
              <w:autoSpaceDE w:val="0"/>
              <w:autoSpaceDN w:val="0"/>
              <w:adjustRightInd w:val="0"/>
              <w:spacing w:after="0" w:line="360" w:lineRule="auto"/>
              <w:jc w:val="both"/>
              <w:rPr>
                <w:rFonts w:cs="Times New Roman"/>
                <w:color w:val="000000" w:themeColor="text1"/>
                <w:kern w:val="0"/>
                <w:szCs w:val="24"/>
              </w:rPr>
            </w:pPr>
          </w:p>
        </w:tc>
        <w:tc>
          <w:tcPr>
            <w:tcW w:w="1232" w:type="dxa"/>
            <w:shd w:val="clear" w:color="auto" w:fill="auto"/>
          </w:tcPr>
          <w:p w14:paraId="05845D73"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F8424D">
              <w:rPr>
                <w:rFonts w:cs="Times New Roman"/>
                <w:color w:val="000000" w:themeColor="text1"/>
                <w:kern w:val="0"/>
                <w:sz w:val="18"/>
                <w:szCs w:val="18"/>
              </w:rPr>
              <w:t>.000</w:t>
            </w:r>
          </w:p>
        </w:tc>
      </w:tr>
      <w:tr w:rsidR="00F8424D" w:rsidRPr="00F32A8B" w14:paraId="3E606274" w14:textId="77777777" w:rsidTr="00F8424D">
        <w:trPr>
          <w:cantSplit/>
          <w:trHeight w:val="143"/>
        </w:trPr>
        <w:tc>
          <w:tcPr>
            <w:tcW w:w="2054" w:type="dxa"/>
            <w:vMerge/>
            <w:shd w:val="clear" w:color="auto" w:fill="auto"/>
          </w:tcPr>
          <w:p w14:paraId="542F2801" w14:textId="77777777" w:rsidR="00F8424D" w:rsidRPr="00F8424D" w:rsidRDefault="00F8424D" w:rsidP="00FC164E">
            <w:pPr>
              <w:autoSpaceDE w:val="0"/>
              <w:autoSpaceDN w:val="0"/>
              <w:adjustRightInd w:val="0"/>
              <w:spacing w:after="0" w:line="360" w:lineRule="auto"/>
              <w:jc w:val="both"/>
              <w:rPr>
                <w:rFonts w:cs="Times New Roman"/>
                <w:color w:val="000000" w:themeColor="text1"/>
                <w:kern w:val="0"/>
                <w:sz w:val="18"/>
                <w:szCs w:val="18"/>
              </w:rPr>
            </w:pPr>
          </w:p>
        </w:tc>
        <w:tc>
          <w:tcPr>
            <w:tcW w:w="1669" w:type="dxa"/>
            <w:shd w:val="clear" w:color="auto" w:fill="auto"/>
          </w:tcPr>
          <w:p w14:paraId="301E8E93"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F8424D">
              <w:rPr>
                <w:rFonts w:cs="Times New Roman"/>
                <w:color w:val="000000" w:themeColor="text1"/>
                <w:kern w:val="0"/>
                <w:sz w:val="18"/>
                <w:szCs w:val="18"/>
              </w:rPr>
              <w:t>N</w:t>
            </w:r>
          </w:p>
        </w:tc>
        <w:tc>
          <w:tcPr>
            <w:tcW w:w="1231" w:type="dxa"/>
            <w:shd w:val="clear" w:color="auto" w:fill="auto"/>
          </w:tcPr>
          <w:p w14:paraId="65F5EF83"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F8424D">
              <w:rPr>
                <w:rFonts w:cs="Times New Roman"/>
                <w:color w:val="000000" w:themeColor="text1"/>
                <w:kern w:val="0"/>
                <w:sz w:val="18"/>
                <w:szCs w:val="18"/>
              </w:rPr>
              <w:t>163</w:t>
            </w:r>
          </w:p>
        </w:tc>
        <w:tc>
          <w:tcPr>
            <w:tcW w:w="1232" w:type="dxa"/>
            <w:shd w:val="clear" w:color="auto" w:fill="auto"/>
          </w:tcPr>
          <w:p w14:paraId="26F27432"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F8424D">
              <w:rPr>
                <w:rFonts w:cs="Times New Roman"/>
                <w:color w:val="000000" w:themeColor="text1"/>
                <w:kern w:val="0"/>
                <w:sz w:val="18"/>
                <w:szCs w:val="18"/>
              </w:rPr>
              <w:t>163</w:t>
            </w:r>
          </w:p>
        </w:tc>
      </w:tr>
      <w:tr w:rsidR="00F8424D" w:rsidRPr="00F32A8B" w14:paraId="58F48011" w14:textId="77777777" w:rsidTr="00F8424D">
        <w:trPr>
          <w:cantSplit/>
          <w:trHeight w:val="327"/>
        </w:trPr>
        <w:tc>
          <w:tcPr>
            <w:tcW w:w="2054" w:type="dxa"/>
            <w:vMerge w:val="restart"/>
            <w:shd w:val="clear" w:color="auto" w:fill="auto"/>
          </w:tcPr>
          <w:p w14:paraId="12ADD023" w14:textId="0AFC268E"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bookmarkStart w:id="30" w:name="_Hlk191743986"/>
            <w:r w:rsidRPr="00F8424D">
              <w:rPr>
                <w:rFonts w:cs="Times New Roman"/>
                <w:color w:val="000000" w:themeColor="text1"/>
                <w:kern w:val="0"/>
                <w:sz w:val="18"/>
                <w:szCs w:val="18"/>
              </w:rPr>
              <w:t>Service</w:t>
            </w:r>
            <w:r w:rsidR="006530EF" w:rsidRPr="00F32A8B">
              <w:rPr>
                <w:rFonts w:cs="Times New Roman"/>
                <w:color w:val="000000" w:themeColor="text1"/>
                <w:kern w:val="0"/>
                <w:sz w:val="18"/>
                <w:szCs w:val="18"/>
              </w:rPr>
              <w:t xml:space="preserve"> </w:t>
            </w:r>
            <w:r w:rsidRPr="00F8424D">
              <w:rPr>
                <w:rFonts w:cs="Times New Roman"/>
                <w:color w:val="000000" w:themeColor="text1"/>
                <w:kern w:val="0"/>
                <w:sz w:val="18"/>
                <w:szCs w:val="18"/>
              </w:rPr>
              <w:t>Delivery</w:t>
            </w:r>
            <w:bookmarkEnd w:id="30"/>
          </w:p>
        </w:tc>
        <w:tc>
          <w:tcPr>
            <w:tcW w:w="1669" w:type="dxa"/>
            <w:shd w:val="clear" w:color="auto" w:fill="auto"/>
          </w:tcPr>
          <w:p w14:paraId="311699F2"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F8424D">
              <w:rPr>
                <w:rFonts w:cs="Times New Roman"/>
                <w:color w:val="000000" w:themeColor="text1"/>
                <w:kern w:val="0"/>
                <w:sz w:val="18"/>
                <w:szCs w:val="18"/>
              </w:rPr>
              <w:t>Pearson Correlation</w:t>
            </w:r>
          </w:p>
        </w:tc>
        <w:tc>
          <w:tcPr>
            <w:tcW w:w="1231" w:type="dxa"/>
            <w:shd w:val="clear" w:color="auto" w:fill="auto"/>
          </w:tcPr>
          <w:p w14:paraId="6DE0FFAC"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F8424D">
              <w:rPr>
                <w:rFonts w:cs="Times New Roman"/>
                <w:color w:val="000000" w:themeColor="text1"/>
                <w:kern w:val="0"/>
                <w:sz w:val="18"/>
                <w:szCs w:val="18"/>
              </w:rPr>
              <w:t>.471</w:t>
            </w:r>
            <w:r w:rsidRPr="00F8424D">
              <w:rPr>
                <w:rFonts w:cs="Times New Roman"/>
                <w:color w:val="000000" w:themeColor="text1"/>
                <w:kern w:val="0"/>
                <w:sz w:val="18"/>
                <w:szCs w:val="18"/>
                <w:vertAlign w:val="superscript"/>
              </w:rPr>
              <w:t>**</w:t>
            </w:r>
          </w:p>
        </w:tc>
        <w:tc>
          <w:tcPr>
            <w:tcW w:w="1232" w:type="dxa"/>
            <w:shd w:val="clear" w:color="auto" w:fill="auto"/>
          </w:tcPr>
          <w:p w14:paraId="6BBD51B5"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F8424D">
              <w:rPr>
                <w:rFonts w:cs="Times New Roman"/>
                <w:color w:val="000000" w:themeColor="text1"/>
                <w:kern w:val="0"/>
                <w:sz w:val="18"/>
                <w:szCs w:val="18"/>
              </w:rPr>
              <w:t>1</w:t>
            </w:r>
          </w:p>
        </w:tc>
      </w:tr>
      <w:tr w:rsidR="00F8424D" w:rsidRPr="00F32A8B" w14:paraId="0E0966A4" w14:textId="77777777" w:rsidTr="00F8424D">
        <w:trPr>
          <w:cantSplit/>
          <w:trHeight w:val="143"/>
        </w:trPr>
        <w:tc>
          <w:tcPr>
            <w:tcW w:w="2054" w:type="dxa"/>
            <w:vMerge/>
            <w:shd w:val="clear" w:color="auto" w:fill="auto"/>
          </w:tcPr>
          <w:p w14:paraId="36E1FAFF" w14:textId="77777777" w:rsidR="00F8424D" w:rsidRPr="00F8424D" w:rsidRDefault="00F8424D" w:rsidP="00FC164E">
            <w:pPr>
              <w:autoSpaceDE w:val="0"/>
              <w:autoSpaceDN w:val="0"/>
              <w:adjustRightInd w:val="0"/>
              <w:spacing w:after="0" w:line="360" w:lineRule="auto"/>
              <w:jc w:val="both"/>
              <w:rPr>
                <w:rFonts w:cs="Times New Roman"/>
                <w:color w:val="000000" w:themeColor="text1"/>
                <w:kern w:val="0"/>
                <w:sz w:val="18"/>
                <w:szCs w:val="18"/>
              </w:rPr>
            </w:pPr>
          </w:p>
        </w:tc>
        <w:tc>
          <w:tcPr>
            <w:tcW w:w="1669" w:type="dxa"/>
            <w:shd w:val="clear" w:color="auto" w:fill="auto"/>
          </w:tcPr>
          <w:p w14:paraId="1666D4EB"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F8424D">
              <w:rPr>
                <w:rFonts w:cs="Times New Roman"/>
                <w:color w:val="000000" w:themeColor="text1"/>
                <w:kern w:val="0"/>
                <w:sz w:val="18"/>
                <w:szCs w:val="18"/>
              </w:rPr>
              <w:t>Sig. (2-tailed)</w:t>
            </w:r>
          </w:p>
        </w:tc>
        <w:tc>
          <w:tcPr>
            <w:tcW w:w="1231" w:type="dxa"/>
            <w:shd w:val="clear" w:color="auto" w:fill="auto"/>
          </w:tcPr>
          <w:p w14:paraId="1BFA1B84"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F8424D">
              <w:rPr>
                <w:rFonts w:cs="Times New Roman"/>
                <w:color w:val="000000" w:themeColor="text1"/>
                <w:kern w:val="0"/>
                <w:sz w:val="18"/>
                <w:szCs w:val="18"/>
              </w:rPr>
              <w:t>.000</w:t>
            </w:r>
          </w:p>
        </w:tc>
        <w:tc>
          <w:tcPr>
            <w:tcW w:w="1232" w:type="dxa"/>
            <w:shd w:val="clear" w:color="auto" w:fill="auto"/>
            <w:vAlign w:val="center"/>
          </w:tcPr>
          <w:p w14:paraId="64FE622E" w14:textId="77777777" w:rsidR="00F8424D" w:rsidRPr="00F8424D" w:rsidRDefault="00F8424D" w:rsidP="00FC164E">
            <w:pPr>
              <w:autoSpaceDE w:val="0"/>
              <w:autoSpaceDN w:val="0"/>
              <w:adjustRightInd w:val="0"/>
              <w:spacing w:after="0" w:line="360" w:lineRule="auto"/>
              <w:jc w:val="both"/>
              <w:rPr>
                <w:rFonts w:cs="Times New Roman"/>
                <w:color w:val="000000" w:themeColor="text1"/>
                <w:kern w:val="0"/>
                <w:szCs w:val="24"/>
              </w:rPr>
            </w:pPr>
          </w:p>
        </w:tc>
      </w:tr>
      <w:tr w:rsidR="00F8424D" w:rsidRPr="00F32A8B" w14:paraId="682C7F4B" w14:textId="77777777" w:rsidTr="00F8424D">
        <w:trPr>
          <w:cantSplit/>
          <w:trHeight w:val="143"/>
        </w:trPr>
        <w:tc>
          <w:tcPr>
            <w:tcW w:w="2054" w:type="dxa"/>
            <w:vMerge/>
            <w:shd w:val="clear" w:color="auto" w:fill="auto"/>
          </w:tcPr>
          <w:p w14:paraId="19B35295" w14:textId="77777777" w:rsidR="00F8424D" w:rsidRPr="00F8424D" w:rsidRDefault="00F8424D" w:rsidP="00FC164E">
            <w:pPr>
              <w:autoSpaceDE w:val="0"/>
              <w:autoSpaceDN w:val="0"/>
              <w:adjustRightInd w:val="0"/>
              <w:spacing w:after="0" w:line="360" w:lineRule="auto"/>
              <w:jc w:val="both"/>
              <w:rPr>
                <w:rFonts w:cs="Times New Roman"/>
                <w:color w:val="000000" w:themeColor="text1"/>
                <w:kern w:val="0"/>
                <w:szCs w:val="24"/>
              </w:rPr>
            </w:pPr>
          </w:p>
        </w:tc>
        <w:tc>
          <w:tcPr>
            <w:tcW w:w="1669" w:type="dxa"/>
            <w:shd w:val="clear" w:color="auto" w:fill="auto"/>
          </w:tcPr>
          <w:p w14:paraId="0F73F007"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F8424D">
              <w:rPr>
                <w:rFonts w:cs="Times New Roman"/>
                <w:color w:val="000000" w:themeColor="text1"/>
                <w:kern w:val="0"/>
                <w:sz w:val="18"/>
                <w:szCs w:val="18"/>
              </w:rPr>
              <w:t>N</w:t>
            </w:r>
          </w:p>
        </w:tc>
        <w:tc>
          <w:tcPr>
            <w:tcW w:w="1231" w:type="dxa"/>
            <w:shd w:val="clear" w:color="auto" w:fill="auto"/>
          </w:tcPr>
          <w:p w14:paraId="63303AEC"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F8424D">
              <w:rPr>
                <w:rFonts w:cs="Times New Roman"/>
                <w:color w:val="000000" w:themeColor="text1"/>
                <w:kern w:val="0"/>
                <w:sz w:val="18"/>
                <w:szCs w:val="18"/>
              </w:rPr>
              <w:t>163</w:t>
            </w:r>
          </w:p>
        </w:tc>
        <w:tc>
          <w:tcPr>
            <w:tcW w:w="1232" w:type="dxa"/>
            <w:shd w:val="clear" w:color="auto" w:fill="auto"/>
          </w:tcPr>
          <w:p w14:paraId="4C515B68"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F8424D">
              <w:rPr>
                <w:rFonts w:cs="Times New Roman"/>
                <w:color w:val="000000" w:themeColor="text1"/>
                <w:kern w:val="0"/>
                <w:sz w:val="18"/>
                <w:szCs w:val="18"/>
              </w:rPr>
              <w:t>163</w:t>
            </w:r>
          </w:p>
        </w:tc>
      </w:tr>
    </w:tbl>
    <w:p w14:paraId="3B466A2D" w14:textId="5F1180D1" w:rsidR="00F8424D" w:rsidRPr="00D84C0B" w:rsidRDefault="006530EF" w:rsidP="00FC164E">
      <w:pPr>
        <w:autoSpaceDE w:val="0"/>
        <w:autoSpaceDN w:val="0"/>
        <w:adjustRightInd w:val="0"/>
        <w:spacing w:after="0" w:line="360" w:lineRule="auto"/>
        <w:jc w:val="both"/>
        <w:rPr>
          <w:rFonts w:cs="Times New Roman"/>
          <w:color w:val="000000" w:themeColor="text1"/>
          <w:kern w:val="0"/>
          <w:sz w:val="18"/>
          <w:szCs w:val="18"/>
        </w:rPr>
      </w:pPr>
      <w:r w:rsidRPr="00D84C0B">
        <w:rPr>
          <w:rFonts w:cs="Times New Roman"/>
          <w:b/>
          <w:bCs/>
          <w:color w:val="000000" w:themeColor="text1"/>
          <w:kern w:val="0"/>
          <w:sz w:val="18"/>
          <w:szCs w:val="18"/>
        </w:rPr>
        <w:t>Source</w:t>
      </w:r>
      <w:r w:rsidRPr="00D84C0B">
        <w:rPr>
          <w:rFonts w:cs="Times New Roman"/>
          <w:color w:val="000000" w:themeColor="text1"/>
          <w:kern w:val="0"/>
          <w:sz w:val="18"/>
          <w:szCs w:val="18"/>
        </w:rPr>
        <w:t xml:space="preserve">: </w:t>
      </w:r>
      <w:r w:rsidR="00F8424D" w:rsidRPr="00D84C0B">
        <w:rPr>
          <w:rFonts w:cs="Times New Roman"/>
          <w:color w:val="000000" w:themeColor="text1"/>
          <w:kern w:val="0"/>
          <w:sz w:val="18"/>
          <w:szCs w:val="18"/>
        </w:rPr>
        <w:t>Field,</w:t>
      </w:r>
      <w:r w:rsidR="00262FA0" w:rsidRPr="00D84C0B">
        <w:rPr>
          <w:rFonts w:eastAsia="Times New Roman" w:cs="Times New Roman"/>
          <w:color w:val="000000" w:themeColor="text1"/>
          <w:sz w:val="18"/>
          <w:szCs w:val="18"/>
          <w:lang w:val="en-GB"/>
        </w:rPr>
        <w:t xml:space="preserve"> survey</w:t>
      </w:r>
      <w:r w:rsidR="00F8424D" w:rsidRPr="00D84C0B">
        <w:rPr>
          <w:rFonts w:cs="Times New Roman"/>
          <w:color w:val="000000" w:themeColor="text1"/>
          <w:kern w:val="0"/>
          <w:sz w:val="18"/>
          <w:szCs w:val="18"/>
        </w:rPr>
        <w:t xml:space="preserve"> 202</w:t>
      </w:r>
      <w:r w:rsidR="00262FA0" w:rsidRPr="00D84C0B">
        <w:rPr>
          <w:rFonts w:cs="Times New Roman"/>
          <w:color w:val="000000" w:themeColor="text1"/>
          <w:kern w:val="0"/>
          <w:sz w:val="18"/>
          <w:szCs w:val="18"/>
        </w:rPr>
        <w:t>5</w:t>
      </w:r>
      <w:r w:rsidR="00F8424D" w:rsidRPr="00D84C0B">
        <w:rPr>
          <w:rFonts w:cs="Times New Roman"/>
          <w:color w:val="000000" w:themeColor="text1"/>
          <w:kern w:val="0"/>
          <w:sz w:val="18"/>
          <w:szCs w:val="18"/>
        </w:rPr>
        <w:t xml:space="preserve"> *. Dependent variable: </w:t>
      </w:r>
      <w:r w:rsidRPr="00D84C0B">
        <w:rPr>
          <w:rFonts w:cs="Times New Roman"/>
          <w:color w:val="000000" w:themeColor="text1"/>
          <w:kern w:val="0"/>
          <w:sz w:val="18"/>
          <w:szCs w:val="18"/>
        </w:rPr>
        <w:t>Service Delivery Predictor: Stakeholders Participation</w:t>
      </w:r>
    </w:p>
    <w:p w14:paraId="0D2AFEE0" w14:textId="77777777" w:rsidR="008359F2" w:rsidRPr="00D84C0B" w:rsidRDefault="008359F2" w:rsidP="00FC164E">
      <w:pPr>
        <w:autoSpaceDE w:val="0"/>
        <w:autoSpaceDN w:val="0"/>
        <w:adjustRightInd w:val="0"/>
        <w:spacing w:after="0" w:line="360" w:lineRule="auto"/>
        <w:jc w:val="both"/>
        <w:rPr>
          <w:rFonts w:cs="Times New Roman"/>
          <w:color w:val="000000" w:themeColor="text1"/>
          <w:kern w:val="0"/>
          <w:sz w:val="18"/>
          <w:szCs w:val="18"/>
        </w:rPr>
      </w:pPr>
    </w:p>
    <w:p w14:paraId="327BB3CA" w14:textId="4D36D796" w:rsidR="008359F2" w:rsidRPr="008359F2" w:rsidRDefault="008359F2" w:rsidP="00FC164E">
      <w:pPr>
        <w:spacing w:before="100" w:beforeAutospacing="1" w:after="100" w:afterAutospacing="1" w:line="360" w:lineRule="auto"/>
        <w:jc w:val="both"/>
        <w:rPr>
          <w:rFonts w:eastAsia="Times New Roman" w:cs="Times New Roman"/>
          <w:kern w:val="0"/>
          <w:szCs w:val="24"/>
        </w:rPr>
      </w:pPr>
      <w:bookmarkStart w:id="31" w:name="_Toc186990057"/>
      <w:bookmarkStart w:id="32" w:name="_Toc190215909"/>
      <w:r w:rsidRPr="008359F2">
        <w:rPr>
          <w:rFonts w:eastAsia="Times New Roman" w:cs="Times New Roman"/>
          <w:kern w:val="0"/>
          <w:szCs w:val="24"/>
        </w:rPr>
        <w:t>Stakeholder participation exhibits a moderate positive correlation with service delivery (r = 0.471, p &lt; 0.01), aligning with the 0.40-0.69 range identified for moderate correlations. This statistically significant relationship indicates that increased stakeholder involvement corresponds with enhanced service delivery outcomes. The strength of this association underscores the critical role of stakeholder engagement in improving service delivery performance.</w:t>
      </w:r>
    </w:p>
    <w:p w14:paraId="4AB6DA29" w14:textId="6E9703DA" w:rsidR="006530EF" w:rsidRPr="0085501D" w:rsidRDefault="006530EF" w:rsidP="00FC164E">
      <w:pPr>
        <w:keepNext/>
        <w:keepLines/>
        <w:spacing w:after="0" w:line="360" w:lineRule="auto"/>
        <w:jc w:val="both"/>
        <w:outlineLvl w:val="1"/>
        <w:rPr>
          <w:rFonts w:eastAsiaTheme="majorEastAsia" w:cs="Times New Roman"/>
          <w:bCs/>
          <w:i/>
          <w:iCs/>
          <w:color w:val="000000" w:themeColor="text1"/>
          <w:szCs w:val="26"/>
        </w:rPr>
      </w:pPr>
      <w:r w:rsidRPr="0085501D">
        <w:rPr>
          <w:rFonts w:eastAsiaTheme="majorEastAsia" w:cs="Times New Roman"/>
          <w:bCs/>
          <w:i/>
          <w:iCs/>
          <w:color w:val="000000" w:themeColor="text1"/>
          <w:szCs w:val="26"/>
        </w:rPr>
        <w:lastRenderedPageBreak/>
        <w:t xml:space="preserve">4.5 </w:t>
      </w:r>
      <w:bookmarkStart w:id="33" w:name="_Toc89373210"/>
      <w:r w:rsidRPr="0085501D">
        <w:rPr>
          <w:rFonts w:eastAsiaTheme="majorEastAsia" w:cs="Times New Roman"/>
          <w:bCs/>
          <w:i/>
          <w:iCs/>
          <w:color w:val="000000" w:themeColor="text1"/>
          <w:szCs w:val="26"/>
        </w:rPr>
        <w:t>Simple Regression Analysis</w:t>
      </w:r>
      <w:bookmarkEnd w:id="31"/>
      <w:bookmarkEnd w:id="32"/>
      <w:bookmarkEnd w:id="33"/>
      <w:r w:rsidRPr="0085501D">
        <w:rPr>
          <w:rFonts w:eastAsiaTheme="majorEastAsia" w:cs="Times New Roman"/>
          <w:bCs/>
          <w:i/>
          <w:iCs/>
          <w:color w:val="000000" w:themeColor="text1"/>
          <w:szCs w:val="26"/>
        </w:rPr>
        <w:t xml:space="preserve"> of </w:t>
      </w:r>
      <w:r w:rsidRPr="0085501D">
        <w:rPr>
          <w:rFonts w:eastAsia="Times New Roman" w:cs="Times New Roman"/>
          <w:bCs/>
          <w:i/>
          <w:iCs/>
          <w:color w:val="000000" w:themeColor="text1"/>
          <w:kern w:val="0"/>
          <w:szCs w:val="24"/>
          <w:shd w:val="clear" w:color="auto" w:fill="FFFFFF"/>
        </w:rPr>
        <w:t>Stakeholder Participation on Service Delivery</w:t>
      </w:r>
    </w:p>
    <w:p w14:paraId="5A14D5FE" w14:textId="3ACD01E0" w:rsidR="008359F2" w:rsidRDefault="008359F2" w:rsidP="00FC164E">
      <w:pPr>
        <w:autoSpaceDE w:val="0"/>
        <w:autoSpaceDN w:val="0"/>
        <w:adjustRightInd w:val="0"/>
        <w:spacing w:before="240" w:after="0" w:line="360" w:lineRule="auto"/>
        <w:jc w:val="both"/>
        <w:rPr>
          <w:rFonts w:cs="Times New Roman"/>
          <w:bCs/>
          <w:color w:val="000000" w:themeColor="text1"/>
          <w:szCs w:val="24"/>
        </w:rPr>
      </w:pPr>
      <w:r>
        <w:t>A simple regression analysis examined the influence of stakeholder participation on service delivery to establish the extent to which engagement impacts service outcomes. This approach quantifies the relationship between stakeholder involvement and key service delivery indicators, offering insights into whether higher participation levels result in measurable improvements. Assessing the statistical significance and strength of this relationship provides valuable evidence for policymakers and utility managers, supporting the development of strategies that enhance stakeholder engagement to improve service delivery performance.</w:t>
      </w:r>
    </w:p>
    <w:p w14:paraId="29C7000F" w14:textId="042D54A4" w:rsidR="006530EF" w:rsidRPr="006530EF" w:rsidRDefault="006530EF" w:rsidP="00FC164E">
      <w:pPr>
        <w:autoSpaceDE w:val="0"/>
        <w:autoSpaceDN w:val="0"/>
        <w:adjustRightInd w:val="0"/>
        <w:spacing w:before="240" w:after="0" w:line="360" w:lineRule="auto"/>
        <w:jc w:val="both"/>
        <w:rPr>
          <w:rFonts w:cs="Times New Roman"/>
          <w:bCs/>
          <w:color w:val="000000" w:themeColor="text1"/>
          <w:szCs w:val="24"/>
        </w:rPr>
      </w:pPr>
      <w:r w:rsidRPr="00F32A8B">
        <w:rPr>
          <w:rFonts w:cs="Times New Roman"/>
          <w:bCs/>
          <w:color w:val="000000" w:themeColor="text1"/>
          <w:szCs w:val="24"/>
        </w:rPr>
        <w:t>T</w:t>
      </w:r>
      <w:r w:rsidRPr="006530EF">
        <w:rPr>
          <w:rFonts w:cs="Times New Roman"/>
          <w:bCs/>
          <w:color w:val="000000" w:themeColor="text1"/>
          <w:szCs w:val="24"/>
        </w:rPr>
        <w:t xml:space="preserve">he study examined the goodness of fit of the model using ANOVA and results presented in Table </w:t>
      </w:r>
      <w:r w:rsidR="00FA244D" w:rsidRPr="00F32A8B">
        <w:rPr>
          <w:rFonts w:cs="Times New Roman"/>
          <w:bCs/>
          <w:color w:val="000000" w:themeColor="text1"/>
          <w:szCs w:val="24"/>
        </w:rPr>
        <w:t>8</w:t>
      </w:r>
      <w:r w:rsidRPr="006530EF">
        <w:rPr>
          <w:rFonts w:cs="Times New Roman"/>
          <w:bCs/>
          <w:color w:val="000000" w:themeColor="text1"/>
          <w:szCs w:val="24"/>
        </w:rPr>
        <w:t>.</w:t>
      </w:r>
    </w:p>
    <w:p w14:paraId="5259FC84" w14:textId="0DF8ACCC" w:rsidR="006530EF" w:rsidRPr="006530EF" w:rsidRDefault="006530EF" w:rsidP="00FC164E">
      <w:pPr>
        <w:spacing w:after="200" w:line="360" w:lineRule="auto"/>
        <w:jc w:val="both"/>
        <w:rPr>
          <w:rFonts w:eastAsia="Calibri" w:cs="Times New Roman"/>
          <w:b/>
          <w:iCs/>
          <w:color w:val="000000" w:themeColor="text1"/>
          <w:kern w:val="0"/>
          <w:szCs w:val="24"/>
          <w:shd w:val="clear" w:color="auto" w:fill="FFFFFF"/>
        </w:rPr>
      </w:pPr>
      <w:bookmarkStart w:id="34" w:name="_Toc190215840"/>
      <w:r w:rsidRPr="006530EF">
        <w:rPr>
          <w:rFonts w:eastAsia="Calibri" w:cs="Times New Roman"/>
          <w:b/>
          <w:iCs/>
          <w:color w:val="000000" w:themeColor="text1"/>
          <w:kern w:val="0"/>
          <w:szCs w:val="24"/>
        </w:rPr>
        <w:t xml:space="preserve">Table </w:t>
      </w:r>
      <w:r w:rsidRPr="00F32A8B">
        <w:rPr>
          <w:rFonts w:eastAsia="Calibri" w:cs="Times New Roman"/>
          <w:b/>
          <w:iCs/>
          <w:color w:val="000000" w:themeColor="text1"/>
          <w:kern w:val="0"/>
          <w:szCs w:val="24"/>
        </w:rPr>
        <w:t>8</w:t>
      </w:r>
      <w:r w:rsidRPr="006530EF">
        <w:rPr>
          <w:rFonts w:eastAsia="Calibri" w:cs="Times New Roman"/>
          <w:b/>
          <w:iCs/>
          <w:color w:val="000000" w:themeColor="text1"/>
          <w:kern w:val="0"/>
          <w:szCs w:val="24"/>
        </w:rPr>
        <w:t xml:space="preserve">: ANOVA on </w:t>
      </w:r>
      <w:r w:rsidRPr="00F32A8B">
        <w:rPr>
          <w:rFonts w:eastAsia="Calibri" w:cs="Times New Roman"/>
          <w:b/>
          <w:iCs/>
          <w:color w:val="000000" w:themeColor="text1"/>
          <w:kern w:val="0"/>
          <w:szCs w:val="24"/>
          <w:shd w:val="clear" w:color="auto" w:fill="FFFFFF"/>
        </w:rPr>
        <w:t xml:space="preserve">stakeholder participation </w:t>
      </w:r>
      <w:r w:rsidRPr="006530EF">
        <w:rPr>
          <w:rFonts w:eastAsia="Calibri" w:cs="Times New Roman"/>
          <w:b/>
          <w:iCs/>
          <w:color w:val="000000" w:themeColor="text1"/>
          <w:kern w:val="0"/>
          <w:szCs w:val="24"/>
          <w:shd w:val="clear" w:color="auto" w:fill="FFFFFF"/>
        </w:rPr>
        <w:t>and Service Delivery in State-Owned Energy Corporations</w:t>
      </w:r>
      <w:bookmarkEnd w:id="34"/>
    </w:p>
    <w:tbl>
      <w:tblPr>
        <w:tblW w:w="9644"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67"/>
        <w:gridCol w:w="2132"/>
        <w:gridCol w:w="1984"/>
        <w:gridCol w:w="1134"/>
        <w:gridCol w:w="2126"/>
        <w:gridCol w:w="709"/>
        <w:gridCol w:w="992"/>
      </w:tblGrid>
      <w:tr w:rsidR="006530EF" w:rsidRPr="006530EF" w14:paraId="509EB401" w14:textId="77777777" w:rsidTr="00DD29BC">
        <w:trPr>
          <w:cantSplit/>
        </w:trPr>
        <w:tc>
          <w:tcPr>
            <w:tcW w:w="2699" w:type="dxa"/>
            <w:gridSpan w:val="2"/>
            <w:tcBorders>
              <w:bottom w:val="single" w:sz="4" w:space="0" w:color="auto"/>
            </w:tcBorders>
            <w:shd w:val="clear" w:color="auto" w:fill="FFFFFF"/>
            <w:vAlign w:val="bottom"/>
          </w:tcPr>
          <w:p w14:paraId="61392F37" w14:textId="77777777" w:rsidR="006530EF" w:rsidRPr="006530EF" w:rsidRDefault="006530EF" w:rsidP="00FC164E">
            <w:pPr>
              <w:autoSpaceDE w:val="0"/>
              <w:autoSpaceDN w:val="0"/>
              <w:adjustRightInd w:val="0"/>
              <w:spacing w:after="0" w:line="360" w:lineRule="auto"/>
              <w:ind w:left="60" w:right="60"/>
              <w:jc w:val="both"/>
              <w:rPr>
                <w:rFonts w:cs="Times New Roman"/>
                <w:b/>
                <w:color w:val="000000" w:themeColor="text1"/>
                <w:kern w:val="0"/>
                <w:szCs w:val="24"/>
              </w:rPr>
            </w:pPr>
            <w:r w:rsidRPr="006530EF">
              <w:rPr>
                <w:rFonts w:cs="Times New Roman"/>
                <w:b/>
                <w:color w:val="000000" w:themeColor="text1"/>
                <w:kern w:val="0"/>
                <w:szCs w:val="24"/>
              </w:rPr>
              <w:t>Model</w:t>
            </w:r>
          </w:p>
        </w:tc>
        <w:tc>
          <w:tcPr>
            <w:tcW w:w="1984" w:type="dxa"/>
            <w:tcBorders>
              <w:bottom w:val="single" w:sz="4" w:space="0" w:color="auto"/>
            </w:tcBorders>
            <w:shd w:val="clear" w:color="auto" w:fill="FFFFFF"/>
            <w:vAlign w:val="bottom"/>
          </w:tcPr>
          <w:p w14:paraId="69D533F5" w14:textId="77777777" w:rsidR="006530EF" w:rsidRPr="006530EF" w:rsidRDefault="006530EF" w:rsidP="00FC164E">
            <w:pPr>
              <w:autoSpaceDE w:val="0"/>
              <w:autoSpaceDN w:val="0"/>
              <w:adjustRightInd w:val="0"/>
              <w:spacing w:after="0" w:line="360" w:lineRule="auto"/>
              <w:ind w:left="60" w:right="60"/>
              <w:jc w:val="both"/>
              <w:rPr>
                <w:rFonts w:cs="Times New Roman"/>
                <w:b/>
                <w:color w:val="000000" w:themeColor="text1"/>
                <w:kern w:val="0"/>
                <w:szCs w:val="24"/>
              </w:rPr>
            </w:pPr>
            <w:r w:rsidRPr="006530EF">
              <w:rPr>
                <w:rFonts w:cs="Times New Roman"/>
                <w:b/>
                <w:color w:val="000000" w:themeColor="text1"/>
                <w:kern w:val="0"/>
                <w:szCs w:val="24"/>
              </w:rPr>
              <w:t>Sum of Squares</w:t>
            </w:r>
          </w:p>
        </w:tc>
        <w:tc>
          <w:tcPr>
            <w:tcW w:w="1134" w:type="dxa"/>
            <w:tcBorders>
              <w:bottom w:val="single" w:sz="4" w:space="0" w:color="auto"/>
            </w:tcBorders>
            <w:shd w:val="clear" w:color="auto" w:fill="FFFFFF"/>
            <w:vAlign w:val="bottom"/>
          </w:tcPr>
          <w:p w14:paraId="33373C2F" w14:textId="77777777" w:rsidR="006530EF" w:rsidRPr="006530EF" w:rsidRDefault="006530EF" w:rsidP="00FC164E">
            <w:pPr>
              <w:autoSpaceDE w:val="0"/>
              <w:autoSpaceDN w:val="0"/>
              <w:adjustRightInd w:val="0"/>
              <w:spacing w:after="0" w:line="360" w:lineRule="auto"/>
              <w:ind w:left="60" w:right="60"/>
              <w:jc w:val="both"/>
              <w:rPr>
                <w:rFonts w:cs="Times New Roman"/>
                <w:b/>
                <w:color w:val="000000" w:themeColor="text1"/>
                <w:kern w:val="0"/>
                <w:szCs w:val="24"/>
              </w:rPr>
            </w:pPr>
            <w:r w:rsidRPr="006530EF">
              <w:rPr>
                <w:rFonts w:cs="Times New Roman"/>
                <w:b/>
                <w:color w:val="000000" w:themeColor="text1"/>
                <w:kern w:val="0"/>
                <w:szCs w:val="24"/>
              </w:rPr>
              <w:t>df</w:t>
            </w:r>
          </w:p>
        </w:tc>
        <w:tc>
          <w:tcPr>
            <w:tcW w:w="2126" w:type="dxa"/>
            <w:tcBorders>
              <w:bottom w:val="single" w:sz="4" w:space="0" w:color="auto"/>
            </w:tcBorders>
            <w:shd w:val="clear" w:color="auto" w:fill="FFFFFF"/>
            <w:vAlign w:val="bottom"/>
          </w:tcPr>
          <w:p w14:paraId="690CAC6A" w14:textId="77777777" w:rsidR="006530EF" w:rsidRPr="006530EF" w:rsidRDefault="006530EF" w:rsidP="00FC164E">
            <w:pPr>
              <w:autoSpaceDE w:val="0"/>
              <w:autoSpaceDN w:val="0"/>
              <w:adjustRightInd w:val="0"/>
              <w:spacing w:after="0" w:line="360" w:lineRule="auto"/>
              <w:ind w:left="60" w:right="60"/>
              <w:jc w:val="both"/>
              <w:rPr>
                <w:rFonts w:cs="Times New Roman"/>
                <w:b/>
                <w:color w:val="000000" w:themeColor="text1"/>
                <w:kern w:val="0"/>
                <w:szCs w:val="24"/>
              </w:rPr>
            </w:pPr>
            <w:r w:rsidRPr="006530EF">
              <w:rPr>
                <w:rFonts w:cs="Times New Roman"/>
                <w:b/>
                <w:color w:val="000000" w:themeColor="text1"/>
                <w:kern w:val="0"/>
                <w:szCs w:val="24"/>
              </w:rPr>
              <w:t>Mean Square</w:t>
            </w:r>
          </w:p>
        </w:tc>
        <w:tc>
          <w:tcPr>
            <w:tcW w:w="709" w:type="dxa"/>
            <w:tcBorders>
              <w:bottom w:val="single" w:sz="4" w:space="0" w:color="auto"/>
            </w:tcBorders>
            <w:shd w:val="clear" w:color="auto" w:fill="FFFFFF"/>
            <w:vAlign w:val="bottom"/>
          </w:tcPr>
          <w:p w14:paraId="263F5A71" w14:textId="77777777" w:rsidR="006530EF" w:rsidRPr="006530EF" w:rsidRDefault="006530EF" w:rsidP="00FC164E">
            <w:pPr>
              <w:autoSpaceDE w:val="0"/>
              <w:autoSpaceDN w:val="0"/>
              <w:adjustRightInd w:val="0"/>
              <w:spacing w:after="0" w:line="360" w:lineRule="auto"/>
              <w:ind w:left="60" w:right="60"/>
              <w:jc w:val="both"/>
              <w:rPr>
                <w:rFonts w:cs="Times New Roman"/>
                <w:b/>
                <w:color w:val="000000" w:themeColor="text1"/>
                <w:kern w:val="0"/>
                <w:szCs w:val="24"/>
              </w:rPr>
            </w:pPr>
            <w:r w:rsidRPr="006530EF">
              <w:rPr>
                <w:rFonts w:cs="Times New Roman"/>
                <w:b/>
                <w:color w:val="000000" w:themeColor="text1"/>
                <w:kern w:val="0"/>
                <w:szCs w:val="24"/>
              </w:rPr>
              <w:t>F</w:t>
            </w:r>
          </w:p>
        </w:tc>
        <w:tc>
          <w:tcPr>
            <w:tcW w:w="992" w:type="dxa"/>
            <w:tcBorders>
              <w:bottom w:val="single" w:sz="4" w:space="0" w:color="auto"/>
            </w:tcBorders>
            <w:shd w:val="clear" w:color="auto" w:fill="FFFFFF"/>
            <w:vAlign w:val="bottom"/>
          </w:tcPr>
          <w:p w14:paraId="677D6529" w14:textId="77777777" w:rsidR="006530EF" w:rsidRPr="006530EF" w:rsidRDefault="006530EF" w:rsidP="00FC164E">
            <w:pPr>
              <w:autoSpaceDE w:val="0"/>
              <w:autoSpaceDN w:val="0"/>
              <w:adjustRightInd w:val="0"/>
              <w:spacing w:after="0" w:line="360" w:lineRule="auto"/>
              <w:ind w:left="60" w:right="60"/>
              <w:jc w:val="both"/>
              <w:rPr>
                <w:rFonts w:cs="Times New Roman"/>
                <w:b/>
                <w:color w:val="000000" w:themeColor="text1"/>
                <w:kern w:val="0"/>
                <w:szCs w:val="24"/>
              </w:rPr>
            </w:pPr>
            <w:r w:rsidRPr="006530EF">
              <w:rPr>
                <w:rFonts w:cs="Times New Roman"/>
                <w:b/>
                <w:color w:val="000000" w:themeColor="text1"/>
                <w:kern w:val="0"/>
                <w:szCs w:val="24"/>
              </w:rPr>
              <w:t>Sig.</w:t>
            </w:r>
          </w:p>
        </w:tc>
      </w:tr>
      <w:tr w:rsidR="006530EF" w:rsidRPr="006530EF" w14:paraId="5FF599F2" w14:textId="77777777" w:rsidTr="00DD29BC">
        <w:trPr>
          <w:cantSplit/>
        </w:trPr>
        <w:tc>
          <w:tcPr>
            <w:tcW w:w="567" w:type="dxa"/>
            <w:vMerge w:val="restart"/>
            <w:tcBorders>
              <w:top w:val="single" w:sz="4" w:space="0" w:color="auto"/>
              <w:bottom w:val="nil"/>
            </w:tcBorders>
            <w:shd w:val="clear" w:color="auto" w:fill="auto"/>
          </w:tcPr>
          <w:p w14:paraId="736C6998"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Cs w:val="24"/>
              </w:rPr>
            </w:pPr>
            <w:r w:rsidRPr="006530EF">
              <w:rPr>
                <w:rFonts w:cs="Times New Roman"/>
                <w:color w:val="000000" w:themeColor="text1"/>
                <w:kern w:val="0"/>
                <w:szCs w:val="24"/>
              </w:rPr>
              <w:t>1</w:t>
            </w:r>
          </w:p>
        </w:tc>
        <w:tc>
          <w:tcPr>
            <w:tcW w:w="2132" w:type="dxa"/>
            <w:tcBorders>
              <w:top w:val="single" w:sz="4" w:space="0" w:color="auto"/>
              <w:bottom w:val="nil"/>
            </w:tcBorders>
            <w:shd w:val="clear" w:color="auto" w:fill="auto"/>
          </w:tcPr>
          <w:p w14:paraId="211BE741"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Cs w:val="24"/>
              </w:rPr>
            </w:pPr>
            <w:r w:rsidRPr="006530EF">
              <w:rPr>
                <w:rFonts w:cs="Times New Roman"/>
                <w:color w:val="000000" w:themeColor="text1"/>
                <w:kern w:val="0"/>
                <w:szCs w:val="24"/>
              </w:rPr>
              <w:t>Regression</w:t>
            </w:r>
          </w:p>
        </w:tc>
        <w:tc>
          <w:tcPr>
            <w:tcW w:w="1984" w:type="dxa"/>
            <w:tcBorders>
              <w:top w:val="single" w:sz="4" w:space="0" w:color="auto"/>
              <w:bottom w:val="nil"/>
            </w:tcBorders>
            <w:shd w:val="clear" w:color="auto" w:fill="auto"/>
          </w:tcPr>
          <w:p w14:paraId="468365FB"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Cs w:val="24"/>
              </w:rPr>
            </w:pPr>
            <w:r w:rsidRPr="006530EF">
              <w:rPr>
                <w:rFonts w:cs="Times New Roman"/>
                <w:color w:val="000000" w:themeColor="text1"/>
                <w:kern w:val="0"/>
                <w:szCs w:val="24"/>
              </w:rPr>
              <w:t>19.608</w:t>
            </w:r>
          </w:p>
        </w:tc>
        <w:tc>
          <w:tcPr>
            <w:tcW w:w="1134" w:type="dxa"/>
            <w:tcBorders>
              <w:top w:val="single" w:sz="4" w:space="0" w:color="auto"/>
              <w:bottom w:val="nil"/>
            </w:tcBorders>
            <w:shd w:val="clear" w:color="auto" w:fill="auto"/>
          </w:tcPr>
          <w:p w14:paraId="39EC1EF5" w14:textId="3ED9585C" w:rsidR="006530EF" w:rsidRPr="006530EF" w:rsidRDefault="00FA244D" w:rsidP="00FC164E">
            <w:pPr>
              <w:autoSpaceDE w:val="0"/>
              <w:autoSpaceDN w:val="0"/>
              <w:adjustRightInd w:val="0"/>
              <w:spacing w:after="0" w:line="360" w:lineRule="auto"/>
              <w:ind w:left="60" w:right="60"/>
              <w:jc w:val="both"/>
              <w:rPr>
                <w:rFonts w:cs="Times New Roman"/>
                <w:color w:val="000000" w:themeColor="text1"/>
                <w:kern w:val="0"/>
                <w:szCs w:val="24"/>
              </w:rPr>
            </w:pPr>
            <w:r w:rsidRPr="00F32A8B">
              <w:rPr>
                <w:rFonts w:cs="Times New Roman"/>
                <w:color w:val="000000" w:themeColor="text1"/>
                <w:kern w:val="0"/>
                <w:szCs w:val="24"/>
              </w:rPr>
              <w:t>1</w:t>
            </w:r>
          </w:p>
        </w:tc>
        <w:tc>
          <w:tcPr>
            <w:tcW w:w="2126" w:type="dxa"/>
            <w:tcBorders>
              <w:top w:val="single" w:sz="4" w:space="0" w:color="auto"/>
              <w:bottom w:val="nil"/>
            </w:tcBorders>
            <w:shd w:val="clear" w:color="auto" w:fill="auto"/>
          </w:tcPr>
          <w:p w14:paraId="326C6F80"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Cs w:val="24"/>
              </w:rPr>
            </w:pPr>
            <w:r w:rsidRPr="006530EF">
              <w:rPr>
                <w:rFonts w:cs="Times New Roman"/>
                <w:color w:val="000000" w:themeColor="text1"/>
                <w:kern w:val="0"/>
                <w:szCs w:val="24"/>
              </w:rPr>
              <w:t>4.902</w:t>
            </w:r>
          </w:p>
        </w:tc>
        <w:tc>
          <w:tcPr>
            <w:tcW w:w="709" w:type="dxa"/>
            <w:tcBorders>
              <w:top w:val="single" w:sz="4" w:space="0" w:color="auto"/>
              <w:bottom w:val="nil"/>
            </w:tcBorders>
            <w:shd w:val="clear" w:color="auto" w:fill="auto"/>
          </w:tcPr>
          <w:p w14:paraId="04FE5AD2"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Cs w:val="24"/>
              </w:rPr>
            </w:pPr>
            <w:r w:rsidRPr="006530EF">
              <w:rPr>
                <w:rFonts w:cs="Times New Roman"/>
                <w:color w:val="000000" w:themeColor="text1"/>
                <w:kern w:val="0"/>
                <w:szCs w:val="24"/>
              </w:rPr>
              <w:t>16.252</w:t>
            </w:r>
          </w:p>
        </w:tc>
        <w:tc>
          <w:tcPr>
            <w:tcW w:w="992" w:type="dxa"/>
            <w:tcBorders>
              <w:top w:val="single" w:sz="4" w:space="0" w:color="auto"/>
              <w:bottom w:val="nil"/>
            </w:tcBorders>
            <w:shd w:val="clear" w:color="auto" w:fill="auto"/>
          </w:tcPr>
          <w:p w14:paraId="2CEECB2F"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Cs w:val="24"/>
              </w:rPr>
            </w:pPr>
            <w:r w:rsidRPr="006530EF">
              <w:rPr>
                <w:rFonts w:cs="Times New Roman"/>
                <w:color w:val="000000" w:themeColor="text1"/>
                <w:kern w:val="0"/>
                <w:szCs w:val="24"/>
              </w:rPr>
              <w:t>.000</w:t>
            </w:r>
            <w:r w:rsidRPr="006530EF">
              <w:rPr>
                <w:rFonts w:cs="Times New Roman"/>
                <w:color w:val="000000" w:themeColor="text1"/>
                <w:kern w:val="0"/>
                <w:szCs w:val="24"/>
                <w:vertAlign w:val="superscript"/>
              </w:rPr>
              <w:t>b</w:t>
            </w:r>
          </w:p>
        </w:tc>
      </w:tr>
      <w:tr w:rsidR="006530EF" w:rsidRPr="006530EF" w14:paraId="3A8387E2" w14:textId="77777777" w:rsidTr="00DD29BC">
        <w:trPr>
          <w:cantSplit/>
        </w:trPr>
        <w:tc>
          <w:tcPr>
            <w:tcW w:w="567" w:type="dxa"/>
            <w:vMerge/>
            <w:tcBorders>
              <w:top w:val="nil"/>
              <w:bottom w:val="nil"/>
            </w:tcBorders>
            <w:shd w:val="clear" w:color="auto" w:fill="auto"/>
          </w:tcPr>
          <w:p w14:paraId="6C1FCAE1" w14:textId="77777777" w:rsidR="006530EF" w:rsidRPr="006530EF" w:rsidRDefault="006530EF" w:rsidP="00FC164E">
            <w:pPr>
              <w:autoSpaceDE w:val="0"/>
              <w:autoSpaceDN w:val="0"/>
              <w:adjustRightInd w:val="0"/>
              <w:spacing w:after="0" w:line="360" w:lineRule="auto"/>
              <w:jc w:val="both"/>
              <w:rPr>
                <w:rFonts w:cs="Times New Roman"/>
                <w:color w:val="000000" w:themeColor="text1"/>
                <w:kern w:val="0"/>
                <w:szCs w:val="24"/>
              </w:rPr>
            </w:pPr>
          </w:p>
        </w:tc>
        <w:tc>
          <w:tcPr>
            <w:tcW w:w="2132" w:type="dxa"/>
            <w:tcBorders>
              <w:top w:val="nil"/>
              <w:bottom w:val="nil"/>
            </w:tcBorders>
            <w:shd w:val="clear" w:color="auto" w:fill="auto"/>
          </w:tcPr>
          <w:p w14:paraId="1AB6FE25"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Cs w:val="24"/>
              </w:rPr>
            </w:pPr>
            <w:r w:rsidRPr="006530EF">
              <w:rPr>
                <w:rFonts w:cs="Times New Roman"/>
                <w:color w:val="000000" w:themeColor="text1"/>
                <w:kern w:val="0"/>
                <w:szCs w:val="24"/>
              </w:rPr>
              <w:t>Residual</w:t>
            </w:r>
          </w:p>
        </w:tc>
        <w:tc>
          <w:tcPr>
            <w:tcW w:w="1984" w:type="dxa"/>
            <w:tcBorders>
              <w:top w:val="nil"/>
              <w:bottom w:val="nil"/>
            </w:tcBorders>
            <w:shd w:val="clear" w:color="auto" w:fill="auto"/>
          </w:tcPr>
          <w:p w14:paraId="79409433"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Cs w:val="24"/>
              </w:rPr>
            </w:pPr>
            <w:r w:rsidRPr="006530EF">
              <w:rPr>
                <w:rFonts w:cs="Times New Roman"/>
                <w:color w:val="000000" w:themeColor="text1"/>
                <w:kern w:val="0"/>
                <w:szCs w:val="24"/>
              </w:rPr>
              <w:t>47.356</w:t>
            </w:r>
          </w:p>
        </w:tc>
        <w:tc>
          <w:tcPr>
            <w:tcW w:w="1134" w:type="dxa"/>
            <w:tcBorders>
              <w:top w:val="nil"/>
              <w:bottom w:val="nil"/>
            </w:tcBorders>
            <w:shd w:val="clear" w:color="auto" w:fill="auto"/>
          </w:tcPr>
          <w:p w14:paraId="3D8262A9"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Cs w:val="24"/>
              </w:rPr>
            </w:pPr>
            <w:r w:rsidRPr="006530EF">
              <w:rPr>
                <w:rFonts w:cs="Times New Roman"/>
                <w:color w:val="000000" w:themeColor="text1"/>
                <w:kern w:val="0"/>
                <w:szCs w:val="24"/>
              </w:rPr>
              <w:t>157</w:t>
            </w:r>
          </w:p>
        </w:tc>
        <w:tc>
          <w:tcPr>
            <w:tcW w:w="2126" w:type="dxa"/>
            <w:tcBorders>
              <w:top w:val="nil"/>
              <w:bottom w:val="nil"/>
            </w:tcBorders>
            <w:shd w:val="clear" w:color="auto" w:fill="auto"/>
          </w:tcPr>
          <w:p w14:paraId="4E0FCA3B"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Cs w:val="24"/>
              </w:rPr>
            </w:pPr>
            <w:r w:rsidRPr="006530EF">
              <w:rPr>
                <w:rFonts w:cs="Times New Roman"/>
                <w:color w:val="000000" w:themeColor="text1"/>
                <w:kern w:val="0"/>
                <w:szCs w:val="24"/>
              </w:rPr>
              <w:t>.302</w:t>
            </w:r>
          </w:p>
        </w:tc>
        <w:tc>
          <w:tcPr>
            <w:tcW w:w="709" w:type="dxa"/>
            <w:tcBorders>
              <w:top w:val="nil"/>
              <w:bottom w:val="nil"/>
            </w:tcBorders>
            <w:shd w:val="clear" w:color="auto" w:fill="auto"/>
            <w:vAlign w:val="center"/>
          </w:tcPr>
          <w:p w14:paraId="4ECE154C" w14:textId="77777777" w:rsidR="006530EF" w:rsidRPr="006530EF" w:rsidRDefault="006530EF" w:rsidP="00FC164E">
            <w:pPr>
              <w:autoSpaceDE w:val="0"/>
              <w:autoSpaceDN w:val="0"/>
              <w:adjustRightInd w:val="0"/>
              <w:spacing w:after="0" w:line="360" w:lineRule="auto"/>
              <w:jc w:val="both"/>
              <w:rPr>
                <w:rFonts w:cs="Times New Roman"/>
                <w:color w:val="000000" w:themeColor="text1"/>
                <w:kern w:val="0"/>
                <w:szCs w:val="24"/>
              </w:rPr>
            </w:pPr>
          </w:p>
        </w:tc>
        <w:tc>
          <w:tcPr>
            <w:tcW w:w="992" w:type="dxa"/>
            <w:tcBorders>
              <w:top w:val="nil"/>
              <w:bottom w:val="nil"/>
            </w:tcBorders>
            <w:shd w:val="clear" w:color="auto" w:fill="auto"/>
            <w:vAlign w:val="center"/>
          </w:tcPr>
          <w:p w14:paraId="5313D29C" w14:textId="77777777" w:rsidR="006530EF" w:rsidRPr="006530EF" w:rsidRDefault="006530EF" w:rsidP="00FC164E">
            <w:pPr>
              <w:autoSpaceDE w:val="0"/>
              <w:autoSpaceDN w:val="0"/>
              <w:adjustRightInd w:val="0"/>
              <w:spacing w:after="0" w:line="360" w:lineRule="auto"/>
              <w:jc w:val="both"/>
              <w:rPr>
                <w:rFonts w:cs="Times New Roman"/>
                <w:color w:val="000000" w:themeColor="text1"/>
                <w:kern w:val="0"/>
                <w:szCs w:val="24"/>
              </w:rPr>
            </w:pPr>
          </w:p>
        </w:tc>
      </w:tr>
      <w:tr w:rsidR="006530EF" w:rsidRPr="006530EF" w14:paraId="696F07B6" w14:textId="77777777" w:rsidTr="00DD29BC">
        <w:trPr>
          <w:cantSplit/>
        </w:trPr>
        <w:tc>
          <w:tcPr>
            <w:tcW w:w="567" w:type="dxa"/>
            <w:vMerge/>
            <w:tcBorders>
              <w:top w:val="nil"/>
              <w:bottom w:val="single" w:sz="4" w:space="0" w:color="auto"/>
            </w:tcBorders>
            <w:shd w:val="clear" w:color="auto" w:fill="auto"/>
          </w:tcPr>
          <w:p w14:paraId="6300C171" w14:textId="77777777" w:rsidR="006530EF" w:rsidRPr="006530EF" w:rsidRDefault="006530EF" w:rsidP="00FC164E">
            <w:pPr>
              <w:autoSpaceDE w:val="0"/>
              <w:autoSpaceDN w:val="0"/>
              <w:adjustRightInd w:val="0"/>
              <w:spacing w:after="0" w:line="360" w:lineRule="auto"/>
              <w:jc w:val="both"/>
              <w:rPr>
                <w:rFonts w:cs="Times New Roman"/>
                <w:color w:val="000000" w:themeColor="text1"/>
                <w:kern w:val="0"/>
                <w:szCs w:val="24"/>
              </w:rPr>
            </w:pPr>
          </w:p>
        </w:tc>
        <w:tc>
          <w:tcPr>
            <w:tcW w:w="2132" w:type="dxa"/>
            <w:tcBorders>
              <w:top w:val="nil"/>
              <w:bottom w:val="single" w:sz="4" w:space="0" w:color="auto"/>
            </w:tcBorders>
            <w:shd w:val="clear" w:color="auto" w:fill="auto"/>
          </w:tcPr>
          <w:p w14:paraId="2F09EBCF"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Cs w:val="24"/>
              </w:rPr>
            </w:pPr>
            <w:r w:rsidRPr="006530EF">
              <w:rPr>
                <w:rFonts w:cs="Times New Roman"/>
                <w:color w:val="000000" w:themeColor="text1"/>
                <w:kern w:val="0"/>
                <w:szCs w:val="24"/>
              </w:rPr>
              <w:t>Total</w:t>
            </w:r>
          </w:p>
        </w:tc>
        <w:tc>
          <w:tcPr>
            <w:tcW w:w="1984" w:type="dxa"/>
            <w:tcBorders>
              <w:top w:val="nil"/>
              <w:bottom w:val="single" w:sz="4" w:space="0" w:color="auto"/>
            </w:tcBorders>
            <w:shd w:val="clear" w:color="auto" w:fill="auto"/>
          </w:tcPr>
          <w:p w14:paraId="2AA84349"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Cs w:val="24"/>
              </w:rPr>
            </w:pPr>
            <w:r w:rsidRPr="006530EF">
              <w:rPr>
                <w:rFonts w:cs="Times New Roman"/>
                <w:color w:val="000000" w:themeColor="text1"/>
                <w:kern w:val="0"/>
                <w:szCs w:val="24"/>
              </w:rPr>
              <w:t>66.963</w:t>
            </w:r>
          </w:p>
        </w:tc>
        <w:tc>
          <w:tcPr>
            <w:tcW w:w="1134" w:type="dxa"/>
            <w:tcBorders>
              <w:top w:val="nil"/>
              <w:bottom w:val="single" w:sz="4" w:space="0" w:color="auto"/>
            </w:tcBorders>
            <w:shd w:val="clear" w:color="auto" w:fill="auto"/>
          </w:tcPr>
          <w:p w14:paraId="142A0E41" w14:textId="73439158"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Cs w:val="24"/>
              </w:rPr>
            </w:pPr>
            <w:r w:rsidRPr="006530EF">
              <w:rPr>
                <w:rFonts w:cs="Times New Roman"/>
                <w:color w:val="000000" w:themeColor="text1"/>
                <w:kern w:val="0"/>
                <w:szCs w:val="24"/>
              </w:rPr>
              <w:t>1</w:t>
            </w:r>
            <w:r w:rsidR="00FA244D" w:rsidRPr="00F32A8B">
              <w:rPr>
                <w:rFonts w:cs="Times New Roman"/>
                <w:color w:val="000000" w:themeColor="text1"/>
                <w:kern w:val="0"/>
                <w:szCs w:val="24"/>
              </w:rPr>
              <w:t>58</w:t>
            </w:r>
          </w:p>
        </w:tc>
        <w:tc>
          <w:tcPr>
            <w:tcW w:w="2126" w:type="dxa"/>
            <w:tcBorders>
              <w:top w:val="nil"/>
              <w:bottom w:val="single" w:sz="4" w:space="0" w:color="auto"/>
            </w:tcBorders>
            <w:shd w:val="clear" w:color="auto" w:fill="auto"/>
            <w:vAlign w:val="center"/>
          </w:tcPr>
          <w:p w14:paraId="2C719913" w14:textId="77777777" w:rsidR="006530EF" w:rsidRPr="006530EF" w:rsidRDefault="006530EF" w:rsidP="00FC164E">
            <w:pPr>
              <w:autoSpaceDE w:val="0"/>
              <w:autoSpaceDN w:val="0"/>
              <w:adjustRightInd w:val="0"/>
              <w:spacing w:after="0" w:line="360" w:lineRule="auto"/>
              <w:jc w:val="both"/>
              <w:rPr>
                <w:rFonts w:cs="Times New Roman"/>
                <w:color w:val="000000" w:themeColor="text1"/>
                <w:kern w:val="0"/>
                <w:szCs w:val="24"/>
              </w:rPr>
            </w:pPr>
          </w:p>
        </w:tc>
        <w:tc>
          <w:tcPr>
            <w:tcW w:w="709" w:type="dxa"/>
            <w:tcBorders>
              <w:top w:val="nil"/>
              <w:bottom w:val="single" w:sz="4" w:space="0" w:color="auto"/>
            </w:tcBorders>
            <w:shd w:val="clear" w:color="auto" w:fill="auto"/>
            <w:vAlign w:val="center"/>
          </w:tcPr>
          <w:p w14:paraId="1D0A2FFE" w14:textId="77777777" w:rsidR="006530EF" w:rsidRPr="006530EF" w:rsidRDefault="006530EF" w:rsidP="00FC164E">
            <w:pPr>
              <w:autoSpaceDE w:val="0"/>
              <w:autoSpaceDN w:val="0"/>
              <w:adjustRightInd w:val="0"/>
              <w:spacing w:after="0" w:line="360" w:lineRule="auto"/>
              <w:jc w:val="both"/>
              <w:rPr>
                <w:rFonts w:cs="Times New Roman"/>
                <w:color w:val="000000" w:themeColor="text1"/>
                <w:kern w:val="0"/>
                <w:szCs w:val="24"/>
              </w:rPr>
            </w:pPr>
          </w:p>
        </w:tc>
        <w:tc>
          <w:tcPr>
            <w:tcW w:w="992" w:type="dxa"/>
            <w:tcBorders>
              <w:top w:val="nil"/>
              <w:bottom w:val="single" w:sz="4" w:space="0" w:color="auto"/>
            </w:tcBorders>
            <w:shd w:val="clear" w:color="auto" w:fill="auto"/>
            <w:vAlign w:val="center"/>
          </w:tcPr>
          <w:p w14:paraId="2ADFDEB1" w14:textId="77777777" w:rsidR="006530EF" w:rsidRPr="006530EF" w:rsidRDefault="006530EF" w:rsidP="00FC164E">
            <w:pPr>
              <w:autoSpaceDE w:val="0"/>
              <w:autoSpaceDN w:val="0"/>
              <w:adjustRightInd w:val="0"/>
              <w:spacing w:after="0" w:line="360" w:lineRule="auto"/>
              <w:jc w:val="both"/>
              <w:rPr>
                <w:rFonts w:cs="Times New Roman"/>
                <w:color w:val="000000" w:themeColor="text1"/>
                <w:kern w:val="0"/>
                <w:szCs w:val="24"/>
              </w:rPr>
            </w:pPr>
          </w:p>
        </w:tc>
      </w:tr>
    </w:tbl>
    <w:p w14:paraId="6387C208" w14:textId="47B11338" w:rsidR="006530EF" w:rsidRPr="006530EF" w:rsidRDefault="00FA244D" w:rsidP="00FC164E">
      <w:pPr>
        <w:autoSpaceDE w:val="0"/>
        <w:autoSpaceDN w:val="0"/>
        <w:adjustRightInd w:val="0"/>
        <w:spacing w:after="0" w:line="360" w:lineRule="auto"/>
        <w:jc w:val="both"/>
        <w:rPr>
          <w:rFonts w:cs="Times New Roman"/>
          <w:color w:val="000000" w:themeColor="text1"/>
          <w:kern w:val="0"/>
          <w:szCs w:val="24"/>
        </w:rPr>
      </w:pPr>
      <w:r w:rsidRPr="00F32A8B">
        <w:rPr>
          <w:rFonts w:cs="Times New Roman"/>
          <w:b/>
          <w:bCs/>
          <w:color w:val="000000" w:themeColor="text1"/>
          <w:kern w:val="0"/>
          <w:szCs w:val="24"/>
        </w:rPr>
        <w:t>Source</w:t>
      </w:r>
      <w:r w:rsidRPr="00F32A8B">
        <w:rPr>
          <w:rFonts w:cs="Times New Roman"/>
          <w:color w:val="000000" w:themeColor="text1"/>
          <w:kern w:val="0"/>
          <w:szCs w:val="24"/>
        </w:rPr>
        <w:t xml:space="preserve">: </w:t>
      </w:r>
      <w:r w:rsidR="006530EF" w:rsidRPr="006530EF">
        <w:rPr>
          <w:rFonts w:cs="Times New Roman"/>
          <w:color w:val="000000" w:themeColor="text1"/>
          <w:kern w:val="0"/>
          <w:szCs w:val="24"/>
        </w:rPr>
        <w:t>Field</w:t>
      </w:r>
      <w:r w:rsidR="00262FA0" w:rsidRPr="00262FA0">
        <w:rPr>
          <w:rFonts w:eastAsia="Times New Roman" w:cs="Times New Roman"/>
          <w:color w:val="000000" w:themeColor="text1"/>
          <w:szCs w:val="24"/>
          <w:lang w:val="en-GB"/>
        </w:rPr>
        <w:t xml:space="preserve"> </w:t>
      </w:r>
      <w:r w:rsidR="00262FA0">
        <w:rPr>
          <w:rFonts w:eastAsia="Times New Roman" w:cs="Times New Roman"/>
          <w:color w:val="000000" w:themeColor="text1"/>
          <w:szCs w:val="24"/>
          <w:lang w:val="en-GB"/>
        </w:rPr>
        <w:t>Survey</w:t>
      </w:r>
      <w:r w:rsidR="006530EF" w:rsidRPr="006530EF">
        <w:rPr>
          <w:rFonts w:cs="Times New Roman"/>
          <w:color w:val="000000" w:themeColor="text1"/>
          <w:kern w:val="0"/>
          <w:szCs w:val="24"/>
        </w:rPr>
        <w:t>, 202</w:t>
      </w:r>
      <w:r w:rsidR="00262FA0">
        <w:rPr>
          <w:rFonts w:cs="Times New Roman"/>
          <w:color w:val="000000" w:themeColor="text1"/>
          <w:kern w:val="0"/>
          <w:szCs w:val="24"/>
        </w:rPr>
        <w:t>5</w:t>
      </w:r>
      <w:r w:rsidR="006530EF" w:rsidRPr="006530EF">
        <w:rPr>
          <w:rFonts w:cs="Times New Roman"/>
          <w:color w:val="000000" w:themeColor="text1"/>
          <w:kern w:val="0"/>
          <w:szCs w:val="24"/>
        </w:rPr>
        <w:t>; Key: a. Dependent Variable: Service Delivery b. Predictors: (Constant), Stakeholders Participation</w:t>
      </w:r>
    </w:p>
    <w:p w14:paraId="7D2B9D0B" w14:textId="550F2647" w:rsidR="008359F2" w:rsidRDefault="008359F2" w:rsidP="00FC164E">
      <w:pPr>
        <w:spacing w:before="240" w:line="360" w:lineRule="auto"/>
        <w:jc w:val="both"/>
        <w:rPr>
          <w:rFonts w:cs="Times New Roman"/>
          <w:b/>
          <w:bCs/>
          <w:color w:val="000000" w:themeColor="text1"/>
        </w:rPr>
      </w:pPr>
      <w:r>
        <w:t>ANOVA results indicate that the regression model assessing the influence of stakeholder participation on service delivery is statistically significant (F = 16.252, df = 1; p &lt; .000). The F-statistic of 16.252, with 1 degree of freedom for regression and 157 degrees of freedom for residual, produces a p-value well below the 0.05 significance threshold. This confirms that stakeholder participation accounts for a meaningful portion of the variation in service delivery. Sum of Squares analysis reveals that the total variation (66.963) includes 19.608 units explained by the regression model, while 47.356 units remain unexplained (residual). These findings align with earlier R-squared results, indicating that although the model is significant, additional factors beyond stakeholder participation contribute to service delivery outcomes.</w:t>
      </w:r>
    </w:p>
    <w:p w14:paraId="4E5B1076" w14:textId="1E6754C4" w:rsidR="00FA244D" w:rsidRPr="0085501D" w:rsidRDefault="00FA244D" w:rsidP="00FC164E">
      <w:pPr>
        <w:spacing w:before="240" w:line="360" w:lineRule="auto"/>
        <w:jc w:val="both"/>
        <w:rPr>
          <w:rFonts w:cs="Times New Roman"/>
          <w:i/>
          <w:iCs/>
          <w:color w:val="000000" w:themeColor="text1"/>
          <w:shd w:val="clear" w:color="auto" w:fill="FFFFFF"/>
        </w:rPr>
      </w:pPr>
      <w:r w:rsidRPr="0085501D">
        <w:rPr>
          <w:rFonts w:cs="Times New Roman"/>
          <w:i/>
          <w:iCs/>
          <w:color w:val="000000" w:themeColor="text1"/>
        </w:rPr>
        <w:lastRenderedPageBreak/>
        <w:t xml:space="preserve">Hypothesis Testing </w:t>
      </w:r>
    </w:p>
    <w:p w14:paraId="260FA502" w14:textId="48D94F7F" w:rsidR="006530EF" w:rsidRPr="006530EF" w:rsidRDefault="006530EF" w:rsidP="00FC164E">
      <w:pPr>
        <w:spacing w:before="240" w:line="360" w:lineRule="auto"/>
        <w:jc w:val="both"/>
        <w:rPr>
          <w:rFonts w:cs="Times New Roman"/>
          <w:color w:val="000000" w:themeColor="text1"/>
          <w:szCs w:val="24"/>
        </w:rPr>
      </w:pPr>
      <w:r w:rsidRPr="006530EF">
        <w:rPr>
          <w:rFonts w:cs="Times New Roman"/>
          <w:color w:val="000000" w:themeColor="text1"/>
          <w:szCs w:val="24"/>
        </w:rPr>
        <w:t xml:space="preserve">The hypothesis was then tested by running a simple linear regression. The acceptance or rejection was based on </w:t>
      </w:r>
      <w:r w:rsidR="008359F2">
        <w:rPr>
          <w:rFonts w:cs="Times New Roman"/>
          <w:color w:val="000000" w:themeColor="text1"/>
          <w:szCs w:val="24"/>
        </w:rPr>
        <w:t xml:space="preserve">t and </w:t>
      </w:r>
      <w:r w:rsidRPr="006530EF">
        <w:rPr>
          <w:rFonts w:cs="Times New Roman"/>
          <w:color w:val="000000" w:themeColor="text1"/>
          <w:szCs w:val="24"/>
        </w:rPr>
        <w:t>p-value</w:t>
      </w:r>
      <w:r w:rsidR="008359F2">
        <w:rPr>
          <w:rFonts w:cs="Times New Roman"/>
          <w:color w:val="000000" w:themeColor="text1"/>
          <w:szCs w:val="24"/>
        </w:rPr>
        <w:t>s</w:t>
      </w:r>
      <w:r w:rsidRPr="006530EF">
        <w:rPr>
          <w:rFonts w:cs="Times New Roman"/>
          <w:color w:val="000000" w:themeColor="text1"/>
          <w:szCs w:val="24"/>
        </w:rPr>
        <w:t xml:space="preserve">. The result of this test is shown in Table </w:t>
      </w:r>
      <w:r w:rsidR="00954878" w:rsidRPr="00F32A8B">
        <w:rPr>
          <w:rFonts w:cs="Times New Roman"/>
          <w:color w:val="000000" w:themeColor="text1"/>
          <w:szCs w:val="24"/>
        </w:rPr>
        <w:t>9</w:t>
      </w:r>
      <w:r w:rsidRPr="006530EF">
        <w:rPr>
          <w:rFonts w:cs="Times New Roman"/>
          <w:color w:val="000000" w:themeColor="text1"/>
          <w:szCs w:val="24"/>
        </w:rPr>
        <w:t>.</w:t>
      </w:r>
    </w:p>
    <w:p w14:paraId="4139F9BF" w14:textId="536144AD" w:rsidR="006530EF" w:rsidRPr="006530EF" w:rsidRDefault="006530EF" w:rsidP="00FC164E">
      <w:pPr>
        <w:spacing w:after="200" w:line="360" w:lineRule="auto"/>
        <w:jc w:val="both"/>
        <w:rPr>
          <w:rFonts w:eastAsia="Calibri" w:cs="Times New Roman"/>
          <w:b/>
          <w:iCs/>
          <w:strike/>
          <w:color w:val="000000" w:themeColor="text1"/>
          <w:kern w:val="0"/>
          <w:szCs w:val="24"/>
        </w:rPr>
      </w:pPr>
      <w:bookmarkStart w:id="35" w:name="_Toc190215841"/>
      <w:r w:rsidRPr="006530EF">
        <w:rPr>
          <w:rFonts w:eastAsia="Calibri" w:cs="Times New Roman"/>
          <w:b/>
          <w:iCs/>
          <w:color w:val="000000" w:themeColor="text1"/>
          <w:kern w:val="0"/>
          <w:szCs w:val="24"/>
        </w:rPr>
        <w:t xml:space="preserve">Table </w:t>
      </w:r>
      <w:r w:rsidR="00954878" w:rsidRPr="00F32A8B">
        <w:rPr>
          <w:rFonts w:eastAsia="Calibri" w:cs="Times New Roman"/>
          <w:b/>
          <w:iCs/>
          <w:color w:val="000000" w:themeColor="text1"/>
          <w:kern w:val="0"/>
          <w:szCs w:val="24"/>
        </w:rPr>
        <w:t>9</w:t>
      </w:r>
      <w:r w:rsidRPr="006530EF">
        <w:rPr>
          <w:rFonts w:eastAsia="Calibri" w:cs="Times New Roman"/>
          <w:b/>
          <w:iCs/>
          <w:color w:val="000000" w:themeColor="text1"/>
          <w:kern w:val="0"/>
          <w:szCs w:val="24"/>
        </w:rPr>
        <w:t xml:space="preserve">: Coefficients </w:t>
      </w:r>
      <w:r w:rsidR="00FA244D" w:rsidRPr="00F32A8B">
        <w:rPr>
          <w:rFonts w:eastAsia="Calibri" w:cs="Times New Roman"/>
          <w:b/>
          <w:iCs/>
          <w:color w:val="000000" w:themeColor="text1"/>
          <w:kern w:val="0"/>
          <w:szCs w:val="24"/>
        </w:rPr>
        <w:t>of Stakeholder Participation on Service Delivery</w:t>
      </w:r>
      <w:r w:rsidR="00FA244D" w:rsidRPr="00F32A8B">
        <w:rPr>
          <w:rFonts w:eastAsia="Calibri" w:cs="Times New Roman"/>
          <w:b/>
          <w:iCs/>
          <w:strike/>
          <w:color w:val="000000" w:themeColor="text1"/>
          <w:kern w:val="0"/>
          <w:szCs w:val="24"/>
        </w:rPr>
        <w:t xml:space="preserve"> </w:t>
      </w:r>
      <w:bookmarkEnd w:id="35"/>
    </w:p>
    <w:tbl>
      <w:tblPr>
        <w:tblW w:w="940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6"/>
        <w:gridCol w:w="2388"/>
        <w:gridCol w:w="1410"/>
        <w:gridCol w:w="1338"/>
        <w:gridCol w:w="2071"/>
        <w:gridCol w:w="709"/>
        <w:gridCol w:w="756"/>
      </w:tblGrid>
      <w:tr w:rsidR="006530EF" w:rsidRPr="006530EF" w14:paraId="2DB767EF" w14:textId="77777777" w:rsidTr="00DD29BC">
        <w:trPr>
          <w:cantSplit/>
        </w:trPr>
        <w:tc>
          <w:tcPr>
            <w:tcW w:w="3124" w:type="dxa"/>
            <w:gridSpan w:val="2"/>
            <w:vMerge w:val="restart"/>
            <w:tcBorders>
              <w:top w:val="single" w:sz="4" w:space="0" w:color="auto"/>
              <w:bottom w:val="single" w:sz="4" w:space="0" w:color="auto"/>
            </w:tcBorders>
            <w:shd w:val="clear" w:color="auto" w:fill="FFFFFF"/>
            <w:vAlign w:val="bottom"/>
          </w:tcPr>
          <w:p w14:paraId="682EDAD1"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Model</w:t>
            </w:r>
          </w:p>
        </w:tc>
        <w:tc>
          <w:tcPr>
            <w:tcW w:w="2748" w:type="dxa"/>
            <w:gridSpan w:val="2"/>
            <w:tcBorders>
              <w:top w:val="single" w:sz="4" w:space="0" w:color="auto"/>
              <w:bottom w:val="single" w:sz="4" w:space="0" w:color="auto"/>
            </w:tcBorders>
            <w:shd w:val="clear" w:color="auto" w:fill="FFFFFF"/>
            <w:vAlign w:val="bottom"/>
          </w:tcPr>
          <w:p w14:paraId="688D7A3C"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Unstandardized Coefficients</w:t>
            </w:r>
          </w:p>
        </w:tc>
        <w:tc>
          <w:tcPr>
            <w:tcW w:w="2071" w:type="dxa"/>
            <w:tcBorders>
              <w:top w:val="single" w:sz="4" w:space="0" w:color="auto"/>
              <w:bottom w:val="single" w:sz="4" w:space="0" w:color="auto"/>
            </w:tcBorders>
            <w:shd w:val="clear" w:color="auto" w:fill="FFFFFF"/>
            <w:vAlign w:val="bottom"/>
          </w:tcPr>
          <w:p w14:paraId="169748BC"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Standardized Coefficients</w:t>
            </w:r>
          </w:p>
        </w:tc>
        <w:tc>
          <w:tcPr>
            <w:tcW w:w="709" w:type="dxa"/>
            <w:vMerge w:val="restart"/>
            <w:shd w:val="clear" w:color="auto" w:fill="FFFFFF"/>
            <w:vAlign w:val="bottom"/>
          </w:tcPr>
          <w:p w14:paraId="44CE0E37"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t</w:t>
            </w:r>
          </w:p>
        </w:tc>
        <w:tc>
          <w:tcPr>
            <w:tcW w:w="756" w:type="dxa"/>
            <w:vMerge w:val="restart"/>
            <w:shd w:val="clear" w:color="auto" w:fill="FFFFFF"/>
            <w:vAlign w:val="bottom"/>
          </w:tcPr>
          <w:p w14:paraId="30043D7B"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Sig.</w:t>
            </w:r>
          </w:p>
        </w:tc>
      </w:tr>
      <w:tr w:rsidR="006530EF" w:rsidRPr="006530EF" w14:paraId="6DD2187A" w14:textId="77777777" w:rsidTr="00DD29BC">
        <w:trPr>
          <w:cantSplit/>
        </w:trPr>
        <w:tc>
          <w:tcPr>
            <w:tcW w:w="3124" w:type="dxa"/>
            <w:gridSpan w:val="2"/>
            <w:vMerge/>
            <w:tcBorders>
              <w:top w:val="single" w:sz="4" w:space="0" w:color="auto"/>
              <w:bottom w:val="single" w:sz="4" w:space="0" w:color="auto"/>
            </w:tcBorders>
            <w:shd w:val="clear" w:color="auto" w:fill="FFFFFF"/>
            <w:vAlign w:val="bottom"/>
          </w:tcPr>
          <w:p w14:paraId="701B03E7" w14:textId="77777777" w:rsidR="006530EF" w:rsidRPr="006530EF" w:rsidRDefault="006530EF" w:rsidP="00FC164E">
            <w:pPr>
              <w:autoSpaceDE w:val="0"/>
              <w:autoSpaceDN w:val="0"/>
              <w:adjustRightInd w:val="0"/>
              <w:spacing w:after="0" w:line="360" w:lineRule="auto"/>
              <w:jc w:val="both"/>
              <w:rPr>
                <w:rFonts w:cs="Times New Roman"/>
                <w:color w:val="000000" w:themeColor="text1"/>
                <w:kern w:val="0"/>
                <w:sz w:val="18"/>
                <w:szCs w:val="18"/>
              </w:rPr>
            </w:pPr>
          </w:p>
        </w:tc>
        <w:tc>
          <w:tcPr>
            <w:tcW w:w="1410" w:type="dxa"/>
            <w:tcBorders>
              <w:top w:val="single" w:sz="4" w:space="0" w:color="auto"/>
              <w:bottom w:val="single" w:sz="4" w:space="0" w:color="auto"/>
            </w:tcBorders>
            <w:shd w:val="clear" w:color="auto" w:fill="FFFFFF"/>
            <w:vAlign w:val="bottom"/>
          </w:tcPr>
          <w:p w14:paraId="5771AB14"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B</w:t>
            </w:r>
          </w:p>
        </w:tc>
        <w:tc>
          <w:tcPr>
            <w:tcW w:w="1338" w:type="dxa"/>
            <w:tcBorders>
              <w:top w:val="single" w:sz="4" w:space="0" w:color="auto"/>
              <w:bottom w:val="single" w:sz="4" w:space="0" w:color="auto"/>
            </w:tcBorders>
            <w:shd w:val="clear" w:color="auto" w:fill="FFFFFF"/>
            <w:vAlign w:val="bottom"/>
          </w:tcPr>
          <w:p w14:paraId="3EBD0957"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Std. Error</w:t>
            </w:r>
          </w:p>
        </w:tc>
        <w:tc>
          <w:tcPr>
            <w:tcW w:w="2071" w:type="dxa"/>
            <w:tcBorders>
              <w:top w:val="single" w:sz="4" w:space="0" w:color="auto"/>
              <w:bottom w:val="single" w:sz="4" w:space="0" w:color="auto"/>
            </w:tcBorders>
            <w:shd w:val="clear" w:color="auto" w:fill="FFFFFF"/>
            <w:vAlign w:val="bottom"/>
          </w:tcPr>
          <w:p w14:paraId="751C17BC"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Beta</w:t>
            </w:r>
          </w:p>
        </w:tc>
        <w:tc>
          <w:tcPr>
            <w:tcW w:w="709" w:type="dxa"/>
            <w:vMerge/>
            <w:tcBorders>
              <w:bottom w:val="single" w:sz="4" w:space="0" w:color="auto"/>
            </w:tcBorders>
            <w:shd w:val="clear" w:color="auto" w:fill="FFFFFF"/>
            <w:vAlign w:val="bottom"/>
          </w:tcPr>
          <w:p w14:paraId="51C76BED" w14:textId="77777777" w:rsidR="006530EF" w:rsidRPr="006530EF" w:rsidRDefault="006530EF" w:rsidP="00FC164E">
            <w:pPr>
              <w:autoSpaceDE w:val="0"/>
              <w:autoSpaceDN w:val="0"/>
              <w:adjustRightInd w:val="0"/>
              <w:spacing w:after="0" w:line="360" w:lineRule="auto"/>
              <w:jc w:val="both"/>
              <w:rPr>
                <w:rFonts w:cs="Times New Roman"/>
                <w:color w:val="000000" w:themeColor="text1"/>
                <w:kern w:val="0"/>
                <w:sz w:val="18"/>
                <w:szCs w:val="18"/>
              </w:rPr>
            </w:pPr>
          </w:p>
        </w:tc>
        <w:tc>
          <w:tcPr>
            <w:tcW w:w="756" w:type="dxa"/>
            <w:vMerge/>
            <w:tcBorders>
              <w:bottom w:val="single" w:sz="4" w:space="0" w:color="auto"/>
            </w:tcBorders>
            <w:shd w:val="clear" w:color="auto" w:fill="FFFFFF"/>
            <w:vAlign w:val="bottom"/>
          </w:tcPr>
          <w:p w14:paraId="6A843AD6" w14:textId="77777777" w:rsidR="006530EF" w:rsidRPr="006530EF" w:rsidRDefault="006530EF" w:rsidP="00FC164E">
            <w:pPr>
              <w:autoSpaceDE w:val="0"/>
              <w:autoSpaceDN w:val="0"/>
              <w:adjustRightInd w:val="0"/>
              <w:spacing w:after="0" w:line="360" w:lineRule="auto"/>
              <w:jc w:val="both"/>
              <w:rPr>
                <w:rFonts w:cs="Times New Roman"/>
                <w:color w:val="000000" w:themeColor="text1"/>
                <w:kern w:val="0"/>
                <w:sz w:val="18"/>
                <w:szCs w:val="18"/>
              </w:rPr>
            </w:pPr>
          </w:p>
        </w:tc>
      </w:tr>
      <w:tr w:rsidR="006530EF" w:rsidRPr="006530EF" w14:paraId="62C8AC5B" w14:textId="77777777" w:rsidTr="00DD29BC">
        <w:trPr>
          <w:cantSplit/>
        </w:trPr>
        <w:tc>
          <w:tcPr>
            <w:tcW w:w="736" w:type="dxa"/>
            <w:vMerge w:val="restart"/>
            <w:tcBorders>
              <w:top w:val="single" w:sz="4" w:space="0" w:color="auto"/>
              <w:bottom w:val="nil"/>
            </w:tcBorders>
            <w:shd w:val="clear" w:color="auto" w:fill="auto"/>
          </w:tcPr>
          <w:p w14:paraId="30020060"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1</w:t>
            </w:r>
          </w:p>
        </w:tc>
        <w:tc>
          <w:tcPr>
            <w:tcW w:w="2388" w:type="dxa"/>
            <w:tcBorders>
              <w:top w:val="single" w:sz="4" w:space="0" w:color="auto"/>
              <w:bottom w:val="nil"/>
            </w:tcBorders>
            <w:shd w:val="clear" w:color="auto" w:fill="auto"/>
          </w:tcPr>
          <w:p w14:paraId="57D526AF"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(Constant)</w:t>
            </w:r>
          </w:p>
        </w:tc>
        <w:tc>
          <w:tcPr>
            <w:tcW w:w="1410" w:type="dxa"/>
            <w:tcBorders>
              <w:top w:val="single" w:sz="4" w:space="0" w:color="auto"/>
              <w:bottom w:val="nil"/>
            </w:tcBorders>
            <w:shd w:val="clear" w:color="auto" w:fill="auto"/>
          </w:tcPr>
          <w:p w14:paraId="2739F02D"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1.372</w:t>
            </w:r>
          </w:p>
        </w:tc>
        <w:tc>
          <w:tcPr>
            <w:tcW w:w="1338" w:type="dxa"/>
            <w:tcBorders>
              <w:top w:val="single" w:sz="4" w:space="0" w:color="auto"/>
              <w:bottom w:val="nil"/>
            </w:tcBorders>
            <w:shd w:val="clear" w:color="auto" w:fill="auto"/>
          </w:tcPr>
          <w:p w14:paraId="74BFB7B3"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.340</w:t>
            </w:r>
          </w:p>
        </w:tc>
        <w:tc>
          <w:tcPr>
            <w:tcW w:w="2071" w:type="dxa"/>
            <w:tcBorders>
              <w:top w:val="single" w:sz="4" w:space="0" w:color="auto"/>
              <w:bottom w:val="nil"/>
            </w:tcBorders>
            <w:shd w:val="clear" w:color="auto" w:fill="auto"/>
            <w:vAlign w:val="center"/>
          </w:tcPr>
          <w:p w14:paraId="79F7478F" w14:textId="77777777" w:rsidR="006530EF" w:rsidRPr="006530EF" w:rsidRDefault="006530EF" w:rsidP="00FC164E">
            <w:pPr>
              <w:autoSpaceDE w:val="0"/>
              <w:autoSpaceDN w:val="0"/>
              <w:adjustRightInd w:val="0"/>
              <w:spacing w:after="0" w:line="360" w:lineRule="auto"/>
              <w:jc w:val="both"/>
              <w:rPr>
                <w:rFonts w:cs="Times New Roman"/>
                <w:color w:val="000000" w:themeColor="text1"/>
                <w:kern w:val="0"/>
                <w:szCs w:val="24"/>
              </w:rPr>
            </w:pPr>
          </w:p>
        </w:tc>
        <w:tc>
          <w:tcPr>
            <w:tcW w:w="709" w:type="dxa"/>
            <w:tcBorders>
              <w:top w:val="single" w:sz="4" w:space="0" w:color="auto"/>
              <w:bottom w:val="nil"/>
            </w:tcBorders>
            <w:shd w:val="clear" w:color="auto" w:fill="auto"/>
          </w:tcPr>
          <w:p w14:paraId="1E812AC5"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4.041</w:t>
            </w:r>
          </w:p>
        </w:tc>
        <w:tc>
          <w:tcPr>
            <w:tcW w:w="756" w:type="dxa"/>
            <w:tcBorders>
              <w:top w:val="single" w:sz="4" w:space="0" w:color="auto"/>
              <w:bottom w:val="nil"/>
            </w:tcBorders>
            <w:shd w:val="clear" w:color="auto" w:fill="auto"/>
          </w:tcPr>
          <w:p w14:paraId="5C5277BE"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.000</w:t>
            </w:r>
          </w:p>
        </w:tc>
      </w:tr>
      <w:tr w:rsidR="006530EF" w:rsidRPr="006530EF" w14:paraId="0903F2AD" w14:textId="77777777" w:rsidTr="00DD29BC">
        <w:trPr>
          <w:cantSplit/>
        </w:trPr>
        <w:tc>
          <w:tcPr>
            <w:tcW w:w="736" w:type="dxa"/>
            <w:vMerge/>
            <w:shd w:val="clear" w:color="auto" w:fill="auto"/>
          </w:tcPr>
          <w:p w14:paraId="17A58847" w14:textId="77777777" w:rsidR="006530EF" w:rsidRPr="006530EF" w:rsidRDefault="006530EF" w:rsidP="00FC164E">
            <w:pPr>
              <w:autoSpaceDE w:val="0"/>
              <w:autoSpaceDN w:val="0"/>
              <w:adjustRightInd w:val="0"/>
              <w:spacing w:after="0" w:line="360" w:lineRule="auto"/>
              <w:jc w:val="both"/>
              <w:rPr>
                <w:rFonts w:cs="Times New Roman"/>
                <w:color w:val="000000" w:themeColor="text1"/>
                <w:kern w:val="0"/>
                <w:sz w:val="18"/>
                <w:szCs w:val="18"/>
              </w:rPr>
            </w:pPr>
          </w:p>
        </w:tc>
        <w:tc>
          <w:tcPr>
            <w:tcW w:w="2388" w:type="dxa"/>
            <w:shd w:val="clear" w:color="auto" w:fill="auto"/>
          </w:tcPr>
          <w:p w14:paraId="4469D513" w14:textId="311185DD"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Stakeholder</w:t>
            </w:r>
            <w:r w:rsidR="00FA244D" w:rsidRPr="00F32A8B">
              <w:rPr>
                <w:rFonts w:cs="Times New Roman"/>
                <w:color w:val="000000" w:themeColor="text1"/>
                <w:kern w:val="0"/>
                <w:sz w:val="18"/>
                <w:szCs w:val="18"/>
              </w:rPr>
              <w:t xml:space="preserve"> </w:t>
            </w:r>
            <w:r w:rsidRPr="006530EF">
              <w:rPr>
                <w:rFonts w:cs="Times New Roman"/>
                <w:color w:val="000000" w:themeColor="text1"/>
                <w:kern w:val="0"/>
                <w:sz w:val="18"/>
                <w:szCs w:val="18"/>
              </w:rPr>
              <w:t>Participation</w:t>
            </w:r>
          </w:p>
        </w:tc>
        <w:tc>
          <w:tcPr>
            <w:tcW w:w="1410" w:type="dxa"/>
            <w:shd w:val="clear" w:color="auto" w:fill="auto"/>
          </w:tcPr>
          <w:p w14:paraId="2B20061B"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.401</w:t>
            </w:r>
          </w:p>
        </w:tc>
        <w:tc>
          <w:tcPr>
            <w:tcW w:w="1338" w:type="dxa"/>
            <w:shd w:val="clear" w:color="auto" w:fill="auto"/>
          </w:tcPr>
          <w:p w14:paraId="0697093D"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.066</w:t>
            </w:r>
          </w:p>
        </w:tc>
        <w:tc>
          <w:tcPr>
            <w:tcW w:w="2071" w:type="dxa"/>
            <w:shd w:val="clear" w:color="auto" w:fill="auto"/>
          </w:tcPr>
          <w:p w14:paraId="6B4A0AF3"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.435</w:t>
            </w:r>
          </w:p>
        </w:tc>
        <w:tc>
          <w:tcPr>
            <w:tcW w:w="709" w:type="dxa"/>
            <w:shd w:val="clear" w:color="auto" w:fill="auto"/>
          </w:tcPr>
          <w:p w14:paraId="12930969"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6.057</w:t>
            </w:r>
          </w:p>
        </w:tc>
        <w:tc>
          <w:tcPr>
            <w:tcW w:w="756" w:type="dxa"/>
            <w:shd w:val="clear" w:color="auto" w:fill="auto"/>
          </w:tcPr>
          <w:p w14:paraId="2DDCC1CF"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.000</w:t>
            </w:r>
          </w:p>
        </w:tc>
      </w:tr>
    </w:tbl>
    <w:p w14:paraId="77818D78" w14:textId="1FC51AEC" w:rsidR="006530EF" w:rsidRPr="006530EF" w:rsidRDefault="00262FA0" w:rsidP="00FC164E">
      <w:pPr>
        <w:autoSpaceDE w:val="0"/>
        <w:autoSpaceDN w:val="0"/>
        <w:adjustRightInd w:val="0"/>
        <w:spacing w:after="0" w:line="360" w:lineRule="auto"/>
        <w:jc w:val="both"/>
        <w:rPr>
          <w:rFonts w:cs="Times New Roman"/>
          <w:color w:val="000000" w:themeColor="text1"/>
          <w:kern w:val="0"/>
          <w:szCs w:val="24"/>
        </w:rPr>
      </w:pPr>
      <w:r w:rsidRPr="00D84C0B">
        <w:rPr>
          <w:rFonts w:cs="Times New Roman"/>
          <w:b/>
          <w:bCs/>
          <w:color w:val="000000" w:themeColor="text1"/>
          <w:kern w:val="0"/>
          <w:sz w:val="18"/>
          <w:szCs w:val="18"/>
        </w:rPr>
        <w:t>Source</w:t>
      </w:r>
      <w:r>
        <w:rPr>
          <w:rFonts w:cs="Times New Roman"/>
          <w:color w:val="000000" w:themeColor="text1"/>
          <w:kern w:val="0"/>
          <w:sz w:val="18"/>
          <w:szCs w:val="18"/>
        </w:rPr>
        <w:t xml:space="preserve">: </w:t>
      </w:r>
      <w:r w:rsidR="006530EF" w:rsidRPr="006530EF">
        <w:rPr>
          <w:rFonts w:cs="Times New Roman"/>
          <w:color w:val="000000" w:themeColor="text1"/>
          <w:kern w:val="0"/>
          <w:sz w:val="18"/>
          <w:szCs w:val="18"/>
        </w:rPr>
        <w:t>Field</w:t>
      </w:r>
      <w:r>
        <w:rPr>
          <w:rFonts w:cs="Times New Roman"/>
          <w:color w:val="000000" w:themeColor="text1"/>
          <w:kern w:val="0"/>
          <w:sz w:val="18"/>
          <w:szCs w:val="18"/>
        </w:rPr>
        <w:t xml:space="preserve"> </w:t>
      </w:r>
      <w:r>
        <w:rPr>
          <w:rFonts w:eastAsia="Times New Roman" w:cs="Times New Roman"/>
          <w:color w:val="000000" w:themeColor="text1"/>
          <w:szCs w:val="24"/>
          <w:lang w:val="en-GB"/>
        </w:rPr>
        <w:t>survey,</w:t>
      </w:r>
      <w:r w:rsidRPr="006530EF">
        <w:rPr>
          <w:rFonts w:cs="Times New Roman"/>
          <w:color w:val="000000" w:themeColor="text1"/>
          <w:kern w:val="0"/>
          <w:sz w:val="18"/>
          <w:szCs w:val="18"/>
        </w:rPr>
        <w:t xml:space="preserve"> </w:t>
      </w:r>
      <w:r w:rsidR="006530EF" w:rsidRPr="006530EF">
        <w:rPr>
          <w:rFonts w:cs="Times New Roman"/>
          <w:color w:val="000000" w:themeColor="text1"/>
          <w:kern w:val="0"/>
          <w:sz w:val="18"/>
          <w:szCs w:val="18"/>
        </w:rPr>
        <w:t>202</w:t>
      </w:r>
      <w:r>
        <w:rPr>
          <w:rFonts w:cs="Times New Roman"/>
          <w:color w:val="000000" w:themeColor="text1"/>
          <w:kern w:val="0"/>
          <w:sz w:val="18"/>
          <w:szCs w:val="18"/>
        </w:rPr>
        <w:t>5</w:t>
      </w:r>
      <w:r w:rsidR="006530EF" w:rsidRPr="006530EF">
        <w:rPr>
          <w:rFonts w:cs="Times New Roman"/>
          <w:color w:val="000000" w:themeColor="text1"/>
          <w:kern w:val="0"/>
          <w:sz w:val="18"/>
          <w:szCs w:val="18"/>
        </w:rPr>
        <w:t>; a. Dependent Variable:  Service Delivery</w:t>
      </w:r>
    </w:p>
    <w:p w14:paraId="01C3D4D2" w14:textId="77777777" w:rsidR="008359F2" w:rsidRPr="008359F2" w:rsidRDefault="008359F2" w:rsidP="00FC164E">
      <w:pPr>
        <w:spacing w:before="100" w:beforeAutospacing="1" w:after="100" w:afterAutospacing="1" w:line="360" w:lineRule="auto"/>
        <w:jc w:val="both"/>
        <w:rPr>
          <w:rFonts w:eastAsia="Times New Roman" w:cs="Times New Roman"/>
          <w:kern w:val="0"/>
          <w:szCs w:val="24"/>
        </w:rPr>
      </w:pPr>
      <w:r w:rsidRPr="008359F2">
        <w:rPr>
          <w:rFonts w:eastAsia="Times New Roman" w:cs="Times New Roman"/>
          <w:kern w:val="0"/>
          <w:szCs w:val="24"/>
        </w:rPr>
        <w:t>Stakeholder participation stands out as the most significant predictor, exhibiting the highest positive coefficient (β = 0.401, t = 6.057, p = 0.000; p &lt; 0.05). This result indicates that each unit increase in stakeholder participation leads to a 0.401-unit improvement in service delivery, assuming other variables remain constant. The constant term (β = 1.372, t = 4.041, p = 0.000) reflects the baseline level of service delivery when stakeholder participation is absent. These findings underscore the crucial role of stakeholder engagement in enhancing service delivery effectiveness. The regression model equation is expressed as:</w:t>
      </w:r>
    </w:p>
    <w:p w14:paraId="0A38E838" w14:textId="1D07DE81" w:rsidR="008359F2" w:rsidRPr="008359F2" w:rsidRDefault="008359F2" w:rsidP="00FC164E">
      <w:pPr>
        <w:spacing w:before="100" w:beforeAutospacing="1" w:after="100" w:afterAutospacing="1" w:line="360" w:lineRule="auto"/>
        <w:jc w:val="both"/>
        <w:rPr>
          <w:rFonts w:eastAsia="Times New Roman" w:cs="Times New Roman"/>
          <w:kern w:val="0"/>
          <w:szCs w:val="24"/>
        </w:rPr>
      </w:pPr>
      <w:r w:rsidRPr="008359F2">
        <w:rPr>
          <w:rFonts w:eastAsia="Times New Roman" w:cs="Times New Roman"/>
          <w:kern w:val="0"/>
          <w:szCs w:val="24"/>
        </w:rPr>
        <w:t>Y = 1.372 + 0.401X₁</w:t>
      </w:r>
    </w:p>
    <w:p w14:paraId="5BAF4D3F" w14:textId="5C47AAC2" w:rsidR="006530EF" w:rsidRPr="00F32A8B" w:rsidRDefault="0085501D" w:rsidP="00FC164E">
      <w:pPr>
        <w:spacing w:line="360" w:lineRule="auto"/>
        <w:jc w:val="both"/>
        <w:rPr>
          <w:rFonts w:cs="Times New Roman"/>
          <w:b/>
          <w:szCs w:val="24"/>
        </w:rPr>
      </w:pPr>
      <w:r>
        <w:rPr>
          <w:rFonts w:cs="Times New Roman"/>
          <w:b/>
          <w:szCs w:val="24"/>
        </w:rPr>
        <w:t xml:space="preserve">5.1 </w:t>
      </w:r>
      <w:r w:rsidR="00954878" w:rsidRPr="00F32A8B">
        <w:rPr>
          <w:rFonts w:cs="Times New Roman"/>
          <w:b/>
          <w:szCs w:val="24"/>
        </w:rPr>
        <w:t xml:space="preserve">Conclusion </w:t>
      </w:r>
    </w:p>
    <w:p w14:paraId="64656FF7" w14:textId="7C214600" w:rsidR="008359F2" w:rsidRDefault="008359F2" w:rsidP="00FC164E">
      <w:pPr>
        <w:spacing w:line="360" w:lineRule="auto"/>
        <w:jc w:val="both"/>
        <w:rPr>
          <w:rFonts w:cs="Times New Roman"/>
          <w:b/>
          <w:szCs w:val="24"/>
        </w:rPr>
      </w:pPr>
      <w:r>
        <w:t xml:space="preserve">The study findings highlight the critical role of stakeholder engagement in improving service delivery within state-owned energy corporations. With stakeholder participation emerging as the most significant factor (β = 0.401, p = 0.000), the results confirm that active involvement enhances service efficiency, responsiveness, and overall </w:t>
      </w:r>
      <w:proofErr w:type="spellStart"/>
      <w:r>
        <w:t>organisational</w:t>
      </w:r>
      <w:proofErr w:type="spellEnd"/>
      <w:r>
        <w:t xml:space="preserve"> effectiveness. However, the mean value of 2.9982 (SD = 1.27256) indicates that stakeholder satisfaction with current engagement remains below average, revealing a gap between existing practices and expectations. Addressing this disparity requires more inclusive and structured stakeholder engagement mechanisms to </w:t>
      </w:r>
      <w:proofErr w:type="spellStart"/>
      <w:r>
        <w:t>optimise</w:t>
      </w:r>
      <w:proofErr w:type="spellEnd"/>
      <w:r>
        <w:t xml:space="preserve"> service delivery. Strengthening collaboration, integrating feedback effectively, and fostering transparent communication can bridge this gap, leading to improved decision-making and enhanced operational performance. These insights offer valuable guidance for policymakers, </w:t>
      </w:r>
      <w:r>
        <w:lastRenderedPageBreak/>
        <w:t>regulators, and utility managers in refining stakeholder participation frameworks to achieve sustainable service delivery improvements.</w:t>
      </w:r>
    </w:p>
    <w:p w14:paraId="7C5DF1A9" w14:textId="07E828D4" w:rsidR="00954878" w:rsidRPr="00F32A8B" w:rsidRDefault="0085501D" w:rsidP="00FC164E">
      <w:pPr>
        <w:spacing w:line="360" w:lineRule="auto"/>
        <w:jc w:val="both"/>
        <w:rPr>
          <w:rFonts w:cs="Times New Roman"/>
          <w:b/>
          <w:szCs w:val="24"/>
        </w:rPr>
      </w:pPr>
      <w:r>
        <w:rPr>
          <w:rFonts w:cs="Times New Roman"/>
          <w:b/>
          <w:szCs w:val="24"/>
        </w:rPr>
        <w:t xml:space="preserve">5.2 </w:t>
      </w:r>
      <w:r w:rsidR="00954878" w:rsidRPr="00F32A8B">
        <w:rPr>
          <w:rFonts w:cs="Times New Roman"/>
          <w:b/>
          <w:szCs w:val="24"/>
        </w:rPr>
        <w:t>Recommendations</w:t>
      </w:r>
    </w:p>
    <w:p w14:paraId="63E7CFD5" w14:textId="77777777" w:rsidR="008359F2" w:rsidRPr="008359F2" w:rsidRDefault="008359F2" w:rsidP="00FC164E">
      <w:pPr>
        <w:spacing w:before="100" w:beforeAutospacing="1" w:after="100" w:afterAutospacing="1" w:line="360" w:lineRule="auto"/>
        <w:jc w:val="both"/>
        <w:rPr>
          <w:rFonts w:eastAsia="Times New Roman" w:cs="Times New Roman"/>
          <w:kern w:val="0"/>
          <w:szCs w:val="24"/>
        </w:rPr>
      </w:pPr>
      <w:r w:rsidRPr="008359F2">
        <w:rPr>
          <w:rFonts w:eastAsia="Times New Roman" w:cs="Times New Roman"/>
          <w:kern w:val="0"/>
          <w:szCs w:val="24"/>
        </w:rPr>
        <w:t xml:space="preserve">Enhancing stakeholder engagement strategies is essential, given the strong positive relationship between stakeholder participation and service delivery, despite current engagement levels remaining unsatisfactory. Establishing a structured engagement framework with regular consultation forums and systematic feedback mechanisms can facilitate continuous dialogue between stakeholders and service providers. </w:t>
      </w:r>
      <w:proofErr w:type="spellStart"/>
      <w:r w:rsidRPr="008359F2">
        <w:rPr>
          <w:rFonts w:eastAsia="Times New Roman" w:cs="Times New Roman"/>
          <w:kern w:val="0"/>
          <w:szCs w:val="24"/>
        </w:rPr>
        <w:t>Formalised</w:t>
      </w:r>
      <w:proofErr w:type="spellEnd"/>
      <w:r w:rsidRPr="008359F2">
        <w:rPr>
          <w:rFonts w:eastAsia="Times New Roman" w:cs="Times New Roman"/>
          <w:kern w:val="0"/>
          <w:szCs w:val="24"/>
        </w:rPr>
        <w:t xml:space="preserve"> communication channels will enhance transparency and enable </w:t>
      </w:r>
      <w:proofErr w:type="spellStart"/>
      <w:r w:rsidRPr="008359F2">
        <w:rPr>
          <w:rFonts w:eastAsia="Times New Roman" w:cs="Times New Roman"/>
          <w:kern w:val="0"/>
          <w:szCs w:val="24"/>
        </w:rPr>
        <w:t>organisations</w:t>
      </w:r>
      <w:proofErr w:type="spellEnd"/>
      <w:r w:rsidRPr="008359F2">
        <w:rPr>
          <w:rFonts w:eastAsia="Times New Roman" w:cs="Times New Roman"/>
          <w:kern w:val="0"/>
          <w:szCs w:val="24"/>
        </w:rPr>
        <w:t xml:space="preserve"> to collect valuable insights that contribute to improved service delivery outcomes.</w:t>
      </w:r>
    </w:p>
    <w:p w14:paraId="4F1D004F" w14:textId="77777777" w:rsidR="008359F2" w:rsidRPr="008359F2" w:rsidRDefault="008359F2" w:rsidP="00FC164E">
      <w:pPr>
        <w:spacing w:before="100" w:beforeAutospacing="1" w:after="100" w:afterAutospacing="1" w:line="360" w:lineRule="auto"/>
        <w:jc w:val="both"/>
        <w:rPr>
          <w:rFonts w:eastAsia="Times New Roman" w:cs="Times New Roman"/>
          <w:kern w:val="0"/>
          <w:szCs w:val="24"/>
        </w:rPr>
      </w:pPr>
      <w:r w:rsidRPr="008359F2">
        <w:rPr>
          <w:rFonts w:eastAsia="Times New Roman" w:cs="Times New Roman"/>
          <w:kern w:val="0"/>
          <w:szCs w:val="24"/>
        </w:rPr>
        <w:t xml:space="preserve">Implementing an efficient stakeholder management system will support the monitoring of concerns, tracking of responses, and evaluation of engagement effectiveness. Allocating sufficient resources to stakeholder initiatives will encourage meaningful participation in service planning and execution. Strengthening partnerships through collaborative </w:t>
      </w:r>
      <w:proofErr w:type="spellStart"/>
      <w:r w:rsidRPr="008359F2">
        <w:rPr>
          <w:rFonts w:eastAsia="Times New Roman" w:cs="Times New Roman"/>
          <w:kern w:val="0"/>
          <w:szCs w:val="24"/>
        </w:rPr>
        <w:t>programmes</w:t>
      </w:r>
      <w:proofErr w:type="spellEnd"/>
      <w:r w:rsidRPr="008359F2">
        <w:rPr>
          <w:rFonts w:eastAsia="Times New Roman" w:cs="Times New Roman"/>
          <w:kern w:val="0"/>
          <w:szCs w:val="24"/>
        </w:rPr>
        <w:t xml:space="preserve"> can further enhance commitment and shared responsibility in achieving service delivery objectives.</w:t>
      </w:r>
    </w:p>
    <w:p w14:paraId="5E5A08EA" w14:textId="416C818E" w:rsidR="0085501D" w:rsidRDefault="008359F2" w:rsidP="00FC164E">
      <w:pPr>
        <w:spacing w:before="100" w:beforeAutospacing="1" w:after="100" w:afterAutospacing="1" w:line="360" w:lineRule="auto"/>
        <w:jc w:val="both"/>
        <w:rPr>
          <w:rFonts w:eastAsia="Times New Roman" w:cs="Times New Roman"/>
          <w:kern w:val="0"/>
          <w:szCs w:val="24"/>
        </w:rPr>
      </w:pPr>
      <w:r w:rsidRPr="008359F2">
        <w:rPr>
          <w:rFonts w:eastAsia="Times New Roman" w:cs="Times New Roman"/>
          <w:kern w:val="0"/>
          <w:szCs w:val="24"/>
        </w:rPr>
        <w:t>Conducting regular stakeholder satisfaction assessments and incorporating findings into strategic action plans will ensure continuous improvement. Establishing stakeholder working groups focused on specific service delivery areas can help develop targeted solutions and improve responsiveness to emerging challenges. Clear and transparent mechanisms for integrating stakeholder input into decision-making processes will ensure that their perspectives are valued, ultimately fostering greater accountability and service efficiency.</w:t>
      </w:r>
    </w:p>
    <w:p w14:paraId="10445D59" w14:textId="77777777" w:rsidR="00262FA0" w:rsidRPr="008359F2" w:rsidRDefault="00262FA0" w:rsidP="00FC164E">
      <w:pPr>
        <w:spacing w:before="100" w:beforeAutospacing="1" w:after="100" w:afterAutospacing="1" w:line="360" w:lineRule="auto"/>
        <w:jc w:val="both"/>
        <w:rPr>
          <w:rFonts w:eastAsia="Times New Roman" w:cs="Times New Roman"/>
          <w:kern w:val="0"/>
          <w:szCs w:val="24"/>
        </w:rPr>
      </w:pPr>
    </w:p>
    <w:p w14:paraId="59A65366" w14:textId="324F29D8" w:rsidR="00954878" w:rsidRPr="0085501D" w:rsidRDefault="00954878" w:rsidP="00FC164E">
      <w:pPr>
        <w:spacing w:line="360" w:lineRule="auto"/>
        <w:jc w:val="both"/>
        <w:rPr>
          <w:rFonts w:cs="Times New Roman"/>
          <w:bCs/>
          <w:i/>
          <w:iCs/>
          <w:szCs w:val="24"/>
        </w:rPr>
      </w:pPr>
      <w:r w:rsidRPr="0085501D">
        <w:rPr>
          <w:rFonts w:cs="Times New Roman"/>
          <w:bCs/>
          <w:i/>
          <w:iCs/>
          <w:szCs w:val="24"/>
        </w:rPr>
        <w:t xml:space="preserve">Limitations of the Study </w:t>
      </w:r>
    </w:p>
    <w:p w14:paraId="628C11C1" w14:textId="77777777" w:rsidR="008359F2" w:rsidRPr="008359F2" w:rsidRDefault="008359F2" w:rsidP="00FC164E">
      <w:pPr>
        <w:spacing w:before="100" w:beforeAutospacing="1" w:after="100" w:afterAutospacing="1" w:line="360" w:lineRule="auto"/>
        <w:jc w:val="both"/>
        <w:rPr>
          <w:rFonts w:eastAsia="Times New Roman" w:cs="Times New Roman"/>
          <w:kern w:val="0"/>
          <w:szCs w:val="24"/>
        </w:rPr>
      </w:pPr>
      <w:r w:rsidRPr="008359F2">
        <w:rPr>
          <w:rFonts w:eastAsia="Times New Roman" w:cs="Times New Roman"/>
          <w:kern w:val="0"/>
          <w:szCs w:val="24"/>
        </w:rPr>
        <w:t xml:space="preserve">Several limitations emerged in this study, potentially influencing the findings and their </w:t>
      </w:r>
      <w:proofErr w:type="spellStart"/>
      <w:r w:rsidRPr="008359F2">
        <w:rPr>
          <w:rFonts w:eastAsia="Times New Roman" w:cs="Times New Roman"/>
          <w:kern w:val="0"/>
          <w:szCs w:val="24"/>
        </w:rPr>
        <w:t>generalisability</w:t>
      </w:r>
      <w:proofErr w:type="spellEnd"/>
      <w:r w:rsidRPr="008359F2">
        <w:rPr>
          <w:rFonts w:eastAsia="Times New Roman" w:cs="Times New Roman"/>
          <w:kern w:val="0"/>
          <w:szCs w:val="24"/>
        </w:rPr>
        <w:t xml:space="preserve">. The reliance on self-administered questionnaires introduced the risk of response bias, as participants may have provided socially desirable responses rather than objective assessments of stakeholder participation and service delivery. The cross-sectional design further </w:t>
      </w:r>
      <w:r w:rsidRPr="008359F2">
        <w:rPr>
          <w:rFonts w:eastAsia="Times New Roman" w:cs="Times New Roman"/>
          <w:kern w:val="0"/>
          <w:szCs w:val="24"/>
        </w:rPr>
        <w:lastRenderedPageBreak/>
        <w:t>restricted the ability to establish causal relationships, as data collection occurred at a single point rather than over an extended period.</w:t>
      </w:r>
    </w:p>
    <w:p w14:paraId="329208C2" w14:textId="4B0D1A13" w:rsidR="008359F2" w:rsidRPr="008359F2" w:rsidRDefault="008359F2" w:rsidP="00FC164E">
      <w:pPr>
        <w:spacing w:before="100" w:beforeAutospacing="1" w:after="100" w:afterAutospacing="1" w:line="360" w:lineRule="auto"/>
        <w:jc w:val="both"/>
        <w:rPr>
          <w:rFonts w:eastAsia="Times New Roman" w:cs="Times New Roman"/>
          <w:kern w:val="0"/>
          <w:szCs w:val="24"/>
        </w:rPr>
      </w:pPr>
      <w:r w:rsidRPr="008359F2">
        <w:rPr>
          <w:rFonts w:eastAsia="Times New Roman" w:cs="Times New Roman"/>
          <w:kern w:val="0"/>
          <w:szCs w:val="24"/>
        </w:rPr>
        <w:t>Focusing solely on UEDCL the applicability of the findings to other state-owned enterprises or sectors with different stakeholder dynamics. While the quantitative approach effectively measured relationships between variables, it constrained the depth of qualitative insights that could have provided a more nuanced understanding of stakeholder engagement challenges. Additionally, external factors such as regulatory changes, political influences, and economic conditions were not explicitly considered, despite their potential impact on stakeholder participation and service delivery.</w:t>
      </w:r>
    </w:p>
    <w:p w14:paraId="5069C483" w14:textId="56EED376" w:rsidR="00954878" w:rsidRPr="0085501D" w:rsidRDefault="002D7555" w:rsidP="00FC164E">
      <w:pPr>
        <w:spacing w:line="360" w:lineRule="auto"/>
        <w:jc w:val="both"/>
        <w:rPr>
          <w:rFonts w:cs="Times New Roman"/>
          <w:bCs/>
          <w:i/>
          <w:iCs/>
          <w:szCs w:val="24"/>
        </w:rPr>
      </w:pPr>
      <w:r w:rsidRPr="0085501D">
        <w:rPr>
          <w:rFonts w:cs="Times New Roman"/>
          <w:bCs/>
          <w:i/>
          <w:iCs/>
          <w:szCs w:val="24"/>
        </w:rPr>
        <w:t xml:space="preserve">Suggestions for Future Studies </w:t>
      </w:r>
    </w:p>
    <w:p w14:paraId="69FE9443" w14:textId="77777777" w:rsidR="00FC164E" w:rsidRPr="00FC164E" w:rsidRDefault="00FC164E" w:rsidP="00FC164E">
      <w:pPr>
        <w:spacing w:before="100" w:beforeAutospacing="1" w:after="100" w:afterAutospacing="1" w:line="360" w:lineRule="auto"/>
        <w:jc w:val="both"/>
        <w:rPr>
          <w:rFonts w:eastAsia="Times New Roman" w:cs="Times New Roman"/>
          <w:kern w:val="0"/>
          <w:szCs w:val="24"/>
        </w:rPr>
      </w:pPr>
      <w:r w:rsidRPr="00FC164E">
        <w:rPr>
          <w:rFonts w:eastAsia="Times New Roman" w:cs="Times New Roman"/>
          <w:kern w:val="0"/>
          <w:szCs w:val="24"/>
        </w:rPr>
        <w:t>Future research should examine the long-term impact of enhanced stakeholder engagement strategies on service delivery outcomes. Conducting a longitudinal study would provide deeper insights into how sustained stakeholder participation affects efficiency, responsiveness, and customer satisfaction over time. Understanding whether improvements in engagement lead to measurable and lasting enhancements in service delivery would offer valuable guidance for state-owned enterprises seeking to refine their stakeholder management approaches.</w:t>
      </w:r>
    </w:p>
    <w:p w14:paraId="3131A8F8" w14:textId="7072F600" w:rsidR="008359F2" w:rsidRDefault="00FC164E" w:rsidP="0085501D">
      <w:pPr>
        <w:spacing w:before="100" w:beforeAutospacing="1" w:after="100" w:afterAutospacing="1" w:line="360" w:lineRule="auto"/>
        <w:jc w:val="both"/>
        <w:rPr>
          <w:rFonts w:eastAsia="Times New Roman" w:cs="Times New Roman"/>
          <w:kern w:val="0"/>
          <w:szCs w:val="24"/>
        </w:rPr>
      </w:pPr>
      <w:r w:rsidRPr="00FC164E">
        <w:rPr>
          <w:rFonts w:eastAsia="Times New Roman" w:cs="Times New Roman"/>
          <w:kern w:val="0"/>
          <w:szCs w:val="24"/>
        </w:rPr>
        <w:t xml:space="preserve">Exploring the influence of external factors such as regulatory policies, economic conditions, and political dynamics on stakeholder participation and service delivery is another critical area for future research. </w:t>
      </w:r>
      <w:proofErr w:type="spellStart"/>
      <w:r w:rsidRPr="00FC164E">
        <w:rPr>
          <w:rFonts w:eastAsia="Times New Roman" w:cs="Times New Roman"/>
          <w:kern w:val="0"/>
          <w:szCs w:val="24"/>
        </w:rPr>
        <w:t>Analysing</w:t>
      </w:r>
      <w:proofErr w:type="spellEnd"/>
      <w:r w:rsidRPr="00FC164E">
        <w:rPr>
          <w:rFonts w:eastAsia="Times New Roman" w:cs="Times New Roman"/>
          <w:kern w:val="0"/>
          <w:szCs w:val="24"/>
        </w:rPr>
        <w:t xml:space="preserve"> how these external elements shape engagement practices and service efficiency would contribute to a more comprehensive understanding of the broader institutional and policy environment affecting state-owned enterprises.</w:t>
      </w:r>
    </w:p>
    <w:p w14:paraId="236F64B6" w14:textId="77777777" w:rsidR="00A81B4E" w:rsidRDefault="00A81B4E" w:rsidP="0085501D">
      <w:pPr>
        <w:spacing w:before="100" w:beforeAutospacing="1" w:after="100" w:afterAutospacing="1" w:line="360" w:lineRule="auto"/>
        <w:jc w:val="both"/>
        <w:rPr>
          <w:rFonts w:eastAsia="Times New Roman" w:cs="Times New Roman"/>
          <w:kern w:val="0"/>
          <w:szCs w:val="24"/>
        </w:rPr>
      </w:pPr>
    </w:p>
    <w:p w14:paraId="696454E0" w14:textId="77777777" w:rsidR="00A81B4E" w:rsidRPr="00A81B4E" w:rsidRDefault="00A81B4E" w:rsidP="00A81B4E">
      <w:pPr>
        <w:spacing w:after="200" w:line="276" w:lineRule="auto"/>
        <w:jc w:val="both"/>
        <w:outlineLvl w:val="0"/>
        <w:rPr>
          <w:rFonts w:ascii="Arial" w:eastAsia="Times New Roman" w:hAnsi="Arial" w:cs="Arial"/>
          <w:kern w:val="0"/>
          <w:sz w:val="22"/>
          <w:lang w:val="en-GB" w:eastAsia="en-GB"/>
        </w:rPr>
      </w:pPr>
      <w:r w:rsidRPr="00A81B4E">
        <w:rPr>
          <w:rFonts w:ascii="Arial" w:eastAsia="Times New Roman" w:hAnsi="Arial" w:cs="Arial"/>
          <w:b/>
          <w:bCs/>
          <w:kern w:val="0"/>
          <w:sz w:val="22"/>
          <w:lang w:val="en-GB" w:eastAsia="en-GB"/>
        </w:rPr>
        <w:t>COMPETING INTERESTS DISCLAIMER:</w:t>
      </w:r>
    </w:p>
    <w:p w14:paraId="4918F309" w14:textId="77777777" w:rsidR="00A81B4E" w:rsidRPr="00A81B4E" w:rsidRDefault="00A81B4E" w:rsidP="00A81B4E">
      <w:pPr>
        <w:spacing w:after="200" w:line="276" w:lineRule="auto"/>
        <w:rPr>
          <w:rFonts w:ascii="Calibri" w:eastAsia="Times New Roman" w:hAnsi="Calibri" w:cs="Times New Roman"/>
          <w:kern w:val="0"/>
          <w:sz w:val="22"/>
          <w:lang w:val="en-GB" w:eastAsia="en-GB"/>
        </w:rPr>
      </w:pPr>
      <w:r w:rsidRPr="00A81B4E">
        <w:rPr>
          <w:rFonts w:ascii="Calibri" w:eastAsia="Times New Roman" w:hAnsi="Calibri" w:cs="Times New Roman"/>
          <w:kern w:val="0"/>
          <w:sz w:val="22"/>
          <w:lang w:val="en-GB" w:eastAsia="en-GB"/>
        </w:rPr>
        <w:t>Authors have declared that they have no known competing financial interests OR non-financial interests OR personal relationships that could have appeared to influence the work reported in this paper.</w:t>
      </w:r>
    </w:p>
    <w:p w14:paraId="2D77F71B" w14:textId="77777777" w:rsidR="00410229" w:rsidRPr="009C5487" w:rsidRDefault="00410229" w:rsidP="00410229">
      <w:pPr>
        <w:rPr>
          <w:rFonts w:ascii="Calibri" w:eastAsia="Calibri" w:hAnsi="Calibri" w:cs="Times New Roman"/>
          <w:highlight w:val="yellow"/>
        </w:rPr>
      </w:pPr>
      <w:bookmarkStart w:id="36" w:name="_Hlk180402183"/>
      <w:bookmarkStart w:id="37" w:name="_Hlk183680988"/>
      <w:r w:rsidRPr="009C5487">
        <w:rPr>
          <w:rFonts w:ascii="Calibri" w:eastAsia="Calibri" w:hAnsi="Calibri" w:cs="Times New Roman"/>
          <w:highlight w:val="yellow"/>
        </w:rPr>
        <w:t>Disclaimer (Artificial intelligence)</w:t>
      </w:r>
    </w:p>
    <w:p w14:paraId="6E4F9A93" w14:textId="77777777" w:rsidR="00410229" w:rsidRPr="009C5487" w:rsidRDefault="00410229" w:rsidP="00410229">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7EE9FC73" w14:textId="77777777" w:rsidR="00410229" w:rsidRPr="009C5487" w:rsidRDefault="00410229" w:rsidP="00410229">
      <w:pPr>
        <w:rPr>
          <w:rFonts w:ascii="Calibri" w:eastAsia="Calibri" w:hAnsi="Calibri" w:cs="Times New Roman"/>
          <w:highlight w:val="yellow"/>
        </w:rPr>
      </w:pPr>
      <w:r w:rsidRPr="009C5487">
        <w:rPr>
          <w:rFonts w:ascii="Calibri" w:eastAsia="Calibri" w:hAnsi="Calibri" w:cs="Times New Roman"/>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7186BC23" w14:textId="77777777" w:rsidR="00410229" w:rsidRPr="009C5487" w:rsidRDefault="00410229" w:rsidP="00410229">
      <w:pPr>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58EC8E5D" w14:textId="77777777" w:rsidR="00410229" w:rsidRPr="009C5487" w:rsidRDefault="00410229" w:rsidP="00410229">
      <w:pPr>
        <w:rPr>
          <w:rFonts w:ascii="Calibri" w:eastAsia="Calibri" w:hAnsi="Calibri" w:cs="Times New Roman"/>
          <w:highlight w:val="yellow"/>
        </w:rPr>
      </w:pPr>
      <w:r w:rsidRPr="009C5487">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61E652C" w14:textId="77777777" w:rsidR="00410229" w:rsidRPr="009C5487" w:rsidRDefault="00410229" w:rsidP="00410229">
      <w:pPr>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571C053A" w14:textId="77777777" w:rsidR="00410229" w:rsidRPr="009C5487" w:rsidRDefault="00410229" w:rsidP="00410229">
      <w:pPr>
        <w:rPr>
          <w:rFonts w:ascii="Calibri" w:eastAsia="Calibri" w:hAnsi="Calibri" w:cs="Times New Roman"/>
          <w:highlight w:val="yellow"/>
        </w:rPr>
      </w:pPr>
      <w:r w:rsidRPr="009C5487">
        <w:rPr>
          <w:rFonts w:ascii="Calibri" w:eastAsia="Calibri" w:hAnsi="Calibri" w:cs="Times New Roman"/>
          <w:highlight w:val="yellow"/>
        </w:rPr>
        <w:t>1.</w:t>
      </w:r>
    </w:p>
    <w:p w14:paraId="69015D68" w14:textId="77777777" w:rsidR="00410229" w:rsidRPr="009C5487" w:rsidRDefault="00410229" w:rsidP="00410229">
      <w:pPr>
        <w:rPr>
          <w:rFonts w:ascii="Calibri" w:eastAsia="Calibri" w:hAnsi="Calibri" w:cs="Times New Roman"/>
          <w:highlight w:val="yellow"/>
        </w:rPr>
      </w:pPr>
      <w:r w:rsidRPr="009C5487">
        <w:rPr>
          <w:rFonts w:ascii="Calibri" w:eastAsia="Calibri" w:hAnsi="Calibri" w:cs="Times New Roman"/>
          <w:highlight w:val="yellow"/>
        </w:rPr>
        <w:t>2.</w:t>
      </w:r>
    </w:p>
    <w:p w14:paraId="746948BA" w14:textId="77777777" w:rsidR="00410229" w:rsidRPr="009C5487" w:rsidRDefault="00410229" w:rsidP="00410229">
      <w:pPr>
        <w:rPr>
          <w:rFonts w:ascii="Calibri" w:eastAsia="Calibri" w:hAnsi="Calibri" w:cs="Times New Roman"/>
        </w:rPr>
      </w:pPr>
      <w:r w:rsidRPr="009C5487">
        <w:rPr>
          <w:rFonts w:ascii="Calibri" w:eastAsia="Calibri" w:hAnsi="Calibri" w:cs="Times New Roman"/>
          <w:highlight w:val="yellow"/>
        </w:rPr>
        <w:t>3.</w:t>
      </w:r>
    </w:p>
    <w:bookmarkEnd w:id="36"/>
    <w:bookmarkEnd w:id="37"/>
    <w:p w14:paraId="15DC8FE1" w14:textId="77777777" w:rsidR="00A81B4E" w:rsidRPr="0085501D" w:rsidRDefault="00A81B4E" w:rsidP="0085501D">
      <w:pPr>
        <w:spacing w:before="100" w:beforeAutospacing="1" w:after="100" w:afterAutospacing="1" w:line="360" w:lineRule="auto"/>
        <w:jc w:val="both"/>
        <w:rPr>
          <w:rFonts w:eastAsia="Times New Roman" w:cs="Times New Roman"/>
          <w:kern w:val="0"/>
          <w:szCs w:val="24"/>
        </w:rPr>
      </w:pPr>
    </w:p>
    <w:p w14:paraId="1B7E43EE" w14:textId="536DAA78" w:rsidR="002D7555" w:rsidRPr="002D7555" w:rsidRDefault="002D7555" w:rsidP="00FC164E">
      <w:pPr>
        <w:spacing w:line="360" w:lineRule="auto"/>
        <w:jc w:val="both"/>
        <w:rPr>
          <w:rFonts w:cs="Times New Roman"/>
          <w:b/>
          <w:szCs w:val="24"/>
        </w:rPr>
      </w:pPr>
      <w:r w:rsidRPr="00F32A8B">
        <w:rPr>
          <w:rFonts w:cs="Times New Roman"/>
          <w:b/>
          <w:szCs w:val="24"/>
        </w:rPr>
        <w:t xml:space="preserve">References </w:t>
      </w:r>
    </w:p>
    <w:p w14:paraId="5600C0B3"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African Development Bank. (2023). </w:t>
      </w:r>
      <w:r w:rsidRPr="00E51EB8">
        <w:rPr>
          <w:rFonts w:eastAsiaTheme="majorEastAsia" w:cs="Times New Roman"/>
          <w:i/>
          <w:iCs/>
          <w:kern w:val="0"/>
          <w:szCs w:val="24"/>
        </w:rPr>
        <w:t>Gender equality in infrastructure: Addressing disparities in employment and leadership</w:t>
      </w:r>
      <w:r w:rsidRPr="00E51EB8">
        <w:rPr>
          <w:rFonts w:eastAsia="Times New Roman" w:cs="Times New Roman"/>
          <w:kern w:val="0"/>
          <w:szCs w:val="24"/>
        </w:rPr>
        <w:t>.</w:t>
      </w:r>
    </w:p>
    <w:p w14:paraId="75ED788D"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African Development Bank. (2024). </w:t>
      </w:r>
      <w:r w:rsidRPr="00E51EB8">
        <w:rPr>
          <w:rFonts w:eastAsiaTheme="majorEastAsia" w:cs="Times New Roman"/>
          <w:i/>
          <w:iCs/>
          <w:kern w:val="0"/>
          <w:szCs w:val="24"/>
        </w:rPr>
        <w:t>Utility performance and workforce sustainability: Addressing retention challenges</w:t>
      </w:r>
      <w:r w:rsidRPr="00E51EB8">
        <w:rPr>
          <w:rFonts w:eastAsia="Times New Roman" w:cs="Times New Roman"/>
          <w:kern w:val="0"/>
          <w:szCs w:val="24"/>
        </w:rPr>
        <w:t>.</w:t>
      </w:r>
    </w:p>
    <w:p w14:paraId="3236BE26"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Arinaitwe, J. (2024). </w:t>
      </w:r>
      <w:r w:rsidRPr="00E51EB8">
        <w:rPr>
          <w:rFonts w:eastAsia="Times New Roman" w:cs="Times New Roman"/>
          <w:i/>
          <w:iCs/>
          <w:kern w:val="0"/>
          <w:szCs w:val="24"/>
        </w:rPr>
        <w:t>Stakeholder response mechanisms in public enterprises: Challenges and opportunities.</w:t>
      </w:r>
    </w:p>
    <w:p w14:paraId="79297445"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proofErr w:type="spellStart"/>
      <w:r w:rsidRPr="00E51EB8">
        <w:rPr>
          <w:rFonts w:eastAsia="Times New Roman" w:cs="Times New Roman"/>
          <w:kern w:val="0"/>
          <w:szCs w:val="24"/>
        </w:rPr>
        <w:t>Bardouille</w:t>
      </w:r>
      <w:proofErr w:type="spellEnd"/>
      <w:r w:rsidRPr="00E51EB8">
        <w:rPr>
          <w:rFonts w:eastAsia="Times New Roman" w:cs="Times New Roman"/>
          <w:kern w:val="0"/>
          <w:szCs w:val="24"/>
        </w:rPr>
        <w:t xml:space="preserve">, P. (2020). Transparency and accountability in South Africa's energy sector. </w:t>
      </w:r>
      <w:r w:rsidRPr="00E51EB8">
        <w:rPr>
          <w:rFonts w:eastAsiaTheme="majorEastAsia" w:cs="Times New Roman"/>
          <w:i/>
          <w:iCs/>
          <w:kern w:val="0"/>
          <w:szCs w:val="24"/>
        </w:rPr>
        <w:t>Journal of Energy and Natural Resources Law, 38</w:t>
      </w:r>
      <w:r w:rsidRPr="00E51EB8">
        <w:rPr>
          <w:rFonts w:eastAsia="Times New Roman" w:cs="Times New Roman"/>
          <w:kern w:val="0"/>
          <w:szCs w:val="24"/>
        </w:rPr>
        <w:t>(2), 147–162. https://doi.org/10.1080/02646811.2020.1718532</w:t>
      </w:r>
    </w:p>
    <w:p w14:paraId="465E6B4F"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proofErr w:type="spellStart"/>
      <w:r w:rsidRPr="00E51EB8">
        <w:rPr>
          <w:rFonts w:eastAsia="Times New Roman" w:cs="Times New Roman"/>
          <w:kern w:val="0"/>
          <w:szCs w:val="24"/>
        </w:rPr>
        <w:t>Bardouille</w:t>
      </w:r>
      <w:proofErr w:type="spellEnd"/>
      <w:r w:rsidRPr="00E51EB8">
        <w:rPr>
          <w:rFonts w:eastAsia="Times New Roman" w:cs="Times New Roman"/>
          <w:kern w:val="0"/>
          <w:szCs w:val="24"/>
        </w:rPr>
        <w:t xml:space="preserve">, P. (2022). State-owned enterprises in the energy sector: Challenges and opportunities. </w:t>
      </w:r>
      <w:r w:rsidRPr="00E51EB8">
        <w:rPr>
          <w:rFonts w:eastAsiaTheme="majorEastAsia" w:cs="Times New Roman"/>
          <w:i/>
          <w:iCs/>
          <w:kern w:val="0"/>
          <w:szCs w:val="24"/>
        </w:rPr>
        <w:t>Energy Policy, 165</w:t>
      </w:r>
      <w:r w:rsidRPr="00E51EB8">
        <w:rPr>
          <w:rFonts w:eastAsia="Times New Roman" w:cs="Times New Roman"/>
          <w:kern w:val="0"/>
          <w:szCs w:val="24"/>
        </w:rPr>
        <w:t>, 112893. https://doi.org/10.1016/j.enpol.2022.112893</w:t>
      </w:r>
    </w:p>
    <w:p w14:paraId="2F479370" w14:textId="77777777" w:rsidR="002D7555" w:rsidRPr="00E51EB8" w:rsidRDefault="002D7555" w:rsidP="00E51EB8">
      <w:pPr>
        <w:spacing w:before="100" w:beforeAutospacing="1" w:after="100" w:afterAutospacing="1" w:line="240" w:lineRule="auto"/>
        <w:ind w:left="360"/>
        <w:rPr>
          <w:rFonts w:cs="Times New Roman"/>
          <w:szCs w:val="24"/>
          <w14:ligatures w14:val="standardContextual"/>
        </w:rPr>
      </w:pPr>
      <w:r w:rsidRPr="00E51EB8">
        <w:rPr>
          <w:rFonts w:cs="Times New Roman"/>
          <w:szCs w:val="24"/>
          <w14:ligatures w14:val="standardContextual"/>
        </w:rPr>
        <w:t xml:space="preserve">Baruch, Y., &amp; Holtom, B. C. (2008). Survey response rate levels and trends in organizational research. </w:t>
      </w:r>
      <w:r w:rsidRPr="00E51EB8">
        <w:rPr>
          <w:rFonts w:cs="Times New Roman"/>
          <w:i/>
          <w:iCs/>
          <w:szCs w:val="24"/>
          <w14:ligatures w14:val="standardContextual"/>
        </w:rPr>
        <w:t>Human Relations, 61</w:t>
      </w:r>
      <w:r w:rsidRPr="00E51EB8">
        <w:rPr>
          <w:rFonts w:cs="Times New Roman"/>
          <w:szCs w:val="24"/>
          <w14:ligatures w14:val="standardContextual"/>
        </w:rPr>
        <w:t>(8), 1139-1160.</w:t>
      </w:r>
    </w:p>
    <w:p w14:paraId="67EFEC14"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proofErr w:type="spellStart"/>
      <w:r w:rsidRPr="00E51EB8">
        <w:rPr>
          <w:rFonts w:eastAsia="Times New Roman" w:cs="Times New Roman"/>
          <w:kern w:val="0"/>
          <w:szCs w:val="24"/>
        </w:rPr>
        <w:t>Basalirwa</w:t>
      </w:r>
      <w:proofErr w:type="spellEnd"/>
      <w:r w:rsidRPr="00E51EB8">
        <w:rPr>
          <w:rFonts w:eastAsia="Times New Roman" w:cs="Times New Roman"/>
          <w:kern w:val="0"/>
          <w:szCs w:val="24"/>
        </w:rPr>
        <w:t xml:space="preserve">, H. (2024). </w:t>
      </w:r>
      <w:r w:rsidRPr="00E51EB8">
        <w:rPr>
          <w:rFonts w:eastAsia="Times New Roman" w:cs="Times New Roman"/>
          <w:i/>
          <w:iCs/>
          <w:kern w:val="0"/>
          <w:szCs w:val="24"/>
        </w:rPr>
        <w:t>Organizational decision-making and stakeholder feedback integration in the utility sector.</w:t>
      </w:r>
    </w:p>
    <w:p w14:paraId="7A40A489"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lastRenderedPageBreak/>
        <w:t xml:space="preserve">Bategeka, L. (2020). Transparency and accountability in Uganda's energy sector. </w:t>
      </w:r>
      <w:r w:rsidRPr="00E51EB8">
        <w:rPr>
          <w:rFonts w:eastAsia="Times New Roman" w:cs="Times New Roman"/>
          <w:i/>
          <w:iCs/>
          <w:kern w:val="0"/>
          <w:szCs w:val="24"/>
        </w:rPr>
        <w:t>Journal of Energy and Natural Resources Law, 38</w:t>
      </w:r>
      <w:r w:rsidRPr="00E51EB8">
        <w:rPr>
          <w:rFonts w:eastAsia="Times New Roman" w:cs="Times New Roman"/>
          <w:kern w:val="0"/>
          <w:szCs w:val="24"/>
        </w:rPr>
        <w:t>(3), 257–274. https://doi.org/10.1080/02646811.2020.1744283</w:t>
      </w:r>
    </w:p>
    <w:p w14:paraId="1CF523D7"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Bell, E., Harley, B., &amp; Bryman, A. (2022). </w:t>
      </w:r>
      <w:r w:rsidRPr="00E51EB8">
        <w:rPr>
          <w:rFonts w:eastAsiaTheme="majorEastAsia" w:cs="Times New Roman"/>
          <w:i/>
          <w:iCs/>
          <w:kern w:val="0"/>
          <w:szCs w:val="24"/>
        </w:rPr>
        <w:t>Business research methods</w:t>
      </w:r>
      <w:r w:rsidRPr="00E51EB8">
        <w:rPr>
          <w:rFonts w:eastAsia="Times New Roman" w:cs="Times New Roman"/>
          <w:kern w:val="0"/>
          <w:szCs w:val="24"/>
        </w:rPr>
        <w:t xml:space="preserve"> (6th ed.). Oxford University Press.</w:t>
      </w:r>
    </w:p>
    <w:p w14:paraId="036CC38E"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Bell, E., Harley, B., &amp; Bryman, A. (2022). </w:t>
      </w:r>
      <w:r w:rsidRPr="00E51EB8">
        <w:rPr>
          <w:rFonts w:eastAsia="Times New Roman" w:cs="Times New Roman"/>
          <w:i/>
          <w:iCs/>
          <w:kern w:val="0"/>
          <w:szCs w:val="24"/>
        </w:rPr>
        <w:t>Business research methods</w:t>
      </w:r>
      <w:r w:rsidRPr="00E51EB8">
        <w:rPr>
          <w:rFonts w:eastAsia="Times New Roman" w:cs="Times New Roman"/>
          <w:kern w:val="0"/>
          <w:szCs w:val="24"/>
        </w:rPr>
        <w:t xml:space="preserve"> (6th ed.). Oxford University Press.</w:t>
      </w:r>
    </w:p>
    <w:p w14:paraId="7E96C6E5"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Bhattacharya, S., et al. (2020). Stakeholder engagement in the energy sector: A systematic review. </w:t>
      </w:r>
      <w:r w:rsidRPr="00E51EB8">
        <w:rPr>
          <w:rFonts w:eastAsia="Times New Roman" w:cs="Times New Roman"/>
          <w:i/>
          <w:iCs/>
          <w:kern w:val="0"/>
          <w:szCs w:val="24"/>
        </w:rPr>
        <w:t>Energy Research &amp; Social Science, 69</w:t>
      </w:r>
      <w:r w:rsidRPr="00E51EB8">
        <w:rPr>
          <w:rFonts w:eastAsia="Times New Roman" w:cs="Times New Roman"/>
          <w:kern w:val="0"/>
          <w:szCs w:val="24"/>
        </w:rPr>
        <w:t>, 101734. https://doi.org/10.1016/j.erss.2020.101734</w:t>
      </w:r>
    </w:p>
    <w:p w14:paraId="795934C0"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Bloomfield, J., &amp; Fisher, M. J. (2019). </w:t>
      </w:r>
      <w:r w:rsidRPr="00E51EB8">
        <w:rPr>
          <w:rFonts w:eastAsia="Times New Roman" w:cs="Times New Roman"/>
          <w:i/>
          <w:iCs/>
          <w:kern w:val="0"/>
          <w:szCs w:val="24"/>
        </w:rPr>
        <w:t>Validity and reliability in social research: A practical guide</w:t>
      </w:r>
      <w:r w:rsidRPr="00E51EB8">
        <w:rPr>
          <w:rFonts w:eastAsia="Times New Roman" w:cs="Times New Roman"/>
          <w:kern w:val="0"/>
          <w:szCs w:val="24"/>
        </w:rPr>
        <w:t>. Journal of Research Methods, 45(3), 112–128.</w:t>
      </w:r>
    </w:p>
    <w:p w14:paraId="6E49A9CD"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Bryman, A. (2022). </w:t>
      </w:r>
      <w:r w:rsidRPr="00E51EB8">
        <w:rPr>
          <w:rFonts w:eastAsiaTheme="majorEastAsia" w:cs="Times New Roman"/>
          <w:i/>
          <w:iCs/>
          <w:kern w:val="0"/>
          <w:szCs w:val="24"/>
        </w:rPr>
        <w:t>Social research methods</w:t>
      </w:r>
      <w:r w:rsidRPr="00E51EB8">
        <w:rPr>
          <w:rFonts w:eastAsia="Times New Roman" w:cs="Times New Roman"/>
          <w:kern w:val="0"/>
          <w:szCs w:val="24"/>
        </w:rPr>
        <w:t xml:space="preserve"> (6th ed.). Oxford University Press.</w:t>
      </w:r>
    </w:p>
    <w:p w14:paraId="1B0407A6"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Clancy, J., Mohlakoana, N., &amp; </w:t>
      </w:r>
      <w:proofErr w:type="spellStart"/>
      <w:r w:rsidRPr="00E51EB8">
        <w:rPr>
          <w:rFonts w:eastAsia="Times New Roman" w:cs="Times New Roman"/>
          <w:kern w:val="0"/>
          <w:szCs w:val="24"/>
        </w:rPr>
        <w:t>Sijm</w:t>
      </w:r>
      <w:proofErr w:type="spellEnd"/>
      <w:r w:rsidRPr="00E51EB8">
        <w:rPr>
          <w:rFonts w:eastAsia="Times New Roman" w:cs="Times New Roman"/>
          <w:kern w:val="0"/>
          <w:szCs w:val="24"/>
        </w:rPr>
        <w:t xml:space="preserve">, J. (2020). </w:t>
      </w:r>
      <w:r w:rsidRPr="00E51EB8">
        <w:rPr>
          <w:rFonts w:eastAsiaTheme="majorEastAsia" w:cs="Times New Roman"/>
          <w:i/>
          <w:iCs/>
          <w:kern w:val="0"/>
          <w:szCs w:val="24"/>
        </w:rPr>
        <w:t>Energy sector employment to 2030: An analysis of energy workforce trends</w:t>
      </w:r>
      <w:r w:rsidRPr="00E51EB8">
        <w:rPr>
          <w:rFonts w:eastAsia="Times New Roman" w:cs="Times New Roman"/>
          <w:kern w:val="0"/>
          <w:szCs w:val="24"/>
        </w:rPr>
        <w:t>.</w:t>
      </w:r>
    </w:p>
    <w:p w14:paraId="04A62D9F"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Climate Investment Funds. (2020). </w:t>
      </w:r>
      <w:r w:rsidRPr="00E51EB8">
        <w:rPr>
          <w:rFonts w:eastAsia="Times New Roman" w:cs="Times New Roman"/>
          <w:i/>
          <w:iCs/>
          <w:kern w:val="0"/>
          <w:szCs w:val="24"/>
        </w:rPr>
        <w:t>Enhancing climate action through stakeholder engagement</w:t>
      </w:r>
      <w:r w:rsidRPr="00E51EB8">
        <w:rPr>
          <w:rFonts w:eastAsia="Times New Roman" w:cs="Times New Roman"/>
          <w:kern w:val="0"/>
          <w:szCs w:val="24"/>
        </w:rPr>
        <w:t xml:space="preserve">. </w:t>
      </w:r>
      <w:hyperlink r:id="rId7" w:tgtFrame="_new" w:history="1">
        <w:r w:rsidRPr="00E51EB8">
          <w:rPr>
            <w:rFonts w:eastAsia="Times New Roman" w:cs="Times New Roman"/>
            <w:color w:val="0000FF"/>
            <w:kern w:val="0"/>
            <w:szCs w:val="24"/>
            <w:u w:val="single"/>
          </w:rPr>
          <w:t>https://www.cif.org/sites/cif_enc/files/knowledge-documents/country_level_stakeholder_engagement_study.pdf</w:t>
        </w:r>
      </w:hyperlink>
    </w:p>
    <w:p w14:paraId="7630D6B8"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Cohen, L., Manion, L., &amp; Morrison, K. (2023). </w:t>
      </w:r>
      <w:r w:rsidRPr="00E51EB8">
        <w:rPr>
          <w:rFonts w:eastAsiaTheme="majorEastAsia" w:cs="Times New Roman"/>
          <w:i/>
          <w:iCs/>
          <w:kern w:val="0"/>
          <w:szCs w:val="24"/>
        </w:rPr>
        <w:t>Research methods in education</w:t>
      </w:r>
      <w:r w:rsidRPr="00E51EB8">
        <w:rPr>
          <w:rFonts w:eastAsia="Times New Roman" w:cs="Times New Roman"/>
          <w:kern w:val="0"/>
          <w:szCs w:val="24"/>
        </w:rPr>
        <w:t xml:space="preserve"> (9th ed.). Routledge.</w:t>
      </w:r>
    </w:p>
    <w:p w14:paraId="4AAA4642"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Creswell, J. W., &amp; Creswell, J. D. (2023). </w:t>
      </w:r>
      <w:r w:rsidRPr="00E51EB8">
        <w:rPr>
          <w:rFonts w:eastAsiaTheme="majorEastAsia" w:cs="Times New Roman"/>
          <w:i/>
          <w:iCs/>
          <w:kern w:val="0"/>
          <w:szCs w:val="24"/>
        </w:rPr>
        <w:t>Research design: Qualitative, quantitative, and mixed methods approaches</w:t>
      </w:r>
      <w:r w:rsidRPr="00E51EB8">
        <w:rPr>
          <w:rFonts w:eastAsia="Times New Roman" w:cs="Times New Roman"/>
          <w:kern w:val="0"/>
          <w:szCs w:val="24"/>
        </w:rPr>
        <w:t xml:space="preserve"> (6th ed.). Sage Publications.</w:t>
      </w:r>
    </w:p>
    <w:p w14:paraId="01561DBC"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CT Insider. (2025). How your electric bill breaks down. Retrieved from [Include URL]</w:t>
      </w:r>
    </w:p>
    <w:p w14:paraId="5FBF5AE9"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Electricity Regulatory Authority (ERA). (2022). </w:t>
      </w:r>
      <w:r w:rsidRPr="00E51EB8">
        <w:rPr>
          <w:rFonts w:eastAsiaTheme="majorEastAsia" w:cs="Times New Roman"/>
          <w:i/>
          <w:iCs/>
          <w:kern w:val="0"/>
          <w:szCs w:val="24"/>
        </w:rPr>
        <w:t>ERA Consults Stakeholders on the 2022 Electricity Tariffs</w:t>
      </w:r>
      <w:r w:rsidRPr="00E51EB8">
        <w:rPr>
          <w:rFonts w:eastAsia="Times New Roman" w:cs="Times New Roman"/>
          <w:kern w:val="0"/>
          <w:szCs w:val="24"/>
        </w:rPr>
        <w:t xml:space="preserve">. Retrieved from </w:t>
      </w:r>
      <w:hyperlink r:id="rId8" w:tgtFrame="_new" w:history="1">
        <w:r w:rsidRPr="00E51EB8">
          <w:rPr>
            <w:rFonts w:eastAsiaTheme="majorEastAsia" w:cs="Times New Roman"/>
            <w:color w:val="0000FF"/>
            <w:kern w:val="0"/>
            <w:szCs w:val="24"/>
            <w:u w:val="single"/>
          </w:rPr>
          <w:t>https://www.era.go.ug/index.php/media-centre/what-s-new/369-era-consults-stakeholders-on-the-2022-electricity-tariffs</w:t>
        </w:r>
      </w:hyperlink>
    </w:p>
    <w:p w14:paraId="4B0F7D87"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Electricity Regulatory Authority (ERA). (2022). Public consultation on electricity tariffs. </w:t>
      </w:r>
      <w:r w:rsidRPr="00E51EB8">
        <w:rPr>
          <w:rFonts w:eastAsiaTheme="majorEastAsia" w:cs="Times New Roman"/>
          <w:i/>
          <w:iCs/>
          <w:kern w:val="0"/>
          <w:szCs w:val="24"/>
        </w:rPr>
        <w:t>Electricity Regulatory Authority</w:t>
      </w:r>
      <w:r w:rsidRPr="00E51EB8">
        <w:rPr>
          <w:rFonts w:eastAsia="Times New Roman" w:cs="Times New Roman"/>
          <w:kern w:val="0"/>
          <w:szCs w:val="24"/>
        </w:rPr>
        <w:t xml:space="preserve">. Retrieved from </w:t>
      </w:r>
      <w:hyperlink r:id="rId9" w:tgtFrame="_new" w:history="1">
        <w:r w:rsidRPr="00E51EB8">
          <w:rPr>
            <w:rFonts w:eastAsiaTheme="majorEastAsia" w:cs="Times New Roman"/>
            <w:color w:val="0000FF"/>
            <w:kern w:val="0"/>
            <w:szCs w:val="24"/>
            <w:u w:val="single"/>
          </w:rPr>
          <w:t>https://www.era.go.ug</w:t>
        </w:r>
      </w:hyperlink>
    </w:p>
    <w:p w14:paraId="2C4F8407"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proofErr w:type="spellStart"/>
      <w:r w:rsidRPr="00E51EB8">
        <w:rPr>
          <w:rFonts w:eastAsia="Times New Roman" w:cs="Times New Roman"/>
          <w:kern w:val="0"/>
          <w:szCs w:val="24"/>
        </w:rPr>
        <w:t>Etikan</w:t>
      </w:r>
      <w:proofErr w:type="spellEnd"/>
      <w:r w:rsidRPr="00E51EB8">
        <w:rPr>
          <w:rFonts w:eastAsia="Times New Roman" w:cs="Times New Roman"/>
          <w:kern w:val="0"/>
          <w:szCs w:val="24"/>
        </w:rPr>
        <w:t xml:space="preserve">, I., Musa, S. A., &amp; Alkassim, R. S. (2023). </w:t>
      </w:r>
      <w:r w:rsidRPr="00E51EB8">
        <w:rPr>
          <w:rFonts w:eastAsiaTheme="majorEastAsia" w:cs="Times New Roman"/>
          <w:i/>
          <w:iCs/>
          <w:kern w:val="0"/>
          <w:szCs w:val="24"/>
        </w:rPr>
        <w:t>Comparison of convenience sampling and purposive sampling</w:t>
      </w:r>
      <w:r w:rsidRPr="00E51EB8">
        <w:rPr>
          <w:rFonts w:eastAsia="Times New Roman" w:cs="Times New Roman"/>
          <w:kern w:val="0"/>
          <w:szCs w:val="24"/>
        </w:rPr>
        <w:t>. American Journal of Theoretical and Applied Statistics, 5(1), 1–4.</w:t>
      </w:r>
    </w:p>
    <w:p w14:paraId="0188CE2C"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Field, A. (2022). </w:t>
      </w:r>
      <w:r w:rsidRPr="00E51EB8">
        <w:rPr>
          <w:rFonts w:eastAsiaTheme="majorEastAsia" w:cs="Times New Roman"/>
          <w:i/>
          <w:iCs/>
          <w:kern w:val="0"/>
          <w:szCs w:val="24"/>
        </w:rPr>
        <w:t>Discovering statistics using SPSS</w:t>
      </w:r>
      <w:r w:rsidRPr="00E51EB8">
        <w:rPr>
          <w:rFonts w:eastAsia="Times New Roman" w:cs="Times New Roman"/>
          <w:kern w:val="0"/>
          <w:szCs w:val="24"/>
        </w:rPr>
        <w:t xml:space="preserve"> (5th ed.). Sage Publications.</w:t>
      </w:r>
    </w:p>
    <w:p w14:paraId="785A285A"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lastRenderedPageBreak/>
        <w:t xml:space="preserve">Freeman, R. E. (1984). </w:t>
      </w:r>
      <w:r w:rsidRPr="00E51EB8">
        <w:rPr>
          <w:rFonts w:eastAsiaTheme="majorEastAsia" w:cs="Times New Roman"/>
          <w:i/>
          <w:iCs/>
          <w:kern w:val="0"/>
          <w:szCs w:val="24"/>
        </w:rPr>
        <w:t>Strategic management: A stakeholder approach</w:t>
      </w:r>
      <w:r w:rsidRPr="00E51EB8">
        <w:rPr>
          <w:rFonts w:eastAsia="Times New Roman" w:cs="Times New Roman"/>
          <w:kern w:val="0"/>
          <w:szCs w:val="24"/>
        </w:rPr>
        <w:t>. Pitman.</w:t>
      </w:r>
    </w:p>
    <w:p w14:paraId="35CAF1A5"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Freeman, R. E., Harrison, J. S., &amp; </w:t>
      </w:r>
      <w:proofErr w:type="spellStart"/>
      <w:r w:rsidRPr="00E51EB8">
        <w:rPr>
          <w:rFonts w:eastAsia="Times New Roman" w:cs="Times New Roman"/>
          <w:kern w:val="0"/>
          <w:szCs w:val="24"/>
        </w:rPr>
        <w:t>Zyglidopoulos</w:t>
      </w:r>
      <w:proofErr w:type="spellEnd"/>
      <w:r w:rsidRPr="00E51EB8">
        <w:rPr>
          <w:rFonts w:eastAsia="Times New Roman" w:cs="Times New Roman"/>
          <w:kern w:val="0"/>
          <w:szCs w:val="24"/>
        </w:rPr>
        <w:t xml:space="preserve">, S. (2018). </w:t>
      </w:r>
      <w:r w:rsidRPr="00E51EB8">
        <w:rPr>
          <w:rFonts w:eastAsiaTheme="majorEastAsia" w:cs="Times New Roman"/>
          <w:i/>
          <w:iCs/>
          <w:kern w:val="0"/>
          <w:szCs w:val="24"/>
        </w:rPr>
        <w:t>Stakeholder theory: Concepts and strategies</w:t>
      </w:r>
      <w:r w:rsidRPr="00E51EB8">
        <w:rPr>
          <w:rFonts w:eastAsia="Times New Roman" w:cs="Times New Roman"/>
          <w:kern w:val="0"/>
          <w:szCs w:val="24"/>
        </w:rPr>
        <w:t xml:space="preserve">. Cambridge University Press. </w:t>
      </w:r>
      <w:hyperlink r:id="rId10" w:tgtFrame="_new" w:history="1">
        <w:r w:rsidRPr="00E51EB8">
          <w:rPr>
            <w:rFonts w:eastAsiaTheme="majorEastAsia" w:cs="Times New Roman"/>
            <w:color w:val="0000FF"/>
            <w:kern w:val="0"/>
            <w:szCs w:val="24"/>
            <w:u w:val="single"/>
          </w:rPr>
          <w:t>https://doi.org/10.1017/9781108235594</w:t>
        </w:r>
      </w:hyperlink>
    </w:p>
    <w:p w14:paraId="45A50A01"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Ghosh, A., et al. (2022). Stakeholder engagement in the energy sector: An empirical study. </w:t>
      </w:r>
      <w:r w:rsidRPr="00E51EB8">
        <w:rPr>
          <w:rFonts w:eastAsiaTheme="majorEastAsia" w:cs="Times New Roman"/>
          <w:i/>
          <w:iCs/>
          <w:kern w:val="0"/>
          <w:szCs w:val="24"/>
        </w:rPr>
        <w:t>Energy Policy, 165</w:t>
      </w:r>
      <w:r w:rsidRPr="00E51EB8">
        <w:rPr>
          <w:rFonts w:eastAsia="Times New Roman" w:cs="Times New Roman"/>
          <w:kern w:val="0"/>
          <w:szCs w:val="24"/>
        </w:rPr>
        <w:t>, 112893. https://doi.org/10.1016/j.enpol.2022.112893</w:t>
      </w:r>
    </w:p>
    <w:p w14:paraId="677D91A4"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Ghosh, A., et al. (2022). Stakeholder satisfaction and engagement in the energy sector: An empirical study. </w:t>
      </w:r>
      <w:r w:rsidRPr="00E51EB8">
        <w:rPr>
          <w:rFonts w:eastAsia="Times New Roman" w:cs="Times New Roman"/>
          <w:i/>
          <w:iCs/>
          <w:kern w:val="0"/>
          <w:szCs w:val="24"/>
        </w:rPr>
        <w:t>Energy Policy, 165</w:t>
      </w:r>
      <w:r w:rsidRPr="00E51EB8">
        <w:rPr>
          <w:rFonts w:eastAsia="Times New Roman" w:cs="Times New Roman"/>
          <w:kern w:val="0"/>
          <w:szCs w:val="24"/>
        </w:rPr>
        <w:t>, 112893. https://doi.org/10.1016/j.enpol.2022.112893</w:t>
      </w:r>
    </w:p>
    <w:p w14:paraId="57493324"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Haley, B., Cunningham, K. T., Jacks, A., &amp; </w:t>
      </w:r>
      <w:proofErr w:type="spellStart"/>
      <w:r w:rsidRPr="00E51EB8">
        <w:rPr>
          <w:rFonts w:eastAsia="Times New Roman" w:cs="Times New Roman"/>
          <w:kern w:val="0"/>
          <w:szCs w:val="24"/>
        </w:rPr>
        <w:t>Turkeltaub</w:t>
      </w:r>
      <w:proofErr w:type="spellEnd"/>
      <w:r w:rsidRPr="00E51EB8">
        <w:rPr>
          <w:rFonts w:eastAsia="Times New Roman" w:cs="Times New Roman"/>
          <w:kern w:val="0"/>
          <w:szCs w:val="24"/>
        </w:rPr>
        <w:t xml:space="preserve">, P. (2021). </w:t>
      </w:r>
      <w:r w:rsidRPr="00E51EB8">
        <w:rPr>
          <w:rFonts w:eastAsia="Times New Roman" w:cs="Times New Roman"/>
          <w:i/>
          <w:iCs/>
          <w:kern w:val="0"/>
          <w:szCs w:val="24"/>
        </w:rPr>
        <w:t>Measuring consistency in research instruments: The role of reliability testing</w:t>
      </w:r>
      <w:r w:rsidRPr="00E51EB8">
        <w:rPr>
          <w:rFonts w:eastAsia="Times New Roman" w:cs="Times New Roman"/>
          <w:kern w:val="0"/>
          <w:szCs w:val="24"/>
        </w:rPr>
        <w:t>. Journal of Applied Social Research, 12(4), 98–115.</w:t>
      </w:r>
    </w:p>
    <w:p w14:paraId="2E3BE1DE"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Hou, H., &amp; Cheng, Y. (2021). </w:t>
      </w:r>
      <w:r w:rsidRPr="00E51EB8">
        <w:rPr>
          <w:rFonts w:eastAsiaTheme="majorEastAsia" w:cs="Times New Roman"/>
          <w:i/>
          <w:iCs/>
          <w:kern w:val="0"/>
          <w:szCs w:val="24"/>
        </w:rPr>
        <w:t>The role of pilot studies in social research: Assessing reliability and validity</w:t>
      </w:r>
      <w:r w:rsidRPr="00E51EB8">
        <w:rPr>
          <w:rFonts w:eastAsia="Times New Roman" w:cs="Times New Roman"/>
          <w:kern w:val="0"/>
          <w:szCs w:val="24"/>
        </w:rPr>
        <w:t>. Journal of Social Research Methods, 34(2), 112–129.</w:t>
      </w:r>
    </w:p>
    <w:p w14:paraId="4A54C9CE"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Ibrahim, M., </w:t>
      </w:r>
      <w:proofErr w:type="spellStart"/>
      <w:r w:rsidRPr="00E51EB8">
        <w:rPr>
          <w:rFonts w:eastAsia="Times New Roman" w:cs="Times New Roman"/>
          <w:kern w:val="0"/>
          <w:szCs w:val="24"/>
        </w:rPr>
        <w:t>Chikafutwa</w:t>
      </w:r>
      <w:proofErr w:type="spellEnd"/>
      <w:r w:rsidRPr="00E51EB8">
        <w:rPr>
          <w:rFonts w:eastAsia="Times New Roman" w:cs="Times New Roman"/>
          <w:kern w:val="0"/>
          <w:szCs w:val="24"/>
        </w:rPr>
        <w:t xml:space="preserve">, C., &amp; Ndung'u, J. (2023). </w:t>
      </w:r>
      <w:r w:rsidRPr="00E51EB8">
        <w:rPr>
          <w:rFonts w:eastAsiaTheme="majorEastAsia" w:cs="Times New Roman"/>
          <w:i/>
          <w:iCs/>
          <w:kern w:val="0"/>
          <w:szCs w:val="24"/>
        </w:rPr>
        <w:t>State-owned utilities: Workforce experience and its impact on service delivery</w:t>
      </w:r>
      <w:r w:rsidRPr="00E51EB8">
        <w:rPr>
          <w:rFonts w:eastAsia="Times New Roman" w:cs="Times New Roman"/>
          <w:kern w:val="0"/>
          <w:szCs w:val="24"/>
        </w:rPr>
        <w:t>.</w:t>
      </w:r>
    </w:p>
    <w:p w14:paraId="31CEBA9B"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Initiative for Climate Action Transparency. (2020). </w:t>
      </w:r>
      <w:r w:rsidRPr="00E51EB8">
        <w:rPr>
          <w:rFonts w:eastAsia="Times New Roman" w:cs="Times New Roman"/>
          <w:i/>
          <w:iCs/>
          <w:kern w:val="0"/>
          <w:szCs w:val="24"/>
        </w:rPr>
        <w:t>Stakeholder participation guide</w:t>
      </w:r>
      <w:r w:rsidRPr="00E51EB8">
        <w:rPr>
          <w:rFonts w:eastAsia="Times New Roman" w:cs="Times New Roman"/>
          <w:kern w:val="0"/>
          <w:szCs w:val="24"/>
        </w:rPr>
        <w:t xml:space="preserve">. </w:t>
      </w:r>
      <w:hyperlink r:id="rId11" w:tgtFrame="_new" w:history="1">
        <w:r w:rsidRPr="00E51EB8">
          <w:rPr>
            <w:rFonts w:eastAsia="Times New Roman" w:cs="Times New Roman"/>
            <w:color w:val="0000FF"/>
            <w:kern w:val="0"/>
            <w:szCs w:val="24"/>
            <w:u w:val="single"/>
          </w:rPr>
          <w:t>https://climateactiontransparency.org/wp-content/uploads/2020/04/Stakeholder-Participation-Assessment-Guide.pdf</w:t>
        </w:r>
      </w:hyperlink>
    </w:p>
    <w:p w14:paraId="62D98CD2"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International Energy Agency. (2020). </w:t>
      </w:r>
      <w:r w:rsidRPr="00E51EB8">
        <w:rPr>
          <w:rFonts w:eastAsia="Times New Roman" w:cs="Times New Roman"/>
          <w:i/>
          <w:iCs/>
          <w:kern w:val="0"/>
          <w:szCs w:val="24"/>
        </w:rPr>
        <w:t>World Energy Outlook 2020</w:t>
      </w:r>
      <w:r w:rsidRPr="00E51EB8">
        <w:rPr>
          <w:rFonts w:eastAsia="Times New Roman" w:cs="Times New Roman"/>
          <w:kern w:val="0"/>
          <w:szCs w:val="24"/>
        </w:rPr>
        <w:t>. https://www.iea.org/reports/world-energy-outlook-2020</w:t>
      </w:r>
    </w:p>
    <w:p w14:paraId="4EFC3D30"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International Renewable Energy Agency (IRENA). (2019). </w:t>
      </w:r>
      <w:r w:rsidRPr="00E51EB8">
        <w:rPr>
          <w:rFonts w:eastAsiaTheme="majorEastAsia" w:cs="Times New Roman"/>
          <w:i/>
          <w:iCs/>
          <w:kern w:val="0"/>
          <w:szCs w:val="24"/>
        </w:rPr>
        <w:t>Renewable energy: A gender perspective</w:t>
      </w:r>
      <w:r w:rsidRPr="00E51EB8">
        <w:rPr>
          <w:rFonts w:eastAsia="Times New Roman" w:cs="Times New Roman"/>
          <w:kern w:val="0"/>
          <w:szCs w:val="24"/>
        </w:rPr>
        <w:t>.</w:t>
      </w:r>
    </w:p>
    <w:p w14:paraId="3DC43FAB"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International Renewable Energy Agency. (2022). </w:t>
      </w:r>
      <w:r w:rsidRPr="00E51EB8">
        <w:rPr>
          <w:rFonts w:eastAsia="Times New Roman" w:cs="Times New Roman"/>
          <w:i/>
          <w:iCs/>
          <w:kern w:val="0"/>
          <w:szCs w:val="24"/>
        </w:rPr>
        <w:t>Global Energy Transformation 2022</w:t>
      </w:r>
      <w:r w:rsidRPr="00E51EB8">
        <w:rPr>
          <w:rFonts w:eastAsia="Times New Roman" w:cs="Times New Roman"/>
          <w:kern w:val="0"/>
          <w:szCs w:val="24"/>
        </w:rPr>
        <w:t>. https://www.irena.org/Publications/2022/Apr/Global-Energy-Transformation-2022</w:t>
      </w:r>
    </w:p>
    <w:p w14:paraId="2CCB45CF"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proofErr w:type="spellStart"/>
      <w:r w:rsidRPr="00E51EB8">
        <w:rPr>
          <w:rFonts w:eastAsia="Times New Roman" w:cs="Times New Roman"/>
          <w:kern w:val="0"/>
          <w:szCs w:val="24"/>
        </w:rPr>
        <w:t>Kagenyi</w:t>
      </w:r>
      <w:proofErr w:type="spellEnd"/>
      <w:r w:rsidRPr="00E51EB8">
        <w:rPr>
          <w:rFonts w:eastAsia="Times New Roman" w:cs="Times New Roman"/>
          <w:kern w:val="0"/>
          <w:szCs w:val="24"/>
        </w:rPr>
        <w:t xml:space="preserve">, E. (2022). Stakeholder participation in Uganda's energy sector: Challenges and opportunities. </w:t>
      </w:r>
      <w:r w:rsidRPr="00E51EB8">
        <w:rPr>
          <w:rFonts w:eastAsia="Times New Roman" w:cs="Times New Roman"/>
          <w:i/>
          <w:iCs/>
          <w:kern w:val="0"/>
          <w:szCs w:val="24"/>
        </w:rPr>
        <w:t>Energy Policy, 165</w:t>
      </w:r>
      <w:r w:rsidRPr="00E51EB8">
        <w:rPr>
          <w:rFonts w:eastAsia="Times New Roman" w:cs="Times New Roman"/>
          <w:kern w:val="0"/>
          <w:szCs w:val="24"/>
        </w:rPr>
        <w:t>, 112893. https://doi.org/10.1016/j.enpol.2022.112893</w:t>
      </w:r>
    </w:p>
    <w:p w14:paraId="0D41E301"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proofErr w:type="spellStart"/>
      <w:r w:rsidRPr="00E51EB8">
        <w:rPr>
          <w:rFonts w:eastAsia="Times New Roman" w:cs="Times New Roman"/>
          <w:kern w:val="0"/>
          <w:szCs w:val="24"/>
        </w:rPr>
        <w:t>Kagenyi</w:t>
      </w:r>
      <w:proofErr w:type="spellEnd"/>
      <w:r w:rsidRPr="00E51EB8">
        <w:rPr>
          <w:rFonts w:eastAsia="Times New Roman" w:cs="Times New Roman"/>
          <w:kern w:val="0"/>
          <w:szCs w:val="24"/>
        </w:rPr>
        <w:t xml:space="preserve">, E. (2022). Stakeholder participation in Uganda's energy sector: Challenges and opportunities. </w:t>
      </w:r>
      <w:r w:rsidRPr="00E51EB8">
        <w:rPr>
          <w:rFonts w:eastAsiaTheme="majorEastAsia" w:cs="Times New Roman"/>
          <w:i/>
          <w:iCs/>
          <w:kern w:val="0"/>
          <w:szCs w:val="24"/>
        </w:rPr>
        <w:t>Energy Policy, 165</w:t>
      </w:r>
      <w:r w:rsidRPr="00E51EB8">
        <w:rPr>
          <w:rFonts w:eastAsia="Times New Roman" w:cs="Times New Roman"/>
          <w:kern w:val="0"/>
          <w:szCs w:val="24"/>
        </w:rPr>
        <w:t xml:space="preserve">, 112893. </w:t>
      </w:r>
      <w:hyperlink r:id="rId12" w:tgtFrame="_new" w:history="1">
        <w:r w:rsidRPr="00E51EB8">
          <w:rPr>
            <w:rFonts w:eastAsiaTheme="majorEastAsia" w:cs="Times New Roman"/>
            <w:color w:val="0000FF"/>
            <w:kern w:val="0"/>
            <w:szCs w:val="24"/>
            <w:u w:val="single"/>
          </w:rPr>
          <w:t>https://doi.org/10.1016/j.enpol.2022.112893</w:t>
        </w:r>
      </w:hyperlink>
    </w:p>
    <w:p w14:paraId="33AE57CF"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Kasozi, D. (2022). Community engagement in Uganda's energy sector: A case study of UEDCL. </w:t>
      </w:r>
      <w:r w:rsidRPr="00E51EB8">
        <w:rPr>
          <w:rFonts w:eastAsiaTheme="majorEastAsia" w:cs="Times New Roman"/>
          <w:i/>
          <w:iCs/>
          <w:kern w:val="0"/>
          <w:szCs w:val="24"/>
        </w:rPr>
        <w:t>Journal of Community Development, 53</w:t>
      </w:r>
      <w:r w:rsidRPr="00E51EB8">
        <w:rPr>
          <w:rFonts w:eastAsia="Times New Roman" w:cs="Times New Roman"/>
          <w:kern w:val="0"/>
          <w:szCs w:val="24"/>
        </w:rPr>
        <w:t xml:space="preserve">(3), 432–448. </w:t>
      </w:r>
      <w:hyperlink r:id="rId13" w:tgtFrame="_new" w:history="1">
        <w:r w:rsidRPr="00E51EB8">
          <w:rPr>
            <w:rFonts w:eastAsiaTheme="majorEastAsia" w:cs="Times New Roman"/>
            <w:color w:val="0000FF"/>
            <w:kern w:val="0"/>
            <w:szCs w:val="24"/>
            <w:u w:val="single"/>
          </w:rPr>
          <w:t>https://doi.org/10.1080/15575330.2022.2040134</w:t>
        </w:r>
      </w:hyperlink>
    </w:p>
    <w:p w14:paraId="426B6DC0"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Kaweesa, P. (2024). </w:t>
      </w:r>
      <w:r w:rsidRPr="00E51EB8">
        <w:rPr>
          <w:rFonts w:eastAsia="Times New Roman" w:cs="Times New Roman"/>
          <w:i/>
          <w:iCs/>
          <w:kern w:val="0"/>
          <w:szCs w:val="24"/>
        </w:rPr>
        <w:t>Participatory governance in state-owned enterprises: Evaluating stakeholder involvement.</w:t>
      </w:r>
    </w:p>
    <w:p w14:paraId="2E5E3884"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lastRenderedPageBreak/>
        <w:t xml:space="preserve">Kisembo, R. (2023). </w:t>
      </w:r>
      <w:r w:rsidRPr="00E51EB8">
        <w:rPr>
          <w:rFonts w:eastAsia="Times New Roman" w:cs="Times New Roman"/>
          <w:i/>
          <w:iCs/>
          <w:kern w:val="0"/>
          <w:szCs w:val="24"/>
        </w:rPr>
        <w:t>Evolving communication cultures in public enterprises: A case study of Uganda’s utility sector.</w:t>
      </w:r>
    </w:p>
    <w:p w14:paraId="6FAAEAA7"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Kumar, P., et al. (2022). Challenges and opportunities for state-owned energy corporations: A systematic review. </w:t>
      </w:r>
      <w:r w:rsidRPr="00E51EB8">
        <w:rPr>
          <w:rFonts w:eastAsia="Times New Roman" w:cs="Times New Roman"/>
          <w:i/>
          <w:iCs/>
          <w:kern w:val="0"/>
          <w:szCs w:val="24"/>
        </w:rPr>
        <w:t>Energy Strategy Reviews, 43</w:t>
      </w:r>
      <w:r w:rsidRPr="00E51EB8">
        <w:rPr>
          <w:rFonts w:eastAsia="Times New Roman" w:cs="Times New Roman"/>
          <w:kern w:val="0"/>
          <w:szCs w:val="24"/>
        </w:rPr>
        <w:t>, 100844. https://doi.org/10.1016/j.esr.2022.100844</w:t>
      </w:r>
    </w:p>
    <w:p w14:paraId="0AF90C8C"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Kumar, R. (2023). </w:t>
      </w:r>
      <w:r w:rsidRPr="00E51EB8">
        <w:rPr>
          <w:rFonts w:eastAsiaTheme="majorEastAsia" w:cs="Times New Roman"/>
          <w:i/>
          <w:iCs/>
          <w:kern w:val="0"/>
          <w:szCs w:val="24"/>
        </w:rPr>
        <w:t>Research methodology: A step-by-step guide for beginners</w:t>
      </w:r>
      <w:r w:rsidRPr="00E51EB8">
        <w:rPr>
          <w:rFonts w:eastAsia="Times New Roman" w:cs="Times New Roman"/>
          <w:kern w:val="0"/>
          <w:szCs w:val="24"/>
        </w:rPr>
        <w:t xml:space="preserve"> (6th ed.). Sage Publications.</w:t>
      </w:r>
    </w:p>
    <w:p w14:paraId="0F62FE5A"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Littlechild, S. (2020). Stakeholder participation in energy regulation. </w:t>
      </w:r>
      <w:r w:rsidRPr="00E51EB8">
        <w:rPr>
          <w:rFonts w:eastAsiaTheme="majorEastAsia" w:cs="Times New Roman"/>
          <w:i/>
          <w:iCs/>
          <w:kern w:val="0"/>
          <w:szCs w:val="24"/>
        </w:rPr>
        <w:t>Utilities Policy, 66</w:t>
      </w:r>
      <w:r w:rsidRPr="00E51EB8">
        <w:rPr>
          <w:rFonts w:eastAsia="Times New Roman" w:cs="Times New Roman"/>
          <w:kern w:val="0"/>
          <w:szCs w:val="24"/>
        </w:rPr>
        <w:t>, 101083. https://doi.org/10.1016/j.jup.2020.101083</w:t>
      </w:r>
    </w:p>
    <w:p w14:paraId="63C46B9B"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Mahapatra, S., &amp; Mahapatra, S. (2020). Stakeholder participation in the energy sector: A review of the literature. </w:t>
      </w:r>
      <w:r w:rsidRPr="00E51EB8">
        <w:rPr>
          <w:rFonts w:eastAsia="Times New Roman" w:cs="Times New Roman"/>
          <w:i/>
          <w:iCs/>
          <w:kern w:val="0"/>
          <w:szCs w:val="24"/>
        </w:rPr>
        <w:t>Journal of Cleaner Production, 274</w:t>
      </w:r>
      <w:r w:rsidRPr="00E51EB8">
        <w:rPr>
          <w:rFonts w:eastAsia="Times New Roman" w:cs="Times New Roman"/>
          <w:kern w:val="0"/>
          <w:szCs w:val="24"/>
        </w:rPr>
        <w:t>, 122831. https://doi.org/10.1016/j.jclepro.2020.122831</w:t>
      </w:r>
    </w:p>
    <w:p w14:paraId="0160F9E5"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Manyak, T. (2020). Enhancing communication strategies for effective stakeholder engagement in Uganda's energy sector. </w:t>
      </w:r>
      <w:r w:rsidRPr="00E51EB8">
        <w:rPr>
          <w:rFonts w:eastAsia="Times New Roman" w:cs="Times New Roman"/>
          <w:i/>
          <w:iCs/>
          <w:kern w:val="0"/>
          <w:szCs w:val="24"/>
        </w:rPr>
        <w:t>Journal of Communication Management, 24</w:t>
      </w:r>
      <w:r w:rsidRPr="00E51EB8">
        <w:rPr>
          <w:rFonts w:eastAsia="Times New Roman" w:cs="Times New Roman"/>
          <w:kern w:val="0"/>
          <w:szCs w:val="24"/>
        </w:rPr>
        <w:t>(3), 257–274. https://doi.org/10.1108/JCOM-04-2020-0038</w:t>
      </w:r>
    </w:p>
    <w:p w14:paraId="005F7ED7"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Marples, D. R. (2020). Energy policy and stakeholder engagement in emerging economies. </w:t>
      </w:r>
      <w:r w:rsidRPr="00E51EB8">
        <w:rPr>
          <w:rFonts w:eastAsiaTheme="majorEastAsia" w:cs="Times New Roman"/>
          <w:i/>
          <w:iCs/>
          <w:kern w:val="0"/>
          <w:szCs w:val="24"/>
        </w:rPr>
        <w:t>Energy Research &amp; Social Science, 69</w:t>
      </w:r>
      <w:r w:rsidRPr="00E51EB8">
        <w:rPr>
          <w:rFonts w:eastAsia="Times New Roman" w:cs="Times New Roman"/>
          <w:kern w:val="0"/>
          <w:szCs w:val="24"/>
        </w:rPr>
        <w:t>, 101734. https://doi.org/10.1016/j.erss.2020.101734</w:t>
      </w:r>
    </w:p>
    <w:p w14:paraId="6A91BDDE"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Mugenda, O. M., &amp; Mugenda, A. G. (2003). </w:t>
      </w:r>
      <w:r w:rsidRPr="00E51EB8">
        <w:rPr>
          <w:rFonts w:eastAsiaTheme="majorEastAsia" w:cs="Times New Roman"/>
          <w:i/>
          <w:iCs/>
          <w:kern w:val="0"/>
          <w:szCs w:val="24"/>
        </w:rPr>
        <w:t>Research methods: Quantitative and qualitative approaches</w:t>
      </w:r>
      <w:r w:rsidRPr="00E51EB8">
        <w:rPr>
          <w:rFonts w:eastAsia="Times New Roman" w:cs="Times New Roman"/>
          <w:kern w:val="0"/>
          <w:szCs w:val="24"/>
        </w:rPr>
        <w:t>. Acts Press.</w:t>
      </w:r>
    </w:p>
    <w:p w14:paraId="742DE916"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proofErr w:type="spellStart"/>
      <w:r w:rsidRPr="00E51EB8">
        <w:rPr>
          <w:rFonts w:eastAsia="Times New Roman" w:cs="Times New Roman"/>
          <w:kern w:val="0"/>
          <w:szCs w:val="24"/>
        </w:rPr>
        <w:t>Mugera</w:t>
      </w:r>
      <w:proofErr w:type="spellEnd"/>
      <w:r w:rsidRPr="00E51EB8">
        <w:rPr>
          <w:rFonts w:eastAsia="Times New Roman" w:cs="Times New Roman"/>
          <w:kern w:val="0"/>
          <w:szCs w:val="24"/>
        </w:rPr>
        <w:t xml:space="preserve">, F. (2024). </w:t>
      </w:r>
      <w:r w:rsidRPr="00E51EB8">
        <w:rPr>
          <w:rFonts w:eastAsia="Times New Roman" w:cs="Times New Roman"/>
          <w:i/>
          <w:iCs/>
          <w:kern w:val="0"/>
          <w:szCs w:val="24"/>
        </w:rPr>
        <w:t>Stakeholder engagement barriers in public utilities: An empirical study.</w:t>
      </w:r>
    </w:p>
    <w:p w14:paraId="2053F9F7"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Mugisha, J. (2022). Inclusive participation in Uganda's energy sector: A review of the literature. </w:t>
      </w:r>
      <w:r w:rsidRPr="00E51EB8">
        <w:rPr>
          <w:rFonts w:eastAsia="Times New Roman" w:cs="Times New Roman"/>
          <w:i/>
          <w:iCs/>
          <w:kern w:val="0"/>
          <w:szCs w:val="24"/>
        </w:rPr>
        <w:t>Energy Research &amp; Social Science, 89</w:t>
      </w:r>
      <w:r w:rsidRPr="00E51EB8">
        <w:rPr>
          <w:rFonts w:eastAsia="Times New Roman" w:cs="Times New Roman"/>
          <w:kern w:val="0"/>
          <w:szCs w:val="24"/>
        </w:rPr>
        <w:t>, 102514. https://doi.org/10.1016/j.erss.2022.102514</w:t>
      </w:r>
    </w:p>
    <w:p w14:paraId="50A92DB4"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Mugisha, J. (2022). Inclusive participation in Uganda's energy sector: A review of the literature. </w:t>
      </w:r>
      <w:r w:rsidRPr="00E51EB8">
        <w:rPr>
          <w:rFonts w:eastAsiaTheme="majorEastAsia" w:cs="Times New Roman"/>
          <w:i/>
          <w:iCs/>
          <w:kern w:val="0"/>
          <w:szCs w:val="24"/>
        </w:rPr>
        <w:t>Energy Research &amp; Social Science, 89</w:t>
      </w:r>
      <w:r w:rsidRPr="00E51EB8">
        <w:rPr>
          <w:rFonts w:eastAsia="Times New Roman" w:cs="Times New Roman"/>
          <w:kern w:val="0"/>
          <w:szCs w:val="24"/>
        </w:rPr>
        <w:t xml:space="preserve">, 102514. </w:t>
      </w:r>
      <w:hyperlink r:id="rId14" w:tgtFrame="_new" w:history="1">
        <w:r w:rsidRPr="00E51EB8">
          <w:rPr>
            <w:rFonts w:eastAsiaTheme="majorEastAsia" w:cs="Times New Roman"/>
            <w:color w:val="0000FF"/>
            <w:kern w:val="0"/>
            <w:szCs w:val="24"/>
            <w:u w:val="single"/>
          </w:rPr>
          <w:t>https://doi.org/10.1016/j.erss.2022.102514</w:t>
        </w:r>
      </w:hyperlink>
    </w:p>
    <w:p w14:paraId="054B3C58"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Muhumuza, F. (2022). Limited communication channels and stakeholder engagement in Uganda's energy sector. </w:t>
      </w:r>
      <w:r w:rsidRPr="00E51EB8">
        <w:rPr>
          <w:rFonts w:eastAsia="Times New Roman" w:cs="Times New Roman"/>
          <w:i/>
          <w:iCs/>
          <w:kern w:val="0"/>
          <w:szCs w:val="24"/>
        </w:rPr>
        <w:t>Journal of Energy and Natural Resources Law, 40</w:t>
      </w:r>
      <w:r w:rsidRPr="00E51EB8">
        <w:rPr>
          <w:rFonts w:eastAsia="Times New Roman" w:cs="Times New Roman"/>
          <w:kern w:val="0"/>
          <w:szCs w:val="24"/>
        </w:rPr>
        <w:t>(1), 35–50. https://doi.org/10.1080/02646811.2022.2048749</w:t>
      </w:r>
    </w:p>
    <w:p w14:paraId="3256A94D"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Muhumuza, F. (2022). Limited communication channels and stakeholder engagement in Uganda's energy sector. </w:t>
      </w:r>
      <w:r w:rsidRPr="00E51EB8">
        <w:rPr>
          <w:rFonts w:eastAsiaTheme="majorEastAsia" w:cs="Times New Roman"/>
          <w:i/>
          <w:iCs/>
          <w:kern w:val="0"/>
          <w:szCs w:val="24"/>
        </w:rPr>
        <w:t>Journal of Energy and Natural Resources Law, 40</w:t>
      </w:r>
      <w:r w:rsidRPr="00E51EB8">
        <w:rPr>
          <w:rFonts w:eastAsia="Times New Roman" w:cs="Times New Roman"/>
          <w:kern w:val="0"/>
          <w:szCs w:val="24"/>
        </w:rPr>
        <w:t xml:space="preserve">(1), 35–50. </w:t>
      </w:r>
      <w:hyperlink r:id="rId15" w:tgtFrame="_new" w:history="1">
        <w:r w:rsidRPr="00E51EB8">
          <w:rPr>
            <w:rFonts w:eastAsiaTheme="majorEastAsia" w:cs="Times New Roman"/>
            <w:color w:val="0000FF"/>
            <w:kern w:val="0"/>
            <w:szCs w:val="24"/>
            <w:u w:val="single"/>
          </w:rPr>
          <w:t>https://doi.org/10.1080/02646811.2022.2026699</w:t>
        </w:r>
      </w:hyperlink>
    </w:p>
    <w:p w14:paraId="41A9C4B1"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lastRenderedPageBreak/>
        <w:t xml:space="preserve">Muwonge, D. (2024). </w:t>
      </w:r>
      <w:r w:rsidRPr="00E51EB8">
        <w:rPr>
          <w:rFonts w:eastAsia="Times New Roman" w:cs="Times New Roman"/>
          <w:i/>
          <w:iCs/>
          <w:kern w:val="0"/>
          <w:szCs w:val="24"/>
        </w:rPr>
        <w:t>Comprehensive analysis of stakeholder engagement in African utilities: Trends and recommendations.</w:t>
      </w:r>
    </w:p>
    <w:p w14:paraId="28EB8C59"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Mwesigwa, R., &amp; </w:t>
      </w:r>
      <w:proofErr w:type="spellStart"/>
      <w:r w:rsidRPr="00E51EB8">
        <w:rPr>
          <w:rFonts w:eastAsia="Times New Roman" w:cs="Times New Roman"/>
          <w:kern w:val="0"/>
          <w:szCs w:val="24"/>
        </w:rPr>
        <w:t>Namiyingo</w:t>
      </w:r>
      <w:proofErr w:type="spellEnd"/>
      <w:r w:rsidRPr="00E51EB8">
        <w:rPr>
          <w:rFonts w:eastAsia="Times New Roman" w:cs="Times New Roman"/>
          <w:kern w:val="0"/>
          <w:szCs w:val="24"/>
        </w:rPr>
        <w:t xml:space="preserve">, P. (2021). </w:t>
      </w:r>
      <w:r w:rsidRPr="00E51EB8">
        <w:rPr>
          <w:rFonts w:eastAsiaTheme="majorEastAsia" w:cs="Times New Roman"/>
          <w:i/>
          <w:iCs/>
          <w:kern w:val="0"/>
          <w:szCs w:val="24"/>
        </w:rPr>
        <w:t>Public utility workforce trends in East Africa: Turnover and retention challenges</w:t>
      </w:r>
      <w:r w:rsidRPr="00E51EB8">
        <w:rPr>
          <w:rFonts w:eastAsia="Times New Roman" w:cs="Times New Roman"/>
          <w:kern w:val="0"/>
          <w:szCs w:val="24"/>
        </w:rPr>
        <w:t>.</w:t>
      </w:r>
    </w:p>
    <w:p w14:paraId="6F740833"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Nabasa, S. (2024). </w:t>
      </w:r>
      <w:r w:rsidRPr="00E51EB8">
        <w:rPr>
          <w:rFonts w:eastAsia="Times New Roman" w:cs="Times New Roman"/>
          <w:i/>
          <w:iCs/>
          <w:kern w:val="0"/>
          <w:szCs w:val="24"/>
        </w:rPr>
        <w:t>The value of stakeholder collaboration in the utility sector: Assessing engagement outcomes.</w:t>
      </w:r>
    </w:p>
    <w:p w14:paraId="516B6C82"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Nakimuli, T. (2023). </w:t>
      </w:r>
      <w:r w:rsidRPr="00E51EB8">
        <w:rPr>
          <w:rFonts w:eastAsia="Times New Roman" w:cs="Times New Roman"/>
          <w:i/>
          <w:iCs/>
          <w:kern w:val="0"/>
          <w:szCs w:val="24"/>
        </w:rPr>
        <w:t>Stakeholder need assessment challenges in public utilities: Implications for service delivery.</w:t>
      </w:r>
    </w:p>
    <w:p w14:paraId="212EAB4B"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Namata, V. (2023). </w:t>
      </w:r>
      <w:r w:rsidRPr="00E51EB8">
        <w:rPr>
          <w:rFonts w:eastAsia="Times New Roman" w:cs="Times New Roman"/>
          <w:i/>
          <w:iCs/>
          <w:kern w:val="0"/>
          <w:szCs w:val="24"/>
        </w:rPr>
        <w:t>Utility sector partnerships and stakeholder collaboration effectiveness: A critical review.</w:t>
      </w:r>
    </w:p>
    <w:p w14:paraId="166E1D96"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National Renewable Energy Laboratory. (2021). </w:t>
      </w:r>
      <w:r w:rsidRPr="00E51EB8">
        <w:rPr>
          <w:rFonts w:eastAsia="Times New Roman" w:cs="Times New Roman"/>
          <w:i/>
          <w:iCs/>
          <w:kern w:val="0"/>
          <w:szCs w:val="24"/>
        </w:rPr>
        <w:t>Community energy planning: Best practices and lessons learned</w:t>
      </w:r>
      <w:r w:rsidRPr="00E51EB8">
        <w:rPr>
          <w:rFonts w:eastAsia="Times New Roman" w:cs="Times New Roman"/>
          <w:kern w:val="0"/>
          <w:szCs w:val="24"/>
        </w:rPr>
        <w:t xml:space="preserve">. </w:t>
      </w:r>
      <w:hyperlink r:id="rId16" w:tgtFrame="_new" w:history="1">
        <w:r w:rsidRPr="00E51EB8">
          <w:rPr>
            <w:rFonts w:eastAsia="Times New Roman" w:cs="Times New Roman"/>
            <w:color w:val="0000FF"/>
            <w:kern w:val="0"/>
            <w:szCs w:val="24"/>
            <w:u w:val="single"/>
          </w:rPr>
          <w:t>https://www.nrel.gov/docs/fy22osti/82937.pdf</w:t>
        </w:r>
      </w:hyperlink>
    </w:p>
    <w:p w14:paraId="1971C5F5"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New Vision. (2024). </w:t>
      </w:r>
      <w:r w:rsidRPr="00E51EB8">
        <w:rPr>
          <w:rFonts w:eastAsiaTheme="majorEastAsia" w:cs="Times New Roman"/>
          <w:i/>
          <w:iCs/>
          <w:kern w:val="0"/>
          <w:szCs w:val="24"/>
        </w:rPr>
        <w:t>Delayed merger disrupting energy sector service delivery, MPs told</w:t>
      </w:r>
      <w:r w:rsidRPr="00E51EB8">
        <w:rPr>
          <w:rFonts w:eastAsia="Times New Roman" w:cs="Times New Roman"/>
          <w:kern w:val="0"/>
          <w:szCs w:val="24"/>
        </w:rPr>
        <w:t xml:space="preserve">. Retrieved from </w:t>
      </w:r>
      <w:hyperlink r:id="rId17" w:tgtFrame="_new" w:history="1">
        <w:r w:rsidRPr="00E51EB8">
          <w:rPr>
            <w:rFonts w:eastAsiaTheme="majorEastAsia" w:cs="Times New Roman"/>
            <w:color w:val="0000FF"/>
            <w:kern w:val="0"/>
            <w:szCs w:val="24"/>
            <w:u w:val="single"/>
          </w:rPr>
          <w:t>https://www.newvision.co.ug/category/news/delayed-merger-disrupting-energy-sector-servi-NV_183453</w:t>
        </w:r>
      </w:hyperlink>
    </w:p>
    <w:p w14:paraId="3CC3FFE7"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Nyangoma, L. (2023). </w:t>
      </w:r>
      <w:r w:rsidRPr="00E51EB8">
        <w:rPr>
          <w:rFonts w:eastAsia="Times New Roman" w:cs="Times New Roman"/>
          <w:i/>
          <w:iCs/>
          <w:kern w:val="0"/>
          <w:szCs w:val="24"/>
        </w:rPr>
        <w:t>Optimizing stakeholder systems in utility sector engagement: A policy perspective.</w:t>
      </w:r>
    </w:p>
    <w:p w14:paraId="463D07BA"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Osborn, J., &amp; Waters, R. (2012). </w:t>
      </w:r>
      <w:r w:rsidRPr="00E51EB8">
        <w:rPr>
          <w:rFonts w:eastAsia="Times New Roman" w:cs="Times New Roman"/>
          <w:i/>
          <w:iCs/>
          <w:kern w:val="0"/>
          <w:szCs w:val="24"/>
        </w:rPr>
        <w:t>Using Cronbach's alpha to test reliability in quantitative research</w:t>
      </w:r>
      <w:r w:rsidRPr="00E51EB8">
        <w:rPr>
          <w:rFonts w:eastAsia="Times New Roman" w:cs="Times New Roman"/>
          <w:kern w:val="0"/>
          <w:szCs w:val="24"/>
        </w:rPr>
        <w:t>. Journal of Statistical Methods, 10(2), 45–62.</w:t>
      </w:r>
    </w:p>
    <w:p w14:paraId="2E5E3700"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Pallant, J. (2023). </w:t>
      </w:r>
      <w:r w:rsidRPr="00E51EB8">
        <w:rPr>
          <w:rFonts w:eastAsiaTheme="majorEastAsia" w:cs="Times New Roman"/>
          <w:i/>
          <w:iCs/>
          <w:kern w:val="0"/>
          <w:szCs w:val="24"/>
        </w:rPr>
        <w:t>SPSS survival manual: A step-by-step guide to data analysis using IBM SPSS</w:t>
      </w:r>
      <w:r w:rsidRPr="00E51EB8">
        <w:rPr>
          <w:rFonts w:eastAsia="Times New Roman" w:cs="Times New Roman"/>
          <w:kern w:val="0"/>
          <w:szCs w:val="24"/>
        </w:rPr>
        <w:t xml:space="preserve"> (8th ed.). Routledge.</w:t>
      </w:r>
    </w:p>
    <w:p w14:paraId="6F70B8F7"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Patton, M. Q. (2022). </w:t>
      </w:r>
      <w:r w:rsidRPr="00E51EB8">
        <w:rPr>
          <w:rFonts w:eastAsiaTheme="majorEastAsia" w:cs="Times New Roman"/>
          <w:i/>
          <w:iCs/>
          <w:kern w:val="0"/>
          <w:szCs w:val="24"/>
        </w:rPr>
        <w:t>Qualitative research &amp; evaluation methods</w:t>
      </w:r>
      <w:r w:rsidRPr="00E51EB8">
        <w:rPr>
          <w:rFonts w:eastAsia="Times New Roman" w:cs="Times New Roman"/>
          <w:kern w:val="0"/>
          <w:szCs w:val="24"/>
        </w:rPr>
        <w:t xml:space="preserve"> (5th ed.). Sage Publications.</w:t>
      </w:r>
    </w:p>
    <w:p w14:paraId="5274BDE3"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Resnik, D. B. (2023). </w:t>
      </w:r>
      <w:r w:rsidRPr="00E51EB8">
        <w:rPr>
          <w:rFonts w:eastAsiaTheme="majorEastAsia" w:cs="Times New Roman"/>
          <w:i/>
          <w:iCs/>
          <w:kern w:val="0"/>
          <w:szCs w:val="24"/>
        </w:rPr>
        <w:t>The ethics of research with human subjects: Protecting people, advancing science, promoting trust.</w:t>
      </w:r>
      <w:r w:rsidRPr="00E51EB8">
        <w:rPr>
          <w:rFonts w:eastAsia="Times New Roman" w:cs="Times New Roman"/>
          <w:kern w:val="0"/>
          <w:szCs w:val="24"/>
        </w:rPr>
        <w:t xml:space="preserve"> Springer.</w:t>
      </w:r>
    </w:p>
    <w:p w14:paraId="63A58581"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Reuters. (2025). India considers financial aid for indebted power utilities. Retrieved from [Include URL]</w:t>
      </w:r>
    </w:p>
    <w:p w14:paraId="5FFF901C"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Saunders, M., Lewis, P., &amp; Thornhill, A. (2023). </w:t>
      </w:r>
      <w:r w:rsidRPr="00E51EB8">
        <w:rPr>
          <w:rFonts w:eastAsiaTheme="majorEastAsia" w:cs="Times New Roman"/>
          <w:i/>
          <w:iCs/>
          <w:kern w:val="0"/>
          <w:szCs w:val="24"/>
        </w:rPr>
        <w:t>Research methods for business students</w:t>
      </w:r>
      <w:r w:rsidRPr="00E51EB8">
        <w:rPr>
          <w:rFonts w:eastAsia="Times New Roman" w:cs="Times New Roman"/>
          <w:kern w:val="0"/>
          <w:szCs w:val="24"/>
        </w:rPr>
        <w:t xml:space="preserve"> (9th ed.). Pearson.</w:t>
      </w:r>
    </w:p>
    <w:p w14:paraId="6A4871BD"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proofErr w:type="spellStart"/>
      <w:r w:rsidRPr="00E51EB8">
        <w:rPr>
          <w:rFonts w:eastAsia="Times New Roman" w:cs="Times New Roman"/>
          <w:kern w:val="0"/>
          <w:szCs w:val="24"/>
        </w:rPr>
        <w:t>Sovacool</w:t>
      </w:r>
      <w:proofErr w:type="spellEnd"/>
      <w:r w:rsidRPr="00E51EB8">
        <w:rPr>
          <w:rFonts w:eastAsia="Times New Roman" w:cs="Times New Roman"/>
          <w:kern w:val="0"/>
          <w:szCs w:val="24"/>
        </w:rPr>
        <w:t xml:space="preserve">, B. K., et al. (2020). Stakeholder participation and energy justice. </w:t>
      </w:r>
      <w:r w:rsidRPr="00E51EB8">
        <w:rPr>
          <w:rFonts w:eastAsiaTheme="majorEastAsia" w:cs="Times New Roman"/>
          <w:i/>
          <w:iCs/>
          <w:kern w:val="0"/>
          <w:szCs w:val="24"/>
        </w:rPr>
        <w:t>Energy Research &amp; Social Science, 69</w:t>
      </w:r>
      <w:r w:rsidRPr="00E51EB8">
        <w:rPr>
          <w:rFonts w:eastAsia="Times New Roman" w:cs="Times New Roman"/>
          <w:kern w:val="0"/>
          <w:szCs w:val="24"/>
        </w:rPr>
        <w:t>, 101734. https://doi.org/10.1016/j.erss.2020.101734</w:t>
      </w:r>
    </w:p>
    <w:p w14:paraId="78404B41"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proofErr w:type="spellStart"/>
      <w:r w:rsidRPr="00E51EB8">
        <w:rPr>
          <w:rFonts w:eastAsia="Times New Roman" w:cs="Times New Roman"/>
          <w:kern w:val="0"/>
          <w:szCs w:val="24"/>
        </w:rPr>
        <w:lastRenderedPageBreak/>
        <w:t>Ssekandi</w:t>
      </w:r>
      <w:proofErr w:type="spellEnd"/>
      <w:r w:rsidRPr="00E51EB8">
        <w:rPr>
          <w:rFonts w:eastAsia="Times New Roman" w:cs="Times New Roman"/>
          <w:kern w:val="0"/>
          <w:szCs w:val="24"/>
        </w:rPr>
        <w:t xml:space="preserve">, J. (2022). Transparency and accountability in Uganda's energy sector: Challenges and opportunities. </w:t>
      </w:r>
      <w:r w:rsidRPr="00E51EB8">
        <w:rPr>
          <w:rFonts w:eastAsia="Times New Roman" w:cs="Times New Roman"/>
          <w:i/>
          <w:iCs/>
          <w:kern w:val="0"/>
          <w:szCs w:val="24"/>
        </w:rPr>
        <w:t>Journal of Energy and Natural Resources Law, 40</w:t>
      </w:r>
      <w:r w:rsidRPr="00E51EB8">
        <w:rPr>
          <w:rFonts w:eastAsia="Times New Roman" w:cs="Times New Roman"/>
          <w:kern w:val="0"/>
          <w:szCs w:val="24"/>
        </w:rPr>
        <w:t>(2), 151–166. https://doi.org/10.1080/02646811.2022.2083842</w:t>
      </w:r>
    </w:p>
    <w:p w14:paraId="5593F685"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proofErr w:type="spellStart"/>
      <w:r w:rsidRPr="00E51EB8">
        <w:rPr>
          <w:rFonts w:eastAsia="Times New Roman" w:cs="Times New Roman"/>
          <w:kern w:val="0"/>
          <w:szCs w:val="24"/>
        </w:rPr>
        <w:t>Taherdoost</w:t>
      </w:r>
      <w:proofErr w:type="spellEnd"/>
      <w:r w:rsidRPr="00E51EB8">
        <w:rPr>
          <w:rFonts w:eastAsia="Times New Roman" w:cs="Times New Roman"/>
          <w:kern w:val="0"/>
          <w:szCs w:val="24"/>
        </w:rPr>
        <w:t xml:space="preserve">, H. (2021). </w:t>
      </w:r>
      <w:r w:rsidRPr="00E51EB8">
        <w:rPr>
          <w:rFonts w:eastAsiaTheme="majorEastAsia" w:cs="Times New Roman"/>
          <w:i/>
          <w:iCs/>
          <w:kern w:val="0"/>
          <w:szCs w:val="24"/>
        </w:rPr>
        <w:t>Sampling methods in research methodology; how to choose a sampling technique for research</w:t>
      </w:r>
      <w:r w:rsidRPr="00E51EB8">
        <w:rPr>
          <w:rFonts w:eastAsia="Times New Roman" w:cs="Times New Roman"/>
          <w:kern w:val="0"/>
          <w:szCs w:val="24"/>
        </w:rPr>
        <w:t>. International Journal of Academic Research in Management, 5(2), 18–27.</w:t>
      </w:r>
    </w:p>
    <w:p w14:paraId="28653A8A"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Tumwine, F. (2022). Political influences on stakeholder engagement in Uganda's energy sector. </w:t>
      </w:r>
      <w:r w:rsidRPr="00E51EB8">
        <w:rPr>
          <w:rFonts w:eastAsiaTheme="majorEastAsia" w:cs="Times New Roman"/>
          <w:i/>
          <w:iCs/>
          <w:kern w:val="0"/>
          <w:szCs w:val="24"/>
        </w:rPr>
        <w:t>Energy Policy, 165</w:t>
      </w:r>
      <w:r w:rsidRPr="00E51EB8">
        <w:rPr>
          <w:rFonts w:eastAsia="Times New Roman" w:cs="Times New Roman"/>
          <w:kern w:val="0"/>
          <w:szCs w:val="24"/>
        </w:rPr>
        <w:t xml:space="preserve">, 112893. </w:t>
      </w:r>
      <w:hyperlink r:id="rId18" w:tgtFrame="_new" w:history="1">
        <w:r w:rsidRPr="00E51EB8">
          <w:rPr>
            <w:rFonts w:eastAsiaTheme="majorEastAsia" w:cs="Times New Roman"/>
            <w:color w:val="0000FF"/>
            <w:kern w:val="0"/>
            <w:szCs w:val="24"/>
            <w:u w:val="single"/>
          </w:rPr>
          <w:t>https://doi.org/10.1016/j.enpol.2022.112893</w:t>
        </w:r>
      </w:hyperlink>
    </w:p>
    <w:p w14:paraId="4E837B07"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Uganda Bureau of Statistics. (2024). </w:t>
      </w:r>
      <w:r w:rsidRPr="00E51EB8">
        <w:rPr>
          <w:rFonts w:eastAsiaTheme="majorEastAsia" w:cs="Times New Roman"/>
          <w:i/>
          <w:iCs/>
          <w:kern w:val="0"/>
          <w:szCs w:val="24"/>
        </w:rPr>
        <w:t>Workforce participation in public utilities: Trends and statistics</w:t>
      </w:r>
      <w:r w:rsidRPr="00E51EB8">
        <w:rPr>
          <w:rFonts w:eastAsia="Times New Roman" w:cs="Times New Roman"/>
          <w:kern w:val="0"/>
          <w:szCs w:val="24"/>
        </w:rPr>
        <w:t>.</w:t>
      </w:r>
    </w:p>
    <w:p w14:paraId="25138C8B"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United Nations Development </w:t>
      </w:r>
      <w:proofErr w:type="spellStart"/>
      <w:r w:rsidRPr="00E51EB8">
        <w:rPr>
          <w:rFonts w:eastAsia="Times New Roman" w:cs="Times New Roman"/>
          <w:kern w:val="0"/>
          <w:szCs w:val="24"/>
        </w:rPr>
        <w:t>Programme</w:t>
      </w:r>
      <w:proofErr w:type="spellEnd"/>
      <w:r w:rsidRPr="00E51EB8">
        <w:rPr>
          <w:rFonts w:eastAsia="Times New Roman" w:cs="Times New Roman"/>
          <w:kern w:val="0"/>
          <w:szCs w:val="24"/>
        </w:rPr>
        <w:t xml:space="preserve">. (2020). </w:t>
      </w:r>
      <w:r w:rsidRPr="00E51EB8">
        <w:rPr>
          <w:rFonts w:eastAsia="Times New Roman" w:cs="Times New Roman"/>
          <w:i/>
          <w:iCs/>
          <w:kern w:val="0"/>
          <w:szCs w:val="24"/>
        </w:rPr>
        <w:t>Sustainable Energy for All 2020</w:t>
      </w:r>
      <w:r w:rsidRPr="00E51EB8">
        <w:rPr>
          <w:rFonts w:eastAsia="Times New Roman" w:cs="Times New Roman"/>
          <w:kern w:val="0"/>
          <w:szCs w:val="24"/>
        </w:rPr>
        <w:t>. https://www.undp.org/publications/sustainable-energy-all-2020</w:t>
      </w:r>
    </w:p>
    <w:p w14:paraId="7A037188"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Wandera, P. (2023). </w:t>
      </w:r>
      <w:r w:rsidRPr="00E51EB8">
        <w:rPr>
          <w:rFonts w:eastAsia="Times New Roman" w:cs="Times New Roman"/>
          <w:i/>
          <w:iCs/>
          <w:kern w:val="0"/>
          <w:szCs w:val="24"/>
        </w:rPr>
        <w:t>Stakeholder communication in energy sectors: Challenges and best practices</w:t>
      </w:r>
      <w:r w:rsidRPr="00E51EB8">
        <w:rPr>
          <w:rFonts w:eastAsia="Times New Roman" w:cs="Times New Roman"/>
          <w:kern w:val="0"/>
          <w:szCs w:val="24"/>
        </w:rPr>
        <w:t>.</w:t>
      </w:r>
    </w:p>
    <w:p w14:paraId="712761B8"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World Bank. (2020). </w:t>
      </w:r>
      <w:r w:rsidRPr="00E51EB8">
        <w:rPr>
          <w:rFonts w:eastAsiaTheme="majorEastAsia" w:cs="Times New Roman"/>
          <w:i/>
          <w:iCs/>
          <w:kern w:val="0"/>
          <w:szCs w:val="24"/>
        </w:rPr>
        <w:t>Getting to gender equality in energy infrastructure: Challenges and opportunities</w:t>
      </w:r>
      <w:r w:rsidRPr="00E51EB8">
        <w:rPr>
          <w:rFonts w:eastAsia="Times New Roman" w:cs="Times New Roman"/>
          <w:kern w:val="0"/>
          <w:szCs w:val="24"/>
        </w:rPr>
        <w:t>.</w:t>
      </w:r>
    </w:p>
    <w:p w14:paraId="0EDCBEAB"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World Bank. (2023). </w:t>
      </w:r>
      <w:r w:rsidRPr="00E51EB8">
        <w:rPr>
          <w:rFonts w:eastAsiaTheme="majorEastAsia" w:cs="Times New Roman"/>
          <w:i/>
          <w:iCs/>
          <w:kern w:val="0"/>
          <w:szCs w:val="24"/>
        </w:rPr>
        <w:t>Developing nations’ energy sector workforce: Trends, challenges, and policy recommendations</w:t>
      </w:r>
      <w:r w:rsidRPr="00E51EB8">
        <w:rPr>
          <w:rFonts w:eastAsia="Times New Roman" w:cs="Times New Roman"/>
          <w:kern w:val="0"/>
          <w:szCs w:val="24"/>
        </w:rPr>
        <w:t>.</w:t>
      </w:r>
    </w:p>
    <w:p w14:paraId="458B4C1C"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Yasir, M. (2016). </w:t>
      </w:r>
      <w:r w:rsidRPr="00E51EB8">
        <w:rPr>
          <w:rFonts w:eastAsia="Times New Roman" w:cs="Times New Roman"/>
          <w:i/>
          <w:iCs/>
          <w:kern w:val="0"/>
          <w:szCs w:val="24"/>
        </w:rPr>
        <w:t>Understanding research instrument validity: A methodological perspective</w:t>
      </w:r>
      <w:r w:rsidRPr="00E51EB8">
        <w:rPr>
          <w:rFonts w:eastAsia="Times New Roman" w:cs="Times New Roman"/>
          <w:kern w:val="0"/>
          <w:szCs w:val="24"/>
        </w:rPr>
        <w:t>. International Journal of Social Sciences, 14(1), 78–92.</w:t>
      </w:r>
    </w:p>
    <w:p w14:paraId="5498A381" w14:textId="77777777" w:rsidR="002D7555" w:rsidRPr="00F32A8B" w:rsidRDefault="002D7555" w:rsidP="00FC164E">
      <w:pPr>
        <w:spacing w:line="360" w:lineRule="auto"/>
        <w:jc w:val="both"/>
        <w:rPr>
          <w:rFonts w:cs="Times New Roman"/>
          <w:b/>
          <w:szCs w:val="24"/>
        </w:rPr>
      </w:pPr>
    </w:p>
    <w:sectPr w:rsidR="002D7555" w:rsidRPr="00F32A8B">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90B9F" w14:textId="77777777" w:rsidR="00A613E4" w:rsidRDefault="00A613E4" w:rsidP="00F32A8B">
      <w:pPr>
        <w:spacing w:after="0" w:line="240" w:lineRule="auto"/>
      </w:pPr>
      <w:r>
        <w:separator/>
      </w:r>
    </w:p>
  </w:endnote>
  <w:endnote w:type="continuationSeparator" w:id="0">
    <w:p w14:paraId="4D3C901E" w14:textId="77777777" w:rsidR="00A613E4" w:rsidRDefault="00A613E4" w:rsidP="00F32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08773" w14:textId="77777777" w:rsidR="000979EB" w:rsidRDefault="00097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7887345"/>
      <w:docPartObj>
        <w:docPartGallery w:val="Page Numbers (Bottom of Page)"/>
        <w:docPartUnique/>
      </w:docPartObj>
    </w:sdtPr>
    <w:sdtEndPr>
      <w:rPr>
        <w:noProof/>
      </w:rPr>
    </w:sdtEndPr>
    <w:sdtContent>
      <w:p w14:paraId="68807978" w14:textId="79C3BDF4" w:rsidR="00F32A8B" w:rsidRDefault="00F32A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682B61" w14:textId="77777777" w:rsidR="00F32A8B" w:rsidRDefault="00F32A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A5D2D" w14:textId="77777777" w:rsidR="000979EB" w:rsidRDefault="00097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D1940" w14:textId="77777777" w:rsidR="00A613E4" w:rsidRDefault="00A613E4" w:rsidP="00F32A8B">
      <w:pPr>
        <w:spacing w:after="0" w:line="240" w:lineRule="auto"/>
      </w:pPr>
      <w:r>
        <w:separator/>
      </w:r>
    </w:p>
  </w:footnote>
  <w:footnote w:type="continuationSeparator" w:id="0">
    <w:p w14:paraId="22F83785" w14:textId="77777777" w:rsidR="00A613E4" w:rsidRDefault="00A613E4" w:rsidP="00F32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DB4D7" w14:textId="5A0F7FAB" w:rsidR="000979EB" w:rsidRDefault="00000000">
    <w:pPr>
      <w:pStyle w:val="Header"/>
    </w:pPr>
    <w:r>
      <w:rPr>
        <w:noProof/>
      </w:rPr>
      <w:pict w14:anchorId="6D0B00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437719"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97667" w14:textId="6B0852B6" w:rsidR="000979EB" w:rsidRDefault="00000000">
    <w:pPr>
      <w:pStyle w:val="Header"/>
    </w:pPr>
    <w:r>
      <w:rPr>
        <w:noProof/>
      </w:rPr>
      <w:pict w14:anchorId="75F249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437720"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19310" w14:textId="087EAAF2" w:rsidR="000979EB" w:rsidRDefault="00000000">
    <w:pPr>
      <w:pStyle w:val="Header"/>
    </w:pPr>
    <w:r>
      <w:rPr>
        <w:noProof/>
      </w:rPr>
      <w:pict w14:anchorId="4335F8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437718"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A7AD3"/>
    <w:multiLevelType w:val="multilevel"/>
    <w:tmpl w:val="8318A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114076"/>
    <w:multiLevelType w:val="hybridMultilevel"/>
    <w:tmpl w:val="5754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A17E3A"/>
    <w:multiLevelType w:val="hybridMultilevel"/>
    <w:tmpl w:val="D6A8A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803111">
    <w:abstractNumId w:val="0"/>
  </w:num>
  <w:num w:numId="2" w16cid:durableId="1547713035">
    <w:abstractNumId w:val="2"/>
  </w:num>
  <w:num w:numId="3" w16cid:durableId="1529103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5F"/>
    <w:rsid w:val="0000708E"/>
    <w:rsid w:val="00070B78"/>
    <w:rsid w:val="0008101A"/>
    <w:rsid w:val="0008400C"/>
    <w:rsid w:val="000979EB"/>
    <w:rsid w:val="000B4AE1"/>
    <w:rsid w:val="00117AF0"/>
    <w:rsid w:val="00117F7E"/>
    <w:rsid w:val="00174F29"/>
    <w:rsid w:val="001E0603"/>
    <w:rsid w:val="0022555F"/>
    <w:rsid w:val="0024669D"/>
    <w:rsid w:val="00247FC1"/>
    <w:rsid w:val="00262FA0"/>
    <w:rsid w:val="00265877"/>
    <w:rsid w:val="002809D6"/>
    <w:rsid w:val="002D0936"/>
    <w:rsid w:val="002D7555"/>
    <w:rsid w:val="00366715"/>
    <w:rsid w:val="003A3CF8"/>
    <w:rsid w:val="00410229"/>
    <w:rsid w:val="00417DE8"/>
    <w:rsid w:val="00426F3A"/>
    <w:rsid w:val="0046328C"/>
    <w:rsid w:val="00480047"/>
    <w:rsid w:val="004812DF"/>
    <w:rsid w:val="004D42EB"/>
    <w:rsid w:val="004F2214"/>
    <w:rsid w:val="0054129F"/>
    <w:rsid w:val="00571EDC"/>
    <w:rsid w:val="005F25CA"/>
    <w:rsid w:val="006530EF"/>
    <w:rsid w:val="00682889"/>
    <w:rsid w:val="006A6774"/>
    <w:rsid w:val="006F37C6"/>
    <w:rsid w:val="00744A6C"/>
    <w:rsid w:val="008074E3"/>
    <w:rsid w:val="008359F2"/>
    <w:rsid w:val="00854DF0"/>
    <w:rsid w:val="0085501D"/>
    <w:rsid w:val="00876B4B"/>
    <w:rsid w:val="00890206"/>
    <w:rsid w:val="008B2CF5"/>
    <w:rsid w:val="008C0D54"/>
    <w:rsid w:val="008C3A98"/>
    <w:rsid w:val="00900E9F"/>
    <w:rsid w:val="00954878"/>
    <w:rsid w:val="009A0BC3"/>
    <w:rsid w:val="009A12E2"/>
    <w:rsid w:val="009B6233"/>
    <w:rsid w:val="009F5366"/>
    <w:rsid w:val="00A0208D"/>
    <w:rsid w:val="00A22992"/>
    <w:rsid w:val="00A613E4"/>
    <w:rsid w:val="00A6227A"/>
    <w:rsid w:val="00A81B4E"/>
    <w:rsid w:val="00AB58A9"/>
    <w:rsid w:val="00AC244A"/>
    <w:rsid w:val="00AD5E0F"/>
    <w:rsid w:val="00AF3617"/>
    <w:rsid w:val="00B103DA"/>
    <w:rsid w:val="00B51313"/>
    <w:rsid w:val="00BC2F04"/>
    <w:rsid w:val="00BD4300"/>
    <w:rsid w:val="00BE21F4"/>
    <w:rsid w:val="00C2263F"/>
    <w:rsid w:val="00CC6EDB"/>
    <w:rsid w:val="00D600DD"/>
    <w:rsid w:val="00D771DA"/>
    <w:rsid w:val="00D825DF"/>
    <w:rsid w:val="00D84C0B"/>
    <w:rsid w:val="00DA2581"/>
    <w:rsid w:val="00DA4EED"/>
    <w:rsid w:val="00DB3180"/>
    <w:rsid w:val="00DE08BF"/>
    <w:rsid w:val="00E0509B"/>
    <w:rsid w:val="00E069E4"/>
    <w:rsid w:val="00E51EB8"/>
    <w:rsid w:val="00E87193"/>
    <w:rsid w:val="00E938D9"/>
    <w:rsid w:val="00F32A8B"/>
    <w:rsid w:val="00F53169"/>
    <w:rsid w:val="00F8424D"/>
    <w:rsid w:val="00F9212E"/>
    <w:rsid w:val="00FA244D"/>
    <w:rsid w:val="00FC164E"/>
    <w:rsid w:val="00FC5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95128"/>
  <w15:chartTrackingRefBased/>
  <w15:docId w15:val="{F299D292-D764-4509-B914-D0663413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55F"/>
    <w:pPr>
      <w:spacing w:line="259" w:lineRule="auto"/>
    </w:pPr>
    <w:rPr>
      <w:rFonts w:ascii="Times New Roman" w:hAnsi="Times New Roman"/>
      <w:szCs w:val="22"/>
      <w14:ligatures w14:val="none"/>
    </w:rPr>
  </w:style>
  <w:style w:type="paragraph" w:styleId="Heading1">
    <w:name w:val="heading 1"/>
    <w:basedOn w:val="Normal"/>
    <w:next w:val="Normal"/>
    <w:link w:val="Heading1Char"/>
    <w:uiPriority w:val="9"/>
    <w:qFormat/>
    <w:rsid w:val="002255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55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55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55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55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55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5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5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5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5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55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55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55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55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55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5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5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55F"/>
    <w:rPr>
      <w:rFonts w:eastAsiaTheme="majorEastAsia" w:cstheme="majorBidi"/>
      <w:color w:val="272727" w:themeColor="text1" w:themeTint="D8"/>
    </w:rPr>
  </w:style>
  <w:style w:type="paragraph" w:styleId="Title">
    <w:name w:val="Title"/>
    <w:basedOn w:val="Normal"/>
    <w:next w:val="Normal"/>
    <w:link w:val="TitleChar"/>
    <w:uiPriority w:val="10"/>
    <w:qFormat/>
    <w:rsid w:val="002255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5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5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5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55F"/>
    <w:pPr>
      <w:spacing w:before="160"/>
      <w:jc w:val="center"/>
    </w:pPr>
    <w:rPr>
      <w:i/>
      <w:iCs/>
      <w:color w:val="404040" w:themeColor="text1" w:themeTint="BF"/>
    </w:rPr>
  </w:style>
  <w:style w:type="character" w:customStyle="1" w:styleId="QuoteChar">
    <w:name w:val="Quote Char"/>
    <w:basedOn w:val="DefaultParagraphFont"/>
    <w:link w:val="Quote"/>
    <w:uiPriority w:val="29"/>
    <w:rsid w:val="0022555F"/>
    <w:rPr>
      <w:i/>
      <w:iCs/>
      <w:color w:val="404040" w:themeColor="text1" w:themeTint="BF"/>
    </w:rPr>
  </w:style>
  <w:style w:type="paragraph" w:styleId="ListParagraph">
    <w:name w:val="List Paragraph"/>
    <w:basedOn w:val="Normal"/>
    <w:uiPriority w:val="34"/>
    <w:qFormat/>
    <w:rsid w:val="0022555F"/>
    <w:pPr>
      <w:ind w:left="720"/>
      <w:contextualSpacing/>
    </w:pPr>
  </w:style>
  <w:style w:type="character" w:styleId="IntenseEmphasis">
    <w:name w:val="Intense Emphasis"/>
    <w:basedOn w:val="DefaultParagraphFont"/>
    <w:uiPriority w:val="21"/>
    <w:qFormat/>
    <w:rsid w:val="0022555F"/>
    <w:rPr>
      <w:i/>
      <w:iCs/>
      <w:color w:val="2F5496" w:themeColor="accent1" w:themeShade="BF"/>
    </w:rPr>
  </w:style>
  <w:style w:type="paragraph" w:styleId="IntenseQuote">
    <w:name w:val="Intense Quote"/>
    <w:basedOn w:val="Normal"/>
    <w:next w:val="Normal"/>
    <w:link w:val="IntenseQuoteChar"/>
    <w:uiPriority w:val="30"/>
    <w:qFormat/>
    <w:rsid w:val="002255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555F"/>
    <w:rPr>
      <w:i/>
      <w:iCs/>
      <w:color w:val="2F5496" w:themeColor="accent1" w:themeShade="BF"/>
    </w:rPr>
  </w:style>
  <w:style w:type="character" w:styleId="IntenseReference">
    <w:name w:val="Intense Reference"/>
    <w:basedOn w:val="DefaultParagraphFont"/>
    <w:uiPriority w:val="32"/>
    <w:qFormat/>
    <w:rsid w:val="0022555F"/>
    <w:rPr>
      <w:b/>
      <w:bCs/>
      <w:smallCaps/>
      <w:color w:val="2F5496" w:themeColor="accent1" w:themeShade="BF"/>
      <w:spacing w:val="5"/>
    </w:rPr>
  </w:style>
  <w:style w:type="paragraph" w:styleId="NormalWeb">
    <w:name w:val="Normal (Web)"/>
    <w:basedOn w:val="Normal"/>
    <w:uiPriority w:val="99"/>
    <w:unhideWhenUsed/>
    <w:rsid w:val="00117AF0"/>
    <w:rPr>
      <w:rFonts w:cs="Times New Roman"/>
      <w:szCs w:val="24"/>
    </w:rPr>
  </w:style>
  <w:style w:type="table" w:styleId="TableGrid">
    <w:name w:val="Table Grid"/>
    <w:basedOn w:val="TableNormal"/>
    <w:uiPriority w:val="59"/>
    <w:rsid w:val="00DA4EED"/>
    <w:pPr>
      <w:spacing w:after="0" w:line="240" w:lineRule="auto"/>
    </w:pPr>
    <w:rPr>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DA4EED"/>
    <w:pPr>
      <w:spacing w:after="200" w:line="240" w:lineRule="auto"/>
    </w:pPr>
    <w:rPr>
      <w:rFonts w:eastAsia="Calibri" w:cs="Times New Roman"/>
      <w:i/>
      <w:iCs/>
      <w:color w:val="44546A"/>
      <w:kern w:val="0"/>
      <w:sz w:val="18"/>
      <w:szCs w:val="18"/>
    </w:rPr>
  </w:style>
  <w:style w:type="paragraph" w:styleId="Header">
    <w:name w:val="header"/>
    <w:basedOn w:val="Normal"/>
    <w:link w:val="HeaderChar"/>
    <w:uiPriority w:val="99"/>
    <w:unhideWhenUsed/>
    <w:rsid w:val="00F32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A8B"/>
    <w:rPr>
      <w:rFonts w:ascii="Times New Roman" w:hAnsi="Times New Roman"/>
      <w:szCs w:val="22"/>
      <w14:ligatures w14:val="none"/>
    </w:rPr>
  </w:style>
  <w:style w:type="paragraph" w:styleId="Footer">
    <w:name w:val="footer"/>
    <w:basedOn w:val="Normal"/>
    <w:link w:val="FooterChar"/>
    <w:uiPriority w:val="99"/>
    <w:unhideWhenUsed/>
    <w:rsid w:val="00F32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A8B"/>
    <w:rPr>
      <w:rFonts w:ascii="Times New Roman" w:hAnsi="Times New Roman"/>
      <w:szCs w:val="22"/>
      <w14:ligatures w14:val="none"/>
    </w:rPr>
  </w:style>
  <w:style w:type="character" w:styleId="Hyperlink">
    <w:name w:val="Hyperlink"/>
    <w:basedOn w:val="DefaultParagraphFont"/>
    <w:uiPriority w:val="99"/>
    <w:unhideWhenUsed/>
    <w:rsid w:val="0085501D"/>
    <w:rPr>
      <w:color w:val="0563C1" w:themeColor="hyperlink"/>
      <w:u w:val="single"/>
    </w:rPr>
  </w:style>
  <w:style w:type="character" w:styleId="UnresolvedMention">
    <w:name w:val="Unresolved Mention"/>
    <w:basedOn w:val="DefaultParagraphFont"/>
    <w:uiPriority w:val="99"/>
    <w:semiHidden/>
    <w:unhideWhenUsed/>
    <w:rsid w:val="00855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3922">
      <w:bodyDiv w:val="1"/>
      <w:marLeft w:val="0"/>
      <w:marRight w:val="0"/>
      <w:marTop w:val="0"/>
      <w:marBottom w:val="0"/>
      <w:divBdr>
        <w:top w:val="none" w:sz="0" w:space="0" w:color="auto"/>
        <w:left w:val="none" w:sz="0" w:space="0" w:color="auto"/>
        <w:bottom w:val="none" w:sz="0" w:space="0" w:color="auto"/>
        <w:right w:val="none" w:sz="0" w:space="0" w:color="auto"/>
      </w:divBdr>
      <w:divsChild>
        <w:div w:id="558250618">
          <w:marLeft w:val="0"/>
          <w:marRight w:val="0"/>
          <w:marTop w:val="0"/>
          <w:marBottom w:val="0"/>
          <w:divBdr>
            <w:top w:val="none" w:sz="0" w:space="0" w:color="auto"/>
            <w:left w:val="none" w:sz="0" w:space="0" w:color="auto"/>
            <w:bottom w:val="none" w:sz="0" w:space="0" w:color="auto"/>
            <w:right w:val="none" w:sz="0" w:space="0" w:color="auto"/>
          </w:divBdr>
          <w:divsChild>
            <w:div w:id="551230530">
              <w:marLeft w:val="0"/>
              <w:marRight w:val="0"/>
              <w:marTop w:val="0"/>
              <w:marBottom w:val="0"/>
              <w:divBdr>
                <w:top w:val="none" w:sz="0" w:space="0" w:color="auto"/>
                <w:left w:val="none" w:sz="0" w:space="0" w:color="auto"/>
                <w:bottom w:val="none" w:sz="0" w:space="0" w:color="auto"/>
                <w:right w:val="none" w:sz="0" w:space="0" w:color="auto"/>
              </w:divBdr>
              <w:divsChild>
                <w:div w:id="520436464">
                  <w:marLeft w:val="0"/>
                  <w:marRight w:val="0"/>
                  <w:marTop w:val="0"/>
                  <w:marBottom w:val="0"/>
                  <w:divBdr>
                    <w:top w:val="none" w:sz="0" w:space="0" w:color="auto"/>
                    <w:left w:val="none" w:sz="0" w:space="0" w:color="auto"/>
                    <w:bottom w:val="none" w:sz="0" w:space="0" w:color="auto"/>
                    <w:right w:val="none" w:sz="0" w:space="0" w:color="auto"/>
                  </w:divBdr>
                  <w:divsChild>
                    <w:div w:id="9152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83829">
          <w:marLeft w:val="0"/>
          <w:marRight w:val="0"/>
          <w:marTop w:val="0"/>
          <w:marBottom w:val="0"/>
          <w:divBdr>
            <w:top w:val="none" w:sz="0" w:space="0" w:color="auto"/>
            <w:left w:val="none" w:sz="0" w:space="0" w:color="auto"/>
            <w:bottom w:val="none" w:sz="0" w:space="0" w:color="auto"/>
            <w:right w:val="none" w:sz="0" w:space="0" w:color="auto"/>
          </w:divBdr>
          <w:divsChild>
            <w:div w:id="445198497">
              <w:marLeft w:val="0"/>
              <w:marRight w:val="0"/>
              <w:marTop w:val="0"/>
              <w:marBottom w:val="0"/>
              <w:divBdr>
                <w:top w:val="none" w:sz="0" w:space="0" w:color="auto"/>
                <w:left w:val="none" w:sz="0" w:space="0" w:color="auto"/>
                <w:bottom w:val="none" w:sz="0" w:space="0" w:color="auto"/>
                <w:right w:val="none" w:sz="0" w:space="0" w:color="auto"/>
              </w:divBdr>
              <w:divsChild>
                <w:div w:id="1494372705">
                  <w:marLeft w:val="0"/>
                  <w:marRight w:val="0"/>
                  <w:marTop w:val="0"/>
                  <w:marBottom w:val="0"/>
                  <w:divBdr>
                    <w:top w:val="none" w:sz="0" w:space="0" w:color="auto"/>
                    <w:left w:val="none" w:sz="0" w:space="0" w:color="auto"/>
                    <w:bottom w:val="none" w:sz="0" w:space="0" w:color="auto"/>
                    <w:right w:val="none" w:sz="0" w:space="0" w:color="auto"/>
                  </w:divBdr>
                  <w:divsChild>
                    <w:div w:id="17333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37846">
      <w:bodyDiv w:val="1"/>
      <w:marLeft w:val="0"/>
      <w:marRight w:val="0"/>
      <w:marTop w:val="0"/>
      <w:marBottom w:val="0"/>
      <w:divBdr>
        <w:top w:val="none" w:sz="0" w:space="0" w:color="auto"/>
        <w:left w:val="none" w:sz="0" w:space="0" w:color="auto"/>
        <w:bottom w:val="none" w:sz="0" w:space="0" w:color="auto"/>
        <w:right w:val="none" w:sz="0" w:space="0" w:color="auto"/>
      </w:divBdr>
      <w:divsChild>
        <w:div w:id="1146438617">
          <w:marLeft w:val="0"/>
          <w:marRight w:val="0"/>
          <w:marTop w:val="0"/>
          <w:marBottom w:val="0"/>
          <w:divBdr>
            <w:top w:val="none" w:sz="0" w:space="0" w:color="auto"/>
            <w:left w:val="none" w:sz="0" w:space="0" w:color="auto"/>
            <w:bottom w:val="none" w:sz="0" w:space="0" w:color="auto"/>
            <w:right w:val="none" w:sz="0" w:space="0" w:color="auto"/>
          </w:divBdr>
          <w:divsChild>
            <w:div w:id="1908219814">
              <w:marLeft w:val="0"/>
              <w:marRight w:val="0"/>
              <w:marTop w:val="0"/>
              <w:marBottom w:val="0"/>
              <w:divBdr>
                <w:top w:val="none" w:sz="0" w:space="0" w:color="auto"/>
                <w:left w:val="none" w:sz="0" w:space="0" w:color="auto"/>
                <w:bottom w:val="none" w:sz="0" w:space="0" w:color="auto"/>
                <w:right w:val="none" w:sz="0" w:space="0" w:color="auto"/>
              </w:divBdr>
              <w:divsChild>
                <w:div w:id="1632200234">
                  <w:marLeft w:val="0"/>
                  <w:marRight w:val="0"/>
                  <w:marTop w:val="0"/>
                  <w:marBottom w:val="0"/>
                  <w:divBdr>
                    <w:top w:val="none" w:sz="0" w:space="0" w:color="auto"/>
                    <w:left w:val="none" w:sz="0" w:space="0" w:color="auto"/>
                    <w:bottom w:val="none" w:sz="0" w:space="0" w:color="auto"/>
                    <w:right w:val="none" w:sz="0" w:space="0" w:color="auto"/>
                  </w:divBdr>
                  <w:divsChild>
                    <w:div w:id="577713515">
                      <w:marLeft w:val="0"/>
                      <w:marRight w:val="0"/>
                      <w:marTop w:val="0"/>
                      <w:marBottom w:val="0"/>
                      <w:divBdr>
                        <w:top w:val="none" w:sz="0" w:space="0" w:color="auto"/>
                        <w:left w:val="none" w:sz="0" w:space="0" w:color="auto"/>
                        <w:bottom w:val="none" w:sz="0" w:space="0" w:color="auto"/>
                        <w:right w:val="none" w:sz="0" w:space="0" w:color="auto"/>
                      </w:divBdr>
                      <w:divsChild>
                        <w:div w:id="179976409">
                          <w:marLeft w:val="0"/>
                          <w:marRight w:val="0"/>
                          <w:marTop w:val="0"/>
                          <w:marBottom w:val="0"/>
                          <w:divBdr>
                            <w:top w:val="none" w:sz="0" w:space="0" w:color="auto"/>
                            <w:left w:val="none" w:sz="0" w:space="0" w:color="auto"/>
                            <w:bottom w:val="none" w:sz="0" w:space="0" w:color="auto"/>
                            <w:right w:val="none" w:sz="0" w:space="0" w:color="auto"/>
                          </w:divBdr>
                          <w:divsChild>
                            <w:div w:id="807089786">
                              <w:marLeft w:val="0"/>
                              <w:marRight w:val="0"/>
                              <w:marTop w:val="0"/>
                              <w:marBottom w:val="0"/>
                              <w:divBdr>
                                <w:top w:val="none" w:sz="0" w:space="0" w:color="auto"/>
                                <w:left w:val="none" w:sz="0" w:space="0" w:color="auto"/>
                                <w:bottom w:val="none" w:sz="0" w:space="0" w:color="auto"/>
                                <w:right w:val="none" w:sz="0" w:space="0" w:color="auto"/>
                              </w:divBdr>
                              <w:divsChild>
                                <w:div w:id="995107370">
                                  <w:marLeft w:val="0"/>
                                  <w:marRight w:val="0"/>
                                  <w:marTop w:val="0"/>
                                  <w:marBottom w:val="0"/>
                                  <w:divBdr>
                                    <w:top w:val="none" w:sz="0" w:space="0" w:color="auto"/>
                                    <w:left w:val="none" w:sz="0" w:space="0" w:color="auto"/>
                                    <w:bottom w:val="none" w:sz="0" w:space="0" w:color="auto"/>
                                    <w:right w:val="none" w:sz="0" w:space="0" w:color="auto"/>
                                  </w:divBdr>
                                  <w:divsChild>
                                    <w:div w:id="16787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86918">
                          <w:marLeft w:val="0"/>
                          <w:marRight w:val="0"/>
                          <w:marTop w:val="0"/>
                          <w:marBottom w:val="0"/>
                          <w:divBdr>
                            <w:top w:val="none" w:sz="0" w:space="0" w:color="auto"/>
                            <w:left w:val="none" w:sz="0" w:space="0" w:color="auto"/>
                            <w:bottom w:val="none" w:sz="0" w:space="0" w:color="auto"/>
                            <w:right w:val="none" w:sz="0" w:space="0" w:color="auto"/>
                          </w:divBdr>
                          <w:divsChild>
                            <w:div w:id="541332308">
                              <w:marLeft w:val="0"/>
                              <w:marRight w:val="0"/>
                              <w:marTop w:val="0"/>
                              <w:marBottom w:val="0"/>
                              <w:divBdr>
                                <w:top w:val="none" w:sz="0" w:space="0" w:color="auto"/>
                                <w:left w:val="none" w:sz="0" w:space="0" w:color="auto"/>
                                <w:bottom w:val="none" w:sz="0" w:space="0" w:color="auto"/>
                                <w:right w:val="none" w:sz="0" w:space="0" w:color="auto"/>
                              </w:divBdr>
                              <w:divsChild>
                                <w:div w:id="1519931485">
                                  <w:marLeft w:val="0"/>
                                  <w:marRight w:val="0"/>
                                  <w:marTop w:val="0"/>
                                  <w:marBottom w:val="0"/>
                                  <w:divBdr>
                                    <w:top w:val="none" w:sz="0" w:space="0" w:color="auto"/>
                                    <w:left w:val="none" w:sz="0" w:space="0" w:color="auto"/>
                                    <w:bottom w:val="none" w:sz="0" w:space="0" w:color="auto"/>
                                    <w:right w:val="none" w:sz="0" w:space="0" w:color="auto"/>
                                  </w:divBdr>
                                  <w:divsChild>
                                    <w:div w:id="19849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34720">
      <w:bodyDiv w:val="1"/>
      <w:marLeft w:val="0"/>
      <w:marRight w:val="0"/>
      <w:marTop w:val="0"/>
      <w:marBottom w:val="0"/>
      <w:divBdr>
        <w:top w:val="none" w:sz="0" w:space="0" w:color="auto"/>
        <w:left w:val="none" w:sz="0" w:space="0" w:color="auto"/>
        <w:bottom w:val="none" w:sz="0" w:space="0" w:color="auto"/>
        <w:right w:val="none" w:sz="0" w:space="0" w:color="auto"/>
      </w:divBdr>
      <w:divsChild>
        <w:div w:id="185751912">
          <w:marLeft w:val="0"/>
          <w:marRight w:val="0"/>
          <w:marTop w:val="0"/>
          <w:marBottom w:val="0"/>
          <w:divBdr>
            <w:top w:val="none" w:sz="0" w:space="0" w:color="auto"/>
            <w:left w:val="none" w:sz="0" w:space="0" w:color="auto"/>
            <w:bottom w:val="none" w:sz="0" w:space="0" w:color="auto"/>
            <w:right w:val="none" w:sz="0" w:space="0" w:color="auto"/>
          </w:divBdr>
          <w:divsChild>
            <w:div w:id="1581208622">
              <w:marLeft w:val="0"/>
              <w:marRight w:val="0"/>
              <w:marTop w:val="0"/>
              <w:marBottom w:val="0"/>
              <w:divBdr>
                <w:top w:val="none" w:sz="0" w:space="0" w:color="auto"/>
                <w:left w:val="none" w:sz="0" w:space="0" w:color="auto"/>
                <w:bottom w:val="none" w:sz="0" w:space="0" w:color="auto"/>
                <w:right w:val="none" w:sz="0" w:space="0" w:color="auto"/>
              </w:divBdr>
              <w:divsChild>
                <w:div w:id="1481461781">
                  <w:marLeft w:val="0"/>
                  <w:marRight w:val="0"/>
                  <w:marTop w:val="0"/>
                  <w:marBottom w:val="0"/>
                  <w:divBdr>
                    <w:top w:val="none" w:sz="0" w:space="0" w:color="auto"/>
                    <w:left w:val="none" w:sz="0" w:space="0" w:color="auto"/>
                    <w:bottom w:val="none" w:sz="0" w:space="0" w:color="auto"/>
                    <w:right w:val="none" w:sz="0" w:space="0" w:color="auto"/>
                  </w:divBdr>
                  <w:divsChild>
                    <w:div w:id="92023002">
                      <w:marLeft w:val="0"/>
                      <w:marRight w:val="0"/>
                      <w:marTop w:val="0"/>
                      <w:marBottom w:val="0"/>
                      <w:divBdr>
                        <w:top w:val="none" w:sz="0" w:space="0" w:color="auto"/>
                        <w:left w:val="none" w:sz="0" w:space="0" w:color="auto"/>
                        <w:bottom w:val="none" w:sz="0" w:space="0" w:color="auto"/>
                        <w:right w:val="none" w:sz="0" w:space="0" w:color="auto"/>
                      </w:divBdr>
                      <w:divsChild>
                        <w:div w:id="302195194">
                          <w:marLeft w:val="0"/>
                          <w:marRight w:val="0"/>
                          <w:marTop w:val="0"/>
                          <w:marBottom w:val="0"/>
                          <w:divBdr>
                            <w:top w:val="none" w:sz="0" w:space="0" w:color="auto"/>
                            <w:left w:val="none" w:sz="0" w:space="0" w:color="auto"/>
                            <w:bottom w:val="none" w:sz="0" w:space="0" w:color="auto"/>
                            <w:right w:val="none" w:sz="0" w:space="0" w:color="auto"/>
                          </w:divBdr>
                          <w:divsChild>
                            <w:div w:id="1706250473">
                              <w:marLeft w:val="0"/>
                              <w:marRight w:val="0"/>
                              <w:marTop w:val="0"/>
                              <w:marBottom w:val="0"/>
                              <w:divBdr>
                                <w:top w:val="none" w:sz="0" w:space="0" w:color="auto"/>
                                <w:left w:val="none" w:sz="0" w:space="0" w:color="auto"/>
                                <w:bottom w:val="none" w:sz="0" w:space="0" w:color="auto"/>
                                <w:right w:val="none" w:sz="0" w:space="0" w:color="auto"/>
                              </w:divBdr>
                              <w:divsChild>
                                <w:div w:id="751195411">
                                  <w:marLeft w:val="0"/>
                                  <w:marRight w:val="0"/>
                                  <w:marTop w:val="0"/>
                                  <w:marBottom w:val="0"/>
                                  <w:divBdr>
                                    <w:top w:val="none" w:sz="0" w:space="0" w:color="auto"/>
                                    <w:left w:val="none" w:sz="0" w:space="0" w:color="auto"/>
                                    <w:bottom w:val="none" w:sz="0" w:space="0" w:color="auto"/>
                                    <w:right w:val="none" w:sz="0" w:space="0" w:color="auto"/>
                                  </w:divBdr>
                                  <w:divsChild>
                                    <w:div w:id="17863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2566">
                          <w:marLeft w:val="0"/>
                          <w:marRight w:val="0"/>
                          <w:marTop w:val="0"/>
                          <w:marBottom w:val="0"/>
                          <w:divBdr>
                            <w:top w:val="none" w:sz="0" w:space="0" w:color="auto"/>
                            <w:left w:val="none" w:sz="0" w:space="0" w:color="auto"/>
                            <w:bottom w:val="none" w:sz="0" w:space="0" w:color="auto"/>
                            <w:right w:val="none" w:sz="0" w:space="0" w:color="auto"/>
                          </w:divBdr>
                          <w:divsChild>
                            <w:div w:id="1366642092">
                              <w:marLeft w:val="0"/>
                              <w:marRight w:val="0"/>
                              <w:marTop w:val="0"/>
                              <w:marBottom w:val="0"/>
                              <w:divBdr>
                                <w:top w:val="none" w:sz="0" w:space="0" w:color="auto"/>
                                <w:left w:val="none" w:sz="0" w:space="0" w:color="auto"/>
                                <w:bottom w:val="none" w:sz="0" w:space="0" w:color="auto"/>
                                <w:right w:val="none" w:sz="0" w:space="0" w:color="auto"/>
                              </w:divBdr>
                              <w:divsChild>
                                <w:div w:id="622273203">
                                  <w:marLeft w:val="0"/>
                                  <w:marRight w:val="0"/>
                                  <w:marTop w:val="0"/>
                                  <w:marBottom w:val="0"/>
                                  <w:divBdr>
                                    <w:top w:val="none" w:sz="0" w:space="0" w:color="auto"/>
                                    <w:left w:val="none" w:sz="0" w:space="0" w:color="auto"/>
                                    <w:bottom w:val="none" w:sz="0" w:space="0" w:color="auto"/>
                                    <w:right w:val="none" w:sz="0" w:space="0" w:color="auto"/>
                                  </w:divBdr>
                                  <w:divsChild>
                                    <w:div w:id="20165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7514">
      <w:bodyDiv w:val="1"/>
      <w:marLeft w:val="0"/>
      <w:marRight w:val="0"/>
      <w:marTop w:val="0"/>
      <w:marBottom w:val="0"/>
      <w:divBdr>
        <w:top w:val="none" w:sz="0" w:space="0" w:color="auto"/>
        <w:left w:val="none" w:sz="0" w:space="0" w:color="auto"/>
        <w:bottom w:val="none" w:sz="0" w:space="0" w:color="auto"/>
        <w:right w:val="none" w:sz="0" w:space="0" w:color="auto"/>
      </w:divBdr>
    </w:div>
    <w:div w:id="144277135">
      <w:bodyDiv w:val="1"/>
      <w:marLeft w:val="0"/>
      <w:marRight w:val="0"/>
      <w:marTop w:val="0"/>
      <w:marBottom w:val="0"/>
      <w:divBdr>
        <w:top w:val="none" w:sz="0" w:space="0" w:color="auto"/>
        <w:left w:val="none" w:sz="0" w:space="0" w:color="auto"/>
        <w:bottom w:val="none" w:sz="0" w:space="0" w:color="auto"/>
        <w:right w:val="none" w:sz="0" w:space="0" w:color="auto"/>
      </w:divBdr>
      <w:divsChild>
        <w:div w:id="1977101489">
          <w:marLeft w:val="0"/>
          <w:marRight w:val="0"/>
          <w:marTop w:val="0"/>
          <w:marBottom w:val="0"/>
          <w:divBdr>
            <w:top w:val="none" w:sz="0" w:space="0" w:color="auto"/>
            <w:left w:val="none" w:sz="0" w:space="0" w:color="auto"/>
            <w:bottom w:val="none" w:sz="0" w:space="0" w:color="auto"/>
            <w:right w:val="none" w:sz="0" w:space="0" w:color="auto"/>
          </w:divBdr>
          <w:divsChild>
            <w:div w:id="1117486776">
              <w:marLeft w:val="0"/>
              <w:marRight w:val="0"/>
              <w:marTop w:val="0"/>
              <w:marBottom w:val="0"/>
              <w:divBdr>
                <w:top w:val="none" w:sz="0" w:space="0" w:color="auto"/>
                <w:left w:val="none" w:sz="0" w:space="0" w:color="auto"/>
                <w:bottom w:val="none" w:sz="0" w:space="0" w:color="auto"/>
                <w:right w:val="none" w:sz="0" w:space="0" w:color="auto"/>
              </w:divBdr>
              <w:divsChild>
                <w:div w:id="631254341">
                  <w:marLeft w:val="0"/>
                  <w:marRight w:val="0"/>
                  <w:marTop w:val="0"/>
                  <w:marBottom w:val="0"/>
                  <w:divBdr>
                    <w:top w:val="none" w:sz="0" w:space="0" w:color="auto"/>
                    <w:left w:val="none" w:sz="0" w:space="0" w:color="auto"/>
                    <w:bottom w:val="none" w:sz="0" w:space="0" w:color="auto"/>
                    <w:right w:val="none" w:sz="0" w:space="0" w:color="auto"/>
                  </w:divBdr>
                  <w:divsChild>
                    <w:div w:id="773475147">
                      <w:marLeft w:val="0"/>
                      <w:marRight w:val="0"/>
                      <w:marTop w:val="0"/>
                      <w:marBottom w:val="0"/>
                      <w:divBdr>
                        <w:top w:val="none" w:sz="0" w:space="0" w:color="auto"/>
                        <w:left w:val="none" w:sz="0" w:space="0" w:color="auto"/>
                        <w:bottom w:val="none" w:sz="0" w:space="0" w:color="auto"/>
                        <w:right w:val="none" w:sz="0" w:space="0" w:color="auto"/>
                      </w:divBdr>
                      <w:divsChild>
                        <w:div w:id="1896426951">
                          <w:marLeft w:val="0"/>
                          <w:marRight w:val="0"/>
                          <w:marTop w:val="0"/>
                          <w:marBottom w:val="0"/>
                          <w:divBdr>
                            <w:top w:val="none" w:sz="0" w:space="0" w:color="auto"/>
                            <w:left w:val="none" w:sz="0" w:space="0" w:color="auto"/>
                            <w:bottom w:val="none" w:sz="0" w:space="0" w:color="auto"/>
                            <w:right w:val="none" w:sz="0" w:space="0" w:color="auto"/>
                          </w:divBdr>
                          <w:divsChild>
                            <w:div w:id="1571816181">
                              <w:marLeft w:val="0"/>
                              <w:marRight w:val="0"/>
                              <w:marTop w:val="0"/>
                              <w:marBottom w:val="0"/>
                              <w:divBdr>
                                <w:top w:val="none" w:sz="0" w:space="0" w:color="auto"/>
                                <w:left w:val="none" w:sz="0" w:space="0" w:color="auto"/>
                                <w:bottom w:val="none" w:sz="0" w:space="0" w:color="auto"/>
                                <w:right w:val="none" w:sz="0" w:space="0" w:color="auto"/>
                              </w:divBdr>
                              <w:divsChild>
                                <w:div w:id="2124418765">
                                  <w:marLeft w:val="0"/>
                                  <w:marRight w:val="0"/>
                                  <w:marTop w:val="0"/>
                                  <w:marBottom w:val="0"/>
                                  <w:divBdr>
                                    <w:top w:val="none" w:sz="0" w:space="0" w:color="auto"/>
                                    <w:left w:val="none" w:sz="0" w:space="0" w:color="auto"/>
                                    <w:bottom w:val="none" w:sz="0" w:space="0" w:color="auto"/>
                                    <w:right w:val="none" w:sz="0" w:space="0" w:color="auto"/>
                                  </w:divBdr>
                                  <w:divsChild>
                                    <w:div w:id="4631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07279">
                          <w:marLeft w:val="0"/>
                          <w:marRight w:val="0"/>
                          <w:marTop w:val="0"/>
                          <w:marBottom w:val="0"/>
                          <w:divBdr>
                            <w:top w:val="none" w:sz="0" w:space="0" w:color="auto"/>
                            <w:left w:val="none" w:sz="0" w:space="0" w:color="auto"/>
                            <w:bottom w:val="none" w:sz="0" w:space="0" w:color="auto"/>
                            <w:right w:val="none" w:sz="0" w:space="0" w:color="auto"/>
                          </w:divBdr>
                          <w:divsChild>
                            <w:div w:id="602154850">
                              <w:marLeft w:val="0"/>
                              <w:marRight w:val="0"/>
                              <w:marTop w:val="0"/>
                              <w:marBottom w:val="0"/>
                              <w:divBdr>
                                <w:top w:val="none" w:sz="0" w:space="0" w:color="auto"/>
                                <w:left w:val="none" w:sz="0" w:space="0" w:color="auto"/>
                                <w:bottom w:val="none" w:sz="0" w:space="0" w:color="auto"/>
                                <w:right w:val="none" w:sz="0" w:space="0" w:color="auto"/>
                              </w:divBdr>
                              <w:divsChild>
                                <w:div w:id="1600024434">
                                  <w:marLeft w:val="0"/>
                                  <w:marRight w:val="0"/>
                                  <w:marTop w:val="0"/>
                                  <w:marBottom w:val="0"/>
                                  <w:divBdr>
                                    <w:top w:val="none" w:sz="0" w:space="0" w:color="auto"/>
                                    <w:left w:val="none" w:sz="0" w:space="0" w:color="auto"/>
                                    <w:bottom w:val="none" w:sz="0" w:space="0" w:color="auto"/>
                                    <w:right w:val="none" w:sz="0" w:space="0" w:color="auto"/>
                                  </w:divBdr>
                                  <w:divsChild>
                                    <w:div w:id="10658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00445">
      <w:bodyDiv w:val="1"/>
      <w:marLeft w:val="0"/>
      <w:marRight w:val="0"/>
      <w:marTop w:val="0"/>
      <w:marBottom w:val="0"/>
      <w:divBdr>
        <w:top w:val="none" w:sz="0" w:space="0" w:color="auto"/>
        <w:left w:val="none" w:sz="0" w:space="0" w:color="auto"/>
        <w:bottom w:val="none" w:sz="0" w:space="0" w:color="auto"/>
        <w:right w:val="none" w:sz="0" w:space="0" w:color="auto"/>
      </w:divBdr>
      <w:divsChild>
        <w:div w:id="584652872">
          <w:marLeft w:val="0"/>
          <w:marRight w:val="0"/>
          <w:marTop w:val="0"/>
          <w:marBottom w:val="0"/>
          <w:divBdr>
            <w:top w:val="none" w:sz="0" w:space="0" w:color="auto"/>
            <w:left w:val="none" w:sz="0" w:space="0" w:color="auto"/>
            <w:bottom w:val="none" w:sz="0" w:space="0" w:color="auto"/>
            <w:right w:val="none" w:sz="0" w:space="0" w:color="auto"/>
          </w:divBdr>
          <w:divsChild>
            <w:div w:id="1616594686">
              <w:marLeft w:val="0"/>
              <w:marRight w:val="0"/>
              <w:marTop w:val="0"/>
              <w:marBottom w:val="0"/>
              <w:divBdr>
                <w:top w:val="none" w:sz="0" w:space="0" w:color="auto"/>
                <w:left w:val="none" w:sz="0" w:space="0" w:color="auto"/>
                <w:bottom w:val="none" w:sz="0" w:space="0" w:color="auto"/>
                <w:right w:val="none" w:sz="0" w:space="0" w:color="auto"/>
              </w:divBdr>
              <w:divsChild>
                <w:div w:id="559898400">
                  <w:marLeft w:val="0"/>
                  <w:marRight w:val="0"/>
                  <w:marTop w:val="0"/>
                  <w:marBottom w:val="0"/>
                  <w:divBdr>
                    <w:top w:val="none" w:sz="0" w:space="0" w:color="auto"/>
                    <w:left w:val="none" w:sz="0" w:space="0" w:color="auto"/>
                    <w:bottom w:val="none" w:sz="0" w:space="0" w:color="auto"/>
                    <w:right w:val="none" w:sz="0" w:space="0" w:color="auto"/>
                  </w:divBdr>
                  <w:divsChild>
                    <w:div w:id="3592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0703">
          <w:marLeft w:val="0"/>
          <w:marRight w:val="0"/>
          <w:marTop w:val="0"/>
          <w:marBottom w:val="0"/>
          <w:divBdr>
            <w:top w:val="none" w:sz="0" w:space="0" w:color="auto"/>
            <w:left w:val="none" w:sz="0" w:space="0" w:color="auto"/>
            <w:bottom w:val="none" w:sz="0" w:space="0" w:color="auto"/>
            <w:right w:val="none" w:sz="0" w:space="0" w:color="auto"/>
          </w:divBdr>
          <w:divsChild>
            <w:div w:id="798885989">
              <w:marLeft w:val="0"/>
              <w:marRight w:val="0"/>
              <w:marTop w:val="0"/>
              <w:marBottom w:val="0"/>
              <w:divBdr>
                <w:top w:val="none" w:sz="0" w:space="0" w:color="auto"/>
                <w:left w:val="none" w:sz="0" w:space="0" w:color="auto"/>
                <w:bottom w:val="none" w:sz="0" w:space="0" w:color="auto"/>
                <w:right w:val="none" w:sz="0" w:space="0" w:color="auto"/>
              </w:divBdr>
              <w:divsChild>
                <w:div w:id="1880821856">
                  <w:marLeft w:val="0"/>
                  <w:marRight w:val="0"/>
                  <w:marTop w:val="0"/>
                  <w:marBottom w:val="0"/>
                  <w:divBdr>
                    <w:top w:val="none" w:sz="0" w:space="0" w:color="auto"/>
                    <w:left w:val="none" w:sz="0" w:space="0" w:color="auto"/>
                    <w:bottom w:val="none" w:sz="0" w:space="0" w:color="auto"/>
                    <w:right w:val="none" w:sz="0" w:space="0" w:color="auto"/>
                  </w:divBdr>
                  <w:divsChild>
                    <w:div w:id="193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5163">
      <w:bodyDiv w:val="1"/>
      <w:marLeft w:val="0"/>
      <w:marRight w:val="0"/>
      <w:marTop w:val="0"/>
      <w:marBottom w:val="0"/>
      <w:divBdr>
        <w:top w:val="none" w:sz="0" w:space="0" w:color="auto"/>
        <w:left w:val="none" w:sz="0" w:space="0" w:color="auto"/>
        <w:bottom w:val="none" w:sz="0" w:space="0" w:color="auto"/>
        <w:right w:val="none" w:sz="0" w:space="0" w:color="auto"/>
      </w:divBdr>
      <w:divsChild>
        <w:div w:id="255556814">
          <w:marLeft w:val="0"/>
          <w:marRight w:val="0"/>
          <w:marTop w:val="0"/>
          <w:marBottom w:val="0"/>
          <w:divBdr>
            <w:top w:val="none" w:sz="0" w:space="0" w:color="auto"/>
            <w:left w:val="none" w:sz="0" w:space="0" w:color="auto"/>
            <w:bottom w:val="none" w:sz="0" w:space="0" w:color="auto"/>
            <w:right w:val="none" w:sz="0" w:space="0" w:color="auto"/>
          </w:divBdr>
          <w:divsChild>
            <w:div w:id="672025515">
              <w:marLeft w:val="0"/>
              <w:marRight w:val="0"/>
              <w:marTop w:val="0"/>
              <w:marBottom w:val="0"/>
              <w:divBdr>
                <w:top w:val="none" w:sz="0" w:space="0" w:color="auto"/>
                <w:left w:val="none" w:sz="0" w:space="0" w:color="auto"/>
                <w:bottom w:val="none" w:sz="0" w:space="0" w:color="auto"/>
                <w:right w:val="none" w:sz="0" w:space="0" w:color="auto"/>
              </w:divBdr>
              <w:divsChild>
                <w:div w:id="303042762">
                  <w:marLeft w:val="0"/>
                  <w:marRight w:val="0"/>
                  <w:marTop w:val="0"/>
                  <w:marBottom w:val="0"/>
                  <w:divBdr>
                    <w:top w:val="none" w:sz="0" w:space="0" w:color="auto"/>
                    <w:left w:val="none" w:sz="0" w:space="0" w:color="auto"/>
                    <w:bottom w:val="none" w:sz="0" w:space="0" w:color="auto"/>
                    <w:right w:val="none" w:sz="0" w:space="0" w:color="auto"/>
                  </w:divBdr>
                  <w:divsChild>
                    <w:div w:id="174406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241758">
          <w:marLeft w:val="0"/>
          <w:marRight w:val="0"/>
          <w:marTop w:val="0"/>
          <w:marBottom w:val="0"/>
          <w:divBdr>
            <w:top w:val="none" w:sz="0" w:space="0" w:color="auto"/>
            <w:left w:val="none" w:sz="0" w:space="0" w:color="auto"/>
            <w:bottom w:val="none" w:sz="0" w:space="0" w:color="auto"/>
            <w:right w:val="none" w:sz="0" w:space="0" w:color="auto"/>
          </w:divBdr>
          <w:divsChild>
            <w:div w:id="2137990568">
              <w:marLeft w:val="0"/>
              <w:marRight w:val="0"/>
              <w:marTop w:val="0"/>
              <w:marBottom w:val="0"/>
              <w:divBdr>
                <w:top w:val="none" w:sz="0" w:space="0" w:color="auto"/>
                <w:left w:val="none" w:sz="0" w:space="0" w:color="auto"/>
                <w:bottom w:val="none" w:sz="0" w:space="0" w:color="auto"/>
                <w:right w:val="none" w:sz="0" w:space="0" w:color="auto"/>
              </w:divBdr>
              <w:divsChild>
                <w:div w:id="91972044">
                  <w:marLeft w:val="0"/>
                  <w:marRight w:val="0"/>
                  <w:marTop w:val="0"/>
                  <w:marBottom w:val="0"/>
                  <w:divBdr>
                    <w:top w:val="none" w:sz="0" w:space="0" w:color="auto"/>
                    <w:left w:val="none" w:sz="0" w:space="0" w:color="auto"/>
                    <w:bottom w:val="none" w:sz="0" w:space="0" w:color="auto"/>
                    <w:right w:val="none" w:sz="0" w:space="0" w:color="auto"/>
                  </w:divBdr>
                  <w:divsChild>
                    <w:div w:id="6443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0491">
      <w:bodyDiv w:val="1"/>
      <w:marLeft w:val="0"/>
      <w:marRight w:val="0"/>
      <w:marTop w:val="0"/>
      <w:marBottom w:val="0"/>
      <w:divBdr>
        <w:top w:val="none" w:sz="0" w:space="0" w:color="auto"/>
        <w:left w:val="none" w:sz="0" w:space="0" w:color="auto"/>
        <w:bottom w:val="none" w:sz="0" w:space="0" w:color="auto"/>
        <w:right w:val="none" w:sz="0" w:space="0" w:color="auto"/>
      </w:divBdr>
      <w:divsChild>
        <w:div w:id="745959762">
          <w:marLeft w:val="0"/>
          <w:marRight w:val="0"/>
          <w:marTop w:val="0"/>
          <w:marBottom w:val="0"/>
          <w:divBdr>
            <w:top w:val="none" w:sz="0" w:space="0" w:color="auto"/>
            <w:left w:val="none" w:sz="0" w:space="0" w:color="auto"/>
            <w:bottom w:val="none" w:sz="0" w:space="0" w:color="auto"/>
            <w:right w:val="none" w:sz="0" w:space="0" w:color="auto"/>
          </w:divBdr>
          <w:divsChild>
            <w:div w:id="756904732">
              <w:marLeft w:val="0"/>
              <w:marRight w:val="0"/>
              <w:marTop w:val="0"/>
              <w:marBottom w:val="0"/>
              <w:divBdr>
                <w:top w:val="none" w:sz="0" w:space="0" w:color="auto"/>
                <w:left w:val="none" w:sz="0" w:space="0" w:color="auto"/>
                <w:bottom w:val="none" w:sz="0" w:space="0" w:color="auto"/>
                <w:right w:val="none" w:sz="0" w:space="0" w:color="auto"/>
              </w:divBdr>
              <w:divsChild>
                <w:div w:id="1563834416">
                  <w:marLeft w:val="0"/>
                  <w:marRight w:val="0"/>
                  <w:marTop w:val="0"/>
                  <w:marBottom w:val="0"/>
                  <w:divBdr>
                    <w:top w:val="none" w:sz="0" w:space="0" w:color="auto"/>
                    <w:left w:val="none" w:sz="0" w:space="0" w:color="auto"/>
                    <w:bottom w:val="none" w:sz="0" w:space="0" w:color="auto"/>
                    <w:right w:val="none" w:sz="0" w:space="0" w:color="auto"/>
                  </w:divBdr>
                  <w:divsChild>
                    <w:div w:id="18129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10884">
          <w:marLeft w:val="0"/>
          <w:marRight w:val="0"/>
          <w:marTop w:val="0"/>
          <w:marBottom w:val="0"/>
          <w:divBdr>
            <w:top w:val="none" w:sz="0" w:space="0" w:color="auto"/>
            <w:left w:val="none" w:sz="0" w:space="0" w:color="auto"/>
            <w:bottom w:val="none" w:sz="0" w:space="0" w:color="auto"/>
            <w:right w:val="none" w:sz="0" w:space="0" w:color="auto"/>
          </w:divBdr>
          <w:divsChild>
            <w:div w:id="1958178865">
              <w:marLeft w:val="0"/>
              <w:marRight w:val="0"/>
              <w:marTop w:val="0"/>
              <w:marBottom w:val="0"/>
              <w:divBdr>
                <w:top w:val="none" w:sz="0" w:space="0" w:color="auto"/>
                <w:left w:val="none" w:sz="0" w:space="0" w:color="auto"/>
                <w:bottom w:val="none" w:sz="0" w:space="0" w:color="auto"/>
                <w:right w:val="none" w:sz="0" w:space="0" w:color="auto"/>
              </w:divBdr>
              <w:divsChild>
                <w:div w:id="820460604">
                  <w:marLeft w:val="0"/>
                  <w:marRight w:val="0"/>
                  <w:marTop w:val="0"/>
                  <w:marBottom w:val="0"/>
                  <w:divBdr>
                    <w:top w:val="none" w:sz="0" w:space="0" w:color="auto"/>
                    <w:left w:val="none" w:sz="0" w:space="0" w:color="auto"/>
                    <w:bottom w:val="none" w:sz="0" w:space="0" w:color="auto"/>
                    <w:right w:val="none" w:sz="0" w:space="0" w:color="auto"/>
                  </w:divBdr>
                  <w:divsChild>
                    <w:div w:id="214122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841967">
      <w:bodyDiv w:val="1"/>
      <w:marLeft w:val="0"/>
      <w:marRight w:val="0"/>
      <w:marTop w:val="0"/>
      <w:marBottom w:val="0"/>
      <w:divBdr>
        <w:top w:val="none" w:sz="0" w:space="0" w:color="auto"/>
        <w:left w:val="none" w:sz="0" w:space="0" w:color="auto"/>
        <w:bottom w:val="none" w:sz="0" w:space="0" w:color="auto"/>
        <w:right w:val="none" w:sz="0" w:space="0" w:color="auto"/>
      </w:divBdr>
      <w:divsChild>
        <w:div w:id="60949554">
          <w:marLeft w:val="0"/>
          <w:marRight w:val="0"/>
          <w:marTop w:val="0"/>
          <w:marBottom w:val="0"/>
          <w:divBdr>
            <w:top w:val="none" w:sz="0" w:space="0" w:color="auto"/>
            <w:left w:val="none" w:sz="0" w:space="0" w:color="auto"/>
            <w:bottom w:val="none" w:sz="0" w:space="0" w:color="auto"/>
            <w:right w:val="none" w:sz="0" w:space="0" w:color="auto"/>
          </w:divBdr>
          <w:divsChild>
            <w:div w:id="1058281420">
              <w:marLeft w:val="0"/>
              <w:marRight w:val="0"/>
              <w:marTop w:val="0"/>
              <w:marBottom w:val="0"/>
              <w:divBdr>
                <w:top w:val="none" w:sz="0" w:space="0" w:color="auto"/>
                <w:left w:val="none" w:sz="0" w:space="0" w:color="auto"/>
                <w:bottom w:val="none" w:sz="0" w:space="0" w:color="auto"/>
                <w:right w:val="none" w:sz="0" w:space="0" w:color="auto"/>
              </w:divBdr>
              <w:divsChild>
                <w:div w:id="1107852442">
                  <w:marLeft w:val="0"/>
                  <w:marRight w:val="0"/>
                  <w:marTop w:val="0"/>
                  <w:marBottom w:val="0"/>
                  <w:divBdr>
                    <w:top w:val="none" w:sz="0" w:space="0" w:color="auto"/>
                    <w:left w:val="none" w:sz="0" w:space="0" w:color="auto"/>
                    <w:bottom w:val="none" w:sz="0" w:space="0" w:color="auto"/>
                    <w:right w:val="none" w:sz="0" w:space="0" w:color="auto"/>
                  </w:divBdr>
                  <w:divsChild>
                    <w:div w:id="17030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19243">
          <w:marLeft w:val="0"/>
          <w:marRight w:val="0"/>
          <w:marTop w:val="0"/>
          <w:marBottom w:val="0"/>
          <w:divBdr>
            <w:top w:val="none" w:sz="0" w:space="0" w:color="auto"/>
            <w:left w:val="none" w:sz="0" w:space="0" w:color="auto"/>
            <w:bottom w:val="none" w:sz="0" w:space="0" w:color="auto"/>
            <w:right w:val="none" w:sz="0" w:space="0" w:color="auto"/>
          </w:divBdr>
          <w:divsChild>
            <w:div w:id="1319579080">
              <w:marLeft w:val="0"/>
              <w:marRight w:val="0"/>
              <w:marTop w:val="0"/>
              <w:marBottom w:val="0"/>
              <w:divBdr>
                <w:top w:val="none" w:sz="0" w:space="0" w:color="auto"/>
                <w:left w:val="none" w:sz="0" w:space="0" w:color="auto"/>
                <w:bottom w:val="none" w:sz="0" w:space="0" w:color="auto"/>
                <w:right w:val="none" w:sz="0" w:space="0" w:color="auto"/>
              </w:divBdr>
              <w:divsChild>
                <w:div w:id="410200085">
                  <w:marLeft w:val="0"/>
                  <w:marRight w:val="0"/>
                  <w:marTop w:val="0"/>
                  <w:marBottom w:val="0"/>
                  <w:divBdr>
                    <w:top w:val="none" w:sz="0" w:space="0" w:color="auto"/>
                    <w:left w:val="none" w:sz="0" w:space="0" w:color="auto"/>
                    <w:bottom w:val="none" w:sz="0" w:space="0" w:color="auto"/>
                    <w:right w:val="none" w:sz="0" w:space="0" w:color="auto"/>
                  </w:divBdr>
                  <w:divsChild>
                    <w:div w:id="182754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503660">
      <w:bodyDiv w:val="1"/>
      <w:marLeft w:val="0"/>
      <w:marRight w:val="0"/>
      <w:marTop w:val="0"/>
      <w:marBottom w:val="0"/>
      <w:divBdr>
        <w:top w:val="none" w:sz="0" w:space="0" w:color="auto"/>
        <w:left w:val="none" w:sz="0" w:space="0" w:color="auto"/>
        <w:bottom w:val="none" w:sz="0" w:space="0" w:color="auto"/>
        <w:right w:val="none" w:sz="0" w:space="0" w:color="auto"/>
      </w:divBdr>
      <w:divsChild>
        <w:div w:id="855341365">
          <w:marLeft w:val="0"/>
          <w:marRight w:val="0"/>
          <w:marTop w:val="0"/>
          <w:marBottom w:val="0"/>
          <w:divBdr>
            <w:top w:val="none" w:sz="0" w:space="0" w:color="auto"/>
            <w:left w:val="none" w:sz="0" w:space="0" w:color="auto"/>
            <w:bottom w:val="none" w:sz="0" w:space="0" w:color="auto"/>
            <w:right w:val="none" w:sz="0" w:space="0" w:color="auto"/>
          </w:divBdr>
          <w:divsChild>
            <w:div w:id="2034106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94209720">
      <w:bodyDiv w:val="1"/>
      <w:marLeft w:val="0"/>
      <w:marRight w:val="0"/>
      <w:marTop w:val="0"/>
      <w:marBottom w:val="0"/>
      <w:divBdr>
        <w:top w:val="none" w:sz="0" w:space="0" w:color="auto"/>
        <w:left w:val="none" w:sz="0" w:space="0" w:color="auto"/>
        <w:bottom w:val="none" w:sz="0" w:space="0" w:color="auto"/>
        <w:right w:val="none" w:sz="0" w:space="0" w:color="auto"/>
      </w:divBdr>
    </w:div>
    <w:div w:id="436222576">
      <w:bodyDiv w:val="1"/>
      <w:marLeft w:val="0"/>
      <w:marRight w:val="0"/>
      <w:marTop w:val="0"/>
      <w:marBottom w:val="0"/>
      <w:divBdr>
        <w:top w:val="none" w:sz="0" w:space="0" w:color="auto"/>
        <w:left w:val="none" w:sz="0" w:space="0" w:color="auto"/>
        <w:bottom w:val="none" w:sz="0" w:space="0" w:color="auto"/>
        <w:right w:val="none" w:sz="0" w:space="0" w:color="auto"/>
      </w:divBdr>
      <w:divsChild>
        <w:div w:id="70350153">
          <w:marLeft w:val="0"/>
          <w:marRight w:val="0"/>
          <w:marTop w:val="0"/>
          <w:marBottom w:val="0"/>
          <w:divBdr>
            <w:top w:val="none" w:sz="0" w:space="0" w:color="auto"/>
            <w:left w:val="none" w:sz="0" w:space="0" w:color="auto"/>
            <w:bottom w:val="none" w:sz="0" w:space="0" w:color="auto"/>
            <w:right w:val="none" w:sz="0" w:space="0" w:color="auto"/>
          </w:divBdr>
          <w:divsChild>
            <w:div w:id="1923950862">
              <w:marLeft w:val="0"/>
              <w:marRight w:val="0"/>
              <w:marTop w:val="0"/>
              <w:marBottom w:val="0"/>
              <w:divBdr>
                <w:top w:val="none" w:sz="0" w:space="0" w:color="auto"/>
                <w:left w:val="none" w:sz="0" w:space="0" w:color="auto"/>
                <w:bottom w:val="none" w:sz="0" w:space="0" w:color="auto"/>
                <w:right w:val="none" w:sz="0" w:space="0" w:color="auto"/>
              </w:divBdr>
              <w:divsChild>
                <w:div w:id="1058479476">
                  <w:marLeft w:val="0"/>
                  <w:marRight w:val="0"/>
                  <w:marTop w:val="0"/>
                  <w:marBottom w:val="0"/>
                  <w:divBdr>
                    <w:top w:val="none" w:sz="0" w:space="0" w:color="auto"/>
                    <w:left w:val="none" w:sz="0" w:space="0" w:color="auto"/>
                    <w:bottom w:val="none" w:sz="0" w:space="0" w:color="auto"/>
                    <w:right w:val="none" w:sz="0" w:space="0" w:color="auto"/>
                  </w:divBdr>
                  <w:divsChild>
                    <w:div w:id="16609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4825">
          <w:marLeft w:val="0"/>
          <w:marRight w:val="0"/>
          <w:marTop w:val="0"/>
          <w:marBottom w:val="0"/>
          <w:divBdr>
            <w:top w:val="none" w:sz="0" w:space="0" w:color="auto"/>
            <w:left w:val="none" w:sz="0" w:space="0" w:color="auto"/>
            <w:bottom w:val="none" w:sz="0" w:space="0" w:color="auto"/>
            <w:right w:val="none" w:sz="0" w:space="0" w:color="auto"/>
          </w:divBdr>
          <w:divsChild>
            <w:div w:id="821777673">
              <w:marLeft w:val="0"/>
              <w:marRight w:val="0"/>
              <w:marTop w:val="0"/>
              <w:marBottom w:val="0"/>
              <w:divBdr>
                <w:top w:val="none" w:sz="0" w:space="0" w:color="auto"/>
                <w:left w:val="none" w:sz="0" w:space="0" w:color="auto"/>
                <w:bottom w:val="none" w:sz="0" w:space="0" w:color="auto"/>
                <w:right w:val="none" w:sz="0" w:space="0" w:color="auto"/>
              </w:divBdr>
              <w:divsChild>
                <w:div w:id="467479152">
                  <w:marLeft w:val="0"/>
                  <w:marRight w:val="0"/>
                  <w:marTop w:val="0"/>
                  <w:marBottom w:val="0"/>
                  <w:divBdr>
                    <w:top w:val="none" w:sz="0" w:space="0" w:color="auto"/>
                    <w:left w:val="none" w:sz="0" w:space="0" w:color="auto"/>
                    <w:bottom w:val="none" w:sz="0" w:space="0" w:color="auto"/>
                    <w:right w:val="none" w:sz="0" w:space="0" w:color="auto"/>
                  </w:divBdr>
                  <w:divsChild>
                    <w:div w:id="6937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378602">
      <w:bodyDiv w:val="1"/>
      <w:marLeft w:val="0"/>
      <w:marRight w:val="0"/>
      <w:marTop w:val="0"/>
      <w:marBottom w:val="0"/>
      <w:divBdr>
        <w:top w:val="none" w:sz="0" w:space="0" w:color="auto"/>
        <w:left w:val="none" w:sz="0" w:space="0" w:color="auto"/>
        <w:bottom w:val="none" w:sz="0" w:space="0" w:color="auto"/>
        <w:right w:val="none" w:sz="0" w:space="0" w:color="auto"/>
      </w:divBdr>
      <w:divsChild>
        <w:div w:id="1670908140">
          <w:marLeft w:val="0"/>
          <w:marRight w:val="0"/>
          <w:marTop w:val="0"/>
          <w:marBottom w:val="0"/>
          <w:divBdr>
            <w:top w:val="none" w:sz="0" w:space="0" w:color="auto"/>
            <w:left w:val="none" w:sz="0" w:space="0" w:color="auto"/>
            <w:bottom w:val="none" w:sz="0" w:space="0" w:color="auto"/>
            <w:right w:val="none" w:sz="0" w:space="0" w:color="auto"/>
          </w:divBdr>
          <w:divsChild>
            <w:div w:id="1046445224">
              <w:marLeft w:val="0"/>
              <w:marRight w:val="0"/>
              <w:marTop w:val="0"/>
              <w:marBottom w:val="240"/>
              <w:divBdr>
                <w:top w:val="none" w:sz="0" w:space="0" w:color="auto"/>
                <w:left w:val="none" w:sz="0" w:space="0" w:color="auto"/>
                <w:bottom w:val="none" w:sz="0" w:space="0" w:color="auto"/>
                <w:right w:val="none" w:sz="0" w:space="0" w:color="auto"/>
              </w:divBdr>
            </w:div>
          </w:divsChild>
        </w:div>
        <w:div w:id="410933885">
          <w:marLeft w:val="0"/>
          <w:marRight w:val="0"/>
          <w:marTop w:val="0"/>
          <w:marBottom w:val="0"/>
          <w:divBdr>
            <w:top w:val="none" w:sz="0" w:space="0" w:color="auto"/>
            <w:left w:val="none" w:sz="0" w:space="0" w:color="auto"/>
            <w:bottom w:val="none" w:sz="0" w:space="0" w:color="auto"/>
            <w:right w:val="none" w:sz="0" w:space="0" w:color="auto"/>
          </w:divBdr>
          <w:divsChild>
            <w:div w:id="1248271005">
              <w:marLeft w:val="0"/>
              <w:marRight w:val="0"/>
              <w:marTop w:val="0"/>
              <w:marBottom w:val="240"/>
              <w:divBdr>
                <w:top w:val="none" w:sz="0" w:space="0" w:color="auto"/>
                <w:left w:val="none" w:sz="0" w:space="0" w:color="auto"/>
                <w:bottom w:val="none" w:sz="0" w:space="0" w:color="auto"/>
                <w:right w:val="none" w:sz="0" w:space="0" w:color="auto"/>
              </w:divBdr>
            </w:div>
          </w:divsChild>
        </w:div>
        <w:div w:id="17658614">
          <w:marLeft w:val="0"/>
          <w:marRight w:val="0"/>
          <w:marTop w:val="0"/>
          <w:marBottom w:val="0"/>
          <w:divBdr>
            <w:top w:val="none" w:sz="0" w:space="0" w:color="auto"/>
            <w:left w:val="none" w:sz="0" w:space="0" w:color="auto"/>
            <w:bottom w:val="none" w:sz="0" w:space="0" w:color="auto"/>
            <w:right w:val="none" w:sz="0" w:space="0" w:color="auto"/>
          </w:divBdr>
          <w:divsChild>
            <w:div w:id="380442178">
              <w:marLeft w:val="0"/>
              <w:marRight w:val="0"/>
              <w:marTop w:val="0"/>
              <w:marBottom w:val="240"/>
              <w:divBdr>
                <w:top w:val="none" w:sz="0" w:space="0" w:color="auto"/>
                <w:left w:val="none" w:sz="0" w:space="0" w:color="auto"/>
                <w:bottom w:val="none" w:sz="0" w:space="0" w:color="auto"/>
                <w:right w:val="none" w:sz="0" w:space="0" w:color="auto"/>
              </w:divBdr>
            </w:div>
          </w:divsChild>
        </w:div>
        <w:div w:id="1846705767">
          <w:marLeft w:val="0"/>
          <w:marRight w:val="0"/>
          <w:marTop w:val="0"/>
          <w:marBottom w:val="0"/>
          <w:divBdr>
            <w:top w:val="none" w:sz="0" w:space="0" w:color="auto"/>
            <w:left w:val="none" w:sz="0" w:space="0" w:color="auto"/>
            <w:bottom w:val="none" w:sz="0" w:space="0" w:color="auto"/>
            <w:right w:val="none" w:sz="0" w:space="0" w:color="auto"/>
          </w:divBdr>
          <w:divsChild>
            <w:div w:id="1872721134">
              <w:marLeft w:val="0"/>
              <w:marRight w:val="0"/>
              <w:marTop w:val="0"/>
              <w:marBottom w:val="240"/>
              <w:divBdr>
                <w:top w:val="none" w:sz="0" w:space="0" w:color="auto"/>
                <w:left w:val="none" w:sz="0" w:space="0" w:color="auto"/>
                <w:bottom w:val="none" w:sz="0" w:space="0" w:color="auto"/>
                <w:right w:val="none" w:sz="0" w:space="0" w:color="auto"/>
              </w:divBdr>
            </w:div>
          </w:divsChild>
        </w:div>
        <w:div w:id="1385300045">
          <w:marLeft w:val="0"/>
          <w:marRight w:val="0"/>
          <w:marTop w:val="0"/>
          <w:marBottom w:val="0"/>
          <w:divBdr>
            <w:top w:val="none" w:sz="0" w:space="0" w:color="auto"/>
            <w:left w:val="none" w:sz="0" w:space="0" w:color="auto"/>
            <w:bottom w:val="none" w:sz="0" w:space="0" w:color="auto"/>
            <w:right w:val="none" w:sz="0" w:space="0" w:color="auto"/>
          </w:divBdr>
          <w:divsChild>
            <w:div w:id="18201484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0312830">
      <w:bodyDiv w:val="1"/>
      <w:marLeft w:val="0"/>
      <w:marRight w:val="0"/>
      <w:marTop w:val="0"/>
      <w:marBottom w:val="0"/>
      <w:divBdr>
        <w:top w:val="none" w:sz="0" w:space="0" w:color="auto"/>
        <w:left w:val="none" w:sz="0" w:space="0" w:color="auto"/>
        <w:bottom w:val="none" w:sz="0" w:space="0" w:color="auto"/>
        <w:right w:val="none" w:sz="0" w:space="0" w:color="auto"/>
      </w:divBdr>
      <w:divsChild>
        <w:div w:id="618990727">
          <w:marLeft w:val="0"/>
          <w:marRight w:val="0"/>
          <w:marTop w:val="0"/>
          <w:marBottom w:val="0"/>
          <w:divBdr>
            <w:top w:val="none" w:sz="0" w:space="0" w:color="auto"/>
            <w:left w:val="none" w:sz="0" w:space="0" w:color="auto"/>
            <w:bottom w:val="none" w:sz="0" w:space="0" w:color="auto"/>
            <w:right w:val="none" w:sz="0" w:space="0" w:color="auto"/>
          </w:divBdr>
          <w:divsChild>
            <w:div w:id="528496047">
              <w:marLeft w:val="0"/>
              <w:marRight w:val="0"/>
              <w:marTop w:val="0"/>
              <w:marBottom w:val="0"/>
              <w:divBdr>
                <w:top w:val="none" w:sz="0" w:space="0" w:color="auto"/>
                <w:left w:val="none" w:sz="0" w:space="0" w:color="auto"/>
                <w:bottom w:val="none" w:sz="0" w:space="0" w:color="auto"/>
                <w:right w:val="none" w:sz="0" w:space="0" w:color="auto"/>
              </w:divBdr>
              <w:divsChild>
                <w:div w:id="363213922">
                  <w:marLeft w:val="0"/>
                  <w:marRight w:val="0"/>
                  <w:marTop w:val="0"/>
                  <w:marBottom w:val="0"/>
                  <w:divBdr>
                    <w:top w:val="none" w:sz="0" w:space="0" w:color="auto"/>
                    <w:left w:val="none" w:sz="0" w:space="0" w:color="auto"/>
                    <w:bottom w:val="none" w:sz="0" w:space="0" w:color="auto"/>
                    <w:right w:val="none" w:sz="0" w:space="0" w:color="auto"/>
                  </w:divBdr>
                  <w:divsChild>
                    <w:div w:id="7569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06342">
          <w:marLeft w:val="0"/>
          <w:marRight w:val="0"/>
          <w:marTop w:val="0"/>
          <w:marBottom w:val="0"/>
          <w:divBdr>
            <w:top w:val="none" w:sz="0" w:space="0" w:color="auto"/>
            <w:left w:val="none" w:sz="0" w:space="0" w:color="auto"/>
            <w:bottom w:val="none" w:sz="0" w:space="0" w:color="auto"/>
            <w:right w:val="none" w:sz="0" w:space="0" w:color="auto"/>
          </w:divBdr>
          <w:divsChild>
            <w:div w:id="716197630">
              <w:marLeft w:val="0"/>
              <w:marRight w:val="0"/>
              <w:marTop w:val="0"/>
              <w:marBottom w:val="0"/>
              <w:divBdr>
                <w:top w:val="none" w:sz="0" w:space="0" w:color="auto"/>
                <w:left w:val="none" w:sz="0" w:space="0" w:color="auto"/>
                <w:bottom w:val="none" w:sz="0" w:space="0" w:color="auto"/>
                <w:right w:val="none" w:sz="0" w:space="0" w:color="auto"/>
              </w:divBdr>
              <w:divsChild>
                <w:div w:id="1503547649">
                  <w:marLeft w:val="0"/>
                  <w:marRight w:val="0"/>
                  <w:marTop w:val="0"/>
                  <w:marBottom w:val="0"/>
                  <w:divBdr>
                    <w:top w:val="none" w:sz="0" w:space="0" w:color="auto"/>
                    <w:left w:val="none" w:sz="0" w:space="0" w:color="auto"/>
                    <w:bottom w:val="none" w:sz="0" w:space="0" w:color="auto"/>
                    <w:right w:val="none" w:sz="0" w:space="0" w:color="auto"/>
                  </w:divBdr>
                  <w:divsChild>
                    <w:div w:id="4507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750492">
      <w:bodyDiv w:val="1"/>
      <w:marLeft w:val="0"/>
      <w:marRight w:val="0"/>
      <w:marTop w:val="0"/>
      <w:marBottom w:val="0"/>
      <w:divBdr>
        <w:top w:val="none" w:sz="0" w:space="0" w:color="auto"/>
        <w:left w:val="none" w:sz="0" w:space="0" w:color="auto"/>
        <w:bottom w:val="none" w:sz="0" w:space="0" w:color="auto"/>
        <w:right w:val="none" w:sz="0" w:space="0" w:color="auto"/>
      </w:divBdr>
      <w:divsChild>
        <w:div w:id="1906645674">
          <w:marLeft w:val="0"/>
          <w:marRight w:val="0"/>
          <w:marTop w:val="0"/>
          <w:marBottom w:val="0"/>
          <w:divBdr>
            <w:top w:val="none" w:sz="0" w:space="0" w:color="auto"/>
            <w:left w:val="none" w:sz="0" w:space="0" w:color="auto"/>
            <w:bottom w:val="none" w:sz="0" w:space="0" w:color="auto"/>
            <w:right w:val="none" w:sz="0" w:space="0" w:color="auto"/>
          </w:divBdr>
          <w:divsChild>
            <w:div w:id="228880041">
              <w:marLeft w:val="0"/>
              <w:marRight w:val="0"/>
              <w:marTop w:val="0"/>
              <w:marBottom w:val="0"/>
              <w:divBdr>
                <w:top w:val="none" w:sz="0" w:space="0" w:color="auto"/>
                <w:left w:val="none" w:sz="0" w:space="0" w:color="auto"/>
                <w:bottom w:val="none" w:sz="0" w:space="0" w:color="auto"/>
                <w:right w:val="none" w:sz="0" w:space="0" w:color="auto"/>
              </w:divBdr>
              <w:divsChild>
                <w:div w:id="1358967185">
                  <w:marLeft w:val="0"/>
                  <w:marRight w:val="0"/>
                  <w:marTop w:val="0"/>
                  <w:marBottom w:val="0"/>
                  <w:divBdr>
                    <w:top w:val="none" w:sz="0" w:space="0" w:color="auto"/>
                    <w:left w:val="none" w:sz="0" w:space="0" w:color="auto"/>
                    <w:bottom w:val="none" w:sz="0" w:space="0" w:color="auto"/>
                    <w:right w:val="none" w:sz="0" w:space="0" w:color="auto"/>
                  </w:divBdr>
                  <w:divsChild>
                    <w:div w:id="6472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82418">
          <w:marLeft w:val="0"/>
          <w:marRight w:val="0"/>
          <w:marTop w:val="0"/>
          <w:marBottom w:val="0"/>
          <w:divBdr>
            <w:top w:val="none" w:sz="0" w:space="0" w:color="auto"/>
            <w:left w:val="none" w:sz="0" w:space="0" w:color="auto"/>
            <w:bottom w:val="none" w:sz="0" w:space="0" w:color="auto"/>
            <w:right w:val="none" w:sz="0" w:space="0" w:color="auto"/>
          </w:divBdr>
          <w:divsChild>
            <w:div w:id="937105115">
              <w:marLeft w:val="0"/>
              <w:marRight w:val="0"/>
              <w:marTop w:val="0"/>
              <w:marBottom w:val="0"/>
              <w:divBdr>
                <w:top w:val="none" w:sz="0" w:space="0" w:color="auto"/>
                <w:left w:val="none" w:sz="0" w:space="0" w:color="auto"/>
                <w:bottom w:val="none" w:sz="0" w:space="0" w:color="auto"/>
                <w:right w:val="none" w:sz="0" w:space="0" w:color="auto"/>
              </w:divBdr>
              <w:divsChild>
                <w:div w:id="1097825614">
                  <w:marLeft w:val="0"/>
                  <w:marRight w:val="0"/>
                  <w:marTop w:val="0"/>
                  <w:marBottom w:val="0"/>
                  <w:divBdr>
                    <w:top w:val="none" w:sz="0" w:space="0" w:color="auto"/>
                    <w:left w:val="none" w:sz="0" w:space="0" w:color="auto"/>
                    <w:bottom w:val="none" w:sz="0" w:space="0" w:color="auto"/>
                    <w:right w:val="none" w:sz="0" w:space="0" w:color="auto"/>
                  </w:divBdr>
                  <w:divsChild>
                    <w:div w:id="21329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69659">
      <w:bodyDiv w:val="1"/>
      <w:marLeft w:val="0"/>
      <w:marRight w:val="0"/>
      <w:marTop w:val="0"/>
      <w:marBottom w:val="0"/>
      <w:divBdr>
        <w:top w:val="none" w:sz="0" w:space="0" w:color="auto"/>
        <w:left w:val="none" w:sz="0" w:space="0" w:color="auto"/>
        <w:bottom w:val="none" w:sz="0" w:space="0" w:color="auto"/>
        <w:right w:val="none" w:sz="0" w:space="0" w:color="auto"/>
      </w:divBdr>
      <w:divsChild>
        <w:div w:id="201137733">
          <w:marLeft w:val="0"/>
          <w:marRight w:val="0"/>
          <w:marTop w:val="0"/>
          <w:marBottom w:val="0"/>
          <w:divBdr>
            <w:top w:val="none" w:sz="0" w:space="0" w:color="auto"/>
            <w:left w:val="none" w:sz="0" w:space="0" w:color="auto"/>
            <w:bottom w:val="none" w:sz="0" w:space="0" w:color="auto"/>
            <w:right w:val="none" w:sz="0" w:space="0" w:color="auto"/>
          </w:divBdr>
          <w:divsChild>
            <w:div w:id="1046415668">
              <w:marLeft w:val="0"/>
              <w:marRight w:val="0"/>
              <w:marTop w:val="0"/>
              <w:marBottom w:val="0"/>
              <w:divBdr>
                <w:top w:val="none" w:sz="0" w:space="0" w:color="auto"/>
                <w:left w:val="none" w:sz="0" w:space="0" w:color="auto"/>
                <w:bottom w:val="none" w:sz="0" w:space="0" w:color="auto"/>
                <w:right w:val="none" w:sz="0" w:space="0" w:color="auto"/>
              </w:divBdr>
              <w:divsChild>
                <w:div w:id="839538492">
                  <w:marLeft w:val="0"/>
                  <w:marRight w:val="0"/>
                  <w:marTop w:val="0"/>
                  <w:marBottom w:val="0"/>
                  <w:divBdr>
                    <w:top w:val="none" w:sz="0" w:space="0" w:color="auto"/>
                    <w:left w:val="none" w:sz="0" w:space="0" w:color="auto"/>
                    <w:bottom w:val="none" w:sz="0" w:space="0" w:color="auto"/>
                    <w:right w:val="none" w:sz="0" w:space="0" w:color="auto"/>
                  </w:divBdr>
                  <w:divsChild>
                    <w:div w:id="111355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95899">
          <w:marLeft w:val="0"/>
          <w:marRight w:val="0"/>
          <w:marTop w:val="0"/>
          <w:marBottom w:val="0"/>
          <w:divBdr>
            <w:top w:val="none" w:sz="0" w:space="0" w:color="auto"/>
            <w:left w:val="none" w:sz="0" w:space="0" w:color="auto"/>
            <w:bottom w:val="none" w:sz="0" w:space="0" w:color="auto"/>
            <w:right w:val="none" w:sz="0" w:space="0" w:color="auto"/>
          </w:divBdr>
          <w:divsChild>
            <w:div w:id="1718315289">
              <w:marLeft w:val="0"/>
              <w:marRight w:val="0"/>
              <w:marTop w:val="0"/>
              <w:marBottom w:val="0"/>
              <w:divBdr>
                <w:top w:val="none" w:sz="0" w:space="0" w:color="auto"/>
                <w:left w:val="none" w:sz="0" w:space="0" w:color="auto"/>
                <w:bottom w:val="none" w:sz="0" w:space="0" w:color="auto"/>
                <w:right w:val="none" w:sz="0" w:space="0" w:color="auto"/>
              </w:divBdr>
              <w:divsChild>
                <w:div w:id="1813139150">
                  <w:marLeft w:val="0"/>
                  <w:marRight w:val="0"/>
                  <w:marTop w:val="0"/>
                  <w:marBottom w:val="0"/>
                  <w:divBdr>
                    <w:top w:val="none" w:sz="0" w:space="0" w:color="auto"/>
                    <w:left w:val="none" w:sz="0" w:space="0" w:color="auto"/>
                    <w:bottom w:val="none" w:sz="0" w:space="0" w:color="auto"/>
                    <w:right w:val="none" w:sz="0" w:space="0" w:color="auto"/>
                  </w:divBdr>
                  <w:divsChild>
                    <w:div w:id="10542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804041">
      <w:bodyDiv w:val="1"/>
      <w:marLeft w:val="0"/>
      <w:marRight w:val="0"/>
      <w:marTop w:val="0"/>
      <w:marBottom w:val="0"/>
      <w:divBdr>
        <w:top w:val="none" w:sz="0" w:space="0" w:color="auto"/>
        <w:left w:val="none" w:sz="0" w:space="0" w:color="auto"/>
        <w:bottom w:val="none" w:sz="0" w:space="0" w:color="auto"/>
        <w:right w:val="none" w:sz="0" w:space="0" w:color="auto"/>
      </w:divBdr>
      <w:divsChild>
        <w:div w:id="2070422296">
          <w:marLeft w:val="0"/>
          <w:marRight w:val="0"/>
          <w:marTop w:val="0"/>
          <w:marBottom w:val="0"/>
          <w:divBdr>
            <w:top w:val="none" w:sz="0" w:space="0" w:color="auto"/>
            <w:left w:val="none" w:sz="0" w:space="0" w:color="auto"/>
            <w:bottom w:val="none" w:sz="0" w:space="0" w:color="auto"/>
            <w:right w:val="none" w:sz="0" w:space="0" w:color="auto"/>
          </w:divBdr>
          <w:divsChild>
            <w:div w:id="1997302434">
              <w:marLeft w:val="0"/>
              <w:marRight w:val="0"/>
              <w:marTop w:val="0"/>
              <w:marBottom w:val="0"/>
              <w:divBdr>
                <w:top w:val="none" w:sz="0" w:space="0" w:color="auto"/>
                <w:left w:val="none" w:sz="0" w:space="0" w:color="auto"/>
                <w:bottom w:val="none" w:sz="0" w:space="0" w:color="auto"/>
                <w:right w:val="none" w:sz="0" w:space="0" w:color="auto"/>
              </w:divBdr>
              <w:divsChild>
                <w:div w:id="1278488592">
                  <w:marLeft w:val="0"/>
                  <w:marRight w:val="0"/>
                  <w:marTop w:val="0"/>
                  <w:marBottom w:val="0"/>
                  <w:divBdr>
                    <w:top w:val="none" w:sz="0" w:space="0" w:color="auto"/>
                    <w:left w:val="none" w:sz="0" w:space="0" w:color="auto"/>
                    <w:bottom w:val="none" w:sz="0" w:space="0" w:color="auto"/>
                    <w:right w:val="none" w:sz="0" w:space="0" w:color="auto"/>
                  </w:divBdr>
                  <w:divsChild>
                    <w:div w:id="15323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5016">
          <w:marLeft w:val="0"/>
          <w:marRight w:val="0"/>
          <w:marTop w:val="0"/>
          <w:marBottom w:val="0"/>
          <w:divBdr>
            <w:top w:val="none" w:sz="0" w:space="0" w:color="auto"/>
            <w:left w:val="none" w:sz="0" w:space="0" w:color="auto"/>
            <w:bottom w:val="none" w:sz="0" w:space="0" w:color="auto"/>
            <w:right w:val="none" w:sz="0" w:space="0" w:color="auto"/>
          </w:divBdr>
          <w:divsChild>
            <w:div w:id="1758936128">
              <w:marLeft w:val="0"/>
              <w:marRight w:val="0"/>
              <w:marTop w:val="0"/>
              <w:marBottom w:val="0"/>
              <w:divBdr>
                <w:top w:val="none" w:sz="0" w:space="0" w:color="auto"/>
                <w:left w:val="none" w:sz="0" w:space="0" w:color="auto"/>
                <w:bottom w:val="none" w:sz="0" w:space="0" w:color="auto"/>
                <w:right w:val="none" w:sz="0" w:space="0" w:color="auto"/>
              </w:divBdr>
              <w:divsChild>
                <w:div w:id="1322539027">
                  <w:marLeft w:val="0"/>
                  <w:marRight w:val="0"/>
                  <w:marTop w:val="0"/>
                  <w:marBottom w:val="0"/>
                  <w:divBdr>
                    <w:top w:val="none" w:sz="0" w:space="0" w:color="auto"/>
                    <w:left w:val="none" w:sz="0" w:space="0" w:color="auto"/>
                    <w:bottom w:val="none" w:sz="0" w:space="0" w:color="auto"/>
                    <w:right w:val="none" w:sz="0" w:space="0" w:color="auto"/>
                  </w:divBdr>
                  <w:divsChild>
                    <w:div w:id="196681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312866">
      <w:bodyDiv w:val="1"/>
      <w:marLeft w:val="0"/>
      <w:marRight w:val="0"/>
      <w:marTop w:val="0"/>
      <w:marBottom w:val="0"/>
      <w:divBdr>
        <w:top w:val="none" w:sz="0" w:space="0" w:color="auto"/>
        <w:left w:val="none" w:sz="0" w:space="0" w:color="auto"/>
        <w:bottom w:val="none" w:sz="0" w:space="0" w:color="auto"/>
        <w:right w:val="none" w:sz="0" w:space="0" w:color="auto"/>
      </w:divBdr>
      <w:divsChild>
        <w:div w:id="607811812">
          <w:marLeft w:val="0"/>
          <w:marRight w:val="0"/>
          <w:marTop w:val="0"/>
          <w:marBottom w:val="0"/>
          <w:divBdr>
            <w:top w:val="none" w:sz="0" w:space="0" w:color="auto"/>
            <w:left w:val="none" w:sz="0" w:space="0" w:color="auto"/>
            <w:bottom w:val="none" w:sz="0" w:space="0" w:color="auto"/>
            <w:right w:val="none" w:sz="0" w:space="0" w:color="auto"/>
          </w:divBdr>
          <w:divsChild>
            <w:div w:id="1695616178">
              <w:marLeft w:val="0"/>
              <w:marRight w:val="0"/>
              <w:marTop w:val="0"/>
              <w:marBottom w:val="240"/>
              <w:divBdr>
                <w:top w:val="none" w:sz="0" w:space="0" w:color="auto"/>
                <w:left w:val="none" w:sz="0" w:space="0" w:color="auto"/>
                <w:bottom w:val="none" w:sz="0" w:space="0" w:color="auto"/>
                <w:right w:val="none" w:sz="0" w:space="0" w:color="auto"/>
              </w:divBdr>
            </w:div>
          </w:divsChild>
        </w:div>
        <w:div w:id="1940486950">
          <w:marLeft w:val="0"/>
          <w:marRight w:val="0"/>
          <w:marTop w:val="0"/>
          <w:marBottom w:val="0"/>
          <w:divBdr>
            <w:top w:val="none" w:sz="0" w:space="0" w:color="auto"/>
            <w:left w:val="none" w:sz="0" w:space="0" w:color="auto"/>
            <w:bottom w:val="none" w:sz="0" w:space="0" w:color="auto"/>
            <w:right w:val="none" w:sz="0" w:space="0" w:color="auto"/>
          </w:divBdr>
          <w:divsChild>
            <w:div w:id="1667051533">
              <w:marLeft w:val="0"/>
              <w:marRight w:val="0"/>
              <w:marTop w:val="0"/>
              <w:marBottom w:val="240"/>
              <w:divBdr>
                <w:top w:val="none" w:sz="0" w:space="0" w:color="auto"/>
                <w:left w:val="none" w:sz="0" w:space="0" w:color="auto"/>
                <w:bottom w:val="none" w:sz="0" w:space="0" w:color="auto"/>
                <w:right w:val="none" w:sz="0" w:space="0" w:color="auto"/>
              </w:divBdr>
            </w:div>
          </w:divsChild>
        </w:div>
        <w:div w:id="556205270">
          <w:marLeft w:val="0"/>
          <w:marRight w:val="0"/>
          <w:marTop w:val="0"/>
          <w:marBottom w:val="0"/>
          <w:divBdr>
            <w:top w:val="none" w:sz="0" w:space="0" w:color="auto"/>
            <w:left w:val="none" w:sz="0" w:space="0" w:color="auto"/>
            <w:bottom w:val="none" w:sz="0" w:space="0" w:color="auto"/>
            <w:right w:val="none" w:sz="0" w:space="0" w:color="auto"/>
          </w:divBdr>
          <w:divsChild>
            <w:div w:id="383332510">
              <w:marLeft w:val="0"/>
              <w:marRight w:val="0"/>
              <w:marTop w:val="0"/>
              <w:marBottom w:val="240"/>
              <w:divBdr>
                <w:top w:val="none" w:sz="0" w:space="0" w:color="auto"/>
                <w:left w:val="none" w:sz="0" w:space="0" w:color="auto"/>
                <w:bottom w:val="none" w:sz="0" w:space="0" w:color="auto"/>
                <w:right w:val="none" w:sz="0" w:space="0" w:color="auto"/>
              </w:divBdr>
            </w:div>
          </w:divsChild>
        </w:div>
        <w:div w:id="619452842">
          <w:marLeft w:val="0"/>
          <w:marRight w:val="0"/>
          <w:marTop w:val="0"/>
          <w:marBottom w:val="0"/>
          <w:divBdr>
            <w:top w:val="none" w:sz="0" w:space="0" w:color="auto"/>
            <w:left w:val="none" w:sz="0" w:space="0" w:color="auto"/>
            <w:bottom w:val="none" w:sz="0" w:space="0" w:color="auto"/>
            <w:right w:val="none" w:sz="0" w:space="0" w:color="auto"/>
          </w:divBdr>
          <w:divsChild>
            <w:div w:id="4834702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16334817">
      <w:bodyDiv w:val="1"/>
      <w:marLeft w:val="0"/>
      <w:marRight w:val="0"/>
      <w:marTop w:val="0"/>
      <w:marBottom w:val="0"/>
      <w:divBdr>
        <w:top w:val="none" w:sz="0" w:space="0" w:color="auto"/>
        <w:left w:val="none" w:sz="0" w:space="0" w:color="auto"/>
        <w:bottom w:val="none" w:sz="0" w:space="0" w:color="auto"/>
        <w:right w:val="none" w:sz="0" w:space="0" w:color="auto"/>
      </w:divBdr>
      <w:divsChild>
        <w:div w:id="477919602">
          <w:marLeft w:val="0"/>
          <w:marRight w:val="0"/>
          <w:marTop w:val="0"/>
          <w:marBottom w:val="0"/>
          <w:divBdr>
            <w:top w:val="none" w:sz="0" w:space="0" w:color="auto"/>
            <w:left w:val="none" w:sz="0" w:space="0" w:color="auto"/>
            <w:bottom w:val="none" w:sz="0" w:space="0" w:color="auto"/>
            <w:right w:val="none" w:sz="0" w:space="0" w:color="auto"/>
          </w:divBdr>
          <w:divsChild>
            <w:div w:id="1097363421">
              <w:marLeft w:val="0"/>
              <w:marRight w:val="0"/>
              <w:marTop w:val="0"/>
              <w:marBottom w:val="0"/>
              <w:divBdr>
                <w:top w:val="none" w:sz="0" w:space="0" w:color="auto"/>
                <w:left w:val="none" w:sz="0" w:space="0" w:color="auto"/>
                <w:bottom w:val="none" w:sz="0" w:space="0" w:color="auto"/>
                <w:right w:val="none" w:sz="0" w:space="0" w:color="auto"/>
              </w:divBdr>
              <w:divsChild>
                <w:div w:id="571043746">
                  <w:marLeft w:val="0"/>
                  <w:marRight w:val="0"/>
                  <w:marTop w:val="0"/>
                  <w:marBottom w:val="0"/>
                  <w:divBdr>
                    <w:top w:val="none" w:sz="0" w:space="0" w:color="auto"/>
                    <w:left w:val="none" w:sz="0" w:space="0" w:color="auto"/>
                    <w:bottom w:val="none" w:sz="0" w:space="0" w:color="auto"/>
                    <w:right w:val="none" w:sz="0" w:space="0" w:color="auto"/>
                  </w:divBdr>
                  <w:divsChild>
                    <w:div w:id="19412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2333">
          <w:marLeft w:val="0"/>
          <w:marRight w:val="0"/>
          <w:marTop w:val="0"/>
          <w:marBottom w:val="0"/>
          <w:divBdr>
            <w:top w:val="none" w:sz="0" w:space="0" w:color="auto"/>
            <w:left w:val="none" w:sz="0" w:space="0" w:color="auto"/>
            <w:bottom w:val="none" w:sz="0" w:space="0" w:color="auto"/>
            <w:right w:val="none" w:sz="0" w:space="0" w:color="auto"/>
          </w:divBdr>
          <w:divsChild>
            <w:div w:id="10953907">
              <w:marLeft w:val="0"/>
              <w:marRight w:val="0"/>
              <w:marTop w:val="0"/>
              <w:marBottom w:val="0"/>
              <w:divBdr>
                <w:top w:val="none" w:sz="0" w:space="0" w:color="auto"/>
                <w:left w:val="none" w:sz="0" w:space="0" w:color="auto"/>
                <w:bottom w:val="none" w:sz="0" w:space="0" w:color="auto"/>
                <w:right w:val="none" w:sz="0" w:space="0" w:color="auto"/>
              </w:divBdr>
              <w:divsChild>
                <w:div w:id="1021204706">
                  <w:marLeft w:val="0"/>
                  <w:marRight w:val="0"/>
                  <w:marTop w:val="0"/>
                  <w:marBottom w:val="0"/>
                  <w:divBdr>
                    <w:top w:val="none" w:sz="0" w:space="0" w:color="auto"/>
                    <w:left w:val="none" w:sz="0" w:space="0" w:color="auto"/>
                    <w:bottom w:val="none" w:sz="0" w:space="0" w:color="auto"/>
                    <w:right w:val="none" w:sz="0" w:space="0" w:color="auto"/>
                  </w:divBdr>
                  <w:divsChild>
                    <w:div w:id="8877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556148">
      <w:bodyDiv w:val="1"/>
      <w:marLeft w:val="0"/>
      <w:marRight w:val="0"/>
      <w:marTop w:val="0"/>
      <w:marBottom w:val="0"/>
      <w:divBdr>
        <w:top w:val="none" w:sz="0" w:space="0" w:color="auto"/>
        <w:left w:val="none" w:sz="0" w:space="0" w:color="auto"/>
        <w:bottom w:val="none" w:sz="0" w:space="0" w:color="auto"/>
        <w:right w:val="none" w:sz="0" w:space="0" w:color="auto"/>
      </w:divBdr>
    </w:div>
    <w:div w:id="873151672">
      <w:bodyDiv w:val="1"/>
      <w:marLeft w:val="0"/>
      <w:marRight w:val="0"/>
      <w:marTop w:val="0"/>
      <w:marBottom w:val="0"/>
      <w:divBdr>
        <w:top w:val="none" w:sz="0" w:space="0" w:color="auto"/>
        <w:left w:val="none" w:sz="0" w:space="0" w:color="auto"/>
        <w:bottom w:val="none" w:sz="0" w:space="0" w:color="auto"/>
        <w:right w:val="none" w:sz="0" w:space="0" w:color="auto"/>
      </w:divBdr>
    </w:div>
    <w:div w:id="1065956897">
      <w:bodyDiv w:val="1"/>
      <w:marLeft w:val="0"/>
      <w:marRight w:val="0"/>
      <w:marTop w:val="0"/>
      <w:marBottom w:val="0"/>
      <w:divBdr>
        <w:top w:val="none" w:sz="0" w:space="0" w:color="auto"/>
        <w:left w:val="none" w:sz="0" w:space="0" w:color="auto"/>
        <w:bottom w:val="none" w:sz="0" w:space="0" w:color="auto"/>
        <w:right w:val="none" w:sz="0" w:space="0" w:color="auto"/>
      </w:divBdr>
      <w:divsChild>
        <w:div w:id="173765552">
          <w:marLeft w:val="0"/>
          <w:marRight w:val="0"/>
          <w:marTop w:val="0"/>
          <w:marBottom w:val="0"/>
          <w:divBdr>
            <w:top w:val="none" w:sz="0" w:space="0" w:color="auto"/>
            <w:left w:val="none" w:sz="0" w:space="0" w:color="auto"/>
            <w:bottom w:val="none" w:sz="0" w:space="0" w:color="auto"/>
            <w:right w:val="none" w:sz="0" w:space="0" w:color="auto"/>
          </w:divBdr>
          <w:divsChild>
            <w:div w:id="442068016">
              <w:marLeft w:val="0"/>
              <w:marRight w:val="0"/>
              <w:marTop w:val="0"/>
              <w:marBottom w:val="0"/>
              <w:divBdr>
                <w:top w:val="none" w:sz="0" w:space="0" w:color="auto"/>
                <w:left w:val="none" w:sz="0" w:space="0" w:color="auto"/>
                <w:bottom w:val="none" w:sz="0" w:space="0" w:color="auto"/>
                <w:right w:val="none" w:sz="0" w:space="0" w:color="auto"/>
              </w:divBdr>
              <w:divsChild>
                <w:div w:id="1337659937">
                  <w:marLeft w:val="0"/>
                  <w:marRight w:val="0"/>
                  <w:marTop w:val="0"/>
                  <w:marBottom w:val="0"/>
                  <w:divBdr>
                    <w:top w:val="none" w:sz="0" w:space="0" w:color="auto"/>
                    <w:left w:val="none" w:sz="0" w:space="0" w:color="auto"/>
                    <w:bottom w:val="none" w:sz="0" w:space="0" w:color="auto"/>
                    <w:right w:val="none" w:sz="0" w:space="0" w:color="auto"/>
                  </w:divBdr>
                  <w:divsChild>
                    <w:div w:id="1082876780">
                      <w:marLeft w:val="0"/>
                      <w:marRight w:val="0"/>
                      <w:marTop w:val="0"/>
                      <w:marBottom w:val="0"/>
                      <w:divBdr>
                        <w:top w:val="none" w:sz="0" w:space="0" w:color="auto"/>
                        <w:left w:val="none" w:sz="0" w:space="0" w:color="auto"/>
                        <w:bottom w:val="none" w:sz="0" w:space="0" w:color="auto"/>
                        <w:right w:val="none" w:sz="0" w:space="0" w:color="auto"/>
                      </w:divBdr>
                      <w:divsChild>
                        <w:div w:id="649750250">
                          <w:marLeft w:val="0"/>
                          <w:marRight w:val="0"/>
                          <w:marTop w:val="0"/>
                          <w:marBottom w:val="0"/>
                          <w:divBdr>
                            <w:top w:val="none" w:sz="0" w:space="0" w:color="auto"/>
                            <w:left w:val="none" w:sz="0" w:space="0" w:color="auto"/>
                            <w:bottom w:val="none" w:sz="0" w:space="0" w:color="auto"/>
                            <w:right w:val="none" w:sz="0" w:space="0" w:color="auto"/>
                          </w:divBdr>
                          <w:divsChild>
                            <w:div w:id="1287466251">
                              <w:marLeft w:val="0"/>
                              <w:marRight w:val="0"/>
                              <w:marTop w:val="0"/>
                              <w:marBottom w:val="0"/>
                              <w:divBdr>
                                <w:top w:val="none" w:sz="0" w:space="0" w:color="auto"/>
                                <w:left w:val="none" w:sz="0" w:space="0" w:color="auto"/>
                                <w:bottom w:val="none" w:sz="0" w:space="0" w:color="auto"/>
                                <w:right w:val="none" w:sz="0" w:space="0" w:color="auto"/>
                              </w:divBdr>
                              <w:divsChild>
                                <w:div w:id="1174615926">
                                  <w:marLeft w:val="0"/>
                                  <w:marRight w:val="0"/>
                                  <w:marTop w:val="0"/>
                                  <w:marBottom w:val="0"/>
                                  <w:divBdr>
                                    <w:top w:val="none" w:sz="0" w:space="0" w:color="auto"/>
                                    <w:left w:val="none" w:sz="0" w:space="0" w:color="auto"/>
                                    <w:bottom w:val="none" w:sz="0" w:space="0" w:color="auto"/>
                                    <w:right w:val="none" w:sz="0" w:space="0" w:color="auto"/>
                                  </w:divBdr>
                                  <w:divsChild>
                                    <w:div w:id="125054097">
                                      <w:marLeft w:val="0"/>
                                      <w:marRight w:val="0"/>
                                      <w:marTop w:val="0"/>
                                      <w:marBottom w:val="0"/>
                                      <w:divBdr>
                                        <w:top w:val="none" w:sz="0" w:space="0" w:color="auto"/>
                                        <w:left w:val="none" w:sz="0" w:space="0" w:color="auto"/>
                                        <w:bottom w:val="none" w:sz="0" w:space="0" w:color="auto"/>
                                        <w:right w:val="none" w:sz="0" w:space="0" w:color="auto"/>
                                      </w:divBdr>
                                      <w:divsChild>
                                        <w:div w:id="574170661">
                                          <w:marLeft w:val="0"/>
                                          <w:marRight w:val="0"/>
                                          <w:marTop w:val="0"/>
                                          <w:marBottom w:val="0"/>
                                          <w:divBdr>
                                            <w:top w:val="none" w:sz="0" w:space="0" w:color="auto"/>
                                            <w:left w:val="none" w:sz="0" w:space="0" w:color="auto"/>
                                            <w:bottom w:val="none" w:sz="0" w:space="0" w:color="auto"/>
                                            <w:right w:val="none" w:sz="0" w:space="0" w:color="auto"/>
                                          </w:divBdr>
                                          <w:divsChild>
                                            <w:div w:id="1028986012">
                                              <w:marLeft w:val="0"/>
                                              <w:marRight w:val="0"/>
                                              <w:marTop w:val="0"/>
                                              <w:marBottom w:val="0"/>
                                              <w:divBdr>
                                                <w:top w:val="none" w:sz="0" w:space="0" w:color="auto"/>
                                                <w:left w:val="none" w:sz="0" w:space="0" w:color="auto"/>
                                                <w:bottom w:val="none" w:sz="0" w:space="0" w:color="auto"/>
                                                <w:right w:val="none" w:sz="0" w:space="0" w:color="auto"/>
                                              </w:divBdr>
                                              <w:divsChild>
                                                <w:div w:id="730084130">
                                                  <w:marLeft w:val="0"/>
                                                  <w:marRight w:val="0"/>
                                                  <w:marTop w:val="0"/>
                                                  <w:marBottom w:val="0"/>
                                                  <w:divBdr>
                                                    <w:top w:val="none" w:sz="0" w:space="0" w:color="auto"/>
                                                    <w:left w:val="none" w:sz="0" w:space="0" w:color="auto"/>
                                                    <w:bottom w:val="none" w:sz="0" w:space="0" w:color="auto"/>
                                                    <w:right w:val="none" w:sz="0" w:space="0" w:color="auto"/>
                                                  </w:divBdr>
                                                  <w:divsChild>
                                                    <w:div w:id="5828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940212009">
                                              <w:marLeft w:val="0"/>
                                              <w:marRight w:val="0"/>
                                              <w:marTop w:val="0"/>
                                              <w:marBottom w:val="0"/>
                                              <w:divBdr>
                                                <w:top w:val="none" w:sz="0" w:space="0" w:color="auto"/>
                                                <w:left w:val="none" w:sz="0" w:space="0" w:color="auto"/>
                                                <w:bottom w:val="none" w:sz="0" w:space="0" w:color="auto"/>
                                                <w:right w:val="none" w:sz="0" w:space="0" w:color="auto"/>
                                              </w:divBdr>
                                              <w:divsChild>
                                                <w:div w:id="2038966127">
                                                  <w:marLeft w:val="0"/>
                                                  <w:marRight w:val="0"/>
                                                  <w:marTop w:val="0"/>
                                                  <w:marBottom w:val="0"/>
                                                  <w:divBdr>
                                                    <w:top w:val="none" w:sz="0" w:space="0" w:color="auto"/>
                                                    <w:left w:val="none" w:sz="0" w:space="0" w:color="auto"/>
                                                    <w:bottom w:val="none" w:sz="0" w:space="0" w:color="auto"/>
                                                    <w:right w:val="none" w:sz="0" w:space="0" w:color="auto"/>
                                                  </w:divBdr>
                                                  <w:divsChild>
                                                    <w:div w:id="153769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046883">
          <w:marLeft w:val="0"/>
          <w:marRight w:val="0"/>
          <w:marTop w:val="0"/>
          <w:marBottom w:val="0"/>
          <w:divBdr>
            <w:top w:val="none" w:sz="0" w:space="0" w:color="auto"/>
            <w:left w:val="none" w:sz="0" w:space="0" w:color="auto"/>
            <w:bottom w:val="none" w:sz="0" w:space="0" w:color="auto"/>
            <w:right w:val="none" w:sz="0" w:space="0" w:color="auto"/>
          </w:divBdr>
          <w:divsChild>
            <w:div w:id="349335317">
              <w:marLeft w:val="0"/>
              <w:marRight w:val="0"/>
              <w:marTop w:val="0"/>
              <w:marBottom w:val="0"/>
              <w:divBdr>
                <w:top w:val="none" w:sz="0" w:space="0" w:color="auto"/>
                <w:left w:val="none" w:sz="0" w:space="0" w:color="auto"/>
                <w:bottom w:val="none" w:sz="0" w:space="0" w:color="auto"/>
                <w:right w:val="none" w:sz="0" w:space="0" w:color="auto"/>
              </w:divBdr>
              <w:divsChild>
                <w:div w:id="753090551">
                  <w:marLeft w:val="0"/>
                  <w:marRight w:val="0"/>
                  <w:marTop w:val="0"/>
                  <w:marBottom w:val="0"/>
                  <w:divBdr>
                    <w:top w:val="none" w:sz="0" w:space="0" w:color="auto"/>
                    <w:left w:val="none" w:sz="0" w:space="0" w:color="auto"/>
                    <w:bottom w:val="none" w:sz="0" w:space="0" w:color="auto"/>
                    <w:right w:val="none" w:sz="0" w:space="0" w:color="auto"/>
                  </w:divBdr>
                  <w:divsChild>
                    <w:div w:id="2140411203">
                      <w:marLeft w:val="0"/>
                      <w:marRight w:val="0"/>
                      <w:marTop w:val="0"/>
                      <w:marBottom w:val="0"/>
                      <w:divBdr>
                        <w:top w:val="none" w:sz="0" w:space="0" w:color="auto"/>
                        <w:left w:val="none" w:sz="0" w:space="0" w:color="auto"/>
                        <w:bottom w:val="none" w:sz="0" w:space="0" w:color="auto"/>
                        <w:right w:val="none" w:sz="0" w:space="0" w:color="auto"/>
                      </w:divBdr>
                      <w:divsChild>
                        <w:div w:id="908273583">
                          <w:marLeft w:val="0"/>
                          <w:marRight w:val="0"/>
                          <w:marTop w:val="0"/>
                          <w:marBottom w:val="0"/>
                          <w:divBdr>
                            <w:top w:val="none" w:sz="0" w:space="0" w:color="auto"/>
                            <w:left w:val="none" w:sz="0" w:space="0" w:color="auto"/>
                            <w:bottom w:val="none" w:sz="0" w:space="0" w:color="auto"/>
                            <w:right w:val="none" w:sz="0" w:space="0" w:color="auto"/>
                          </w:divBdr>
                          <w:divsChild>
                            <w:div w:id="245462643">
                              <w:marLeft w:val="0"/>
                              <w:marRight w:val="0"/>
                              <w:marTop w:val="0"/>
                              <w:marBottom w:val="0"/>
                              <w:divBdr>
                                <w:top w:val="none" w:sz="0" w:space="0" w:color="auto"/>
                                <w:left w:val="none" w:sz="0" w:space="0" w:color="auto"/>
                                <w:bottom w:val="none" w:sz="0" w:space="0" w:color="auto"/>
                                <w:right w:val="none" w:sz="0" w:space="0" w:color="auto"/>
                              </w:divBdr>
                              <w:divsChild>
                                <w:div w:id="2142841342">
                                  <w:marLeft w:val="0"/>
                                  <w:marRight w:val="0"/>
                                  <w:marTop w:val="0"/>
                                  <w:marBottom w:val="0"/>
                                  <w:divBdr>
                                    <w:top w:val="none" w:sz="0" w:space="0" w:color="auto"/>
                                    <w:left w:val="none" w:sz="0" w:space="0" w:color="auto"/>
                                    <w:bottom w:val="none" w:sz="0" w:space="0" w:color="auto"/>
                                    <w:right w:val="none" w:sz="0" w:space="0" w:color="auto"/>
                                  </w:divBdr>
                                  <w:divsChild>
                                    <w:div w:id="167840318">
                                      <w:marLeft w:val="0"/>
                                      <w:marRight w:val="0"/>
                                      <w:marTop w:val="0"/>
                                      <w:marBottom w:val="0"/>
                                      <w:divBdr>
                                        <w:top w:val="none" w:sz="0" w:space="0" w:color="auto"/>
                                        <w:left w:val="none" w:sz="0" w:space="0" w:color="auto"/>
                                        <w:bottom w:val="none" w:sz="0" w:space="0" w:color="auto"/>
                                        <w:right w:val="none" w:sz="0" w:space="0" w:color="auto"/>
                                      </w:divBdr>
                                      <w:divsChild>
                                        <w:div w:id="2063599362">
                                          <w:marLeft w:val="0"/>
                                          <w:marRight w:val="0"/>
                                          <w:marTop w:val="0"/>
                                          <w:marBottom w:val="0"/>
                                          <w:divBdr>
                                            <w:top w:val="none" w:sz="0" w:space="0" w:color="auto"/>
                                            <w:left w:val="none" w:sz="0" w:space="0" w:color="auto"/>
                                            <w:bottom w:val="none" w:sz="0" w:space="0" w:color="auto"/>
                                            <w:right w:val="none" w:sz="0" w:space="0" w:color="auto"/>
                                          </w:divBdr>
                                          <w:divsChild>
                                            <w:div w:id="373701516">
                                              <w:marLeft w:val="0"/>
                                              <w:marRight w:val="0"/>
                                              <w:marTop w:val="0"/>
                                              <w:marBottom w:val="0"/>
                                              <w:divBdr>
                                                <w:top w:val="none" w:sz="0" w:space="0" w:color="auto"/>
                                                <w:left w:val="none" w:sz="0" w:space="0" w:color="auto"/>
                                                <w:bottom w:val="none" w:sz="0" w:space="0" w:color="auto"/>
                                                <w:right w:val="none" w:sz="0" w:space="0" w:color="auto"/>
                                              </w:divBdr>
                                              <w:divsChild>
                                                <w:div w:id="1684747491">
                                                  <w:marLeft w:val="0"/>
                                                  <w:marRight w:val="0"/>
                                                  <w:marTop w:val="0"/>
                                                  <w:marBottom w:val="0"/>
                                                  <w:divBdr>
                                                    <w:top w:val="none" w:sz="0" w:space="0" w:color="auto"/>
                                                    <w:left w:val="none" w:sz="0" w:space="0" w:color="auto"/>
                                                    <w:bottom w:val="none" w:sz="0" w:space="0" w:color="auto"/>
                                                    <w:right w:val="none" w:sz="0" w:space="0" w:color="auto"/>
                                                  </w:divBdr>
                                                  <w:divsChild>
                                                    <w:div w:id="661465273">
                                                      <w:marLeft w:val="0"/>
                                                      <w:marRight w:val="0"/>
                                                      <w:marTop w:val="0"/>
                                                      <w:marBottom w:val="0"/>
                                                      <w:divBdr>
                                                        <w:top w:val="none" w:sz="0" w:space="0" w:color="auto"/>
                                                        <w:left w:val="none" w:sz="0" w:space="0" w:color="auto"/>
                                                        <w:bottom w:val="none" w:sz="0" w:space="0" w:color="auto"/>
                                                        <w:right w:val="none" w:sz="0" w:space="0" w:color="auto"/>
                                                      </w:divBdr>
                                                      <w:divsChild>
                                                        <w:div w:id="12399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4474">
                                          <w:marLeft w:val="0"/>
                                          <w:marRight w:val="0"/>
                                          <w:marTop w:val="0"/>
                                          <w:marBottom w:val="0"/>
                                          <w:divBdr>
                                            <w:top w:val="none" w:sz="0" w:space="0" w:color="auto"/>
                                            <w:left w:val="none" w:sz="0" w:space="0" w:color="auto"/>
                                            <w:bottom w:val="none" w:sz="0" w:space="0" w:color="auto"/>
                                            <w:right w:val="none" w:sz="0" w:space="0" w:color="auto"/>
                                          </w:divBdr>
                                          <w:divsChild>
                                            <w:div w:id="1029139479">
                                              <w:marLeft w:val="0"/>
                                              <w:marRight w:val="0"/>
                                              <w:marTop w:val="0"/>
                                              <w:marBottom w:val="0"/>
                                              <w:divBdr>
                                                <w:top w:val="none" w:sz="0" w:space="0" w:color="auto"/>
                                                <w:left w:val="none" w:sz="0" w:space="0" w:color="auto"/>
                                                <w:bottom w:val="none" w:sz="0" w:space="0" w:color="auto"/>
                                                <w:right w:val="none" w:sz="0" w:space="0" w:color="auto"/>
                                              </w:divBdr>
                                              <w:divsChild>
                                                <w:div w:id="2040550579">
                                                  <w:marLeft w:val="0"/>
                                                  <w:marRight w:val="0"/>
                                                  <w:marTop w:val="0"/>
                                                  <w:marBottom w:val="0"/>
                                                  <w:divBdr>
                                                    <w:top w:val="none" w:sz="0" w:space="0" w:color="auto"/>
                                                    <w:left w:val="none" w:sz="0" w:space="0" w:color="auto"/>
                                                    <w:bottom w:val="none" w:sz="0" w:space="0" w:color="auto"/>
                                                    <w:right w:val="none" w:sz="0" w:space="0" w:color="auto"/>
                                                  </w:divBdr>
                                                  <w:divsChild>
                                                    <w:div w:id="1602226116">
                                                      <w:marLeft w:val="0"/>
                                                      <w:marRight w:val="0"/>
                                                      <w:marTop w:val="0"/>
                                                      <w:marBottom w:val="0"/>
                                                      <w:divBdr>
                                                        <w:top w:val="none" w:sz="0" w:space="0" w:color="auto"/>
                                                        <w:left w:val="none" w:sz="0" w:space="0" w:color="auto"/>
                                                        <w:bottom w:val="none" w:sz="0" w:space="0" w:color="auto"/>
                                                        <w:right w:val="none" w:sz="0" w:space="0" w:color="auto"/>
                                                      </w:divBdr>
                                                      <w:divsChild>
                                                        <w:div w:id="18261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76412">
                                                  <w:marLeft w:val="0"/>
                                                  <w:marRight w:val="0"/>
                                                  <w:marTop w:val="0"/>
                                                  <w:marBottom w:val="0"/>
                                                  <w:divBdr>
                                                    <w:top w:val="none" w:sz="0" w:space="0" w:color="auto"/>
                                                    <w:left w:val="none" w:sz="0" w:space="0" w:color="auto"/>
                                                    <w:bottom w:val="none" w:sz="0" w:space="0" w:color="auto"/>
                                                    <w:right w:val="none" w:sz="0" w:space="0" w:color="auto"/>
                                                  </w:divBdr>
                                                  <w:divsChild>
                                                    <w:div w:id="755900506">
                                                      <w:marLeft w:val="0"/>
                                                      <w:marRight w:val="0"/>
                                                      <w:marTop w:val="0"/>
                                                      <w:marBottom w:val="0"/>
                                                      <w:divBdr>
                                                        <w:top w:val="none" w:sz="0" w:space="0" w:color="auto"/>
                                                        <w:left w:val="none" w:sz="0" w:space="0" w:color="auto"/>
                                                        <w:bottom w:val="none" w:sz="0" w:space="0" w:color="auto"/>
                                                        <w:right w:val="none" w:sz="0" w:space="0" w:color="auto"/>
                                                      </w:divBdr>
                                                      <w:divsChild>
                                                        <w:div w:id="17035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7775773">
      <w:bodyDiv w:val="1"/>
      <w:marLeft w:val="0"/>
      <w:marRight w:val="0"/>
      <w:marTop w:val="0"/>
      <w:marBottom w:val="0"/>
      <w:divBdr>
        <w:top w:val="none" w:sz="0" w:space="0" w:color="auto"/>
        <w:left w:val="none" w:sz="0" w:space="0" w:color="auto"/>
        <w:bottom w:val="none" w:sz="0" w:space="0" w:color="auto"/>
        <w:right w:val="none" w:sz="0" w:space="0" w:color="auto"/>
      </w:divBdr>
    </w:div>
    <w:div w:id="1144859298">
      <w:bodyDiv w:val="1"/>
      <w:marLeft w:val="0"/>
      <w:marRight w:val="0"/>
      <w:marTop w:val="0"/>
      <w:marBottom w:val="0"/>
      <w:divBdr>
        <w:top w:val="none" w:sz="0" w:space="0" w:color="auto"/>
        <w:left w:val="none" w:sz="0" w:space="0" w:color="auto"/>
        <w:bottom w:val="none" w:sz="0" w:space="0" w:color="auto"/>
        <w:right w:val="none" w:sz="0" w:space="0" w:color="auto"/>
      </w:divBdr>
      <w:divsChild>
        <w:div w:id="56363538">
          <w:marLeft w:val="0"/>
          <w:marRight w:val="0"/>
          <w:marTop w:val="0"/>
          <w:marBottom w:val="0"/>
          <w:divBdr>
            <w:top w:val="none" w:sz="0" w:space="0" w:color="auto"/>
            <w:left w:val="none" w:sz="0" w:space="0" w:color="auto"/>
            <w:bottom w:val="none" w:sz="0" w:space="0" w:color="auto"/>
            <w:right w:val="none" w:sz="0" w:space="0" w:color="auto"/>
          </w:divBdr>
          <w:divsChild>
            <w:div w:id="1450123189">
              <w:marLeft w:val="0"/>
              <w:marRight w:val="0"/>
              <w:marTop w:val="0"/>
              <w:marBottom w:val="0"/>
              <w:divBdr>
                <w:top w:val="none" w:sz="0" w:space="0" w:color="auto"/>
                <w:left w:val="none" w:sz="0" w:space="0" w:color="auto"/>
                <w:bottom w:val="none" w:sz="0" w:space="0" w:color="auto"/>
                <w:right w:val="none" w:sz="0" w:space="0" w:color="auto"/>
              </w:divBdr>
              <w:divsChild>
                <w:div w:id="129711607">
                  <w:marLeft w:val="0"/>
                  <w:marRight w:val="0"/>
                  <w:marTop w:val="0"/>
                  <w:marBottom w:val="0"/>
                  <w:divBdr>
                    <w:top w:val="none" w:sz="0" w:space="0" w:color="auto"/>
                    <w:left w:val="none" w:sz="0" w:space="0" w:color="auto"/>
                    <w:bottom w:val="none" w:sz="0" w:space="0" w:color="auto"/>
                    <w:right w:val="none" w:sz="0" w:space="0" w:color="auto"/>
                  </w:divBdr>
                  <w:divsChild>
                    <w:div w:id="55971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861">
          <w:marLeft w:val="0"/>
          <w:marRight w:val="0"/>
          <w:marTop w:val="0"/>
          <w:marBottom w:val="0"/>
          <w:divBdr>
            <w:top w:val="none" w:sz="0" w:space="0" w:color="auto"/>
            <w:left w:val="none" w:sz="0" w:space="0" w:color="auto"/>
            <w:bottom w:val="none" w:sz="0" w:space="0" w:color="auto"/>
            <w:right w:val="none" w:sz="0" w:space="0" w:color="auto"/>
          </w:divBdr>
          <w:divsChild>
            <w:div w:id="105393132">
              <w:marLeft w:val="0"/>
              <w:marRight w:val="0"/>
              <w:marTop w:val="0"/>
              <w:marBottom w:val="0"/>
              <w:divBdr>
                <w:top w:val="none" w:sz="0" w:space="0" w:color="auto"/>
                <w:left w:val="none" w:sz="0" w:space="0" w:color="auto"/>
                <w:bottom w:val="none" w:sz="0" w:space="0" w:color="auto"/>
                <w:right w:val="none" w:sz="0" w:space="0" w:color="auto"/>
              </w:divBdr>
              <w:divsChild>
                <w:div w:id="1724018125">
                  <w:marLeft w:val="0"/>
                  <w:marRight w:val="0"/>
                  <w:marTop w:val="0"/>
                  <w:marBottom w:val="0"/>
                  <w:divBdr>
                    <w:top w:val="none" w:sz="0" w:space="0" w:color="auto"/>
                    <w:left w:val="none" w:sz="0" w:space="0" w:color="auto"/>
                    <w:bottom w:val="none" w:sz="0" w:space="0" w:color="auto"/>
                    <w:right w:val="none" w:sz="0" w:space="0" w:color="auto"/>
                  </w:divBdr>
                  <w:divsChild>
                    <w:div w:id="16892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81405">
      <w:bodyDiv w:val="1"/>
      <w:marLeft w:val="0"/>
      <w:marRight w:val="0"/>
      <w:marTop w:val="0"/>
      <w:marBottom w:val="0"/>
      <w:divBdr>
        <w:top w:val="none" w:sz="0" w:space="0" w:color="auto"/>
        <w:left w:val="none" w:sz="0" w:space="0" w:color="auto"/>
        <w:bottom w:val="none" w:sz="0" w:space="0" w:color="auto"/>
        <w:right w:val="none" w:sz="0" w:space="0" w:color="auto"/>
      </w:divBdr>
      <w:divsChild>
        <w:div w:id="1063329412">
          <w:marLeft w:val="0"/>
          <w:marRight w:val="0"/>
          <w:marTop w:val="0"/>
          <w:marBottom w:val="0"/>
          <w:divBdr>
            <w:top w:val="none" w:sz="0" w:space="0" w:color="auto"/>
            <w:left w:val="none" w:sz="0" w:space="0" w:color="auto"/>
            <w:bottom w:val="none" w:sz="0" w:space="0" w:color="auto"/>
            <w:right w:val="none" w:sz="0" w:space="0" w:color="auto"/>
          </w:divBdr>
          <w:divsChild>
            <w:div w:id="918442218">
              <w:marLeft w:val="0"/>
              <w:marRight w:val="0"/>
              <w:marTop w:val="0"/>
              <w:marBottom w:val="0"/>
              <w:divBdr>
                <w:top w:val="none" w:sz="0" w:space="0" w:color="auto"/>
                <w:left w:val="none" w:sz="0" w:space="0" w:color="auto"/>
                <w:bottom w:val="none" w:sz="0" w:space="0" w:color="auto"/>
                <w:right w:val="none" w:sz="0" w:space="0" w:color="auto"/>
              </w:divBdr>
              <w:divsChild>
                <w:div w:id="709767613">
                  <w:marLeft w:val="0"/>
                  <w:marRight w:val="0"/>
                  <w:marTop w:val="0"/>
                  <w:marBottom w:val="0"/>
                  <w:divBdr>
                    <w:top w:val="none" w:sz="0" w:space="0" w:color="auto"/>
                    <w:left w:val="none" w:sz="0" w:space="0" w:color="auto"/>
                    <w:bottom w:val="none" w:sz="0" w:space="0" w:color="auto"/>
                    <w:right w:val="none" w:sz="0" w:space="0" w:color="auto"/>
                  </w:divBdr>
                  <w:divsChild>
                    <w:div w:id="19050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06228">
          <w:marLeft w:val="0"/>
          <w:marRight w:val="0"/>
          <w:marTop w:val="0"/>
          <w:marBottom w:val="0"/>
          <w:divBdr>
            <w:top w:val="none" w:sz="0" w:space="0" w:color="auto"/>
            <w:left w:val="none" w:sz="0" w:space="0" w:color="auto"/>
            <w:bottom w:val="none" w:sz="0" w:space="0" w:color="auto"/>
            <w:right w:val="none" w:sz="0" w:space="0" w:color="auto"/>
          </w:divBdr>
          <w:divsChild>
            <w:div w:id="847328822">
              <w:marLeft w:val="0"/>
              <w:marRight w:val="0"/>
              <w:marTop w:val="0"/>
              <w:marBottom w:val="0"/>
              <w:divBdr>
                <w:top w:val="none" w:sz="0" w:space="0" w:color="auto"/>
                <w:left w:val="none" w:sz="0" w:space="0" w:color="auto"/>
                <w:bottom w:val="none" w:sz="0" w:space="0" w:color="auto"/>
                <w:right w:val="none" w:sz="0" w:space="0" w:color="auto"/>
              </w:divBdr>
              <w:divsChild>
                <w:div w:id="681710384">
                  <w:marLeft w:val="0"/>
                  <w:marRight w:val="0"/>
                  <w:marTop w:val="0"/>
                  <w:marBottom w:val="0"/>
                  <w:divBdr>
                    <w:top w:val="none" w:sz="0" w:space="0" w:color="auto"/>
                    <w:left w:val="none" w:sz="0" w:space="0" w:color="auto"/>
                    <w:bottom w:val="none" w:sz="0" w:space="0" w:color="auto"/>
                    <w:right w:val="none" w:sz="0" w:space="0" w:color="auto"/>
                  </w:divBdr>
                  <w:divsChild>
                    <w:div w:id="88487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04933">
      <w:bodyDiv w:val="1"/>
      <w:marLeft w:val="0"/>
      <w:marRight w:val="0"/>
      <w:marTop w:val="0"/>
      <w:marBottom w:val="0"/>
      <w:divBdr>
        <w:top w:val="none" w:sz="0" w:space="0" w:color="auto"/>
        <w:left w:val="none" w:sz="0" w:space="0" w:color="auto"/>
        <w:bottom w:val="none" w:sz="0" w:space="0" w:color="auto"/>
        <w:right w:val="none" w:sz="0" w:space="0" w:color="auto"/>
      </w:divBdr>
    </w:div>
    <w:div w:id="1230266843">
      <w:bodyDiv w:val="1"/>
      <w:marLeft w:val="0"/>
      <w:marRight w:val="0"/>
      <w:marTop w:val="0"/>
      <w:marBottom w:val="0"/>
      <w:divBdr>
        <w:top w:val="none" w:sz="0" w:space="0" w:color="auto"/>
        <w:left w:val="none" w:sz="0" w:space="0" w:color="auto"/>
        <w:bottom w:val="none" w:sz="0" w:space="0" w:color="auto"/>
        <w:right w:val="none" w:sz="0" w:space="0" w:color="auto"/>
      </w:divBdr>
      <w:divsChild>
        <w:div w:id="1551066890">
          <w:marLeft w:val="0"/>
          <w:marRight w:val="0"/>
          <w:marTop w:val="0"/>
          <w:marBottom w:val="0"/>
          <w:divBdr>
            <w:top w:val="none" w:sz="0" w:space="0" w:color="auto"/>
            <w:left w:val="none" w:sz="0" w:space="0" w:color="auto"/>
            <w:bottom w:val="none" w:sz="0" w:space="0" w:color="auto"/>
            <w:right w:val="none" w:sz="0" w:space="0" w:color="auto"/>
          </w:divBdr>
          <w:divsChild>
            <w:div w:id="238057756">
              <w:marLeft w:val="0"/>
              <w:marRight w:val="0"/>
              <w:marTop w:val="0"/>
              <w:marBottom w:val="0"/>
              <w:divBdr>
                <w:top w:val="none" w:sz="0" w:space="0" w:color="auto"/>
                <w:left w:val="none" w:sz="0" w:space="0" w:color="auto"/>
                <w:bottom w:val="none" w:sz="0" w:space="0" w:color="auto"/>
                <w:right w:val="none" w:sz="0" w:space="0" w:color="auto"/>
              </w:divBdr>
              <w:divsChild>
                <w:div w:id="826048204">
                  <w:marLeft w:val="0"/>
                  <w:marRight w:val="0"/>
                  <w:marTop w:val="0"/>
                  <w:marBottom w:val="0"/>
                  <w:divBdr>
                    <w:top w:val="none" w:sz="0" w:space="0" w:color="auto"/>
                    <w:left w:val="none" w:sz="0" w:space="0" w:color="auto"/>
                    <w:bottom w:val="none" w:sz="0" w:space="0" w:color="auto"/>
                    <w:right w:val="none" w:sz="0" w:space="0" w:color="auto"/>
                  </w:divBdr>
                  <w:divsChild>
                    <w:div w:id="20533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763538">
          <w:marLeft w:val="0"/>
          <w:marRight w:val="0"/>
          <w:marTop w:val="0"/>
          <w:marBottom w:val="0"/>
          <w:divBdr>
            <w:top w:val="none" w:sz="0" w:space="0" w:color="auto"/>
            <w:left w:val="none" w:sz="0" w:space="0" w:color="auto"/>
            <w:bottom w:val="none" w:sz="0" w:space="0" w:color="auto"/>
            <w:right w:val="none" w:sz="0" w:space="0" w:color="auto"/>
          </w:divBdr>
          <w:divsChild>
            <w:div w:id="1455099430">
              <w:marLeft w:val="0"/>
              <w:marRight w:val="0"/>
              <w:marTop w:val="0"/>
              <w:marBottom w:val="0"/>
              <w:divBdr>
                <w:top w:val="none" w:sz="0" w:space="0" w:color="auto"/>
                <w:left w:val="none" w:sz="0" w:space="0" w:color="auto"/>
                <w:bottom w:val="none" w:sz="0" w:space="0" w:color="auto"/>
                <w:right w:val="none" w:sz="0" w:space="0" w:color="auto"/>
              </w:divBdr>
              <w:divsChild>
                <w:div w:id="739642661">
                  <w:marLeft w:val="0"/>
                  <w:marRight w:val="0"/>
                  <w:marTop w:val="0"/>
                  <w:marBottom w:val="0"/>
                  <w:divBdr>
                    <w:top w:val="none" w:sz="0" w:space="0" w:color="auto"/>
                    <w:left w:val="none" w:sz="0" w:space="0" w:color="auto"/>
                    <w:bottom w:val="none" w:sz="0" w:space="0" w:color="auto"/>
                    <w:right w:val="none" w:sz="0" w:space="0" w:color="auto"/>
                  </w:divBdr>
                  <w:divsChild>
                    <w:div w:id="1122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96948">
      <w:bodyDiv w:val="1"/>
      <w:marLeft w:val="0"/>
      <w:marRight w:val="0"/>
      <w:marTop w:val="0"/>
      <w:marBottom w:val="0"/>
      <w:divBdr>
        <w:top w:val="none" w:sz="0" w:space="0" w:color="auto"/>
        <w:left w:val="none" w:sz="0" w:space="0" w:color="auto"/>
        <w:bottom w:val="none" w:sz="0" w:space="0" w:color="auto"/>
        <w:right w:val="none" w:sz="0" w:space="0" w:color="auto"/>
      </w:divBdr>
      <w:divsChild>
        <w:div w:id="17974606">
          <w:marLeft w:val="0"/>
          <w:marRight w:val="0"/>
          <w:marTop w:val="0"/>
          <w:marBottom w:val="0"/>
          <w:divBdr>
            <w:top w:val="none" w:sz="0" w:space="0" w:color="auto"/>
            <w:left w:val="none" w:sz="0" w:space="0" w:color="auto"/>
            <w:bottom w:val="none" w:sz="0" w:space="0" w:color="auto"/>
            <w:right w:val="none" w:sz="0" w:space="0" w:color="auto"/>
          </w:divBdr>
          <w:divsChild>
            <w:div w:id="1734229907">
              <w:marLeft w:val="0"/>
              <w:marRight w:val="0"/>
              <w:marTop w:val="0"/>
              <w:marBottom w:val="0"/>
              <w:divBdr>
                <w:top w:val="none" w:sz="0" w:space="0" w:color="auto"/>
                <w:left w:val="none" w:sz="0" w:space="0" w:color="auto"/>
                <w:bottom w:val="none" w:sz="0" w:space="0" w:color="auto"/>
                <w:right w:val="none" w:sz="0" w:space="0" w:color="auto"/>
              </w:divBdr>
              <w:divsChild>
                <w:div w:id="1198160770">
                  <w:marLeft w:val="0"/>
                  <w:marRight w:val="0"/>
                  <w:marTop w:val="0"/>
                  <w:marBottom w:val="0"/>
                  <w:divBdr>
                    <w:top w:val="none" w:sz="0" w:space="0" w:color="auto"/>
                    <w:left w:val="none" w:sz="0" w:space="0" w:color="auto"/>
                    <w:bottom w:val="none" w:sz="0" w:space="0" w:color="auto"/>
                    <w:right w:val="none" w:sz="0" w:space="0" w:color="auto"/>
                  </w:divBdr>
                  <w:divsChild>
                    <w:div w:id="138139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70567">
          <w:marLeft w:val="0"/>
          <w:marRight w:val="0"/>
          <w:marTop w:val="0"/>
          <w:marBottom w:val="0"/>
          <w:divBdr>
            <w:top w:val="none" w:sz="0" w:space="0" w:color="auto"/>
            <w:left w:val="none" w:sz="0" w:space="0" w:color="auto"/>
            <w:bottom w:val="none" w:sz="0" w:space="0" w:color="auto"/>
            <w:right w:val="none" w:sz="0" w:space="0" w:color="auto"/>
          </w:divBdr>
          <w:divsChild>
            <w:div w:id="527303929">
              <w:marLeft w:val="0"/>
              <w:marRight w:val="0"/>
              <w:marTop w:val="0"/>
              <w:marBottom w:val="0"/>
              <w:divBdr>
                <w:top w:val="none" w:sz="0" w:space="0" w:color="auto"/>
                <w:left w:val="none" w:sz="0" w:space="0" w:color="auto"/>
                <w:bottom w:val="none" w:sz="0" w:space="0" w:color="auto"/>
                <w:right w:val="none" w:sz="0" w:space="0" w:color="auto"/>
              </w:divBdr>
              <w:divsChild>
                <w:div w:id="953706644">
                  <w:marLeft w:val="0"/>
                  <w:marRight w:val="0"/>
                  <w:marTop w:val="0"/>
                  <w:marBottom w:val="0"/>
                  <w:divBdr>
                    <w:top w:val="none" w:sz="0" w:space="0" w:color="auto"/>
                    <w:left w:val="none" w:sz="0" w:space="0" w:color="auto"/>
                    <w:bottom w:val="none" w:sz="0" w:space="0" w:color="auto"/>
                    <w:right w:val="none" w:sz="0" w:space="0" w:color="auto"/>
                  </w:divBdr>
                  <w:divsChild>
                    <w:div w:id="16159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59750">
      <w:bodyDiv w:val="1"/>
      <w:marLeft w:val="0"/>
      <w:marRight w:val="0"/>
      <w:marTop w:val="0"/>
      <w:marBottom w:val="0"/>
      <w:divBdr>
        <w:top w:val="none" w:sz="0" w:space="0" w:color="auto"/>
        <w:left w:val="none" w:sz="0" w:space="0" w:color="auto"/>
        <w:bottom w:val="none" w:sz="0" w:space="0" w:color="auto"/>
        <w:right w:val="none" w:sz="0" w:space="0" w:color="auto"/>
      </w:divBdr>
      <w:divsChild>
        <w:div w:id="1456173620">
          <w:marLeft w:val="0"/>
          <w:marRight w:val="0"/>
          <w:marTop w:val="0"/>
          <w:marBottom w:val="0"/>
          <w:divBdr>
            <w:top w:val="none" w:sz="0" w:space="0" w:color="auto"/>
            <w:left w:val="none" w:sz="0" w:space="0" w:color="auto"/>
            <w:bottom w:val="none" w:sz="0" w:space="0" w:color="auto"/>
            <w:right w:val="none" w:sz="0" w:space="0" w:color="auto"/>
          </w:divBdr>
          <w:divsChild>
            <w:div w:id="652560511">
              <w:marLeft w:val="0"/>
              <w:marRight w:val="0"/>
              <w:marTop w:val="0"/>
              <w:marBottom w:val="0"/>
              <w:divBdr>
                <w:top w:val="none" w:sz="0" w:space="0" w:color="auto"/>
                <w:left w:val="none" w:sz="0" w:space="0" w:color="auto"/>
                <w:bottom w:val="none" w:sz="0" w:space="0" w:color="auto"/>
                <w:right w:val="none" w:sz="0" w:space="0" w:color="auto"/>
              </w:divBdr>
              <w:divsChild>
                <w:div w:id="1101489467">
                  <w:marLeft w:val="0"/>
                  <w:marRight w:val="0"/>
                  <w:marTop w:val="0"/>
                  <w:marBottom w:val="0"/>
                  <w:divBdr>
                    <w:top w:val="none" w:sz="0" w:space="0" w:color="auto"/>
                    <w:left w:val="none" w:sz="0" w:space="0" w:color="auto"/>
                    <w:bottom w:val="none" w:sz="0" w:space="0" w:color="auto"/>
                    <w:right w:val="none" w:sz="0" w:space="0" w:color="auto"/>
                  </w:divBdr>
                  <w:divsChild>
                    <w:div w:id="25305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4763">
          <w:marLeft w:val="0"/>
          <w:marRight w:val="0"/>
          <w:marTop w:val="0"/>
          <w:marBottom w:val="0"/>
          <w:divBdr>
            <w:top w:val="none" w:sz="0" w:space="0" w:color="auto"/>
            <w:left w:val="none" w:sz="0" w:space="0" w:color="auto"/>
            <w:bottom w:val="none" w:sz="0" w:space="0" w:color="auto"/>
            <w:right w:val="none" w:sz="0" w:space="0" w:color="auto"/>
          </w:divBdr>
          <w:divsChild>
            <w:div w:id="859003660">
              <w:marLeft w:val="0"/>
              <w:marRight w:val="0"/>
              <w:marTop w:val="0"/>
              <w:marBottom w:val="0"/>
              <w:divBdr>
                <w:top w:val="none" w:sz="0" w:space="0" w:color="auto"/>
                <w:left w:val="none" w:sz="0" w:space="0" w:color="auto"/>
                <w:bottom w:val="none" w:sz="0" w:space="0" w:color="auto"/>
                <w:right w:val="none" w:sz="0" w:space="0" w:color="auto"/>
              </w:divBdr>
              <w:divsChild>
                <w:div w:id="1242057097">
                  <w:marLeft w:val="0"/>
                  <w:marRight w:val="0"/>
                  <w:marTop w:val="0"/>
                  <w:marBottom w:val="0"/>
                  <w:divBdr>
                    <w:top w:val="none" w:sz="0" w:space="0" w:color="auto"/>
                    <w:left w:val="none" w:sz="0" w:space="0" w:color="auto"/>
                    <w:bottom w:val="none" w:sz="0" w:space="0" w:color="auto"/>
                    <w:right w:val="none" w:sz="0" w:space="0" w:color="auto"/>
                  </w:divBdr>
                  <w:divsChild>
                    <w:div w:id="16711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44599">
      <w:bodyDiv w:val="1"/>
      <w:marLeft w:val="0"/>
      <w:marRight w:val="0"/>
      <w:marTop w:val="0"/>
      <w:marBottom w:val="0"/>
      <w:divBdr>
        <w:top w:val="none" w:sz="0" w:space="0" w:color="auto"/>
        <w:left w:val="none" w:sz="0" w:space="0" w:color="auto"/>
        <w:bottom w:val="none" w:sz="0" w:space="0" w:color="auto"/>
        <w:right w:val="none" w:sz="0" w:space="0" w:color="auto"/>
      </w:divBdr>
      <w:divsChild>
        <w:div w:id="1289819108">
          <w:marLeft w:val="0"/>
          <w:marRight w:val="0"/>
          <w:marTop w:val="0"/>
          <w:marBottom w:val="0"/>
          <w:divBdr>
            <w:top w:val="none" w:sz="0" w:space="0" w:color="auto"/>
            <w:left w:val="none" w:sz="0" w:space="0" w:color="auto"/>
            <w:bottom w:val="none" w:sz="0" w:space="0" w:color="auto"/>
            <w:right w:val="none" w:sz="0" w:space="0" w:color="auto"/>
          </w:divBdr>
          <w:divsChild>
            <w:div w:id="1707634681">
              <w:marLeft w:val="0"/>
              <w:marRight w:val="0"/>
              <w:marTop w:val="0"/>
              <w:marBottom w:val="0"/>
              <w:divBdr>
                <w:top w:val="none" w:sz="0" w:space="0" w:color="auto"/>
                <w:left w:val="none" w:sz="0" w:space="0" w:color="auto"/>
                <w:bottom w:val="none" w:sz="0" w:space="0" w:color="auto"/>
                <w:right w:val="none" w:sz="0" w:space="0" w:color="auto"/>
              </w:divBdr>
              <w:divsChild>
                <w:div w:id="187064833">
                  <w:marLeft w:val="0"/>
                  <w:marRight w:val="0"/>
                  <w:marTop w:val="0"/>
                  <w:marBottom w:val="0"/>
                  <w:divBdr>
                    <w:top w:val="none" w:sz="0" w:space="0" w:color="auto"/>
                    <w:left w:val="none" w:sz="0" w:space="0" w:color="auto"/>
                    <w:bottom w:val="none" w:sz="0" w:space="0" w:color="auto"/>
                    <w:right w:val="none" w:sz="0" w:space="0" w:color="auto"/>
                  </w:divBdr>
                  <w:divsChild>
                    <w:div w:id="1247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52400">
          <w:marLeft w:val="0"/>
          <w:marRight w:val="0"/>
          <w:marTop w:val="0"/>
          <w:marBottom w:val="0"/>
          <w:divBdr>
            <w:top w:val="none" w:sz="0" w:space="0" w:color="auto"/>
            <w:left w:val="none" w:sz="0" w:space="0" w:color="auto"/>
            <w:bottom w:val="none" w:sz="0" w:space="0" w:color="auto"/>
            <w:right w:val="none" w:sz="0" w:space="0" w:color="auto"/>
          </w:divBdr>
          <w:divsChild>
            <w:div w:id="1278561396">
              <w:marLeft w:val="0"/>
              <w:marRight w:val="0"/>
              <w:marTop w:val="0"/>
              <w:marBottom w:val="0"/>
              <w:divBdr>
                <w:top w:val="none" w:sz="0" w:space="0" w:color="auto"/>
                <w:left w:val="none" w:sz="0" w:space="0" w:color="auto"/>
                <w:bottom w:val="none" w:sz="0" w:space="0" w:color="auto"/>
                <w:right w:val="none" w:sz="0" w:space="0" w:color="auto"/>
              </w:divBdr>
              <w:divsChild>
                <w:div w:id="826748429">
                  <w:marLeft w:val="0"/>
                  <w:marRight w:val="0"/>
                  <w:marTop w:val="0"/>
                  <w:marBottom w:val="0"/>
                  <w:divBdr>
                    <w:top w:val="none" w:sz="0" w:space="0" w:color="auto"/>
                    <w:left w:val="none" w:sz="0" w:space="0" w:color="auto"/>
                    <w:bottom w:val="none" w:sz="0" w:space="0" w:color="auto"/>
                    <w:right w:val="none" w:sz="0" w:space="0" w:color="auto"/>
                  </w:divBdr>
                  <w:divsChild>
                    <w:div w:id="2749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539520">
      <w:bodyDiv w:val="1"/>
      <w:marLeft w:val="0"/>
      <w:marRight w:val="0"/>
      <w:marTop w:val="0"/>
      <w:marBottom w:val="0"/>
      <w:divBdr>
        <w:top w:val="none" w:sz="0" w:space="0" w:color="auto"/>
        <w:left w:val="none" w:sz="0" w:space="0" w:color="auto"/>
        <w:bottom w:val="none" w:sz="0" w:space="0" w:color="auto"/>
        <w:right w:val="none" w:sz="0" w:space="0" w:color="auto"/>
      </w:divBdr>
      <w:divsChild>
        <w:div w:id="417333806">
          <w:marLeft w:val="0"/>
          <w:marRight w:val="0"/>
          <w:marTop w:val="0"/>
          <w:marBottom w:val="0"/>
          <w:divBdr>
            <w:top w:val="none" w:sz="0" w:space="0" w:color="auto"/>
            <w:left w:val="none" w:sz="0" w:space="0" w:color="auto"/>
            <w:bottom w:val="none" w:sz="0" w:space="0" w:color="auto"/>
            <w:right w:val="none" w:sz="0" w:space="0" w:color="auto"/>
          </w:divBdr>
          <w:divsChild>
            <w:div w:id="29381125">
              <w:marLeft w:val="0"/>
              <w:marRight w:val="0"/>
              <w:marTop w:val="0"/>
              <w:marBottom w:val="0"/>
              <w:divBdr>
                <w:top w:val="none" w:sz="0" w:space="0" w:color="auto"/>
                <w:left w:val="none" w:sz="0" w:space="0" w:color="auto"/>
                <w:bottom w:val="none" w:sz="0" w:space="0" w:color="auto"/>
                <w:right w:val="none" w:sz="0" w:space="0" w:color="auto"/>
              </w:divBdr>
              <w:divsChild>
                <w:div w:id="746461069">
                  <w:marLeft w:val="0"/>
                  <w:marRight w:val="0"/>
                  <w:marTop w:val="0"/>
                  <w:marBottom w:val="0"/>
                  <w:divBdr>
                    <w:top w:val="none" w:sz="0" w:space="0" w:color="auto"/>
                    <w:left w:val="none" w:sz="0" w:space="0" w:color="auto"/>
                    <w:bottom w:val="none" w:sz="0" w:space="0" w:color="auto"/>
                    <w:right w:val="none" w:sz="0" w:space="0" w:color="auto"/>
                  </w:divBdr>
                  <w:divsChild>
                    <w:div w:id="214669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80552">
          <w:marLeft w:val="0"/>
          <w:marRight w:val="0"/>
          <w:marTop w:val="0"/>
          <w:marBottom w:val="0"/>
          <w:divBdr>
            <w:top w:val="none" w:sz="0" w:space="0" w:color="auto"/>
            <w:left w:val="none" w:sz="0" w:space="0" w:color="auto"/>
            <w:bottom w:val="none" w:sz="0" w:space="0" w:color="auto"/>
            <w:right w:val="none" w:sz="0" w:space="0" w:color="auto"/>
          </w:divBdr>
          <w:divsChild>
            <w:div w:id="1475953887">
              <w:marLeft w:val="0"/>
              <w:marRight w:val="0"/>
              <w:marTop w:val="0"/>
              <w:marBottom w:val="0"/>
              <w:divBdr>
                <w:top w:val="none" w:sz="0" w:space="0" w:color="auto"/>
                <w:left w:val="none" w:sz="0" w:space="0" w:color="auto"/>
                <w:bottom w:val="none" w:sz="0" w:space="0" w:color="auto"/>
                <w:right w:val="none" w:sz="0" w:space="0" w:color="auto"/>
              </w:divBdr>
              <w:divsChild>
                <w:div w:id="5064084">
                  <w:marLeft w:val="0"/>
                  <w:marRight w:val="0"/>
                  <w:marTop w:val="0"/>
                  <w:marBottom w:val="0"/>
                  <w:divBdr>
                    <w:top w:val="none" w:sz="0" w:space="0" w:color="auto"/>
                    <w:left w:val="none" w:sz="0" w:space="0" w:color="auto"/>
                    <w:bottom w:val="none" w:sz="0" w:space="0" w:color="auto"/>
                    <w:right w:val="none" w:sz="0" w:space="0" w:color="auto"/>
                  </w:divBdr>
                  <w:divsChild>
                    <w:div w:id="7564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42506">
      <w:bodyDiv w:val="1"/>
      <w:marLeft w:val="0"/>
      <w:marRight w:val="0"/>
      <w:marTop w:val="0"/>
      <w:marBottom w:val="0"/>
      <w:divBdr>
        <w:top w:val="none" w:sz="0" w:space="0" w:color="auto"/>
        <w:left w:val="none" w:sz="0" w:space="0" w:color="auto"/>
        <w:bottom w:val="none" w:sz="0" w:space="0" w:color="auto"/>
        <w:right w:val="none" w:sz="0" w:space="0" w:color="auto"/>
      </w:divBdr>
      <w:divsChild>
        <w:div w:id="1564873026">
          <w:marLeft w:val="0"/>
          <w:marRight w:val="0"/>
          <w:marTop w:val="0"/>
          <w:marBottom w:val="0"/>
          <w:divBdr>
            <w:top w:val="none" w:sz="0" w:space="0" w:color="auto"/>
            <w:left w:val="none" w:sz="0" w:space="0" w:color="auto"/>
            <w:bottom w:val="none" w:sz="0" w:space="0" w:color="auto"/>
            <w:right w:val="none" w:sz="0" w:space="0" w:color="auto"/>
          </w:divBdr>
          <w:divsChild>
            <w:div w:id="169759789">
              <w:marLeft w:val="0"/>
              <w:marRight w:val="0"/>
              <w:marTop w:val="0"/>
              <w:marBottom w:val="0"/>
              <w:divBdr>
                <w:top w:val="none" w:sz="0" w:space="0" w:color="auto"/>
                <w:left w:val="none" w:sz="0" w:space="0" w:color="auto"/>
                <w:bottom w:val="none" w:sz="0" w:space="0" w:color="auto"/>
                <w:right w:val="none" w:sz="0" w:space="0" w:color="auto"/>
              </w:divBdr>
              <w:divsChild>
                <w:div w:id="718935996">
                  <w:marLeft w:val="0"/>
                  <w:marRight w:val="0"/>
                  <w:marTop w:val="0"/>
                  <w:marBottom w:val="0"/>
                  <w:divBdr>
                    <w:top w:val="none" w:sz="0" w:space="0" w:color="auto"/>
                    <w:left w:val="none" w:sz="0" w:space="0" w:color="auto"/>
                    <w:bottom w:val="none" w:sz="0" w:space="0" w:color="auto"/>
                    <w:right w:val="none" w:sz="0" w:space="0" w:color="auto"/>
                  </w:divBdr>
                  <w:divsChild>
                    <w:div w:id="102282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59712">
          <w:marLeft w:val="0"/>
          <w:marRight w:val="0"/>
          <w:marTop w:val="0"/>
          <w:marBottom w:val="0"/>
          <w:divBdr>
            <w:top w:val="none" w:sz="0" w:space="0" w:color="auto"/>
            <w:left w:val="none" w:sz="0" w:space="0" w:color="auto"/>
            <w:bottom w:val="none" w:sz="0" w:space="0" w:color="auto"/>
            <w:right w:val="none" w:sz="0" w:space="0" w:color="auto"/>
          </w:divBdr>
          <w:divsChild>
            <w:div w:id="1133669410">
              <w:marLeft w:val="0"/>
              <w:marRight w:val="0"/>
              <w:marTop w:val="0"/>
              <w:marBottom w:val="0"/>
              <w:divBdr>
                <w:top w:val="none" w:sz="0" w:space="0" w:color="auto"/>
                <w:left w:val="none" w:sz="0" w:space="0" w:color="auto"/>
                <w:bottom w:val="none" w:sz="0" w:space="0" w:color="auto"/>
                <w:right w:val="none" w:sz="0" w:space="0" w:color="auto"/>
              </w:divBdr>
              <w:divsChild>
                <w:div w:id="1031611800">
                  <w:marLeft w:val="0"/>
                  <w:marRight w:val="0"/>
                  <w:marTop w:val="0"/>
                  <w:marBottom w:val="0"/>
                  <w:divBdr>
                    <w:top w:val="none" w:sz="0" w:space="0" w:color="auto"/>
                    <w:left w:val="none" w:sz="0" w:space="0" w:color="auto"/>
                    <w:bottom w:val="none" w:sz="0" w:space="0" w:color="auto"/>
                    <w:right w:val="none" w:sz="0" w:space="0" w:color="auto"/>
                  </w:divBdr>
                  <w:divsChild>
                    <w:div w:id="4620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638296">
      <w:bodyDiv w:val="1"/>
      <w:marLeft w:val="0"/>
      <w:marRight w:val="0"/>
      <w:marTop w:val="0"/>
      <w:marBottom w:val="0"/>
      <w:divBdr>
        <w:top w:val="none" w:sz="0" w:space="0" w:color="auto"/>
        <w:left w:val="none" w:sz="0" w:space="0" w:color="auto"/>
        <w:bottom w:val="none" w:sz="0" w:space="0" w:color="auto"/>
        <w:right w:val="none" w:sz="0" w:space="0" w:color="auto"/>
      </w:divBdr>
      <w:divsChild>
        <w:div w:id="1137340082">
          <w:marLeft w:val="0"/>
          <w:marRight w:val="0"/>
          <w:marTop w:val="0"/>
          <w:marBottom w:val="0"/>
          <w:divBdr>
            <w:top w:val="none" w:sz="0" w:space="0" w:color="auto"/>
            <w:left w:val="none" w:sz="0" w:space="0" w:color="auto"/>
            <w:bottom w:val="none" w:sz="0" w:space="0" w:color="auto"/>
            <w:right w:val="none" w:sz="0" w:space="0" w:color="auto"/>
          </w:divBdr>
          <w:divsChild>
            <w:div w:id="1044676195">
              <w:marLeft w:val="0"/>
              <w:marRight w:val="0"/>
              <w:marTop w:val="0"/>
              <w:marBottom w:val="0"/>
              <w:divBdr>
                <w:top w:val="none" w:sz="0" w:space="0" w:color="auto"/>
                <w:left w:val="none" w:sz="0" w:space="0" w:color="auto"/>
                <w:bottom w:val="none" w:sz="0" w:space="0" w:color="auto"/>
                <w:right w:val="none" w:sz="0" w:space="0" w:color="auto"/>
              </w:divBdr>
              <w:divsChild>
                <w:div w:id="1440877076">
                  <w:marLeft w:val="0"/>
                  <w:marRight w:val="0"/>
                  <w:marTop w:val="0"/>
                  <w:marBottom w:val="0"/>
                  <w:divBdr>
                    <w:top w:val="none" w:sz="0" w:space="0" w:color="auto"/>
                    <w:left w:val="none" w:sz="0" w:space="0" w:color="auto"/>
                    <w:bottom w:val="none" w:sz="0" w:space="0" w:color="auto"/>
                    <w:right w:val="none" w:sz="0" w:space="0" w:color="auto"/>
                  </w:divBdr>
                  <w:divsChild>
                    <w:div w:id="7166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64985">
          <w:marLeft w:val="0"/>
          <w:marRight w:val="0"/>
          <w:marTop w:val="0"/>
          <w:marBottom w:val="0"/>
          <w:divBdr>
            <w:top w:val="none" w:sz="0" w:space="0" w:color="auto"/>
            <w:left w:val="none" w:sz="0" w:space="0" w:color="auto"/>
            <w:bottom w:val="none" w:sz="0" w:space="0" w:color="auto"/>
            <w:right w:val="none" w:sz="0" w:space="0" w:color="auto"/>
          </w:divBdr>
          <w:divsChild>
            <w:div w:id="1807703737">
              <w:marLeft w:val="0"/>
              <w:marRight w:val="0"/>
              <w:marTop w:val="0"/>
              <w:marBottom w:val="0"/>
              <w:divBdr>
                <w:top w:val="none" w:sz="0" w:space="0" w:color="auto"/>
                <w:left w:val="none" w:sz="0" w:space="0" w:color="auto"/>
                <w:bottom w:val="none" w:sz="0" w:space="0" w:color="auto"/>
                <w:right w:val="none" w:sz="0" w:space="0" w:color="auto"/>
              </w:divBdr>
              <w:divsChild>
                <w:div w:id="1762026889">
                  <w:marLeft w:val="0"/>
                  <w:marRight w:val="0"/>
                  <w:marTop w:val="0"/>
                  <w:marBottom w:val="0"/>
                  <w:divBdr>
                    <w:top w:val="none" w:sz="0" w:space="0" w:color="auto"/>
                    <w:left w:val="none" w:sz="0" w:space="0" w:color="auto"/>
                    <w:bottom w:val="none" w:sz="0" w:space="0" w:color="auto"/>
                    <w:right w:val="none" w:sz="0" w:space="0" w:color="auto"/>
                  </w:divBdr>
                  <w:divsChild>
                    <w:div w:id="9531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409602">
      <w:bodyDiv w:val="1"/>
      <w:marLeft w:val="0"/>
      <w:marRight w:val="0"/>
      <w:marTop w:val="0"/>
      <w:marBottom w:val="0"/>
      <w:divBdr>
        <w:top w:val="none" w:sz="0" w:space="0" w:color="auto"/>
        <w:left w:val="none" w:sz="0" w:space="0" w:color="auto"/>
        <w:bottom w:val="none" w:sz="0" w:space="0" w:color="auto"/>
        <w:right w:val="none" w:sz="0" w:space="0" w:color="auto"/>
      </w:divBdr>
      <w:divsChild>
        <w:div w:id="1664816906">
          <w:marLeft w:val="0"/>
          <w:marRight w:val="0"/>
          <w:marTop w:val="0"/>
          <w:marBottom w:val="0"/>
          <w:divBdr>
            <w:top w:val="none" w:sz="0" w:space="0" w:color="auto"/>
            <w:left w:val="none" w:sz="0" w:space="0" w:color="auto"/>
            <w:bottom w:val="none" w:sz="0" w:space="0" w:color="auto"/>
            <w:right w:val="none" w:sz="0" w:space="0" w:color="auto"/>
          </w:divBdr>
          <w:divsChild>
            <w:div w:id="818574507">
              <w:marLeft w:val="0"/>
              <w:marRight w:val="0"/>
              <w:marTop w:val="0"/>
              <w:marBottom w:val="0"/>
              <w:divBdr>
                <w:top w:val="none" w:sz="0" w:space="0" w:color="auto"/>
                <w:left w:val="none" w:sz="0" w:space="0" w:color="auto"/>
                <w:bottom w:val="none" w:sz="0" w:space="0" w:color="auto"/>
                <w:right w:val="none" w:sz="0" w:space="0" w:color="auto"/>
              </w:divBdr>
              <w:divsChild>
                <w:div w:id="219218562">
                  <w:marLeft w:val="0"/>
                  <w:marRight w:val="0"/>
                  <w:marTop w:val="0"/>
                  <w:marBottom w:val="0"/>
                  <w:divBdr>
                    <w:top w:val="none" w:sz="0" w:space="0" w:color="auto"/>
                    <w:left w:val="none" w:sz="0" w:space="0" w:color="auto"/>
                    <w:bottom w:val="none" w:sz="0" w:space="0" w:color="auto"/>
                    <w:right w:val="none" w:sz="0" w:space="0" w:color="auto"/>
                  </w:divBdr>
                  <w:divsChild>
                    <w:div w:id="16168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29411">
          <w:marLeft w:val="0"/>
          <w:marRight w:val="0"/>
          <w:marTop w:val="0"/>
          <w:marBottom w:val="0"/>
          <w:divBdr>
            <w:top w:val="none" w:sz="0" w:space="0" w:color="auto"/>
            <w:left w:val="none" w:sz="0" w:space="0" w:color="auto"/>
            <w:bottom w:val="none" w:sz="0" w:space="0" w:color="auto"/>
            <w:right w:val="none" w:sz="0" w:space="0" w:color="auto"/>
          </w:divBdr>
          <w:divsChild>
            <w:div w:id="696085875">
              <w:marLeft w:val="0"/>
              <w:marRight w:val="0"/>
              <w:marTop w:val="0"/>
              <w:marBottom w:val="0"/>
              <w:divBdr>
                <w:top w:val="none" w:sz="0" w:space="0" w:color="auto"/>
                <w:left w:val="none" w:sz="0" w:space="0" w:color="auto"/>
                <w:bottom w:val="none" w:sz="0" w:space="0" w:color="auto"/>
                <w:right w:val="none" w:sz="0" w:space="0" w:color="auto"/>
              </w:divBdr>
              <w:divsChild>
                <w:div w:id="1123420996">
                  <w:marLeft w:val="0"/>
                  <w:marRight w:val="0"/>
                  <w:marTop w:val="0"/>
                  <w:marBottom w:val="0"/>
                  <w:divBdr>
                    <w:top w:val="none" w:sz="0" w:space="0" w:color="auto"/>
                    <w:left w:val="none" w:sz="0" w:space="0" w:color="auto"/>
                    <w:bottom w:val="none" w:sz="0" w:space="0" w:color="auto"/>
                    <w:right w:val="none" w:sz="0" w:space="0" w:color="auto"/>
                  </w:divBdr>
                  <w:divsChild>
                    <w:div w:id="16554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2619">
      <w:bodyDiv w:val="1"/>
      <w:marLeft w:val="0"/>
      <w:marRight w:val="0"/>
      <w:marTop w:val="0"/>
      <w:marBottom w:val="0"/>
      <w:divBdr>
        <w:top w:val="none" w:sz="0" w:space="0" w:color="auto"/>
        <w:left w:val="none" w:sz="0" w:space="0" w:color="auto"/>
        <w:bottom w:val="none" w:sz="0" w:space="0" w:color="auto"/>
        <w:right w:val="none" w:sz="0" w:space="0" w:color="auto"/>
      </w:divBdr>
      <w:divsChild>
        <w:div w:id="647713798">
          <w:marLeft w:val="0"/>
          <w:marRight w:val="0"/>
          <w:marTop w:val="0"/>
          <w:marBottom w:val="0"/>
          <w:divBdr>
            <w:top w:val="none" w:sz="0" w:space="0" w:color="auto"/>
            <w:left w:val="none" w:sz="0" w:space="0" w:color="auto"/>
            <w:bottom w:val="none" w:sz="0" w:space="0" w:color="auto"/>
            <w:right w:val="none" w:sz="0" w:space="0" w:color="auto"/>
          </w:divBdr>
          <w:divsChild>
            <w:div w:id="1197885196">
              <w:marLeft w:val="0"/>
              <w:marRight w:val="0"/>
              <w:marTop w:val="0"/>
              <w:marBottom w:val="0"/>
              <w:divBdr>
                <w:top w:val="none" w:sz="0" w:space="0" w:color="auto"/>
                <w:left w:val="none" w:sz="0" w:space="0" w:color="auto"/>
                <w:bottom w:val="none" w:sz="0" w:space="0" w:color="auto"/>
                <w:right w:val="none" w:sz="0" w:space="0" w:color="auto"/>
              </w:divBdr>
              <w:divsChild>
                <w:div w:id="784933232">
                  <w:marLeft w:val="0"/>
                  <w:marRight w:val="0"/>
                  <w:marTop w:val="0"/>
                  <w:marBottom w:val="0"/>
                  <w:divBdr>
                    <w:top w:val="none" w:sz="0" w:space="0" w:color="auto"/>
                    <w:left w:val="none" w:sz="0" w:space="0" w:color="auto"/>
                    <w:bottom w:val="none" w:sz="0" w:space="0" w:color="auto"/>
                    <w:right w:val="none" w:sz="0" w:space="0" w:color="auto"/>
                  </w:divBdr>
                  <w:divsChild>
                    <w:div w:id="9100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9315">
          <w:marLeft w:val="0"/>
          <w:marRight w:val="0"/>
          <w:marTop w:val="0"/>
          <w:marBottom w:val="0"/>
          <w:divBdr>
            <w:top w:val="none" w:sz="0" w:space="0" w:color="auto"/>
            <w:left w:val="none" w:sz="0" w:space="0" w:color="auto"/>
            <w:bottom w:val="none" w:sz="0" w:space="0" w:color="auto"/>
            <w:right w:val="none" w:sz="0" w:space="0" w:color="auto"/>
          </w:divBdr>
          <w:divsChild>
            <w:div w:id="2019309365">
              <w:marLeft w:val="0"/>
              <w:marRight w:val="0"/>
              <w:marTop w:val="0"/>
              <w:marBottom w:val="0"/>
              <w:divBdr>
                <w:top w:val="none" w:sz="0" w:space="0" w:color="auto"/>
                <w:left w:val="none" w:sz="0" w:space="0" w:color="auto"/>
                <w:bottom w:val="none" w:sz="0" w:space="0" w:color="auto"/>
                <w:right w:val="none" w:sz="0" w:space="0" w:color="auto"/>
              </w:divBdr>
              <w:divsChild>
                <w:div w:id="1281112988">
                  <w:marLeft w:val="0"/>
                  <w:marRight w:val="0"/>
                  <w:marTop w:val="0"/>
                  <w:marBottom w:val="0"/>
                  <w:divBdr>
                    <w:top w:val="none" w:sz="0" w:space="0" w:color="auto"/>
                    <w:left w:val="none" w:sz="0" w:space="0" w:color="auto"/>
                    <w:bottom w:val="none" w:sz="0" w:space="0" w:color="auto"/>
                    <w:right w:val="none" w:sz="0" w:space="0" w:color="auto"/>
                  </w:divBdr>
                  <w:divsChild>
                    <w:div w:id="20783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8197">
      <w:bodyDiv w:val="1"/>
      <w:marLeft w:val="0"/>
      <w:marRight w:val="0"/>
      <w:marTop w:val="0"/>
      <w:marBottom w:val="0"/>
      <w:divBdr>
        <w:top w:val="none" w:sz="0" w:space="0" w:color="auto"/>
        <w:left w:val="none" w:sz="0" w:space="0" w:color="auto"/>
        <w:bottom w:val="none" w:sz="0" w:space="0" w:color="auto"/>
        <w:right w:val="none" w:sz="0" w:space="0" w:color="auto"/>
      </w:divBdr>
      <w:divsChild>
        <w:div w:id="184902354">
          <w:marLeft w:val="0"/>
          <w:marRight w:val="0"/>
          <w:marTop w:val="0"/>
          <w:marBottom w:val="0"/>
          <w:divBdr>
            <w:top w:val="none" w:sz="0" w:space="0" w:color="auto"/>
            <w:left w:val="none" w:sz="0" w:space="0" w:color="auto"/>
            <w:bottom w:val="none" w:sz="0" w:space="0" w:color="auto"/>
            <w:right w:val="none" w:sz="0" w:space="0" w:color="auto"/>
          </w:divBdr>
          <w:divsChild>
            <w:div w:id="864098800">
              <w:marLeft w:val="0"/>
              <w:marRight w:val="0"/>
              <w:marTop w:val="0"/>
              <w:marBottom w:val="0"/>
              <w:divBdr>
                <w:top w:val="none" w:sz="0" w:space="0" w:color="auto"/>
                <w:left w:val="none" w:sz="0" w:space="0" w:color="auto"/>
                <w:bottom w:val="none" w:sz="0" w:space="0" w:color="auto"/>
                <w:right w:val="none" w:sz="0" w:space="0" w:color="auto"/>
              </w:divBdr>
              <w:divsChild>
                <w:div w:id="1303854586">
                  <w:marLeft w:val="0"/>
                  <w:marRight w:val="0"/>
                  <w:marTop w:val="0"/>
                  <w:marBottom w:val="0"/>
                  <w:divBdr>
                    <w:top w:val="none" w:sz="0" w:space="0" w:color="auto"/>
                    <w:left w:val="none" w:sz="0" w:space="0" w:color="auto"/>
                    <w:bottom w:val="none" w:sz="0" w:space="0" w:color="auto"/>
                    <w:right w:val="none" w:sz="0" w:space="0" w:color="auto"/>
                  </w:divBdr>
                  <w:divsChild>
                    <w:div w:id="9523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46345">
          <w:marLeft w:val="0"/>
          <w:marRight w:val="0"/>
          <w:marTop w:val="0"/>
          <w:marBottom w:val="0"/>
          <w:divBdr>
            <w:top w:val="none" w:sz="0" w:space="0" w:color="auto"/>
            <w:left w:val="none" w:sz="0" w:space="0" w:color="auto"/>
            <w:bottom w:val="none" w:sz="0" w:space="0" w:color="auto"/>
            <w:right w:val="none" w:sz="0" w:space="0" w:color="auto"/>
          </w:divBdr>
          <w:divsChild>
            <w:div w:id="1732314681">
              <w:marLeft w:val="0"/>
              <w:marRight w:val="0"/>
              <w:marTop w:val="0"/>
              <w:marBottom w:val="0"/>
              <w:divBdr>
                <w:top w:val="none" w:sz="0" w:space="0" w:color="auto"/>
                <w:left w:val="none" w:sz="0" w:space="0" w:color="auto"/>
                <w:bottom w:val="none" w:sz="0" w:space="0" w:color="auto"/>
                <w:right w:val="none" w:sz="0" w:space="0" w:color="auto"/>
              </w:divBdr>
              <w:divsChild>
                <w:div w:id="795752635">
                  <w:marLeft w:val="0"/>
                  <w:marRight w:val="0"/>
                  <w:marTop w:val="0"/>
                  <w:marBottom w:val="0"/>
                  <w:divBdr>
                    <w:top w:val="none" w:sz="0" w:space="0" w:color="auto"/>
                    <w:left w:val="none" w:sz="0" w:space="0" w:color="auto"/>
                    <w:bottom w:val="none" w:sz="0" w:space="0" w:color="auto"/>
                    <w:right w:val="none" w:sz="0" w:space="0" w:color="auto"/>
                  </w:divBdr>
                  <w:divsChild>
                    <w:div w:id="11147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650553">
      <w:bodyDiv w:val="1"/>
      <w:marLeft w:val="0"/>
      <w:marRight w:val="0"/>
      <w:marTop w:val="0"/>
      <w:marBottom w:val="0"/>
      <w:divBdr>
        <w:top w:val="none" w:sz="0" w:space="0" w:color="auto"/>
        <w:left w:val="none" w:sz="0" w:space="0" w:color="auto"/>
        <w:bottom w:val="none" w:sz="0" w:space="0" w:color="auto"/>
        <w:right w:val="none" w:sz="0" w:space="0" w:color="auto"/>
      </w:divBdr>
    </w:div>
    <w:div w:id="1771200688">
      <w:bodyDiv w:val="1"/>
      <w:marLeft w:val="0"/>
      <w:marRight w:val="0"/>
      <w:marTop w:val="0"/>
      <w:marBottom w:val="0"/>
      <w:divBdr>
        <w:top w:val="none" w:sz="0" w:space="0" w:color="auto"/>
        <w:left w:val="none" w:sz="0" w:space="0" w:color="auto"/>
        <w:bottom w:val="none" w:sz="0" w:space="0" w:color="auto"/>
        <w:right w:val="none" w:sz="0" w:space="0" w:color="auto"/>
      </w:divBdr>
    </w:div>
    <w:div w:id="1796171972">
      <w:bodyDiv w:val="1"/>
      <w:marLeft w:val="0"/>
      <w:marRight w:val="0"/>
      <w:marTop w:val="0"/>
      <w:marBottom w:val="0"/>
      <w:divBdr>
        <w:top w:val="none" w:sz="0" w:space="0" w:color="auto"/>
        <w:left w:val="none" w:sz="0" w:space="0" w:color="auto"/>
        <w:bottom w:val="none" w:sz="0" w:space="0" w:color="auto"/>
        <w:right w:val="none" w:sz="0" w:space="0" w:color="auto"/>
      </w:divBdr>
      <w:divsChild>
        <w:div w:id="1797523470">
          <w:marLeft w:val="0"/>
          <w:marRight w:val="0"/>
          <w:marTop w:val="0"/>
          <w:marBottom w:val="0"/>
          <w:divBdr>
            <w:top w:val="none" w:sz="0" w:space="0" w:color="auto"/>
            <w:left w:val="none" w:sz="0" w:space="0" w:color="auto"/>
            <w:bottom w:val="none" w:sz="0" w:space="0" w:color="auto"/>
            <w:right w:val="none" w:sz="0" w:space="0" w:color="auto"/>
          </w:divBdr>
          <w:divsChild>
            <w:div w:id="167251742">
              <w:marLeft w:val="0"/>
              <w:marRight w:val="0"/>
              <w:marTop w:val="0"/>
              <w:marBottom w:val="0"/>
              <w:divBdr>
                <w:top w:val="none" w:sz="0" w:space="0" w:color="auto"/>
                <w:left w:val="none" w:sz="0" w:space="0" w:color="auto"/>
                <w:bottom w:val="none" w:sz="0" w:space="0" w:color="auto"/>
                <w:right w:val="none" w:sz="0" w:space="0" w:color="auto"/>
              </w:divBdr>
              <w:divsChild>
                <w:div w:id="2098600582">
                  <w:marLeft w:val="0"/>
                  <w:marRight w:val="0"/>
                  <w:marTop w:val="0"/>
                  <w:marBottom w:val="0"/>
                  <w:divBdr>
                    <w:top w:val="none" w:sz="0" w:space="0" w:color="auto"/>
                    <w:left w:val="none" w:sz="0" w:space="0" w:color="auto"/>
                    <w:bottom w:val="none" w:sz="0" w:space="0" w:color="auto"/>
                    <w:right w:val="none" w:sz="0" w:space="0" w:color="auto"/>
                  </w:divBdr>
                  <w:divsChild>
                    <w:div w:id="58183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153528">
          <w:marLeft w:val="0"/>
          <w:marRight w:val="0"/>
          <w:marTop w:val="0"/>
          <w:marBottom w:val="0"/>
          <w:divBdr>
            <w:top w:val="none" w:sz="0" w:space="0" w:color="auto"/>
            <w:left w:val="none" w:sz="0" w:space="0" w:color="auto"/>
            <w:bottom w:val="none" w:sz="0" w:space="0" w:color="auto"/>
            <w:right w:val="none" w:sz="0" w:space="0" w:color="auto"/>
          </w:divBdr>
          <w:divsChild>
            <w:div w:id="1146698763">
              <w:marLeft w:val="0"/>
              <w:marRight w:val="0"/>
              <w:marTop w:val="0"/>
              <w:marBottom w:val="0"/>
              <w:divBdr>
                <w:top w:val="none" w:sz="0" w:space="0" w:color="auto"/>
                <w:left w:val="none" w:sz="0" w:space="0" w:color="auto"/>
                <w:bottom w:val="none" w:sz="0" w:space="0" w:color="auto"/>
                <w:right w:val="none" w:sz="0" w:space="0" w:color="auto"/>
              </w:divBdr>
              <w:divsChild>
                <w:div w:id="1791583588">
                  <w:marLeft w:val="0"/>
                  <w:marRight w:val="0"/>
                  <w:marTop w:val="0"/>
                  <w:marBottom w:val="0"/>
                  <w:divBdr>
                    <w:top w:val="none" w:sz="0" w:space="0" w:color="auto"/>
                    <w:left w:val="none" w:sz="0" w:space="0" w:color="auto"/>
                    <w:bottom w:val="none" w:sz="0" w:space="0" w:color="auto"/>
                    <w:right w:val="none" w:sz="0" w:space="0" w:color="auto"/>
                  </w:divBdr>
                  <w:divsChild>
                    <w:div w:id="1574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382698">
      <w:bodyDiv w:val="1"/>
      <w:marLeft w:val="0"/>
      <w:marRight w:val="0"/>
      <w:marTop w:val="0"/>
      <w:marBottom w:val="0"/>
      <w:divBdr>
        <w:top w:val="none" w:sz="0" w:space="0" w:color="auto"/>
        <w:left w:val="none" w:sz="0" w:space="0" w:color="auto"/>
        <w:bottom w:val="none" w:sz="0" w:space="0" w:color="auto"/>
        <w:right w:val="none" w:sz="0" w:space="0" w:color="auto"/>
      </w:divBdr>
      <w:divsChild>
        <w:div w:id="1297174570">
          <w:marLeft w:val="0"/>
          <w:marRight w:val="0"/>
          <w:marTop w:val="0"/>
          <w:marBottom w:val="0"/>
          <w:divBdr>
            <w:top w:val="none" w:sz="0" w:space="0" w:color="auto"/>
            <w:left w:val="none" w:sz="0" w:space="0" w:color="auto"/>
            <w:bottom w:val="none" w:sz="0" w:space="0" w:color="auto"/>
            <w:right w:val="none" w:sz="0" w:space="0" w:color="auto"/>
          </w:divBdr>
          <w:divsChild>
            <w:div w:id="446702399">
              <w:marLeft w:val="0"/>
              <w:marRight w:val="0"/>
              <w:marTop w:val="0"/>
              <w:marBottom w:val="0"/>
              <w:divBdr>
                <w:top w:val="none" w:sz="0" w:space="0" w:color="auto"/>
                <w:left w:val="none" w:sz="0" w:space="0" w:color="auto"/>
                <w:bottom w:val="none" w:sz="0" w:space="0" w:color="auto"/>
                <w:right w:val="none" w:sz="0" w:space="0" w:color="auto"/>
              </w:divBdr>
              <w:divsChild>
                <w:div w:id="1074668517">
                  <w:marLeft w:val="0"/>
                  <w:marRight w:val="0"/>
                  <w:marTop w:val="0"/>
                  <w:marBottom w:val="0"/>
                  <w:divBdr>
                    <w:top w:val="none" w:sz="0" w:space="0" w:color="auto"/>
                    <w:left w:val="none" w:sz="0" w:space="0" w:color="auto"/>
                    <w:bottom w:val="none" w:sz="0" w:space="0" w:color="auto"/>
                    <w:right w:val="none" w:sz="0" w:space="0" w:color="auto"/>
                  </w:divBdr>
                  <w:divsChild>
                    <w:div w:id="1745833901">
                      <w:marLeft w:val="0"/>
                      <w:marRight w:val="0"/>
                      <w:marTop w:val="0"/>
                      <w:marBottom w:val="0"/>
                      <w:divBdr>
                        <w:top w:val="none" w:sz="0" w:space="0" w:color="auto"/>
                        <w:left w:val="none" w:sz="0" w:space="0" w:color="auto"/>
                        <w:bottom w:val="none" w:sz="0" w:space="0" w:color="auto"/>
                        <w:right w:val="none" w:sz="0" w:space="0" w:color="auto"/>
                      </w:divBdr>
                      <w:divsChild>
                        <w:div w:id="1659993907">
                          <w:marLeft w:val="0"/>
                          <w:marRight w:val="0"/>
                          <w:marTop w:val="0"/>
                          <w:marBottom w:val="0"/>
                          <w:divBdr>
                            <w:top w:val="none" w:sz="0" w:space="0" w:color="auto"/>
                            <w:left w:val="none" w:sz="0" w:space="0" w:color="auto"/>
                            <w:bottom w:val="none" w:sz="0" w:space="0" w:color="auto"/>
                            <w:right w:val="none" w:sz="0" w:space="0" w:color="auto"/>
                          </w:divBdr>
                          <w:divsChild>
                            <w:div w:id="1296830327">
                              <w:marLeft w:val="0"/>
                              <w:marRight w:val="0"/>
                              <w:marTop w:val="0"/>
                              <w:marBottom w:val="0"/>
                              <w:divBdr>
                                <w:top w:val="none" w:sz="0" w:space="0" w:color="auto"/>
                                <w:left w:val="none" w:sz="0" w:space="0" w:color="auto"/>
                                <w:bottom w:val="none" w:sz="0" w:space="0" w:color="auto"/>
                                <w:right w:val="none" w:sz="0" w:space="0" w:color="auto"/>
                              </w:divBdr>
                              <w:divsChild>
                                <w:div w:id="1322348901">
                                  <w:marLeft w:val="0"/>
                                  <w:marRight w:val="0"/>
                                  <w:marTop w:val="0"/>
                                  <w:marBottom w:val="0"/>
                                  <w:divBdr>
                                    <w:top w:val="none" w:sz="0" w:space="0" w:color="auto"/>
                                    <w:left w:val="none" w:sz="0" w:space="0" w:color="auto"/>
                                    <w:bottom w:val="none" w:sz="0" w:space="0" w:color="auto"/>
                                    <w:right w:val="none" w:sz="0" w:space="0" w:color="auto"/>
                                  </w:divBdr>
                                  <w:divsChild>
                                    <w:div w:id="909383390">
                                      <w:marLeft w:val="0"/>
                                      <w:marRight w:val="0"/>
                                      <w:marTop w:val="0"/>
                                      <w:marBottom w:val="0"/>
                                      <w:divBdr>
                                        <w:top w:val="none" w:sz="0" w:space="0" w:color="auto"/>
                                        <w:left w:val="none" w:sz="0" w:space="0" w:color="auto"/>
                                        <w:bottom w:val="none" w:sz="0" w:space="0" w:color="auto"/>
                                        <w:right w:val="none" w:sz="0" w:space="0" w:color="auto"/>
                                      </w:divBdr>
                                      <w:divsChild>
                                        <w:div w:id="972052787">
                                          <w:marLeft w:val="0"/>
                                          <w:marRight w:val="0"/>
                                          <w:marTop w:val="0"/>
                                          <w:marBottom w:val="0"/>
                                          <w:divBdr>
                                            <w:top w:val="none" w:sz="0" w:space="0" w:color="auto"/>
                                            <w:left w:val="none" w:sz="0" w:space="0" w:color="auto"/>
                                            <w:bottom w:val="none" w:sz="0" w:space="0" w:color="auto"/>
                                            <w:right w:val="none" w:sz="0" w:space="0" w:color="auto"/>
                                          </w:divBdr>
                                          <w:divsChild>
                                            <w:div w:id="549191728">
                                              <w:marLeft w:val="0"/>
                                              <w:marRight w:val="0"/>
                                              <w:marTop w:val="0"/>
                                              <w:marBottom w:val="0"/>
                                              <w:divBdr>
                                                <w:top w:val="none" w:sz="0" w:space="0" w:color="auto"/>
                                                <w:left w:val="none" w:sz="0" w:space="0" w:color="auto"/>
                                                <w:bottom w:val="none" w:sz="0" w:space="0" w:color="auto"/>
                                                <w:right w:val="none" w:sz="0" w:space="0" w:color="auto"/>
                                              </w:divBdr>
                                              <w:divsChild>
                                                <w:div w:id="1850951139">
                                                  <w:marLeft w:val="0"/>
                                                  <w:marRight w:val="0"/>
                                                  <w:marTop w:val="0"/>
                                                  <w:marBottom w:val="0"/>
                                                  <w:divBdr>
                                                    <w:top w:val="none" w:sz="0" w:space="0" w:color="auto"/>
                                                    <w:left w:val="none" w:sz="0" w:space="0" w:color="auto"/>
                                                    <w:bottom w:val="none" w:sz="0" w:space="0" w:color="auto"/>
                                                    <w:right w:val="none" w:sz="0" w:space="0" w:color="auto"/>
                                                  </w:divBdr>
                                                  <w:divsChild>
                                                    <w:div w:id="63375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356220">
                                          <w:marLeft w:val="0"/>
                                          <w:marRight w:val="0"/>
                                          <w:marTop w:val="0"/>
                                          <w:marBottom w:val="0"/>
                                          <w:divBdr>
                                            <w:top w:val="none" w:sz="0" w:space="0" w:color="auto"/>
                                            <w:left w:val="none" w:sz="0" w:space="0" w:color="auto"/>
                                            <w:bottom w:val="none" w:sz="0" w:space="0" w:color="auto"/>
                                            <w:right w:val="none" w:sz="0" w:space="0" w:color="auto"/>
                                          </w:divBdr>
                                          <w:divsChild>
                                            <w:div w:id="494687301">
                                              <w:marLeft w:val="0"/>
                                              <w:marRight w:val="0"/>
                                              <w:marTop w:val="0"/>
                                              <w:marBottom w:val="0"/>
                                              <w:divBdr>
                                                <w:top w:val="none" w:sz="0" w:space="0" w:color="auto"/>
                                                <w:left w:val="none" w:sz="0" w:space="0" w:color="auto"/>
                                                <w:bottom w:val="none" w:sz="0" w:space="0" w:color="auto"/>
                                                <w:right w:val="none" w:sz="0" w:space="0" w:color="auto"/>
                                              </w:divBdr>
                                              <w:divsChild>
                                                <w:div w:id="538668354">
                                                  <w:marLeft w:val="0"/>
                                                  <w:marRight w:val="0"/>
                                                  <w:marTop w:val="0"/>
                                                  <w:marBottom w:val="0"/>
                                                  <w:divBdr>
                                                    <w:top w:val="none" w:sz="0" w:space="0" w:color="auto"/>
                                                    <w:left w:val="none" w:sz="0" w:space="0" w:color="auto"/>
                                                    <w:bottom w:val="none" w:sz="0" w:space="0" w:color="auto"/>
                                                    <w:right w:val="none" w:sz="0" w:space="0" w:color="auto"/>
                                                  </w:divBdr>
                                                  <w:divsChild>
                                                    <w:div w:id="54251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127660">
          <w:marLeft w:val="0"/>
          <w:marRight w:val="0"/>
          <w:marTop w:val="0"/>
          <w:marBottom w:val="0"/>
          <w:divBdr>
            <w:top w:val="none" w:sz="0" w:space="0" w:color="auto"/>
            <w:left w:val="none" w:sz="0" w:space="0" w:color="auto"/>
            <w:bottom w:val="none" w:sz="0" w:space="0" w:color="auto"/>
            <w:right w:val="none" w:sz="0" w:space="0" w:color="auto"/>
          </w:divBdr>
          <w:divsChild>
            <w:div w:id="147871254">
              <w:marLeft w:val="0"/>
              <w:marRight w:val="0"/>
              <w:marTop w:val="0"/>
              <w:marBottom w:val="0"/>
              <w:divBdr>
                <w:top w:val="none" w:sz="0" w:space="0" w:color="auto"/>
                <w:left w:val="none" w:sz="0" w:space="0" w:color="auto"/>
                <w:bottom w:val="none" w:sz="0" w:space="0" w:color="auto"/>
                <w:right w:val="none" w:sz="0" w:space="0" w:color="auto"/>
              </w:divBdr>
              <w:divsChild>
                <w:div w:id="1659651627">
                  <w:marLeft w:val="0"/>
                  <w:marRight w:val="0"/>
                  <w:marTop w:val="0"/>
                  <w:marBottom w:val="0"/>
                  <w:divBdr>
                    <w:top w:val="none" w:sz="0" w:space="0" w:color="auto"/>
                    <w:left w:val="none" w:sz="0" w:space="0" w:color="auto"/>
                    <w:bottom w:val="none" w:sz="0" w:space="0" w:color="auto"/>
                    <w:right w:val="none" w:sz="0" w:space="0" w:color="auto"/>
                  </w:divBdr>
                  <w:divsChild>
                    <w:div w:id="7971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56158">
      <w:bodyDiv w:val="1"/>
      <w:marLeft w:val="0"/>
      <w:marRight w:val="0"/>
      <w:marTop w:val="0"/>
      <w:marBottom w:val="0"/>
      <w:divBdr>
        <w:top w:val="none" w:sz="0" w:space="0" w:color="auto"/>
        <w:left w:val="none" w:sz="0" w:space="0" w:color="auto"/>
        <w:bottom w:val="none" w:sz="0" w:space="0" w:color="auto"/>
        <w:right w:val="none" w:sz="0" w:space="0" w:color="auto"/>
      </w:divBdr>
      <w:divsChild>
        <w:div w:id="1053118703">
          <w:marLeft w:val="0"/>
          <w:marRight w:val="0"/>
          <w:marTop w:val="0"/>
          <w:marBottom w:val="0"/>
          <w:divBdr>
            <w:top w:val="none" w:sz="0" w:space="0" w:color="auto"/>
            <w:left w:val="none" w:sz="0" w:space="0" w:color="auto"/>
            <w:bottom w:val="none" w:sz="0" w:space="0" w:color="auto"/>
            <w:right w:val="none" w:sz="0" w:space="0" w:color="auto"/>
          </w:divBdr>
          <w:divsChild>
            <w:div w:id="1854804051">
              <w:marLeft w:val="0"/>
              <w:marRight w:val="0"/>
              <w:marTop w:val="0"/>
              <w:marBottom w:val="0"/>
              <w:divBdr>
                <w:top w:val="none" w:sz="0" w:space="0" w:color="auto"/>
                <w:left w:val="none" w:sz="0" w:space="0" w:color="auto"/>
                <w:bottom w:val="none" w:sz="0" w:space="0" w:color="auto"/>
                <w:right w:val="none" w:sz="0" w:space="0" w:color="auto"/>
              </w:divBdr>
              <w:divsChild>
                <w:div w:id="463305593">
                  <w:marLeft w:val="0"/>
                  <w:marRight w:val="0"/>
                  <w:marTop w:val="0"/>
                  <w:marBottom w:val="0"/>
                  <w:divBdr>
                    <w:top w:val="none" w:sz="0" w:space="0" w:color="auto"/>
                    <w:left w:val="none" w:sz="0" w:space="0" w:color="auto"/>
                    <w:bottom w:val="none" w:sz="0" w:space="0" w:color="auto"/>
                    <w:right w:val="none" w:sz="0" w:space="0" w:color="auto"/>
                  </w:divBdr>
                  <w:divsChild>
                    <w:div w:id="1661618469">
                      <w:marLeft w:val="0"/>
                      <w:marRight w:val="0"/>
                      <w:marTop w:val="0"/>
                      <w:marBottom w:val="0"/>
                      <w:divBdr>
                        <w:top w:val="none" w:sz="0" w:space="0" w:color="auto"/>
                        <w:left w:val="none" w:sz="0" w:space="0" w:color="auto"/>
                        <w:bottom w:val="none" w:sz="0" w:space="0" w:color="auto"/>
                        <w:right w:val="none" w:sz="0" w:space="0" w:color="auto"/>
                      </w:divBdr>
                      <w:divsChild>
                        <w:div w:id="2145078609">
                          <w:marLeft w:val="0"/>
                          <w:marRight w:val="0"/>
                          <w:marTop w:val="0"/>
                          <w:marBottom w:val="0"/>
                          <w:divBdr>
                            <w:top w:val="none" w:sz="0" w:space="0" w:color="auto"/>
                            <w:left w:val="none" w:sz="0" w:space="0" w:color="auto"/>
                            <w:bottom w:val="none" w:sz="0" w:space="0" w:color="auto"/>
                            <w:right w:val="none" w:sz="0" w:space="0" w:color="auto"/>
                          </w:divBdr>
                          <w:divsChild>
                            <w:div w:id="497623609">
                              <w:marLeft w:val="0"/>
                              <w:marRight w:val="0"/>
                              <w:marTop w:val="0"/>
                              <w:marBottom w:val="0"/>
                              <w:divBdr>
                                <w:top w:val="none" w:sz="0" w:space="0" w:color="auto"/>
                                <w:left w:val="none" w:sz="0" w:space="0" w:color="auto"/>
                                <w:bottom w:val="none" w:sz="0" w:space="0" w:color="auto"/>
                                <w:right w:val="none" w:sz="0" w:space="0" w:color="auto"/>
                              </w:divBdr>
                              <w:divsChild>
                                <w:div w:id="1115097676">
                                  <w:marLeft w:val="0"/>
                                  <w:marRight w:val="0"/>
                                  <w:marTop w:val="0"/>
                                  <w:marBottom w:val="0"/>
                                  <w:divBdr>
                                    <w:top w:val="none" w:sz="0" w:space="0" w:color="auto"/>
                                    <w:left w:val="none" w:sz="0" w:space="0" w:color="auto"/>
                                    <w:bottom w:val="none" w:sz="0" w:space="0" w:color="auto"/>
                                    <w:right w:val="none" w:sz="0" w:space="0" w:color="auto"/>
                                  </w:divBdr>
                                  <w:divsChild>
                                    <w:div w:id="1013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3114">
                          <w:marLeft w:val="0"/>
                          <w:marRight w:val="0"/>
                          <w:marTop w:val="0"/>
                          <w:marBottom w:val="0"/>
                          <w:divBdr>
                            <w:top w:val="none" w:sz="0" w:space="0" w:color="auto"/>
                            <w:left w:val="none" w:sz="0" w:space="0" w:color="auto"/>
                            <w:bottom w:val="none" w:sz="0" w:space="0" w:color="auto"/>
                            <w:right w:val="none" w:sz="0" w:space="0" w:color="auto"/>
                          </w:divBdr>
                          <w:divsChild>
                            <w:div w:id="451945530">
                              <w:marLeft w:val="0"/>
                              <w:marRight w:val="0"/>
                              <w:marTop w:val="0"/>
                              <w:marBottom w:val="0"/>
                              <w:divBdr>
                                <w:top w:val="none" w:sz="0" w:space="0" w:color="auto"/>
                                <w:left w:val="none" w:sz="0" w:space="0" w:color="auto"/>
                                <w:bottom w:val="none" w:sz="0" w:space="0" w:color="auto"/>
                                <w:right w:val="none" w:sz="0" w:space="0" w:color="auto"/>
                              </w:divBdr>
                              <w:divsChild>
                                <w:div w:id="488059908">
                                  <w:marLeft w:val="0"/>
                                  <w:marRight w:val="0"/>
                                  <w:marTop w:val="0"/>
                                  <w:marBottom w:val="0"/>
                                  <w:divBdr>
                                    <w:top w:val="none" w:sz="0" w:space="0" w:color="auto"/>
                                    <w:left w:val="none" w:sz="0" w:space="0" w:color="auto"/>
                                    <w:bottom w:val="none" w:sz="0" w:space="0" w:color="auto"/>
                                    <w:right w:val="none" w:sz="0" w:space="0" w:color="auto"/>
                                  </w:divBdr>
                                  <w:divsChild>
                                    <w:div w:id="10508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7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238">
          <w:marLeft w:val="0"/>
          <w:marRight w:val="0"/>
          <w:marTop w:val="0"/>
          <w:marBottom w:val="0"/>
          <w:divBdr>
            <w:top w:val="none" w:sz="0" w:space="0" w:color="auto"/>
            <w:left w:val="none" w:sz="0" w:space="0" w:color="auto"/>
            <w:bottom w:val="none" w:sz="0" w:space="0" w:color="auto"/>
            <w:right w:val="none" w:sz="0" w:space="0" w:color="auto"/>
          </w:divBdr>
          <w:divsChild>
            <w:div w:id="2050495601">
              <w:marLeft w:val="0"/>
              <w:marRight w:val="0"/>
              <w:marTop w:val="0"/>
              <w:marBottom w:val="0"/>
              <w:divBdr>
                <w:top w:val="none" w:sz="0" w:space="0" w:color="auto"/>
                <w:left w:val="none" w:sz="0" w:space="0" w:color="auto"/>
                <w:bottom w:val="none" w:sz="0" w:space="0" w:color="auto"/>
                <w:right w:val="none" w:sz="0" w:space="0" w:color="auto"/>
              </w:divBdr>
              <w:divsChild>
                <w:div w:id="1651982791">
                  <w:marLeft w:val="0"/>
                  <w:marRight w:val="0"/>
                  <w:marTop w:val="0"/>
                  <w:marBottom w:val="0"/>
                  <w:divBdr>
                    <w:top w:val="none" w:sz="0" w:space="0" w:color="auto"/>
                    <w:left w:val="none" w:sz="0" w:space="0" w:color="auto"/>
                    <w:bottom w:val="none" w:sz="0" w:space="0" w:color="auto"/>
                    <w:right w:val="none" w:sz="0" w:space="0" w:color="auto"/>
                  </w:divBdr>
                  <w:divsChild>
                    <w:div w:id="1815681659">
                      <w:marLeft w:val="0"/>
                      <w:marRight w:val="0"/>
                      <w:marTop w:val="0"/>
                      <w:marBottom w:val="0"/>
                      <w:divBdr>
                        <w:top w:val="none" w:sz="0" w:space="0" w:color="auto"/>
                        <w:left w:val="none" w:sz="0" w:space="0" w:color="auto"/>
                        <w:bottom w:val="none" w:sz="0" w:space="0" w:color="auto"/>
                        <w:right w:val="none" w:sz="0" w:space="0" w:color="auto"/>
                      </w:divBdr>
                      <w:divsChild>
                        <w:div w:id="2082946898">
                          <w:marLeft w:val="0"/>
                          <w:marRight w:val="0"/>
                          <w:marTop w:val="0"/>
                          <w:marBottom w:val="0"/>
                          <w:divBdr>
                            <w:top w:val="none" w:sz="0" w:space="0" w:color="auto"/>
                            <w:left w:val="none" w:sz="0" w:space="0" w:color="auto"/>
                            <w:bottom w:val="none" w:sz="0" w:space="0" w:color="auto"/>
                            <w:right w:val="none" w:sz="0" w:space="0" w:color="auto"/>
                          </w:divBdr>
                          <w:divsChild>
                            <w:div w:id="1756241261">
                              <w:marLeft w:val="0"/>
                              <w:marRight w:val="0"/>
                              <w:marTop w:val="0"/>
                              <w:marBottom w:val="0"/>
                              <w:divBdr>
                                <w:top w:val="none" w:sz="0" w:space="0" w:color="auto"/>
                                <w:left w:val="none" w:sz="0" w:space="0" w:color="auto"/>
                                <w:bottom w:val="none" w:sz="0" w:space="0" w:color="auto"/>
                                <w:right w:val="none" w:sz="0" w:space="0" w:color="auto"/>
                              </w:divBdr>
                              <w:divsChild>
                                <w:div w:id="818231796">
                                  <w:marLeft w:val="0"/>
                                  <w:marRight w:val="0"/>
                                  <w:marTop w:val="0"/>
                                  <w:marBottom w:val="0"/>
                                  <w:divBdr>
                                    <w:top w:val="none" w:sz="0" w:space="0" w:color="auto"/>
                                    <w:left w:val="none" w:sz="0" w:space="0" w:color="auto"/>
                                    <w:bottom w:val="none" w:sz="0" w:space="0" w:color="auto"/>
                                    <w:right w:val="none" w:sz="0" w:space="0" w:color="auto"/>
                                  </w:divBdr>
                                  <w:divsChild>
                                    <w:div w:id="17510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36158">
                          <w:marLeft w:val="0"/>
                          <w:marRight w:val="0"/>
                          <w:marTop w:val="0"/>
                          <w:marBottom w:val="0"/>
                          <w:divBdr>
                            <w:top w:val="none" w:sz="0" w:space="0" w:color="auto"/>
                            <w:left w:val="none" w:sz="0" w:space="0" w:color="auto"/>
                            <w:bottom w:val="none" w:sz="0" w:space="0" w:color="auto"/>
                            <w:right w:val="none" w:sz="0" w:space="0" w:color="auto"/>
                          </w:divBdr>
                          <w:divsChild>
                            <w:div w:id="211499203">
                              <w:marLeft w:val="0"/>
                              <w:marRight w:val="0"/>
                              <w:marTop w:val="0"/>
                              <w:marBottom w:val="0"/>
                              <w:divBdr>
                                <w:top w:val="none" w:sz="0" w:space="0" w:color="auto"/>
                                <w:left w:val="none" w:sz="0" w:space="0" w:color="auto"/>
                                <w:bottom w:val="none" w:sz="0" w:space="0" w:color="auto"/>
                                <w:right w:val="none" w:sz="0" w:space="0" w:color="auto"/>
                              </w:divBdr>
                              <w:divsChild>
                                <w:div w:id="1634094192">
                                  <w:marLeft w:val="0"/>
                                  <w:marRight w:val="0"/>
                                  <w:marTop w:val="0"/>
                                  <w:marBottom w:val="0"/>
                                  <w:divBdr>
                                    <w:top w:val="none" w:sz="0" w:space="0" w:color="auto"/>
                                    <w:left w:val="none" w:sz="0" w:space="0" w:color="auto"/>
                                    <w:bottom w:val="none" w:sz="0" w:space="0" w:color="auto"/>
                                    <w:right w:val="none" w:sz="0" w:space="0" w:color="auto"/>
                                  </w:divBdr>
                                  <w:divsChild>
                                    <w:div w:id="11993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027915">
      <w:bodyDiv w:val="1"/>
      <w:marLeft w:val="0"/>
      <w:marRight w:val="0"/>
      <w:marTop w:val="0"/>
      <w:marBottom w:val="0"/>
      <w:divBdr>
        <w:top w:val="none" w:sz="0" w:space="0" w:color="auto"/>
        <w:left w:val="none" w:sz="0" w:space="0" w:color="auto"/>
        <w:bottom w:val="none" w:sz="0" w:space="0" w:color="auto"/>
        <w:right w:val="none" w:sz="0" w:space="0" w:color="auto"/>
      </w:divBdr>
      <w:divsChild>
        <w:div w:id="1136869946">
          <w:marLeft w:val="0"/>
          <w:marRight w:val="0"/>
          <w:marTop w:val="0"/>
          <w:marBottom w:val="0"/>
          <w:divBdr>
            <w:top w:val="none" w:sz="0" w:space="0" w:color="auto"/>
            <w:left w:val="none" w:sz="0" w:space="0" w:color="auto"/>
            <w:bottom w:val="none" w:sz="0" w:space="0" w:color="auto"/>
            <w:right w:val="none" w:sz="0" w:space="0" w:color="auto"/>
          </w:divBdr>
          <w:divsChild>
            <w:div w:id="1269973258">
              <w:marLeft w:val="0"/>
              <w:marRight w:val="0"/>
              <w:marTop w:val="0"/>
              <w:marBottom w:val="0"/>
              <w:divBdr>
                <w:top w:val="none" w:sz="0" w:space="0" w:color="auto"/>
                <w:left w:val="none" w:sz="0" w:space="0" w:color="auto"/>
                <w:bottom w:val="none" w:sz="0" w:space="0" w:color="auto"/>
                <w:right w:val="none" w:sz="0" w:space="0" w:color="auto"/>
              </w:divBdr>
              <w:divsChild>
                <w:div w:id="466897860">
                  <w:marLeft w:val="0"/>
                  <w:marRight w:val="0"/>
                  <w:marTop w:val="0"/>
                  <w:marBottom w:val="0"/>
                  <w:divBdr>
                    <w:top w:val="none" w:sz="0" w:space="0" w:color="auto"/>
                    <w:left w:val="none" w:sz="0" w:space="0" w:color="auto"/>
                    <w:bottom w:val="none" w:sz="0" w:space="0" w:color="auto"/>
                    <w:right w:val="none" w:sz="0" w:space="0" w:color="auto"/>
                  </w:divBdr>
                  <w:divsChild>
                    <w:div w:id="3984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3773">
          <w:marLeft w:val="0"/>
          <w:marRight w:val="0"/>
          <w:marTop w:val="0"/>
          <w:marBottom w:val="0"/>
          <w:divBdr>
            <w:top w:val="none" w:sz="0" w:space="0" w:color="auto"/>
            <w:left w:val="none" w:sz="0" w:space="0" w:color="auto"/>
            <w:bottom w:val="none" w:sz="0" w:space="0" w:color="auto"/>
            <w:right w:val="none" w:sz="0" w:space="0" w:color="auto"/>
          </w:divBdr>
          <w:divsChild>
            <w:div w:id="1012613082">
              <w:marLeft w:val="0"/>
              <w:marRight w:val="0"/>
              <w:marTop w:val="0"/>
              <w:marBottom w:val="0"/>
              <w:divBdr>
                <w:top w:val="none" w:sz="0" w:space="0" w:color="auto"/>
                <w:left w:val="none" w:sz="0" w:space="0" w:color="auto"/>
                <w:bottom w:val="none" w:sz="0" w:space="0" w:color="auto"/>
                <w:right w:val="none" w:sz="0" w:space="0" w:color="auto"/>
              </w:divBdr>
              <w:divsChild>
                <w:div w:id="1890417901">
                  <w:marLeft w:val="0"/>
                  <w:marRight w:val="0"/>
                  <w:marTop w:val="0"/>
                  <w:marBottom w:val="0"/>
                  <w:divBdr>
                    <w:top w:val="none" w:sz="0" w:space="0" w:color="auto"/>
                    <w:left w:val="none" w:sz="0" w:space="0" w:color="auto"/>
                    <w:bottom w:val="none" w:sz="0" w:space="0" w:color="auto"/>
                    <w:right w:val="none" w:sz="0" w:space="0" w:color="auto"/>
                  </w:divBdr>
                  <w:divsChild>
                    <w:div w:id="13600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542067">
      <w:bodyDiv w:val="1"/>
      <w:marLeft w:val="0"/>
      <w:marRight w:val="0"/>
      <w:marTop w:val="0"/>
      <w:marBottom w:val="0"/>
      <w:divBdr>
        <w:top w:val="none" w:sz="0" w:space="0" w:color="auto"/>
        <w:left w:val="none" w:sz="0" w:space="0" w:color="auto"/>
        <w:bottom w:val="none" w:sz="0" w:space="0" w:color="auto"/>
        <w:right w:val="none" w:sz="0" w:space="0" w:color="auto"/>
      </w:divBdr>
    </w:div>
    <w:div w:id="2077587096">
      <w:bodyDiv w:val="1"/>
      <w:marLeft w:val="0"/>
      <w:marRight w:val="0"/>
      <w:marTop w:val="0"/>
      <w:marBottom w:val="0"/>
      <w:divBdr>
        <w:top w:val="none" w:sz="0" w:space="0" w:color="auto"/>
        <w:left w:val="none" w:sz="0" w:space="0" w:color="auto"/>
        <w:bottom w:val="none" w:sz="0" w:space="0" w:color="auto"/>
        <w:right w:val="none" w:sz="0" w:space="0" w:color="auto"/>
      </w:divBdr>
    </w:div>
    <w:div w:id="212765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a.go.ug/index.php/media-centre/what-s-new/369-era-consults-stakeholders-on-the-2022-electricity-tariffs" TargetMode="External"/><Relationship Id="rId13" Type="http://schemas.openxmlformats.org/officeDocument/2006/relationships/hyperlink" Target="https://doi.org/10.1080/15575330.2022.2040134" TargetMode="External"/><Relationship Id="rId18" Type="http://schemas.openxmlformats.org/officeDocument/2006/relationships/hyperlink" Target="https://doi.org/10.1016/j.enpol.2022.11289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cif.org/sites/cif_enc/files/knowledge-documents/country_level_stakeholder_engagement_study.pdf" TargetMode="External"/><Relationship Id="rId12" Type="http://schemas.openxmlformats.org/officeDocument/2006/relationships/hyperlink" Target="https://doi.org/10.1016/j.enpol.2022.112893" TargetMode="External"/><Relationship Id="rId17" Type="http://schemas.openxmlformats.org/officeDocument/2006/relationships/hyperlink" Target="https://www.newvision.co.ug/category/news/delayed-merger-disrupting-energy-sector-servi-NV_18345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rel.gov/docs/fy22osti/82937.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imateactiontransparency.org/wp-content/uploads/2020/04/Stakeholder-Participation-Assessment-Guide.pdf"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80/02646811.2022.2026699" TargetMode="External"/><Relationship Id="rId23" Type="http://schemas.openxmlformats.org/officeDocument/2006/relationships/header" Target="header3.xml"/><Relationship Id="rId10" Type="http://schemas.openxmlformats.org/officeDocument/2006/relationships/hyperlink" Target="https://doi.org/10.1017/978110823559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ra.go.ug" TargetMode="External"/><Relationship Id="rId14" Type="http://schemas.openxmlformats.org/officeDocument/2006/relationships/hyperlink" Target="https://doi.org/10.1016/j.erss.2022.102514"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28</Pages>
  <Words>8755</Words>
  <Characters>49905</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Editor-11</cp:lastModifiedBy>
  <cp:revision>46</cp:revision>
  <dcterms:created xsi:type="dcterms:W3CDTF">2025-02-27T15:24:00Z</dcterms:created>
  <dcterms:modified xsi:type="dcterms:W3CDTF">2025-03-08T10:19:00Z</dcterms:modified>
</cp:coreProperties>
</file>