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E6526" w14:textId="09206F80" w:rsidR="004268BB" w:rsidRPr="004268BB" w:rsidRDefault="004268BB" w:rsidP="004268BB">
      <w:pPr>
        <w:jc w:val="center"/>
        <w:rPr>
          <w:rFonts w:ascii="Times New Roman" w:hAnsi="Times New Roman" w:cs="Times New Roman"/>
          <w:b/>
          <w:sz w:val="32"/>
          <w:szCs w:val="32"/>
        </w:rPr>
      </w:pPr>
      <w:r w:rsidRPr="004268BB">
        <w:rPr>
          <w:rFonts w:ascii="Times New Roman" w:hAnsi="Times New Roman" w:cs="Times New Roman"/>
          <w:b/>
          <w:sz w:val="32"/>
          <w:szCs w:val="32"/>
        </w:rPr>
        <w:t xml:space="preserve">Analysis of the microbiological quality of drinking water from some wells and boreholes in the </w:t>
      </w:r>
      <w:r w:rsidRPr="00D70FB5">
        <w:rPr>
          <w:rFonts w:ascii="Times New Roman" w:hAnsi="Times New Roman" w:cs="Times New Roman"/>
          <w:b/>
          <w:sz w:val="32"/>
          <w:szCs w:val="32"/>
          <w:highlight w:val="yellow"/>
        </w:rPr>
        <w:t>city of Mongo</w:t>
      </w:r>
      <w:r w:rsidR="00D70FB5" w:rsidRPr="00D70FB5">
        <w:rPr>
          <w:rFonts w:ascii="Times New Roman" w:hAnsi="Times New Roman" w:cs="Times New Roman"/>
          <w:b/>
          <w:sz w:val="32"/>
          <w:szCs w:val="32"/>
          <w:highlight w:val="yellow"/>
        </w:rPr>
        <w:t xml:space="preserve">, </w:t>
      </w:r>
      <w:r w:rsidRPr="00D70FB5">
        <w:rPr>
          <w:rFonts w:ascii="Times New Roman" w:hAnsi="Times New Roman" w:cs="Times New Roman"/>
          <w:b/>
          <w:sz w:val="32"/>
          <w:szCs w:val="32"/>
          <w:highlight w:val="yellow"/>
        </w:rPr>
        <w:t>Chad</w:t>
      </w:r>
    </w:p>
    <w:p w14:paraId="726918F4" w14:textId="77777777" w:rsidR="00BF17A8" w:rsidRDefault="00BF17A8" w:rsidP="00BF17A8">
      <w:pPr>
        <w:jc w:val="center"/>
        <w:rPr>
          <w:rFonts w:ascii="Times New Roman" w:eastAsia="Calibri" w:hAnsi="Times New Roman" w:cs="Times New Roman"/>
          <w:b/>
          <w:sz w:val="24"/>
          <w:szCs w:val="24"/>
        </w:rPr>
      </w:pPr>
    </w:p>
    <w:p w14:paraId="44EF4C97" w14:textId="012A8D21" w:rsidR="00BF17A8" w:rsidRPr="00377ABB" w:rsidRDefault="000C4F7E" w:rsidP="00BF17A8">
      <w:pPr>
        <w:spacing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Abstract</w:t>
      </w:r>
      <w:r w:rsidR="00BF17A8" w:rsidRPr="00377ABB">
        <w:rPr>
          <w:rFonts w:ascii="Times New Roman" w:hAnsi="Times New Roman" w:cs="Times New Roman"/>
          <w:sz w:val="24"/>
          <w:szCs w:val="24"/>
        </w:rPr>
        <w:t>:</w:t>
      </w:r>
      <w:proofErr w:type="gramEnd"/>
      <w:r w:rsidR="00BF17A8" w:rsidRPr="00377ABB">
        <w:rPr>
          <w:rFonts w:ascii="Times New Roman" w:hAnsi="Times New Roman" w:cs="Times New Roman"/>
          <w:sz w:val="24"/>
          <w:szCs w:val="24"/>
        </w:rPr>
        <w:t xml:space="preserve"> Water is an essential mineral compound that plays an important role in life, health, and human dignity. Due to the absence of the Chadian Water Society (STE) networks in certain neighbo</w:t>
      </w:r>
      <w:r w:rsidR="0050288F">
        <w:rPr>
          <w:rFonts w:ascii="Times New Roman" w:hAnsi="Times New Roman" w:cs="Times New Roman"/>
          <w:sz w:val="24"/>
          <w:szCs w:val="24"/>
        </w:rPr>
        <w:t>u</w:t>
      </w:r>
      <w:r w:rsidR="00BF17A8" w:rsidRPr="00377ABB">
        <w:rPr>
          <w:rFonts w:ascii="Times New Roman" w:hAnsi="Times New Roman" w:cs="Times New Roman"/>
          <w:sz w:val="24"/>
          <w:szCs w:val="24"/>
        </w:rPr>
        <w:t xml:space="preserve">rhoods, households are forced to source water from other places, such as wells and boreholes. </w:t>
      </w:r>
      <w:r w:rsidR="00BF17A8" w:rsidRPr="007A4A54">
        <w:rPr>
          <w:rFonts w:ascii="Times New Roman" w:hAnsi="Times New Roman" w:cs="Times New Roman"/>
          <w:sz w:val="24"/>
          <w:szCs w:val="24"/>
          <w:highlight w:val="yellow"/>
        </w:rPr>
        <w:t xml:space="preserve">The </w:t>
      </w:r>
      <w:r w:rsidR="007A4A54" w:rsidRPr="007A4A54">
        <w:rPr>
          <w:highlight w:val="yellow"/>
        </w:rPr>
        <w:t xml:space="preserve">aim </w:t>
      </w:r>
      <w:r w:rsidR="00BF17A8" w:rsidRPr="007A4A54">
        <w:rPr>
          <w:rFonts w:ascii="Times New Roman" w:hAnsi="Times New Roman" w:cs="Times New Roman"/>
          <w:sz w:val="24"/>
          <w:szCs w:val="24"/>
          <w:highlight w:val="yellow"/>
        </w:rPr>
        <w:t>of this study is to assess the micro</w:t>
      </w:r>
      <w:r w:rsidR="00BF17A8" w:rsidRPr="00377ABB">
        <w:rPr>
          <w:rFonts w:ascii="Times New Roman" w:hAnsi="Times New Roman" w:cs="Times New Roman"/>
          <w:sz w:val="24"/>
          <w:szCs w:val="24"/>
        </w:rPr>
        <w:t xml:space="preserve">biological quality of well and borehole water consumed in the city of Mongo. </w:t>
      </w:r>
      <w:proofErr w:type="gramStart"/>
      <w:r w:rsidR="00BF17A8" w:rsidRPr="00377ABB">
        <w:rPr>
          <w:rFonts w:ascii="Times New Roman" w:hAnsi="Times New Roman" w:cs="Times New Roman"/>
          <w:b/>
          <w:sz w:val="24"/>
          <w:szCs w:val="24"/>
        </w:rPr>
        <w:t>Methodology:</w:t>
      </w:r>
      <w:proofErr w:type="gramEnd"/>
      <w:r w:rsidR="00BF17A8" w:rsidRPr="00377ABB">
        <w:rPr>
          <w:rFonts w:ascii="Times New Roman" w:hAnsi="Times New Roman" w:cs="Times New Roman"/>
          <w:sz w:val="24"/>
          <w:szCs w:val="24"/>
        </w:rPr>
        <w:t xml:space="preserve"> To carry out this study, a randomized selection of forty-three (43) water points, including sixteen (16) wells and twenty-seven (27) boreholes, was made, and samples were collected. These samples were transported to the National Water Laboratory (LNE) for the analysis of several microbiological parameters, namely </w:t>
      </w:r>
      <w:r w:rsidR="00BF17A8" w:rsidRPr="00377ABB">
        <w:rPr>
          <w:rFonts w:ascii="Times New Roman" w:hAnsi="Times New Roman" w:cs="Times New Roman"/>
          <w:i/>
          <w:sz w:val="24"/>
          <w:szCs w:val="24"/>
        </w:rPr>
        <w:t>Escherichia coli</w:t>
      </w:r>
      <w:r w:rsidR="00BF17A8" w:rsidRPr="00377ABB">
        <w:rPr>
          <w:rFonts w:ascii="Times New Roman" w:hAnsi="Times New Roman" w:cs="Times New Roman"/>
          <w:sz w:val="24"/>
          <w:szCs w:val="24"/>
        </w:rPr>
        <w:t>, Total coliforms, Fecal coliforms, Fe</w:t>
      </w:r>
      <w:r w:rsidR="0023625D" w:rsidRPr="00377ABB">
        <w:rPr>
          <w:rFonts w:ascii="Times New Roman" w:hAnsi="Times New Roman" w:cs="Times New Roman"/>
          <w:sz w:val="24"/>
          <w:szCs w:val="24"/>
        </w:rPr>
        <w:t xml:space="preserve">cal enterococci, </w:t>
      </w:r>
      <w:r w:rsidR="0023625D" w:rsidRPr="00377ABB">
        <w:rPr>
          <w:rFonts w:ascii="Times New Roman" w:hAnsi="Times New Roman" w:cs="Times New Roman"/>
          <w:i/>
          <w:sz w:val="24"/>
          <w:szCs w:val="24"/>
        </w:rPr>
        <w:t>Salmonella spp</w:t>
      </w:r>
      <w:r w:rsidR="00BF17A8" w:rsidRPr="00377ABB">
        <w:rPr>
          <w:rFonts w:ascii="Times New Roman" w:hAnsi="Times New Roman" w:cs="Times New Roman"/>
          <w:sz w:val="24"/>
          <w:szCs w:val="24"/>
        </w:rPr>
        <w:t xml:space="preserve">, and Total aerobic flora. The technique used for this analysis is spread plating and membrane filtration. </w:t>
      </w:r>
      <w:proofErr w:type="gramStart"/>
      <w:r w:rsidR="00BF17A8" w:rsidRPr="00377ABB">
        <w:rPr>
          <w:rFonts w:ascii="Times New Roman" w:hAnsi="Times New Roman" w:cs="Times New Roman"/>
          <w:b/>
          <w:sz w:val="24"/>
          <w:szCs w:val="24"/>
        </w:rPr>
        <w:t>Result:</w:t>
      </w:r>
      <w:proofErr w:type="gramEnd"/>
      <w:r w:rsidR="00BF17A8" w:rsidRPr="00377ABB">
        <w:rPr>
          <w:rFonts w:ascii="Times New Roman" w:hAnsi="Times New Roman" w:cs="Times New Roman"/>
          <w:sz w:val="24"/>
          <w:szCs w:val="24"/>
        </w:rPr>
        <w:t xml:space="preserve"> The average values obtained for borehole water are 0.187</w:t>
      </w:r>
      <w:r w:rsidR="007A0580"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10⁴ CFU/100 ml for Total colifor</w:t>
      </w:r>
      <w:r w:rsidR="007A0580" w:rsidRPr="00377ABB">
        <w:rPr>
          <w:rFonts w:ascii="Times New Roman" w:hAnsi="Times New Roman" w:cs="Times New Roman"/>
          <w:sz w:val="24"/>
          <w:szCs w:val="24"/>
        </w:rPr>
        <w:t>ms, 0.646</w:t>
      </w:r>
      <w:r w:rsidR="007A0580"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10³ CFU/1</w:t>
      </w:r>
      <w:r w:rsidR="0023625D" w:rsidRPr="00377ABB">
        <w:rPr>
          <w:rFonts w:ascii="Times New Roman" w:hAnsi="Times New Roman" w:cs="Times New Roman"/>
          <w:sz w:val="24"/>
          <w:szCs w:val="24"/>
        </w:rPr>
        <w:t>00 ml for F</w:t>
      </w:r>
      <w:r w:rsidR="007A0580" w:rsidRPr="00377ABB">
        <w:rPr>
          <w:rFonts w:ascii="Times New Roman" w:hAnsi="Times New Roman" w:cs="Times New Roman"/>
          <w:sz w:val="24"/>
          <w:szCs w:val="24"/>
        </w:rPr>
        <w:t>ecal coliforms, 1.77</w:t>
      </w:r>
      <w:r w:rsidR="007A0580"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 xml:space="preserve">10³ CFU/100 ml for </w:t>
      </w:r>
      <w:r w:rsidR="00BF17A8" w:rsidRPr="00377ABB">
        <w:rPr>
          <w:rFonts w:ascii="Times New Roman" w:hAnsi="Times New Roman" w:cs="Times New Roman"/>
          <w:i/>
          <w:sz w:val="24"/>
          <w:szCs w:val="24"/>
        </w:rPr>
        <w:t>Esche</w:t>
      </w:r>
      <w:r w:rsidR="0023625D" w:rsidRPr="00377ABB">
        <w:rPr>
          <w:rFonts w:ascii="Times New Roman" w:hAnsi="Times New Roman" w:cs="Times New Roman"/>
          <w:i/>
          <w:sz w:val="24"/>
          <w:szCs w:val="24"/>
        </w:rPr>
        <w:t>richia coli</w:t>
      </w:r>
      <w:r w:rsidR="0023625D" w:rsidRPr="00377ABB">
        <w:rPr>
          <w:rFonts w:ascii="Times New Roman" w:hAnsi="Times New Roman" w:cs="Times New Roman"/>
          <w:sz w:val="24"/>
          <w:szCs w:val="24"/>
        </w:rPr>
        <w:t>, 50 CFU/100 ml for F</w:t>
      </w:r>
      <w:r w:rsidR="00BF17A8" w:rsidRPr="00377ABB">
        <w:rPr>
          <w:rFonts w:ascii="Times New Roman" w:hAnsi="Times New Roman" w:cs="Times New Roman"/>
          <w:sz w:val="24"/>
          <w:szCs w:val="24"/>
        </w:rPr>
        <w:t>ecal enterococci, 11.1</w:t>
      </w:r>
      <w:r w:rsidR="0023625D" w:rsidRPr="00377ABB">
        <w:rPr>
          <w:rFonts w:ascii="Times New Roman" w:hAnsi="Times New Roman" w:cs="Times New Roman"/>
          <w:sz w:val="24"/>
          <w:szCs w:val="24"/>
        </w:rPr>
        <w:t xml:space="preserve">1 CFU/100 ml for </w:t>
      </w:r>
      <w:r w:rsidR="0023625D" w:rsidRPr="00377ABB">
        <w:rPr>
          <w:rFonts w:ascii="Times New Roman" w:hAnsi="Times New Roman" w:cs="Times New Roman"/>
          <w:i/>
          <w:sz w:val="24"/>
          <w:szCs w:val="24"/>
        </w:rPr>
        <w:t>Salmonella spp</w:t>
      </w:r>
      <w:r w:rsidR="00BF17A8" w:rsidRPr="00377ABB">
        <w:rPr>
          <w:rFonts w:ascii="Times New Roman" w:hAnsi="Times New Roman" w:cs="Times New Roman"/>
          <w:sz w:val="24"/>
          <w:szCs w:val="24"/>
        </w:rPr>
        <w:t>, and 1.1888</w:t>
      </w:r>
      <w:r w:rsidR="007A0580"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10⁴ CFU/100 ml for Total aerobic flora. Regarding well water, the average values obtained are 2.081</w:t>
      </w:r>
      <w:r w:rsidR="0023625D"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10³ CFU/100 ml for Total coliforms, 0.412</w:t>
      </w:r>
      <w:r w:rsidR="0023625D" w:rsidRPr="00377ABB">
        <w:rPr>
          <w:rFonts w:ascii="Times New Roman" w:hAnsi="Times New Roman" w:cs="Times New Roman"/>
          <w:sz w:val="24"/>
          <w:szCs w:val="24"/>
          <w:lang w:val="en-US"/>
        </w:rPr>
        <w:t>*</w:t>
      </w:r>
      <w:r w:rsidR="0023625D" w:rsidRPr="00377ABB">
        <w:rPr>
          <w:rFonts w:ascii="Times New Roman" w:hAnsi="Times New Roman" w:cs="Times New Roman"/>
          <w:sz w:val="24"/>
          <w:szCs w:val="24"/>
        </w:rPr>
        <w:t>10³ CFU/100 ml for F</w:t>
      </w:r>
      <w:r w:rsidR="00BF17A8" w:rsidRPr="00377ABB">
        <w:rPr>
          <w:rFonts w:ascii="Times New Roman" w:hAnsi="Times New Roman" w:cs="Times New Roman"/>
          <w:sz w:val="24"/>
          <w:szCs w:val="24"/>
        </w:rPr>
        <w:t>ecal coliforms, 0.7</w:t>
      </w:r>
      <w:r w:rsidR="0023625D"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 xml:space="preserve">10³ CFU/100 ml for </w:t>
      </w:r>
      <w:r w:rsidR="00BF17A8" w:rsidRPr="00377ABB">
        <w:rPr>
          <w:rFonts w:ascii="Times New Roman" w:hAnsi="Times New Roman" w:cs="Times New Roman"/>
          <w:i/>
          <w:sz w:val="24"/>
          <w:szCs w:val="24"/>
        </w:rPr>
        <w:t>Escherichia coli</w:t>
      </w:r>
      <w:r w:rsidR="0023625D" w:rsidRPr="00377ABB">
        <w:rPr>
          <w:rFonts w:ascii="Times New Roman" w:hAnsi="Times New Roman" w:cs="Times New Roman"/>
          <w:sz w:val="24"/>
          <w:szCs w:val="24"/>
        </w:rPr>
        <w:t>, 169 CFU/100 ml for F</w:t>
      </w:r>
      <w:r w:rsidR="00BF17A8" w:rsidRPr="00377ABB">
        <w:rPr>
          <w:rFonts w:ascii="Times New Roman" w:hAnsi="Times New Roman" w:cs="Times New Roman"/>
          <w:sz w:val="24"/>
          <w:szCs w:val="24"/>
        </w:rPr>
        <w:t>ecal enterococci, 1.4983</w:t>
      </w:r>
      <w:r w:rsidR="0023625D"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10</w:t>
      </w:r>
      <w:r w:rsidR="0023625D" w:rsidRPr="00377ABB">
        <w:rPr>
          <w:rFonts w:ascii="Times New Roman" w:hAnsi="Times New Roman" w:cs="Times New Roman"/>
          <w:sz w:val="24"/>
          <w:szCs w:val="24"/>
        </w:rPr>
        <w:t xml:space="preserve">⁴ CFU/100 ml for </w:t>
      </w:r>
      <w:r w:rsidR="0023625D" w:rsidRPr="00377ABB">
        <w:rPr>
          <w:rFonts w:ascii="Times New Roman" w:hAnsi="Times New Roman" w:cs="Times New Roman"/>
          <w:i/>
          <w:sz w:val="24"/>
          <w:szCs w:val="24"/>
        </w:rPr>
        <w:t>Salmonella spp</w:t>
      </w:r>
      <w:r w:rsidR="00BF17A8" w:rsidRPr="00377ABB">
        <w:rPr>
          <w:rFonts w:ascii="Times New Roman" w:hAnsi="Times New Roman" w:cs="Times New Roman"/>
          <w:sz w:val="24"/>
          <w:szCs w:val="24"/>
        </w:rPr>
        <w:t xml:space="preserve">, and 6.25 CFU/100 ml for Total aerobic flora.  </w:t>
      </w:r>
      <w:proofErr w:type="gramStart"/>
      <w:r w:rsidR="00BF17A8" w:rsidRPr="00377ABB">
        <w:rPr>
          <w:rFonts w:ascii="Times New Roman" w:eastAsia="Calibri" w:hAnsi="Times New Roman" w:cs="Times New Roman"/>
          <w:b/>
          <w:sz w:val="24"/>
          <w:szCs w:val="24"/>
        </w:rPr>
        <w:t>Conclusion</w:t>
      </w:r>
      <w:r w:rsidR="00BF17A8" w:rsidRPr="00377ABB">
        <w:rPr>
          <w:rFonts w:ascii="Times New Roman" w:eastAsia="Calibri" w:hAnsi="Times New Roman" w:cs="Times New Roman"/>
          <w:sz w:val="24"/>
          <w:szCs w:val="24"/>
        </w:rPr>
        <w:t>:</w:t>
      </w:r>
      <w:proofErr w:type="gramEnd"/>
      <w:r w:rsidR="00BF17A8" w:rsidRPr="00377ABB">
        <w:rPr>
          <w:rFonts w:ascii="Times New Roman" w:eastAsia="Calibri" w:hAnsi="Times New Roman" w:cs="Times New Roman"/>
          <w:sz w:val="24"/>
          <w:szCs w:val="24"/>
        </w:rPr>
        <w:t xml:space="preserve"> </w:t>
      </w:r>
      <w:r w:rsidR="00BF17A8" w:rsidRPr="00377ABB">
        <w:rPr>
          <w:rFonts w:ascii="Times New Roman" w:hAnsi="Times New Roman" w:cs="Times New Roman"/>
          <w:sz w:val="24"/>
          <w:szCs w:val="24"/>
        </w:rPr>
        <w:t xml:space="preserve">Microbiological analyses showed a high bacterial density in most samples, making them unfit for human consumption when compared to the WHO drinking water standards. Therefore, appropriate intervention strategies must be implemented to address these issues. </w:t>
      </w:r>
    </w:p>
    <w:p w14:paraId="2B5A11C0" w14:textId="5874D95E" w:rsidR="00BF17A8" w:rsidRPr="00377ABB" w:rsidRDefault="00BF17A8" w:rsidP="00BF17A8">
      <w:pPr>
        <w:spacing w:line="360" w:lineRule="auto"/>
        <w:jc w:val="both"/>
        <w:rPr>
          <w:rFonts w:ascii="Times New Roman" w:hAnsi="Times New Roman" w:cs="Times New Roman"/>
          <w:sz w:val="24"/>
          <w:szCs w:val="24"/>
        </w:rPr>
      </w:pPr>
      <w:proofErr w:type="gramStart"/>
      <w:r w:rsidRPr="00377ABB">
        <w:rPr>
          <w:rFonts w:ascii="Times New Roman" w:hAnsi="Times New Roman" w:cs="Times New Roman"/>
          <w:b/>
          <w:sz w:val="24"/>
          <w:szCs w:val="24"/>
        </w:rPr>
        <w:t>Keywords</w:t>
      </w:r>
      <w:r w:rsidRPr="00377ABB">
        <w:rPr>
          <w:rFonts w:ascii="Times New Roman" w:hAnsi="Times New Roman" w:cs="Times New Roman"/>
          <w:sz w:val="24"/>
          <w:szCs w:val="24"/>
        </w:rPr>
        <w:t>:</w:t>
      </w:r>
      <w:proofErr w:type="gramEnd"/>
      <w:r w:rsidRPr="00377ABB">
        <w:rPr>
          <w:rFonts w:ascii="Times New Roman" w:hAnsi="Times New Roman" w:cs="Times New Roman"/>
          <w:sz w:val="24"/>
          <w:szCs w:val="24"/>
        </w:rPr>
        <w:t xml:space="preserve"> Microbiological Quality, Water, Boreholes, Wells, Mongo-Chad</w:t>
      </w:r>
    </w:p>
    <w:p w14:paraId="3967C4DF" w14:textId="77777777" w:rsidR="00BF17A8" w:rsidRPr="00377ABB" w:rsidRDefault="00BF17A8" w:rsidP="00BF17A8">
      <w:pPr>
        <w:pStyle w:val="ListParagraph"/>
        <w:numPr>
          <w:ilvl w:val="0"/>
          <w:numId w:val="4"/>
        </w:numPr>
        <w:spacing w:line="360" w:lineRule="auto"/>
        <w:jc w:val="both"/>
        <w:rPr>
          <w:rFonts w:ascii="Times New Roman" w:hAnsi="Times New Roman" w:cs="Times New Roman"/>
          <w:b/>
          <w:sz w:val="24"/>
          <w:szCs w:val="24"/>
        </w:rPr>
      </w:pPr>
      <w:r w:rsidRPr="00377ABB">
        <w:rPr>
          <w:rFonts w:ascii="Times New Roman" w:hAnsi="Times New Roman" w:cs="Times New Roman"/>
          <w:b/>
          <w:sz w:val="24"/>
          <w:szCs w:val="24"/>
        </w:rPr>
        <w:t>INTRODUCTION</w:t>
      </w:r>
    </w:p>
    <w:p w14:paraId="5CF87BD9" w14:textId="1595A9A7" w:rsidR="00BF17A8" w:rsidRPr="00377ABB" w:rsidRDefault="00BF17A8" w:rsidP="00BF17A8">
      <w:pPr>
        <w:spacing w:line="360" w:lineRule="auto"/>
        <w:jc w:val="both"/>
        <w:rPr>
          <w:rFonts w:ascii="Times New Roman" w:hAnsi="Times New Roman" w:cs="Times New Roman"/>
          <w:b/>
          <w:sz w:val="24"/>
          <w:szCs w:val="24"/>
        </w:rPr>
      </w:pPr>
      <w:r w:rsidRPr="00377ABB">
        <w:rPr>
          <w:rFonts w:ascii="Times New Roman" w:hAnsi="Times New Roman" w:cs="Times New Roman"/>
          <w:sz w:val="24"/>
          <w:szCs w:val="24"/>
        </w:rPr>
        <w:t xml:space="preserve">Water is a mineral compound that plays an essential role </w:t>
      </w:r>
      <w:r w:rsidR="0050288F">
        <w:rPr>
          <w:rFonts w:ascii="Times New Roman" w:hAnsi="Times New Roman" w:cs="Times New Roman"/>
          <w:sz w:val="24"/>
          <w:szCs w:val="24"/>
        </w:rPr>
        <w:t>in</w:t>
      </w:r>
      <w:r w:rsidR="0050288F" w:rsidRPr="00377ABB">
        <w:rPr>
          <w:rFonts w:ascii="Times New Roman" w:hAnsi="Times New Roman" w:cs="Times New Roman"/>
          <w:sz w:val="24"/>
          <w:szCs w:val="24"/>
        </w:rPr>
        <w:t xml:space="preserve"> </w:t>
      </w:r>
      <w:r w:rsidRPr="00377ABB">
        <w:rPr>
          <w:rFonts w:ascii="Times New Roman" w:hAnsi="Times New Roman" w:cs="Times New Roman"/>
          <w:sz w:val="24"/>
          <w:szCs w:val="24"/>
        </w:rPr>
        <w:t xml:space="preserve">life, health, and human dignity </w:t>
      </w:r>
      <w:r w:rsidRPr="00377ABB">
        <w:rPr>
          <w:rFonts w:ascii="Times New Roman" w:hAnsi="Times New Roman" w:cs="Times New Roman"/>
          <w:b/>
          <w:sz w:val="24"/>
          <w:szCs w:val="24"/>
        </w:rPr>
        <w:t>(1</w:t>
      </w:r>
      <w:r w:rsidR="007A4A54">
        <w:rPr>
          <w:rFonts w:ascii="Times New Roman" w:hAnsi="Times New Roman" w:cs="Times New Roman"/>
          <w:b/>
          <w:sz w:val="24"/>
          <w:szCs w:val="24"/>
        </w:rPr>
        <w:t>-5</w:t>
      </w:r>
      <w:r w:rsidRPr="00377ABB">
        <w:rPr>
          <w:rFonts w:ascii="Times New Roman" w:hAnsi="Times New Roman" w:cs="Times New Roman"/>
          <w:b/>
          <w:sz w:val="24"/>
          <w:szCs w:val="24"/>
        </w:rPr>
        <w:t>).</w:t>
      </w:r>
      <w:r w:rsidRPr="00377ABB">
        <w:rPr>
          <w:rFonts w:ascii="Times New Roman" w:hAnsi="Times New Roman" w:cs="Times New Roman"/>
          <w:sz w:val="24"/>
          <w:szCs w:val="24"/>
        </w:rPr>
        <w:t xml:space="preserve"> </w:t>
      </w:r>
      <w:r w:rsidR="00983ACA">
        <w:rPr>
          <w:rFonts w:ascii="Times New Roman" w:hAnsi="Times New Roman" w:cs="Times New Roman"/>
          <w:sz w:val="24"/>
          <w:szCs w:val="24"/>
        </w:rPr>
        <w:t>“</w:t>
      </w:r>
      <w:r w:rsidR="003E4A37">
        <w:rPr>
          <w:rFonts w:ascii="Times New Roman" w:hAnsi="Times New Roman" w:cs="Times New Roman"/>
          <w:sz w:val="24"/>
          <w:szCs w:val="24"/>
        </w:rPr>
        <w:t> </w:t>
      </w:r>
      <w:r w:rsidR="005F2535" w:rsidRPr="005F2535">
        <w:rPr>
          <w:rFonts w:ascii="Arial" w:hAnsi="Arial" w:cs="Arial"/>
          <w:sz w:val="23"/>
          <w:szCs w:val="23"/>
          <w:highlight w:val="yellow"/>
          <w:shd w:val="clear" w:color="auto" w:fill="FFFFFF"/>
        </w:rPr>
        <w:t xml:space="preserve">Water performs a number </w:t>
      </w:r>
      <w:proofErr w:type="gramStart"/>
      <w:r w:rsidR="005F2535" w:rsidRPr="005F2535">
        <w:rPr>
          <w:rFonts w:ascii="Arial" w:hAnsi="Arial" w:cs="Arial"/>
          <w:sz w:val="23"/>
          <w:szCs w:val="23"/>
          <w:highlight w:val="yellow"/>
          <w:shd w:val="clear" w:color="auto" w:fill="FFFFFF"/>
        </w:rPr>
        <w:t>of  functions</w:t>
      </w:r>
      <w:proofErr w:type="gramEnd"/>
      <w:r w:rsidR="005F2535" w:rsidRPr="005F2535">
        <w:rPr>
          <w:rFonts w:ascii="Arial" w:hAnsi="Arial" w:cs="Arial"/>
          <w:sz w:val="23"/>
          <w:szCs w:val="23"/>
          <w:highlight w:val="yellow"/>
          <w:shd w:val="clear" w:color="auto" w:fill="FFFFFF"/>
        </w:rPr>
        <w:t xml:space="preserve">  for the  body.  </w:t>
      </w:r>
      <w:proofErr w:type="gramStart"/>
      <w:r w:rsidR="005F2535" w:rsidRPr="005F2535">
        <w:rPr>
          <w:rFonts w:ascii="Arial" w:hAnsi="Arial" w:cs="Arial"/>
          <w:sz w:val="23"/>
          <w:szCs w:val="23"/>
          <w:highlight w:val="yellow"/>
          <w:shd w:val="clear" w:color="auto" w:fill="FFFFFF"/>
        </w:rPr>
        <w:t>It  serves</w:t>
      </w:r>
      <w:proofErr w:type="gramEnd"/>
      <w:r w:rsidR="005F2535" w:rsidRPr="005F2535">
        <w:rPr>
          <w:rFonts w:ascii="Arial" w:hAnsi="Arial" w:cs="Arial"/>
          <w:sz w:val="23"/>
          <w:szCs w:val="23"/>
          <w:highlight w:val="yellow"/>
          <w:shd w:val="clear" w:color="auto" w:fill="FFFFFF"/>
        </w:rPr>
        <w:t xml:space="preserve">  as  a  body transport  system;  acts  as  a  lubricant;  regulates body temperature; etc. In </w:t>
      </w:r>
      <w:proofErr w:type="gramStart"/>
      <w:r w:rsidR="005F2535" w:rsidRPr="005F2535">
        <w:rPr>
          <w:rFonts w:ascii="Arial" w:hAnsi="Arial" w:cs="Arial"/>
          <w:sz w:val="23"/>
          <w:szCs w:val="23"/>
          <w:highlight w:val="yellow"/>
          <w:shd w:val="clear" w:color="auto" w:fill="FFFFFF"/>
        </w:rPr>
        <w:t>fact;</w:t>
      </w:r>
      <w:proofErr w:type="gramEnd"/>
      <w:r w:rsidR="005F2535" w:rsidRPr="005F2535">
        <w:rPr>
          <w:rFonts w:ascii="Arial" w:hAnsi="Arial" w:cs="Arial"/>
          <w:sz w:val="23"/>
          <w:szCs w:val="23"/>
          <w:highlight w:val="yellow"/>
          <w:shd w:val="clear" w:color="auto" w:fill="FFFFFF"/>
        </w:rPr>
        <w:t xml:space="preserve"> more than 2/3 of the human body is made of water. Safe access </w:t>
      </w:r>
      <w:proofErr w:type="gramStart"/>
      <w:r w:rsidR="005F2535" w:rsidRPr="005F2535">
        <w:rPr>
          <w:rFonts w:ascii="Arial" w:hAnsi="Arial" w:cs="Arial"/>
          <w:sz w:val="23"/>
          <w:szCs w:val="23"/>
          <w:highlight w:val="yellow"/>
          <w:shd w:val="clear" w:color="auto" w:fill="FFFFFF"/>
        </w:rPr>
        <w:t>to  safe</w:t>
      </w:r>
      <w:proofErr w:type="gramEnd"/>
      <w:r w:rsidR="005F2535" w:rsidRPr="005F2535">
        <w:rPr>
          <w:rFonts w:ascii="Arial" w:hAnsi="Arial" w:cs="Arial"/>
          <w:sz w:val="23"/>
          <w:szCs w:val="23"/>
          <w:highlight w:val="yellow"/>
          <w:shd w:val="clear" w:color="auto" w:fill="FFFFFF"/>
        </w:rPr>
        <w:t xml:space="preserve">  drinking  water  for  urban  and  rural populations  in  developing  countries  remains  a challenge  for  sustainable  development</w:t>
      </w:r>
      <w:r w:rsidR="003E4A37">
        <w:rPr>
          <w:rFonts w:ascii="Arial" w:hAnsi="Arial" w:cs="Arial"/>
          <w:sz w:val="23"/>
          <w:szCs w:val="23"/>
          <w:highlight w:val="yellow"/>
          <w:shd w:val="clear" w:color="auto" w:fill="FFFFFF"/>
        </w:rPr>
        <w:t> </w:t>
      </w:r>
      <w:r w:rsidR="00983ACA">
        <w:rPr>
          <w:rFonts w:ascii="Arial" w:hAnsi="Arial" w:cs="Arial"/>
          <w:sz w:val="23"/>
          <w:szCs w:val="23"/>
          <w:highlight w:val="yellow"/>
          <w:shd w:val="clear" w:color="auto" w:fill="FFFFFF"/>
        </w:rPr>
        <w:t>”</w:t>
      </w:r>
      <w:r w:rsidR="005F2535" w:rsidRPr="005F2535">
        <w:rPr>
          <w:rFonts w:ascii="Arial" w:hAnsi="Arial" w:cs="Arial"/>
          <w:sz w:val="23"/>
          <w:szCs w:val="23"/>
          <w:highlight w:val="yellow"/>
          <w:shd w:val="clear" w:color="auto" w:fill="FFFFFF"/>
        </w:rPr>
        <w:t xml:space="preserve">  [</w:t>
      </w:r>
      <w:r w:rsidR="005F2535">
        <w:rPr>
          <w:rFonts w:ascii="Arial" w:hAnsi="Arial" w:cs="Arial"/>
          <w:sz w:val="23"/>
          <w:szCs w:val="23"/>
          <w:highlight w:val="yellow"/>
          <w:shd w:val="clear" w:color="auto" w:fill="FFFFFF"/>
        </w:rPr>
        <w:t>29,30</w:t>
      </w:r>
      <w:r w:rsidR="005F2535" w:rsidRPr="005F2535">
        <w:rPr>
          <w:rFonts w:ascii="Arial" w:hAnsi="Arial" w:cs="Arial"/>
          <w:sz w:val="23"/>
          <w:szCs w:val="23"/>
          <w:highlight w:val="yellow"/>
          <w:shd w:val="clear" w:color="auto" w:fill="FFFFFF"/>
        </w:rPr>
        <w:t>].</w:t>
      </w:r>
      <w:r w:rsidR="005F2535">
        <w:rPr>
          <w:rFonts w:ascii="Arial" w:hAnsi="Arial" w:cs="Arial"/>
          <w:sz w:val="23"/>
          <w:szCs w:val="23"/>
          <w:shd w:val="clear" w:color="auto" w:fill="FFFFFF"/>
        </w:rPr>
        <w:t xml:space="preserve"> </w:t>
      </w:r>
      <w:r w:rsidRPr="00377ABB">
        <w:rPr>
          <w:rFonts w:ascii="Times New Roman" w:hAnsi="Times New Roman" w:cs="Times New Roman"/>
          <w:sz w:val="24"/>
          <w:szCs w:val="24"/>
        </w:rPr>
        <w:t xml:space="preserve">The quality of drinking water is assessed by its physico-chemical and bacteriological properties </w:t>
      </w:r>
      <w:proofErr w:type="gramStart"/>
      <w:r w:rsidRPr="00377ABB">
        <w:rPr>
          <w:rFonts w:ascii="Times New Roman" w:hAnsi="Times New Roman" w:cs="Times New Roman"/>
          <w:sz w:val="24"/>
          <w:szCs w:val="24"/>
        </w:rPr>
        <w:t xml:space="preserve">( </w:t>
      </w:r>
      <w:r w:rsidR="007A4A54">
        <w:rPr>
          <w:rFonts w:ascii="Times New Roman" w:hAnsi="Times New Roman" w:cs="Times New Roman"/>
          <w:b/>
          <w:sz w:val="24"/>
          <w:szCs w:val="24"/>
        </w:rPr>
        <w:t>6</w:t>
      </w:r>
      <w:proofErr w:type="gramEnd"/>
      <w:r w:rsidR="007A4A54">
        <w:rPr>
          <w:rFonts w:ascii="Times New Roman" w:hAnsi="Times New Roman" w:cs="Times New Roman"/>
          <w:b/>
          <w:sz w:val="24"/>
          <w:szCs w:val="24"/>
        </w:rPr>
        <w:t>-10</w:t>
      </w:r>
      <w:r w:rsidRPr="00377ABB">
        <w:rPr>
          <w:rFonts w:ascii="Times New Roman" w:hAnsi="Times New Roman" w:cs="Times New Roman"/>
          <w:sz w:val="24"/>
          <w:szCs w:val="24"/>
        </w:rPr>
        <w:t xml:space="preserve"> ).  </w:t>
      </w:r>
    </w:p>
    <w:p w14:paraId="43B40FB2" w14:textId="1C781446" w:rsidR="00BF17A8" w:rsidRPr="00377ABB" w:rsidRDefault="00983ACA" w:rsidP="00BF17A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3E4A37">
        <w:rPr>
          <w:rFonts w:ascii="Times New Roman" w:hAnsi="Times New Roman" w:cs="Times New Roman"/>
          <w:sz w:val="24"/>
          <w:szCs w:val="24"/>
        </w:rPr>
        <w:t> </w:t>
      </w:r>
      <w:r w:rsidR="00BF17A8" w:rsidRPr="00377ABB">
        <w:rPr>
          <w:rFonts w:ascii="Times New Roman" w:hAnsi="Times New Roman" w:cs="Times New Roman"/>
          <w:sz w:val="24"/>
          <w:szCs w:val="24"/>
        </w:rPr>
        <w:t xml:space="preserve">The United Nations General Assembly expressed serious concern in 2018 that nearly 900 million people worldwide do not have access to clean water. </w:t>
      </w:r>
      <w:r w:rsidR="005E046A" w:rsidRPr="00377ABB">
        <w:rPr>
          <w:rFonts w:ascii="Times New Roman" w:hAnsi="Times New Roman" w:cs="Times New Roman"/>
          <w:sz w:val="24"/>
          <w:szCs w:val="24"/>
        </w:rPr>
        <w:t xml:space="preserve">Microbiological contamination of drinking water can be </w:t>
      </w:r>
      <w:r w:rsidR="005E046A" w:rsidRPr="00D533E5">
        <w:rPr>
          <w:rFonts w:ascii="Times New Roman" w:hAnsi="Times New Roman" w:cs="Times New Roman"/>
          <w:sz w:val="24"/>
          <w:szCs w:val="24"/>
          <w:highlight w:val="yellow"/>
        </w:rPr>
        <w:t>the cause of transposing</w:t>
      </w:r>
      <w:r w:rsidR="00D533E5" w:rsidRPr="00D533E5">
        <w:rPr>
          <w:rFonts w:ascii="Times New Roman" w:hAnsi="Times New Roman" w:cs="Times New Roman"/>
          <w:sz w:val="24"/>
          <w:szCs w:val="24"/>
          <w:highlight w:val="yellow"/>
        </w:rPr>
        <w:t xml:space="preserve">. </w:t>
      </w:r>
      <w:r w:rsidR="005E046A" w:rsidRPr="00D533E5">
        <w:rPr>
          <w:rFonts w:ascii="Times New Roman" w:hAnsi="Times New Roman" w:cs="Times New Roman"/>
          <w:sz w:val="24"/>
          <w:szCs w:val="24"/>
          <w:highlight w:val="yellow"/>
        </w:rPr>
        <w:t>The microbiological</w:t>
      </w:r>
      <w:r w:rsidR="005E046A" w:rsidRPr="00377ABB">
        <w:rPr>
          <w:rFonts w:ascii="Times New Roman" w:hAnsi="Times New Roman" w:cs="Times New Roman"/>
          <w:sz w:val="24"/>
          <w:szCs w:val="24"/>
        </w:rPr>
        <w:t xml:space="preserve"> contamination of drinking water can be the cause of transmission of diseases such as diarrh</w:t>
      </w:r>
      <w:r w:rsidR="0050288F">
        <w:rPr>
          <w:rFonts w:ascii="Times New Roman" w:hAnsi="Times New Roman" w:cs="Times New Roman"/>
          <w:sz w:val="24"/>
          <w:szCs w:val="24"/>
        </w:rPr>
        <w:t>o</w:t>
      </w:r>
      <w:r w:rsidR="005E046A" w:rsidRPr="00377ABB">
        <w:rPr>
          <w:rFonts w:ascii="Times New Roman" w:hAnsi="Times New Roman" w:cs="Times New Roman"/>
          <w:sz w:val="24"/>
          <w:szCs w:val="24"/>
        </w:rPr>
        <w:t>ea, cholera, dysentery, typhoid and polio, and is estimated to cause 505,000 deaths each year from diarrhoeal diseases</w:t>
      </w:r>
      <w:r w:rsidR="003E4A37">
        <w:rPr>
          <w:rFonts w:ascii="Times New Roman" w:hAnsi="Times New Roman" w:cs="Times New Roman"/>
          <w:sz w:val="24"/>
          <w:szCs w:val="24"/>
        </w:rPr>
        <w:t> </w:t>
      </w:r>
      <w:r>
        <w:rPr>
          <w:rFonts w:ascii="Times New Roman" w:hAnsi="Times New Roman" w:cs="Times New Roman"/>
          <w:sz w:val="24"/>
          <w:szCs w:val="24"/>
        </w:rPr>
        <w:t>”</w:t>
      </w:r>
      <w:r w:rsidR="005E046A" w:rsidRPr="00377ABB">
        <w:rPr>
          <w:rFonts w:ascii="Times New Roman" w:hAnsi="Times New Roman" w:cs="Times New Roman"/>
          <w:sz w:val="24"/>
          <w:szCs w:val="24"/>
        </w:rPr>
        <w:t xml:space="preserve"> </w:t>
      </w:r>
      <w:r w:rsidR="00BF17A8" w:rsidRPr="00377ABB">
        <w:rPr>
          <w:rFonts w:ascii="Times New Roman" w:hAnsi="Times New Roman" w:cs="Times New Roman"/>
          <w:b/>
          <w:sz w:val="24"/>
          <w:szCs w:val="24"/>
        </w:rPr>
        <w:t>(12</w:t>
      </w:r>
      <w:r w:rsidR="00BF17A8" w:rsidRPr="00377ABB">
        <w:rPr>
          <w:rFonts w:ascii="Times New Roman" w:hAnsi="Times New Roman" w:cs="Times New Roman"/>
          <w:sz w:val="24"/>
          <w:szCs w:val="24"/>
        </w:rPr>
        <w:t xml:space="preserve">). </w:t>
      </w:r>
    </w:p>
    <w:p w14:paraId="6DCAEDA9" w14:textId="3A2BB09B" w:rsidR="00BF17A8" w:rsidRPr="00377ABB" w:rsidRDefault="00983ACA" w:rsidP="00BF17A8">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3E4A37">
        <w:rPr>
          <w:rFonts w:ascii="Times New Roman" w:hAnsi="Times New Roman" w:cs="Times New Roman"/>
          <w:sz w:val="24"/>
          <w:szCs w:val="24"/>
        </w:rPr>
        <w:t> </w:t>
      </w:r>
      <w:r w:rsidR="00BF17A8" w:rsidRPr="00377ABB">
        <w:rPr>
          <w:rFonts w:ascii="Times New Roman" w:hAnsi="Times New Roman" w:cs="Times New Roman"/>
          <w:sz w:val="24"/>
          <w:szCs w:val="24"/>
        </w:rPr>
        <w:t>In Chad, access to clean drinking water and a healthy environment remains a luxury for the population, despite the good intentions and commitments made by the Chadian government to address this issue through the 2003 water master plan. According to the WHO, in 2017 only 14% of the Chadian population had access to basic sanitation facilities, which contributes to the spread of waterborne diseases</w:t>
      </w:r>
      <w:r w:rsidR="003E4A37">
        <w:rPr>
          <w:rFonts w:ascii="Times New Roman" w:hAnsi="Times New Roman" w:cs="Times New Roman"/>
          <w:sz w:val="24"/>
          <w:szCs w:val="24"/>
        </w:rPr>
        <w:t> </w:t>
      </w:r>
      <w:r>
        <w:rPr>
          <w:rFonts w:ascii="Times New Roman" w:hAnsi="Times New Roman" w:cs="Times New Roman"/>
          <w:sz w:val="24"/>
          <w:szCs w:val="24"/>
        </w:rPr>
        <w:t>”</w:t>
      </w:r>
      <w:r w:rsidR="00BF17A8" w:rsidRPr="00377ABB">
        <w:rPr>
          <w:rFonts w:ascii="Times New Roman" w:hAnsi="Times New Roman" w:cs="Times New Roman"/>
          <w:sz w:val="24"/>
          <w:szCs w:val="24"/>
        </w:rPr>
        <w:t xml:space="preserve"> </w:t>
      </w:r>
      <w:r w:rsidR="00BF17A8" w:rsidRPr="00377ABB">
        <w:rPr>
          <w:rFonts w:ascii="Times New Roman" w:eastAsia="Calibri" w:hAnsi="Times New Roman" w:cs="Times New Roman"/>
          <w:b/>
          <w:color w:val="000000"/>
          <w:sz w:val="24"/>
          <w:szCs w:val="24"/>
        </w:rPr>
        <w:t>(13</w:t>
      </w:r>
      <w:r w:rsidR="0093301F">
        <w:rPr>
          <w:rFonts w:ascii="Times New Roman" w:eastAsia="Calibri" w:hAnsi="Times New Roman" w:cs="Times New Roman"/>
          <w:b/>
          <w:color w:val="000000"/>
          <w:sz w:val="24"/>
          <w:szCs w:val="24"/>
        </w:rPr>
        <w:t>,31</w:t>
      </w:r>
      <w:r w:rsidR="00BF17A8" w:rsidRPr="00377ABB">
        <w:rPr>
          <w:rFonts w:ascii="Times New Roman" w:eastAsia="Calibri" w:hAnsi="Times New Roman" w:cs="Times New Roman"/>
          <w:b/>
          <w:color w:val="000000"/>
          <w:sz w:val="24"/>
          <w:szCs w:val="24"/>
        </w:rPr>
        <w:t>)</w:t>
      </w:r>
      <w:r w:rsidR="00BF17A8" w:rsidRPr="00377ABB">
        <w:rPr>
          <w:rFonts w:ascii="Times New Roman" w:eastAsia="Calibri" w:hAnsi="Times New Roman" w:cs="Times New Roman"/>
          <w:color w:val="000000"/>
          <w:sz w:val="24"/>
          <w:szCs w:val="24"/>
        </w:rPr>
        <w:t xml:space="preserve">. </w:t>
      </w:r>
      <w:r w:rsidR="00BF17A8" w:rsidRPr="00377ABB">
        <w:rPr>
          <w:rFonts w:ascii="Times New Roman" w:hAnsi="Times New Roman" w:cs="Times New Roman"/>
          <w:sz w:val="24"/>
          <w:szCs w:val="24"/>
        </w:rPr>
        <w:t>Furthermore, open defecation is common in many regions of the country, which exacerbates health and environmental risks</w:t>
      </w:r>
      <w:r w:rsidR="00BF17A8" w:rsidRPr="00377ABB">
        <w:rPr>
          <w:rFonts w:ascii="Times New Roman" w:eastAsia="Calibri" w:hAnsi="Times New Roman" w:cs="Times New Roman"/>
          <w:sz w:val="24"/>
          <w:szCs w:val="24"/>
        </w:rPr>
        <w:t xml:space="preserve">. </w:t>
      </w:r>
    </w:p>
    <w:p w14:paraId="1D0C6FF9" w14:textId="0F041BBF" w:rsidR="00BF17A8" w:rsidRPr="00377ABB" w:rsidRDefault="00983ACA" w:rsidP="00BF17A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3E4A37">
        <w:rPr>
          <w:rFonts w:ascii="Times New Roman" w:hAnsi="Times New Roman" w:cs="Times New Roman"/>
          <w:sz w:val="24"/>
          <w:szCs w:val="24"/>
        </w:rPr>
        <w:t> </w:t>
      </w:r>
      <w:r w:rsidR="00BF17A8" w:rsidRPr="00377ABB">
        <w:rPr>
          <w:rFonts w:ascii="Times New Roman" w:hAnsi="Times New Roman" w:cs="Times New Roman"/>
          <w:sz w:val="24"/>
          <w:szCs w:val="24"/>
        </w:rPr>
        <w:t xml:space="preserve">The Guera region, with Mongo as its capital, is among those most affected by water shortages and the practice of open defecation. As an example, the management of the drinking water supply system in the town of Mongo was officially transferred to the Chadian Water Company (STE) on July 23, 2020. With a capacity of 100 m3, the water tower, installed in 1987 </w:t>
      </w:r>
      <w:proofErr w:type="gramStart"/>
      <w:r w:rsidR="00BF17A8" w:rsidRPr="00377ABB">
        <w:rPr>
          <w:rFonts w:ascii="Times New Roman" w:hAnsi="Times New Roman" w:cs="Times New Roman"/>
          <w:sz w:val="24"/>
          <w:szCs w:val="24"/>
        </w:rPr>
        <w:t>for</w:t>
      </w:r>
      <w:proofErr w:type="gramEnd"/>
      <w:r w:rsidR="00BF17A8" w:rsidRPr="00377ABB">
        <w:rPr>
          <w:rFonts w:ascii="Times New Roman" w:hAnsi="Times New Roman" w:cs="Times New Roman"/>
          <w:sz w:val="24"/>
          <w:szCs w:val="24"/>
        </w:rPr>
        <w:t xml:space="preserve"> a population of 15,000 inhabitants, is no longer sufficient to meet the water supply needs of a population now estimated at over 73,000 inhabitants, according to the mayor, putting additional pressure on the available water resources. Furthermore, in the </w:t>
      </w:r>
      <w:bookmarkStart w:id="0" w:name="_GoBack"/>
      <w:bookmarkEnd w:id="0"/>
      <w:r w:rsidR="00BF17A8" w:rsidRPr="00377ABB">
        <w:rPr>
          <w:rFonts w:ascii="Times New Roman" w:hAnsi="Times New Roman" w:cs="Times New Roman"/>
          <w:sz w:val="24"/>
          <w:szCs w:val="24"/>
        </w:rPr>
        <w:t xml:space="preserve">absence of Chadian Water Company (STE) networks in some neighborhoods, households are forced to obtain water from other sources, such as wells, </w:t>
      </w:r>
      <w:r w:rsidR="0050288F">
        <w:rPr>
          <w:rFonts w:ascii="Times New Roman" w:hAnsi="Times New Roman" w:cs="Times New Roman"/>
          <w:sz w:val="24"/>
          <w:szCs w:val="24"/>
        </w:rPr>
        <w:t xml:space="preserve">and </w:t>
      </w:r>
      <w:r w:rsidR="00BF17A8" w:rsidRPr="00377ABB">
        <w:rPr>
          <w:rFonts w:ascii="Times New Roman" w:hAnsi="Times New Roman" w:cs="Times New Roman"/>
          <w:sz w:val="24"/>
          <w:szCs w:val="24"/>
        </w:rPr>
        <w:t>boreholes, and by purchasing water from the STE at public standpipes and/or from street vendors. Other types of water, such as rainwater and water from streams</w:t>
      </w:r>
      <w:r w:rsidR="003E4A37">
        <w:rPr>
          <w:rFonts w:ascii="Times New Roman" w:hAnsi="Times New Roman" w:cs="Times New Roman"/>
          <w:sz w:val="24"/>
          <w:szCs w:val="24"/>
        </w:rPr>
        <w:t> </w:t>
      </w:r>
      <w:r>
        <w:rPr>
          <w:rFonts w:ascii="Times New Roman" w:hAnsi="Times New Roman" w:cs="Times New Roman"/>
          <w:sz w:val="24"/>
          <w:szCs w:val="24"/>
        </w:rPr>
        <w:t>”</w:t>
      </w:r>
      <w:r w:rsidR="003E4A37">
        <w:rPr>
          <w:rFonts w:ascii="Times New Roman" w:hAnsi="Times New Roman" w:cs="Times New Roman"/>
          <w:sz w:val="24"/>
          <w:szCs w:val="24"/>
        </w:rPr>
        <w:t xml:space="preserve"> [13]</w:t>
      </w:r>
      <w:r w:rsidR="00BF17A8" w:rsidRPr="00377ABB">
        <w:rPr>
          <w:rFonts w:ascii="Times New Roman" w:hAnsi="Times New Roman" w:cs="Times New Roman"/>
          <w:sz w:val="24"/>
          <w:szCs w:val="24"/>
        </w:rPr>
        <w:t>.</w:t>
      </w:r>
      <w:r w:rsidR="003E4A37">
        <w:rPr>
          <w:rFonts w:ascii="Times New Roman" w:hAnsi="Times New Roman" w:cs="Times New Roman"/>
          <w:sz w:val="24"/>
          <w:szCs w:val="24"/>
        </w:rPr>
        <w:t xml:space="preserve"> </w:t>
      </w:r>
      <w:r w:rsidR="0019232E" w:rsidRPr="007A4A54">
        <w:rPr>
          <w:rFonts w:ascii="Times New Roman" w:hAnsi="Times New Roman" w:cs="Times New Roman"/>
          <w:sz w:val="24"/>
          <w:szCs w:val="24"/>
          <w:highlight w:val="yellow"/>
        </w:rPr>
        <w:t xml:space="preserve">The </w:t>
      </w:r>
      <w:r w:rsidR="0019232E">
        <w:rPr>
          <w:highlight w:val="yellow"/>
        </w:rPr>
        <w:t>objective</w:t>
      </w:r>
      <w:r w:rsidR="0019232E" w:rsidRPr="007A4A54">
        <w:rPr>
          <w:highlight w:val="yellow"/>
        </w:rPr>
        <w:t xml:space="preserve"> </w:t>
      </w:r>
      <w:r w:rsidR="0019232E" w:rsidRPr="007A4A54">
        <w:rPr>
          <w:rFonts w:ascii="Times New Roman" w:hAnsi="Times New Roman" w:cs="Times New Roman"/>
          <w:sz w:val="24"/>
          <w:szCs w:val="24"/>
          <w:highlight w:val="yellow"/>
        </w:rPr>
        <w:t>of this study is to assess the micro</w:t>
      </w:r>
      <w:r w:rsidR="0019232E" w:rsidRPr="00377ABB">
        <w:rPr>
          <w:rFonts w:ascii="Times New Roman" w:hAnsi="Times New Roman" w:cs="Times New Roman"/>
          <w:sz w:val="24"/>
          <w:szCs w:val="24"/>
        </w:rPr>
        <w:t xml:space="preserve">biological quality of well and borehole water consumed </w:t>
      </w:r>
      <w:r w:rsidR="0019232E" w:rsidRPr="0019232E">
        <w:rPr>
          <w:rFonts w:ascii="Times New Roman" w:hAnsi="Times New Roman" w:cs="Times New Roman"/>
          <w:sz w:val="24"/>
          <w:szCs w:val="24"/>
          <w:highlight w:val="yellow"/>
        </w:rPr>
        <w:t>in the city of Mongo, chad.</w:t>
      </w:r>
      <w:r w:rsidR="0019232E" w:rsidRPr="00377ABB">
        <w:rPr>
          <w:rFonts w:ascii="Times New Roman" w:hAnsi="Times New Roman" w:cs="Times New Roman"/>
          <w:sz w:val="24"/>
          <w:szCs w:val="24"/>
        </w:rPr>
        <w:t xml:space="preserve"> </w:t>
      </w:r>
    </w:p>
    <w:p w14:paraId="01305570" w14:textId="277AFF7D" w:rsidR="0075105A" w:rsidRPr="00377ABB" w:rsidRDefault="0075105A" w:rsidP="00BF17A8">
      <w:pPr>
        <w:spacing w:line="360" w:lineRule="auto"/>
        <w:jc w:val="both"/>
        <w:rPr>
          <w:rFonts w:ascii="Times New Roman" w:hAnsi="Times New Roman" w:cs="Times New Roman"/>
          <w:b/>
          <w:sz w:val="24"/>
          <w:szCs w:val="24"/>
        </w:rPr>
      </w:pPr>
      <w:r w:rsidRPr="00377ABB">
        <w:rPr>
          <w:rFonts w:ascii="Times New Roman" w:hAnsi="Times New Roman" w:cs="Times New Roman"/>
          <w:b/>
          <w:sz w:val="24"/>
          <w:szCs w:val="24"/>
        </w:rPr>
        <w:t>2. MATER</w:t>
      </w:r>
      <w:r w:rsidR="0050288F">
        <w:rPr>
          <w:rFonts w:ascii="Times New Roman" w:hAnsi="Times New Roman" w:cs="Times New Roman"/>
          <w:b/>
          <w:sz w:val="24"/>
          <w:szCs w:val="24"/>
        </w:rPr>
        <w:t>I</w:t>
      </w:r>
      <w:r w:rsidRPr="00377ABB">
        <w:rPr>
          <w:rFonts w:ascii="Times New Roman" w:hAnsi="Times New Roman" w:cs="Times New Roman"/>
          <w:b/>
          <w:sz w:val="24"/>
          <w:szCs w:val="24"/>
        </w:rPr>
        <w:t>ALS AND METHODS</w:t>
      </w:r>
    </w:p>
    <w:p w14:paraId="364A6315" w14:textId="77777777" w:rsidR="0075105A" w:rsidRPr="00377ABB" w:rsidRDefault="0075105A" w:rsidP="00BF17A8">
      <w:pPr>
        <w:spacing w:line="360" w:lineRule="auto"/>
        <w:jc w:val="both"/>
        <w:rPr>
          <w:rFonts w:ascii="Times New Roman" w:hAnsi="Times New Roman" w:cs="Times New Roman"/>
          <w:b/>
          <w:sz w:val="24"/>
          <w:szCs w:val="24"/>
        </w:rPr>
      </w:pPr>
      <w:r w:rsidRPr="00377ABB">
        <w:rPr>
          <w:rFonts w:ascii="Times New Roman" w:hAnsi="Times New Roman" w:cs="Times New Roman"/>
          <w:b/>
          <w:sz w:val="24"/>
          <w:szCs w:val="24"/>
        </w:rPr>
        <w:t>2.1 Framework of study</w:t>
      </w:r>
    </w:p>
    <w:p w14:paraId="5EC7FBB6" w14:textId="6FCA0A59" w:rsidR="0075105A" w:rsidRPr="00377ABB" w:rsidRDefault="0075105A" w:rsidP="00BF17A8">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city of Mongo, </w:t>
      </w:r>
      <w:r w:rsidR="0050288F">
        <w:rPr>
          <w:rFonts w:ascii="Times New Roman" w:hAnsi="Times New Roman" w:cs="Times New Roman"/>
          <w:sz w:val="24"/>
          <w:szCs w:val="24"/>
        </w:rPr>
        <w:t xml:space="preserve">the </w:t>
      </w:r>
      <w:r w:rsidRPr="00377ABB">
        <w:rPr>
          <w:rFonts w:ascii="Times New Roman" w:hAnsi="Times New Roman" w:cs="Times New Roman"/>
          <w:sz w:val="24"/>
          <w:szCs w:val="24"/>
        </w:rPr>
        <w:t>capital of Guera Province, is located between the parallels 12</w:t>
      </w:r>
      <w:r w:rsidRPr="00377ABB">
        <w:rPr>
          <w:rFonts w:ascii="Times New Roman" w:hAnsi="Times New Roman" w:cs="Times New Roman"/>
          <w:sz w:val="24"/>
          <w:szCs w:val="24"/>
          <w:vertAlign w:val="superscript"/>
        </w:rPr>
        <w:t>0</w:t>
      </w:r>
      <w:r w:rsidRPr="00377ABB">
        <w:rPr>
          <w:rFonts w:ascii="Times New Roman" w:hAnsi="Times New Roman" w:cs="Times New Roman"/>
          <w:sz w:val="24"/>
          <w:szCs w:val="24"/>
        </w:rPr>
        <w:t>9.5’ and 12</w:t>
      </w:r>
      <w:r w:rsidRPr="00377ABB">
        <w:rPr>
          <w:rFonts w:ascii="Times New Roman" w:hAnsi="Times New Roman" w:cs="Times New Roman"/>
          <w:sz w:val="24"/>
          <w:szCs w:val="24"/>
          <w:vertAlign w:val="superscript"/>
        </w:rPr>
        <w:t>o</w:t>
      </w:r>
      <w:r w:rsidRPr="00377ABB">
        <w:rPr>
          <w:rFonts w:ascii="Times New Roman" w:hAnsi="Times New Roman" w:cs="Times New Roman"/>
          <w:sz w:val="24"/>
          <w:szCs w:val="24"/>
        </w:rPr>
        <w:t xml:space="preserve">12.5’ </w:t>
      </w:r>
      <w:r w:rsidR="0050288F">
        <w:rPr>
          <w:rFonts w:ascii="Times New Roman" w:hAnsi="Times New Roman" w:cs="Times New Roman"/>
          <w:sz w:val="24"/>
          <w:szCs w:val="24"/>
        </w:rPr>
        <w:t>N</w:t>
      </w:r>
      <w:r w:rsidR="0050288F" w:rsidRPr="00377ABB">
        <w:rPr>
          <w:rFonts w:ascii="Times New Roman" w:hAnsi="Times New Roman" w:cs="Times New Roman"/>
          <w:sz w:val="24"/>
          <w:szCs w:val="24"/>
        </w:rPr>
        <w:t xml:space="preserve">ord </w:t>
      </w:r>
      <w:r w:rsidRPr="00377ABB">
        <w:rPr>
          <w:rFonts w:ascii="Times New Roman" w:hAnsi="Times New Roman" w:cs="Times New Roman"/>
          <w:sz w:val="24"/>
          <w:szCs w:val="24"/>
        </w:rPr>
        <w:t>latitude and the meridians 18</w:t>
      </w:r>
      <w:r w:rsidRPr="00377ABB">
        <w:rPr>
          <w:rFonts w:ascii="Times New Roman" w:hAnsi="Times New Roman" w:cs="Times New Roman"/>
          <w:sz w:val="24"/>
          <w:szCs w:val="24"/>
          <w:vertAlign w:val="superscript"/>
        </w:rPr>
        <w:t>o</w:t>
      </w:r>
      <w:r w:rsidRPr="00377ABB">
        <w:rPr>
          <w:rFonts w:ascii="Times New Roman" w:hAnsi="Times New Roman" w:cs="Times New Roman"/>
          <w:sz w:val="24"/>
          <w:szCs w:val="24"/>
        </w:rPr>
        <w:t>40’ to 18</w:t>
      </w:r>
      <w:r w:rsidRPr="00377ABB">
        <w:rPr>
          <w:rFonts w:ascii="Times New Roman" w:hAnsi="Times New Roman" w:cs="Times New Roman"/>
          <w:sz w:val="24"/>
          <w:szCs w:val="24"/>
          <w:vertAlign w:val="superscript"/>
        </w:rPr>
        <w:t>o</w:t>
      </w:r>
      <w:r w:rsidRPr="00377ABB">
        <w:rPr>
          <w:rFonts w:ascii="Times New Roman" w:hAnsi="Times New Roman" w:cs="Times New Roman"/>
          <w:sz w:val="24"/>
          <w:szCs w:val="24"/>
        </w:rPr>
        <w:t xml:space="preserve">44’ east longitude (fig.1). </w:t>
      </w:r>
      <w:proofErr w:type="gramStart"/>
      <w:r w:rsidRPr="00377ABB">
        <w:rPr>
          <w:rFonts w:ascii="Times New Roman" w:hAnsi="Times New Roman" w:cs="Times New Roman"/>
          <w:sz w:val="24"/>
          <w:szCs w:val="24"/>
        </w:rPr>
        <w:t>it</w:t>
      </w:r>
      <w:proofErr w:type="gramEnd"/>
      <w:r w:rsidRPr="00377ABB">
        <w:rPr>
          <w:rFonts w:ascii="Times New Roman" w:hAnsi="Times New Roman" w:cs="Times New Roman"/>
          <w:sz w:val="24"/>
          <w:szCs w:val="24"/>
        </w:rPr>
        <w:t xml:space="preserve"> is 520 km by road from the capital N’djamena (</w:t>
      </w:r>
      <w:r w:rsidRPr="00377ABB">
        <w:rPr>
          <w:rFonts w:ascii="Times New Roman" w:hAnsi="Times New Roman" w:cs="Times New Roman"/>
          <w:b/>
          <w:sz w:val="24"/>
          <w:szCs w:val="24"/>
        </w:rPr>
        <w:t>14</w:t>
      </w:r>
      <w:r w:rsidRPr="00377ABB">
        <w:rPr>
          <w:rFonts w:ascii="Times New Roman" w:hAnsi="Times New Roman" w:cs="Times New Roman"/>
          <w:sz w:val="24"/>
          <w:szCs w:val="24"/>
        </w:rPr>
        <w:t>).</w:t>
      </w:r>
    </w:p>
    <w:p w14:paraId="39106DAD" w14:textId="77777777" w:rsidR="00BF17A8" w:rsidRPr="00377ABB" w:rsidRDefault="00BF17A8" w:rsidP="00BF17A8">
      <w:pPr>
        <w:jc w:val="both"/>
        <w:rPr>
          <w:rFonts w:ascii="Times New Roman" w:hAnsi="Times New Roman" w:cs="Times New Roman"/>
          <w:b/>
          <w:sz w:val="24"/>
          <w:szCs w:val="24"/>
        </w:rPr>
      </w:pPr>
    </w:p>
    <w:p w14:paraId="464C69A7" w14:textId="77777777" w:rsidR="00BF17A8" w:rsidRDefault="00BF17A8" w:rsidP="00BF17A8">
      <w:pPr>
        <w:spacing w:line="360" w:lineRule="auto"/>
        <w:jc w:val="both"/>
        <w:rPr>
          <w:rFonts w:ascii="Times New Roman" w:hAnsi="Times New Roman" w:cs="Times New Roman"/>
          <w:sz w:val="24"/>
          <w:szCs w:val="24"/>
        </w:rPr>
      </w:pPr>
      <w:r w:rsidRPr="006A301F">
        <w:rPr>
          <w:rFonts w:ascii="Times New Roman" w:hAnsi="Times New Roman" w:cs="Times New Roman"/>
          <w:noProof/>
          <w:sz w:val="24"/>
          <w:szCs w:val="24"/>
          <w:lang w:val="en-GB" w:eastAsia="en-GB"/>
        </w:rPr>
        <w:lastRenderedPageBreak/>
        <w:drawing>
          <wp:inline distT="0" distB="0" distL="0" distR="0" wp14:anchorId="7434B971" wp14:editId="25BB0862">
            <wp:extent cx="5568479" cy="3161764"/>
            <wp:effectExtent l="0" t="0" r="0" b="635"/>
            <wp:docPr id="3" name="Image 3" descr="C:\Users\ACER\AppData\Local\Microsoft\Windows\Temporary Internet Files\Content.Word\Carte M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Carte Mon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6073" cy="3183110"/>
                    </a:xfrm>
                    <a:prstGeom prst="rect">
                      <a:avLst/>
                    </a:prstGeom>
                    <a:noFill/>
                    <a:ln>
                      <a:noFill/>
                    </a:ln>
                  </pic:spPr>
                </pic:pic>
              </a:graphicData>
            </a:graphic>
          </wp:inline>
        </w:drawing>
      </w:r>
    </w:p>
    <w:p w14:paraId="7C7E0368" w14:textId="77777777" w:rsidR="003B6BAD" w:rsidRPr="00377ABB" w:rsidRDefault="003B6BAD" w:rsidP="003B6BAD">
      <w:pPr>
        <w:rPr>
          <w:rFonts w:ascii="Times New Roman" w:hAnsi="Times New Roman" w:cs="Times New Roman"/>
          <w:b/>
          <w:sz w:val="24"/>
          <w:szCs w:val="24"/>
        </w:rPr>
      </w:pPr>
      <w:r w:rsidRPr="00377ABB">
        <w:rPr>
          <w:rFonts w:ascii="Times New Roman" w:hAnsi="Times New Roman" w:cs="Times New Roman"/>
          <w:b/>
          <w:sz w:val="24"/>
        </w:rPr>
        <w:t xml:space="preserve">Figure </w:t>
      </w:r>
      <w:proofErr w:type="gramStart"/>
      <w:r w:rsidRPr="00377ABB">
        <w:rPr>
          <w:rFonts w:ascii="Times New Roman" w:hAnsi="Times New Roman" w:cs="Times New Roman"/>
          <w:b/>
          <w:sz w:val="24"/>
        </w:rPr>
        <w:t>1:</w:t>
      </w:r>
      <w:proofErr w:type="gramEnd"/>
      <w:r w:rsidRPr="00377ABB">
        <w:rPr>
          <w:rFonts w:ascii="Times New Roman" w:hAnsi="Times New Roman" w:cs="Times New Roman"/>
          <w:b/>
          <w:sz w:val="24"/>
        </w:rPr>
        <w:t xml:space="preserve"> Map of the city of Mongo</w:t>
      </w:r>
      <w:r w:rsidRPr="00377ABB">
        <w:rPr>
          <w:rFonts w:ascii="Times New Roman" w:hAnsi="Times New Roman" w:cs="Times New Roman"/>
          <w:b/>
          <w:sz w:val="24"/>
          <w:szCs w:val="24"/>
        </w:rPr>
        <w:t xml:space="preserve"> (LNE, 2024)</w:t>
      </w:r>
    </w:p>
    <w:p w14:paraId="0955A186" w14:textId="77777777" w:rsidR="003B6BAD" w:rsidRPr="00377ABB" w:rsidRDefault="003B6BAD" w:rsidP="003B6BAD">
      <w:pPr>
        <w:rPr>
          <w:rFonts w:ascii="Times New Roman" w:hAnsi="Times New Roman" w:cs="Times New Roman"/>
          <w:b/>
          <w:sz w:val="24"/>
          <w:szCs w:val="24"/>
        </w:rPr>
      </w:pPr>
      <w:r w:rsidRPr="00377ABB">
        <w:rPr>
          <w:rFonts w:ascii="Times New Roman" w:hAnsi="Times New Roman" w:cs="Times New Roman"/>
          <w:b/>
          <w:sz w:val="24"/>
          <w:szCs w:val="24"/>
        </w:rPr>
        <w:t xml:space="preserve">2.2 </w:t>
      </w:r>
      <w:r w:rsidRPr="00377ABB">
        <w:rPr>
          <w:rFonts w:ascii="Times New Roman" w:hAnsi="Times New Roman" w:cs="Times New Roman"/>
          <w:b/>
          <w:sz w:val="24"/>
        </w:rPr>
        <w:t>Identification of Water Points, Sampling, and Sample</w:t>
      </w:r>
      <w:r w:rsidRPr="00377ABB">
        <w:rPr>
          <w:rFonts w:ascii="Times New Roman" w:hAnsi="Times New Roman" w:cs="Times New Roman"/>
          <w:sz w:val="24"/>
        </w:rPr>
        <w:t xml:space="preserve"> </w:t>
      </w:r>
      <w:r w:rsidRPr="00377ABB">
        <w:rPr>
          <w:rFonts w:ascii="Times New Roman" w:hAnsi="Times New Roman" w:cs="Times New Roman"/>
          <w:b/>
          <w:sz w:val="24"/>
        </w:rPr>
        <w:t xml:space="preserve">Conditioning </w:t>
      </w:r>
      <w:r w:rsidRPr="00377ABB">
        <w:rPr>
          <w:rFonts w:ascii="Times New Roman" w:hAnsi="Times New Roman" w:cs="Times New Roman"/>
          <w:sz w:val="24"/>
        </w:rPr>
        <w:t xml:space="preserve"> </w:t>
      </w:r>
    </w:p>
    <w:p w14:paraId="35224528" w14:textId="4E4BA0BE" w:rsidR="003B6BAD" w:rsidRPr="00377ABB" w:rsidRDefault="003B6BAD" w:rsidP="003B6BAD">
      <w:pPr>
        <w:spacing w:line="360" w:lineRule="auto"/>
        <w:jc w:val="both"/>
        <w:rPr>
          <w:rFonts w:ascii="Times New Roman" w:hAnsi="Times New Roman" w:cs="Times New Roman"/>
          <w:sz w:val="24"/>
        </w:rPr>
      </w:pPr>
      <w:r w:rsidRPr="00377ABB">
        <w:rPr>
          <w:rFonts w:ascii="Times New Roman" w:hAnsi="Times New Roman" w:cs="Times New Roman"/>
          <w:sz w:val="24"/>
        </w:rPr>
        <w:t>The operational method used is that adopted by Rodier et al., (</w:t>
      </w:r>
      <w:r w:rsidRPr="00377ABB">
        <w:rPr>
          <w:rFonts w:ascii="Times New Roman" w:hAnsi="Times New Roman" w:cs="Times New Roman"/>
          <w:b/>
          <w:sz w:val="24"/>
        </w:rPr>
        <w:t>15</w:t>
      </w:r>
      <w:r w:rsidRPr="00377ABB">
        <w:rPr>
          <w:rFonts w:ascii="Times New Roman" w:hAnsi="Times New Roman" w:cs="Times New Roman"/>
          <w:sz w:val="24"/>
        </w:rPr>
        <w:t>). A total of forty-three (43) samples were collected, including sixteen (16) well water samples and twenty-seven (27) borehole water samples. The samples were collected in sterile 500 ml glass bottles at each site. The collected samples were immediately sealed, labe</w:t>
      </w:r>
      <w:r w:rsidR="0050288F">
        <w:rPr>
          <w:rFonts w:ascii="Times New Roman" w:hAnsi="Times New Roman" w:cs="Times New Roman"/>
          <w:sz w:val="24"/>
        </w:rPr>
        <w:t>l</w:t>
      </w:r>
      <w:r w:rsidRPr="00377ABB">
        <w:rPr>
          <w:rFonts w:ascii="Times New Roman" w:hAnsi="Times New Roman" w:cs="Times New Roman"/>
          <w:sz w:val="24"/>
        </w:rPr>
        <w:t xml:space="preserve">led, and placed in a cooler with ice packs at a temperature of 4°C and transported to the National Water Laboratory in N'Djamena for microbiological analysis. Six (6) microbiological parameters were investigated and counted in this </w:t>
      </w:r>
      <w:proofErr w:type="gramStart"/>
      <w:r w:rsidRPr="00377ABB">
        <w:rPr>
          <w:rFonts w:ascii="Times New Roman" w:hAnsi="Times New Roman" w:cs="Times New Roman"/>
          <w:sz w:val="24"/>
        </w:rPr>
        <w:t>study:</w:t>
      </w:r>
      <w:proofErr w:type="gramEnd"/>
      <w:r w:rsidRPr="00377ABB">
        <w:rPr>
          <w:rFonts w:ascii="Times New Roman" w:hAnsi="Times New Roman" w:cs="Times New Roman"/>
          <w:sz w:val="24"/>
        </w:rPr>
        <w:t xml:space="preserve"> Total coliforms, f</w:t>
      </w:r>
      <w:r w:rsidR="0050288F">
        <w:rPr>
          <w:rFonts w:ascii="Times New Roman" w:hAnsi="Times New Roman" w:cs="Times New Roman"/>
          <w:sz w:val="24"/>
        </w:rPr>
        <w:t>a</w:t>
      </w:r>
      <w:r w:rsidRPr="00377ABB">
        <w:rPr>
          <w:rFonts w:ascii="Times New Roman" w:hAnsi="Times New Roman" w:cs="Times New Roman"/>
          <w:sz w:val="24"/>
        </w:rPr>
        <w:t>ecal coliforms, Escherichia coli, f</w:t>
      </w:r>
      <w:r w:rsidR="0050288F">
        <w:rPr>
          <w:rFonts w:ascii="Times New Roman" w:hAnsi="Times New Roman" w:cs="Times New Roman"/>
          <w:sz w:val="24"/>
        </w:rPr>
        <w:t>a</w:t>
      </w:r>
      <w:r w:rsidRPr="00377ABB">
        <w:rPr>
          <w:rFonts w:ascii="Times New Roman" w:hAnsi="Times New Roman" w:cs="Times New Roman"/>
          <w:sz w:val="24"/>
        </w:rPr>
        <w:t>ecal enterococci, Salmonella spp., and total aerobic flora.</w:t>
      </w:r>
    </w:p>
    <w:p w14:paraId="7EC3E133" w14:textId="77777777" w:rsidR="00BF17A8" w:rsidRDefault="00BF17A8" w:rsidP="00BF17A8">
      <w:pPr>
        <w:spacing w:line="360" w:lineRule="auto"/>
        <w:jc w:val="both"/>
        <w:rPr>
          <w:rFonts w:ascii="Times New Roman" w:hAnsi="Times New Roman" w:cs="Times New Roman"/>
          <w:sz w:val="24"/>
          <w:szCs w:val="24"/>
        </w:rPr>
      </w:pPr>
      <w:r>
        <w:rPr>
          <w:noProof/>
          <w:lang w:val="en-GB" w:eastAsia="en-GB"/>
        </w:rPr>
        <w:lastRenderedPageBreak/>
        <w:drawing>
          <wp:inline distT="0" distB="0" distL="0" distR="0" wp14:anchorId="133D5379" wp14:editId="32B80174">
            <wp:extent cx="5436777" cy="3137363"/>
            <wp:effectExtent l="0" t="0" r="0" b="6350"/>
            <wp:docPr id="2" name="Image 2" descr="C:\Users\LENOVO\Desktop\Carte échantillonnage_m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rte échantillonnage_mon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5928" cy="3159955"/>
                    </a:xfrm>
                    <a:prstGeom prst="rect">
                      <a:avLst/>
                    </a:prstGeom>
                    <a:noFill/>
                    <a:ln>
                      <a:noFill/>
                    </a:ln>
                  </pic:spPr>
                </pic:pic>
              </a:graphicData>
            </a:graphic>
          </wp:inline>
        </w:drawing>
      </w:r>
    </w:p>
    <w:p w14:paraId="3BA36148" w14:textId="77777777" w:rsidR="003B6BAD" w:rsidRPr="00377ABB" w:rsidRDefault="003B6BAD" w:rsidP="003B6BAD">
      <w:pPr>
        <w:spacing w:line="360" w:lineRule="auto"/>
        <w:jc w:val="both"/>
        <w:rPr>
          <w:rFonts w:ascii="Times New Roman" w:hAnsi="Times New Roman" w:cs="Times New Roman"/>
          <w:sz w:val="24"/>
        </w:rPr>
      </w:pPr>
      <w:r w:rsidRPr="00377ABB">
        <w:rPr>
          <w:rFonts w:ascii="Times New Roman" w:hAnsi="Times New Roman" w:cs="Times New Roman"/>
          <w:b/>
          <w:sz w:val="24"/>
          <w:szCs w:val="24"/>
        </w:rPr>
        <w:t xml:space="preserve">Figure 2 : </w:t>
      </w:r>
      <w:r w:rsidRPr="00377ABB">
        <w:rPr>
          <w:rFonts w:ascii="Times New Roman" w:hAnsi="Times New Roman" w:cs="Times New Roman"/>
          <w:sz w:val="24"/>
        </w:rPr>
        <w:t>Map of the sampling points location</w:t>
      </w:r>
      <w:r w:rsidRPr="00377ABB">
        <w:rPr>
          <w:rFonts w:ascii="Times New Roman" w:hAnsi="Times New Roman" w:cs="Times New Roman"/>
          <w:b/>
          <w:sz w:val="24"/>
          <w:szCs w:val="24"/>
        </w:rPr>
        <w:t xml:space="preserve"> (LNE, 2025) </w:t>
      </w:r>
    </w:p>
    <w:p w14:paraId="05D7D576" w14:textId="77777777" w:rsidR="003B6BAD" w:rsidRPr="00377ABB" w:rsidRDefault="003B6BAD" w:rsidP="003B6BAD">
      <w:pPr>
        <w:jc w:val="both"/>
        <w:rPr>
          <w:rFonts w:ascii="Times New Roman" w:hAnsi="Times New Roman" w:cs="Times New Roman"/>
          <w:b/>
          <w:sz w:val="24"/>
          <w:szCs w:val="24"/>
        </w:rPr>
      </w:pPr>
      <w:r w:rsidRPr="00377ABB">
        <w:rPr>
          <w:rFonts w:ascii="Times New Roman" w:hAnsi="Times New Roman" w:cs="Times New Roman"/>
          <w:b/>
          <w:sz w:val="24"/>
          <w:szCs w:val="24"/>
        </w:rPr>
        <w:t xml:space="preserve">2.3 </w:t>
      </w:r>
      <w:r w:rsidRPr="00377ABB">
        <w:rPr>
          <w:rFonts w:ascii="Times New Roman" w:hAnsi="Times New Roman" w:cs="Times New Roman"/>
          <w:b/>
          <w:sz w:val="24"/>
        </w:rPr>
        <w:t>Microbiological Analysis</w:t>
      </w:r>
    </w:p>
    <w:p w14:paraId="4424BC3A" w14:textId="69A37AF9" w:rsidR="003B6BAD" w:rsidRPr="00377ABB" w:rsidRDefault="003B6BAD" w:rsidP="003B6BAD">
      <w:pPr>
        <w:spacing w:line="360" w:lineRule="auto"/>
        <w:jc w:val="both"/>
        <w:rPr>
          <w:rFonts w:ascii="Times New Roman" w:hAnsi="Times New Roman" w:cs="Times New Roman"/>
          <w:sz w:val="24"/>
        </w:rPr>
      </w:pPr>
      <w:r w:rsidRPr="00377ABB">
        <w:rPr>
          <w:rFonts w:ascii="Times New Roman" w:hAnsi="Times New Roman" w:cs="Times New Roman"/>
          <w:sz w:val="24"/>
        </w:rPr>
        <w:t>The membrane filtration method was used to determine the bacteria indicating f</w:t>
      </w:r>
      <w:r w:rsidR="0050288F">
        <w:rPr>
          <w:rFonts w:ascii="Times New Roman" w:hAnsi="Times New Roman" w:cs="Times New Roman"/>
          <w:sz w:val="24"/>
        </w:rPr>
        <w:t>a</w:t>
      </w:r>
      <w:r w:rsidRPr="00377ABB">
        <w:rPr>
          <w:rFonts w:ascii="Times New Roman" w:hAnsi="Times New Roman" w:cs="Times New Roman"/>
          <w:sz w:val="24"/>
        </w:rPr>
        <w:t xml:space="preserve">ecal pollution. Identification was performed by spreading for some samples and by filtering at least 2 ml of water onto a cellulose membrane with uniformly sized pores of 0.45 μm in diameter. Table 1 summarizes the techniques used, the culture media, the incubation time, and the temperature for each microorganism.  </w:t>
      </w:r>
    </w:p>
    <w:p w14:paraId="5055C4ED" w14:textId="10B258D1" w:rsidR="003B6BAD" w:rsidRDefault="003B6BAD" w:rsidP="003B6BAD">
      <w:pPr>
        <w:jc w:val="center"/>
        <w:rPr>
          <w:rFonts w:ascii="Times New Roman" w:hAnsi="Times New Roman" w:cs="Times New Roman"/>
          <w:b/>
          <w:sz w:val="24"/>
          <w:szCs w:val="24"/>
        </w:rPr>
      </w:pPr>
      <w:r>
        <w:rPr>
          <w:rFonts w:ascii="Times New Roman" w:hAnsi="Times New Roman" w:cs="Times New Roman"/>
          <w:b/>
          <w:sz w:val="24"/>
          <w:szCs w:val="24"/>
        </w:rPr>
        <w:t xml:space="preserve">Table 1 : </w:t>
      </w:r>
      <w:r>
        <w:rPr>
          <w:rFonts w:ascii="Times New Roman" w:hAnsi="Times New Roman" w:cs="Times New Roman"/>
          <w:b/>
          <w:bCs/>
          <w:sz w:val="24"/>
          <w:lang w:val="en-US"/>
        </w:rPr>
        <w:t xml:space="preserve">Method of search and </w:t>
      </w:r>
      <w:r w:rsidRPr="007A4A54">
        <w:rPr>
          <w:rFonts w:ascii="Times New Roman" w:hAnsi="Times New Roman" w:cs="Times New Roman"/>
          <w:b/>
          <w:bCs/>
          <w:sz w:val="24"/>
          <w:highlight w:val="yellow"/>
          <w:lang w:val="en-US"/>
        </w:rPr>
        <w:t xml:space="preserve">identification of the </w:t>
      </w:r>
      <w:r w:rsidR="00E615F1" w:rsidRPr="007A4A54">
        <w:rPr>
          <w:highlight w:val="yellow"/>
        </w:rPr>
        <w:t>Microorganismes</w:t>
      </w:r>
      <w:r w:rsidR="007A4A54" w:rsidRPr="007A4A54">
        <w:rPr>
          <w:highlight w:val="yellow"/>
        </w:rPr>
        <w:t xml:space="preserve"> </w:t>
      </w:r>
      <w:r w:rsidRPr="007A4A54">
        <w:rPr>
          <w:rFonts w:ascii="Times New Roman" w:hAnsi="Times New Roman" w:cs="Times New Roman"/>
          <w:b/>
          <w:bCs/>
          <w:sz w:val="24"/>
          <w:highlight w:val="yellow"/>
          <w:lang w:val="en-US"/>
        </w:rPr>
        <w:t>sought</w:t>
      </w:r>
    </w:p>
    <w:tbl>
      <w:tblPr>
        <w:tblStyle w:val="ListTable6Colorful"/>
        <w:tblW w:w="9022" w:type="dxa"/>
        <w:tblLook w:val="04A0" w:firstRow="1" w:lastRow="0" w:firstColumn="1" w:lastColumn="0" w:noHBand="0" w:noVBand="1"/>
      </w:tblPr>
      <w:tblGrid>
        <w:gridCol w:w="2410"/>
        <w:gridCol w:w="3686"/>
        <w:gridCol w:w="2926"/>
      </w:tblGrid>
      <w:tr w:rsidR="003B6BAD" w14:paraId="32B6995D" w14:textId="77777777" w:rsidTr="003B6BAD">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themeColor="text1"/>
              <w:left w:val="nil"/>
              <w:right w:val="nil"/>
            </w:tcBorders>
            <w:hideMark/>
          </w:tcPr>
          <w:p w14:paraId="0570995C" w14:textId="506B2B9A" w:rsidR="003B6BAD" w:rsidRPr="007A4A54" w:rsidRDefault="007A4A54">
            <w:pPr>
              <w:jc w:val="center"/>
              <w:rPr>
                <w:rFonts w:ascii="Times New Roman" w:eastAsia="Times New Roman" w:hAnsi="Times New Roman" w:cs="Times New Roman"/>
                <w:color w:val="000000"/>
                <w:sz w:val="24"/>
                <w:szCs w:val="24"/>
                <w:highlight w:val="yellow"/>
                <w:lang w:eastAsia="fr-FR"/>
              </w:rPr>
            </w:pPr>
            <w:proofErr w:type="gramStart"/>
            <w:r w:rsidRPr="007A4A54">
              <w:rPr>
                <w:highlight w:val="yellow"/>
              </w:rPr>
              <w:t>microbial</w:t>
            </w:r>
            <w:proofErr w:type="gramEnd"/>
            <w:r w:rsidRPr="007A4A54">
              <w:rPr>
                <w:highlight w:val="yellow"/>
              </w:rPr>
              <w:t xml:space="preserve"> analysis</w:t>
            </w:r>
          </w:p>
        </w:tc>
        <w:tc>
          <w:tcPr>
            <w:tcW w:w="3686" w:type="dxa"/>
            <w:tcBorders>
              <w:top w:val="single" w:sz="4" w:space="0" w:color="000000" w:themeColor="text1"/>
              <w:left w:val="nil"/>
              <w:right w:val="nil"/>
            </w:tcBorders>
            <w:hideMark/>
          </w:tcPr>
          <w:p w14:paraId="4BB8090E" w14:textId="6487995E" w:rsidR="003B6BAD" w:rsidRPr="007A4A54" w:rsidRDefault="003B6B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fr-FR"/>
              </w:rPr>
            </w:pPr>
            <w:r w:rsidRPr="007A4A54">
              <w:rPr>
                <w:rFonts w:ascii="Times New Roman" w:eastAsia="Times New Roman" w:hAnsi="Times New Roman" w:cs="Times New Roman"/>
                <w:bCs w:val="0"/>
                <w:color w:val="000000"/>
                <w:sz w:val="24"/>
                <w:szCs w:val="24"/>
                <w:highlight w:val="yellow"/>
                <w:lang w:eastAsia="fr-FR"/>
              </w:rPr>
              <w:t xml:space="preserve"> </w:t>
            </w:r>
            <w:r w:rsidR="007A4A54" w:rsidRPr="007A4A54">
              <w:rPr>
                <w:highlight w:val="yellow"/>
              </w:rPr>
              <w:t xml:space="preserve">Culture </w:t>
            </w:r>
            <w:r w:rsidRPr="007A4A54">
              <w:rPr>
                <w:rFonts w:ascii="Times New Roman" w:eastAsia="Times New Roman" w:hAnsi="Times New Roman" w:cs="Times New Roman"/>
                <w:bCs w:val="0"/>
                <w:color w:val="000000"/>
                <w:sz w:val="24"/>
                <w:szCs w:val="24"/>
                <w:highlight w:val="yellow"/>
                <w:lang w:eastAsia="fr-FR"/>
              </w:rPr>
              <w:t>medium</w:t>
            </w:r>
          </w:p>
        </w:tc>
        <w:tc>
          <w:tcPr>
            <w:tcW w:w="2926" w:type="dxa"/>
            <w:tcBorders>
              <w:top w:val="single" w:sz="4" w:space="0" w:color="000000" w:themeColor="text1"/>
              <w:left w:val="nil"/>
              <w:right w:val="nil"/>
            </w:tcBorders>
            <w:hideMark/>
          </w:tcPr>
          <w:p w14:paraId="6E40457C" w14:textId="77777777" w:rsidR="003B6BAD" w:rsidRDefault="003B6B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Incubation time and temperature</w:t>
            </w:r>
          </w:p>
        </w:tc>
      </w:tr>
      <w:tr w:rsidR="003B6BAD" w14:paraId="7B9165AE" w14:textId="77777777" w:rsidTr="003B6BA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22264D3E" w14:textId="77777777" w:rsidR="003B6BAD" w:rsidRDefault="003B6BAD">
            <w:pPr>
              <w:jc w:val="center"/>
              <w:rPr>
                <w:rFonts w:ascii="Times New Roman" w:eastAsia="Times New Roman" w:hAnsi="Times New Roman" w:cs="Times New Roman"/>
                <w:b w:val="0"/>
                <w:bCs w:val="0"/>
                <w:color w:val="000000"/>
                <w:sz w:val="24"/>
                <w:szCs w:val="24"/>
                <w:lang w:eastAsia="fr-FR"/>
              </w:rPr>
            </w:pPr>
            <w:r>
              <w:t>Total coliforms</w:t>
            </w:r>
          </w:p>
        </w:tc>
        <w:tc>
          <w:tcPr>
            <w:tcW w:w="3686" w:type="dxa"/>
            <w:tcBorders>
              <w:top w:val="nil"/>
              <w:left w:val="nil"/>
              <w:bottom w:val="nil"/>
              <w:right w:val="nil"/>
            </w:tcBorders>
            <w:hideMark/>
          </w:tcPr>
          <w:p w14:paraId="326E0FCD" w14:textId="29E75851" w:rsidR="003B6BAD" w:rsidRDefault="00E208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208FA">
              <w:rPr>
                <w:rFonts w:ascii="Times New Roman" w:eastAsia="Times New Roman" w:hAnsi="Times New Roman" w:cs="Times New Roman"/>
                <w:color w:val="000000"/>
                <w:sz w:val="24"/>
                <w:szCs w:val="24"/>
                <w:lang w:eastAsia="fr-FR"/>
              </w:rPr>
              <w:t>Chromocult agar</w:t>
            </w:r>
          </w:p>
        </w:tc>
        <w:tc>
          <w:tcPr>
            <w:tcW w:w="2926" w:type="dxa"/>
            <w:tcBorders>
              <w:top w:val="nil"/>
              <w:left w:val="nil"/>
              <w:bottom w:val="nil"/>
              <w:right w:val="nil"/>
            </w:tcBorders>
            <w:hideMark/>
          </w:tcPr>
          <w:p w14:paraId="436101DD"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24h - 36±1°C</w:t>
            </w:r>
          </w:p>
        </w:tc>
      </w:tr>
      <w:tr w:rsidR="003B6BAD" w14:paraId="565B0469" w14:textId="77777777" w:rsidTr="003B6BAD">
        <w:trPr>
          <w:trHeight w:val="345"/>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13F6C1B8" w14:textId="77777777" w:rsidR="003B6BAD" w:rsidRDefault="003B6BAD">
            <w:pPr>
              <w:jc w:val="center"/>
              <w:rPr>
                <w:rFonts w:ascii="Times New Roman" w:eastAsia="Times New Roman" w:hAnsi="Times New Roman" w:cs="Times New Roman"/>
                <w:b w:val="0"/>
                <w:bCs w:val="0"/>
                <w:color w:val="000000"/>
                <w:sz w:val="24"/>
                <w:szCs w:val="24"/>
                <w:lang w:eastAsia="fr-FR"/>
              </w:rPr>
            </w:pPr>
            <w:r>
              <w:t>Fecal coliforms</w:t>
            </w:r>
          </w:p>
        </w:tc>
        <w:tc>
          <w:tcPr>
            <w:tcW w:w="3686" w:type="dxa"/>
            <w:tcBorders>
              <w:top w:val="nil"/>
              <w:left w:val="nil"/>
              <w:bottom w:val="nil"/>
              <w:right w:val="nil"/>
            </w:tcBorders>
            <w:hideMark/>
          </w:tcPr>
          <w:p w14:paraId="7C726CE8" w14:textId="7185140C" w:rsidR="003B6BAD" w:rsidRDefault="00E208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208FA">
              <w:rPr>
                <w:rFonts w:ascii="Times New Roman" w:eastAsia="Times New Roman" w:hAnsi="Times New Roman" w:cs="Times New Roman"/>
                <w:color w:val="000000"/>
                <w:sz w:val="24"/>
                <w:szCs w:val="24"/>
                <w:lang w:eastAsia="fr-FR"/>
              </w:rPr>
              <w:t>Chromocult agar</w:t>
            </w:r>
          </w:p>
        </w:tc>
        <w:tc>
          <w:tcPr>
            <w:tcW w:w="2926" w:type="dxa"/>
            <w:tcBorders>
              <w:top w:val="nil"/>
              <w:left w:val="nil"/>
              <w:bottom w:val="nil"/>
              <w:right w:val="nil"/>
            </w:tcBorders>
            <w:hideMark/>
          </w:tcPr>
          <w:p w14:paraId="4CC901E8"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24h - 44±1°C</w:t>
            </w:r>
          </w:p>
        </w:tc>
      </w:tr>
      <w:tr w:rsidR="003B6BAD" w14:paraId="4CEFFDA2" w14:textId="77777777" w:rsidTr="003B6BA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7CC515E5" w14:textId="77777777" w:rsidR="003B6BAD" w:rsidRDefault="003B6BAD">
            <w:pPr>
              <w:jc w:val="center"/>
              <w:rPr>
                <w:rFonts w:ascii="Times New Roman" w:eastAsia="Times New Roman" w:hAnsi="Times New Roman" w:cs="Times New Roman"/>
                <w:bCs w:val="0"/>
                <w:i/>
                <w:iCs/>
                <w:color w:val="000000"/>
                <w:sz w:val="24"/>
                <w:szCs w:val="24"/>
                <w:lang w:eastAsia="fr-FR"/>
              </w:rPr>
            </w:pPr>
            <w:r>
              <w:rPr>
                <w:rFonts w:ascii="Times New Roman" w:eastAsia="Times New Roman" w:hAnsi="Times New Roman" w:cs="Times New Roman"/>
                <w:bCs w:val="0"/>
                <w:i/>
                <w:iCs/>
                <w:color w:val="000000"/>
                <w:sz w:val="24"/>
                <w:szCs w:val="24"/>
                <w:lang w:eastAsia="fr-FR"/>
              </w:rPr>
              <w:t>Escherichia Coli</w:t>
            </w:r>
          </w:p>
        </w:tc>
        <w:tc>
          <w:tcPr>
            <w:tcW w:w="3686" w:type="dxa"/>
            <w:tcBorders>
              <w:top w:val="nil"/>
              <w:left w:val="nil"/>
              <w:bottom w:val="nil"/>
              <w:right w:val="nil"/>
            </w:tcBorders>
            <w:hideMark/>
          </w:tcPr>
          <w:p w14:paraId="2FE5E5A8" w14:textId="3D01C62B" w:rsidR="003B6BAD" w:rsidRDefault="00E208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208FA">
              <w:rPr>
                <w:rFonts w:ascii="Times New Roman" w:eastAsia="Times New Roman" w:hAnsi="Times New Roman" w:cs="Times New Roman"/>
                <w:color w:val="000000"/>
                <w:sz w:val="24"/>
                <w:szCs w:val="24"/>
                <w:lang w:eastAsia="fr-FR"/>
              </w:rPr>
              <w:t>Chromocult agar</w:t>
            </w:r>
          </w:p>
        </w:tc>
        <w:tc>
          <w:tcPr>
            <w:tcW w:w="2926" w:type="dxa"/>
            <w:tcBorders>
              <w:top w:val="nil"/>
              <w:left w:val="nil"/>
              <w:bottom w:val="nil"/>
              <w:right w:val="nil"/>
            </w:tcBorders>
            <w:hideMark/>
          </w:tcPr>
          <w:p w14:paraId="21A8346D"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24h - 36±1°C</w:t>
            </w:r>
          </w:p>
        </w:tc>
      </w:tr>
      <w:tr w:rsidR="003B6BAD" w14:paraId="25516CC2" w14:textId="77777777" w:rsidTr="003B6BAD">
        <w:trPr>
          <w:trHeight w:val="345"/>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2DE206FF" w14:textId="77777777" w:rsidR="003B6BAD" w:rsidRDefault="003B6BAD">
            <w:pPr>
              <w:jc w:val="center"/>
              <w:rPr>
                <w:rFonts w:ascii="Times New Roman" w:eastAsia="Times New Roman" w:hAnsi="Times New Roman" w:cs="Times New Roman"/>
                <w:b w:val="0"/>
                <w:bCs w:val="0"/>
                <w:color w:val="000000"/>
                <w:sz w:val="24"/>
                <w:szCs w:val="24"/>
                <w:lang w:eastAsia="fr-FR"/>
              </w:rPr>
            </w:pPr>
            <w:r>
              <w:t>Fecal Enterococci</w:t>
            </w:r>
          </w:p>
        </w:tc>
        <w:tc>
          <w:tcPr>
            <w:tcW w:w="3686" w:type="dxa"/>
            <w:tcBorders>
              <w:top w:val="nil"/>
              <w:left w:val="nil"/>
              <w:bottom w:val="nil"/>
              <w:right w:val="nil"/>
            </w:tcBorders>
            <w:hideMark/>
          </w:tcPr>
          <w:p w14:paraId="533321A1"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Slanetz Bartley Agar</w:t>
            </w:r>
          </w:p>
        </w:tc>
        <w:tc>
          <w:tcPr>
            <w:tcW w:w="2926" w:type="dxa"/>
            <w:tcBorders>
              <w:top w:val="nil"/>
              <w:left w:val="nil"/>
              <w:bottom w:val="nil"/>
              <w:right w:val="nil"/>
            </w:tcBorders>
            <w:hideMark/>
          </w:tcPr>
          <w:p w14:paraId="6B9DF1C8"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48h - 36±1°C</w:t>
            </w:r>
          </w:p>
        </w:tc>
      </w:tr>
      <w:tr w:rsidR="003B6BAD" w14:paraId="58B066FD" w14:textId="77777777" w:rsidTr="003B6B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000000" w:themeColor="text1"/>
              <w:right w:val="nil"/>
            </w:tcBorders>
            <w:hideMark/>
          </w:tcPr>
          <w:p w14:paraId="3FC625EB" w14:textId="77777777" w:rsidR="003B6BAD" w:rsidRDefault="003B6BAD">
            <w:pPr>
              <w:jc w:val="center"/>
              <w:rPr>
                <w:rFonts w:ascii="Times New Roman" w:eastAsia="Times New Roman" w:hAnsi="Times New Roman" w:cs="Times New Roman"/>
                <w:b w:val="0"/>
                <w:bCs w:val="0"/>
                <w:i/>
                <w:color w:val="000000"/>
                <w:sz w:val="24"/>
                <w:szCs w:val="24"/>
                <w:lang w:eastAsia="fr-FR"/>
              </w:rPr>
            </w:pPr>
            <w:r>
              <w:t>Total aerobic flora</w:t>
            </w:r>
            <w:r>
              <w:rPr>
                <w:rFonts w:ascii="Times New Roman" w:eastAsia="Times New Roman" w:hAnsi="Times New Roman" w:cs="Times New Roman"/>
                <w:b w:val="0"/>
                <w:bCs w:val="0"/>
                <w:i/>
                <w:color w:val="000000"/>
                <w:sz w:val="24"/>
                <w:szCs w:val="24"/>
                <w:lang w:eastAsia="fr-FR"/>
              </w:rPr>
              <w:t xml:space="preserve"> </w:t>
            </w:r>
            <w:r>
              <w:rPr>
                <w:rFonts w:ascii="Times New Roman" w:eastAsia="Times New Roman" w:hAnsi="Times New Roman" w:cs="Times New Roman"/>
                <w:bCs w:val="0"/>
                <w:i/>
                <w:color w:val="000000"/>
                <w:sz w:val="24"/>
                <w:szCs w:val="24"/>
                <w:lang w:eastAsia="fr-FR"/>
              </w:rPr>
              <w:t>Salmonella SPP</w:t>
            </w:r>
          </w:p>
        </w:tc>
        <w:tc>
          <w:tcPr>
            <w:tcW w:w="3686" w:type="dxa"/>
            <w:tcBorders>
              <w:top w:val="nil"/>
              <w:left w:val="nil"/>
              <w:bottom w:val="single" w:sz="4" w:space="0" w:color="000000" w:themeColor="text1"/>
              <w:right w:val="nil"/>
            </w:tcBorders>
            <w:hideMark/>
          </w:tcPr>
          <w:p w14:paraId="2FA9813D"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PCA</w:t>
            </w:r>
          </w:p>
          <w:p w14:paraId="14CFC4F9"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SS</w:t>
            </w:r>
          </w:p>
        </w:tc>
        <w:tc>
          <w:tcPr>
            <w:tcW w:w="2926" w:type="dxa"/>
            <w:tcBorders>
              <w:top w:val="nil"/>
              <w:left w:val="nil"/>
              <w:bottom w:val="single" w:sz="4" w:space="0" w:color="000000" w:themeColor="text1"/>
              <w:right w:val="nil"/>
            </w:tcBorders>
            <w:hideMark/>
          </w:tcPr>
          <w:p w14:paraId="01C446B3"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24 - 48H - 36±1°C</w:t>
            </w:r>
          </w:p>
          <w:p w14:paraId="61D8E404"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24 - 48H - 36±1°C</w:t>
            </w:r>
          </w:p>
        </w:tc>
      </w:tr>
    </w:tbl>
    <w:p w14:paraId="026BDA38" w14:textId="77777777" w:rsidR="003B6BAD" w:rsidRDefault="003B6BAD" w:rsidP="003B6BAD">
      <w:pPr>
        <w:jc w:val="both"/>
        <w:rPr>
          <w:rFonts w:ascii="Times New Roman" w:hAnsi="Times New Roman" w:cs="Times New Roman"/>
          <w:b/>
          <w:sz w:val="24"/>
          <w:szCs w:val="24"/>
        </w:rPr>
      </w:pPr>
    </w:p>
    <w:p w14:paraId="7E9F55CE" w14:textId="77777777" w:rsidR="003B6BAD" w:rsidRPr="00377ABB" w:rsidRDefault="003B6BAD" w:rsidP="003B6BAD">
      <w:pPr>
        <w:jc w:val="both"/>
        <w:rPr>
          <w:rFonts w:ascii="Times New Roman" w:hAnsi="Times New Roman" w:cs="Times New Roman"/>
          <w:b/>
          <w:sz w:val="24"/>
          <w:szCs w:val="24"/>
        </w:rPr>
      </w:pPr>
      <w:r w:rsidRPr="00377ABB">
        <w:rPr>
          <w:rFonts w:ascii="Times New Roman" w:hAnsi="Times New Roman" w:cs="Times New Roman"/>
          <w:b/>
          <w:sz w:val="24"/>
          <w:szCs w:val="24"/>
        </w:rPr>
        <w:t xml:space="preserve">2.4 </w:t>
      </w:r>
      <w:r w:rsidRPr="00377ABB">
        <w:rPr>
          <w:rStyle w:val="fontstyle01"/>
          <w:b/>
          <w:bCs/>
        </w:rPr>
        <w:t>Data analysis</w:t>
      </w:r>
    </w:p>
    <w:p w14:paraId="41ABBA45" w14:textId="77777777" w:rsidR="003B6BAD" w:rsidRPr="00377ABB" w:rsidRDefault="003B6BAD" w:rsidP="003B6BAD">
      <w:pPr>
        <w:spacing w:after="0"/>
        <w:jc w:val="both"/>
        <w:rPr>
          <w:rStyle w:val="fontstyle01"/>
          <w:lang w:val="en-US"/>
        </w:rPr>
      </w:pPr>
      <w:r w:rsidRPr="00377ABB">
        <w:rPr>
          <w:rStyle w:val="fontstyle01"/>
          <w:lang w:val="en-US"/>
        </w:rPr>
        <w:t>Microsoft Excel 2016 software was used to perform statistical analyses of the data. Microbiological analyses were performed in triplicate. The results are presented as an average.</w:t>
      </w:r>
    </w:p>
    <w:p w14:paraId="7415D256" w14:textId="77777777" w:rsidR="003B6BAD" w:rsidRDefault="003B6BAD" w:rsidP="003B6BAD">
      <w:pPr>
        <w:tabs>
          <w:tab w:val="left" w:pos="2997"/>
        </w:tabs>
        <w:spacing w:before="240"/>
        <w:jc w:val="both"/>
        <w:rPr>
          <w:rStyle w:val="fontstyle01"/>
          <w:b/>
          <w:bCs/>
          <w:lang w:val="en-US"/>
        </w:rPr>
      </w:pPr>
      <w:r w:rsidRPr="00377ABB">
        <w:rPr>
          <w:rStyle w:val="fontstyle01"/>
          <w:b/>
          <w:bCs/>
          <w:lang w:val="en-US"/>
        </w:rPr>
        <w:t>3. Results and discussion</w:t>
      </w:r>
      <w:r>
        <w:rPr>
          <w:rStyle w:val="fontstyle01"/>
          <w:b/>
          <w:bCs/>
          <w:lang w:val="en-US"/>
        </w:rPr>
        <w:tab/>
      </w:r>
    </w:p>
    <w:p w14:paraId="04333551" w14:textId="77777777" w:rsidR="00BF17A8" w:rsidRPr="008E6308" w:rsidRDefault="00BF17A8" w:rsidP="00BF17A8">
      <w:pPr>
        <w:jc w:val="both"/>
        <w:rPr>
          <w:rFonts w:ascii="Times New Roman" w:hAnsi="Times New Roman" w:cs="Times New Roman"/>
          <w:b/>
          <w:sz w:val="24"/>
          <w:szCs w:val="24"/>
        </w:rPr>
      </w:pPr>
    </w:p>
    <w:p w14:paraId="3B911282" w14:textId="64C51BF1" w:rsidR="003B6BAD" w:rsidRDefault="003B6BAD" w:rsidP="003B6BAD">
      <w:pPr>
        <w:jc w:val="both"/>
        <w:rPr>
          <w:rStyle w:val="fontstyle01"/>
          <w:b/>
          <w:lang w:val="en-US"/>
        </w:rPr>
      </w:pPr>
      <w:bookmarkStart w:id="1" w:name="_Toc70250105"/>
      <w:r>
        <w:rPr>
          <w:rStyle w:val="fontstyle01"/>
          <w:b/>
          <w:lang w:val="en-US"/>
        </w:rPr>
        <w:lastRenderedPageBreak/>
        <w:t>3.1</w:t>
      </w:r>
      <w:bookmarkEnd w:id="1"/>
      <w:r>
        <w:rPr>
          <w:rStyle w:val="fontstyle01"/>
          <w:b/>
          <w:lang w:val="en-US"/>
        </w:rPr>
        <w:t xml:space="preserve"> Average loads of </w:t>
      </w:r>
      <w:r w:rsidRPr="007A4A54">
        <w:rPr>
          <w:rStyle w:val="fontstyle01"/>
          <w:b/>
          <w:highlight w:val="yellow"/>
          <w:lang w:val="en-US"/>
        </w:rPr>
        <w:t xml:space="preserve">pathogenic </w:t>
      </w:r>
      <w:r w:rsidR="007A4A54" w:rsidRPr="007A4A54">
        <w:rPr>
          <w:b/>
          <w:bCs/>
          <w:highlight w:val="yellow"/>
        </w:rPr>
        <w:t>Microorganisms</w:t>
      </w:r>
      <w:r w:rsidR="007A4A54" w:rsidRPr="007A4A54">
        <w:rPr>
          <w:highlight w:val="yellow"/>
        </w:rPr>
        <w:t xml:space="preserve"> </w:t>
      </w:r>
      <w:r w:rsidRPr="007A4A54">
        <w:rPr>
          <w:rStyle w:val="fontstyle01"/>
          <w:b/>
          <w:highlight w:val="yellow"/>
          <w:lang w:val="en-US"/>
        </w:rPr>
        <w:t>in</w:t>
      </w:r>
      <w:r>
        <w:rPr>
          <w:rStyle w:val="fontstyle01"/>
          <w:b/>
          <w:lang w:val="en-US"/>
        </w:rPr>
        <w:t xml:space="preserve"> well and borehole water</w:t>
      </w:r>
    </w:p>
    <w:p w14:paraId="477FD3E7" w14:textId="4CC0B9BD" w:rsidR="003B6BAD" w:rsidRDefault="003B6BAD" w:rsidP="003B6BAD">
      <w:pPr>
        <w:autoSpaceDE w:val="0"/>
        <w:autoSpaceDN w:val="0"/>
        <w:adjustRightInd w:val="0"/>
        <w:spacing w:line="240" w:lineRule="auto"/>
        <w:rPr>
          <w:rFonts w:ascii="Times New Roman" w:hAnsi="Times New Roman" w:cs="Times New Roman"/>
          <w:color w:val="FF0000"/>
          <w:sz w:val="24"/>
          <w:szCs w:val="24"/>
        </w:rPr>
      </w:pPr>
      <w:r>
        <w:rPr>
          <w:rFonts w:ascii="Times New Roman" w:hAnsi="Times New Roman" w:cs="Times New Roman"/>
          <w:b/>
          <w:bCs/>
          <w:sz w:val="24"/>
          <w:szCs w:val="24"/>
        </w:rPr>
        <w:t xml:space="preserve">Table 2 </w:t>
      </w:r>
      <w:r>
        <w:rPr>
          <w:rFonts w:ascii="Times New Roman" w:hAnsi="Times New Roman" w:cs="Times New Roman"/>
          <w:sz w:val="24"/>
          <w:szCs w:val="24"/>
        </w:rPr>
        <w:t xml:space="preserve">: </w:t>
      </w:r>
      <w:r>
        <w:rPr>
          <w:rFonts w:ascii="Times New Roman" w:eastAsia="Times New Roman" w:hAnsi="Times New Roman" w:cs="Times New Roman"/>
          <w:color w:val="1F1F1F"/>
          <w:sz w:val="24"/>
          <w:szCs w:val="24"/>
          <w:lang w:val="en" w:eastAsia="fr-FR"/>
        </w:rPr>
        <w:t xml:space="preserve">Average loads and extreme values ​​of the desired </w:t>
      </w:r>
      <w:r w:rsidR="007A4A54">
        <w:t xml:space="preserve">microbes </w:t>
      </w:r>
      <w:r>
        <w:rPr>
          <w:rFonts w:asciiTheme="majorBidi" w:hAnsiTheme="majorBidi" w:cstheme="majorBidi"/>
          <w:sz w:val="24"/>
          <w:szCs w:val="24"/>
          <w:lang w:val="en-US"/>
        </w:rPr>
        <w:t>(CFU/100 mL)</w:t>
      </w:r>
    </w:p>
    <w:tbl>
      <w:tblPr>
        <w:tblStyle w:val="ListTable6Colorful"/>
        <w:tblW w:w="10350" w:type="dxa"/>
        <w:tblInd w:w="-483" w:type="dxa"/>
        <w:tblLayout w:type="fixed"/>
        <w:tblLook w:val="04A0" w:firstRow="1" w:lastRow="0" w:firstColumn="1" w:lastColumn="0" w:noHBand="0" w:noVBand="1"/>
      </w:tblPr>
      <w:tblGrid>
        <w:gridCol w:w="2424"/>
        <w:gridCol w:w="806"/>
        <w:gridCol w:w="967"/>
        <w:gridCol w:w="1237"/>
        <w:gridCol w:w="819"/>
        <w:gridCol w:w="970"/>
        <w:gridCol w:w="1236"/>
        <w:gridCol w:w="1891"/>
      </w:tblGrid>
      <w:tr w:rsidR="003B6BAD" w14:paraId="4199E28E" w14:textId="77777777" w:rsidTr="003B6BAD">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423" w:type="dxa"/>
            <w:tcBorders>
              <w:top w:val="single" w:sz="4" w:space="0" w:color="000000" w:themeColor="text1"/>
              <w:left w:val="nil"/>
              <w:bottom w:val="nil"/>
              <w:right w:val="nil"/>
            </w:tcBorders>
            <w:hideMark/>
          </w:tcPr>
          <w:p w14:paraId="0DF1141F" w14:textId="282D010E" w:rsidR="003B6BAD" w:rsidRDefault="003B6BAD">
            <w:pPr>
              <w:autoSpaceDE w:val="0"/>
              <w:autoSpaceDN w:val="0"/>
              <w:adjustRightInd w:val="0"/>
              <w:rPr>
                <w:rFonts w:ascii="Arial Black" w:hAnsi="Arial Black" w:cs="Times New Roman"/>
                <w:b w:val="0"/>
                <w:bCs w:val="0"/>
                <w:sz w:val="18"/>
                <w:szCs w:val="18"/>
              </w:rPr>
            </w:pPr>
            <w:r>
              <w:rPr>
                <w:rFonts w:ascii="Arial Black" w:hAnsi="Arial Black" w:cs="Times New Roman"/>
                <w:sz w:val="18"/>
                <w:szCs w:val="18"/>
                <w:lang w:val="en-US"/>
              </w:rPr>
              <w:t xml:space="preserve"> </w:t>
            </w:r>
            <w:r>
              <w:rPr>
                <w:rFonts w:ascii="Arial Black" w:hAnsi="Arial Black" w:cs="Times New Roman"/>
                <w:sz w:val="18"/>
                <w:szCs w:val="18"/>
              </w:rPr>
              <w:t xml:space="preserve">Researched </w:t>
            </w:r>
            <w:r w:rsidR="007A4A54">
              <w:t xml:space="preserve">microbes </w:t>
            </w:r>
          </w:p>
        </w:tc>
        <w:tc>
          <w:tcPr>
            <w:tcW w:w="3008" w:type="dxa"/>
            <w:gridSpan w:val="3"/>
            <w:tcBorders>
              <w:top w:val="single" w:sz="4" w:space="0" w:color="000000" w:themeColor="text1"/>
              <w:left w:val="nil"/>
              <w:bottom w:val="nil"/>
              <w:right w:val="nil"/>
            </w:tcBorders>
            <w:hideMark/>
          </w:tcPr>
          <w:p w14:paraId="749D9C83" w14:textId="77777777" w:rsidR="003B6BAD" w:rsidRDefault="003B6BA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Black" w:hAnsi="Arial Black" w:cs="Times New Roman"/>
                <w:sz w:val="18"/>
                <w:szCs w:val="18"/>
              </w:rPr>
            </w:pPr>
            <w:r>
              <w:rPr>
                <w:rFonts w:ascii="Arial Black" w:hAnsi="Arial Black" w:cs="Times New Roman"/>
                <w:sz w:val="18"/>
                <w:szCs w:val="18"/>
              </w:rPr>
              <w:t xml:space="preserve">       Drilling water</w:t>
            </w:r>
          </w:p>
        </w:tc>
        <w:tc>
          <w:tcPr>
            <w:tcW w:w="3023" w:type="dxa"/>
            <w:gridSpan w:val="3"/>
            <w:tcBorders>
              <w:top w:val="single" w:sz="4" w:space="0" w:color="000000" w:themeColor="text1"/>
              <w:left w:val="nil"/>
              <w:bottom w:val="nil"/>
              <w:right w:val="nil"/>
            </w:tcBorders>
            <w:hideMark/>
          </w:tcPr>
          <w:p w14:paraId="5D8A30B8" w14:textId="77777777" w:rsidR="003B6BAD" w:rsidRDefault="003B6BA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Black" w:hAnsi="Arial Black" w:cs="Times New Roman"/>
                <w:sz w:val="18"/>
                <w:szCs w:val="18"/>
              </w:rPr>
            </w:pPr>
            <w:r>
              <w:rPr>
                <w:rFonts w:ascii="Arial Black" w:hAnsi="Arial Black" w:cs="Times New Roman"/>
                <w:sz w:val="18"/>
                <w:szCs w:val="18"/>
              </w:rPr>
              <w:t>Borehole water</w:t>
            </w:r>
          </w:p>
        </w:tc>
        <w:tc>
          <w:tcPr>
            <w:tcW w:w="1890" w:type="dxa"/>
            <w:vMerge w:val="restart"/>
            <w:tcBorders>
              <w:top w:val="single" w:sz="4" w:space="0" w:color="000000" w:themeColor="text1"/>
              <w:left w:val="nil"/>
              <w:bottom w:val="single" w:sz="4" w:space="0" w:color="auto"/>
              <w:right w:val="nil"/>
            </w:tcBorders>
            <w:hideMark/>
          </w:tcPr>
          <w:p w14:paraId="197BE8AD" w14:textId="77777777" w:rsidR="003B6BAD" w:rsidRDefault="003B6BA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Black" w:hAnsi="Arial Black" w:cs="Times New Roman"/>
                <w:sz w:val="18"/>
                <w:szCs w:val="18"/>
              </w:rPr>
            </w:pPr>
            <w:r>
              <w:rPr>
                <w:rFonts w:ascii="Arial Black" w:hAnsi="Arial Black" w:cs="Times New Roman"/>
                <w:sz w:val="18"/>
                <w:szCs w:val="18"/>
              </w:rPr>
              <w:t>WHO Guidelines (2017)</w:t>
            </w:r>
          </w:p>
        </w:tc>
      </w:tr>
      <w:tr w:rsidR="003B6BAD" w14:paraId="03ED6C79" w14:textId="77777777" w:rsidTr="003B6BAD">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single" w:sz="4" w:space="0" w:color="auto"/>
              <w:right w:val="nil"/>
            </w:tcBorders>
          </w:tcPr>
          <w:p w14:paraId="479533C8" w14:textId="77777777" w:rsidR="003B6BAD" w:rsidRDefault="003B6BAD">
            <w:pPr>
              <w:autoSpaceDE w:val="0"/>
              <w:autoSpaceDN w:val="0"/>
              <w:adjustRightInd w:val="0"/>
              <w:rPr>
                <w:rFonts w:ascii="Times New Roman" w:hAnsi="Times New Roman" w:cs="Times New Roman"/>
                <w:sz w:val="18"/>
                <w:szCs w:val="18"/>
              </w:rPr>
            </w:pPr>
          </w:p>
        </w:tc>
        <w:tc>
          <w:tcPr>
            <w:tcW w:w="806" w:type="dxa"/>
            <w:tcBorders>
              <w:top w:val="nil"/>
              <w:left w:val="nil"/>
              <w:bottom w:val="single" w:sz="4" w:space="0" w:color="auto"/>
              <w:right w:val="nil"/>
            </w:tcBorders>
            <w:hideMark/>
          </w:tcPr>
          <w:p w14:paraId="41F06376"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966" w:type="dxa"/>
            <w:tcBorders>
              <w:top w:val="nil"/>
              <w:left w:val="nil"/>
              <w:bottom w:val="single" w:sz="4" w:space="0" w:color="auto"/>
              <w:right w:val="nil"/>
            </w:tcBorders>
            <w:hideMark/>
          </w:tcPr>
          <w:p w14:paraId="3E247D9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1236" w:type="dxa"/>
            <w:tcBorders>
              <w:top w:val="nil"/>
              <w:left w:val="nil"/>
              <w:bottom w:val="single" w:sz="4" w:space="0" w:color="auto"/>
              <w:right w:val="nil"/>
            </w:tcBorders>
            <w:hideMark/>
          </w:tcPr>
          <w:p w14:paraId="18F3980D"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819" w:type="dxa"/>
            <w:tcBorders>
              <w:top w:val="nil"/>
              <w:left w:val="nil"/>
              <w:bottom w:val="single" w:sz="4" w:space="0" w:color="auto"/>
              <w:right w:val="nil"/>
            </w:tcBorders>
            <w:hideMark/>
          </w:tcPr>
          <w:p w14:paraId="541CDE0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969" w:type="dxa"/>
            <w:tcBorders>
              <w:top w:val="nil"/>
              <w:left w:val="nil"/>
              <w:bottom w:val="single" w:sz="4" w:space="0" w:color="auto"/>
              <w:right w:val="nil"/>
            </w:tcBorders>
            <w:hideMark/>
          </w:tcPr>
          <w:p w14:paraId="727F5C75"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Max.</w:t>
            </w:r>
          </w:p>
        </w:tc>
        <w:tc>
          <w:tcPr>
            <w:tcW w:w="1235" w:type="dxa"/>
            <w:tcBorders>
              <w:top w:val="nil"/>
              <w:left w:val="nil"/>
              <w:bottom w:val="single" w:sz="4" w:space="0" w:color="auto"/>
              <w:right w:val="nil"/>
            </w:tcBorders>
            <w:hideMark/>
          </w:tcPr>
          <w:p w14:paraId="1B0AD623"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Avg.</w:t>
            </w:r>
          </w:p>
        </w:tc>
        <w:tc>
          <w:tcPr>
            <w:tcW w:w="1890" w:type="dxa"/>
            <w:vMerge/>
            <w:tcBorders>
              <w:top w:val="single" w:sz="4" w:space="0" w:color="000000" w:themeColor="text1"/>
              <w:left w:val="nil"/>
              <w:bottom w:val="single" w:sz="4" w:space="0" w:color="auto"/>
              <w:right w:val="nil"/>
            </w:tcBorders>
            <w:vAlign w:val="center"/>
            <w:hideMark/>
          </w:tcPr>
          <w:p w14:paraId="09C5CA45" w14:textId="77777777" w:rsidR="003B6BAD" w:rsidRDefault="003B6BAD">
            <w:pPr>
              <w:cnfStyle w:val="000000100000" w:firstRow="0" w:lastRow="0" w:firstColumn="0" w:lastColumn="0" w:oddVBand="0" w:evenVBand="0" w:oddHBand="1" w:evenHBand="0" w:firstRowFirstColumn="0" w:firstRowLastColumn="0" w:lastRowFirstColumn="0" w:lastRowLastColumn="0"/>
              <w:rPr>
                <w:rFonts w:ascii="Arial Black" w:hAnsi="Arial Black" w:cs="Times New Roman"/>
                <w:b/>
                <w:bCs/>
                <w:sz w:val="18"/>
                <w:szCs w:val="18"/>
              </w:rPr>
            </w:pPr>
          </w:p>
        </w:tc>
      </w:tr>
      <w:tr w:rsidR="003B6BAD" w14:paraId="3B4252FB" w14:textId="77777777" w:rsidTr="003B6BAD">
        <w:trPr>
          <w:trHeight w:val="252"/>
        </w:trPr>
        <w:tc>
          <w:tcPr>
            <w:cnfStyle w:val="001000000000" w:firstRow="0" w:lastRow="0" w:firstColumn="1" w:lastColumn="0" w:oddVBand="0" w:evenVBand="0" w:oddHBand="0" w:evenHBand="0" w:firstRowFirstColumn="0" w:firstRowLastColumn="0" w:lastRowFirstColumn="0" w:lastRowLastColumn="0"/>
            <w:tcW w:w="2423" w:type="dxa"/>
            <w:tcBorders>
              <w:top w:val="single" w:sz="4" w:space="0" w:color="auto"/>
              <w:left w:val="nil"/>
              <w:bottom w:val="nil"/>
              <w:right w:val="nil"/>
            </w:tcBorders>
            <w:hideMark/>
          </w:tcPr>
          <w:p w14:paraId="4667024C" w14:textId="77777777" w:rsidR="003B6BAD" w:rsidRDefault="003B6BAD">
            <w:pPr>
              <w:spacing w:line="360" w:lineRule="auto"/>
              <w:rPr>
                <w:rFonts w:ascii="Arial Black" w:hAnsi="Arial Black" w:cs="Times New Roman"/>
                <w:sz w:val="20"/>
                <w:szCs w:val="20"/>
              </w:rPr>
            </w:pPr>
            <w:r>
              <w:rPr>
                <w:rFonts w:ascii="Arial Black" w:hAnsi="Arial Black" w:cs="Times New Roman"/>
                <w:sz w:val="20"/>
                <w:szCs w:val="20"/>
              </w:rPr>
              <w:t>Total coliforms</w:t>
            </w:r>
          </w:p>
        </w:tc>
        <w:tc>
          <w:tcPr>
            <w:tcW w:w="806" w:type="dxa"/>
            <w:tcBorders>
              <w:top w:val="single" w:sz="4" w:space="0" w:color="auto"/>
              <w:left w:val="nil"/>
              <w:bottom w:val="nil"/>
              <w:right w:val="nil"/>
            </w:tcBorders>
            <w:hideMark/>
          </w:tcPr>
          <w:p w14:paraId="78CFFB1E"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400</w:t>
            </w:r>
          </w:p>
        </w:tc>
        <w:tc>
          <w:tcPr>
            <w:tcW w:w="966" w:type="dxa"/>
            <w:tcBorders>
              <w:top w:val="single" w:sz="4" w:space="0" w:color="auto"/>
              <w:left w:val="nil"/>
              <w:bottom w:val="nil"/>
              <w:right w:val="nil"/>
            </w:tcBorders>
            <w:hideMark/>
          </w:tcPr>
          <w:p w14:paraId="5DE1A21C"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0.9 10</w:t>
            </w:r>
            <w:r>
              <w:rPr>
                <w:rFonts w:ascii="Times New Roman" w:hAnsi="Times New Roman" w:cs="Times New Roman"/>
                <w:szCs w:val="24"/>
                <w:vertAlign w:val="superscript"/>
              </w:rPr>
              <w:t>4</w:t>
            </w:r>
          </w:p>
        </w:tc>
        <w:tc>
          <w:tcPr>
            <w:tcW w:w="1236" w:type="dxa"/>
            <w:tcBorders>
              <w:top w:val="single" w:sz="4" w:space="0" w:color="auto"/>
              <w:left w:val="nil"/>
              <w:bottom w:val="nil"/>
              <w:right w:val="nil"/>
            </w:tcBorders>
            <w:hideMark/>
          </w:tcPr>
          <w:p w14:paraId="341501E3"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0.187 10</w:t>
            </w:r>
            <w:r>
              <w:rPr>
                <w:rFonts w:ascii="Times New Roman" w:hAnsi="Times New Roman" w:cs="Times New Roman"/>
                <w:szCs w:val="24"/>
                <w:vertAlign w:val="superscript"/>
              </w:rPr>
              <w:t>4</w:t>
            </w:r>
          </w:p>
        </w:tc>
        <w:tc>
          <w:tcPr>
            <w:tcW w:w="819" w:type="dxa"/>
            <w:tcBorders>
              <w:top w:val="single" w:sz="4" w:space="0" w:color="auto"/>
              <w:left w:val="nil"/>
              <w:bottom w:val="nil"/>
              <w:right w:val="nil"/>
            </w:tcBorders>
            <w:hideMark/>
          </w:tcPr>
          <w:p w14:paraId="24F622A8"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single" w:sz="4" w:space="0" w:color="auto"/>
              <w:left w:val="nil"/>
              <w:bottom w:val="nil"/>
              <w:right w:val="nil"/>
            </w:tcBorders>
            <w:hideMark/>
          </w:tcPr>
          <w:p w14:paraId="119C3B8F"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1.0310</w:t>
            </w:r>
            <w:r>
              <w:rPr>
                <w:rFonts w:ascii="Times New Roman" w:hAnsi="Times New Roman" w:cs="Times New Roman"/>
                <w:szCs w:val="24"/>
                <w:vertAlign w:val="superscript"/>
              </w:rPr>
              <w:t>4</w:t>
            </w:r>
          </w:p>
        </w:tc>
        <w:tc>
          <w:tcPr>
            <w:tcW w:w="1235" w:type="dxa"/>
            <w:tcBorders>
              <w:top w:val="single" w:sz="4" w:space="0" w:color="auto"/>
              <w:left w:val="nil"/>
              <w:bottom w:val="nil"/>
              <w:right w:val="nil"/>
            </w:tcBorders>
            <w:hideMark/>
          </w:tcPr>
          <w:p w14:paraId="31A59D17"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2.081 10</w:t>
            </w:r>
            <w:r>
              <w:rPr>
                <w:rFonts w:ascii="Times New Roman" w:hAnsi="Times New Roman" w:cs="Times New Roman"/>
                <w:szCs w:val="24"/>
                <w:vertAlign w:val="superscript"/>
              </w:rPr>
              <w:t>3</w:t>
            </w:r>
          </w:p>
        </w:tc>
        <w:tc>
          <w:tcPr>
            <w:tcW w:w="1890" w:type="dxa"/>
            <w:tcBorders>
              <w:top w:val="single" w:sz="4" w:space="0" w:color="auto"/>
              <w:left w:val="nil"/>
              <w:bottom w:val="nil"/>
              <w:right w:val="nil"/>
            </w:tcBorders>
            <w:hideMark/>
          </w:tcPr>
          <w:p w14:paraId="3988416A" w14:textId="77777777" w:rsidR="003B6BAD" w:rsidRDefault="003B6B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4528E8B9" w14:textId="77777777" w:rsidTr="003B6BAD">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nil"/>
              <w:right w:val="nil"/>
            </w:tcBorders>
            <w:hideMark/>
          </w:tcPr>
          <w:p w14:paraId="7A7627FE" w14:textId="77777777" w:rsidR="003B6BAD" w:rsidRDefault="003B6BAD">
            <w:pPr>
              <w:spacing w:line="360" w:lineRule="auto"/>
              <w:rPr>
                <w:rFonts w:ascii="Arial Black" w:hAnsi="Arial Black" w:cs="Times New Roman"/>
                <w:sz w:val="20"/>
                <w:szCs w:val="20"/>
              </w:rPr>
            </w:pPr>
            <w:r>
              <w:rPr>
                <w:rFonts w:ascii="Arial Black" w:hAnsi="Arial Black" w:cs="Times New Roman"/>
                <w:sz w:val="20"/>
                <w:szCs w:val="20"/>
              </w:rPr>
              <w:t>Fecal coliforms</w:t>
            </w:r>
          </w:p>
        </w:tc>
        <w:tc>
          <w:tcPr>
            <w:tcW w:w="806" w:type="dxa"/>
            <w:tcBorders>
              <w:top w:val="nil"/>
              <w:left w:val="nil"/>
              <w:bottom w:val="nil"/>
              <w:right w:val="nil"/>
            </w:tcBorders>
            <w:hideMark/>
          </w:tcPr>
          <w:p w14:paraId="21E9400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270</w:t>
            </w:r>
          </w:p>
        </w:tc>
        <w:tc>
          <w:tcPr>
            <w:tcW w:w="966" w:type="dxa"/>
            <w:tcBorders>
              <w:top w:val="nil"/>
              <w:left w:val="nil"/>
              <w:bottom w:val="nil"/>
              <w:right w:val="nil"/>
            </w:tcBorders>
            <w:hideMark/>
          </w:tcPr>
          <w:p w14:paraId="0C4AE11B"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2.6 10</w:t>
            </w:r>
            <w:r>
              <w:rPr>
                <w:rFonts w:ascii="Times New Roman" w:hAnsi="Times New Roman" w:cs="Times New Roman"/>
                <w:szCs w:val="24"/>
                <w:vertAlign w:val="superscript"/>
              </w:rPr>
              <w:t>3</w:t>
            </w:r>
          </w:p>
        </w:tc>
        <w:tc>
          <w:tcPr>
            <w:tcW w:w="1236" w:type="dxa"/>
            <w:tcBorders>
              <w:top w:val="nil"/>
              <w:left w:val="nil"/>
              <w:bottom w:val="nil"/>
              <w:right w:val="nil"/>
            </w:tcBorders>
            <w:hideMark/>
          </w:tcPr>
          <w:p w14:paraId="2FAA8CFF"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0.646 10</w:t>
            </w:r>
            <w:r>
              <w:rPr>
                <w:rFonts w:ascii="Times New Roman" w:hAnsi="Times New Roman" w:cs="Times New Roman"/>
                <w:szCs w:val="24"/>
                <w:vertAlign w:val="superscript"/>
              </w:rPr>
              <w:t>3</w:t>
            </w:r>
          </w:p>
        </w:tc>
        <w:tc>
          <w:tcPr>
            <w:tcW w:w="819" w:type="dxa"/>
            <w:tcBorders>
              <w:top w:val="nil"/>
              <w:left w:val="nil"/>
              <w:bottom w:val="nil"/>
              <w:right w:val="nil"/>
            </w:tcBorders>
            <w:hideMark/>
          </w:tcPr>
          <w:p w14:paraId="3CEFD15A"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nil"/>
              <w:right w:val="nil"/>
            </w:tcBorders>
            <w:hideMark/>
          </w:tcPr>
          <w:p w14:paraId="573F44CF"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0.1 10</w:t>
            </w:r>
            <w:r>
              <w:rPr>
                <w:rFonts w:ascii="Times New Roman" w:hAnsi="Times New Roman" w:cs="Times New Roman"/>
                <w:szCs w:val="24"/>
                <w:vertAlign w:val="superscript"/>
              </w:rPr>
              <w:t>4</w:t>
            </w:r>
          </w:p>
        </w:tc>
        <w:tc>
          <w:tcPr>
            <w:tcW w:w="1235" w:type="dxa"/>
            <w:tcBorders>
              <w:top w:val="nil"/>
              <w:left w:val="nil"/>
              <w:bottom w:val="nil"/>
              <w:right w:val="nil"/>
            </w:tcBorders>
            <w:hideMark/>
          </w:tcPr>
          <w:p w14:paraId="313F8E3E"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0.412 10</w:t>
            </w:r>
            <w:r>
              <w:rPr>
                <w:rFonts w:ascii="Times New Roman" w:hAnsi="Times New Roman" w:cs="Times New Roman"/>
                <w:szCs w:val="24"/>
                <w:vertAlign w:val="superscript"/>
              </w:rPr>
              <w:t>3</w:t>
            </w:r>
          </w:p>
        </w:tc>
        <w:tc>
          <w:tcPr>
            <w:tcW w:w="1890" w:type="dxa"/>
            <w:tcBorders>
              <w:top w:val="nil"/>
              <w:left w:val="nil"/>
              <w:bottom w:val="nil"/>
              <w:right w:val="nil"/>
            </w:tcBorders>
            <w:hideMark/>
          </w:tcPr>
          <w:p w14:paraId="6E40C094" w14:textId="77777777" w:rsidR="003B6BAD" w:rsidRDefault="003B6B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03927208" w14:textId="77777777" w:rsidTr="003B6BAD">
        <w:trPr>
          <w:trHeight w:val="507"/>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nil"/>
              <w:right w:val="nil"/>
            </w:tcBorders>
            <w:hideMark/>
          </w:tcPr>
          <w:p w14:paraId="4D74DDE5" w14:textId="77777777" w:rsidR="003B6BAD" w:rsidRDefault="003B6BAD">
            <w:pPr>
              <w:autoSpaceDE w:val="0"/>
              <w:autoSpaceDN w:val="0"/>
              <w:adjustRightInd w:val="0"/>
              <w:rPr>
                <w:rFonts w:ascii="Arial Black" w:hAnsi="Arial Black" w:cs="Times New Roman"/>
                <w:bCs w:val="0"/>
                <w:i/>
                <w:iCs/>
                <w:sz w:val="20"/>
                <w:szCs w:val="20"/>
              </w:rPr>
            </w:pPr>
            <w:r>
              <w:rPr>
                <w:rFonts w:ascii="Arial Black" w:hAnsi="Arial Black" w:cs="Times New Roman"/>
                <w:bCs w:val="0"/>
                <w:i/>
                <w:iCs/>
                <w:color w:val="000000"/>
                <w:sz w:val="20"/>
                <w:szCs w:val="20"/>
              </w:rPr>
              <w:t>Escherichia coli</w:t>
            </w:r>
          </w:p>
        </w:tc>
        <w:tc>
          <w:tcPr>
            <w:tcW w:w="806" w:type="dxa"/>
            <w:tcBorders>
              <w:top w:val="nil"/>
              <w:left w:val="nil"/>
              <w:bottom w:val="nil"/>
              <w:right w:val="nil"/>
            </w:tcBorders>
            <w:hideMark/>
          </w:tcPr>
          <w:p w14:paraId="1771681F"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6" w:type="dxa"/>
            <w:tcBorders>
              <w:top w:val="nil"/>
              <w:left w:val="nil"/>
              <w:bottom w:val="nil"/>
              <w:right w:val="nil"/>
            </w:tcBorders>
            <w:hideMark/>
          </w:tcPr>
          <w:p w14:paraId="74B41D23"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0.9810</w:t>
            </w:r>
            <w:r>
              <w:rPr>
                <w:rFonts w:ascii="Times New Roman" w:hAnsi="Times New Roman" w:cs="Times New Roman"/>
                <w:szCs w:val="24"/>
                <w:vertAlign w:val="superscript"/>
              </w:rPr>
              <w:t>3</w:t>
            </w:r>
          </w:p>
        </w:tc>
        <w:tc>
          <w:tcPr>
            <w:tcW w:w="1236" w:type="dxa"/>
            <w:tcBorders>
              <w:top w:val="nil"/>
              <w:left w:val="nil"/>
              <w:bottom w:val="nil"/>
              <w:right w:val="nil"/>
            </w:tcBorders>
            <w:hideMark/>
          </w:tcPr>
          <w:p w14:paraId="3CCECA8A"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1.77 10</w:t>
            </w:r>
            <w:r>
              <w:rPr>
                <w:rFonts w:ascii="Times New Roman" w:hAnsi="Times New Roman" w:cs="Times New Roman"/>
                <w:szCs w:val="24"/>
                <w:vertAlign w:val="superscript"/>
              </w:rPr>
              <w:t>3</w:t>
            </w:r>
          </w:p>
        </w:tc>
        <w:tc>
          <w:tcPr>
            <w:tcW w:w="819" w:type="dxa"/>
            <w:tcBorders>
              <w:top w:val="nil"/>
              <w:left w:val="nil"/>
              <w:bottom w:val="nil"/>
              <w:right w:val="nil"/>
            </w:tcBorders>
            <w:hideMark/>
          </w:tcPr>
          <w:p w14:paraId="643CEFAA"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nil"/>
              <w:right w:val="nil"/>
            </w:tcBorders>
            <w:hideMark/>
          </w:tcPr>
          <w:p w14:paraId="10C33D4E"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1.0210</w:t>
            </w:r>
            <w:r>
              <w:rPr>
                <w:rFonts w:ascii="Times New Roman" w:hAnsi="Times New Roman" w:cs="Times New Roman"/>
                <w:szCs w:val="24"/>
                <w:vertAlign w:val="superscript"/>
              </w:rPr>
              <w:t>3</w:t>
            </w:r>
          </w:p>
        </w:tc>
        <w:tc>
          <w:tcPr>
            <w:tcW w:w="1235" w:type="dxa"/>
            <w:tcBorders>
              <w:top w:val="nil"/>
              <w:left w:val="nil"/>
              <w:bottom w:val="nil"/>
              <w:right w:val="nil"/>
            </w:tcBorders>
            <w:hideMark/>
          </w:tcPr>
          <w:p w14:paraId="2D138612"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0.7 10</w:t>
            </w:r>
            <w:r>
              <w:rPr>
                <w:rFonts w:ascii="Times New Roman" w:hAnsi="Times New Roman" w:cs="Times New Roman"/>
                <w:szCs w:val="24"/>
                <w:vertAlign w:val="superscript"/>
              </w:rPr>
              <w:t>3</w:t>
            </w:r>
          </w:p>
        </w:tc>
        <w:tc>
          <w:tcPr>
            <w:tcW w:w="1890" w:type="dxa"/>
            <w:tcBorders>
              <w:top w:val="nil"/>
              <w:left w:val="nil"/>
              <w:bottom w:val="nil"/>
              <w:right w:val="nil"/>
            </w:tcBorders>
            <w:hideMark/>
          </w:tcPr>
          <w:p w14:paraId="610B24DF" w14:textId="77777777" w:rsidR="003B6BAD" w:rsidRDefault="003B6B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60AF86DB" w14:textId="77777777" w:rsidTr="003B6BA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nil"/>
              <w:right w:val="nil"/>
            </w:tcBorders>
            <w:hideMark/>
          </w:tcPr>
          <w:p w14:paraId="242D496A" w14:textId="77777777" w:rsidR="003B6BAD" w:rsidRDefault="003B6BAD">
            <w:pPr>
              <w:autoSpaceDE w:val="0"/>
              <w:autoSpaceDN w:val="0"/>
              <w:adjustRightInd w:val="0"/>
              <w:rPr>
                <w:rFonts w:ascii="Arial Black" w:hAnsi="Arial Black" w:cs="Times New Roman"/>
                <w:b w:val="0"/>
                <w:bCs w:val="0"/>
                <w:sz w:val="20"/>
                <w:szCs w:val="20"/>
              </w:rPr>
            </w:pPr>
            <w:r>
              <w:rPr>
                <w:rFonts w:ascii="Arial Black" w:hAnsi="Arial Black" w:cs="Times New Roman"/>
                <w:sz w:val="20"/>
                <w:szCs w:val="20"/>
              </w:rPr>
              <w:t>Fecal enterococci</w:t>
            </w:r>
          </w:p>
        </w:tc>
        <w:tc>
          <w:tcPr>
            <w:tcW w:w="806" w:type="dxa"/>
            <w:tcBorders>
              <w:top w:val="nil"/>
              <w:left w:val="nil"/>
              <w:bottom w:val="nil"/>
              <w:right w:val="nil"/>
            </w:tcBorders>
            <w:hideMark/>
          </w:tcPr>
          <w:p w14:paraId="78663D4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6" w:type="dxa"/>
            <w:tcBorders>
              <w:top w:val="nil"/>
              <w:left w:val="nil"/>
              <w:bottom w:val="nil"/>
              <w:right w:val="nil"/>
            </w:tcBorders>
            <w:hideMark/>
          </w:tcPr>
          <w:p w14:paraId="054A8BFE"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570</w:t>
            </w:r>
          </w:p>
        </w:tc>
        <w:tc>
          <w:tcPr>
            <w:tcW w:w="1236" w:type="dxa"/>
            <w:tcBorders>
              <w:top w:val="nil"/>
              <w:left w:val="nil"/>
              <w:bottom w:val="nil"/>
              <w:right w:val="nil"/>
            </w:tcBorders>
            <w:hideMark/>
          </w:tcPr>
          <w:p w14:paraId="17E93AA9"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50</w:t>
            </w:r>
          </w:p>
        </w:tc>
        <w:tc>
          <w:tcPr>
            <w:tcW w:w="819" w:type="dxa"/>
            <w:tcBorders>
              <w:top w:val="nil"/>
              <w:left w:val="nil"/>
              <w:bottom w:val="nil"/>
              <w:right w:val="nil"/>
            </w:tcBorders>
            <w:hideMark/>
          </w:tcPr>
          <w:p w14:paraId="697C1F63"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nil"/>
              <w:right w:val="nil"/>
            </w:tcBorders>
            <w:hideMark/>
          </w:tcPr>
          <w:p w14:paraId="59CD096E"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1.7 10</w:t>
            </w:r>
            <w:r>
              <w:rPr>
                <w:rFonts w:ascii="Times New Roman" w:hAnsi="Times New Roman" w:cs="Times New Roman"/>
                <w:szCs w:val="24"/>
                <w:vertAlign w:val="superscript"/>
              </w:rPr>
              <w:t>3</w:t>
            </w:r>
          </w:p>
        </w:tc>
        <w:tc>
          <w:tcPr>
            <w:tcW w:w="1235" w:type="dxa"/>
            <w:tcBorders>
              <w:top w:val="nil"/>
              <w:left w:val="nil"/>
              <w:bottom w:val="nil"/>
              <w:right w:val="nil"/>
            </w:tcBorders>
            <w:hideMark/>
          </w:tcPr>
          <w:p w14:paraId="29EFB374"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169</w:t>
            </w:r>
          </w:p>
        </w:tc>
        <w:tc>
          <w:tcPr>
            <w:tcW w:w="1890" w:type="dxa"/>
            <w:tcBorders>
              <w:top w:val="nil"/>
              <w:left w:val="nil"/>
              <w:bottom w:val="nil"/>
              <w:right w:val="nil"/>
            </w:tcBorders>
            <w:hideMark/>
          </w:tcPr>
          <w:p w14:paraId="6BC43198" w14:textId="77777777" w:rsidR="003B6BAD" w:rsidRDefault="003B6B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4F260C94" w14:textId="77777777" w:rsidTr="003B6BAD">
        <w:trPr>
          <w:trHeight w:val="493"/>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single" w:sz="4" w:space="0" w:color="000000" w:themeColor="text1"/>
              <w:right w:val="nil"/>
            </w:tcBorders>
            <w:hideMark/>
          </w:tcPr>
          <w:p w14:paraId="48D57C77" w14:textId="44F6C4D3" w:rsidR="003B6BAD" w:rsidRDefault="003B6BAD">
            <w:pPr>
              <w:autoSpaceDE w:val="0"/>
              <w:autoSpaceDN w:val="0"/>
              <w:adjustRightInd w:val="0"/>
              <w:rPr>
                <w:rFonts w:ascii="Arial Black" w:hAnsi="Arial Black" w:cs="Times New Roman"/>
                <w:b w:val="0"/>
                <w:bCs w:val="0"/>
                <w:sz w:val="20"/>
                <w:szCs w:val="20"/>
              </w:rPr>
            </w:pPr>
            <w:r>
              <w:rPr>
                <w:rFonts w:ascii="Arial Black" w:hAnsi="Arial Black" w:cs="Times New Roman"/>
                <w:sz w:val="20"/>
                <w:szCs w:val="20"/>
              </w:rPr>
              <w:t>Total aerobic flora</w:t>
            </w:r>
            <w:r>
              <w:rPr>
                <w:rFonts w:ascii="Arial Black" w:hAnsi="Arial Black" w:cs="Times New Roman"/>
                <w:b w:val="0"/>
                <w:bCs w:val="0"/>
                <w:color w:val="000000"/>
                <w:sz w:val="20"/>
                <w:szCs w:val="20"/>
              </w:rPr>
              <w:t xml:space="preserve"> </w:t>
            </w:r>
            <w:r w:rsidRPr="007A4A54">
              <w:rPr>
                <w:rFonts w:ascii="Arial Black" w:hAnsi="Arial Black" w:cs="Times New Roman"/>
                <w:bCs w:val="0"/>
                <w:i/>
                <w:color w:val="000000"/>
                <w:sz w:val="20"/>
                <w:szCs w:val="20"/>
                <w:highlight w:val="yellow"/>
              </w:rPr>
              <w:t xml:space="preserve">Salmonelles </w:t>
            </w:r>
            <w:r w:rsidR="007A4A54" w:rsidRPr="007A4A54">
              <w:rPr>
                <w:rFonts w:ascii="Arial Black" w:hAnsi="Arial Black" w:cs="Times New Roman"/>
                <w:b w:val="0"/>
                <w:i/>
                <w:color w:val="000000"/>
                <w:sz w:val="20"/>
                <w:szCs w:val="20"/>
                <w:highlight w:val="yellow"/>
              </w:rPr>
              <w:t>spp</w:t>
            </w:r>
          </w:p>
        </w:tc>
        <w:tc>
          <w:tcPr>
            <w:tcW w:w="806" w:type="dxa"/>
            <w:tcBorders>
              <w:top w:val="nil"/>
              <w:left w:val="nil"/>
              <w:bottom w:val="single" w:sz="4" w:space="0" w:color="000000" w:themeColor="text1"/>
              <w:right w:val="nil"/>
            </w:tcBorders>
            <w:hideMark/>
          </w:tcPr>
          <w:p w14:paraId="4114B334"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195</w:t>
            </w:r>
          </w:p>
          <w:p w14:paraId="522BA0CA"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6" w:type="dxa"/>
            <w:tcBorders>
              <w:top w:val="nil"/>
              <w:left w:val="nil"/>
              <w:bottom w:val="single" w:sz="4" w:space="0" w:color="000000" w:themeColor="text1"/>
              <w:right w:val="nil"/>
            </w:tcBorders>
            <w:hideMark/>
          </w:tcPr>
          <w:p w14:paraId="6EC4497C"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1.9810</w:t>
            </w:r>
            <w:r>
              <w:rPr>
                <w:rFonts w:ascii="Times New Roman" w:hAnsi="Times New Roman" w:cs="Times New Roman"/>
                <w:szCs w:val="24"/>
                <w:vertAlign w:val="superscript"/>
              </w:rPr>
              <w:t>4</w:t>
            </w:r>
          </w:p>
          <w:p w14:paraId="7B440DA8"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50</w:t>
            </w:r>
          </w:p>
        </w:tc>
        <w:tc>
          <w:tcPr>
            <w:tcW w:w="1236" w:type="dxa"/>
            <w:tcBorders>
              <w:top w:val="nil"/>
              <w:left w:val="nil"/>
              <w:bottom w:val="single" w:sz="4" w:space="0" w:color="000000" w:themeColor="text1"/>
              <w:right w:val="nil"/>
            </w:tcBorders>
            <w:hideMark/>
          </w:tcPr>
          <w:p w14:paraId="7CCCF0B8"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1.1888 10</w:t>
            </w:r>
            <w:r>
              <w:rPr>
                <w:rFonts w:ascii="Times New Roman" w:hAnsi="Times New Roman" w:cs="Times New Roman"/>
                <w:szCs w:val="24"/>
                <w:vertAlign w:val="superscript"/>
              </w:rPr>
              <w:t>4</w:t>
            </w:r>
          </w:p>
          <w:p w14:paraId="5D3BCB70"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11.11</w:t>
            </w:r>
          </w:p>
        </w:tc>
        <w:tc>
          <w:tcPr>
            <w:tcW w:w="819" w:type="dxa"/>
            <w:tcBorders>
              <w:top w:val="nil"/>
              <w:left w:val="nil"/>
              <w:bottom w:val="single" w:sz="4" w:space="0" w:color="000000" w:themeColor="text1"/>
              <w:right w:val="nil"/>
            </w:tcBorders>
            <w:shd w:val="clear" w:color="auto" w:fill="FFFFFF" w:themeFill="background1"/>
            <w:hideMark/>
          </w:tcPr>
          <w:p w14:paraId="59F8669F"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192</w:t>
            </w:r>
          </w:p>
          <w:p w14:paraId="2985C0EC"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single" w:sz="4" w:space="0" w:color="000000" w:themeColor="text1"/>
              <w:right w:val="nil"/>
            </w:tcBorders>
            <w:shd w:val="clear" w:color="auto" w:fill="FFFFFF" w:themeFill="background1"/>
            <w:hideMark/>
          </w:tcPr>
          <w:p w14:paraId="0B46EB70"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1.9710</w:t>
            </w:r>
            <w:r>
              <w:rPr>
                <w:rFonts w:ascii="Times New Roman" w:hAnsi="Times New Roman" w:cs="Times New Roman"/>
                <w:szCs w:val="24"/>
                <w:vertAlign w:val="superscript"/>
              </w:rPr>
              <w:t>4</w:t>
            </w:r>
          </w:p>
          <w:p w14:paraId="3AC2E907"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 w:val="24"/>
                <w:szCs w:val="24"/>
                <w:shd w:val="clear" w:color="auto" w:fill="FFFFFF" w:themeFill="background1"/>
              </w:rPr>
              <w:t>50</w:t>
            </w:r>
          </w:p>
        </w:tc>
        <w:tc>
          <w:tcPr>
            <w:tcW w:w="1235" w:type="dxa"/>
            <w:tcBorders>
              <w:top w:val="nil"/>
              <w:left w:val="nil"/>
              <w:bottom w:val="single" w:sz="4" w:space="0" w:color="000000" w:themeColor="text1"/>
              <w:right w:val="nil"/>
            </w:tcBorders>
            <w:hideMark/>
          </w:tcPr>
          <w:p w14:paraId="62727401"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1.4983 10</w:t>
            </w:r>
            <w:r>
              <w:rPr>
                <w:rFonts w:ascii="Times New Roman" w:hAnsi="Times New Roman" w:cs="Times New Roman"/>
                <w:szCs w:val="24"/>
                <w:vertAlign w:val="superscript"/>
              </w:rPr>
              <w:t>4</w:t>
            </w:r>
          </w:p>
          <w:p w14:paraId="5BD9289F"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6.25</w:t>
            </w:r>
          </w:p>
        </w:tc>
        <w:tc>
          <w:tcPr>
            <w:tcW w:w="1890" w:type="dxa"/>
            <w:tcBorders>
              <w:top w:val="nil"/>
              <w:left w:val="nil"/>
              <w:bottom w:val="single" w:sz="4" w:space="0" w:color="000000" w:themeColor="text1"/>
              <w:right w:val="nil"/>
            </w:tcBorders>
            <w:hideMark/>
          </w:tcPr>
          <w:p w14:paraId="34F848EF"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w:t>
            </w:r>
          </w:p>
          <w:p w14:paraId="3412C541" w14:textId="77777777" w:rsidR="003B6BAD" w:rsidRDefault="003B6B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 xml:space="preserve">00 UFC/ 100 ml </w:t>
            </w:r>
          </w:p>
        </w:tc>
      </w:tr>
    </w:tbl>
    <w:p w14:paraId="01BD6BED" w14:textId="77777777" w:rsidR="003B6BAD" w:rsidRDefault="003B6BAD" w:rsidP="003B6BAD">
      <w:pPr>
        <w:autoSpaceDE w:val="0"/>
        <w:autoSpaceDN w:val="0"/>
        <w:adjustRightInd w:val="0"/>
        <w:spacing w:before="240" w:line="276" w:lineRule="auto"/>
        <w:jc w:val="both"/>
        <w:rPr>
          <w:rFonts w:ascii="Times New Roman" w:hAnsi="Times New Roman" w:cs="Times New Roman"/>
          <w:b/>
          <w:sz w:val="20"/>
          <w:szCs w:val="20"/>
        </w:rPr>
      </w:pPr>
      <w:r>
        <w:rPr>
          <w:rFonts w:ascii="Times New Roman" w:eastAsia="Times New Roman" w:hAnsi="Times New Roman" w:cs="Times New Roman"/>
          <w:b/>
          <w:color w:val="1F1F1F"/>
          <w:sz w:val="20"/>
          <w:szCs w:val="20"/>
          <w:lang w:val="en" w:eastAsia="fr-FR"/>
        </w:rPr>
        <w:t>Avg.:</w:t>
      </w:r>
      <w:r>
        <w:rPr>
          <w:rFonts w:ascii="Times New Roman" w:eastAsia="Times New Roman" w:hAnsi="Times New Roman" w:cs="Times New Roman"/>
          <w:b/>
          <w:color w:val="1F1F1F"/>
          <w:sz w:val="20"/>
          <w:szCs w:val="20"/>
          <w:lang w:eastAsia="fr-FR"/>
        </w:rPr>
        <w:t xml:space="preserve"> Average.       </w:t>
      </w:r>
      <w:r>
        <w:rPr>
          <w:rFonts w:ascii="Times New Roman" w:hAnsi="Times New Roman" w:cs="Times New Roman"/>
          <w:b/>
          <w:sz w:val="20"/>
          <w:szCs w:val="20"/>
        </w:rPr>
        <w:t xml:space="preserve">Min : Minimum        Max. : Maximum         </w:t>
      </w:r>
    </w:p>
    <w:p w14:paraId="5AE214A0" w14:textId="77777777" w:rsidR="003B6BAD" w:rsidRPr="00377ABB" w:rsidRDefault="003B6BAD" w:rsidP="003B6BAD">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The results of the germ counting (Table 2) revealed an average load of 0.187</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10⁴ and 2.081</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CFU/100 ml for total coliforms in respectively borehole and well water, with extreme values ranging between 400 and 0.6</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10⁴ CFU/100 ml for well water and between 0 and 1.03</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borehole water. </w:t>
      </w:r>
    </w:p>
    <w:p w14:paraId="2E3E1A71" w14:textId="77777777" w:rsidR="003B6BAD" w:rsidRPr="00377ABB" w:rsidRDefault="003B6BAD" w:rsidP="003B6BAD">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For fecal coliforms, the extreme values obtained range from 270 to 2.6</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CFU/100 ml, with an average load of 0.646</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CFU/100 ml for borehole water and from 0 to 1.04</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CFU/100 ml with an average of 0.412</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well water, considering the tolerance threshold set by the WHO. </w:t>
      </w:r>
    </w:p>
    <w:p w14:paraId="1F892324" w14:textId="77777777" w:rsidR="003B6BAD" w:rsidRPr="00377ABB" w:rsidRDefault="003B6BAD" w:rsidP="003B6BAD">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Regarding Escherichia coli, the extreme values of the loads obtained range from 0 to 0.7</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CFU/100 ml, with an average load of 1.02</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CFU/100 ml for well water, and from 0 to 0.98</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CFU/100 ml with an average of 1.77</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borehole water. </w:t>
      </w:r>
    </w:p>
    <w:p w14:paraId="6B15D77E" w14:textId="20D6ACDA" w:rsidR="003B6BAD" w:rsidRPr="00377ABB" w:rsidRDefault="003B6BAD" w:rsidP="003B6BAD">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F</w:t>
      </w:r>
      <w:r w:rsidR="0050288F">
        <w:rPr>
          <w:rFonts w:ascii="Times New Roman" w:hAnsi="Times New Roman" w:cs="Times New Roman"/>
          <w:sz w:val="24"/>
          <w:szCs w:val="24"/>
        </w:rPr>
        <w:t>a</w:t>
      </w:r>
      <w:r w:rsidRPr="00377ABB">
        <w:rPr>
          <w:rFonts w:ascii="Times New Roman" w:hAnsi="Times New Roman" w:cs="Times New Roman"/>
          <w:sz w:val="24"/>
          <w:szCs w:val="24"/>
        </w:rPr>
        <w:t>ecal enterococci are present with an average load of 169 CFU/100 ml for well water and 50 CFU/100 ml for borehole water, corresponding to values ranging from 0 to 1.7</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well water and between 0 to 570 CFU/100 ml for borehole water. </w:t>
      </w:r>
    </w:p>
    <w:p w14:paraId="3FF8FE8D" w14:textId="77777777" w:rsidR="003B6BAD" w:rsidRPr="00377ABB" w:rsidRDefault="003B6BAD" w:rsidP="003B6BAD">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The extreme values of the total aerobic flora loads obtained were 195 and 1.98</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rPr>
        <w:t xml:space="preserve"> CFU/100 ml for borehole water, and 192 and 1.97</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10⁴ CFU/100 ml for well water. The average loads were 1.1888</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10⁴ CFU/100 ml for well water and 1.4983</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borehole water. The extreme values of the loads obtained for Salmonella spp. </w:t>
      </w:r>
      <w:proofErr w:type="gramStart"/>
      <w:r w:rsidRPr="00377ABB">
        <w:rPr>
          <w:rFonts w:ascii="Times New Roman" w:hAnsi="Times New Roman" w:cs="Times New Roman"/>
          <w:sz w:val="24"/>
          <w:szCs w:val="24"/>
        </w:rPr>
        <w:t>were</w:t>
      </w:r>
      <w:proofErr w:type="gramEnd"/>
      <w:r w:rsidRPr="00377ABB">
        <w:rPr>
          <w:rFonts w:ascii="Times New Roman" w:hAnsi="Times New Roman" w:cs="Times New Roman"/>
          <w:sz w:val="24"/>
          <w:szCs w:val="24"/>
        </w:rPr>
        <w:t xml:space="preserve"> 0 and 50 CFU/100 ml for both boreholes and wells, with an average load of 11.11 CFU/100 ml for borehole water and 6.25 CFU/100 ml for well water.</w:t>
      </w:r>
    </w:p>
    <w:p w14:paraId="4E4A31C7" w14:textId="77777777" w:rsidR="00377A85" w:rsidRPr="00377ABB" w:rsidRDefault="00377A85" w:rsidP="00377A85">
      <w:pPr>
        <w:jc w:val="both"/>
        <w:rPr>
          <w:rStyle w:val="fontstyle01"/>
          <w:b/>
          <w:bCs/>
        </w:rPr>
      </w:pPr>
      <w:r w:rsidRPr="00377ABB">
        <w:rPr>
          <w:rFonts w:ascii="Times New Roman" w:hAnsi="Times New Roman" w:cs="Times New Roman"/>
          <w:b/>
          <w:sz w:val="24"/>
          <w:szCs w:val="24"/>
        </w:rPr>
        <w:t xml:space="preserve">3.2 </w:t>
      </w:r>
      <w:r w:rsidRPr="00377ABB">
        <w:rPr>
          <w:rStyle w:val="fontstyle01"/>
          <w:b/>
          <w:bCs/>
          <w:lang w:val="en-US"/>
        </w:rPr>
        <w:t>E. coli Contamination of Well and Borehole Water</w:t>
      </w:r>
    </w:p>
    <w:p w14:paraId="0F646EDF" w14:textId="77777777" w:rsidR="00BF17A8" w:rsidRPr="006A301F" w:rsidRDefault="00BF17A8" w:rsidP="00BF17A8">
      <w:pPr>
        <w:jc w:val="both"/>
        <w:rPr>
          <w:rFonts w:ascii="Times New Roman" w:hAnsi="Times New Roman" w:cs="Times New Roman"/>
          <w:b/>
          <w:sz w:val="24"/>
          <w:szCs w:val="24"/>
        </w:rPr>
      </w:pPr>
      <w:r w:rsidRPr="006A301F">
        <w:rPr>
          <w:rFonts w:ascii="Times New Roman" w:hAnsi="Times New Roman" w:cs="Times New Roman"/>
          <w:noProof/>
          <w:lang w:val="en-GB" w:eastAsia="en-GB"/>
        </w:rPr>
        <w:lastRenderedPageBreak/>
        <w:drawing>
          <wp:inline distT="0" distB="0" distL="0" distR="0" wp14:anchorId="581C9755" wp14:editId="5BE669B3">
            <wp:extent cx="4572000" cy="2706624"/>
            <wp:effectExtent l="0" t="0" r="0" b="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FE10BE" w14:textId="77777777" w:rsidR="00377A85" w:rsidRDefault="00377A85" w:rsidP="00377A85">
      <w:pPr>
        <w:jc w:val="both"/>
        <w:rPr>
          <w:rFonts w:ascii="Times New Roman" w:hAnsi="Times New Roman" w:cs="Times New Roman"/>
          <w:b/>
          <w:sz w:val="24"/>
          <w:szCs w:val="24"/>
        </w:rPr>
      </w:pPr>
      <w:r>
        <w:rPr>
          <w:rFonts w:ascii="Times New Roman" w:hAnsi="Times New Roman" w:cs="Times New Roman"/>
          <w:b/>
          <w:sz w:val="24"/>
          <w:szCs w:val="24"/>
        </w:rPr>
        <w:t xml:space="preserve">Figure 3 : </w:t>
      </w:r>
      <w:r>
        <w:rPr>
          <w:rStyle w:val="fontstyle21"/>
        </w:rPr>
        <w:t xml:space="preserve">Compliance rates of well and borehole water with respect to </w:t>
      </w:r>
      <w:r w:rsidRPr="007A4A54">
        <w:rPr>
          <w:rStyle w:val="fontstyle21"/>
          <w:i/>
          <w:iCs/>
        </w:rPr>
        <w:t>E. Coli</w:t>
      </w:r>
    </w:p>
    <w:p w14:paraId="1FD5178D" w14:textId="77777777" w:rsidR="00377A85" w:rsidRPr="00943170" w:rsidRDefault="00377A85" w:rsidP="00377A85">
      <w:pPr>
        <w:tabs>
          <w:tab w:val="left" w:pos="3825"/>
        </w:tabs>
        <w:jc w:val="both"/>
        <w:rPr>
          <w:rStyle w:val="fontstyle21"/>
          <w:b w:val="0"/>
        </w:rPr>
      </w:pPr>
      <w:r w:rsidRPr="00943170">
        <w:rPr>
          <w:rStyle w:val="fontstyle21"/>
          <w:b w:val="0"/>
        </w:rPr>
        <w:t xml:space="preserve">The compliance rate of well and borehole waters for </w:t>
      </w:r>
      <w:r w:rsidRPr="007A4A54">
        <w:rPr>
          <w:rStyle w:val="fontstyle21"/>
          <w:b w:val="0"/>
          <w:i/>
          <w:iCs/>
        </w:rPr>
        <w:t>Escherichia coli</w:t>
      </w:r>
      <w:r w:rsidRPr="00943170">
        <w:rPr>
          <w:rStyle w:val="fontstyle21"/>
          <w:b w:val="0"/>
        </w:rPr>
        <w:t xml:space="preserve"> generally gives us 74, 42% of samples are compliant and 25.58% of samples are non-compliant. Well water yielded the most conformal samples with 80% and boreholes 71.43%.</w:t>
      </w:r>
    </w:p>
    <w:p w14:paraId="4CF53D7C" w14:textId="77777777" w:rsidR="00377A85" w:rsidRDefault="00377A85" w:rsidP="00377A85">
      <w:pPr>
        <w:tabs>
          <w:tab w:val="left" w:pos="2005"/>
        </w:tabs>
        <w:jc w:val="both"/>
        <w:rPr>
          <w:b/>
        </w:rPr>
      </w:pPr>
      <w:r>
        <w:rPr>
          <w:rFonts w:ascii="Times New Roman" w:hAnsi="Times New Roman" w:cs="Times New Roman"/>
          <w:b/>
          <w:sz w:val="24"/>
          <w:szCs w:val="24"/>
        </w:rPr>
        <w:t xml:space="preserve">3.2 </w:t>
      </w:r>
      <w:r w:rsidRPr="00943170">
        <w:rPr>
          <w:rStyle w:val="fontstyle01"/>
          <w:b/>
          <w:lang w:val="en-US"/>
        </w:rPr>
        <w:t>Contamination of wells and boreholes water by total coliforms</w:t>
      </w:r>
    </w:p>
    <w:p w14:paraId="77449FE6" w14:textId="77777777" w:rsidR="00BF17A8" w:rsidRPr="007A4A54" w:rsidRDefault="00BF17A8" w:rsidP="00BF17A8">
      <w:pPr>
        <w:spacing w:after="0" w:line="240" w:lineRule="auto"/>
        <w:jc w:val="both"/>
        <w:rPr>
          <w:rFonts w:ascii="Times New Roman" w:eastAsia="Times New Roman" w:hAnsi="Times New Roman" w:cs="Times New Roman"/>
          <w:color w:val="000000"/>
          <w:highlight w:val="yellow"/>
          <w:lang w:eastAsia="fr-FR"/>
        </w:rPr>
      </w:pPr>
      <w:r w:rsidRPr="007A4A54">
        <w:rPr>
          <w:rFonts w:ascii="Times New Roman" w:hAnsi="Times New Roman" w:cs="Times New Roman"/>
          <w:noProof/>
          <w:highlight w:val="yellow"/>
          <w:lang w:val="en-GB" w:eastAsia="en-GB"/>
        </w:rPr>
        <w:drawing>
          <wp:inline distT="0" distB="0" distL="0" distR="0" wp14:anchorId="3171DF5B" wp14:editId="78926C0A">
            <wp:extent cx="4615815" cy="2830601"/>
            <wp:effectExtent l="0" t="0" r="0" b="825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E6EFF3" w14:textId="5C624936" w:rsidR="007A4A54" w:rsidRPr="007A4A54" w:rsidRDefault="00BF17A8" w:rsidP="007A4A54">
      <w:pPr>
        <w:spacing w:after="0" w:line="240" w:lineRule="auto"/>
        <w:jc w:val="both"/>
        <w:rPr>
          <w:b/>
          <w:bCs/>
          <w:highlight w:val="yellow"/>
        </w:rPr>
      </w:pPr>
      <w:r w:rsidRPr="007A4A54">
        <w:rPr>
          <w:rFonts w:ascii="Times New Roman" w:eastAsia="Times New Roman" w:hAnsi="Times New Roman" w:cs="Times New Roman"/>
          <w:b/>
          <w:color w:val="000000"/>
          <w:highlight w:val="yellow"/>
          <w:lang w:eastAsia="fr-FR"/>
        </w:rPr>
        <w:t xml:space="preserve">Figure 4 : </w:t>
      </w:r>
      <w:r w:rsidR="00377A85" w:rsidRPr="007A4A54">
        <w:rPr>
          <w:rStyle w:val="fontstyle21"/>
          <w:highlight w:val="yellow"/>
        </w:rPr>
        <w:t>Compliance rate of well and borehole water relative to total coliforms</w:t>
      </w:r>
      <w:r w:rsidR="007A4A54" w:rsidRPr="007A4A54">
        <w:rPr>
          <w:rStyle w:val="fontstyle21"/>
          <w:highlight w:val="yellow"/>
        </w:rPr>
        <w:t xml:space="preserve"> </w:t>
      </w:r>
      <w:r w:rsidR="007A4A54" w:rsidRPr="007A4A54">
        <w:rPr>
          <w:b/>
          <w:bCs/>
          <w:highlight w:val="yellow"/>
        </w:rPr>
        <w:t>Count</w:t>
      </w:r>
    </w:p>
    <w:p w14:paraId="762EF099" w14:textId="3446707B" w:rsidR="00377A85" w:rsidRPr="007A4A54" w:rsidRDefault="007A4A54" w:rsidP="00377A85">
      <w:pPr>
        <w:spacing w:before="240" w:after="200" w:line="276" w:lineRule="auto"/>
        <w:jc w:val="both"/>
        <w:rPr>
          <w:rFonts w:ascii="Times New Roman" w:hAnsi="Times New Roman"/>
          <w:bCs/>
          <w:sz w:val="24"/>
          <w:szCs w:val="24"/>
          <w:highlight w:val="yellow"/>
        </w:rPr>
      </w:pPr>
      <w:r w:rsidRPr="007A4A54">
        <w:rPr>
          <w:rFonts w:ascii="Times New Roman" w:hAnsi="Times New Roman"/>
          <w:bCs/>
          <w:sz w:val="24"/>
          <w:szCs w:val="24"/>
          <w:highlight w:val="yellow"/>
        </w:rPr>
        <w:t>T</w:t>
      </w:r>
      <w:r w:rsidR="00377A85" w:rsidRPr="007A4A54">
        <w:rPr>
          <w:rFonts w:ascii="Times New Roman" w:hAnsi="Times New Roman"/>
          <w:bCs/>
          <w:sz w:val="24"/>
          <w:szCs w:val="24"/>
          <w:highlight w:val="yellow"/>
        </w:rPr>
        <w:t>he study area</w:t>
      </w:r>
      <w:r w:rsidR="0050288F">
        <w:rPr>
          <w:rFonts w:ascii="Times New Roman" w:hAnsi="Times New Roman"/>
          <w:bCs/>
          <w:sz w:val="24"/>
          <w:szCs w:val="24"/>
          <w:highlight w:val="yellow"/>
        </w:rPr>
        <w:t>s</w:t>
      </w:r>
      <w:r w:rsidR="00377A85" w:rsidRPr="007A4A54">
        <w:rPr>
          <w:rFonts w:ascii="Times New Roman" w:hAnsi="Times New Roman"/>
          <w:bCs/>
          <w:sz w:val="24"/>
          <w:szCs w:val="24"/>
          <w:highlight w:val="yellow"/>
        </w:rPr>
        <w:t xml:space="preserve"> are given in general :</w:t>
      </w:r>
    </w:p>
    <w:p w14:paraId="01D11266" w14:textId="77777777" w:rsidR="00377A85" w:rsidRPr="007A4A54" w:rsidRDefault="00377A85" w:rsidP="00377A85">
      <w:pPr>
        <w:pStyle w:val="ListParagraph"/>
        <w:numPr>
          <w:ilvl w:val="0"/>
          <w:numId w:val="5"/>
        </w:numPr>
        <w:spacing w:before="240" w:after="200" w:line="276" w:lineRule="auto"/>
        <w:jc w:val="both"/>
        <w:rPr>
          <w:rFonts w:ascii="Times New Roman" w:hAnsi="Times New Roman" w:cs="Times New Roman"/>
          <w:bCs/>
          <w:sz w:val="24"/>
          <w:szCs w:val="24"/>
          <w:highlight w:val="yellow"/>
        </w:rPr>
      </w:pPr>
      <w:r w:rsidRPr="007A4A54">
        <w:rPr>
          <w:rFonts w:ascii="Times New Roman" w:hAnsi="Times New Roman" w:cs="Times New Roman"/>
          <w:bCs/>
          <w:sz w:val="24"/>
          <w:szCs w:val="24"/>
          <w:highlight w:val="yellow"/>
        </w:rPr>
        <w:t xml:space="preserve">90,7 % </w:t>
      </w:r>
      <w:r w:rsidRPr="007A4A54">
        <w:rPr>
          <w:rFonts w:ascii="Times New Roman" w:hAnsi="Times New Roman"/>
          <w:bCs/>
          <w:sz w:val="24"/>
          <w:szCs w:val="24"/>
          <w:highlight w:val="yellow"/>
        </w:rPr>
        <w:t>of the samples are non-compliant;</w:t>
      </w:r>
    </w:p>
    <w:p w14:paraId="4CBB8D6C" w14:textId="77777777" w:rsidR="00377A85" w:rsidRPr="007A4A54" w:rsidRDefault="00377A85" w:rsidP="00377A85">
      <w:pPr>
        <w:pStyle w:val="ListParagraph"/>
        <w:numPr>
          <w:ilvl w:val="0"/>
          <w:numId w:val="5"/>
        </w:numPr>
        <w:tabs>
          <w:tab w:val="left" w:pos="2835"/>
        </w:tabs>
        <w:spacing w:before="240" w:after="200" w:line="276" w:lineRule="auto"/>
        <w:jc w:val="both"/>
        <w:rPr>
          <w:rFonts w:ascii="Times New Roman" w:hAnsi="Times New Roman" w:cs="Times New Roman"/>
          <w:bCs/>
          <w:sz w:val="24"/>
          <w:szCs w:val="24"/>
          <w:highlight w:val="yellow"/>
        </w:rPr>
      </w:pPr>
      <w:r w:rsidRPr="007A4A54">
        <w:rPr>
          <w:rFonts w:ascii="Times New Roman" w:hAnsi="Times New Roman" w:cs="Times New Roman"/>
          <w:bCs/>
          <w:sz w:val="24"/>
          <w:szCs w:val="24"/>
          <w:highlight w:val="yellow"/>
        </w:rPr>
        <w:t xml:space="preserve">9,3 % </w:t>
      </w:r>
      <w:r w:rsidRPr="007A4A54">
        <w:rPr>
          <w:rFonts w:ascii="Times New Roman" w:hAnsi="Times New Roman"/>
          <w:bCs/>
          <w:sz w:val="24"/>
          <w:szCs w:val="24"/>
          <w:highlight w:val="yellow"/>
        </w:rPr>
        <w:t>of samples are compliant;</w:t>
      </w:r>
    </w:p>
    <w:p w14:paraId="522D552F" w14:textId="77777777" w:rsidR="00377A85" w:rsidRPr="007A4A54" w:rsidRDefault="00377A85" w:rsidP="00377A85">
      <w:pPr>
        <w:pStyle w:val="ListParagraph"/>
        <w:numPr>
          <w:ilvl w:val="0"/>
          <w:numId w:val="5"/>
        </w:numPr>
        <w:tabs>
          <w:tab w:val="left" w:pos="2835"/>
        </w:tabs>
        <w:spacing w:before="240" w:after="200" w:line="276" w:lineRule="auto"/>
        <w:jc w:val="both"/>
        <w:rPr>
          <w:rFonts w:ascii="Times New Roman" w:hAnsi="Times New Roman" w:cs="Times New Roman"/>
          <w:b/>
          <w:sz w:val="28"/>
          <w:highlight w:val="yellow"/>
        </w:rPr>
      </w:pPr>
      <w:r w:rsidRPr="007A4A54">
        <w:rPr>
          <w:rFonts w:ascii="Times New Roman" w:hAnsi="Times New Roman" w:cs="Times New Roman"/>
          <w:bCs/>
          <w:sz w:val="24"/>
          <w:szCs w:val="24"/>
          <w:highlight w:val="yellow"/>
        </w:rPr>
        <w:t>80% of well water is non-compliant. For borehole water, 80.56% of the samples do not comply with the WHO standard.</w:t>
      </w:r>
    </w:p>
    <w:p w14:paraId="3029BA9A" w14:textId="69D827C5" w:rsidR="00377A85" w:rsidRDefault="00377A85" w:rsidP="00377A85">
      <w:pPr>
        <w:tabs>
          <w:tab w:val="left" w:pos="2835"/>
        </w:tabs>
        <w:spacing w:before="240" w:after="200" w:line="276" w:lineRule="auto"/>
        <w:jc w:val="both"/>
        <w:rPr>
          <w:rFonts w:ascii="Times New Roman" w:hAnsi="Times New Roman" w:cs="Times New Roman"/>
          <w:b/>
          <w:sz w:val="28"/>
        </w:rPr>
      </w:pPr>
      <w:r>
        <w:rPr>
          <w:rFonts w:ascii="Times New Roman" w:hAnsi="Times New Roman" w:cs="Times New Roman"/>
          <w:b/>
          <w:sz w:val="28"/>
        </w:rPr>
        <w:t xml:space="preserve">3.3 </w:t>
      </w:r>
      <w:r>
        <w:rPr>
          <w:rStyle w:val="fontstyle01"/>
          <w:b/>
          <w:bCs/>
          <w:lang w:val="en-US"/>
        </w:rPr>
        <w:t>Contamination of well and borehole water by f</w:t>
      </w:r>
      <w:r w:rsidR="0050288F">
        <w:rPr>
          <w:rStyle w:val="fontstyle01"/>
          <w:b/>
          <w:bCs/>
          <w:lang w:val="en-US"/>
        </w:rPr>
        <w:t>a</w:t>
      </w:r>
      <w:r>
        <w:rPr>
          <w:rStyle w:val="fontstyle01"/>
          <w:b/>
          <w:bCs/>
          <w:lang w:val="en-US"/>
        </w:rPr>
        <w:t>ecal coliforms</w:t>
      </w:r>
    </w:p>
    <w:p w14:paraId="4BE86735" w14:textId="77777777" w:rsidR="00BF17A8" w:rsidRPr="006A301F" w:rsidRDefault="00BF17A8" w:rsidP="00BF17A8">
      <w:pPr>
        <w:jc w:val="both"/>
        <w:rPr>
          <w:rFonts w:ascii="Times New Roman" w:hAnsi="Times New Roman" w:cs="Times New Roman"/>
          <w:sz w:val="24"/>
          <w:szCs w:val="24"/>
        </w:rPr>
      </w:pPr>
      <w:r w:rsidRPr="006A301F">
        <w:rPr>
          <w:rFonts w:ascii="Times New Roman" w:hAnsi="Times New Roman" w:cs="Times New Roman"/>
          <w:noProof/>
          <w:lang w:val="en-GB" w:eastAsia="en-GB"/>
        </w:rPr>
        <w:lastRenderedPageBreak/>
        <w:drawing>
          <wp:inline distT="0" distB="0" distL="0" distR="0" wp14:anchorId="2447AE80" wp14:editId="6CFE2982">
            <wp:extent cx="4705350" cy="2532041"/>
            <wp:effectExtent l="0" t="0" r="0" b="190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CC3E1D" w14:textId="4B3EEAD4" w:rsidR="00377A85" w:rsidRDefault="00377A85" w:rsidP="00377A85">
      <w:pPr>
        <w:spacing w:before="240" w:line="276" w:lineRule="auto"/>
        <w:jc w:val="both"/>
        <w:rPr>
          <w:rFonts w:ascii="Times New Roman" w:hAnsi="Times New Roman" w:cs="Times New Roman"/>
          <w:bCs/>
          <w:sz w:val="24"/>
          <w:szCs w:val="24"/>
        </w:rPr>
      </w:pPr>
      <w:r w:rsidRPr="00943170">
        <w:rPr>
          <w:rStyle w:val="fontstyle01"/>
          <w:b/>
        </w:rPr>
        <w:t>Figure 5</w:t>
      </w:r>
      <w:r>
        <w:rPr>
          <w:rStyle w:val="fontstyle01"/>
        </w:rPr>
        <w:t xml:space="preserve"> </w:t>
      </w:r>
      <w:r>
        <w:rPr>
          <w:rStyle w:val="fontstyle21"/>
        </w:rPr>
        <w:t>: Compliance rate of well and borehole water with f</w:t>
      </w:r>
      <w:r w:rsidR="0050288F">
        <w:rPr>
          <w:rStyle w:val="fontstyle21"/>
        </w:rPr>
        <w:t>a</w:t>
      </w:r>
      <w:r>
        <w:rPr>
          <w:rStyle w:val="fontstyle21"/>
        </w:rPr>
        <w:t>ecal coliforms</w:t>
      </w:r>
    </w:p>
    <w:p w14:paraId="0F779A8E" w14:textId="7D2D79E8" w:rsidR="00377A85" w:rsidRDefault="00377A85" w:rsidP="00377A85">
      <w:pPr>
        <w:spacing w:before="240" w:line="276" w:lineRule="auto"/>
        <w:jc w:val="both"/>
        <w:rPr>
          <w:rFonts w:ascii="Times New Roman" w:hAnsi="Times New Roman" w:cs="Times New Roman"/>
          <w:bCs/>
          <w:sz w:val="24"/>
          <w:szCs w:val="24"/>
        </w:rPr>
      </w:pPr>
      <w:r>
        <w:rPr>
          <w:rFonts w:ascii="Times New Roman" w:hAnsi="Times New Roman" w:cs="Times New Roman"/>
          <w:bCs/>
          <w:sz w:val="24"/>
          <w:szCs w:val="24"/>
        </w:rPr>
        <w:t>F</w:t>
      </w:r>
      <w:r w:rsidR="0050288F">
        <w:rPr>
          <w:rFonts w:ascii="Times New Roman" w:hAnsi="Times New Roman" w:cs="Times New Roman"/>
          <w:bCs/>
          <w:sz w:val="24"/>
          <w:szCs w:val="24"/>
        </w:rPr>
        <w:t>a</w:t>
      </w:r>
      <w:r>
        <w:rPr>
          <w:rFonts w:ascii="Times New Roman" w:hAnsi="Times New Roman" w:cs="Times New Roman"/>
          <w:bCs/>
          <w:sz w:val="24"/>
          <w:szCs w:val="24"/>
        </w:rPr>
        <w:t>ecal coliform counts in well and borehole waters are shown in Figure 5 above. Of all the samples taken, only 11.63% meet the WHO standard. Only 20% and 7.14% of the well and drilling water samples respectively comply with the standard.</w:t>
      </w:r>
    </w:p>
    <w:p w14:paraId="7A710004" w14:textId="5EB8508A" w:rsidR="00377A85" w:rsidRPr="00377A85" w:rsidRDefault="00377A85" w:rsidP="00377A85">
      <w:pPr>
        <w:spacing w:before="240" w:line="276" w:lineRule="auto"/>
        <w:jc w:val="both"/>
        <w:rPr>
          <w:rStyle w:val="fontstyle01"/>
          <w:b/>
          <w:lang w:val="en-US"/>
        </w:rPr>
      </w:pPr>
      <w:r w:rsidRPr="00377A85">
        <w:rPr>
          <w:rFonts w:ascii="Times New Roman" w:hAnsi="Times New Roman" w:cs="Times New Roman"/>
          <w:b/>
          <w:sz w:val="24"/>
          <w:szCs w:val="24"/>
        </w:rPr>
        <w:t xml:space="preserve">3.4 </w:t>
      </w:r>
      <w:r w:rsidRPr="00377A85">
        <w:rPr>
          <w:rStyle w:val="fontstyle01"/>
          <w:b/>
          <w:lang w:val="en-US"/>
        </w:rPr>
        <w:t>Contamination of well and borehole water by f</w:t>
      </w:r>
      <w:r w:rsidR="0050288F">
        <w:rPr>
          <w:rStyle w:val="fontstyle01"/>
          <w:b/>
          <w:lang w:val="en-US"/>
        </w:rPr>
        <w:t>a</w:t>
      </w:r>
      <w:r w:rsidRPr="00377A85">
        <w:rPr>
          <w:rStyle w:val="fontstyle01"/>
          <w:b/>
          <w:lang w:val="en-US"/>
        </w:rPr>
        <w:t>ecal enterococci</w:t>
      </w:r>
    </w:p>
    <w:p w14:paraId="5C1A8FC3" w14:textId="77777777" w:rsidR="00BF17A8" w:rsidRPr="006A301F" w:rsidRDefault="00BF17A8" w:rsidP="00BF17A8">
      <w:pPr>
        <w:jc w:val="both"/>
        <w:rPr>
          <w:rFonts w:ascii="Times New Roman" w:hAnsi="Times New Roman" w:cs="Times New Roman"/>
          <w:b/>
          <w:sz w:val="28"/>
        </w:rPr>
      </w:pPr>
      <w:r w:rsidRPr="006A301F">
        <w:rPr>
          <w:rFonts w:ascii="Times New Roman" w:hAnsi="Times New Roman" w:cs="Times New Roman"/>
          <w:b/>
          <w:sz w:val="28"/>
        </w:rPr>
        <w:t xml:space="preserve"> </w:t>
      </w:r>
      <w:r w:rsidRPr="006A301F">
        <w:rPr>
          <w:rFonts w:ascii="Times New Roman" w:hAnsi="Times New Roman" w:cs="Times New Roman"/>
          <w:noProof/>
          <w:lang w:val="en-GB" w:eastAsia="en-GB"/>
        </w:rPr>
        <w:drawing>
          <wp:inline distT="0" distB="0" distL="0" distR="0" wp14:anchorId="6D8B453A" wp14:editId="12EBBC95">
            <wp:extent cx="4988560" cy="2728138"/>
            <wp:effectExtent l="0" t="0" r="2540" b="1524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0A24DA" w14:textId="34FBE308" w:rsidR="00377A85" w:rsidRDefault="00377A85" w:rsidP="00377A85">
      <w:pPr>
        <w:spacing w:before="240" w:line="276" w:lineRule="auto"/>
        <w:jc w:val="both"/>
        <w:rPr>
          <w:rFonts w:ascii="Times New Roman" w:hAnsi="Times New Roman" w:cs="Times New Roman"/>
          <w:bCs/>
          <w:sz w:val="24"/>
          <w:szCs w:val="24"/>
        </w:rPr>
      </w:pPr>
      <w:r w:rsidRPr="00943170">
        <w:rPr>
          <w:rStyle w:val="fontstyle01"/>
          <w:b/>
        </w:rPr>
        <w:t xml:space="preserve">Figure </w:t>
      </w:r>
      <w:proofErr w:type="gramStart"/>
      <w:r w:rsidRPr="00943170">
        <w:rPr>
          <w:rStyle w:val="fontstyle01"/>
          <w:b/>
        </w:rPr>
        <w:t>6</w:t>
      </w:r>
      <w:r>
        <w:rPr>
          <w:rStyle w:val="fontstyle21"/>
        </w:rPr>
        <w:t>:</w:t>
      </w:r>
      <w:proofErr w:type="gramEnd"/>
      <w:r>
        <w:rPr>
          <w:rStyle w:val="fontstyle21"/>
        </w:rPr>
        <w:t xml:space="preserve"> Compliance rate of well and borehole water against f</w:t>
      </w:r>
      <w:r w:rsidR="0050288F">
        <w:rPr>
          <w:rStyle w:val="fontstyle21"/>
        </w:rPr>
        <w:t>a</w:t>
      </w:r>
      <w:r>
        <w:rPr>
          <w:rStyle w:val="fontstyle21"/>
        </w:rPr>
        <w:t>ecal Enterococci</w:t>
      </w:r>
      <w:r>
        <w:rPr>
          <w:rFonts w:ascii="Times New Roman" w:hAnsi="Times New Roman" w:cs="Times New Roman"/>
          <w:bCs/>
          <w:sz w:val="24"/>
          <w:szCs w:val="24"/>
        </w:rPr>
        <w:t xml:space="preserve"> </w:t>
      </w:r>
    </w:p>
    <w:p w14:paraId="5A348015" w14:textId="1779FD06" w:rsidR="00377A85" w:rsidRDefault="00377A85" w:rsidP="00377A85">
      <w:pPr>
        <w:spacing w:before="240"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Figure 6 </w:t>
      </w:r>
      <w:r>
        <w:rPr>
          <w:rFonts w:ascii="Times New Roman" w:hAnsi="Times New Roman" w:cs="Times New Roman"/>
          <w:bCs/>
          <w:sz w:val="24"/>
          <w:szCs w:val="24"/>
          <w:lang w:val="en-US"/>
        </w:rPr>
        <w:t>shows the levels of contamination of well and borehole water by f</w:t>
      </w:r>
      <w:r w:rsidR="0050288F">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ecal enterococci. </w:t>
      </w:r>
      <w:r>
        <w:rPr>
          <w:rFonts w:ascii="Times New Roman" w:hAnsi="Times New Roman" w:cs="Times New Roman"/>
          <w:bCs/>
          <w:sz w:val="24"/>
          <w:szCs w:val="24"/>
        </w:rPr>
        <w:t xml:space="preserve">80% </w:t>
      </w:r>
      <w:r>
        <w:rPr>
          <w:rFonts w:ascii="Times New Roman" w:hAnsi="Times New Roman" w:cs="Times New Roman"/>
          <w:bCs/>
          <w:sz w:val="24"/>
          <w:szCs w:val="24"/>
          <w:lang w:val="en-US"/>
        </w:rPr>
        <w:t xml:space="preserve">of well water samples are compliant for </w:t>
      </w:r>
      <w:r>
        <w:rPr>
          <w:rFonts w:ascii="Times New Roman" w:hAnsi="Times New Roman" w:cs="Times New Roman"/>
          <w:bCs/>
          <w:sz w:val="24"/>
          <w:szCs w:val="24"/>
        </w:rPr>
        <w:t xml:space="preserve">20% </w:t>
      </w:r>
      <w:r>
        <w:rPr>
          <w:rFonts w:ascii="Times New Roman" w:hAnsi="Times New Roman" w:cs="Times New Roman"/>
          <w:bCs/>
          <w:sz w:val="24"/>
          <w:szCs w:val="24"/>
          <w:lang w:val="en-US"/>
        </w:rPr>
        <w:t xml:space="preserve">of non-compliant samples. For borehole water, only </w:t>
      </w:r>
      <w:r>
        <w:rPr>
          <w:rFonts w:ascii="Times New Roman" w:hAnsi="Times New Roman" w:cs="Times New Roman"/>
          <w:bCs/>
          <w:sz w:val="24"/>
          <w:szCs w:val="24"/>
        </w:rPr>
        <w:t xml:space="preserve">14, 29% </w:t>
      </w:r>
      <w:r>
        <w:rPr>
          <w:rFonts w:ascii="Times New Roman" w:hAnsi="Times New Roman" w:cs="Times New Roman"/>
          <w:bCs/>
          <w:sz w:val="24"/>
          <w:szCs w:val="24"/>
          <w:lang w:val="en-US"/>
        </w:rPr>
        <w:t>of the samples were non-compliant with the WHO standard.</w:t>
      </w:r>
    </w:p>
    <w:p w14:paraId="2B228B03" w14:textId="040C32AC" w:rsidR="00377A85" w:rsidRDefault="00377A85" w:rsidP="00377A85">
      <w:pPr>
        <w:jc w:val="both"/>
        <w:rPr>
          <w:rFonts w:ascii="Times New Roman" w:hAnsi="Times New Roman" w:cs="Times New Roman"/>
          <w:b/>
          <w:sz w:val="28"/>
        </w:rPr>
      </w:pPr>
      <w:r>
        <w:rPr>
          <w:rFonts w:ascii="Times New Roman" w:hAnsi="Times New Roman" w:cs="Times New Roman"/>
          <w:b/>
          <w:sz w:val="28"/>
        </w:rPr>
        <w:t xml:space="preserve">3.5 </w:t>
      </w:r>
      <w:r w:rsidRPr="00377A85">
        <w:rPr>
          <w:rStyle w:val="fontstyle01"/>
          <w:b/>
          <w:lang w:val="en-US"/>
        </w:rPr>
        <w:t xml:space="preserve">Contamination of </w:t>
      </w:r>
      <w:r w:rsidR="00943170">
        <w:rPr>
          <w:rStyle w:val="fontstyle01"/>
          <w:b/>
          <w:lang w:val="en-US"/>
        </w:rPr>
        <w:t xml:space="preserve">well and borehole water by </w:t>
      </w:r>
      <w:r w:rsidR="00943170">
        <w:rPr>
          <w:rFonts w:ascii="Times New Roman" w:hAnsi="Times New Roman" w:cs="Times New Roman"/>
          <w:b/>
          <w:i/>
          <w:sz w:val="28"/>
        </w:rPr>
        <w:t>Salmonella</w:t>
      </w:r>
      <w:r>
        <w:rPr>
          <w:rFonts w:ascii="Times New Roman" w:hAnsi="Times New Roman" w:cs="Times New Roman"/>
          <w:b/>
          <w:i/>
          <w:sz w:val="28"/>
        </w:rPr>
        <w:t xml:space="preserve"> </w:t>
      </w:r>
      <w:r w:rsidR="007A4A54" w:rsidRPr="007A4A54">
        <w:rPr>
          <w:rFonts w:ascii="Times New Roman" w:hAnsi="Times New Roman" w:cs="Times New Roman"/>
          <w:b/>
          <w:i/>
          <w:sz w:val="28"/>
          <w:highlight w:val="yellow"/>
        </w:rPr>
        <w:t>spp</w:t>
      </w:r>
    </w:p>
    <w:p w14:paraId="673BB35A" w14:textId="77777777" w:rsidR="00BF17A8" w:rsidRPr="006A301F" w:rsidRDefault="00BF17A8" w:rsidP="00BF17A8">
      <w:pPr>
        <w:jc w:val="both"/>
        <w:rPr>
          <w:rFonts w:ascii="Times New Roman" w:hAnsi="Times New Roman" w:cs="Times New Roman"/>
          <w:sz w:val="24"/>
          <w:szCs w:val="24"/>
        </w:rPr>
      </w:pPr>
      <w:r w:rsidRPr="006A301F">
        <w:rPr>
          <w:rFonts w:ascii="Times New Roman" w:hAnsi="Times New Roman" w:cs="Times New Roman"/>
          <w:noProof/>
          <w:lang w:val="en-GB" w:eastAsia="en-GB"/>
        </w:rPr>
        <w:lastRenderedPageBreak/>
        <w:drawing>
          <wp:inline distT="0" distB="0" distL="0" distR="0" wp14:anchorId="78AE5301" wp14:editId="52B33404">
            <wp:extent cx="4572000" cy="2633472"/>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5C658C" w14:textId="3E41768F" w:rsidR="00377A85" w:rsidRDefault="00BF17A8" w:rsidP="00377A85">
      <w:pPr>
        <w:spacing w:before="240" w:line="276" w:lineRule="auto"/>
        <w:jc w:val="both"/>
        <w:rPr>
          <w:rFonts w:ascii="Times New Roman" w:hAnsi="Times New Roman" w:cs="Times New Roman"/>
          <w:bCs/>
          <w:i/>
          <w:sz w:val="24"/>
          <w:szCs w:val="24"/>
        </w:rPr>
      </w:pPr>
      <w:r w:rsidRPr="006A301F">
        <w:rPr>
          <w:rStyle w:val="fontstyle01"/>
          <w:b/>
        </w:rPr>
        <w:t>Figure</w:t>
      </w:r>
      <w:r>
        <w:rPr>
          <w:rStyle w:val="fontstyle01"/>
          <w:b/>
        </w:rPr>
        <w:t xml:space="preserve"> </w:t>
      </w:r>
      <w:proofErr w:type="gramStart"/>
      <w:r>
        <w:rPr>
          <w:rStyle w:val="fontstyle01"/>
          <w:b/>
        </w:rPr>
        <w:t>7</w:t>
      </w:r>
      <w:r w:rsidRPr="006A301F">
        <w:rPr>
          <w:rStyle w:val="fontstyle21"/>
          <w:b w:val="0"/>
        </w:rPr>
        <w:t>:</w:t>
      </w:r>
      <w:proofErr w:type="gramEnd"/>
      <w:r w:rsidRPr="006A301F">
        <w:rPr>
          <w:rStyle w:val="fontstyle21"/>
        </w:rPr>
        <w:t xml:space="preserve"> </w:t>
      </w:r>
      <w:r w:rsidR="00377A85">
        <w:rPr>
          <w:rStyle w:val="fontstyle21"/>
        </w:rPr>
        <w:t xml:space="preserve">Compliance rate of well and borehole water against </w:t>
      </w:r>
      <w:r w:rsidR="00377A85">
        <w:rPr>
          <w:rStyle w:val="fontstyle21"/>
          <w:i/>
        </w:rPr>
        <w:t xml:space="preserve">Salmonella </w:t>
      </w:r>
      <w:r w:rsidR="007A4A54" w:rsidRPr="007A4A54">
        <w:rPr>
          <w:rStyle w:val="fontstyle21"/>
          <w:i/>
          <w:highlight w:val="yellow"/>
        </w:rPr>
        <w:t>spp</w:t>
      </w:r>
    </w:p>
    <w:p w14:paraId="0BB0B49B" w14:textId="77777777" w:rsidR="00377A85" w:rsidRDefault="00377A85" w:rsidP="00377A85">
      <w:pPr>
        <w:jc w:val="both"/>
        <w:rPr>
          <w:rFonts w:ascii="Times New Roman" w:hAnsi="Times New Roman" w:cs="Times New Roman"/>
          <w:i/>
          <w:sz w:val="24"/>
          <w:szCs w:val="24"/>
        </w:rPr>
      </w:pPr>
      <w:r>
        <w:rPr>
          <w:rFonts w:ascii="Times New Roman" w:hAnsi="Times New Roman"/>
          <w:bCs/>
          <w:sz w:val="24"/>
          <w:szCs w:val="24"/>
          <w:lang w:val="en-US"/>
        </w:rPr>
        <w:t xml:space="preserve">The count of </w:t>
      </w:r>
      <w:r>
        <w:rPr>
          <w:rFonts w:ascii="Times New Roman" w:hAnsi="Times New Roman" w:cs="Times New Roman"/>
          <w:i/>
          <w:sz w:val="24"/>
          <w:szCs w:val="24"/>
        </w:rPr>
        <w:t xml:space="preserve">Salmonella SPP </w:t>
      </w:r>
      <w:r>
        <w:rPr>
          <w:rFonts w:ascii="Times New Roman" w:hAnsi="Times New Roman" w:cs="Times New Roman"/>
          <w:sz w:val="24"/>
          <w:szCs w:val="24"/>
        </w:rPr>
        <w:t xml:space="preserve">in the samples gave a non-conformity rate of 20.93% overall. The non-compliance rate for wells and boreholes was respectively 20% and 21.43% and about 80% of the samples did not contain </w:t>
      </w:r>
      <w:r>
        <w:rPr>
          <w:rFonts w:ascii="Times New Roman" w:hAnsi="Times New Roman" w:cs="Times New Roman"/>
          <w:i/>
          <w:sz w:val="24"/>
          <w:szCs w:val="24"/>
        </w:rPr>
        <w:t>Salmonella SPP</w:t>
      </w:r>
      <w:r>
        <w:rPr>
          <w:rFonts w:ascii="Times New Roman" w:hAnsi="Times New Roman" w:cs="Times New Roman"/>
          <w:sz w:val="24"/>
          <w:szCs w:val="24"/>
        </w:rPr>
        <w:t>.</w:t>
      </w:r>
    </w:p>
    <w:p w14:paraId="150D64D2" w14:textId="77777777" w:rsidR="00377A85" w:rsidRPr="00377A85" w:rsidRDefault="00377A85" w:rsidP="00377A85">
      <w:pPr>
        <w:jc w:val="both"/>
        <w:rPr>
          <w:color w:val="000000"/>
        </w:rPr>
      </w:pPr>
      <w:r>
        <w:rPr>
          <w:rFonts w:ascii="Times New Roman" w:hAnsi="Times New Roman" w:cs="Times New Roman"/>
          <w:b/>
          <w:sz w:val="28"/>
        </w:rPr>
        <w:t xml:space="preserve">3.6 </w:t>
      </w:r>
      <w:r w:rsidRPr="00943170">
        <w:rPr>
          <w:rStyle w:val="fontstyle01"/>
          <w:b/>
          <w:lang w:val="en-US"/>
        </w:rPr>
        <w:t>Contamination of well and borehole water by</w:t>
      </w:r>
      <w:r>
        <w:rPr>
          <w:rStyle w:val="fontstyle01"/>
          <w:lang w:val="en-US"/>
        </w:rPr>
        <w:t xml:space="preserve"> </w:t>
      </w:r>
      <w:r w:rsidRPr="00943170">
        <w:rPr>
          <w:rFonts w:ascii="Times New Roman" w:hAnsi="Times New Roman" w:cs="Times New Roman"/>
          <w:b/>
          <w:bCs/>
          <w:color w:val="000000"/>
          <w:sz w:val="24"/>
        </w:rPr>
        <w:t>aerobic flora</w:t>
      </w:r>
    </w:p>
    <w:p w14:paraId="3DE17CD8" w14:textId="77777777" w:rsidR="00BF17A8" w:rsidRDefault="00BF17A8" w:rsidP="00377A85">
      <w:pPr>
        <w:spacing w:before="240" w:line="276" w:lineRule="auto"/>
        <w:jc w:val="both"/>
        <w:rPr>
          <w:rFonts w:ascii="Times New Roman" w:hAnsi="Times New Roman" w:cs="Times New Roman"/>
          <w:b/>
          <w:sz w:val="28"/>
        </w:rPr>
      </w:pPr>
      <w:r>
        <w:rPr>
          <w:noProof/>
          <w:lang w:val="en-GB" w:eastAsia="en-GB"/>
        </w:rPr>
        <w:drawing>
          <wp:inline distT="0" distB="0" distL="0" distR="0" wp14:anchorId="3FDF5199" wp14:editId="754A33BE">
            <wp:extent cx="4572000" cy="2200274"/>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7F38EC" w14:textId="77777777" w:rsidR="00377A85" w:rsidRDefault="00BF17A8" w:rsidP="00377A85">
      <w:pPr>
        <w:spacing w:before="240" w:line="276" w:lineRule="auto"/>
        <w:jc w:val="both"/>
        <w:rPr>
          <w:rStyle w:val="fontstyle21"/>
        </w:rPr>
      </w:pPr>
      <w:r w:rsidRPr="006A301F">
        <w:rPr>
          <w:rStyle w:val="fontstyle01"/>
          <w:b/>
        </w:rPr>
        <w:t>Figure</w:t>
      </w:r>
      <w:r>
        <w:rPr>
          <w:rStyle w:val="fontstyle01"/>
          <w:b/>
        </w:rPr>
        <w:t xml:space="preserve"> 8 </w:t>
      </w:r>
      <w:r w:rsidRPr="006A301F">
        <w:rPr>
          <w:rStyle w:val="fontstyle21"/>
          <w:b w:val="0"/>
        </w:rPr>
        <w:t>:</w:t>
      </w:r>
      <w:r w:rsidRPr="006A301F">
        <w:rPr>
          <w:rStyle w:val="fontstyle21"/>
        </w:rPr>
        <w:t xml:space="preserve"> </w:t>
      </w:r>
      <w:r w:rsidR="00377A85">
        <w:rPr>
          <w:rStyle w:val="fontstyle21"/>
        </w:rPr>
        <w:t>Compliance rate of well and borehole waters with respect to total aerobic flora</w:t>
      </w:r>
    </w:p>
    <w:p w14:paraId="41B77007" w14:textId="5004A241" w:rsidR="0009351F" w:rsidRDefault="0009351F" w:rsidP="0009351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Figure 8 shows the levels of contamination of well and borehole water by total aerobic flora. 100% of the samples from all well structures such as drilling are not in accordance with WHO standard</w:t>
      </w:r>
      <w:r w:rsidR="0050288F">
        <w:rPr>
          <w:rFonts w:ascii="Times New Roman" w:hAnsi="Times New Roman" w:cs="Times New Roman"/>
          <w:bCs/>
          <w:sz w:val="24"/>
          <w:szCs w:val="24"/>
        </w:rPr>
        <w:t>s</w:t>
      </w:r>
      <w:r>
        <w:rPr>
          <w:rFonts w:ascii="Times New Roman" w:hAnsi="Times New Roman" w:cs="Times New Roman"/>
          <w:bCs/>
          <w:sz w:val="24"/>
          <w:szCs w:val="24"/>
        </w:rPr>
        <w:t>.</w:t>
      </w:r>
    </w:p>
    <w:p w14:paraId="3551A285" w14:textId="77777777" w:rsidR="00AB60B4" w:rsidRDefault="00AB60B4" w:rsidP="00AB60B4">
      <w:pPr>
        <w:pStyle w:val="NormalWeb"/>
      </w:pPr>
      <w:r w:rsidRPr="00AB60B4">
        <w:rPr>
          <w:noProof/>
          <w:lang w:val="en-GB" w:eastAsia="en-GB"/>
        </w:rPr>
        <w:lastRenderedPageBreak/>
        <w:drawing>
          <wp:inline distT="0" distB="0" distL="0" distR="0" wp14:anchorId="3AB00612" wp14:editId="0DE5B8BC">
            <wp:extent cx="5581291" cy="2915603"/>
            <wp:effectExtent l="0" t="0" r="635" b="0"/>
            <wp:docPr id="8" name="Image 8" descr="C:\Users\LENOVO\Desktop\A utres\IMAGE PHONE\IMG_20240521_10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A utres\IMAGE PHONE\IMG_20240521_1021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5742" cy="2917928"/>
                    </a:xfrm>
                    <a:prstGeom prst="rect">
                      <a:avLst/>
                    </a:prstGeom>
                    <a:noFill/>
                    <a:ln>
                      <a:noFill/>
                    </a:ln>
                  </pic:spPr>
                </pic:pic>
              </a:graphicData>
            </a:graphic>
          </wp:inline>
        </w:drawing>
      </w:r>
      <w:r w:rsidRPr="00AB60B4">
        <w:rPr>
          <w:noProof/>
        </w:rPr>
        <w:t xml:space="preserve"> </w:t>
      </w:r>
      <w:r>
        <w:rPr>
          <w:noProof/>
          <w:lang w:val="en-GB" w:eastAsia="en-GB"/>
        </w:rPr>
        <w:drawing>
          <wp:anchor distT="0" distB="0" distL="114300" distR="114300" simplePos="0" relativeHeight="251658240" behindDoc="0" locked="0" layoutInCell="1" allowOverlap="1" wp14:anchorId="40ECAFC1" wp14:editId="531F6670">
            <wp:simplePos x="0" y="0"/>
            <wp:positionH relativeFrom="column">
              <wp:posOffset>-10795</wp:posOffset>
            </wp:positionH>
            <wp:positionV relativeFrom="paragraph">
              <wp:posOffset>1905</wp:posOffset>
            </wp:positionV>
            <wp:extent cx="5575300" cy="2997200"/>
            <wp:effectExtent l="0" t="0" r="6350" b="0"/>
            <wp:wrapSquare wrapText="bothSides"/>
            <wp:docPr id="7" name="Image 7" descr="C:\Users\LENOVO\Desktop\A utres\IMAGE PHONE\IMG_20240516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 utres\IMAGE PHONE\IMG_20240516_1127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53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14:paraId="17D4AA53" w14:textId="706E1ED1" w:rsidR="00BF17A8" w:rsidRPr="006839A4" w:rsidRDefault="00AB60B4" w:rsidP="00AB60B4">
      <w:pPr>
        <w:spacing w:before="240" w:line="276" w:lineRule="auto"/>
        <w:jc w:val="both"/>
        <w:rPr>
          <w:rFonts w:ascii="Times New Roman" w:hAnsi="Times New Roman" w:cs="Times New Roman"/>
          <w:b/>
          <w:sz w:val="24"/>
          <w:szCs w:val="24"/>
        </w:rPr>
      </w:pPr>
      <w:r w:rsidRPr="00904D7E">
        <w:rPr>
          <w:rFonts w:ascii="Times New Roman" w:hAnsi="Times New Roman" w:cs="Times New Roman"/>
          <w:b/>
          <w:noProof/>
          <w:sz w:val="24"/>
          <w:szCs w:val="24"/>
          <w:lang w:eastAsia="fr-FR"/>
        </w:rPr>
        <w:t xml:space="preserve"> </w:t>
      </w:r>
      <w:r w:rsidR="00377ABB">
        <w:rPr>
          <w:rFonts w:ascii="Times New Roman" w:hAnsi="Times New Roman" w:cs="Times New Roman"/>
          <w:b/>
          <w:noProof/>
          <w:sz w:val="24"/>
          <w:szCs w:val="24"/>
          <w:lang w:eastAsia="fr-FR"/>
        </w:rPr>
        <w:t xml:space="preserve">Figure 9: </w:t>
      </w:r>
      <w:r w:rsidR="00377ABB" w:rsidRPr="00377ABB">
        <w:t>water point with the presence of animals</w:t>
      </w:r>
    </w:p>
    <w:p w14:paraId="3F527C5D" w14:textId="0257E2B9" w:rsidR="0009351F" w:rsidRPr="00377ABB" w:rsidRDefault="0009351F" w:rsidP="0009351F">
      <w:pPr>
        <w:spacing w:line="360" w:lineRule="auto"/>
        <w:jc w:val="both"/>
        <w:rPr>
          <w:rFonts w:ascii="Times New Roman" w:hAnsi="Times New Roman" w:cs="Times New Roman"/>
          <w:sz w:val="24"/>
          <w:szCs w:val="24"/>
        </w:rPr>
      </w:pPr>
      <w:r>
        <w:rPr>
          <w:rFonts w:ascii="Arial" w:hAnsi="Arial" w:cs="Arial"/>
          <w:sz w:val="24"/>
        </w:rPr>
        <w:t>The results of the microbiological analyses showed that all the samples of well and borehole water studied had a high contamination rate of Escherichia Coli, Salmonella-Shigella, Total Coliforms, Fecal Coliforms, Enterococci, and total aerobic flora. However, the highest bacterial loads were observed for Total Coliforms, Fecal Coliforms, and Total Aerobic Flora, with 96.43% for boreholes and 80% for wells, 92.86% for boreholes and 80%, followed by 100% non-compliance. Our results are consistent with those of Louzayadio Mvouezolo et al. (2021) (</w:t>
      </w:r>
      <w:r w:rsidRPr="00624F04">
        <w:rPr>
          <w:rFonts w:ascii="Arial" w:hAnsi="Arial" w:cs="Arial"/>
          <w:b/>
          <w:sz w:val="24"/>
        </w:rPr>
        <w:t>16</w:t>
      </w:r>
      <w:r>
        <w:rPr>
          <w:rFonts w:ascii="Arial" w:hAnsi="Arial" w:cs="Arial"/>
          <w:sz w:val="24"/>
        </w:rPr>
        <w:t xml:space="preserve">), Louzayadio </w:t>
      </w:r>
      <w:r w:rsidRPr="00377ABB">
        <w:rPr>
          <w:rFonts w:ascii="Times New Roman" w:hAnsi="Times New Roman" w:cs="Times New Roman"/>
          <w:sz w:val="24"/>
          <w:szCs w:val="24"/>
        </w:rPr>
        <w:t>Mvouezolo (2019) (</w:t>
      </w:r>
      <w:r w:rsidRPr="00377ABB">
        <w:rPr>
          <w:rFonts w:ascii="Times New Roman" w:hAnsi="Times New Roman" w:cs="Times New Roman"/>
          <w:b/>
          <w:sz w:val="24"/>
          <w:szCs w:val="24"/>
        </w:rPr>
        <w:t>17</w:t>
      </w:r>
      <w:r w:rsidRPr="00377ABB">
        <w:rPr>
          <w:rFonts w:ascii="Times New Roman" w:hAnsi="Times New Roman" w:cs="Times New Roman"/>
          <w:sz w:val="24"/>
          <w:szCs w:val="24"/>
        </w:rPr>
        <w:t>) on groundwater in the Kombé neighbo</w:t>
      </w:r>
      <w:r w:rsidR="0050288F">
        <w:rPr>
          <w:rFonts w:ascii="Times New Roman" w:hAnsi="Times New Roman" w:cs="Times New Roman"/>
          <w:sz w:val="24"/>
          <w:szCs w:val="24"/>
        </w:rPr>
        <w:t>u</w:t>
      </w:r>
      <w:r w:rsidRPr="00377ABB">
        <w:rPr>
          <w:rFonts w:ascii="Times New Roman" w:hAnsi="Times New Roman" w:cs="Times New Roman"/>
          <w:sz w:val="24"/>
          <w:szCs w:val="24"/>
        </w:rPr>
        <w:t xml:space="preserve">rhood (Togo), and Zvidzai et </w:t>
      </w:r>
      <w:r w:rsidRPr="00377ABB">
        <w:rPr>
          <w:rFonts w:ascii="Times New Roman" w:hAnsi="Times New Roman" w:cs="Times New Roman"/>
          <w:sz w:val="24"/>
          <w:szCs w:val="24"/>
        </w:rPr>
        <w:lastRenderedPageBreak/>
        <w:t>al. (2007) in Zimbabwe (</w:t>
      </w:r>
      <w:r w:rsidRPr="00377ABB">
        <w:rPr>
          <w:rFonts w:ascii="Times New Roman" w:hAnsi="Times New Roman" w:cs="Times New Roman"/>
          <w:b/>
          <w:sz w:val="24"/>
          <w:szCs w:val="24"/>
        </w:rPr>
        <w:t>18</w:t>
      </w:r>
      <w:r w:rsidRPr="00377ABB">
        <w:rPr>
          <w:rFonts w:ascii="Times New Roman" w:hAnsi="Times New Roman" w:cs="Times New Roman"/>
          <w:sz w:val="24"/>
          <w:szCs w:val="24"/>
        </w:rPr>
        <w:t xml:space="preserve">), who found high contamination of well water by </w:t>
      </w:r>
      <w:r w:rsidRPr="007A4A54">
        <w:rPr>
          <w:rFonts w:ascii="Times New Roman" w:hAnsi="Times New Roman" w:cs="Times New Roman"/>
          <w:sz w:val="24"/>
          <w:szCs w:val="24"/>
          <w:highlight w:val="yellow"/>
        </w:rPr>
        <w:t xml:space="preserve">fecal </w:t>
      </w:r>
      <w:r w:rsidR="007A4A54" w:rsidRPr="007A4A54">
        <w:rPr>
          <w:highlight w:val="yellow"/>
        </w:rPr>
        <w:t>microbes</w:t>
      </w:r>
      <w:r w:rsidR="007A4A54">
        <w:t xml:space="preserve"> </w:t>
      </w:r>
      <w:r w:rsidRPr="00377ABB">
        <w:rPr>
          <w:rFonts w:ascii="Times New Roman" w:hAnsi="Times New Roman" w:cs="Times New Roman"/>
          <w:sz w:val="24"/>
          <w:szCs w:val="24"/>
        </w:rPr>
        <w:t>compared to borehole water. Coumare et al. (2018) on the bacteriological quality of drinking water (boreholes and wells) in three districts of the Koulikoro region in Mali (</w:t>
      </w:r>
      <w:r w:rsidRPr="00377ABB">
        <w:rPr>
          <w:rFonts w:ascii="Times New Roman" w:hAnsi="Times New Roman" w:cs="Times New Roman"/>
          <w:b/>
          <w:sz w:val="24"/>
          <w:szCs w:val="24"/>
        </w:rPr>
        <w:t>19</w:t>
      </w:r>
      <w:proofErr w:type="gramStart"/>
      <w:r w:rsidRPr="00377ABB">
        <w:rPr>
          <w:rFonts w:ascii="Times New Roman" w:hAnsi="Times New Roman" w:cs="Times New Roman"/>
          <w:sz w:val="24"/>
          <w:szCs w:val="24"/>
        </w:rPr>
        <w:t>)  found</w:t>
      </w:r>
      <w:proofErr w:type="gramEnd"/>
      <w:r w:rsidRPr="00377ABB">
        <w:rPr>
          <w:rFonts w:ascii="Times New Roman" w:hAnsi="Times New Roman" w:cs="Times New Roman"/>
          <w:sz w:val="24"/>
          <w:szCs w:val="24"/>
        </w:rPr>
        <w:t xml:space="preserve"> results similar to this study, with 5.3% non-compliance for borehole water and 94.7% non-compliance for well water. For total coliforms, the proportion of compliant samples reported by Soncy et al. (2015) (63%) </w:t>
      </w:r>
      <w:r w:rsidR="00624F04" w:rsidRPr="00377ABB">
        <w:rPr>
          <w:rFonts w:ascii="Times New Roman" w:hAnsi="Times New Roman" w:cs="Times New Roman"/>
          <w:sz w:val="24"/>
          <w:szCs w:val="24"/>
        </w:rPr>
        <w:t>(</w:t>
      </w:r>
      <w:r w:rsidR="00624F04" w:rsidRPr="00377ABB">
        <w:rPr>
          <w:rFonts w:ascii="Times New Roman" w:hAnsi="Times New Roman" w:cs="Times New Roman"/>
          <w:b/>
          <w:sz w:val="24"/>
          <w:szCs w:val="24"/>
        </w:rPr>
        <w:t>20</w:t>
      </w:r>
      <w:r w:rsidR="0050288F" w:rsidRPr="00377ABB">
        <w:rPr>
          <w:rFonts w:ascii="Times New Roman" w:hAnsi="Times New Roman" w:cs="Times New Roman"/>
          <w:sz w:val="24"/>
          <w:szCs w:val="24"/>
        </w:rPr>
        <w:t>)</w:t>
      </w:r>
      <w:r w:rsidR="0050288F">
        <w:rPr>
          <w:rFonts w:ascii="Times New Roman" w:hAnsi="Times New Roman" w:cs="Times New Roman"/>
          <w:sz w:val="24"/>
          <w:szCs w:val="24"/>
        </w:rPr>
        <w:t xml:space="preserve"> </w:t>
      </w:r>
      <w:r w:rsidRPr="00377ABB">
        <w:rPr>
          <w:rFonts w:ascii="Times New Roman" w:hAnsi="Times New Roman" w:cs="Times New Roman"/>
          <w:sz w:val="24"/>
          <w:szCs w:val="24"/>
        </w:rPr>
        <w:t>and Benaissa (</w:t>
      </w:r>
      <w:r w:rsidR="00624F04" w:rsidRPr="00377ABB">
        <w:rPr>
          <w:rFonts w:ascii="Times New Roman" w:hAnsi="Times New Roman" w:cs="Times New Roman"/>
          <w:b/>
          <w:sz w:val="24"/>
          <w:szCs w:val="24"/>
        </w:rPr>
        <w:t>21</w:t>
      </w:r>
      <w:r w:rsidRPr="00377ABB">
        <w:rPr>
          <w:rFonts w:ascii="Times New Roman" w:hAnsi="Times New Roman" w:cs="Times New Roman"/>
          <w:sz w:val="24"/>
          <w:szCs w:val="24"/>
        </w:rPr>
        <w:t>).</w:t>
      </w:r>
    </w:p>
    <w:p w14:paraId="5A79CC7B" w14:textId="00A18590" w:rsidR="0009351F" w:rsidRPr="00377ABB" w:rsidRDefault="0009351F" w:rsidP="0009351F">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Thus, globally, taking into account the three types of </w:t>
      </w:r>
      <w:r w:rsidR="007A4A54">
        <w:t>microbes</w:t>
      </w:r>
      <w:r w:rsidRPr="00377ABB">
        <w:rPr>
          <w:rFonts w:ascii="Times New Roman" w:hAnsi="Times New Roman" w:cs="Times New Roman"/>
          <w:sz w:val="24"/>
          <w:szCs w:val="24"/>
        </w:rPr>
        <w:t>, the overall compliance rate obtained during this study was higher than that found in the well water in Togo (Fambi et al., 2021) (</w:t>
      </w:r>
      <w:r w:rsidRPr="00377ABB">
        <w:rPr>
          <w:rFonts w:ascii="Times New Roman" w:hAnsi="Times New Roman" w:cs="Times New Roman"/>
          <w:b/>
          <w:sz w:val="24"/>
          <w:szCs w:val="24"/>
        </w:rPr>
        <w:t>2</w:t>
      </w:r>
      <w:r w:rsidR="00624F04" w:rsidRPr="00377ABB">
        <w:rPr>
          <w:rFonts w:ascii="Times New Roman" w:hAnsi="Times New Roman" w:cs="Times New Roman"/>
          <w:b/>
          <w:sz w:val="24"/>
          <w:szCs w:val="24"/>
        </w:rPr>
        <w:t>2</w:t>
      </w:r>
      <w:r w:rsidR="007E242A" w:rsidRPr="00377ABB">
        <w:rPr>
          <w:rFonts w:ascii="Times New Roman" w:hAnsi="Times New Roman" w:cs="Times New Roman"/>
          <w:sz w:val="24"/>
          <w:szCs w:val="24"/>
        </w:rPr>
        <w:t>).</w:t>
      </w:r>
      <w:r w:rsidRPr="00377ABB">
        <w:rPr>
          <w:rFonts w:ascii="Times New Roman" w:hAnsi="Times New Roman" w:cs="Times New Roman"/>
          <w:sz w:val="24"/>
          <w:szCs w:val="24"/>
        </w:rPr>
        <w:t xml:space="preserve"> Indeed, these authors reported </w:t>
      </w:r>
      <w:r w:rsidR="0050288F" w:rsidRPr="00377ABB">
        <w:rPr>
          <w:rFonts w:ascii="Times New Roman" w:hAnsi="Times New Roman" w:cs="Times New Roman"/>
          <w:sz w:val="24"/>
          <w:szCs w:val="24"/>
        </w:rPr>
        <w:t>f</w:t>
      </w:r>
      <w:r w:rsidR="0050288F">
        <w:rPr>
          <w:rFonts w:ascii="Times New Roman" w:hAnsi="Times New Roman" w:cs="Times New Roman"/>
          <w:sz w:val="24"/>
          <w:szCs w:val="24"/>
        </w:rPr>
        <w:t>a</w:t>
      </w:r>
      <w:r w:rsidR="0050288F" w:rsidRPr="00377ABB">
        <w:rPr>
          <w:rFonts w:ascii="Times New Roman" w:hAnsi="Times New Roman" w:cs="Times New Roman"/>
          <w:sz w:val="24"/>
          <w:szCs w:val="24"/>
        </w:rPr>
        <w:t>ecal</w:t>
      </w:r>
      <w:r w:rsidR="0050288F">
        <w:rPr>
          <w:rFonts w:ascii="Times New Roman" w:hAnsi="Times New Roman" w:cs="Times New Roman"/>
          <w:sz w:val="24"/>
          <w:szCs w:val="24"/>
        </w:rPr>
        <w:t>-</w:t>
      </w:r>
      <w:r w:rsidRPr="00377ABB">
        <w:rPr>
          <w:rFonts w:ascii="Times New Roman" w:hAnsi="Times New Roman" w:cs="Times New Roman"/>
          <w:sz w:val="24"/>
          <w:szCs w:val="24"/>
        </w:rPr>
        <w:t xml:space="preserve">origin bacterial contamination in the majority of the well waters they studied (over 75%), especially for total coliforms, indicating a lack of hygiene around these wells. The wells showed a non-compliance rate of 20% for </w:t>
      </w:r>
      <w:r w:rsidRPr="007A4A54">
        <w:rPr>
          <w:rFonts w:ascii="Times New Roman" w:hAnsi="Times New Roman" w:cs="Times New Roman"/>
          <w:i/>
          <w:iCs/>
          <w:sz w:val="24"/>
          <w:szCs w:val="24"/>
        </w:rPr>
        <w:t>E. coli</w:t>
      </w:r>
      <w:r w:rsidRPr="00377ABB">
        <w:rPr>
          <w:rFonts w:ascii="Times New Roman" w:hAnsi="Times New Roman" w:cs="Times New Roman"/>
          <w:sz w:val="24"/>
          <w:szCs w:val="24"/>
        </w:rPr>
        <w:t>, f</w:t>
      </w:r>
      <w:r w:rsidR="0050288F">
        <w:rPr>
          <w:rFonts w:ascii="Times New Roman" w:hAnsi="Times New Roman" w:cs="Times New Roman"/>
          <w:sz w:val="24"/>
          <w:szCs w:val="24"/>
        </w:rPr>
        <w:t>a</w:t>
      </w:r>
      <w:r w:rsidRPr="00377ABB">
        <w:rPr>
          <w:rFonts w:ascii="Times New Roman" w:hAnsi="Times New Roman" w:cs="Times New Roman"/>
          <w:sz w:val="24"/>
          <w:szCs w:val="24"/>
        </w:rPr>
        <w:t xml:space="preserve">ecal Enterococci, and </w:t>
      </w:r>
      <w:r w:rsidRPr="00377ABB">
        <w:rPr>
          <w:rFonts w:ascii="Times New Roman" w:hAnsi="Times New Roman" w:cs="Times New Roman"/>
          <w:i/>
          <w:sz w:val="24"/>
          <w:szCs w:val="24"/>
        </w:rPr>
        <w:t>Salmonella SPP</w:t>
      </w:r>
      <w:r w:rsidRPr="00377ABB">
        <w:rPr>
          <w:rFonts w:ascii="Times New Roman" w:hAnsi="Times New Roman" w:cs="Times New Roman"/>
          <w:sz w:val="24"/>
          <w:szCs w:val="24"/>
        </w:rPr>
        <w:t xml:space="preserve">, while the boreholes showed a non-compliance rate of 28.57% for E. coli, 14% for Enterococci, and 100% for total aerobic flora. Our results are similar to those of </w:t>
      </w:r>
      <w:r w:rsidR="007E242A" w:rsidRPr="00377ABB">
        <w:rPr>
          <w:rFonts w:ascii="Times New Roman" w:hAnsi="Times New Roman" w:cs="Times New Roman"/>
          <w:sz w:val="24"/>
          <w:szCs w:val="24"/>
        </w:rPr>
        <w:t>A. Abengourou in Côte d'Ivoire</w:t>
      </w:r>
      <w:r w:rsidR="00624F04" w:rsidRPr="00377ABB">
        <w:rPr>
          <w:rFonts w:ascii="Times New Roman" w:hAnsi="Times New Roman" w:cs="Times New Roman"/>
          <w:sz w:val="24"/>
          <w:szCs w:val="24"/>
        </w:rPr>
        <w:t>, where Aka et al. (2013) (</w:t>
      </w:r>
      <w:r w:rsidR="00624F04" w:rsidRPr="00377ABB">
        <w:rPr>
          <w:rFonts w:ascii="Times New Roman" w:hAnsi="Times New Roman" w:cs="Times New Roman"/>
          <w:b/>
          <w:sz w:val="24"/>
          <w:szCs w:val="24"/>
        </w:rPr>
        <w:t>2</w:t>
      </w:r>
      <w:r w:rsidR="007E242A" w:rsidRPr="00377ABB">
        <w:rPr>
          <w:rFonts w:ascii="Times New Roman" w:hAnsi="Times New Roman" w:cs="Times New Roman"/>
          <w:b/>
          <w:sz w:val="24"/>
          <w:szCs w:val="24"/>
        </w:rPr>
        <w:t>3</w:t>
      </w:r>
      <w:proofErr w:type="gramStart"/>
      <w:r w:rsidRPr="00377ABB">
        <w:rPr>
          <w:rFonts w:ascii="Times New Roman" w:hAnsi="Times New Roman" w:cs="Times New Roman"/>
          <w:sz w:val="24"/>
          <w:szCs w:val="24"/>
        </w:rPr>
        <w:t>).found</w:t>
      </w:r>
      <w:proofErr w:type="gramEnd"/>
      <w:r w:rsidRPr="00377ABB">
        <w:rPr>
          <w:rFonts w:ascii="Times New Roman" w:hAnsi="Times New Roman" w:cs="Times New Roman"/>
          <w:sz w:val="24"/>
          <w:szCs w:val="24"/>
        </w:rPr>
        <w:t xml:space="preserve"> </w:t>
      </w:r>
      <w:r w:rsidRPr="007A4A54">
        <w:rPr>
          <w:rFonts w:ascii="Times New Roman" w:hAnsi="Times New Roman" w:cs="Times New Roman"/>
          <w:i/>
          <w:iCs/>
          <w:sz w:val="24"/>
          <w:szCs w:val="24"/>
          <w:highlight w:val="yellow"/>
        </w:rPr>
        <w:t>Escherichia coli</w:t>
      </w:r>
      <w:r w:rsidRPr="007A4A54">
        <w:rPr>
          <w:rFonts w:ascii="Times New Roman" w:hAnsi="Times New Roman" w:cs="Times New Roman"/>
          <w:sz w:val="24"/>
          <w:szCs w:val="24"/>
          <w:highlight w:val="yellow"/>
        </w:rPr>
        <w:t xml:space="preserve"> strains in 28% of the analyzed well water samples, but lower than those of </w:t>
      </w:r>
      <w:r w:rsidR="007A4A54" w:rsidRPr="007A4A54">
        <w:rPr>
          <w:rFonts w:ascii="Times New Roman" w:hAnsi="Times New Roman" w:cs="Times New Roman"/>
          <w:sz w:val="24"/>
          <w:szCs w:val="24"/>
          <w:highlight w:val="yellow"/>
        </w:rPr>
        <w:t>Sokegbe</w:t>
      </w:r>
      <w:r w:rsidRPr="007A4A54">
        <w:rPr>
          <w:rFonts w:ascii="Times New Roman" w:hAnsi="Times New Roman" w:cs="Times New Roman"/>
          <w:sz w:val="24"/>
          <w:szCs w:val="24"/>
          <w:highlight w:val="yellow"/>
        </w:rPr>
        <w:t xml:space="preserve"> et al., who showed a non-compliance rate of 66.67% for wells due to the presence of Escherichia coli, and thei</w:t>
      </w:r>
      <w:r w:rsidR="00624F04" w:rsidRPr="007A4A54">
        <w:rPr>
          <w:rFonts w:ascii="Times New Roman" w:hAnsi="Times New Roman" w:cs="Times New Roman"/>
          <w:sz w:val="24"/>
          <w:szCs w:val="24"/>
          <w:highlight w:val="yellow"/>
        </w:rPr>
        <w:t>r absence in borehole waters (</w:t>
      </w:r>
      <w:r w:rsidR="00624F04" w:rsidRPr="007A4A54">
        <w:rPr>
          <w:rFonts w:ascii="Times New Roman" w:hAnsi="Times New Roman" w:cs="Times New Roman"/>
          <w:b/>
          <w:sz w:val="24"/>
          <w:szCs w:val="24"/>
          <w:highlight w:val="yellow"/>
        </w:rPr>
        <w:t>2</w:t>
      </w:r>
      <w:r w:rsidR="007E242A" w:rsidRPr="007A4A54">
        <w:rPr>
          <w:rFonts w:ascii="Times New Roman" w:hAnsi="Times New Roman" w:cs="Times New Roman"/>
          <w:b/>
          <w:sz w:val="24"/>
          <w:szCs w:val="24"/>
          <w:highlight w:val="yellow"/>
        </w:rPr>
        <w:t>4</w:t>
      </w:r>
      <w:r w:rsidRPr="007A4A54">
        <w:rPr>
          <w:rFonts w:ascii="Times New Roman" w:hAnsi="Times New Roman" w:cs="Times New Roman"/>
          <w:sz w:val="24"/>
          <w:szCs w:val="24"/>
          <w:highlight w:val="yellow"/>
        </w:rPr>
        <w:t>). Similarly, Soncy et al. (2015</w:t>
      </w:r>
      <w:r w:rsidRPr="00377ABB">
        <w:rPr>
          <w:rFonts w:ascii="Times New Roman" w:hAnsi="Times New Roman" w:cs="Times New Roman"/>
          <w:sz w:val="24"/>
          <w:szCs w:val="24"/>
        </w:rPr>
        <w:t>) reported a non-compliance rate of 70.08% in well water samples analyzed in Lomé (Togo) (</w:t>
      </w:r>
      <w:r w:rsidRPr="00377ABB">
        <w:rPr>
          <w:rFonts w:ascii="Times New Roman" w:hAnsi="Times New Roman" w:cs="Times New Roman"/>
          <w:b/>
          <w:sz w:val="24"/>
          <w:szCs w:val="24"/>
        </w:rPr>
        <w:t>2</w:t>
      </w:r>
      <w:r w:rsidR="007E242A" w:rsidRPr="00377ABB">
        <w:rPr>
          <w:rFonts w:ascii="Times New Roman" w:hAnsi="Times New Roman" w:cs="Times New Roman"/>
          <w:b/>
          <w:sz w:val="24"/>
          <w:szCs w:val="24"/>
        </w:rPr>
        <w:t>5</w:t>
      </w:r>
      <w:r w:rsidRPr="00377ABB">
        <w:rPr>
          <w:rFonts w:ascii="Times New Roman" w:hAnsi="Times New Roman" w:cs="Times New Roman"/>
          <w:sz w:val="24"/>
          <w:szCs w:val="24"/>
        </w:rPr>
        <w:t>). The poor quality of these waters can be explained not only by the lack of sanitation but also by the unhealthy environment due to the lack of hygiene around these water sources (Nanfack et al., 2013) (</w:t>
      </w:r>
      <w:r w:rsidRPr="00377ABB">
        <w:rPr>
          <w:rFonts w:ascii="Times New Roman" w:hAnsi="Times New Roman" w:cs="Times New Roman"/>
          <w:b/>
          <w:sz w:val="24"/>
          <w:szCs w:val="24"/>
        </w:rPr>
        <w:t>2</w:t>
      </w:r>
      <w:r w:rsidR="007E242A" w:rsidRPr="00377ABB">
        <w:rPr>
          <w:rFonts w:ascii="Times New Roman" w:hAnsi="Times New Roman" w:cs="Times New Roman"/>
          <w:b/>
          <w:sz w:val="24"/>
          <w:szCs w:val="24"/>
        </w:rPr>
        <w:t>6</w:t>
      </w:r>
      <w:r w:rsidRPr="00377ABB">
        <w:rPr>
          <w:rFonts w:ascii="Times New Roman" w:hAnsi="Times New Roman" w:cs="Times New Roman"/>
          <w:sz w:val="24"/>
          <w:szCs w:val="24"/>
        </w:rPr>
        <w:t>).</w:t>
      </w:r>
    </w:p>
    <w:p w14:paraId="0DA67C94" w14:textId="204BD5C0" w:rsidR="0009351F" w:rsidRPr="00377ABB" w:rsidRDefault="0009351F" w:rsidP="0009351F">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presence of a high bacterial density in these waters could be explained by the fact that not all wells respect the required distance of more than 15 meters between the well and the nearest latrine, as well as the absence of casing, which significantly increases the risks of water point contamination. Disinfection is necessary before any use. It is therefore important to monitor factors that may contribute to this contamination because the presence of coliforms, </w:t>
      </w:r>
      <w:r w:rsidRPr="00377ABB">
        <w:rPr>
          <w:rFonts w:ascii="Times New Roman" w:hAnsi="Times New Roman" w:cs="Times New Roman"/>
          <w:i/>
          <w:sz w:val="24"/>
          <w:szCs w:val="24"/>
        </w:rPr>
        <w:t>Escherichia coli, Salmonella spp</w:t>
      </w:r>
      <w:r w:rsidRPr="00377ABB">
        <w:rPr>
          <w:rFonts w:ascii="Times New Roman" w:hAnsi="Times New Roman" w:cs="Times New Roman"/>
          <w:sz w:val="24"/>
          <w:szCs w:val="24"/>
        </w:rPr>
        <w:t>, and other coliforms in drinking water indicates f</w:t>
      </w:r>
      <w:r w:rsidR="0050288F">
        <w:rPr>
          <w:rFonts w:ascii="Times New Roman" w:hAnsi="Times New Roman" w:cs="Times New Roman"/>
          <w:sz w:val="24"/>
          <w:szCs w:val="24"/>
        </w:rPr>
        <w:t>a</w:t>
      </w:r>
      <w:r w:rsidRPr="00377ABB">
        <w:rPr>
          <w:rFonts w:ascii="Times New Roman" w:hAnsi="Times New Roman" w:cs="Times New Roman"/>
          <w:sz w:val="24"/>
          <w:szCs w:val="24"/>
        </w:rPr>
        <w:t xml:space="preserve">ecal contamination and non-potability of the water, regardless of the number of </w:t>
      </w:r>
      <w:r w:rsidR="007A4A54">
        <w:t>microbes</w:t>
      </w:r>
      <w:r w:rsidRPr="00377ABB">
        <w:rPr>
          <w:rFonts w:ascii="Times New Roman" w:hAnsi="Times New Roman" w:cs="Times New Roman"/>
          <w:sz w:val="24"/>
          <w:szCs w:val="24"/>
        </w:rPr>
        <w:t>, even one (1) in 100 ml of sampled water (</w:t>
      </w:r>
      <w:r w:rsidR="00905DE4" w:rsidRPr="00377ABB">
        <w:rPr>
          <w:rFonts w:ascii="Times New Roman" w:hAnsi="Times New Roman" w:cs="Times New Roman"/>
          <w:sz w:val="24"/>
          <w:szCs w:val="24"/>
        </w:rPr>
        <w:t>Balloy M et al.</w:t>
      </w:r>
      <w:r w:rsidRPr="00377ABB">
        <w:rPr>
          <w:rFonts w:ascii="Times New Roman" w:hAnsi="Times New Roman" w:cs="Times New Roman"/>
          <w:sz w:val="24"/>
          <w:szCs w:val="24"/>
        </w:rPr>
        <w:t>, 2019)</w:t>
      </w:r>
      <w:r w:rsidR="007E242A" w:rsidRPr="00377ABB">
        <w:rPr>
          <w:rFonts w:ascii="Times New Roman" w:hAnsi="Times New Roman" w:cs="Times New Roman"/>
          <w:sz w:val="24"/>
          <w:szCs w:val="24"/>
        </w:rPr>
        <w:t xml:space="preserve"> (</w:t>
      </w:r>
      <w:r w:rsidR="007E242A" w:rsidRPr="00377ABB">
        <w:rPr>
          <w:rFonts w:ascii="Times New Roman" w:hAnsi="Times New Roman" w:cs="Times New Roman"/>
          <w:b/>
          <w:sz w:val="24"/>
          <w:szCs w:val="24"/>
        </w:rPr>
        <w:t>27</w:t>
      </w:r>
      <w:proofErr w:type="gramStart"/>
      <w:r w:rsidR="007E242A" w:rsidRPr="00377ABB">
        <w:rPr>
          <w:rFonts w:ascii="Times New Roman" w:hAnsi="Times New Roman" w:cs="Times New Roman"/>
          <w:sz w:val="24"/>
          <w:szCs w:val="24"/>
        </w:rPr>
        <w:t>).</w:t>
      </w:r>
      <w:r w:rsidRPr="00377ABB">
        <w:rPr>
          <w:rFonts w:ascii="Times New Roman" w:hAnsi="Times New Roman" w:cs="Times New Roman"/>
          <w:sz w:val="24"/>
          <w:szCs w:val="24"/>
        </w:rPr>
        <w:t>.</w:t>
      </w:r>
      <w:proofErr w:type="gramEnd"/>
      <w:r w:rsidRPr="00377ABB">
        <w:rPr>
          <w:rFonts w:ascii="Times New Roman" w:hAnsi="Times New Roman" w:cs="Times New Roman"/>
          <w:sz w:val="24"/>
          <w:szCs w:val="24"/>
        </w:rPr>
        <w:t xml:space="preserve"> Consumption of this water exposes the local population to numerous waterborne diseases such as typhoid, dysentery, and diarrh</w:t>
      </w:r>
      <w:r w:rsidR="0050288F">
        <w:rPr>
          <w:rFonts w:ascii="Times New Roman" w:hAnsi="Times New Roman" w:cs="Times New Roman"/>
          <w:sz w:val="24"/>
          <w:szCs w:val="24"/>
        </w:rPr>
        <w:t>o</w:t>
      </w:r>
      <w:r w:rsidRPr="00377ABB">
        <w:rPr>
          <w:rFonts w:ascii="Times New Roman" w:hAnsi="Times New Roman" w:cs="Times New Roman"/>
          <w:sz w:val="24"/>
          <w:szCs w:val="24"/>
        </w:rPr>
        <w:t xml:space="preserve">ea, as these waters contain high levels of </w:t>
      </w:r>
      <w:r w:rsidRPr="007A4A54">
        <w:rPr>
          <w:rFonts w:ascii="Times New Roman" w:hAnsi="Times New Roman" w:cs="Times New Roman"/>
          <w:i/>
          <w:iCs/>
          <w:sz w:val="24"/>
          <w:szCs w:val="24"/>
          <w:highlight w:val="yellow"/>
        </w:rPr>
        <w:t>Escherichia coli</w:t>
      </w:r>
      <w:r w:rsidRPr="007A4A54">
        <w:rPr>
          <w:rFonts w:ascii="Times New Roman" w:hAnsi="Times New Roman" w:cs="Times New Roman"/>
          <w:sz w:val="24"/>
          <w:szCs w:val="24"/>
          <w:highlight w:val="yellow"/>
        </w:rPr>
        <w:t xml:space="preserve"> </w:t>
      </w:r>
      <w:r w:rsidRPr="00377ABB">
        <w:rPr>
          <w:rFonts w:ascii="Times New Roman" w:hAnsi="Times New Roman" w:cs="Times New Roman"/>
          <w:sz w:val="24"/>
          <w:szCs w:val="24"/>
        </w:rPr>
        <w:t>and coliforms (WHO, 2011)</w:t>
      </w:r>
      <w:r w:rsidR="007E242A" w:rsidRPr="00377ABB">
        <w:rPr>
          <w:rFonts w:ascii="Times New Roman" w:hAnsi="Times New Roman" w:cs="Times New Roman"/>
          <w:sz w:val="24"/>
          <w:szCs w:val="24"/>
        </w:rPr>
        <w:t xml:space="preserve"> (</w:t>
      </w:r>
      <w:r w:rsidR="007E242A" w:rsidRPr="00377ABB">
        <w:rPr>
          <w:rFonts w:ascii="Times New Roman" w:hAnsi="Times New Roman" w:cs="Times New Roman"/>
          <w:b/>
          <w:sz w:val="24"/>
          <w:szCs w:val="24"/>
        </w:rPr>
        <w:t>2</w:t>
      </w:r>
      <w:r w:rsidR="00905DE4" w:rsidRPr="00377ABB">
        <w:rPr>
          <w:rFonts w:ascii="Times New Roman" w:hAnsi="Times New Roman" w:cs="Times New Roman"/>
          <w:b/>
          <w:sz w:val="24"/>
          <w:szCs w:val="24"/>
        </w:rPr>
        <w:t>8</w:t>
      </w:r>
      <w:r w:rsidR="007E242A" w:rsidRPr="00377ABB">
        <w:rPr>
          <w:rFonts w:ascii="Times New Roman" w:hAnsi="Times New Roman" w:cs="Times New Roman"/>
          <w:sz w:val="24"/>
          <w:szCs w:val="24"/>
        </w:rPr>
        <w:t>)</w:t>
      </w:r>
      <w:r w:rsidRPr="00377ABB">
        <w:rPr>
          <w:rFonts w:ascii="Times New Roman" w:hAnsi="Times New Roman" w:cs="Times New Roman"/>
          <w:sz w:val="24"/>
          <w:szCs w:val="24"/>
        </w:rPr>
        <w:t>.</w:t>
      </w:r>
    </w:p>
    <w:p w14:paraId="4705F0D6" w14:textId="77777777" w:rsidR="0009351F" w:rsidRPr="00377ABB" w:rsidRDefault="0009351F" w:rsidP="0009351F">
      <w:pPr>
        <w:jc w:val="both"/>
        <w:rPr>
          <w:rFonts w:ascii="Times New Roman" w:hAnsi="Times New Roman" w:cs="Times New Roman"/>
          <w:b/>
          <w:sz w:val="24"/>
          <w:szCs w:val="24"/>
        </w:rPr>
      </w:pPr>
      <w:r w:rsidRPr="00377ABB">
        <w:rPr>
          <w:rFonts w:ascii="Times New Roman" w:hAnsi="Times New Roman" w:cs="Times New Roman"/>
          <w:b/>
          <w:sz w:val="24"/>
          <w:szCs w:val="24"/>
        </w:rPr>
        <w:t xml:space="preserve">5. CONCLUSION </w:t>
      </w:r>
    </w:p>
    <w:p w14:paraId="49F52EFD" w14:textId="71DF4225" w:rsidR="0009351F" w:rsidRPr="00377ABB" w:rsidRDefault="0009351F" w:rsidP="0009351F">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lastRenderedPageBreak/>
        <w:t>This study assessed the microbiological quality of well and borehole water consumed in the city of Mongo (Chad). Most of the samples contained total coliforms, f</w:t>
      </w:r>
      <w:r w:rsidR="0050288F">
        <w:rPr>
          <w:rFonts w:ascii="Times New Roman" w:hAnsi="Times New Roman" w:cs="Times New Roman"/>
          <w:sz w:val="24"/>
          <w:szCs w:val="24"/>
        </w:rPr>
        <w:t>a</w:t>
      </w:r>
      <w:r w:rsidRPr="00377ABB">
        <w:rPr>
          <w:rFonts w:ascii="Times New Roman" w:hAnsi="Times New Roman" w:cs="Times New Roman"/>
          <w:sz w:val="24"/>
          <w:szCs w:val="24"/>
        </w:rPr>
        <w:t>ecal coliforms, f</w:t>
      </w:r>
      <w:r w:rsidR="0050288F">
        <w:rPr>
          <w:rFonts w:ascii="Times New Roman" w:hAnsi="Times New Roman" w:cs="Times New Roman"/>
          <w:sz w:val="24"/>
          <w:szCs w:val="24"/>
        </w:rPr>
        <w:t>a</w:t>
      </w:r>
      <w:r w:rsidRPr="00377ABB">
        <w:rPr>
          <w:rFonts w:ascii="Times New Roman" w:hAnsi="Times New Roman" w:cs="Times New Roman"/>
          <w:sz w:val="24"/>
          <w:szCs w:val="24"/>
        </w:rPr>
        <w:t xml:space="preserve">ecal enterococci, Salmonella spp., and Escherichia coli. The contamination of these waters by fecal-origin bacteria poses </w:t>
      </w:r>
      <w:proofErr w:type="gramStart"/>
      <w:r w:rsidRPr="00377ABB">
        <w:rPr>
          <w:rFonts w:ascii="Times New Roman" w:hAnsi="Times New Roman" w:cs="Times New Roman"/>
          <w:sz w:val="24"/>
          <w:szCs w:val="24"/>
        </w:rPr>
        <w:t>a</w:t>
      </w:r>
      <w:proofErr w:type="gramEnd"/>
      <w:r w:rsidRPr="00377ABB">
        <w:rPr>
          <w:rFonts w:ascii="Times New Roman" w:hAnsi="Times New Roman" w:cs="Times New Roman"/>
          <w:sz w:val="24"/>
          <w:szCs w:val="24"/>
        </w:rPr>
        <w:t xml:space="preserve"> major risk of gastroenteritis for consumers. The main causes are the lack of sanitation and poor hygiene practices around these water sources. These waters must be treated, and the environments of water points should be improved to limit contamination and reduce the incidence of waterborne diseases</w:t>
      </w:r>
      <w:r w:rsidR="0050288F">
        <w:rPr>
          <w:rFonts w:ascii="Times New Roman" w:hAnsi="Times New Roman" w:cs="Times New Roman"/>
          <w:sz w:val="24"/>
          <w:szCs w:val="24"/>
        </w:rPr>
        <w:t>.</w:t>
      </w:r>
    </w:p>
    <w:p w14:paraId="4F015C12" w14:textId="77777777" w:rsidR="00E615F1" w:rsidRPr="00E615F1" w:rsidRDefault="00E615F1" w:rsidP="00E615F1">
      <w:pPr>
        <w:jc w:val="both"/>
        <w:rPr>
          <w:b/>
        </w:rPr>
      </w:pPr>
      <w:r w:rsidRPr="00E615F1">
        <w:rPr>
          <w:b/>
        </w:rPr>
        <w:t>Disclaimer (Artificial intelligence)</w:t>
      </w:r>
    </w:p>
    <w:p w14:paraId="023606EC" w14:textId="77777777" w:rsidR="00E615F1" w:rsidRDefault="00E615F1" w:rsidP="00E615F1">
      <w:pPr>
        <w:jc w:val="both"/>
      </w:pPr>
      <w:r>
        <w:t xml:space="preserve">Option </w:t>
      </w:r>
      <w:proofErr w:type="gramStart"/>
      <w:r>
        <w:t>1:</w:t>
      </w:r>
      <w:proofErr w:type="gramEnd"/>
      <w:r>
        <w:t xml:space="preserve"> </w:t>
      </w:r>
    </w:p>
    <w:p w14:paraId="6DB430D2" w14:textId="77777777" w:rsidR="00E615F1" w:rsidRDefault="00E615F1" w:rsidP="00E615F1">
      <w:pPr>
        <w:jc w:val="both"/>
      </w:pPr>
      <w:r>
        <w:t xml:space="preserve">Author(s) hereby declare that NO generative AI technologies such as Large Language Models (ChatGPT, COPILOT, etc.) and text-to-image generators have been used during the writing or editing of this manuscript. </w:t>
      </w:r>
    </w:p>
    <w:p w14:paraId="34C1E51F" w14:textId="77777777" w:rsidR="00E615F1" w:rsidRDefault="00E615F1" w:rsidP="00E615F1">
      <w:pPr>
        <w:jc w:val="both"/>
      </w:pPr>
      <w:r>
        <w:t xml:space="preserve">Option </w:t>
      </w:r>
      <w:proofErr w:type="gramStart"/>
      <w:r>
        <w:t>2:</w:t>
      </w:r>
      <w:proofErr w:type="gramEnd"/>
      <w:r>
        <w:t xml:space="preserve"> </w:t>
      </w:r>
    </w:p>
    <w:p w14:paraId="0D7FB859" w14:textId="77777777" w:rsidR="00E615F1" w:rsidRDefault="00E615F1" w:rsidP="00E615F1">
      <w:pPr>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7CFD8E3" w14:textId="77777777" w:rsidR="00E615F1" w:rsidRDefault="00E615F1" w:rsidP="00E615F1">
      <w:pPr>
        <w:jc w:val="both"/>
      </w:pPr>
      <w:r>
        <w:t xml:space="preserve">Details of the AI usage are given </w:t>
      </w:r>
      <w:proofErr w:type="gramStart"/>
      <w:r>
        <w:t>below:</w:t>
      </w:r>
      <w:proofErr w:type="gramEnd"/>
    </w:p>
    <w:p w14:paraId="7BC08342" w14:textId="77777777" w:rsidR="00E615F1" w:rsidRDefault="00E615F1" w:rsidP="00E615F1">
      <w:pPr>
        <w:jc w:val="both"/>
      </w:pPr>
      <w:r>
        <w:t>1.</w:t>
      </w:r>
    </w:p>
    <w:p w14:paraId="2378727D" w14:textId="77777777" w:rsidR="00E615F1" w:rsidRDefault="00E615F1" w:rsidP="00E615F1">
      <w:pPr>
        <w:jc w:val="both"/>
      </w:pPr>
      <w:r>
        <w:t>2.</w:t>
      </w:r>
    </w:p>
    <w:p w14:paraId="53875207" w14:textId="5ECCF475" w:rsidR="0009351F" w:rsidRDefault="00E615F1" w:rsidP="00E615F1">
      <w:pPr>
        <w:jc w:val="both"/>
      </w:pPr>
      <w:r>
        <w:t>3.</w:t>
      </w:r>
    </w:p>
    <w:p w14:paraId="0962AAFE" w14:textId="77777777" w:rsidR="00943170" w:rsidRPr="001B4661" w:rsidRDefault="00943170" w:rsidP="00943170">
      <w:pPr>
        <w:tabs>
          <w:tab w:val="left" w:pos="6825"/>
        </w:tabs>
        <w:rPr>
          <w:rFonts w:ascii="Times New Roman" w:hAnsi="Times New Roman" w:cs="Times New Roman"/>
          <w:b/>
          <w:sz w:val="24"/>
          <w:szCs w:val="24"/>
        </w:rPr>
      </w:pPr>
      <w:r w:rsidRPr="001B4661">
        <w:rPr>
          <w:rFonts w:ascii="Times New Roman" w:hAnsi="Times New Roman" w:cs="Times New Roman"/>
          <w:b/>
          <w:sz w:val="24"/>
          <w:szCs w:val="24"/>
        </w:rPr>
        <w:t>REFERENCE</w:t>
      </w:r>
    </w:p>
    <w:p w14:paraId="29467A96"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t>Niambele D, Diarra O, Bagayoko M.W, Samake S, Samake F, Babana, A.H.; (2020) Evaluation of the Bacteriological Quality of the Drilling Water Analyzed at the National Health Laboratory during the First Half of 2019; International Journal of Science and Research (IJSR) ISSN: 2319-7064, 392- 395.</w:t>
      </w:r>
    </w:p>
    <w:p w14:paraId="0FD99BB2" w14:textId="4F8D9B30"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t>Who (2011) Water Quality and Waterborne disease in the Niger River Inland Delta, Mali: A study of local knowledge and response, Health and Place, vol.2, 2011, PP</w:t>
      </w:r>
    </w:p>
    <w:p w14:paraId="2A36AEEB"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t>Adetunde, L.A., et Glover, R.L.K. (2011) Evaluation of bacteriological quality of drinking water used by selected secondary schools in Navrongo in Kassena- Nankana district ofupper east region of Ghana. Prime J. Microbiol. Res. 1, 47–51.</w:t>
      </w:r>
    </w:p>
    <w:p w14:paraId="2AFB2239" w14:textId="77777777" w:rsidR="005326E7" w:rsidRPr="005326E7" w:rsidRDefault="005326E7"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5326E7">
        <w:rPr>
          <w:rFonts w:ascii="Times New Roman" w:hAnsi="Times New Roman" w:cs="Times New Roman"/>
          <w:sz w:val="24"/>
          <w:szCs w:val="24"/>
        </w:rPr>
        <w:t>WHO and UNICEF (2018) Progress on sanitation and drinking water; Report. 98 p.</w:t>
      </w:r>
    </w:p>
    <w:p w14:paraId="6F1A6677" w14:textId="03533A95"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t>Diallo T. (2017) Bacteriogical quality of drinking water; Doctoral thesis in Pharmacy, Faculty of Medecine of pharmacy and Odontostomatology, University of Bamako, 32P.</w:t>
      </w:r>
    </w:p>
    <w:p w14:paraId="62D9D6B1"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lastRenderedPageBreak/>
        <w:t>Adesakin A. T, Oyewale T. A, Bayero U, Mohammed A. N, Aduwo I. A, Zubeidat P.A, Dalhata N. A, Balkisu I. B. (2020) Assessment of bacteriological quality and physico-chemical parameters of domestic water sources in Samaru community, Zaria, Northwest Nigeria, Elsevier, Heliyon (6) e04773, 13 p</w:t>
      </w:r>
    </w:p>
    <w:p w14:paraId="5A0E410E"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proofErr w:type="gramStart"/>
      <w:r w:rsidRPr="001B4661">
        <w:rPr>
          <w:rFonts w:ascii="Times New Roman" w:hAnsi="Times New Roman" w:cs="Times New Roman"/>
          <w:sz w:val="24"/>
          <w:szCs w:val="24"/>
        </w:rPr>
        <w:t>Sila,O.N.</w:t>
      </w:r>
      <w:proofErr w:type="gramEnd"/>
      <w:r w:rsidRPr="001B4661">
        <w:rPr>
          <w:rFonts w:ascii="Times New Roman" w:hAnsi="Times New Roman" w:cs="Times New Roman"/>
          <w:sz w:val="24"/>
          <w:szCs w:val="24"/>
        </w:rPr>
        <w:t xml:space="preserve"> (2019) Physico-chemical and bacteriological quality of water sources in rural 11 settings, a case study of Kenya, Africa; Elsevier, Scientific African (2) e0 0 018, 13 p.</w:t>
      </w:r>
    </w:p>
    <w:p w14:paraId="6FE2A07B"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b/>
          <w:sz w:val="24"/>
          <w:szCs w:val="24"/>
        </w:rPr>
        <w:t xml:space="preserve"> </w:t>
      </w:r>
      <w:r w:rsidRPr="001B4661">
        <w:rPr>
          <w:rFonts w:ascii="Times New Roman" w:hAnsi="Times New Roman" w:cs="Times New Roman"/>
          <w:sz w:val="24"/>
          <w:szCs w:val="24"/>
        </w:rPr>
        <w:t>Esharegoma, O.S., Awujo, N.C., Jonathan, I., Nkonye-Asua, I.P., (2018) Microbiological and physicochemical analysis of Orogodo River, agbor, delta state, Nigeria. International Journal of Ecological Science and Environmental Engineering 5 (2), 34–42.</w:t>
      </w:r>
    </w:p>
    <w:p w14:paraId="64338C30"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t>Bello</w:t>
      </w:r>
      <w:r w:rsidR="00905DE4">
        <w:rPr>
          <w:rFonts w:ascii="Times New Roman" w:hAnsi="Times New Roman" w:cs="Times New Roman"/>
          <w:sz w:val="24"/>
          <w:szCs w:val="24"/>
        </w:rPr>
        <w:t>, O.O</w:t>
      </w:r>
      <w:r w:rsidRPr="001B4661">
        <w:rPr>
          <w:rFonts w:ascii="Times New Roman" w:hAnsi="Times New Roman" w:cs="Times New Roman"/>
          <w:sz w:val="24"/>
          <w:szCs w:val="24"/>
        </w:rPr>
        <w:t>, Osho, A., Bankole, S.A., Bello, T.K., (2013) Bacteriological and physicochemical analyzes of borehole and well water sources in ijebu-ode, southwestern Nigeria. Journal of Pharmaceutical and Biological Research 8 (2), 18– 25.</w:t>
      </w:r>
    </w:p>
    <w:p w14:paraId="2895F0DE"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sz w:val="24"/>
          <w:szCs w:val="24"/>
        </w:rPr>
        <w:t xml:space="preserve">Okoli, E.N., (2012) Evaluation of the bacteriological and physicochemical quality of water supplies in Nsukka, Southeast, Nigeria. Afr. J. Biotechnol. 11(48), 10868–10873. </w:t>
      </w:r>
      <w:proofErr w:type="gramStart"/>
      <w:r w:rsidRPr="001B4661">
        <w:rPr>
          <w:rFonts w:ascii="Times New Roman" w:hAnsi="Times New Roman" w:cs="Times New Roman"/>
          <w:sz w:val="24"/>
          <w:szCs w:val="24"/>
        </w:rPr>
        <w:t>Sila,O.N.</w:t>
      </w:r>
      <w:proofErr w:type="gramEnd"/>
      <w:r w:rsidRPr="001B4661">
        <w:rPr>
          <w:rFonts w:ascii="Times New Roman" w:hAnsi="Times New Roman" w:cs="Times New Roman"/>
          <w:sz w:val="24"/>
          <w:szCs w:val="24"/>
        </w:rPr>
        <w:t xml:space="preserve"> (2019) Physico-chemical and bacteriological quality of water sources in rural 11 settings, a case study of Kenya, Africa; Elsevier, Scientific African (2) e0 0 018, 13 p.</w:t>
      </w:r>
    </w:p>
    <w:p w14:paraId="752E60A1" w14:textId="77777777" w:rsidR="005326E7" w:rsidRDefault="005326E7" w:rsidP="002639DD">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WHO and UNICEF (2018) Progress on sanitation and drinking water; Report. 98p.</w:t>
      </w:r>
    </w:p>
    <w:p w14:paraId="7374809F" w14:textId="39B523E2" w:rsidR="00943170" w:rsidRPr="001B4661" w:rsidRDefault="002639DD" w:rsidP="002639DD">
      <w:pPr>
        <w:pStyle w:val="ListParagraph"/>
        <w:numPr>
          <w:ilvl w:val="0"/>
          <w:numId w:val="6"/>
        </w:numPr>
        <w:tabs>
          <w:tab w:val="left" w:pos="6825"/>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OMS, 2022. </w:t>
      </w:r>
      <w:r w:rsidRPr="002639DD">
        <w:rPr>
          <w:rFonts w:ascii="Times New Roman" w:hAnsi="Times New Roman" w:cs="Times New Roman"/>
          <w:b/>
          <w:sz w:val="24"/>
          <w:szCs w:val="24"/>
        </w:rPr>
        <w:t>https://www.who.int/fr/news-room/fact-sheets/detail/drinking-water</w:t>
      </w:r>
    </w:p>
    <w:p w14:paraId="6CF52C16" w14:textId="77777777" w:rsidR="005326E7" w:rsidRPr="005326E7"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sz w:val="24"/>
          <w:szCs w:val="24"/>
        </w:rPr>
        <w:t xml:space="preserve"> </w:t>
      </w:r>
      <w:r w:rsidR="005326E7" w:rsidRPr="005326E7">
        <w:rPr>
          <w:rFonts w:ascii="Times New Roman" w:hAnsi="Times New Roman" w:cs="Times New Roman"/>
          <w:sz w:val="24"/>
          <w:szCs w:val="24"/>
        </w:rPr>
        <w:t>World Health Organization (WHO). 2017. Guidelines for drinking-water quality, 4th edition including the first addendum, Geneva, 564p</w:t>
      </w:r>
    </w:p>
    <w:p w14:paraId="14A94294" w14:textId="5D1EE94F"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INSEED, 2009. Map of Chad, administrative division and communication routes at a scale of 1/7,000,000.</w:t>
      </w:r>
    </w:p>
    <w:p w14:paraId="5FBD355E" w14:textId="78B544D7" w:rsid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Rodier J., Legube B., Merlet N. Water analysis, 9th edition, Ed. Dunod, 2009, 1579p.</w:t>
      </w:r>
    </w:p>
    <w:p w14:paraId="34A361F3" w14:textId="11B82056" w:rsidR="00943170" w:rsidRPr="001B4661"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sz w:val="24"/>
          <w:szCs w:val="24"/>
        </w:rPr>
        <w:t>Louzayadio Mvouezolo R.F., Ayessou N., Nkounkou Loumpangou C., Tchoumou M., Mar Diop C.G. and Ouamba J-M., 2021. Vulnerability to Microbiological Pollution of Tap Water and Groundwater Consumed in the Southern Zone of the City of Brazzaville (Republic of the Congo). International Journal of Environmental Monitoring and Analysis, 9(5), 152-161</w:t>
      </w:r>
    </w:p>
    <w:p w14:paraId="7AF18575"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b/>
          <w:sz w:val="24"/>
          <w:szCs w:val="24"/>
        </w:rPr>
        <w:t>Louzayadio Mvouezolo</w:t>
      </w:r>
      <w:r w:rsidRPr="001B4661">
        <w:rPr>
          <w:rFonts w:ascii="Times New Roman" w:hAnsi="Times New Roman" w:cs="Times New Roman"/>
          <w:sz w:val="24"/>
          <w:szCs w:val="24"/>
        </w:rPr>
        <w:t xml:space="preserve"> Chouti, W. K., 2007. Evaluation de la qualité des eaux de puits couverts munis de pompe dans la commune de Porto-Novo (Mémoire de Master). Repéré à </w:t>
      </w:r>
      <w:hyperlink r:id="rId17" w:history="1">
        <w:r w:rsidRPr="001B4661">
          <w:rPr>
            <w:rStyle w:val="Hyperlink"/>
            <w:rFonts w:ascii="Times New Roman" w:hAnsi="Times New Roman" w:cs="Times New Roman"/>
            <w:sz w:val="24"/>
            <w:szCs w:val="24"/>
          </w:rPr>
          <w:t>https://www.memoireonline.com///10/10/3944/Evaluation-de-laqualite-des-eaux-des-puits-couverts-munis-de-pompe-dans-lacommune-de-Porto-Novo.html</w:t>
        </w:r>
      </w:hyperlink>
      <w:r w:rsidRPr="001B4661">
        <w:rPr>
          <w:rFonts w:ascii="Times New Roman" w:hAnsi="Times New Roman" w:cs="Times New Roman"/>
          <w:sz w:val="24"/>
          <w:szCs w:val="24"/>
        </w:rPr>
        <w:t xml:space="preserve">. </w:t>
      </w:r>
      <w:proofErr w:type="gramStart"/>
      <w:r w:rsidRPr="001B4661">
        <w:rPr>
          <w:rFonts w:ascii="Times New Roman" w:hAnsi="Times New Roman" w:cs="Times New Roman"/>
          <w:sz w:val="24"/>
          <w:szCs w:val="24"/>
        </w:rPr>
        <w:t>doi:10.11648/j.ijema</w:t>
      </w:r>
      <w:proofErr w:type="gramEnd"/>
      <w:r w:rsidRPr="001B4661">
        <w:rPr>
          <w:rFonts w:ascii="Times New Roman" w:hAnsi="Times New Roman" w:cs="Times New Roman"/>
          <w:sz w:val="24"/>
          <w:szCs w:val="24"/>
        </w:rPr>
        <w:t>.20210905.16</w:t>
      </w:r>
    </w:p>
    <w:p w14:paraId="1E99E612" w14:textId="77777777" w:rsidR="00943170" w:rsidRPr="001B4661" w:rsidRDefault="00943170" w:rsidP="00943170">
      <w:pPr>
        <w:pStyle w:val="ListParagraph"/>
        <w:numPr>
          <w:ilvl w:val="0"/>
          <w:numId w:val="6"/>
        </w:numPr>
        <w:tabs>
          <w:tab w:val="left" w:pos="2325"/>
        </w:tabs>
        <w:spacing w:line="360" w:lineRule="auto"/>
        <w:jc w:val="both"/>
        <w:rPr>
          <w:rFonts w:ascii="Times New Roman" w:hAnsi="Times New Roman" w:cs="Times New Roman"/>
          <w:sz w:val="24"/>
          <w:szCs w:val="24"/>
        </w:rPr>
      </w:pPr>
      <w:r w:rsidRPr="001B4661">
        <w:rPr>
          <w:rFonts w:ascii="Times New Roman" w:hAnsi="Times New Roman" w:cs="Times New Roman"/>
          <w:b/>
          <w:sz w:val="24"/>
          <w:szCs w:val="24"/>
        </w:rPr>
        <w:lastRenderedPageBreak/>
        <w:t>Zvidzai et al.</w:t>
      </w:r>
      <w:r w:rsidRPr="001B4661">
        <w:rPr>
          <w:rFonts w:ascii="Times New Roman" w:hAnsi="Times New Roman" w:cs="Times New Roman"/>
          <w:sz w:val="24"/>
          <w:szCs w:val="24"/>
        </w:rPr>
        <w:t xml:space="preserve"> </w:t>
      </w:r>
      <w:r w:rsidRPr="001B4661">
        <w:rPr>
          <w:rFonts w:ascii="Times New Roman" w:hAnsi="Times New Roman" w:cs="Times New Roman"/>
          <w:b/>
          <w:sz w:val="24"/>
          <w:szCs w:val="24"/>
        </w:rPr>
        <w:t>(2007</w:t>
      </w:r>
      <w:r w:rsidRPr="001B4661">
        <w:rPr>
          <w:rFonts w:ascii="Times New Roman" w:hAnsi="Times New Roman" w:cs="Times New Roman"/>
          <w:sz w:val="24"/>
          <w:szCs w:val="24"/>
        </w:rPr>
        <w:t>) Zvidzai C, Mukutirwa T, Mundembe R, Sithole-Niang I. 2007. Microbial community analysis of drinking water sources from rural areas of Zimbabwe. African Journal of Microbiology Research, 1(6): 100-103.</w:t>
      </w:r>
    </w:p>
    <w:p w14:paraId="1787AC1F" w14:textId="733CB736"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Coumare K, Diallo T, Siby L, Haidara A, Traore M, Coulibaly M, Sangare D, Traore IT, Tangara D, Coulibaly SM, Koumare BY. 2018. The bacteriological quality of drinking water (boreholes and wells) in three circles of the Koulikoro region. Mali Rev. Mali Infect. Microbiol., 11: 25- 32.</w:t>
      </w:r>
    </w:p>
    <w:p w14:paraId="345F1878" w14:textId="7FB58F05" w:rsid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Soncy K, Djeri B, Anani K, Eklou-Lawson M, Adjrah Y, Karou DS, Ameyapoh Y, De Souza C. 2015. Assessment of the bacteriological quality of well and borehole water in Lomé, Togo. J. Appl. Biosci., 91: 8464-8469. DOI: </w:t>
      </w:r>
      <w:hyperlink r:id="rId18" w:history="1">
        <w:r w:rsidRPr="00805659">
          <w:rPr>
            <w:rStyle w:val="Hyperlink"/>
            <w:rFonts w:ascii="Times New Roman" w:hAnsi="Times New Roman" w:cs="Times New Roman"/>
            <w:sz w:val="24"/>
            <w:szCs w:val="24"/>
          </w:rPr>
          <w:t>http://dx.doi.org/10.4314/jab.v91i1.6</w:t>
        </w:r>
      </w:hyperlink>
    </w:p>
    <w:p w14:paraId="2DA29598" w14:textId="7A309207" w:rsidR="00943170" w:rsidRPr="001B4661"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sz w:val="24"/>
          <w:szCs w:val="24"/>
        </w:rPr>
        <w:t>Benaissa C, Bouhmadi B, Rossi A. 2023. An assessment of the physicochemical, bacteriological quality of groundwater and the water quality index (WQI) used GIS in Ghis Nekor, Northern Morocco. Scientific African, 20: e01623. DOI: https://doi.org/10.1016/j.sciaf.2023.e016 23</w:t>
      </w:r>
    </w:p>
    <w:p w14:paraId="7AB0C69A" w14:textId="6ABFE9B8" w:rsidR="005326E7" w:rsidRDefault="005326E7" w:rsidP="007E242A">
      <w:pPr>
        <w:pStyle w:val="ListParagraph"/>
        <w:numPr>
          <w:ilvl w:val="0"/>
          <w:numId w:val="6"/>
        </w:numPr>
        <w:tabs>
          <w:tab w:val="left" w:pos="2370"/>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Pazou, E. Y. A., Azocli, D., Hinson, A. V., Assogba, B., Avoce, H., &amp; Hozanhekpon, E. 2018. Study of the quality of water consumed in the commune of Adjohoun in Benin. International Journal of Biological and Chemical Sciences 12(4): 1920 1930.</w:t>
      </w:r>
    </w:p>
    <w:p w14:paraId="7CA8E63F" w14:textId="226BC752"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Aka N., Bamba S., Soro G. and Soro N., 2013. Hydrochemical and microbiological study of Alterite layers in a humid tropical climate: Case of the Department of Abengourou (South-East of Côte d’Ivoire). Larhyss, ISSN 1112-3680, No. 16, December 2013, pp. 31-52</w:t>
      </w:r>
    </w:p>
    <w:p w14:paraId="7695FD4A" w14:textId="0CF4B260"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O. Y. SOKEGBE et al. Ognansan Y. SOKEGBE, Bouraïma DJERI, Essozimna KOGNO*, Messanh KANGNIDOSSOU, Raouf T. MENSAH, Kouassi SONCY and Yao. 2017. Health risks related to drinking water sources in district No. 2 of Lomé-commune: case of the Adakpamé district. Int. J. Biol. Chem. Sci. 11(5): 2341-2351. DOI: https://dx.doi.org/10.4314/ijbcs.v11i5.31</w:t>
      </w:r>
    </w:p>
    <w:p w14:paraId="7322EA34" w14:textId="4F6FBEBA"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Soncy K, Djeri B, Anani K, Eklou-Lawson M, Adjrah Y, Karou DS, Ameyapoh Y, De Souza C. 2015. Assessment of the bacteriological quality of well and borehole water in Lomé, Togo. J. Appl. Biosci., 91: 8464-8469. DOI: http://dx.doi.org/10.4314/jab.v91i1.6</w:t>
      </w:r>
    </w:p>
    <w:p w14:paraId="1D7FC381" w14:textId="5919D791"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Nanfack et al., 2013. Nanfack NAC, Fonteh FA, Payne VK, Katte B, Fogoh JM. 2014. Unconventional water: a risk or a solution to water problems for the poor. Larhyss Journal, 17: 47- 64.</w:t>
      </w:r>
    </w:p>
    <w:p w14:paraId="34CD4D02" w14:textId="43100843" w:rsid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lastRenderedPageBreak/>
        <w:t>. Balloy Mwanza P, Katond JP, Hanocq P. 2019. Evaluation of the physicochemical and bacteriological quality of well water in the spontaneous neighborhood of Luwowoshi (DR Congo). Tropicultura, 37(2): 1-15. DOI: 10.25518/2295- 8010.627</w:t>
      </w:r>
    </w:p>
    <w:p w14:paraId="5909833E" w14:textId="334D3A96" w:rsidR="00943170"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sz w:val="24"/>
          <w:szCs w:val="24"/>
        </w:rPr>
        <w:t>World Health Organization (WHO). 2011. Guidelines for drinkingwater quality. Fourth edition. Geneva, Switzerland, 564 p</w:t>
      </w:r>
    </w:p>
    <w:p w14:paraId="5E823116" w14:textId="01114272" w:rsidR="009109E2" w:rsidRDefault="005F2535" w:rsidP="005326E7">
      <w:pPr>
        <w:pStyle w:val="ListParagraph"/>
        <w:numPr>
          <w:ilvl w:val="0"/>
          <w:numId w:val="6"/>
        </w:numPr>
        <w:tabs>
          <w:tab w:val="left" w:pos="6825"/>
        </w:tabs>
        <w:spacing w:line="360" w:lineRule="auto"/>
        <w:jc w:val="both"/>
        <w:rPr>
          <w:rFonts w:ascii="Times New Roman" w:hAnsi="Times New Roman" w:cs="Times New Roman"/>
          <w:sz w:val="24"/>
          <w:szCs w:val="24"/>
          <w:highlight w:val="yellow"/>
        </w:rPr>
      </w:pPr>
      <w:r w:rsidRPr="005F2535">
        <w:rPr>
          <w:rFonts w:ascii="Times New Roman" w:hAnsi="Times New Roman" w:cs="Times New Roman"/>
          <w:sz w:val="24"/>
          <w:szCs w:val="24"/>
          <w:highlight w:val="yellow"/>
        </w:rPr>
        <w:t xml:space="preserve">Nishan, K. F., Yeasmin, N., Devi, U. R., Akter, S., Bakar, M. A., &amp; Haque, M. M. (2020). Physiochemical and Microbiological Analysis of Drinking Water in Chattogram City, Bangladesh. Asian Journal of Advanced Research and Reports, 12(2), 42–50. </w:t>
      </w:r>
      <w:hyperlink r:id="rId19" w:history="1">
        <w:r w:rsidRPr="00CB346A">
          <w:rPr>
            <w:rStyle w:val="Hyperlink"/>
            <w:rFonts w:ascii="Times New Roman" w:hAnsi="Times New Roman" w:cs="Times New Roman"/>
            <w:sz w:val="24"/>
            <w:szCs w:val="24"/>
            <w:highlight w:val="yellow"/>
          </w:rPr>
          <w:t>https://doi.org/10.9734/ajarr/2020/v12i230286</w:t>
        </w:r>
      </w:hyperlink>
    </w:p>
    <w:p w14:paraId="26BB2D78" w14:textId="33132BE5" w:rsidR="005F2535" w:rsidRPr="0093301F" w:rsidRDefault="005F2535" w:rsidP="005326E7">
      <w:pPr>
        <w:pStyle w:val="ListParagraph"/>
        <w:numPr>
          <w:ilvl w:val="0"/>
          <w:numId w:val="6"/>
        </w:numPr>
        <w:tabs>
          <w:tab w:val="left" w:pos="6825"/>
        </w:tabs>
        <w:spacing w:line="360" w:lineRule="auto"/>
        <w:jc w:val="both"/>
        <w:rPr>
          <w:rFonts w:ascii="Times New Roman" w:hAnsi="Times New Roman" w:cs="Times New Roman"/>
          <w:sz w:val="24"/>
          <w:szCs w:val="24"/>
          <w:highlight w:val="yellow"/>
        </w:rPr>
      </w:pPr>
      <w:r w:rsidRPr="005F2535">
        <w:rPr>
          <w:rFonts w:ascii="Arial" w:hAnsi="Arial" w:cs="Arial"/>
          <w:color w:val="222222"/>
          <w:sz w:val="20"/>
          <w:szCs w:val="20"/>
          <w:highlight w:val="yellow"/>
          <w:shd w:val="clear" w:color="auto" w:fill="FFFFFF"/>
        </w:rPr>
        <w:t>Dianou, D., Savadogo, B., Zongo, D., Zougouri, T., Poda, J. N., Bado, H., &amp; Rosillon, F. (2011). Surface Waters Quality of the Sourou Valley: The Case of Mouhoun, Sourou, Debe and Gana Rivers in Burkina Faso. </w:t>
      </w:r>
      <w:r w:rsidRPr="005F2535">
        <w:rPr>
          <w:rFonts w:ascii="Arial" w:hAnsi="Arial" w:cs="Arial"/>
          <w:i/>
          <w:iCs/>
          <w:color w:val="222222"/>
          <w:sz w:val="20"/>
          <w:szCs w:val="20"/>
          <w:highlight w:val="yellow"/>
          <w:shd w:val="clear" w:color="auto" w:fill="FFFFFF"/>
        </w:rPr>
        <w:t>International Journal of Biological and Chemical Sciences</w:t>
      </w:r>
      <w:r w:rsidRPr="005F2535">
        <w:rPr>
          <w:rFonts w:ascii="Arial" w:hAnsi="Arial" w:cs="Arial"/>
          <w:color w:val="222222"/>
          <w:sz w:val="20"/>
          <w:szCs w:val="20"/>
          <w:highlight w:val="yellow"/>
          <w:shd w:val="clear" w:color="auto" w:fill="FFFFFF"/>
        </w:rPr>
        <w:t>, </w:t>
      </w:r>
      <w:r w:rsidRPr="005F2535">
        <w:rPr>
          <w:rFonts w:ascii="Arial" w:hAnsi="Arial" w:cs="Arial"/>
          <w:i/>
          <w:iCs/>
          <w:color w:val="222222"/>
          <w:sz w:val="20"/>
          <w:szCs w:val="20"/>
          <w:highlight w:val="yellow"/>
          <w:shd w:val="clear" w:color="auto" w:fill="FFFFFF"/>
        </w:rPr>
        <w:t>5</w:t>
      </w:r>
      <w:r w:rsidRPr="005F2535">
        <w:rPr>
          <w:rFonts w:ascii="Arial" w:hAnsi="Arial" w:cs="Arial"/>
          <w:color w:val="222222"/>
          <w:sz w:val="20"/>
          <w:szCs w:val="20"/>
          <w:highlight w:val="yellow"/>
          <w:shd w:val="clear" w:color="auto" w:fill="FFFFFF"/>
        </w:rPr>
        <w:t>(4), 1571-1589.</w:t>
      </w:r>
    </w:p>
    <w:p w14:paraId="0187C264" w14:textId="39F50633" w:rsidR="0093301F" w:rsidRPr="005F2535" w:rsidRDefault="0093301F" w:rsidP="005326E7">
      <w:pPr>
        <w:pStyle w:val="ListParagraph"/>
        <w:numPr>
          <w:ilvl w:val="0"/>
          <w:numId w:val="6"/>
        </w:numPr>
        <w:tabs>
          <w:tab w:val="left" w:pos="6825"/>
        </w:tabs>
        <w:spacing w:line="360" w:lineRule="auto"/>
        <w:jc w:val="both"/>
        <w:rPr>
          <w:rFonts w:ascii="Times New Roman" w:hAnsi="Times New Roman" w:cs="Times New Roman"/>
          <w:sz w:val="24"/>
          <w:szCs w:val="24"/>
          <w:highlight w:val="yellow"/>
        </w:rPr>
      </w:pPr>
      <w:r w:rsidRPr="0093301F">
        <w:rPr>
          <w:rFonts w:ascii="Times New Roman" w:hAnsi="Times New Roman" w:cs="Times New Roman"/>
          <w:sz w:val="24"/>
          <w:szCs w:val="24"/>
        </w:rPr>
        <w:t>Kanika, M. A., Soudy, I. D., Nazal, A. M., Adam, O. Y., &amp; Allamine, Y. M. (2024). Assessment of the Microbiological Quality of Drinking Water from Some Wells and Boreholes in the City of Abeche (Chad). Food and Nutrition Sciences, 15(12), 1253-1263.</w:t>
      </w:r>
    </w:p>
    <w:p w14:paraId="5CFCBFC8" w14:textId="77777777" w:rsidR="00943170" w:rsidRPr="005E1147" w:rsidRDefault="00943170" w:rsidP="00943170">
      <w:pPr>
        <w:tabs>
          <w:tab w:val="left" w:pos="2370"/>
        </w:tabs>
        <w:spacing w:line="360" w:lineRule="auto"/>
        <w:ind w:left="360"/>
        <w:jc w:val="both"/>
        <w:rPr>
          <w:rFonts w:ascii="Times New Roman" w:hAnsi="Times New Roman" w:cs="Times New Roman"/>
          <w:sz w:val="24"/>
          <w:szCs w:val="24"/>
        </w:rPr>
      </w:pPr>
    </w:p>
    <w:p w14:paraId="675648D3" w14:textId="77777777" w:rsidR="0009351F" w:rsidRDefault="0009351F" w:rsidP="00943170">
      <w:pPr>
        <w:tabs>
          <w:tab w:val="left" w:pos="6825"/>
        </w:tabs>
      </w:pPr>
    </w:p>
    <w:sectPr w:rsidR="0009351F">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49FB6" w14:textId="77777777" w:rsidR="00D7611B" w:rsidRDefault="00D7611B">
      <w:pPr>
        <w:spacing w:after="0" w:line="240" w:lineRule="auto"/>
      </w:pPr>
      <w:r>
        <w:separator/>
      </w:r>
    </w:p>
  </w:endnote>
  <w:endnote w:type="continuationSeparator" w:id="0">
    <w:p w14:paraId="3B8E7307" w14:textId="77777777" w:rsidR="00D7611B" w:rsidRDefault="00D76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17A1E" w14:textId="77777777" w:rsidR="002E346C" w:rsidRDefault="002E34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911273"/>
      <w:docPartObj>
        <w:docPartGallery w:val="Page Numbers (Bottom of Page)"/>
        <w:docPartUnique/>
      </w:docPartObj>
    </w:sdtPr>
    <w:sdtEndPr/>
    <w:sdtContent>
      <w:sdt>
        <w:sdtPr>
          <w:id w:val="1728636285"/>
          <w:docPartObj>
            <w:docPartGallery w:val="Page Numbers (Top of Page)"/>
            <w:docPartUnique/>
          </w:docPartObj>
        </w:sdtPr>
        <w:sdtEndPr/>
        <w:sdtContent>
          <w:p w14:paraId="3C3F0ED6" w14:textId="77777777" w:rsidR="0009351F" w:rsidRDefault="0009351F">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sidR="00EA5925">
              <w:rPr>
                <w:b/>
                <w:bCs/>
                <w:noProof/>
              </w:rPr>
              <w:t>1</w:t>
            </w:r>
            <w:r>
              <w:rPr>
                <w:b/>
                <w:bCs/>
                <w:sz w:val="24"/>
                <w:szCs w:val="24"/>
              </w:rPr>
              <w:fldChar w:fldCharType="end"/>
            </w:r>
            <w:r w:rsidR="0075105A">
              <w:t xml:space="preserve"> out of</w:t>
            </w:r>
            <w:r>
              <w:t xml:space="preserve"> </w:t>
            </w:r>
            <w:r>
              <w:rPr>
                <w:b/>
                <w:bCs/>
                <w:sz w:val="24"/>
                <w:szCs w:val="24"/>
              </w:rPr>
              <w:fldChar w:fldCharType="begin"/>
            </w:r>
            <w:r>
              <w:rPr>
                <w:b/>
                <w:bCs/>
              </w:rPr>
              <w:instrText>NUMPAGES</w:instrText>
            </w:r>
            <w:r>
              <w:rPr>
                <w:b/>
                <w:bCs/>
                <w:sz w:val="24"/>
                <w:szCs w:val="24"/>
              </w:rPr>
              <w:fldChar w:fldCharType="separate"/>
            </w:r>
            <w:r w:rsidR="00EA5925">
              <w:rPr>
                <w:b/>
                <w:bCs/>
                <w:noProof/>
              </w:rPr>
              <w:t>13</w:t>
            </w:r>
            <w:r>
              <w:rPr>
                <w:b/>
                <w:bCs/>
                <w:sz w:val="24"/>
                <w:szCs w:val="24"/>
              </w:rPr>
              <w:fldChar w:fldCharType="end"/>
            </w:r>
          </w:p>
        </w:sdtContent>
      </w:sdt>
    </w:sdtContent>
  </w:sdt>
  <w:p w14:paraId="5A28EDCD" w14:textId="77777777" w:rsidR="0009351F" w:rsidRDefault="000935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F3ECE" w14:textId="77777777" w:rsidR="002E346C" w:rsidRDefault="002E3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5701A" w14:textId="77777777" w:rsidR="00D7611B" w:rsidRDefault="00D7611B">
      <w:pPr>
        <w:spacing w:after="0" w:line="240" w:lineRule="auto"/>
      </w:pPr>
      <w:r>
        <w:separator/>
      </w:r>
    </w:p>
  </w:footnote>
  <w:footnote w:type="continuationSeparator" w:id="0">
    <w:p w14:paraId="26F6B29F" w14:textId="77777777" w:rsidR="00D7611B" w:rsidRDefault="00D76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30EA3" w14:textId="06F2690D" w:rsidR="002E346C" w:rsidRDefault="00983ACA">
    <w:pPr>
      <w:pStyle w:val="Header"/>
    </w:pPr>
    <w:r>
      <w:rPr>
        <w:noProof/>
      </w:rPr>
      <w:pict w14:anchorId="3763B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0656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98672" w14:textId="473D15A9" w:rsidR="002E346C" w:rsidRDefault="00983ACA">
    <w:pPr>
      <w:pStyle w:val="Header"/>
    </w:pPr>
    <w:r>
      <w:rPr>
        <w:noProof/>
      </w:rPr>
      <w:pict w14:anchorId="13373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0656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59EAA" w14:textId="4A45542D" w:rsidR="002E346C" w:rsidRDefault="00983ACA">
    <w:pPr>
      <w:pStyle w:val="Header"/>
    </w:pPr>
    <w:r>
      <w:rPr>
        <w:noProof/>
      </w:rPr>
      <w:pict w14:anchorId="3430A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0656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65C8"/>
    <w:multiLevelType w:val="hybridMultilevel"/>
    <w:tmpl w:val="209ED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92337F"/>
    <w:multiLevelType w:val="hybridMultilevel"/>
    <w:tmpl w:val="B31CB576"/>
    <w:lvl w:ilvl="0" w:tplc="84367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3C39C2"/>
    <w:multiLevelType w:val="hybridMultilevel"/>
    <w:tmpl w:val="21AE76C0"/>
    <w:lvl w:ilvl="0" w:tplc="455665B8">
      <w:start w:val="1"/>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4C663260"/>
    <w:multiLevelType w:val="hybridMultilevel"/>
    <w:tmpl w:val="60E81A88"/>
    <w:lvl w:ilvl="0" w:tplc="040C000F">
      <w:start w:val="1"/>
      <w:numFmt w:val="decimal"/>
      <w:lvlText w:val="%1."/>
      <w:lvlJc w:val="left"/>
      <w:pPr>
        <w:ind w:left="774" w:hanging="360"/>
      </w:pPr>
    </w:lvl>
    <w:lvl w:ilvl="1" w:tplc="040C0019">
      <w:start w:val="1"/>
      <w:numFmt w:val="lowerLetter"/>
      <w:lvlText w:val="%2."/>
      <w:lvlJc w:val="left"/>
      <w:pPr>
        <w:ind w:left="1494" w:hanging="360"/>
      </w:pPr>
    </w:lvl>
    <w:lvl w:ilvl="2" w:tplc="040C001B">
      <w:start w:val="1"/>
      <w:numFmt w:val="lowerRoman"/>
      <w:lvlText w:val="%3."/>
      <w:lvlJc w:val="right"/>
      <w:pPr>
        <w:ind w:left="2214" w:hanging="180"/>
      </w:pPr>
    </w:lvl>
    <w:lvl w:ilvl="3" w:tplc="040C000F">
      <w:start w:val="1"/>
      <w:numFmt w:val="decimal"/>
      <w:lvlText w:val="%4."/>
      <w:lvlJc w:val="left"/>
      <w:pPr>
        <w:ind w:left="2934" w:hanging="360"/>
      </w:pPr>
    </w:lvl>
    <w:lvl w:ilvl="4" w:tplc="040C0019">
      <w:start w:val="1"/>
      <w:numFmt w:val="lowerLetter"/>
      <w:lvlText w:val="%5."/>
      <w:lvlJc w:val="left"/>
      <w:pPr>
        <w:ind w:left="3654" w:hanging="360"/>
      </w:pPr>
    </w:lvl>
    <w:lvl w:ilvl="5" w:tplc="040C001B">
      <w:start w:val="1"/>
      <w:numFmt w:val="lowerRoman"/>
      <w:lvlText w:val="%6."/>
      <w:lvlJc w:val="right"/>
      <w:pPr>
        <w:ind w:left="4374" w:hanging="180"/>
      </w:pPr>
    </w:lvl>
    <w:lvl w:ilvl="6" w:tplc="040C000F">
      <w:start w:val="1"/>
      <w:numFmt w:val="decimal"/>
      <w:lvlText w:val="%7."/>
      <w:lvlJc w:val="left"/>
      <w:pPr>
        <w:ind w:left="5094" w:hanging="360"/>
      </w:pPr>
    </w:lvl>
    <w:lvl w:ilvl="7" w:tplc="040C0019">
      <w:start w:val="1"/>
      <w:numFmt w:val="lowerLetter"/>
      <w:lvlText w:val="%8."/>
      <w:lvlJc w:val="left"/>
      <w:pPr>
        <w:ind w:left="5814" w:hanging="360"/>
      </w:pPr>
    </w:lvl>
    <w:lvl w:ilvl="8" w:tplc="040C001B">
      <w:start w:val="1"/>
      <w:numFmt w:val="lowerRoman"/>
      <w:lvlText w:val="%9."/>
      <w:lvlJc w:val="right"/>
      <w:pPr>
        <w:ind w:left="6534" w:hanging="180"/>
      </w:pPr>
    </w:lvl>
  </w:abstractNum>
  <w:abstractNum w:abstractNumId="4" w15:restartNumberingAfterBreak="0">
    <w:nsid w:val="52AE240C"/>
    <w:multiLevelType w:val="hybridMultilevel"/>
    <w:tmpl w:val="772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0F26C4"/>
    <w:multiLevelType w:val="hybridMultilevel"/>
    <w:tmpl w:val="0F76913E"/>
    <w:lvl w:ilvl="0" w:tplc="2BFCBF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WyNDWwMDc0szAwMzFV0lEKTi0uzszPAykwqQUA8xtTiywAAAA="/>
  </w:docVars>
  <w:rsids>
    <w:rsidRoot w:val="00BF17A8"/>
    <w:rsid w:val="000053CE"/>
    <w:rsid w:val="00047A3A"/>
    <w:rsid w:val="000638B2"/>
    <w:rsid w:val="00083A66"/>
    <w:rsid w:val="0009351F"/>
    <w:rsid w:val="000C2CA8"/>
    <w:rsid w:val="000C4F7E"/>
    <w:rsid w:val="000F72CF"/>
    <w:rsid w:val="0018412A"/>
    <w:rsid w:val="0019232E"/>
    <w:rsid w:val="001B16B0"/>
    <w:rsid w:val="0023625D"/>
    <w:rsid w:val="002639DD"/>
    <w:rsid w:val="00284A28"/>
    <w:rsid w:val="002E346C"/>
    <w:rsid w:val="00360E34"/>
    <w:rsid w:val="00377A85"/>
    <w:rsid w:val="00377ABB"/>
    <w:rsid w:val="003B6BAD"/>
    <w:rsid w:val="003C755E"/>
    <w:rsid w:val="003E4A37"/>
    <w:rsid w:val="00421666"/>
    <w:rsid w:val="004268BB"/>
    <w:rsid w:val="00463ACF"/>
    <w:rsid w:val="004C2941"/>
    <w:rsid w:val="004D6C88"/>
    <w:rsid w:val="004F708E"/>
    <w:rsid w:val="00502326"/>
    <w:rsid w:val="0050288F"/>
    <w:rsid w:val="005326E7"/>
    <w:rsid w:val="00565FC0"/>
    <w:rsid w:val="005E046A"/>
    <w:rsid w:val="005F2535"/>
    <w:rsid w:val="00624F04"/>
    <w:rsid w:val="0075105A"/>
    <w:rsid w:val="007A0580"/>
    <w:rsid w:val="007A4A54"/>
    <w:rsid w:val="007E242A"/>
    <w:rsid w:val="008251F6"/>
    <w:rsid w:val="00893FD5"/>
    <w:rsid w:val="008A07B0"/>
    <w:rsid w:val="008B1ED9"/>
    <w:rsid w:val="008F26D1"/>
    <w:rsid w:val="00905DE4"/>
    <w:rsid w:val="009109E2"/>
    <w:rsid w:val="00923C37"/>
    <w:rsid w:val="0093301F"/>
    <w:rsid w:val="00943170"/>
    <w:rsid w:val="00983ACA"/>
    <w:rsid w:val="00A81043"/>
    <w:rsid w:val="00AB5F23"/>
    <w:rsid w:val="00AB60B4"/>
    <w:rsid w:val="00B12AF7"/>
    <w:rsid w:val="00B813EA"/>
    <w:rsid w:val="00BD4F80"/>
    <w:rsid w:val="00BF17A8"/>
    <w:rsid w:val="00D533E5"/>
    <w:rsid w:val="00D70FB5"/>
    <w:rsid w:val="00D7611B"/>
    <w:rsid w:val="00D83E48"/>
    <w:rsid w:val="00DB14F7"/>
    <w:rsid w:val="00E208FA"/>
    <w:rsid w:val="00E615F1"/>
    <w:rsid w:val="00EA5925"/>
    <w:rsid w:val="00F01039"/>
    <w:rsid w:val="00FC0E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93BBBA"/>
  <w15:chartTrackingRefBased/>
  <w15:docId w15:val="{6E6DDCEF-6089-4233-B4AA-42518BAB2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17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6Colorful">
    <w:name w:val="List Table 6 Colorful"/>
    <w:basedOn w:val="TableNormal"/>
    <w:uiPriority w:val="51"/>
    <w:rsid w:val="00BF17A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rsid w:val="00BF17A8"/>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BF17A8"/>
    <w:rPr>
      <w:rFonts w:ascii="Times New Roman" w:hAnsi="Times New Roman" w:cs="Times New Roman" w:hint="default"/>
      <w:b/>
      <w:bCs/>
      <w:i w:val="0"/>
      <w:iCs w:val="0"/>
      <w:color w:val="000000"/>
      <w:sz w:val="24"/>
      <w:szCs w:val="24"/>
    </w:rPr>
  </w:style>
  <w:style w:type="paragraph" w:styleId="ListParagraph">
    <w:name w:val="List Paragraph"/>
    <w:basedOn w:val="Normal"/>
    <w:link w:val="ListParagraphChar"/>
    <w:uiPriority w:val="34"/>
    <w:qFormat/>
    <w:rsid w:val="00BF17A8"/>
    <w:pPr>
      <w:ind w:left="720"/>
      <w:contextualSpacing/>
    </w:pPr>
    <w:rPr>
      <w:kern w:val="2"/>
      <w:lang w:val="en-US"/>
      <w14:ligatures w14:val="standardContextual"/>
    </w:rPr>
  </w:style>
  <w:style w:type="character" w:customStyle="1" w:styleId="ListParagraphChar">
    <w:name w:val="List Paragraph Char"/>
    <w:link w:val="ListParagraph"/>
    <w:uiPriority w:val="34"/>
    <w:locked/>
    <w:rsid w:val="00BF17A8"/>
    <w:rPr>
      <w:kern w:val="2"/>
      <w:lang w:val="en-US"/>
      <w14:ligatures w14:val="standardContextual"/>
    </w:rPr>
  </w:style>
  <w:style w:type="paragraph" w:styleId="Footer">
    <w:name w:val="footer"/>
    <w:basedOn w:val="Normal"/>
    <w:link w:val="FooterChar"/>
    <w:uiPriority w:val="99"/>
    <w:unhideWhenUsed/>
    <w:rsid w:val="00BF17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F17A8"/>
  </w:style>
  <w:style w:type="character" w:styleId="Hyperlink">
    <w:name w:val="Hyperlink"/>
    <w:basedOn w:val="DefaultParagraphFont"/>
    <w:uiPriority w:val="99"/>
    <w:unhideWhenUsed/>
    <w:rsid w:val="00BF17A8"/>
    <w:rPr>
      <w:color w:val="0563C1" w:themeColor="hyperlink"/>
      <w:u w:val="single"/>
    </w:rPr>
  </w:style>
  <w:style w:type="paragraph" w:styleId="NormalWeb">
    <w:name w:val="Normal (Web)"/>
    <w:basedOn w:val="Normal"/>
    <w:uiPriority w:val="99"/>
    <w:semiHidden/>
    <w:unhideWhenUsed/>
    <w:rsid w:val="00377A8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unhideWhenUsed/>
    <w:rsid w:val="007510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105A"/>
  </w:style>
  <w:style w:type="character" w:customStyle="1" w:styleId="fontstyle31">
    <w:name w:val="fontstyle31"/>
    <w:basedOn w:val="DefaultParagraphFont"/>
    <w:rsid w:val="00943170"/>
    <w:rPr>
      <w:rFonts w:ascii="Times New Roman" w:hAnsi="Times New Roman" w:cs="Times New Roman" w:hint="default"/>
      <w:b/>
      <w:bCs/>
      <w:i/>
      <w:iCs/>
      <w:color w:val="000000"/>
      <w:sz w:val="24"/>
      <w:szCs w:val="24"/>
    </w:rPr>
  </w:style>
  <w:style w:type="character" w:customStyle="1" w:styleId="UnresolvedMention1">
    <w:name w:val="Unresolved Mention1"/>
    <w:basedOn w:val="DefaultParagraphFont"/>
    <w:uiPriority w:val="99"/>
    <w:semiHidden/>
    <w:unhideWhenUsed/>
    <w:rsid w:val="005326E7"/>
    <w:rPr>
      <w:color w:val="605E5C"/>
      <w:shd w:val="clear" w:color="auto" w:fill="E1DFDD"/>
    </w:rPr>
  </w:style>
  <w:style w:type="character" w:styleId="CommentReference">
    <w:name w:val="annotation reference"/>
    <w:basedOn w:val="DefaultParagraphFont"/>
    <w:uiPriority w:val="99"/>
    <w:semiHidden/>
    <w:unhideWhenUsed/>
    <w:rsid w:val="00502326"/>
    <w:rPr>
      <w:sz w:val="16"/>
      <w:szCs w:val="16"/>
    </w:rPr>
  </w:style>
  <w:style w:type="paragraph" w:styleId="CommentText">
    <w:name w:val="annotation text"/>
    <w:basedOn w:val="Normal"/>
    <w:link w:val="CommentTextChar"/>
    <w:uiPriority w:val="99"/>
    <w:semiHidden/>
    <w:unhideWhenUsed/>
    <w:rsid w:val="00502326"/>
    <w:pPr>
      <w:spacing w:line="240" w:lineRule="auto"/>
    </w:pPr>
    <w:rPr>
      <w:sz w:val="20"/>
      <w:szCs w:val="20"/>
    </w:rPr>
  </w:style>
  <w:style w:type="character" w:customStyle="1" w:styleId="CommentTextChar">
    <w:name w:val="Comment Text Char"/>
    <w:basedOn w:val="DefaultParagraphFont"/>
    <w:link w:val="CommentText"/>
    <w:uiPriority w:val="99"/>
    <w:semiHidden/>
    <w:rsid w:val="00502326"/>
    <w:rPr>
      <w:sz w:val="20"/>
      <w:szCs w:val="20"/>
    </w:rPr>
  </w:style>
  <w:style w:type="paragraph" w:styleId="CommentSubject">
    <w:name w:val="annotation subject"/>
    <w:basedOn w:val="CommentText"/>
    <w:next w:val="CommentText"/>
    <w:link w:val="CommentSubjectChar"/>
    <w:uiPriority w:val="99"/>
    <w:semiHidden/>
    <w:unhideWhenUsed/>
    <w:rsid w:val="00502326"/>
    <w:rPr>
      <w:b/>
      <w:bCs/>
    </w:rPr>
  </w:style>
  <w:style w:type="character" w:customStyle="1" w:styleId="CommentSubjectChar">
    <w:name w:val="Comment Subject Char"/>
    <w:basedOn w:val="CommentTextChar"/>
    <w:link w:val="CommentSubject"/>
    <w:uiPriority w:val="99"/>
    <w:semiHidden/>
    <w:rsid w:val="00502326"/>
    <w:rPr>
      <w:b/>
      <w:bCs/>
      <w:sz w:val="20"/>
      <w:szCs w:val="20"/>
    </w:rPr>
  </w:style>
  <w:style w:type="paragraph" w:styleId="BalloonText">
    <w:name w:val="Balloon Text"/>
    <w:basedOn w:val="Normal"/>
    <w:link w:val="BalloonTextChar"/>
    <w:uiPriority w:val="99"/>
    <w:semiHidden/>
    <w:unhideWhenUsed/>
    <w:rsid w:val="005023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326"/>
    <w:rPr>
      <w:rFonts w:ascii="Segoe UI" w:hAnsi="Segoe UI" w:cs="Segoe UI"/>
      <w:sz w:val="18"/>
      <w:szCs w:val="18"/>
    </w:rPr>
  </w:style>
  <w:style w:type="paragraph" w:styleId="Revision">
    <w:name w:val="Revision"/>
    <w:hidden/>
    <w:uiPriority w:val="99"/>
    <w:semiHidden/>
    <w:rsid w:val="00565FC0"/>
    <w:pPr>
      <w:spacing w:after="0" w:line="240" w:lineRule="auto"/>
    </w:pPr>
  </w:style>
  <w:style w:type="character" w:styleId="UnresolvedMention">
    <w:name w:val="Unresolved Mention"/>
    <w:basedOn w:val="DefaultParagraphFont"/>
    <w:uiPriority w:val="99"/>
    <w:semiHidden/>
    <w:unhideWhenUsed/>
    <w:rsid w:val="005F25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3753">
      <w:bodyDiv w:val="1"/>
      <w:marLeft w:val="0"/>
      <w:marRight w:val="0"/>
      <w:marTop w:val="0"/>
      <w:marBottom w:val="0"/>
      <w:divBdr>
        <w:top w:val="none" w:sz="0" w:space="0" w:color="auto"/>
        <w:left w:val="none" w:sz="0" w:space="0" w:color="auto"/>
        <w:bottom w:val="none" w:sz="0" w:space="0" w:color="auto"/>
        <w:right w:val="none" w:sz="0" w:space="0" w:color="auto"/>
      </w:divBdr>
    </w:div>
    <w:div w:id="39014499">
      <w:bodyDiv w:val="1"/>
      <w:marLeft w:val="0"/>
      <w:marRight w:val="0"/>
      <w:marTop w:val="0"/>
      <w:marBottom w:val="0"/>
      <w:divBdr>
        <w:top w:val="none" w:sz="0" w:space="0" w:color="auto"/>
        <w:left w:val="none" w:sz="0" w:space="0" w:color="auto"/>
        <w:bottom w:val="none" w:sz="0" w:space="0" w:color="auto"/>
        <w:right w:val="none" w:sz="0" w:space="0" w:color="auto"/>
      </w:divBdr>
    </w:div>
    <w:div w:id="45686427">
      <w:bodyDiv w:val="1"/>
      <w:marLeft w:val="0"/>
      <w:marRight w:val="0"/>
      <w:marTop w:val="0"/>
      <w:marBottom w:val="0"/>
      <w:divBdr>
        <w:top w:val="none" w:sz="0" w:space="0" w:color="auto"/>
        <w:left w:val="none" w:sz="0" w:space="0" w:color="auto"/>
        <w:bottom w:val="none" w:sz="0" w:space="0" w:color="auto"/>
        <w:right w:val="none" w:sz="0" w:space="0" w:color="auto"/>
      </w:divBdr>
    </w:div>
    <w:div w:id="292835311">
      <w:bodyDiv w:val="1"/>
      <w:marLeft w:val="0"/>
      <w:marRight w:val="0"/>
      <w:marTop w:val="0"/>
      <w:marBottom w:val="0"/>
      <w:divBdr>
        <w:top w:val="none" w:sz="0" w:space="0" w:color="auto"/>
        <w:left w:val="none" w:sz="0" w:space="0" w:color="auto"/>
        <w:bottom w:val="none" w:sz="0" w:space="0" w:color="auto"/>
        <w:right w:val="none" w:sz="0" w:space="0" w:color="auto"/>
      </w:divBdr>
    </w:div>
    <w:div w:id="389307219">
      <w:bodyDiv w:val="1"/>
      <w:marLeft w:val="0"/>
      <w:marRight w:val="0"/>
      <w:marTop w:val="0"/>
      <w:marBottom w:val="0"/>
      <w:divBdr>
        <w:top w:val="none" w:sz="0" w:space="0" w:color="auto"/>
        <w:left w:val="none" w:sz="0" w:space="0" w:color="auto"/>
        <w:bottom w:val="none" w:sz="0" w:space="0" w:color="auto"/>
        <w:right w:val="none" w:sz="0" w:space="0" w:color="auto"/>
      </w:divBdr>
    </w:div>
    <w:div w:id="524487560">
      <w:bodyDiv w:val="1"/>
      <w:marLeft w:val="0"/>
      <w:marRight w:val="0"/>
      <w:marTop w:val="0"/>
      <w:marBottom w:val="0"/>
      <w:divBdr>
        <w:top w:val="none" w:sz="0" w:space="0" w:color="auto"/>
        <w:left w:val="none" w:sz="0" w:space="0" w:color="auto"/>
        <w:bottom w:val="none" w:sz="0" w:space="0" w:color="auto"/>
        <w:right w:val="none" w:sz="0" w:space="0" w:color="auto"/>
      </w:divBdr>
    </w:div>
    <w:div w:id="627976708">
      <w:bodyDiv w:val="1"/>
      <w:marLeft w:val="0"/>
      <w:marRight w:val="0"/>
      <w:marTop w:val="0"/>
      <w:marBottom w:val="0"/>
      <w:divBdr>
        <w:top w:val="none" w:sz="0" w:space="0" w:color="auto"/>
        <w:left w:val="none" w:sz="0" w:space="0" w:color="auto"/>
        <w:bottom w:val="none" w:sz="0" w:space="0" w:color="auto"/>
        <w:right w:val="none" w:sz="0" w:space="0" w:color="auto"/>
      </w:divBdr>
    </w:div>
    <w:div w:id="701397087">
      <w:bodyDiv w:val="1"/>
      <w:marLeft w:val="0"/>
      <w:marRight w:val="0"/>
      <w:marTop w:val="0"/>
      <w:marBottom w:val="0"/>
      <w:divBdr>
        <w:top w:val="none" w:sz="0" w:space="0" w:color="auto"/>
        <w:left w:val="none" w:sz="0" w:space="0" w:color="auto"/>
        <w:bottom w:val="none" w:sz="0" w:space="0" w:color="auto"/>
        <w:right w:val="none" w:sz="0" w:space="0" w:color="auto"/>
      </w:divBdr>
    </w:div>
    <w:div w:id="717317774">
      <w:bodyDiv w:val="1"/>
      <w:marLeft w:val="0"/>
      <w:marRight w:val="0"/>
      <w:marTop w:val="0"/>
      <w:marBottom w:val="0"/>
      <w:divBdr>
        <w:top w:val="none" w:sz="0" w:space="0" w:color="auto"/>
        <w:left w:val="none" w:sz="0" w:space="0" w:color="auto"/>
        <w:bottom w:val="none" w:sz="0" w:space="0" w:color="auto"/>
        <w:right w:val="none" w:sz="0" w:space="0" w:color="auto"/>
      </w:divBdr>
    </w:div>
    <w:div w:id="718014110">
      <w:bodyDiv w:val="1"/>
      <w:marLeft w:val="0"/>
      <w:marRight w:val="0"/>
      <w:marTop w:val="0"/>
      <w:marBottom w:val="0"/>
      <w:divBdr>
        <w:top w:val="none" w:sz="0" w:space="0" w:color="auto"/>
        <w:left w:val="none" w:sz="0" w:space="0" w:color="auto"/>
        <w:bottom w:val="none" w:sz="0" w:space="0" w:color="auto"/>
        <w:right w:val="none" w:sz="0" w:space="0" w:color="auto"/>
      </w:divBdr>
    </w:div>
    <w:div w:id="1006903643">
      <w:bodyDiv w:val="1"/>
      <w:marLeft w:val="0"/>
      <w:marRight w:val="0"/>
      <w:marTop w:val="0"/>
      <w:marBottom w:val="0"/>
      <w:divBdr>
        <w:top w:val="none" w:sz="0" w:space="0" w:color="auto"/>
        <w:left w:val="none" w:sz="0" w:space="0" w:color="auto"/>
        <w:bottom w:val="none" w:sz="0" w:space="0" w:color="auto"/>
        <w:right w:val="none" w:sz="0" w:space="0" w:color="auto"/>
      </w:divBdr>
    </w:div>
    <w:div w:id="1111048827">
      <w:bodyDiv w:val="1"/>
      <w:marLeft w:val="0"/>
      <w:marRight w:val="0"/>
      <w:marTop w:val="0"/>
      <w:marBottom w:val="0"/>
      <w:divBdr>
        <w:top w:val="none" w:sz="0" w:space="0" w:color="auto"/>
        <w:left w:val="none" w:sz="0" w:space="0" w:color="auto"/>
        <w:bottom w:val="none" w:sz="0" w:space="0" w:color="auto"/>
        <w:right w:val="none" w:sz="0" w:space="0" w:color="auto"/>
      </w:divBdr>
    </w:div>
    <w:div w:id="1301227234">
      <w:bodyDiv w:val="1"/>
      <w:marLeft w:val="0"/>
      <w:marRight w:val="0"/>
      <w:marTop w:val="0"/>
      <w:marBottom w:val="0"/>
      <w:divBdr>
        <w:top w:val="none" w:sz="0" w:space="0" w:color="auto"/>
        <w:left w:val="none" w:sz="0" w:space="0" w:color="auto"/>
        <w:bottom w:val="none" w:sz="0" w:space="0" w:color="auto"/>
        <w:right w:val="none" w:sz="0" w:space="0" w:color="auto"/>
      </w:divBdr>
    </w:div>
    <w:div w:id="1548027794">
      <w:bodyDiv w:val="1"/>
      <w:marLeft w:val="0"/>
      <w:marRight w:val="0"/>
      <w:marTop w:val="0"/>
      <w:marBottom w:val="0"/>
      <w:divBdr>
        <w:top w:val="none" w:sz="0" w:space="0" w:color="auto"/>
        <w:left w:val="none" w:sz="0" w:space="0" w:color="auto"/>
        <w:bottom w:val="none" w:sz="0" w:space="0" w:color="auto"/>
        <w:right w:val="none" w:sz="0" w:space="0" w:color="auto"/>
      </w:divBdr>
    </w:div>
    <w:div w:id="1642078682">
      <w:bodyDiv w:val="1"/>
      <w:marLeft w:val="0"/>
      <w:marRight w:val="0"/>
      <w:marTop w:val="0"/>
      <w:marBottom w:val="0"/>
      <w:divBdr>
        <w:top w:val="none" w:sz="0" w:space="0" w:color="auto"/>
        <w:left w:val="none" w:sz="0" w:space="0" w:color="auto"/>
        <w:bottom w:val="none" w:sz="0" w:space="0" w:color="auto"/>
        <w:right w:val="none" w:sz="0" w:space="0" w:color="auto"/>
      </w:divBdr>
    </w:div>
    <w:div w:id="1672374073">
      <w:bodyDiv w:val="1"/>
      <w:marLeft w:val="0"/>
      <w:marRight w:val="0"/>
      <w:marTop w:val="0"/>
      <w:marBottom w:val="0"/>
      <w:divBdr>
        <w:top w:val="none" w:sz="0" w:space="0" w:color="auto"/>
        <w:left w:val="none" w:sz="0" w:space="0" w:color="auto"/>
        <w:bottom w:val="none" w:sz="0" w:space="0" w:color="auto"/>
        <w:right w:val="none" w:sz="0" w:space="0" w:color="auto"/>
      </w:divBdr>
    </w:div>
    <w:div w:id="1725374262">
      <w:bodyDiv w:val="1"/>
      <w:marLeft w:val="0"/>
      <w:marRight w:val="0"/>
      <w:marTop w:val="0"/>
      <w:marBottom w:val="0"/>
      <w:divBdr>
        <w:top w:val="none" w:sz="0" w:space="0" w:color="auto"/>
        <w:left w:val="none" w:sz="0" w:space="0" w:color="auto"/>
        <w:bottom w:val="none" w:sz="0" w:space="0" w:color="auto"/>
        <w:right w:val="none" w:sz="0" w:space="0" w:color="auto"/>
      </w:divBdr>
    </w:div>
    <w:div w:id="1891846518">
      <w:bodyDiv w:val="1"/>
      <w:marLeft w:val="0"/>
      <w:marRight w:val="0"/>
      <w:marTop w:val="0"/>
      <w:marBottom w:val="0"/>
      <w:divBdr>
        <w:top w:val="none" w:sz="0" w:space="0" w:color="auto"/>
        <w:left w:val="none" w:sz="0" w:space="0" w:color="auto"/>
        <w:bottom w:val="none" w:sz="0" w:space="0" w:color="auto"/>
        <w:right w:val="none" w:sz="0" w:space="0" w:color="auto"/>
      </w:divBdr>
    </w:div>
    <w:div w:id="1969506840">
      <w:bodyDiv w:val="1"/>
      <w:marLeft w:val="0"/>
      <w:marRight w:val="0"/>
      <w:marTop w:val="0"/>
      <w:marBottom w:val="0"/>
      <w:divBdr>
        <w:top w:val="none" w:sz="0" w:space="0" w:color="auto"/>
        <w:left w:val="none" w:sz="0" w:space="0" w:color="auto"/>
        <w:bottom w:val="none" w:sz="0" w:space="0" w:color="auto"/>
        <w:right w:val="none" w:sz="0" w:space="0" w:color="auto"/>
      </w:divBdr>
    </w:div>
    <w:div w:id="1971787665">
      <w:bodyDiv w:val="1"/>
      <w:marLeft w:val="0"/>
      <w:marRight w:val="0"/>
      <w:marTop w:val="0"/>
      <w:marBottom w:val="0"/>
      <w:divBdr>
        <w:top w:val="none" w:sz="0" w:space="0" w:color="auto"/>
        <w:left w:val="none" w:sz="0" w:space="0" w:color="auto"/>
        <w:bottom w:val="none" w:sz="0" w:space="0" w:color="auto"/>
        <w:right w:val="none" w:sz="0" w:space="0" w:color="auto"/>
      </w:divBdr>
    </w:div>
    <w:div w:id="1972175564">
      <w:bodyDiv w:val="1"/>
      <w:marLeft w:val="0"/>
      <w:marRight w:val="0"/>
      <w:marTop w:val="0"/>
      <w:marBottom w:val="0"/>
      <w:divBdr>
        <w:top w:val="none" w:sz="0" w:space="0" w:color="auto"/>
        <w:left w:val="none" w:sz="0" w:space="0" w:color="auto"/>
        <w:bottom w:val="none" w:sz="0" w:space="0" w:color="auto"/>
        <w:right w:val="none" w:sz="0" w:space="0" w:color="auto"/>
      </w:divBdr>
    </w:div>
    <w:div w:id="1996491149">
      <w:bodyDiv w:val="1"/>
      <w:marLeft w:val="0"/>
      <w:marRight w:val="0"/>
      <w:marTop w:val="0"/>
      <w:marBottom w:val="0"/>
      <w:divBdr>
        <w:top w:val="none" w:sz="0" w:space="0" w:color="auto"/>
        <w:left w:val="none" w:sz="0" w:space="0" w:color="auto"/>
        <w:bottom w:val="none" w:sz="0" w:space="0" w:color="auto"/>
        <w:right w:val="none" w:sz="0" w:space="0" w:color="auto"/>
      </w:divBdr>
    </w:div>
    <w:div w:id="203754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hyperlink" Target="http://dx.doi.org/10.4314/jab.v91i1.6"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hyperlink" Target="https://www.memoireonline.com///10/10/3944/Evaluation-de-laqualite-des-eaux-des-puits-couverts-munis-de-pompe-dans-lacommune-de-Porto-Novo.html"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hyperlink" Target="https://doi.org/10.9734/ajarr/2020/v12i230286"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1200"/>
              <a:t>E COLI</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3167542982208658"/>
          <c:w val="0.93888888888888888"/>
          <c:h val="0.71396479348876174"/>
        </c:manualLayout>
      </c:layout>
      <c:barChart>
        <c:barDir val="col"/>
        <c:grouping val="clustered"/>
        <c:varyColors val="0"/>
        <c:ser>
          <c:idx val="0"/>
          <c:order val="0"/>
          <c:tx>
            <c:strRef>
              <c:f>Feuil1!$A$15</c:f>
              <c:strCache>
                <c:ptCount val="1"/>
                <c:pt idx="0">
                  <c:v>Satisfied</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Feuil1!$B$14:$D$14</c:f>
              <c:strCache>
                <c:ptCount val="3"/>
                <c:pt idx="0">
                  <c:v>Wells</c:v>
                </c:pt>
                <c:pt idx="1">
                  <c:v>Drilling Waters</c:v>
                </c:pt>
                <c:pt idx="2">
                  <c:v>TOTAL</c:v>
                </c:pt>
              </c:strCache>
            </c:strRef>
          </c:cat>
          <c:val>
            <c:numRef>
              <c:f>Feuil1!$B$15:$D$15</c:f>
              <c:numCache>
                <c:formatCode>0.00%</c:formatCode>
                <c:ptCount val="3"/>
                <c:pt idx="0">
                  <c:v>0.8</c:v>
                </c:pt>
                <c:pt idx="1">
                  <c:v>0.7142857142857143</c:v>
                </c:pt>
                <c:pt idx="2">
                  <c:v>0.7441860465116279</c:v>
                </c:pt>
              </c:numCache>
            </c:numRef>
          </c:val>
          <c:extLst>
            <c:ext xmlns:c16="http://schemas.microsoft.com/office/drawing/2014/chart" uri="{C3380CC4-5D6E-409C-BE32-E72D297353CC}">
              <c16:uniqueId val="{00000000-809D-4E9D-AEBA-065001A3E9ED}"/>
            </c:ext>
          </c:extLst>
        </c:ser>
        <c:ser>
          <c:idx val="1"/>
          <c:order val="1"/>
          <c:tx>
            <c:strRef>
              <c:f>Feuil1!$A$16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Feuil1!$B$14:$D$14</c:f>
              <c:strCache>
                <c:ptCount val="3"/>
                <c:pt idx="0">
                  <c:v>Wells</c:v>
                </c:pt>
                <c:pt idx="1">
                  <c:v>Drilling Waters</c:v>
                </c:pt>
                <c:pt idx="2">
                  <c:v>TOTAL</c:v>
                </c:pt>
              </c:strCache>
            </c:strRef>
          </c:cat>
          <c:val>
            <c:numRef>
              <c:f>Feuil1!$B$16:$D$16</c:f>
              <c:numCache>
                <c:formatCode>0.00%</c:formatCode>
                <c:ptCount val="3"/>
                <c:pt idx="0">
                  <c:v>0.2</c:v>
                </c:pt>
                <c:pt idx="1">
                  <c:v>0.2857142857142857</c:v>
                </c:pt>
                <c:pt idx="2">
                  <c:v>0.2558139534883721</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18528"/>
        <c:axId val="338822840"/>
      </c:barChart>
      <c:catAx>
        <c:axId val="338818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338822840"/>
        <c:crosses val="autoZero"/>
        <c:auto val="1"/>
        <c:lblAlgn val="ctr"/>
        <c:lblOffset val="100"/>
        <c:noMultiLvlLbl val="0"/>
      </c:catAx>
      <c:valAx>
        <c:axId val="338822840"/>
        <c:scaling>
          <c:orientation val="minMax"/>
        </c:scaling>
        <c:delete val="1"/>
        <c:axPos val="l"/>
        <c:numFmt formatCode="0.00%" sourceLinked="1"/>
        <c:majorTickMark val="none"/>
        <c:minorTickMark val="none"/>
        <c:tickLblPos val="nextTo"/>
        <c:crossAx val="338818528"/>
        <c:crosses val="autoZero"/>
        <c:crossBetween val="between"/>
      </c:valAx>
      <c:spPr>
        <a:noFill/>
        <a:ln>
          <a:noFill/>
        </a:ln>
        <a:effectLst/>
      </c:spPr>
    </c:plotArea>
    <c:legend>
      <c:legendPos val="t"/>
      <c:layout>
        <c:manualLayout>
          <c:xMode val="edge"/>
          <c:yMode val="edge"/>
          <c:x val="0.34153302712160977"/>
          <c:y val="0.92129629629629628"/>
          <c:w val="0.3113783902012248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1" i="0" cap="all" baseline="0">
                <a:effectLst/>
              </a:rPr>
              <a:t>total coliforms</a:t>
            </a:r>
            <a:endParaRPr lang="fr-FR" sz="1200">
              <a:effectLst/>
            </a:endParaRPr>
          </a:p>
          <a:p>
            <a:pPr>
              <a:defRPr/>
            </a:pPr>
            <a:endParaRPr lang="fr-FR" sz="12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3671105065355202"/>
          <c:w val="0.93888888888888888"/>
          <c:h val="0.63555846216897305"/>
        </c:manualLayout>
      </c:layout>
      <c:barChart>
        <c:barDir val="col"/>
        <c:grouping val="clustered"/>
        <c:varyColors val="0"/>
        <c:ser>
          <c:idx val="0"/>
          <c:order val="0"/>
          <c:tx>
            <c:strRef>
              <c:f>Feuil1!$A$20</c:f>
              <c:strCache>
                <c:ptCount val="1"/>
                <c:pt idx="0">
                  <c:v>Satisfied</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Feuil1!$B$19:$D$19</c:f>
              <c:strCache>
                <c:ptCount val="3"/>
                <c:pt idx="0">
                  <c:v>Wells</c:v>
                </c:pt>
                <c:pt idx="1">
                  <c:v>Drilling Waters</c:v>
                </c:pt>
                <c:pt idx="2">
                  <c:v>TOTAL</c:v>
                </c:pt>
              </c:strCache>
            </c:strRef>
          </c:cat>
          <c:val>
            <c:numRef>
              <c:f>Feuil1!$B$20:$D$20</c:f>
              <c:numCache>
                <c:formatCode>0.00%</c:formatCode>
                <c:ptCount val="3"/>
                <c:pt idx="0">
                  <c:v>0.2</c:v>
                </c:pt>
                <c:pt idx="1">
                  <c:v>3.5714285714285712E-2</c:v>
                </c:pt>
                <c:pt idx="2">
                  <c:v>9.3023255813953487E-2</c:v>
                </c:pt>
              </c:numCache>
            </c:numRef>
          </c:val>
          <c:extLst>
            <c:ext xmlns:c16="http://schemas.microsoft.com/office/drawing/2014/chart" uri="{C3380CC4-5D6E-409C-BE32-E72D297353CC}">
              <c16:uniqueId val="{00000000-809D-4E9D-AEBA-065001A3E9ED}"/>
            </c:ext>
          </c:extLst>
        </c:ser>
        <c:ser>
          <c:idx val="1"/>
          <c:order val="1"/>
          <c:tx>
            <c:strRef>
              <c:f>Feuil1!$A$21</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Feuil1!$B$19:$D$19</c:f>
              <c:strCache>
                <c:ptCount val="3"/>
                <c:pt idx="0">
                  <c:v>Wells</c:v>
                </c:pt>
                <c:pt idx="1">
                  <c:v>Drilling Waters</c:v>
                </c:pt>
                <c:pt idx="2">
                  <c:v>TOTAL</c:v>
                </c:pt>
              </c:strCache>
            </c:strRef>
          </c:cat>
          <c:val>
            <c:numRef>
              <c:f>Feuil1!$B$21:$D$21</c:f>
              <c:numCache>
                <c:formatCode>0.00%</c:formatCode>
                <c:ptCount val="3"/>
                <c:pt idx="0">
                  <c:v>0.8</c:v>
                </c:pt>
                <c:pt idx="1">
                  <c:v>0.9642857142857143</c:v>
                </c:pt>
                <c:pt idx="2">
                  <c:v>0.90697674418604646</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24408"/>
        <c:axId val="338822448"/>
      </c:barChart>
      <c:catAx>
        <c:axId val="338824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338822448"/>
        <c:crosses val="autoZero"/>
        <c:auto val="1"/>
        <c:lblAlgn val="ctr"/>
        <c:lblOffset val="100"/>
        <c:noMultiLvlLbl val="0"/>
      </c:catAx>
      <c:valAx>
        <c:axId val="338822448"/>
        <c:scaling>
          <c:orientation val="minMax"/>
        </c:scaling>
        <c:delete val="1"/>
        <c:axPos val="l"/>
        <c:numFmt formatCode="0.00%" sourceLinked="1"/>
        <c:majorTickMark val="none"/>
        <c:minorTickMark val="none"/>
        <c:tickLblPos val="nextTo"/>
        <c:crossAx val="338824408"/>
        <c:crosses val="autoZero"/>
        <c:crossBetween val="between"/>
      </c:valAx>
      <c:spPr>
        <a:noFill/>
        <a:ln>
          <a:noFill/>
        </a:ln>
        <a:effectLst/>
      </c:spPr>
    </c:plotArea>
    <c:legend>
      <c:legendPos val="t"/>
      <c:layout>
        <c:manualLayout>
          <c:xMode val="edge"/>
          <c:yMode val="edge"/>
          <c:x val="0.35264413823272089"/>
          <c:y val="0.86632604845603622"/>
          <c:w val="0.30026727909011375"/>
          <c:h val="8.728723385069307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a:t> FECAL</a:t>
            </a:r>
            <a:r>
              <a:rPr lang="fr-FR" baseline="0"/>
              <a:t> COLIFORMS</a:t>
            </a:r>
            <a:endParaRPr lang="fr-FR"/>
          </a:p>
          <a:p>
            <a:pPr>
              <a:defRPr/>
            </a:pPr>
            <a:endParaRPr lang="fr-FR"/>
          </a:p>
          <a:p>
            <a:pPr>
              <a:defRPr/>
            </a:pPr>
            <a:endParaRPr lang="fr-FR"/>
          </a:p>
          <a:p>
            <a:pPr>
              <a:defRPr/>
            </a:pPr>
            <a:endParaRPr lang="fr-FR"/>
          </a:p>
        </c:rich>
      </c:tx>
      <c:layout>
        <c:manualLayout>
          <c:xMode val="edge"/>
          <c:yMode val="edge"/>
          <c:x val="0.35377515310586172"/>
          <c:y val="2.0188059016894733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22817425049591572"/>
          <c:w val="0.93888888888888888"/>
          <c:h val="0.58630111830080645"/>
        </c:manualLayout>
      </c:layout>
      <c:barChart>
        <c:barDir val="col"/>
        <c:grouping val="clustered"/>
        <c:varyColors val="0"/>
        <c:ser>
          <c:idx val="0"/>
          <c:order val="0"/>
          <c:tx>
            <c:strRef>
              <c:f>Feuil1!$A$25</c:f>
              <c:strCache>
                <c:ptCount val="1"/>
                <c:pt idx="0">
                  <c:v>Satisfied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Feuil1!$B$24:$D$24</c:f>
              <c:strCache>
                <c:ptCount val="3"/>
                <c:pt idx="0">
                  <c:v>Wells</c:v>
                </c:pt>
                <c:pt idx="1">
                  <c:v>Drilling Waters</c:v>
                </c:pt>
                <c:pt idx="2">
                  <c:v>TOTAL</c:v>
                </c:pt>
              </c:strCache>
            </c:strRef>
          </c:cat>
          <c:val>
            <c:numRef>
              <c:f>Feuil1!$B$25:$D$25</c:f>
              <c:numCache>
                <c:formatCode>0.00%</c:formatCode>
                <c:ptCount val="3"/>
                <c:pt idx="0">
                  <c:v>0.2</c:v>
                </c:pt>
                <c:pt idx="1">
                  <c:v>7.1428571428571425E-2</c:v>
                </c:pt>
                <c:pt idx="2">
                  <c:v>0.11627906976744186</c:v>
                </c:pt>
              </c:numCache>
            </c:numRef>
          </c:val>
          <c:extLst>
            <c:ext xmlns:c16="http://schemas.microsoft.com/office/drawing/2014/chart" uri="{C3380CC4-5D6E-409C-BE32-E72D297353CC}">
              <c16:uniqueId val="{00000000-809D-4E9D-AEBA-065001A3E9ED}"/>
            </c:ext>
          </c:extLst>
        </c:ser>
        <c:ser>
          <c:idx val="1"/>
          <c:order val="1"/>
          <c:tx>
            <c:strRef>
              <c:f>Feuil1!$A$26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Feuil1!$B$24:$D$24</c:f>
              <c:strCache>
                <c:ptCount val="3"/>
                <c:pt idx="0">
                  <c:v>Wells</c:v>
                </c:pt>
                <c:pt idx="1">
                  <c:v>Drilling Waters</c:v>
                </c:pt>
                <c:pt idx="2">
                  <c:v>TOTAL</c:v>
                </c:pt>
              </c:strCache>
            </c:strRef>
          </c:cat>
          <c:val>
            <c:numRef>
              <c:f>Feuil1!$B$26:$D$26</c:f>
              <c:numCache>
                <c:formatCode>0.00%</c:formatCode>
                <c:ptCount val="3"/>
                <c:pt idx="0">
                  <c:v>0.8</c:v>
                </c:pt>
                <c:pt idx="1">
                  <c:v>0.9285714285714286</c:v>
                </c:pt>
                <c:pt idx="2">
                  <c:v>0.88372093023255816</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13824"/>
        <c:axId val="338816176"/>
      </c:barChart>
      <c:catAx>
        <c:axId val="33881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38816176"/>
        <c:crosses val="autoZero"/>
        <c:auto val="1"/>
        <c:lblAlgn val="ctr"/>
        <c:lblOffset val="100"/>
        <c:noMultiLvlLbl val="0"/>
      </c:catAx>
      <c:valAx>
        <c:axId val="338816176"/>
        <c:scaling>
          <c:orientation val="minMax"/>
        </c:scaling>
        <c:delete val="1"/>
        <c:axPos val="l"/>
        <c:numFmt formatCode="0.00%" sourceLinked="1"/>
        <c:majorTickMark val="none"/>
        <c:minorTickMark val="none"/>
        <c:tickLblPos val="nextTo"/>
        <c:crossAx val="338813824"/>
        <c:crosses val="autoZero"/>
        <c:crossBetween val="between"/>
      </c:valAx>
      <c:spPr>
        <a:noFill/>
        <a:ln>
          <a:noFill/>
        </a:ln>
        <a:effectLst/>
      </c:spPr>
    </c:plotArea>
    <c:legend>
      <c:legendPos val="t"/>
      <c:layout>
        <c:manualLayout>
          <c:xMode val="edge"/>
          <c:yMode val="edge"/>
          <c:x val="0.34872304929495151"/>
          <c:y val="0.92462046204620463"/>
          <c:w val="0.30255390141009703"/>
          <c:h val="6.10566253475741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1" i="0" cap="all" baseline="0">
                <a:effectLst/>
                <a:latin typeface="Times New Roman" panose="02020603050405020304" pitchFamily="18" charset="0"/>
                <a:cs typeface="Times New Roman" panose="02020603050405020304" pitchFamily="18" charset="0"/>
              </a:rPr>
              <a:t>fecal enterococci</a:t>
            </a:r>
            <a:endParaRPr lang="fr-FR" sz="1200">
              <a:effectLst/>
              <a:latin typeface="Times New Roman" panose="02020603050405020304" pitchFamily="18" charset="0"/>
              <a:cs typeface="Times New Roman" panose="02020603050405020304" pitchFamily="18" charset="0"/>
            </a:endParaRPr>
          </a:p>
          <a:p>
            <a:pPr>
              <a:defRPr/>
            </a:pPr>
            <a:endParaRPr lang="fr-FR" sz="1100"/>
          </a:p>
          <a:p>
            <a:pPr>
              <a:defRPr/>
            </a:pPr>
            <a:endParaRPr lang="fr-FR"/>
          </a:p>
          <a:p>
            <a:pPr>
              <a:defRPr/>
            </a:pPr>
            <a:endParaRPr lang="fr-F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7673655102963962"/>
          <c:w val="0.93888888888888888"/>
          <c:h val="0.65674735810090279"/>
        </c:manualLayout>
      </c:layout>
      <c:barChart>
        <c:barDir val="col"/>
        <c:grouping val="clustered"/>
        <c:varyColors val="0"/>
        <c:ser>
          <c:idx val="0"/>
          <c:order val="0"/>
          <c:tx>
            <c:strRef>
              <c:f>Feuil1!$F$15</c:f>
              <c:strCache>
                <c:ptCount val="1"/>
                <c:pt idx="0">
                  <c:v>Satisfied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Feuil1!$G$14:$I$14</c:f>
              <c:strCache>
                <c:ptCount val="3"/>
                <c:pt idx="0">
                  <c:v>Wells</c:v>
                </c:pt>
                <c:pt idx="1">
                  <c:v>Drilling Waters</c:v>
                </c:pt>
                <c:pt idx="2">
                  <c:v>TOTAL</c:v>
                </c:pt>
              </c:strCache>
            </c:strRef>
          </c:cat>
          <c:val>
            <c:numRef>
              <c:f>Feuil1!$G$15:$I$15</c:f>
              <c:numCache>
                <c:formatCode>0.00%</c:formatCode>
                <c:ptCount val="3"/>
                <c:pt idx="0">
                  <c:v>0.8</c:v>
                </c:pt>
                <c:pt idx="1">
                  <c:v>0.8571428571428571</c:v>
                </c:pt>
                <c:pt idx="2">
                  <c:v>0.83720930232558144</c:v>
                </c:pt>
              </c:numCache>
            </c:numRef>
          </c:val>
          <c:extLst>
            <c:ext xmlns:c16="http://schemas.microsoft.com/office/drawing/2014/chart" uri="{C3380CC4-5D6E-409C-BE32-E72D297353CC}">
              <c16:uniqueId val="{00000000-809D-4E9D-AEBA-065001A3E9ED}"/>
            </c:ext>
          </c:extLst>
        </c:ser>
        <c:ser>
          <c:idx val="1"/>
          <c:order val="1"/>
          <c:tx>
            <c:strRef>
              <c:f>Feuil1!$F$16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Feuil1!$G$14:$I$14</c:f>
              <c:strCache>
                <c:ptCount val="3"/>
                <c:pt idx="0">
                  <c:v>Wells</c:v>
                </c:pt>
                <c:pt idx="1">
                  <c:v>Drilling Waters</c:v>
                </c:pt>
                <c:pt idx="2">
                  <c:v>TOTAL</c:v>
                </c:pt>
              </c:strCache>
            </c:strRef>
          </c:cat>
          <c:val>
            <c:numRef>
              <c:f>Feuil1!$G$16:$I$16</c:f>
              <c:numCache>
                <c:formatCode>0.00%</c:formatCode>
                <c:ptCount val="3"/>
                <c:pt idx="0">
                  <c:v>0.2</c:v>
                </c:pt>
                <c:pt idx="1">
                  <c:v>0.14285714285714285</c:v>
                </c:pt>
                <c:pt idx="2">
                  <c:v>0.16279069767441862</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23232"/>
        <c:axId val="338822056"/>
      </c:barChart>
      <c:catAx>
        <c:axId val="338823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38822056"/>
        <c:crosses val="autoZero"/>
        <c:auto val="1"/>
        <c:lblAlgn val="ctr"/>
        <c:lblOffset val="100"/>
        <c:noMultiLvlLbl val="0"/>
      </c:catAx>
      <c:valAx>
        <c:axId val="338822056"/>
        <c:scaling>
          <c:orientation val="minMax"/>
        </c:scaling>
        <c:delete val="1"/>
        <c:axPos val="l"/>
        <c:numFmt formatCode="0.00%" sourceLinked="1"/>
        <c:majorTickMark val="none"/>
        <c:minorTickMark val="none"/>
        <c:tickLblPos val="nextTo"/>
        <c:crossAx val="338823232"/>
        <c:crosses val="autoZero"/>
        <c:crossBetween val="between"/>
      </c:valAx>
      <c:spPr>
        <a:noFill/>
        <a:ln>
          <a:noFill/>
        </a:ln>
        <a:effectLst/>
      </c:spPr>
    </c:plotArea>
    <c:legend>
      <c:legendPos val="t"/>
      <c:layout>
        <c:manualLayout>
          <c:xMode val="edge"/>
          <c:yMode val="edge"/>
          <c:x val="0.30919543916480907"/>
          <c:y val="0.8986411294489639"/>
          <c:w val="0.3699324053434257"/>
          <c:h val="8.60975952535600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Salmonella-SPP</a:t>
            </a:r>
          </a:p>
          <a:p>
            <a:pPr>
              <a:defRPr/>
            </a:pPr>
            <a:endParaRPr lang="fr-FR"/>
          </a:p>
          <a:p>
            <a:pPr>
              <a:defRPr/>
            </a:pPr>
            <a:endParaRPr lang="fr-FR"/>
          </a:p>
          <a:p>
            <a:pPr>
              <a:defRPr/>
            </a:pPr>
            <a:endParaRPr lang="fr-F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5113673618022877"/>
          <c:w val="0.93888888888888888"/>
          <c:h val="0.69450350119847581"/>
        </c:manualLayout>
      </c:layout>
      <c:barChart>
        <c:barDir val="col"/>
        <c:grouping val="clustered"/>
        <c:varyColors val="0"/>
        <c:ser>
          <c:idx val="0"/>
          <c:order val="0"/>
          <c:tx>
            <c:strRef>
              <c:f>Feuil1!$F$20</c:f>
              <c:strCache>
                <c:ptCount val="1"/>
                <c:pt idx="0">
                  <c:v>Absence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Feuil1!$G$19:$I$19</c:f>
              <c:strCache>
                <c:ptCount val="3"/>
                <c:pt idx="0">
                  <c:v>Wells</c:v>
                </c:pt>
                <c:pt idx="1">
                  <c:v>Drilling Waters</c:v>
                </c:pt>
                <c:pt idx="2">
                  <c:v>TOTAL</c:v>
                </c:pt>
              </c:strCache>
            </c:strRef>
          </c:cat>
          <c:val>
            <c:numRef>
              <c:f>Feuil1!$G$20:$I$20</c:f>
              <c:numCache>
                <c:formatCode>0.00%</c:formatCode>
                <c:ptCount val="3"/>
                <c:pt idx="0">
                  <c:v>0.8</c:v>
                </c:pt>
                <c:pt idx="1">
                  <c:v>0.7857142857142857</c:v>
                </c:pt>
                <c:pt idx="2">
                  <c:v>0.79069767441860461</c:v>
                </c:pt>
              </c:numCache>
            </c:numRef>
          </c:val>
          <c:extLst>
            <c:ext xmlns:c16="http://schemas.microsoft.com/office/drawing/2014/chart" uri="{C3380CC4-5D6E-409C-BE32-E72D297353CC}">
              <c16:uniqueId val="{00000000-809D-4E9D-AEBA-065001A3E9ED}"/>
            </c:ext>
          </c:extLst>
        </c:ser>
        <c:ser>
          <c:idx val="1"/>
          <c:order val="1"/>
          <c:tx>
            <c:strRef>
              <c:f>Feuil1!$F$21</c:f>
              <c:strCache>
                <c:ptCount val="1"/>
                <c:pt idx="0">
                  <c:v>Presence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Feuil1!$G$19:$I$19</c:f>
              <c:strCache>
                <c:ptCount val="3"/>
                <c:pt idx="0">
                  <c:v>Wells</c:v>
                </c:pt>
                <c:pt idx="1">
                  <c:v>Drilling Waters</c:v>
                </c:pt>
                <c:pt idx="2">
                  <c:v>TOTAL</c:v>
                </c:pt>
              </c:strCache>
            </c:strRef>
          </c:cat>
          <c:val>
            <c:numRef>
              <c:f>Feuil1!$G$21:$I$21</c:f>
              <c:numCache>
                <c:formatCode>0.00%</c:formatCode>
                <c:ptCount val="3"/>
                <c:pt idx="0">
                  <c:v>0.2</c:v>
                </c:pt>
                <c:pt idx="1">
                  <c:v>0.21428571428571427</c:v>
                </c:pt>
                <c:pt idx="2">
                  <c:v>0.20930232558139536</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25976"/>
        <c:axId val="338817744"/>
      </c:barChart>
      <c:catAx>
        <c:axId val="338825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338817744"/>
        <c:crosses val="autoZero"/>
        <c:auto val="1"/>
        <c:lblAlgn val="ctr"/>
        <c:lblOffset val="100"/>
        <c:noMultiLvlLbl val="0"/>
      </c:catAx>
      <c:valAx>
        <c:axId val="338817744"/>
        <c:scaling>
          <c:orientation val="minMax"/>
        </c:scaling>
        <c:delete val="1"/>
        <c:axPos val="l"/>
        <c:numFmt formatCode="0.00%" sourceLinked="1"/>
        <c:majorTickMark val="none"/>
        <c:minorTickMark val="none"/>
        <c:tickLblPos val="nextTo"/>
        <c:crossAx val="338825976"/>
        <c:crosses val="autoZero"/>
        <c:crossBetween val="between"/>
      </c:valAx>
      <c:spPr>
        <a:noFill/>
        <a:ln>
          <a:noFill/>
        </a:ln>
        <a:effectLst/>
      </c:spPr>
    </c:plotArea>
    <c:legend>
      <c:legendPos val="t"/>
      <c:layout>
        <c:manualLayout>
          <c:xMode val="edge"/>
          <c:yMode val="edge"/>
          <c:x val="0.34153302712160977"/>
          <c:y val="0.92129629629629628"/>
          <c:w val="0.3113783902012248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1200" b="1" i="0" cap="all" baseline="0">
                <a:effectLst/>
                <a:latin typeface="Times New Roman" panose="02020603050405020304" pitchFamily="18" charset="0"/>
                <a:cs typeface="Times New Roman" panose="02020603050405020304" pitchFamily="18" charset="0"/>
              </a:rPr>
              <a:t>aerobic flora</a:t>
            </a:r>
            <a:endParaRPr lang="fr-FR" sz="1200">
              <a:effectLst/>
              <a:latin typeface="Times New Roman" panose="02020603050405020304" pitchFamily="18" charset="0"/>
              <a:cs typeface="Times New Roman" panose="02020603050405020304" pitchFamily="18" charset="0"/>
            </a:endParaRPr>
          </a:p>
          <a:p>
            <a:pPr>
              <a:defRPr/>
            </a:pPr>
            <a:endParaRPr lang="fr-FR"/>
          </a:p>
          <a:p>
            <a:pPr>
              <a:defRPr/>
            </a:pPr>
            <a:endParaRPr lang="fr-FR"/>
          </a:p>
          <a:p>
            <a:pPr>
              <a:defRPr/>
            </a:pPr>
            <a:endParaRPr lang="fr-FR"/>
          </a:p>
          <a:p>
            <a:pPr>
              <a:defRPr/>
            </a:pPr>
            <a:endParaRPr lang="fr-F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0127369495479729"/>
          <c:w val="0.93888888888888888"/>
          <c:h val="0.7443664333624963"/>
        </c:manualLayout>
      </c:layout>
      <c:barChart>
        <c:barDir val="col"/>
        <c:grouping val="clustered"/>
        <c:varyColors val="0"/>
        <c:ser>
          <c:idx val="0"/>
          <c:order val="0"/>
          <c:tx>
            <c:strRef>
              <c:f>Feuil1!$F$25</c:f>
              <c:strCache>
                <c:ptCount val="1"/>
                <c:pt idx="0">
                  <c:v>Satisfied</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Feuil1!$G$24:$I$24</c:f>
              <c:strCache>
                <c:ptCount val="3"/>
                <c:pt idx="0">
                  <c:v>Wells</c:v>
                </c:pt>
                <c:pt idx="1">
                  <c:v>Drilling Waters</c:v>
                </c:pt>
                <c:pt idx="2">
                  <c:v>TOTAL</c:v>
                </c:pt>
              </c:strCache>
            </c:strRef>
          </c:cat>
          <c:val>
            <c:numRef>
              <c:f>Feuil1!$G$25:$I$25</c:f>
              <c:numCache>
                <c:formatCode>0.00%</c:formatCode>
                <c:ptCount val="3"/>
                <c:pt idx="0">
                  <c:v>0</c:v>
                </c:pt>
                <c:pt idx="1">
                  <c:v>0</c:v>
                </c:pt>
                <c:pt idx="2">
                  <c:v>0</c:v>
                </c:pt>
              </c:numCache>
            </c:numRef>
          </c:val>
          <c:extLst>
            <c:ext xmlns:c16="http://schemas.microsoft.com/office/drawing/2014/chart" uri="{C3380CC4-5D6E-409C-BE32-E72D297353CC}">
              <c16:uniqueId val="{00000000-809D-4E9D-AEBA-065001A3E9ED}"/>
            </c:ext>
          </c:extLst>
        </c:ser>
        <c:ser>
          <c:idx val="1"/>
          <c:order val="1"/>
          <c:tx>
            <c:strRef>
              <c:f>Feuil1!$F$26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Feuil1!$G$24:$I$24</c:f>
              <c:strCache>
                <c:ptCount val="3"/>
                <c:pt idx="0">
                  <c:v>Wells</c:v>
                </c:pt>
                <c:pt idx="1">
                  <c:v>Drilling Waters</c:v>
                </c:pt>
                <c:pt idx="2">
                  <c:v>TOTAL</c:v>
                </c:pt>
              </c:strCache>
            </c:strRef>
          </c:cat>
          <c:val>
            <c:numRef>
              <c:f>Feuil1!$G$26:$I$26</c:f>
              <c:numCache>
                <c:formatCode>0.00%</c:formatCode>
                <c:ptCount val="3"/>
                <c:pt idx="0">
                  <c:v>1</c:v>
                </c:pt>
                <c:pt idx="1">
                  <c:v>1</c:v>
                </c:pt>
                <c:pt idx="2">
                  <c:v>1</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14216"/>
        <c:axId val="338821272"/>
      </c:barChart>
      <c:catAx>
        <c:axId val="338814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338821272"/>
        <c:crosses val="autoZero"/>
        <c:auto val="1"/>
        <c:lblAlgn val="ctr"/>
        <c:lblOffset val="100"/>
        <c:noMultiLvlLbl val="0"/>
      </c:catAx>
      <c:valAx>
        <c:axId val="338821272"/>
        <c:scaling>
          <c:orientation val="minMax"/>
        </c:scaling>
        <c:delete val="1"/>
        <c:axPos val="l"/>
        <c:numFmt formatCode="0.00%" sourceLinked="1"/>
        <c:majorTickMark val="none"/>
        <c:minorTickMark val="none"/>
        <c:tickLblPos val="nextTo"/>
        <c:crossAx val="338814216"/>
        <c:crosses val="autoZero"/>
        <c:crossBetween val="between"/>
      </c:valAx>
      <c:spPr>
        <a:noFill/>
        <a:ln>
          <a:noFill/>
        </a:ln>
        <a:effectLst/>
      </c:spPr>
    </c:plotArea>
    <c:legend>
      <c:legendPos val="t"/>
      <c:layout>
        <c:manualLayout>
          <c:xMode val="edge"/>
          <c:yMode val="edge"/>
          <c:x val="0.34153302712160977"/>
          <c:y val="0.92129629629629628"/>
          <c:w val="0.3113783902012248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TotalTime>
  <Pages>14</Pages>
  <Words>3631</Words>
  <Characters>19829</Characters>
  <Application>Microsoft Office Word</Application>
  <DocSecurity>0</DocSecurity>
  <Lines>165</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PC New 16</cp:lastModifiedBy>
  <cp:revision>31</cp:revision>
  <dcterms:created xsi:type="dcterms:W3CDTF">2025-02-20T18:43:00Z</dcterms:created>
  <dcterms:modified xsi:type="dcterms:W3CDTF">2025-03-03T12:12:00Z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07568d0f8ee2ff4ad1718bc690e854a0b02777f390fdda80bbf53e3420ed663f</vt:lpwstr>
  </property>
</Properties>
</file>