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0E" w:rsidRDefault="006B0B99" w:rsidP="00CE0F0E">
      <w:pPr>
        <w:spacing w:after="280" w:line="240" w:lineRule="auto"/>
        <w:jc w:val="center"/>
        <w:rPr>
          <w:rFonts w:ascii="Times New Roman" w:eastAsia="Times New Roman" w:hAnsi="Times New Roman" w:cs="Times New Roman"/>
          <w:b/>
          <w:sz w:val="24"/>
          <w:szCs w:val="24"/>
        </w:rPr>
      </w:pPr>
      <w:bookmarkStart w:id="0" w:name="_Hlk193317650"/>
      <w:bookmarkEnd w:id="0"/>
      <w:r>
        <w:rPr>
          <w:rFonts w:ascii="Times New Roman" w:eastAsia="Times New Roman" w:hAnsi="Times New Roman" w:cs="Times New Roman"/>
          <w:b/>
          <w:sz w:val="24"/>
          <w:szCs w:val="24"/>
        </w:rPr>
        <w:t>Integrated Weed Management in Wheat: Role of Phytoextracts and Biotechnology Approaches</w:t>
      </w:r>
    </w:p>
    <w:p w:rsidR="005F63DC" w:rsidRDefault="005F63DC" w:rsidP="00CE0F0E">
      <w:pPr>
        <w:spacing w:after="280" w:line="240" w:lineRule="auto"/>
        <w:jc w:val="center"/>
        <w:rPr>
          <w:rFonts w:ascii="Times New Roman" w:eastAsia="Times New Roman" w:hAnsi="Times New Roman" w:cs="Times New Roman"/>
          <w:b/>
          <w:sz w:val="24"/>
          <w:szCs w:val="24"/>
        </w:rPr>
      </w:pPr>
    </w:p>
    <w:p w:rsidR="00BF10D0" w:rsidRDefault="006B0B99" w:rsidP="00DD233F">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Weed Management (IWM) in wheat production is essential for sustainable agriculture, aiming to control weed populations while minimizing environmental impact. Traditional weed control methods, such as herbicide use, often lead to the development of herbicide-resistant weed species. To address this issue, IWM incorporates a range of strategies, including cultural, mechanical, biological, and chemical methods. Among these, the use of phytoextracts (plant-derived compounds) and biotechnology approaches has shown great promise in enhancing weed control in wheat fields. Phytoextracts, through mechanisms like allelopathy, inhibition of photosynthesis, and growth regulation, offer a natural alternative to synthetic herbicides by suppressing weed growth and seed germination. Meanwhile, biotechnology approaches, such as the development of herbicide-resistant wheat varieties, molecular breeding for enhanced allelopathy, and the use of microbial biocontrol agents, provide innovative solutions for effective weed management. The synergy between phytoextracts and biotechnological advancements offers a more sustainable, eco-friendly approach to managing weeds in wheat production. This paper discusses the role of phytoextracts and biotechnology in IWM, emphasizing their potential to reduce reliance on chemical herbicides, minimize environmental impact, and promote long-term agricultural sustainability.</w:t>
      </w:r>
    </w:p>
    <w:p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Phyto</w:t>
      </w:r>
      <w:r w:rsidR="00CB6F99">
        <w:rPr>
          <w:rFonts w:ascii="Times New Roman" w:eastAsia="Times New Roman" w:hAnsi="Times New Roman" w:cs="Times New Roman"/>
          <w:sz w:val="24"/>
          <w:szCs w:val="24"/>
        </w:rPr>
        <w:t>extract, RNAi, Genetic Engineering, H</w:t>
      </w:r>
      <w:r>
        <w:rPr>
          <w:rFonts w:ascii="Times New Roman" w:eastAsia="Times New Roman" w:hAnsi="Times New Roman" w:cs="Times New Roman"/>
          <w:sz w:val="24"/>
          <w:szCs w:val="24"/>
        </w:rPr>
        <w:t xml:space="preserve">erbs and </w:t>
      </w:r>
      <w:r w:rsidR="00CB6F99">
        <w:rPr>
          <w:rFonts w:ascii="Times New Roman" w:eastAsia="Times New Roman" w:hAnsi="Times New Roman" w:cs="Times New Roman"/>
          <w:sz w:val="24"/>
          <w:szCs w:val="24"/>
        </w:rPr>
        <w:t>Weed Management,</w:t>
      </w:r>
    </w:p>
    <w:p w:rsidR="00BF10D0" w:rsidRDefault="00C536D1">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Weed management in wheat farming is a critical aspect of agricultural productivity. Weeds compete with crops for nutrients, water, and light, leading to significant yield losses if not properly controlled. Integrated weed management (IWM) is an ecological approach that uses a combination of cultural, mechanical, chemical, and biological strategies to control weeds sustainably </w:t>
      </w:r>
      <w:r>
        <w:rPr>
          <w:rFonts w:ascii="Times New Roman" w:eastAsia="Times New Roman" w:hAnsi="Times New Roman" w:cs="Times New Roman"/>
          <w:color w:val="222222"/>
          <w:sz w:val="24"/>
          <w:szCs w:val="24"/>
          <w:highlight w:val="white"/>
        </w:rPr>
        <w:t>Ambaye et al., 2021)</w:t>
      </w:r>
      <w:r>
        <w:rPr>
          <w:rFonts w:ascii="Times New Roman" w:eastAsia="Times New Roman" w:hAnsi="Times New Roman" w:cs="Times New Roman"/>
          <w:sz w:val="24"/>
          <w:szCs w:val="24"/>
        </w:rPr>
        <w:t>. Among the various strategies, the use of phytoextracts and biotechnology approaches has gained increasing attention in the recent past due to their potential to offer more sustainable, eco-friendly alternatives to chemical herbicides. Invasive crop species disrupt primary crops and pose a challenge in agriculture, with synthetic herbicide use raising ecological and health concerns. Plant-based alternatives, such as allelopathic extracts from sorghum and medicinal shrubs, show potential to combat weeds (</w:t>
      </w:r>
      <w:r>
        <w:rPr>
          <w:rFonts w:ascii="Times New Roman" w:eastAsia="Times New Roman" w:hAnsi="Times New Roman" w:cs="Times New Roman"/>
          <w:color w:val="222222"/>
          <w:sz w:val="24"/>
          <w:szCs w:val="24"/>
          <w:highlight w:val="white"/>
        </w:rPr>
        <w:t>Ionata et al., 2024)</w:t>
      </w:r>
      <w:r>
        <w:rPr>
          <w:rFonts w:ascii="Times New Roman" w:eastAsia="Times New Roman" w:hAnsi="Times New Roman" w:cs="Times New Roman"/>
          <w:sz w:val="24"/>
          <w:szCs w:val="24"/>
        </w:rPr>
        <w:t xml:space="preserve">. Species like </w:t>
      </w:r>
      <w:r>
        <w:rPr>
          <w:rFonts w:ascii="Times New Roman" w:eastAsia="Times New Roman" w:hAnsi="Times New Roman" w:cs="Times New Roman"/>
          <w:i/>
          <w:sz w:val="24"/>
          <w:szCs w:val="24"/>
        </w:rPr>
        <w:t>Persicarialapathifolia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Artemisia argyi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Ferulaassafoetida</w:t>
      </w:r>
      <w:r>
        <w:rPr>
          <w:rFonts w:ascii="Times New Roman" w:eastAsia="Times New Roman" w:hAnsi="Times New Roman" w:cs="Times New Roman"/>
          <w:sz w:val="24"/>
          <w:szCs w:val="24"/>
        </w:rPr>
        <w:t xml:space="preserve"> have demonstrated weed-inhibiting properties. Research on allelochemicals from plants could offer sustainable solutions, with species like </w:t>
      </w:r>
      <w:r>
        <w:rPr>
          <w:rFonts w:ascii="Times New Roman" w:eastAsia="Times New Roman" w:hAnsi="Times New Roman" w:cs="Times New Roman"/>
          <w:i/>
          <w:sz w:val="24"/>
          <w:szCs w:val="24"/>
        </w:rPr>
        <w:t>P. monspeliensis</w:t>
      </w:r>
      <w:r>
        <w:rPr>
          <w:rFonts w:ascii="Times New Roman" w:eastAsia="Times New Roman" w:hAnsi="Times New Roman" w:cs="Times New Roman"/>
          <w:sz w:val="24"/>
          <w:szCs w:val="24"/>
        </w:rPr>
        <w:t xml:space="preserve"> and common grasses showing promise for natural herbicidal effects in agroecosystems. Plants rich in secondary metabolites such as tannins, terpenoids, alkaloids and flavonoids have antimicrobial properties since their use increasing rapidly for management diseases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sz w:val="24"/>
          <w:szCs w:val="24"/>
        </w:rPr>
        <w:t>. Phytoextracts (plant extracts) or plant derivatives are biological antifungal agents have potential to overcome fungal diseases without human health risks.</w:t>
      </w:r>
      <w:r w:rsidR="00CB6F99" w:rsidRPr="00CB6F99">
        <w:t xml:space="preserve"> </w:t>
      </w:r>
      <w:r w:rsidR="00CB6F99" w:rsidRPr="00CB6F99">
        <w:rPr>
          <w:rFonts w:ascii="Times New Roman" w:hAnsi="Times New Roman" w:cs="Times New Roman"/>
          <w:sz w:val="24"/>
          <w:szCs w:val="24"/>
        </w:rPr>
        <w:t xml:space="preserve">Synthetic fungicides significantly impact both aquatic and terrestrial ecosystems. Extensive </w:t>
      </w:r>
      <w:r w:rsidR="00CB6F99" w:rsidRPr="00CB6F99">
        <w:rPr>
          <w:rFonts w:ascii="Times New Roman" w:hAnsi="Times New Roman" w:cs="Times New Roman"/>
          <w:sz w:val="24"/>
          <w:szCs w:val="24"/>
        </w:rPr>
        <w:lastRenderedPageBreak/>
        <w:t>use of copper-based fungicides leads to copper accumulation, which adversely affects soil microorganisms and earthworms. These applications drastically reduce microbial populations, impairing the soil's nutrient-holding capacity and rendering it nearly sterile. Thus, using fungicides to combat soil-borne diseases poses serious environmental and health risks.</w:t>
      </w:r>
      <w:r w:rsidR="00CB6F99" w:rsidRPr="00CB6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Guidi-Nissim et al., 2023)</w:t>
      </w:r>
      <w:r>
        <w:rPr>
          <w:rFonts w:ascii="Times New Roman" w:eastAsia="Times New Roman" w:hAnsi="Times New Roman" w:cs="Times New Roman"/>
          <w:sz w:val="24"/>
          <w:szCs w:val="24"/>
        </w:rPr>
        <w:t xml:space="preserve">. </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Phytoextracts in weed Management</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Phytoextracts refer to plant-based extracts that can be utilized to control weeds either by inhibiting seed germination, disrupting growth, or affecting metabolic processes in weeds. These extracts are derived from specific plants that have natural herbicidal properties. The use of phytoextracts for weed management is a part of organic and integrated weed management systems (</w:t>
      </w:r>
      <w:r>
        <w:rPr>
          <w:rFonts w:ascii="Times New Roman" w:eastAsia="Times New Roman" w:hAnsi="Times New Roman" w:cs="Times New Roman"/>
          <w:color w:val="222222"/>
          <w:sz w:val="24"/>
          <w:szCs w:val="24"/>
          <w:highlight w:val="white"/>
        </w:rPr>
        <w:t>Hoang et al., 2021)</w:t>
      </w:r>
      <w:r>
        <w:rPr>
          <w:rFonts w:ascii="Times New Roman" w:eastAsia="Times New Roman" w:hAnsi="Times New Roman" w:cs="Times New Roman"/>
          <w:color w:val="000000"/>
          <w:sz w:val="24"/>
          <w:szCs w:val="24"/>
        </w:rPr>
        <w:t>. Many plants naturally produce chemicals that can suppress the growth of neighboring weeds. These allelopathic chemicals can be extracted and applied to wheat fields to reduce weed germination or growth. Phytoextracts may contain compounds that inhibit weed growth directly. For example, compounds like phenolics, alkaloids, and terpenes can have herbicidal effects. Unlike chemical herbicides, phytoextracts are biodegradable and typically do not have long-term negative impacts on the environment (</w:t>
      </w:r>
      <w:r>
        <w:rPr>
          <w:rFonts w:ascii="Times New Roman" w:eastAsia="Times New Roman" w:hAnsi="Times New Roman" w:cs="Times New Roman"/>
          <w:color w:val="222222"/>
          <w:sz w:val="24"/>
          <w:szCs w:val="24"/>
          <w:highlight w:val="white"/>
        </w:rPr>
        <w:t>Zheng et al., 2024)</w:t>
      </w:r>
      <w:r>
        <w:rPr>
          <w:rFonts w:ascii="Times New Roman" w:eastAsia="Times New Roman" w:hAnsi="Times New Roman" w:cs="Times New Roman"/>
          <w:color w:val="000000"/>
          <w:sz w:val="24"/>
          <w:szCs w:val="24"/>
        </w:rPr>
        <w:t>. They can be used to reduce reliance on synthetic herbicides, minimizing harmful residues on crops and in soil. Certain phytoextracts can be selectively effective against specific weed species without harming the wheat crop (</w:t>
      </w:r>
      <w:r>
        <w:rPr>
          <w:rFonts w:ascii="Times New Roman" w:eastAsia="Times New Roman" w:hAnsi="Times New Roman" w:cs="Times New Roman"/>
          <w:color w:val="222222"/>
          <w:sz w:val="24"/>
          <w:szCs w:val="24"/>
          <w:highlight w:val="white"/>
        </w:rPr>
        <w:t>Wang et al., 2021)</w:t>
      </w:r>
      <w:r>
        <w:rPr>
          <w:rFonts w:ascii="Times New Roman" w:eastAsia="Times New Roman" w:hAnsi="Times New Roman" w:cs="Times New Roman"/>
          <w:color w:val="000000"/>
          <w:sz w:val="24"/>
          <w:szCs w:val="24"/>
        </w:rPr>
        <w:t xml:space="preserve">. Compounds like alkaloids and phenolic acids present in phytoextracts can disrupt the cell membrane integrity of weeds, leading to leakage of cell contents, dehydration, and ultimately, plant death. Some phytoextracts contain compounds that inhibit photosynthetic enzymes or processes in weeds, reducing their ability to produce food and survive. For example, </w:t>
      </w:r>
      <w:r>
        <w:rPr>
          <w:rFonts w:ascii="Times New Roman" w:eastAsia="Times New Roman" w:hAnsi="Times New Roman" w:cs="Times New Roman"/>
          <w:i/>
          <w:color w:val="000000"/>
          <w:sz w:val="24"/>
          <w:szCs w:val="24"/>
        </w:rPr>
        <w:t>Tobacco</w:t>
      </w:r>
      <w:r>
        <w:rPr>
          <w:rFonts w:ascii="Times New Roman" w:eastAsia="Times New Roman" w:hAnsi="Times New Roman" w:cs="Times New Roman"/>
          <w:color w:val="000000"/>
          <w:sz w:val="24"/>
          <w:szCs w:val="24"/>
        </w:rPr>
        <w:t xml:space="preserve"> extract contains compounds that interfere with photosynthesis in certain weeds. Some phytoextracts contain plant hormones or analogs that affect the growth regulators of weeds. For instance, extracts from plants like </w:t>
      </w:r>
      <w:r>
        <w:rPr>
          <w:rFonts w:ascii="Times New Roman" w:eastAsia="Times New Roman" w:hAnsi="Times New Roman" w:cs="Times New Roman"/>
          <w:i/>
          <w:color w:val="000000"/>
          <w:sz w:val="24"/>
          <w:szCs w:val="24"/>
        </w:rPr>
        <w:t>lemon grass</w:t>
      </w:r>
      <w:r>
        <w:rPr>
          <w:rFonts w:ascii="Times New Roman" w:eastAsia="Times New Roman" w:hAnsi="Times New Roman" w:cs="Times New Roman"/>
          <w:color w:val="000000"/>
          <w:sz w:val="24"/>
          <w:szCs w:val="24"/>
        </w:rPr>
        <w:t xml:space="preserve"> (Cymbopogon citratus) can affect the auxin-regulated processes in weeds, disrupting their growth (Xu et al., 2023).</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Preparation of plant extracts</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Plant sample that may be root, stem, leaf, flower, fruit, bark taken as fresh and dried sample for extraction. Dried sample preferred over fresh sample because of their stability on the other hand fresh sample decay faster than dried sample. Moreover, smaller size particles of sample in powdered form have greater surface contact to solvent for efficient extraction than grinded sample (Bhat et al., 2022). Extraction means separation of soluble plant metabolites by using suitable solvents. Maceration, Decoction and infusions are conventional methods used for extraction. Choice of solvent depends upon the type of compound to be extracted. Water used as solvent for extraction of phenolic acids, alkaloids, flavonoids, lectins, glycosides and phenylpropanoids contents (Riaz et al., 2022). Tannins, polyphenols, flavanol, terpenoids and alkaloids extracted in Ethanol. On the other way saponins, tannins, polyphenols, terpenoids, flavones and anthocyanin extracts obtained by Methanol solvent. Acetone used to extract alkaloids, sugars, tannins and quinones from plant material. Chloroform could also be used for extraction of the bioactive compounds like anthocyanin, flavonoids, flavones and polyphenols. Other than conventional methods there are some modern techniques like ultrasonic assisted </w:t>
      </w:r>
      <w:r>
        <w:rPr>
          <w:rFonts w:ascii="Times New Roman" w:eastAsia="Times New Roman" w:hAnsi="Times New Roman" w:cs="Times New Roman"/>
          <w:sz w:val="24"/>
          <w:szCs w:val="24"/>
        </w:rPr>
        <w:lastRenderedPageBreak/>
        <w:t>extraction and microwave assisted extraction are also used for preparation of phytoextracts (Dhaliwal et al., 2020).</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of Phytoextracts Used in Weed Management:</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Eucalyptus extracts contain compounds like eucalyptol, which can inhibit seed germination and growth of various weeds. Black </w:t>
      </w:r>
      <w:r w:rsidR="00AA049D">
        <w:rPr>
          <w:rFonts w:ascii="Times New Roman" w:eastAsia="Times New Roman" w:hAnsi="Times New Roman" w:cs="Times New Roman"/>
          <w:color w:val="000000"/>
          <w:sz w:val="24"/>
          <w:szCs w:val="24"/>
        </w:rPr>
        <w:t>Walnut also</w:t>
      </w:r>
      <w:r>
        <w:rPr>
          <w:rFonts w:ascii="Times New Roman" w:eastAsia="Times New Roman" w:hAnsi="Times New Roman" w:cs="Times New Roman"/>
          <w:color w:val="000000"/>
          <w:sz w:val="24"/>
          <w:szCs w:val="24"/>
        </w:rPr>
        <w:t xml:space="preserve"> known as Juglans nigra produces juglone, an allelopathic compound that can suppress weed growth (Alsafran et al., 2022). Allelopathic </w:t>
      </w:r>
      <w:r w:rsidR="00AA049D">
        <w:rPr>
          <w:rFonts w:ascii="Times New Roman" w:eastAsia="Times New Roman" w:hAnsi="Times New Roman" w:cs="Times New Roman"/>
          <w:color w:val="000000"/>
          <w:sz w:val="24"/>
          <w:szCs w:val="24"/>
        </w:rPr>
        <w:t>Plants like</w:t>
      </w:r>
      <w:r>
        <w:rPr>
          <w:rFonts w:ascii="Times New Roman" w:eastAsia="Times New Roman" w:hAnsi="Times New Roman" w:cs="Times New Roman"/>
          <w:color w:val="000000"/>
          <w:sz w:val="24"/>
          <w:szCs w:val="24"/>
        </w:rPr>
        <w:t xml:space="preserve"> rye (Secale cereale) and clover have been studied for their potential to produce phytoextracts with herbicidal properties. Allelopathic compounds from sorghum have shown phytotoxic effects against various weeds in field crops (Li et al., 2022). Water extracts of </w:t>
      </w:r>
      <w:r>
        <w:rPr>
          <w:rFonts w:ascii="Times New Roman" w:eastAsia="Times New Roman" w:hAnsi="Times New Roman" w:cs="Times New Roman"/>
          <w:i/>
          <w:color w:val="000000"/>
          <w:sz w:val="24"/>
          <w:szCs w:val="24"/>
        </w:rPr>
        <w:t>Artemisia argyi</w:t>
      </w:r>
      <w:r>
        <w:rPr>
          <w:rFonts w:ascii="Times New Roman" w:eastAsia="Times New Roman" w:hAnsi="Times New Roman" w:cs="Times New Roman"/>
          <w:color w:val="000000"/>
          <w:sz w:val="24"/>
          <w:szCs w:val="24"/>
        </w:rPr>
        <w:t xml:space="preserve"> have been effective in inhibiting weeds like </w:t>
      </w:r>
      <w:r>
        <w:rPr>
          <w:rFonts w:ascii="Times New Roman" w:eastAsia="Times New Roman" w:hAnsi="Times New Roman" w:cs="Times New Roman"/>
          <w:i/>
          <w:color w:val="000000"/>
          <w:sz w:val="24"/>
          <w:szCs w:val="24"/>
        </w:rPr>
        <w:t>Brassica pekinensis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Lactuca sativa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Portulaca oleracea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Oxalis corniculata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Setariaviridis</w:t>
      </w:r>
      <w:r>
        <w:rPr>
          <w:rFonts w:ascii="Times New Roman" w:eastAsia="Times New Roman" w:hAnsi="Times New Roman" w:cs="Times New Roman"/>
          <w:color w:val="000000"/>
          <w:sz w:val="24"/>
          <w:szCs w:val="24"/>
        </w:rPr>
        <w:t xml:space="preserve">. Persicarialapathifolia Extract has shown potential in suppressing </w:t>
      </w:r>
      <w:r>
        <w:rPr>
          <w:rFonts w:ascii="Times New Roman" w:eastAsia="Times New Roman" w:hAnsi="Times New Roman" w:cs="Times New Roman"/>
          <w:i/>
          <w:color w:val="000000"/>
          <w:sz w:val="24"/>
          <w:szCs w:val="24"/>
        </w:rPr>
        <w:t>Echinochloacolona</w:t>
      </w:r>
      <w:r>
        <w:rPr>
          <w:rFonts w:ascii="Times New Roman" w:eastAsia="Times New Roman" w:hAnsi="Times New Roman" w:cs="Times New Roman"/>
          <w:color w:val="000000"/>
          <w:sz w:val="24"/>
          <w:szCs w:val="24"/>
        </w:rPr>
        <w:t xml:space="preserve"> weed growth (Anerao et al., 2022). Ferulaassafoetida Extract at concentrations of 0.75%, it reduces the germination of </w:t>
      </w:r>
      <w:r>
        <w:rPr>
          <w:rFonts w:ascii="Times New Roman" w:eastAsia="Times New Roman" w:hAnsi="Times New Roman" w:cs="Times New Roman"/>
          <w:i/>
          <w:color w:val="000000"/>
          <w:sz w:val="24"/>
          <w:szCs w:val="24"/>
        </w:rPr>
        <w:t>Amaranthus retroflexus</w:t>
      </w:r>
      <w:r>
        <w:rPr>
          <w:rFonts w:ascii="Times New Roman" w:eastAsia="Times New Roman" w:hAnsi="Times New Roman" w:cs="Times New Roman"/>
          <w:color w:val="000000"/>
          <w:sz w:val="24"/>
          <w:szCs w:val="24"/>
        </w:rPr>
        <w:t xml:space="preserve"> weed seeds by approximately 70%. Ricinus communis also known as Castor Bean Extract used in concentrations of 1%, it inhibits the germination of various weed species, including </w:t>
      </w:r>
      <w:r>
        <w:rPr>
          <w:rFonts w:ascii="Times New Roman" w:eastAsia="Times New Roman" w:hAnsi="Times New Roman" w:cs="Times New Roman"/>
          <w:i/>
          <w:color w:val="000000"/>
          <w:sz w:val="24"/>
          <w:szCs w:val="24"/>
        </w:rPr>
        <w:t>Amaranthus retroflexus</w:t>
      </w:r>
      <w:r>
        <w:rPr>
          <w:rFonts w:ascii="Times New Roman" w:eastAsia="Times New Roman" w:hAnsi="Times New Roman" w:cs="Times New Roman"/>
          <w:color w:val="000000"/>
          <w:sz w:val="24"/>
          <w:szCs w:val="24"/>
        </w:rPr>
        <w:t>(Maurya et al., 2023)</w:t>
      </w:r>
      <w:r>
        <w:rPr>
          <w:rFonts w:ascii="Times New Roman" w:eastAsia="Times New Roman" w:hAnsi="Times New Roman" w:cs="Times New Roman"/>
          <w:i/>
          <w:color w:val="000000"/>
          <w:sz w:val="24"/>
          <w:szCs w:val="24"/>
        </w:rPr>
        <w:t>.</w:t>
      </w:r>
    </w:p>
    <w:p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Biotechnology Approaches in Weed Management</w:t>
      </w:r>
    </w:p>
    <w:p w:rsidR="001A7C77" w:rsidRDefault="001A7C77" w:rsidP="001A7C7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Biotechnology offers innovative approaches to weed management, focusing on genetic engineering and molecular tools to develop crops with enhanced resistance to weeds or alternative methods for weed control (Hafshajani et al., 2022). Biotechnology is revolutionizing various aspects of agriculture, and weed management is no exception. The development of genetically modified (GM) crops, along with other biotechnological tools, is a key aspect of integrated weed management in wheat (Cavelius et al., 2023). Genetic engineering of wheat for weed resistance involves modifying the wheat plant’s genetic makeup to make it more tolerant to herbicides, or even able to outcompete or suppress weeds. This is an important area of research because herbicide resistance is a significant problem in agriculture, and the management of weeds in wheat crops is crucial for improving yields (Vera et al., 2021).</w:t>
      </w:r>
    </w:p>
    <w:p w:rsidR="001A7C77" w:rsidRDefault="001A7C77" w:rsidP="001A7C77">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of wheat for Weed Resistance:</w:t>
      </w:r>
    </w:p>
    <w:p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explored biotechnology approaches is the development of herbicide-tolerant wheat (Rheay et al., 2021). Genetically modified wheat could be engineered to tolerate specific herbicides, allowing farmers to apply herbicides selectively to kill weeds while keeping the wheat crops unharmed. Genetically modifying wheat to express traits such as herbicide resistance (e.g., glyphosate resistance) can be an effective solution for weed management in areas where weeds have developed resistance to commonly used herbicides (Takase et al., 2021). Some genetically modified wheat plants are being developed to express a glyphosate-tolerant enzyme, such as CP4 EPSPS, which allows wheat to survive glyphosate application while weeds are controlled. This would provide a non-chemical means of controlling weeds without harming the crop. Other traits are being developed to make wheat more tolerant to herbicides like glufosinateor dicamba, which target different enzymes in plants (Cristaldi et al., 2020). </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en-US"/>
        </w:rPr>
        <w:lastRenderedPageBreak/>
        <w:drawing>
          <wp:inline distT="0" distB="0" distL="0" distR="0">
            <wp:extent cx="6156251" cy="4816549"/>
            <wp:effectExtent l="0" t="19050" r="0" b="22151"/>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F10D0" w:rsidRDefault="006B0B99">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Various strategies for integrated weed management</w:t>
      </w:r>
    </w:p>
    <w:p w:rsidR="001A7C77" w:rsidRDefault="001A7C77" w:rsidP="001A7C77">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Tolerance to these herbicides would make weed management more flexible for wheat farmers. Another approach to managing weed resistance is to engineer wheat plants that can break down herbicides in the soil. This would reduce the impact of herbicide residues, preventing harm to subsequent crops and reducing the risk of herbicide resistance in weeds. As of now, wheat genetic engineering is still under research and development (Learning et al., 2022). While herbicide-tolerant wheat has been created in labs, there are limited commercial releases of genetically engineered wheat, mainly due to regulatory and consumer acceptance issues. However, the development of herbicide-tolerant and weed-resistant wheat could become more common in the future, especially if the push for sustainable agriculture and reducing herbicide use intensifies (Ibrahimpasic et al., 2021).</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Genetic Engineering for Allelopathy:</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Allelopathy refers to the natural ability of some plants to release chemicals that inhibit the growth of surrounding plants, particularly weeds. Genetic engineering can be used to enhance this property in wheat plants. By increasing the production of certain chemicals in wheat, it may </w:t>
      </w:r>
      <w:r>
        <w:rPr>
          <w:rFonts w:ascii="Times New Roman" w:eastAsia="Times New Roman" w:hAnsi="Times New Roman" w:cs="Times New Roman"/>
          <w:color w:val="000000"/>
          <w:sz w:val="24"/>
          <w:szCs w:val="24"/>
        </w:rPr>
        <w:lastRenderedPageBreak/>
        <w:t>help suppress weed growth around the wheat plants, reducing the need for herbicide use (De-bari et al., 2020). Another biotechnology approach is to use genetic modification to enhance a wheat crop’s natural allelopathic properties. This would allow the wheat plant to produce more powerful natural chemicals that can suppress weed growth, offering a natural and targeted approach to weed control. Biotechnological tools, including molecular breeding and gene editing techniques like CRISPR-Cas9, can be used to enhance the allelopathic properties of wheat (Rahman et al., 2022). By identifying and incorporating genes responsible for the production of allelopathic compounds, scientists could develop wheat varieties with built-in weed suppression properties. These varieties could naturally release chemicals that suppress weed growth, reducing the need for chemical herbicides and promoting a more sustainable farming system. The first step in genetic engineering for allelopathy is identifying the specific allelochemicals that effectively inhibit weed growth (Ewunie et al., 2021). These compounds can include phenolic acids (like ferulic acid), flavonoids, and glucosinolates, which are produced by many plants. Once the genes responsible for producing these allelochemicals are identified, they can be cloned and inserted into crop plants. For example, inserting genes from allelopathic plants into a non-allelopathic crop could endow the crop with the ability to produce these inhibitory chemicals. In some cases, researchers may modify the crop’s biosynthetic pathways to increase the production of certain allelochemicals (Tripathi et al., 2021). This might involve upregulating genes in the plant’s metabolism that lead to higher production of allelopathic compounds. Genetic engineering can be used to create transgenic crops that either produce new allelopathic compounds or have enhanced production of existing compounds. This could allow crops like wheat, rice, or maize to release more allelopathic chemicals from their roots or leaves, suppressing weed growth in the surrounding area (Balyan et al., 2024).</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RNA Interference (RNAi) Technology:</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RNA interference (RNAi) involves the silencing or downregulation of specific genes by introducing small RNA molecules (such assiRNAormiRNA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into the organism. These small RNA molecules can degrade mRNA molecules or prevent their translation into proteins, effectively silencing the targeted gene (Basak et al., 2021). In agricultural biotechnology, RNAi has been used to regulate gene expression in pests, plants, and microbes. By targeting essential genes in weeds, RNAi technology can either disrupt their growth, reproductive processes, or stress responses, making them easier to control or eradicate (Basak et al., 2020). This technology can potentially create "weed-resistant" crops or crops with the ability to interfere with the growth and germination of nearby weeds. By silencing genes involved in seed germination or early development, RNAi can prevent the weed from establishing itself. This could be useful in pre- or post-emergence applications. Weeds require cell division for growth and survival. RNAi can target genes that regulate cell division (such as those involved in the mitotic cell cycle), halting the development of weeds (Jabborova et al., 2021). By silencing genes responsible for flowering or fertility, RNAi can reduce the weed’s ability to reproduce, preventing the spread of the weed population. Inducing male sterility via RNAi can render weeds incapable of reproducing sexually, further reducing their spread. RNAi can be employed to target specific genes that are essential for the growth or survival of a particular weed species. This means that only the weed will be affected, leaving surrounding crops and plants unharmed (Jadhav et al., 2020). RNAi technology holds promise for improving environmental safety compared to chemical herbicides. </w:t>
      </w:r>
      <w:r>
        <w:rPr>
          <w:rFonts w:ascii="Times New Roman" w:eastAsia="Times New Roman" w:hAnsi="Times New Roman" w:cs="Times New Roman"/>
          <w:color w:val="000000"/>
          <w:sz w:val="24"/>
          <w:szCs w:val="24"/>
        </w:rPr>
        <w:lastRenderedPageBreak/>
        <w:t>Since RNAi molecules are short-lived and degrade quickly in the environment, there is less concern for long-term environmental contamination or bioaccumulation (Kundu et al., 2023).</w:t>
      </w:r>
    </w:p>
    <w:p w:rsidR="00BF10D0" w:rsidRDefault="00BF10D0">
      <w:pPr>
        <w:pStyle w:val="Heading4"/>
        <w:jc w:val="both"/>
      </w:pPr>
    </w:p>
    <w:p w:rsidR="00BF10D0" w:rsidRDefault="006B0B99">
      <w:pPr>
        <w:pStyle w:val="Heading4"/>
        <w:jc w:val="both"/>
      </w:pPr>
      <w:r>
        <w:rPr>
          <w:noProof/>
          <w:lang w:eastAsia="en-US"/>
        </w:rPr>
        <w:drawing>
          <wp:inline distT="0" distB="0" distL="0" distR="0">
            <wp:extent cx="5942330" cy="4810125"/>
            <wp:effectExtent l="0" t="0" r="1270" b="9525"/>
            <wp:docPr id="2" name="image2.png" descr="C:\Users\Dell\Pictures\BJVGY.png"/>
            <wp:cNvGraphicFramePr/>
            <a:graphic xmlns:a="http://schemas.openxmlformats.org/drawingml/2006/main">
              <a:graphicData uri="http://schemas.openxmlformats.org/drawingml/2006/picture">
                <pic:pic xmlns:pic="http://schemas.openxmlformats.org/drawingml/2006/picture">
                  <pic:nvPicPr>
                    <pic:cNvPr id="0" name="image2.png" descr="C:\Users\Dell\Pictures\BJVGY.png"/>
                    <pic:cNvPicPr preferRelativeResize="0"/>
                  </pic:nvPicPr>
                  <pic:blipFill>
                    <a:blip r:embed="rId11"/>
                    <a:srcRect/>
                    <a:stretch>
                      <a:fillRect/>
                    </a:stretch>
                  </pic:blipFill>
                  <pic:spPr>
                    <a:xfrm>
                      <a:off x="0" y="0"/>
                      <a:ext cx="5947947" cy="4814672"/>
                    </a:xfrm>
                    <a:prstGeom prst="rect">
                      <a:avLst/>
                    </a:prstGeom>
                    <a:ln/>
                  </pic:spPr>
                </pic:pic>
              </a:graphicData>
            </a:graphic>
          </wp:inline>
        </w:drawing>
      </w:r>
    </w:p>
    <w:p w:rsidR="00BF10D0" w:rsidRDefault="006B0B99">
      <w:pPr>
        <w:pStyle w:val="Heading4"/>
        <w:jc w:val="center"/>
      </w:pPr>
      <w:r>
        <w:t>Figure 2: Difference between traditional and molecular approaches of IWM</w:t>
      </w:r>
    </w:p>
    <w:p w:rsidR="001A7C77" w:rsidRDefault="001A7C77">
      <w:pPr>
        <w:pStyle w:val="Heading4"/>
        <w:jc w:val="both"/>
      </w:pPr>
    </w:p>
    <w:p w:rsidR="00BF10D0" w:rsidRDefault="006B0B99">
      <w:pPr>
        <w:pStyle w:val="Heading4"/>
        <w:jc w:val="both"/>
      </w:pPr>
      <w:r>
        <w:t>Microbial Biocontrol Agents:</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Biological control through the use of beneficial microorganisms, such as fungi, bacteria, and nematodes, is another promising biotechnology approach. Certain microbial agents can target weed seeds or seedlings, either through competition for resources or by producing compounds that inhibit weed growth (Liao et al., 2021). For example, specific soil-borne fungi or bacteria could be used to control invasive weed species in wheat fields. Fusarium species are soil-borne fungi known to infect and kill certain weed species. Some strains of </w:t>
      </w:r>
      <w:r>
        <w:rPr>
          <w:rFonts w:ascii="Times New Roman" w:eastAsia="Times New Roman" w:hAnsi="Times New Roman" w:cs="Times New Roman"/>
          <w:i/>
          <w:color w:val="000000"/>
          <w:sz w:val="24"/>
          <w:szCs w:val="24"/>
        </w:rPr>
        <w:t>Fusarium</w:t>
      </w:r>
      <w:r>
        <w:rPr>
          <w:rFonts w:ascii="Times New Roman" w:eastAsia="Times New Roman" w:hAnsi="Times New Roman" w:cs="Times New Roman"/>
          <w:color w:val="000000"/>
          <w:sz w:val="24"/>
          <w:szCs w:val="24"/>
        </w:rPr>
        <w:t xml:space="preserve"> can parasitize weed roots and stems, causing them to rot or be stunted. These fungi have been used to target weeds like </w:t>
      </w:r>
      <w:r>
        <w:rPr>
          <w:rFonts w:ascii="Times New Roman" w:eastAsia="Times New Roman" w:hAnsi="Times New Roman" w:cs="Times New Roman"/>
          <w:i/>
          <w:color w:val="000000"/>
          <w:sz w:val="24"/>
          <w:szCs w:val="24"/>
        </w:rPr>
        <w:t>Canada thistle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Cirsium arvense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knotweed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Polygonum spp.</w:t>
      </w:r>
      <w:r>
        <w:rPr>
          <w:rFonts w:ascii="Times New Roman" w:eastAsia="Times New Roman" w:hAnsi="Times New Roman" w:cs="Times New Roman"/>
          <w:color w:val="000000"/>
          <w:sz w:val="24"/>
          <w:szCs w:val="24"/>
        </w:rPr>
        <w:t xml:space="preserve">). Colletotrichum spp. are known for their ability to infect a range of plants, including weeds (Malabadi et al., </w:t>
      </w:r>
      <w:r>
        <w:rPr>
          <w:rFonts w:ascii="Times New Roman" w:eastAsia="Times New Roman" w:hAnsi="Times New Roman" w:cs="Times New Roman"/>
          <w:color w:val="000000"/>
          <w:sz w:val="24"/>
          <w:szCs w:val="24"/>
        </w:rPr>
        <w:lastRenderedPageBreak/>
        <w:t xml:space="preserve">2023). For example, </w:t>
      </w:r>
      <w:r>
        <w:rPr>
          <w:rFonts w:ascii="Times New Roman" w:eastAsia="Times New Roman" w:hAnsi="Times New Roman" w:cs="Times New Roman"/>
          <w:i/>
          <w:color w:val="000000"/>
          <w:sz w:val="24"/>
          <w:szCs w:val="24"/>
        </w:rPr>
        <w:t>Colletotrichum gloeosporioides</w:t>
      </w:r>
      <w:r>
        <w:rPr>
          <w:rFonts w:ascii="Times New Roman" w:eastAsia="Times New Roman" w:hAnsi="Times New Roman" w:cs="Times New Roman"/>
          <w:color w:val="000000"/>
          <w:sz w:val="24"/>
          <w:szCs w:val="24"/>
        </w:rPr>
        <w:t xml:space="preserve"> has been used to control weeds like </w:t>
      </w:r>
      <w:r>
        <w:rPr>
          <w:rFonts w:ascii="Times New Roman" w:eastAsia="Times New Roman" w:hAnsi="Times New Roman" w:cs="Times New Roman"/>
          <w:i/>
          <w:color w:val="000000"/>
          <w:sz w:val="24"/>
          <w:szCs w:val="24"/>
        </w:rPr>
        <w:t>Parthenium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Parthenium hysterophorus</w:t>
      </w:r>
      <w:r>
        <w:rPr>
          <w:rFonts w:ascii="Times New Roman" w:eastAsia="Times New Roman" w:hAnsi="Times New Roman" w:cs="Times New Roman"/>
          <w:color w:val="000000"/>
          <w:sz w:val="24"/>
          <w:szCs w:val="24"/>
        </w:rPr>
        <w:t xml:space="preserve">) by causing anthracnose disease, which weakens and kills the weed. Alternaria spp. have been shown to cause severe damage to weed species like </w:t>
      </w:r>
      <w:r>
        <w:rPr>
          <w:rFonts w:ascii="Times New Roman" w:eastAsia="Times New Roman" w:hAnsi="Times New Roman" w:cs="Times New Roman"/>
          <w:i/>
          <w:color w:val="000000"/>
          <w:sz w:val="24"/>
          <w:szCs w:val="24"/>
        </w:rPr>
        <w:t>bindweed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Convolvulus arvensis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ragweed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Ambrosia spp.</w:t>
      </w:r>
      <w:r>
        <w:rPr>
          <w:rFonts w:ascii="Times New Roman" w:eastAsia="Times New Roman" w:hAnsi="Times New Roman" w:cs="Times New Roman"/>
          <w:color w:val="000000"/>
          <w:sz w:val="24"/>
          <w:szCs w:val="24"/>
        </w:rPr>
        <w:t xml:space="preserve">), effectively reducing their growth and seed production (Meena et al., 2020). Bacteria from the </w:t>
      </w:r>
      <w:r>
        <w:rPr>
          <w:rFonts w:ascii="Times New Roman" w:eastAsia="Times New Roman" w:hAnsi="Times New Roman" w:cs="Times New Roman"/>
          <w:i/>
          <w:color w:val="000000"/>
          <w:sz w:val="24"/>
          <w:szCs w:val="24"/>
        </w:rPr>
        <w:t>Pseudomonas</w:t>
      </w:r>
      <w:r>
        <w:rPr>
          <w:rFonts w:ascii="Times New Roman" w:eastAsia="Times New Roman" w:hAnsi="Times New Roman" w:cs="Times New Roman"/>
          <w:color w:val="000000"/>
          <w:sz w:val="24"/>
          <w:szCs w:val="24"/>
        </w:rPr>
        <w:t xml:space="preserve"> genus are capable of producing plant-growth-inhibiting chemicals. For example, </w:t>
      </w:r>
      <w:r>
        <w:rPr>
          <w:rFonts w:ascii="Times New Roman" w:eastAsia="Times New Roman" w:hAnsi="Times New Roman" w:cs="Times New Roman"/>
          <w:i/>
          <w:color w:val="000000"/>
          <w:sz w:val="24"/>
          <w:szCs w:val="24"/>
        </w:rPr>
        <w:t>Pseudomonas fluorescens</w:t>
      </w:r>
      <w:r>
        <w:rPr>
          <w:rFonts w:ascii="Times New Roman" w:eastAsia="Times New Roman" w:hAnsi="Times New Roman" w:cs="Times New Roman"/>
          <w:color w:val="000000"/>
          <w:sz w:val="24"/>
          <w:szCs w:val="24"/>
        </w:rPr>
        <w:t xml:space="preserve"> has been investigated for its ability to suppress weed germination and growth by competing for nutrients and producing allelopathic substances. Some strains of </w:t>
      </w:r>
      <w:r>
        <w:rPr>
          <w:rFonts w:ascii="Times New Roman" w:eastAsia="Times New Roman" w:hAnsi="Times New Roman" w:cs="Times New Roman"/>
          <w:i/>
          <w:color w:val="000000"/>
          <w:sz w:val="24"/>
          <w:szCs w:val="24"/>
        </w:rPr>
        <w:t>Bacillus</w:t>
      </w:r>
      <w:r>
        <w:rPr>
          <w:rFonts w:ascii="Times New Roman" w:eastAsia="Times New Roman" w:hAnsi="Times New Roman" w:cs="Times New Roman"/>
          <w:color w:val="000000"/>
          <w:sz w:val="24"/>
          <w:szCs w:val="24"/>
        </w:rPr>
        <w:t xml:space="preserve"> bacteria, such as </w:t>
      </w:r>
      <w:r>
        <w:rPr>
          <w:rFonts w:ascii="Times New Roman" w:eastAsia="Times New Roman" w:hAnsi="Times New Roman" w:cs="Times New Roman"/>
          <w:i/>
          <w:color w:val="000000"/>
          <w:sz w:val="24"/>
          <w:szCs w:val="24"/>
        </w:rPr>
        <w:t>Bacillus thuringiensis</w:t>
      </w:r>
      <w:r>
        <w:rPr>
          <w:rFonts w:ascii="Times New Roman" w:eastAsia="Times New Roman" w:hAnsi="Times New Roman" w:cs="Times New Roman"/>
          <w:color w:val="000000"/>
          <w:sz w:val="24"/>
          <w:szCs w:val="24"/>
        </w:rPr>
        <w:t xml:space="preserve">, produce insecticidal toxins, but they have also shown potential as biocontrol agents for weeds (Nigam et al., 2021). For instance, </w:t>
      </w:r>
      <w:r>
        <w:rPr>
          <w:rFonts w:ascii="Times New Roman" w:eastAsia="Times New Roman" w:hAnsi="Times New Roman" w:cs="Times New Roman"/>
          <w:i/>
          <w:color w:val="000000"/>
          <w:sz w:val="24"/>
          <w:szCs w:val="24"/>
        </w:rPr>
        <w:t>Bacillus subtilis</w:t>
      </w:r>
      <w:r>
        <w:rPr>
          <w:rFonts w:ascii="Times New Roman" w:eastAsia="Times New Roman" w:hAnsi="Times New Roman" w:cs="Times New Roman"/>
          <w:color w:val="000000"/>
          <w:sz w:val="24"/>
          <w:szCs w:val="24"/>
        </w:rPr>
        <w:t xml:space="preserve"> can suppress the germination of weeds like </w:t>
      </w:r>
      <w:r>
        <w:rPr>
          <w:rFonts w:ascii="Times New Roman" w:eastAsia="Times New Roman" w:hAnsi="Times New Roman" w:cs="Times New Roman"/>
          <w:i/>
          <w:color w:val="000000"/>
          <w:sz w:val="24"/>
          <w:szCs w:val="24"/>
        </w:rPr>
        <w:t>black nightshade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Solanum nigrum</w:t>
      </w:r>
      <w:r>
        <w:rPr>
          <w:rFonts w:ascii="Times New Roman" w:eastAsia="Times New Roman" w:hAnsi="Times New Roman" w:cs="Times New Roman"/>
          <w:color w:val="000000"/>
          <w:sz w:val="24"/>
          <w:szCs w:val="24"/>
        </w:rPr>
        <w:t xml:space="preserve">) by producing substances that interfere with weed seedling establishment. Cucurbit yellow stunting disorder virus (CYSDV)has shown potential in controlling weed species such as </w:t>
      </w:r>
      <w:r>
        <w:rPr>
          <w:rFonts w:ascii="Times New Roman" w:eastAsia="Times New Roman" w:hAnsi="Times New Roman" w:cs="Times New Roman"/>
          <w:i/>
          <w:color w:val="000000"/>
          <w:sz w:val="24"/>
          <w:szCs w:val="24"/>
        </w:rPr>
        <w:t>cucurbit</w:t>
      </w:r>
      <w:r>
        <w:rPr>
          <w:rFonts w:ascii="Times New Roman" w:eastAsia="Times New Roman" w:hAnsi="Times New Roman" w:cs="Times New Roman"/>
          <w:color w:val="000000"/>
          <w:sz w:val="24"/>
          <w:szCs w:val="24"/>
        </w:rPr>
        <w:t xml:space="preserve"> weeds (e.g., </w:t>
      </w:r>
      <w:r>
        <w:rPr>
          <w:rFonts w:ascii="Times New Roman" w:eastAsia="Times New Roman" w:hAnsi="Times New Roman" w:cs="Times New Roman"/>
          <w:i/>
          <w:color w:val="000000"/>
          <w:sz w:val="24"/>
          <w:szCs w:val="24"/>
        </w:rPr>
        <w:t>melon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squash</w:t>
      </w:r>
      <w:r>
        <w:rPr>
          <w:rFonts w:ascii="Times New Roman" w:eastAsia="Times New Roman" w:hAnsi="Times New Roman" w:cs="Times New Roman"/>
          <w:color w:val="000000"/>
          <w:sz w:val="24"/>
          <w:szCs w:val="24"/>
        </w:rPr>
        <w:t>), as it reduces the vigor and reproduction of these plants. To enhance the stability, viability, and ease of application of microbial agents, researchers are working on creating more robust formulations that can be easily applied in the field (Ozyigit et al., 2023).</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Integrated Weed Management (IWM) with Biotechnology</w:t>
      </w:r>
    </w:p>
    <w:p w:rsidR="00BF10D0" w:rsidRDefault="006B0B99">
      <w:pPr>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Biotechnology is increasingly being integrated intoIntegrated Weed Managementsystems. IWM combines multiple strategies, such as herbicide application, mechanical control, crop rotation, and biological control, to manage weeds sustainably (Pinto et al., 2023). The aim is to use biotechnology as one component of a larger, holistic weed control approach. Herbicide-tolerant crops are being incorporated into IWM strategies, rotating with non-GM crops or using cover crops that naturally suppress weed growth. This reduces reliance on herbicides and helps mitigate the development of herbicide-resistant weed populations (Prakash et al., 2022). Microbial agents and genetic modifications can be combined with chemical herbicides to reduce herbicide use and control herbicide-resistant weeds. For example, genetically modified crops could help reduce weed competition while maintaining overall crop health and yield. Precision agriculture involves using technology to optimize agricultural practices by collecting and analyzing data to make informed decisions (Singh et al., 2021). In weed management, precision agriculture tools, like GPS, drones, and remote sensing, are increasingly being combined with biotechnology to create targeted, data-driven weed control solutions. Drones equipped with imaging technology can identify and map weed populations in real-time. This data can be used to apply targeted interventions, such as gene editing or microbial treatments, to specific areas of a field, reducing the overall use of herbicides. Biotechnology and precision agriculture can enable more targeted herbicide use by identifying weed species and applying herbicides only where necessary, minimizing chemical use and reducing environmental impact (Singh et al., 2021).</w:t>
      </w:r>
    </w:p>
    <w:p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Combination of Phytoextracts and Biotechnology Approaches</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integrated approach that combines phytoextracts and biotechnology can enhance weed management strategies in wheat farming. The use of biotechnology to develop wheat varieties with increased allelopathic potential or resistance to herbicides can be paired with the application of natural herbicides from phytoextracts to create a more sustainable, multi-layered defense against weeds (Singh et al., 2022). Combining these two approaches may help reduce reliance on </w:t>
      </w:r>
      <w:r>
        <w:rPr>
          <w:rFonts w:ascii="Times New Roman" w:eastAsia="Times New Roman" w:hAnsi="Times New Roman" w:cs="Times New Roman"/>
          <w:color w:val="000000"/>
          <w:sz w:val="24"/>
          <w:szCs w:val="24"/>
        </w:rPr>
        <w:lastRenderedPageBreak/>
        <w:t>synthetic chemicals, leading to more sustainable farming practices. Phytoextracts can complement biotechnology approaches, leading to broader control over a range of weed species with different growth patterns and resistance profiles (Sreenikethanam et al., 2022). The strategic use of phytoextracts alongside herbicide-tolerant wheat crops can reduce the development of herbicide-resistant weeds. Phytoextracts can be used in conjunction with herbicide-resistant wheat varieties to manage weeds more effectively. For example, phytoextracts could be applied alongside herbicides to reduce the overall herbicide load while still maintaining effective weed control (Sundarrajan et al., 2024). Biotechnology could also be used to enhance the efficacy of phytoextracts. For example, genetic modifications could be made to enhance the production of specific allelopathic compounds in wheat, making them more potent in suppressing weed growth. Combining phytoextracts and biotechnology could lead to a more sustainable farming system that reduces dependence on synthetic herbicides, conserves biodiversity, and promotes soil health (Tavali et al., 2022).</w:t>
      </w:r>
    </w:p>
    <w:p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Challenges and Future Directions</w:t>
      </w:r>
    </w:p>
    <w:p w:rsidR="00BF10D0" w:rsidRDefault="006B0B99">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combination of phytoextracts and biotechnology approaches shows promise, there are several challenges: Genetically modified crops often face regulatory hurdles, delaying their approval for use in many countries. Producing phytoextracts in large quantities for widespread agricultural use can be difficult and expensive (Thakur et al., 2021). The diversity and complexity of these phytochemicals make it difficult to pinpoint specific compounds that can be harnessed for effective weed management. One of the primary concerns with biotechnology is the potential for gene flowfrom genetically modified (GM) crops to wild relatives or non-GM crops. If genes engineered to enhance weed resistance or crop protection are inadvertently transferred, it could lead to unintended ecological consequences (Tripathi et al., 2020). Phytochemicals often vary in their concentration and effectiveness based on environmental factors such as soil type, climate, and plant health. Biotech-based solutions, including genetically engineered crops or biocontrol agents, face significant regulatory scrutiny and public concern. While biotechnology and phytoextracts offer more sustainable alternatives to herbicides, their long-term environmental impact still requires careful evaluation (Yang et al., 2022). However, the continued research into plant biology, genetics, and sustainable agriculture holds great promise for further developing these methods, making them more effective and widespread in the future (Zang et al., 2023).</w:t>
      </w:r>
    </w:p>
    <w:p w:rsidR="001A7C77" w:rsidRDefault="001A7C77">
      <w:pPr>
        <w:spacing w:before="280" w:after="280" w:line="240" w:lineRule="auto"/>
        <w:jc w:val="both"/>
        <w:rPr>
          <w:rFonts w:ascii="Times New Roman" w:eastAsia="Times New Roman" w:hAnsi="Times New Roman" w:cs="Times New Roman"/>
          <w:b/>
          <w:sz w:val="27"/>
          <w:szCs w:val="27"/>
        </w:rPr>
      </w:pPr>
    </w:p>
    <w:p w:rsidR="001A7C77" w:rsidRDefault="001A7C77">
      <w:pPr>
        <w:spacing w:before="280" w:after="280" w:line="240" w:lineRule="auto"/>
        <w:jc w:val="both"/>
        <w:rPr>
          <w:rFonts w:ascii="Times New Roman" w:eastAsia="Times New Roman" w:hAnsi="Times New Roman" w:cs="Times New Roman"/>
          <w:b/>
          <w:sz w:val="27"/>
          <w:szCs w:val="27"/>
        </w:rPr>
      </w:pPr>
    </w:p>
    <w:p w:rsidR="00BF10D0" w:rsidRDefault="006B0B99">
      <w:pPr>
        <w:spacing w:before="280" w:after="28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Conclusion</w:t>
      </w:r>
    </w:p>
    <w:p w:rsidR="00BF10D0" w:rsidRDefault="006B0B9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Weed management through phytochemistry and biotechnology offers tremendous promise, but it faces several challenges that need to be addressed. The complexity of plant chemicals, environmental variability, regulatory hurdles, and the potential ecological risks of biotechnology require careful consideration. However, advances in both areas such as the discovery of new phytochemicals, the use of gene editing, and the development of effective microbial biocontrol agents provide hope for sustainable, eco-friendly alternatives to traditional weed control </w:t>
      </w:r>
      <w:r>
        <w:rPr>
          <w:rFonts w:ascii="Times New Roman" w:eastAsia="Times New Roman" w:hAnsi="Times New Roman" w:cs="Times New Roman"/>
          <w:color w:val="000000"/>
          <w:sz w:val="24"/>
          <w:szCs w:val="24"/>
        </w:rPr>
        <w:lastRenderedPageBreak/>
        <w:t>methods. Integrating these approaches into an effective integrated weed management system will be key to future success, contributing to more sustainable agricultural practices and reduced reliance on chemical herbicides.</w:t>
      </w:r>
    </w:p>
    <w:p w:rsidR="00A77D5E" w:rsidRDefault="00A77D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A77D5E" w:rsidRPr="00046C34" w:rsidRDefault="00A77D5E" w:rsidP="00A77D5E">
      <w:pPr>
        <w:rPr>
          <w:rFonts w:cs="Times New Roman"/>
          <w:kern w:val="2"/>
          <w:highlight w:val="yellow"/>
        </w:rPr>
      </w:pPr>
      <w:bookmarkStart w:id="1" w:name="_Hlk191544944"/>
      <w:r w:rsidRPr="00046C34">
        <w:rPr>
          <w:rFonts w:cs="Times New Roman"/>
          <w:kern w:val="2"/>
          <w:highlight w:val="yellow"/>
        </w:rPr>
        <w:t>Disclaimer (Artificial intelligence)</w:t>
      </w:r>
    </w:p>
    <w:p w:rsidR="00A77D5E" w:rsidRPr="00046C34" w:rsidRDefault="00A77D5E" w:rsidP="00A77D5E">
      <w:pPr>
        <w:rPr>
          <w:rFonts w:cs="Times New Roman"/>
          <w:kern w:val="2"/>
          <w:highlight w:val="yellow"/>
        </w:rPr>
      </w:pPr>
      <w:r w:rsidRPr="00046C34">
        <w:rPr>
          <w:rFonts w:cs="Times New Roman"/>
          <w:kern w:val="2"/>
          <w:highlight w:val="yellow"/>
        </w:rPr>
        <w:t xml:space="preserve">Option 1: </w:t>
      </w:r>
    </w:p>
    <w:p w:rsidR="00A77D5E" w:rsidRPr="00046C34" w:rsidRDefault="00A77D5E" w:rsidP="00A77D5E">
      <w:pPr>
        <w:rPr>
          <w:rFonts w:cs="Times New Roman"/>
          <w:kern w:val="2"/>
          <w:highlight w:val="yellow"/>
        </w:rPr>
      </w:pPr>
      <w:r w:rsidRPr="00046C34">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A77D5E" w:rsidRDefault="00A77D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bookmarkStart w:id="2" w:name="_GoBack"/>
      <w:bookmarkEnd w:id="1"/>
      <w:bookmarkEnd w:id="2"/>
    </w:p>
    <w:p w:rsidR="00BF10D0" w:rsidRDefault="006B0B99">
      <w:pPr>
        <w:spacing w:before="280" w:after="280" w:line="24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Alsafran, M.; Usman, K.; Ahmed, B.; Rizwan, M.; Saleem, M.H.; Al Jabri, H. Understanding the Phytoremediation Mechanisms of Potentially Toxic Elements: A Proteomic Overview of Recent Advances. </w:t>
      </w:r>
      <w:r w:rsidRPr="001A7C77">
        <w:rPr>
          <w:rFonts w:ascii="Times New Roman" w:eastAsia="Times New Roman" w:hAnsi="Times New Roman" w:cs="Times New Roman"/>
          <w:i/>
          <w:color w:val="222222"/>
          <w:sz w:val="24"/>
          <w:szCs w:val="24"/>
        </w:rPr>
        <w:t>Front. Plant Sci.</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13</w:t>
      </w:r>
      <w:r w:rsidRPr="001A7C77">
        <w:rPr>
          <w:rFonts w:ascii="Times New Roman" w:eastAsia="Times New Roman" w:hAnsi="Times New Roman" w:cs="Times New Roman"/>
          <w:color w:val="222222"/>
          <w:sz w:val="24"/>
          <w:szCs w:val="24"/>
        </w:rPr>
        <w:t>, 881242.</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Ambaye, T.G.; Vaccari, M.; Bonilla-Petriciolet, A.; Prasad, S.; van Hullebusch, E.D.; Rtimi, S. Emerging technologies for biofuel production: A critical review on recent progress, challenges and perspectives.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290</w:t>
      </w:r>
      <w:r w:rsidRPr="001A7C77">
        <w:rPr>
          <w:rFonts w:ascii="Times New Roman" w:eastAsia="Times New Roman" w:hAnsi="Times New Roman" w:cs="Times New Roman"/>
          <w:color w:val="222222"/>
          <w:sz w:val="24"/>
          <w:szCs w:val="24"/>
          <w:highlight w:val="white"/>
        </w:rPr>
        <w:t>, 112627.</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Anerao, P.; Kaware, R.; Khedikar, A.K.; Kumar, M.; Singh, L. Phytoremediation of persistent organic pollutants: Concept challenges and perspectives. In </w:t>
      </w:r>
      <w:r w:rsidRPr="001A7C77">
        <w:rPr>
          <w:rFonts w:ascii="Times New Roman" w:eastAsia="Times New Roman" w:hAnsi="Times New Roman" w:cs="Times New Roman"/>
          <w:i/>
          <w:color w:val="222222"/>
          <w:sz w:val="24"/>
          <w:szCs w:val="24"/>
          <w:highlight w:val="white"/>
        </w:rPr>
        <w:t>Phytoremediation Technology for the Removal of Heavy Metals and Other Contaminants from Soil and Water</w:t>
      </w:r>
      <w:r w:rsidRPr="001A7C77">
        <w:rPr>
          <w:rFonts w:ascii="Times New Roman" w:eastAsia="Times New Roman" w:hAnsi="Times New Roman" w:cs="Times New Roman"/>
          <w:color w:val="222222"/>
          <w:sz w:val="24"/>
          <w:szCs w:val="24"/>
          <w:highlight w:val="white"/>
        </w:rPr>
        <w:t>; Elsevier B.V.: Amsterdam, The Netherlands, 2022; pp. 375–404.</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Balyan, Sakshi, Harsita Jangir, Shakti Nath Tripathi, Arpita Tripathi, TriptaJhang, and Praveen Pandey. "Seeding a Sustainable Future: Navigating the Digital Horizon of Smart Agriculture." Sustainability 16, no. 2 (2024): 475</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Basak, B. B., Ajoy Saha, Binoy Sarkar, B. Prem Kumar, N. A. Gajbhiye, and Atanu Banerjee. "Repurposing distillation waste biomass and low-value mineral resources through biochar-mineral-complex for sustainable production of high-value medicinal plants and soil quality improvement." Science of the Total Environment 760 (2021): 143319-55.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Basak, B. B., Jat, R. S., Gajbhiye, N. A., Saha, A., &amp; Manivel, P. (2020). Organic nutrient management through manures, microbes and biodynamic preparation improves yield and quality of Kalmegh (Andrograghispaniculata), and soil properties. Journal of Plant Nutrition, 43(4), 548-562.</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Bhat, S.A.; Bashir, O.; Ul Haq, S.A.; Amin, T.; Rafiq, A.; Ali, M.; Américo-Pinheiro, J.H.P.; Sher, F. Phytoremediation of heavy metals in soil and water: An eco-friendly, sustainable and multidisciplinary approach. </w:t>
      </w:r>
      <w:r w:rsidRPr="001A7C77">
        <w:rPr>
          <w:rFonts w:ascii="Times New Roman" w:eastAsia="Times New Roman" w:hAnsi="Times New Roman" w:cs="Times New Roman"/>
          <w:i/>
          <w:color w:val="222222"/>
          <w:sz w:val="24"/>
          <w:szCs w:val="24"/>
        </w:rPr>
        <w:t>Chemosphere</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2022</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303</w:t>
      </w:r>
      <w:r w:rsidRPr="001A7C77">
        <w:rPr>
          <w:rFonts w:ascii="Times New Roman" w:eastAsia="Times New Roman" w:hAnsi="Times New Roman" w:cs="Times New Roman"/>
          <w:color w:val="222222"/>
          <w:sz w:val="24"/>
          <w:szCs w:val="24"/>
        </w:rPr>
        <w:t xml:space="preserve">, 134788. </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Cavelius, P.; Engelhart-straub, S.; Mehlmer, N.; Lercher, J.; Awad, D.; Bru, T. The potential of biofuels from first to fourth generation. </w:t>
      </w:r>
      <w:r w:rsidRPr="001A7C77">
        <w:rPr>
          <w:rFonts w:ascii="Times New Roman" w:eastAsia="Times New Roman" w:hAnsi="Times New Roman" w:cs="Times New Roman"/>
          <w:i/>
          <w:color w:val="222222"/>
          <w:sz w:val="24"/>
          <w:szCs w:val="24"/>
          <w:highlight w:val="white"/>
        </w:rPr>
        <w:t>PLoS Biol.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21</w:t>
      </w:r>
      <w:r w:rsidRPr="001A7C77">
        <w:rPr>
          <w:rFonts w:ascii="Times New Roman" w:eastAsia="Times New Roman" w:hAnsi="Times New Roman" w:cs="Times New Roman"/>
          <w:color w:val="222222"/>
          <w:sz w:val="24"/>
          <w:szCs w:val="24"/>
          <w:highlight w:val="white"/>
        </w:rPr>
        <w:t>, e3002063.</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highlight w:val="white"/>
        </w:rPr>
        <w:t xml:space="preserve">Cristaldi, A.; Oliveri Conti, G.; Cosentino, S.L.; Mauromicale, G.; Copat, C.; Grasso, A.; Zuccarello, P.; Fiore, M.; Restuccia, C.; Ferrante, M. Phytoremediation potential of </w:t>
      </w:r>
      <w:r w:rsidRPr="001A7C77">
        <w:rPr>
          <w:rFonts w:ascii="Times New Roman" w:eastAsia="Times New Roman" w:hAnsi="Times New Roman" w:cs="Times New Roman"/>
          <w:color w:val="222222"/>
          <w:sz w:val="24"/>
          <w:szCs w:val="24"/>
          <w:highlight w:val="white"/>
        </w:rPr>
        <w:lastRenderedPageBreak/>
        <w:t>Arundo donax (Giant Reed) in contaminated soil by heavy metals. </w:t>
      </w:r>
      <w:r w:rsidRPr="001A7C77">
        <w:rPr>
          <w:rFonts w:ascii="Times New Roman" w:eastAsia="Times New Roman" w:hAnsi="Times New Roman" w:cs="Times New Roman"/>
          <w:i/>
          <w:color w:val="222222"/>
          <w:sz w:val="24"/>
          <w:szCs w:val="24"/>
          <w:highlight w:val="white"/>
        </w:rPr>
        <w:t>Environ. Res.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185</w:t>
      </w:r>
      <w:r w:rsidRPr="001A7C77">
        <w:rPr>
          <w:rFonts w:ascii="Times New Roman" w:eastAsia="Times New Roman" w:hAnsi="Times New Roman" w:cs="Times New Roman"/>
          <w:color w:val="222222"/>
          <w:sz w:val="24"/>
          <w:szCs w:val="24"/>
          <w:highlight w:val="white"/>
        </w:rPr>
        <w:t>, 109427.</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De Bari, I.; Liuzzi, F.; Ambrico, A.; Trupo, M. Arundo donax refining to second generation bioethanol and furfural. </w:t>
      </w:r>
      <w:r w:rsidRPr="001A7C77">
        <w:rPr>
          <w:rFonts w:ascii="Times New Roman" w:eastAsia="Times New Roman" w:hAnsi="Times New Roman" w:cs="Times New Roman"/>
          <w:i/>
          <w:color w:val="222222"/>
          <w:sz w:val="24"/>
          <w:szCs w:val="24"/>
          <w:highlight w:val="white"/>
        </w:rPr>
        <w:t>Processes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2020</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8</w:t>
      </w:r>
      <w:r w:rsidRPr="001A7C77">
        <w:rPr>
          <w:rFonts w:ascii="Times New Roman" w:eastAsia="Times New Roman" w:hAnsi="Times New Roman" w:cs="Times New Roman"/>
          <w:color w:val="222222"/>
          <w:sz w:val="24"/>
          <w:szCs w:val="24"/>
          <w:highlight w:val="white"/>
        </w:rPr>
        <w:t>, 1591.</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Dhaliwal, S.S.; Singh, J.; Taneja, P.K.; Mandal, A. Remediation techniques for removal of heavy metals from the soil contaminated through different sources: A review. </w:t>
      </w:r>
      <w:r w:rsidRPr="001A7C77">
        <w:rPr>
          <w:rFonts w:ascii="Times New Roman" w:eastAsia="Times New Roman" w:hAnsi="Times New Roman" w:cs="Times New Roman"/>
          <w:i/>
          <w:color w:val="222222"/>
          <w:sz w:val="24"/>
          <w:szCs w:val="24"/>
        </w:rPr>
        <w:t>Environ. Sci. Pollut. Res.</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b/>
          <w:color w:val="222222"/>
          <w:sz w:val="24"/>
          <w:szCs w:val="24"/>
        </w:rPr>
        <w:t>2020</w:t>
      </w:r>
      <w:r w:rsidRPr="001A7C77">
        <w:rPr>
          <w:rFonts w:ascii="Times New Roman" w:eastAsia="Times New Roman" w:hAnsi="Times New Roman" w:cs="Times New Roman"/>
          <w:color w:val="222222"/>
          <w:sz w:val="24"/>
          <w:szCs w:val="24"/>
        </w:rPr>
        <w:t>, </w:t>
      </w:r>
      <w:r w:rsidRPr="001A7C77">
        <w:rPr>
          <w:rFonts w:ascii="Times New Roman" w:eastAsia="Times New Roman" w:hAnsi="Times New Roman" w:cs="Times New Roman"/>
          <w:i/>
          <w:color w:val="222222"/>
          <w:sz w:val="24"/>
          <w:szCs w:val="24"/>
        </w:rPr>
        <w:t>27</w:t>
      </w:r>
      <w:r w:rsidRPr="001A7C77">
        <w:rPr>
          <w:rFonts w:ascii="Times New Roman" w:eastAsia="Times New Roman" w:hAnsi="Times New Roman" w:cs="Times New Roman"/>
          <w:color w:val="222222"/>
          <w:sz w:val="24"/>
          <w:szCs w:val="24"/>
        </w:rPr>
        <w:t xml:space="preserve">, 1319–1333. </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Ewunie, G.A.; Morken, J.; Lekang, O.I.; Yigezu, Z.D. Factors affecting the potential of </w:t>
      </w:r>
      <w:r w:rsidRPr="001A7C77">
        <w:rPr>
          <w:rFonts w:ascii="Times New Roman" w:eastAsia="Times New Roman" w:hAnsi="Times New Roman" w:cs="Times New Roman"/>
          <w:i/>
          <w:color w:val="222222"/>
          <w:sz w:val="24"/>
          <w:szCs w:val="24"/>
          <w:highlight w:val="white"/>
        </w:rPr>
        <w:t>Jatropha curcas</w:t>
      </w:r>
      <w:r w:rsidRPr="001A7C77">
        <w:rPr>
          <w:rFonts w:ascii="Times New Roman" w:eastAsia="Times New Roman" w:hAnsi="Times New Roman" w:cs="Times New Roman"/>
          <w:color w:val="222222"/>
          <w:sz w:val="24"/>
          <w:szCs w:val="24"/>
          <w:highlight w:val="white"/>
        </w:rPr>
        <w:t> for sustainable biodiesel production: A critical review. </w:t>
      </w:r>
      <w:r w:rsidRPr="001A7C77">
        <w:rPr>
          <w:rFonts w:ascii="Times New Roman" w:eastAsia="Times New Roman" w:hAnsi="Times New Roman" w:cs="Times New Roman"/>
          <w:i/>
          <w:color w:val="222222"/>
          <w:sz w:val="24"/>
          <w:szCs w:val="24"/>
          <w:highlight w:val="white"/>
        </w:rPr>
        <w:t>Renew. Sustain. Energy Rev.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137</w:t>
      </w:r>
      <w:r w:rsidRPr="001A7C77">
        <w:rPr>
          <w:rFonts w:ascii="Times New Roman" w:eastAsia="Times New Roman" w:hAnsi="Times New Roman" w:cs="Times New Roman"/>
          <w:color w:val="222222"/>
          <w:sz w:val="24"/>
          <w:szCs w:val="24"/>
          <w:highlight w:val="white"/>
        </w:rPr>
        <w:t>, 110500.</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Guidi Nissim, W.; Castiglione, S.; Guarino, F.; Pastore, M.C.; Labra, M. Beyond Cleansing: Ecosystem Services Related to Phytoremediation. </w:t>
      </w:r>
      <w:r w:rsidRPr="001A7C77">
        <w:rPr>
          <w:rFonts w:ascii="Times New Roman" w:eastAsia="Times New Roman" w:hAnsi="Times New Roman" w:cs="Times New Roman"/>
          <w:i/>
          <w:color w:val="222222"/>
          <w:sz w:val="24"/>
          <w:szCs w:val="24"/>
          <w:highlight w:val="white"/>
        </w:rPr>
        <w:t>Plants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12</w:t>
      </w:r>
      <w:r w:rsidRPr="001A7C77">
        <w:rPr>
          <w:rFonts w:ascii="Times New Roman" w:eastAsia="Times New Roman" w:hAnsi="Times New Roman" w:cs="Times New Roman"/>
          <w:color w:val="222222"/>
          <w:sz w:val="24"/>
          <w:szCs w:val="24"/>
          <w:highlight w:val="white"/>
        </w:rPr>
        <w:t>, 1031.</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Hafshajani, E.J.; Hoodaji, M.; Ghanati, F.; Hosseini, Y.; Alipour, V. The Effect of Magnetized Water on the Absorption of Cadmium Using Synthetic Effluents by </w:t>
      </w:r>
      <w:r w:rsidRPr="001A7C77">
        <w:rPr>
          <w:rFonts w:ascii="Times New Roman" w:eastAsia="Times New Roman" w:hAnsi="Times New Roman" w:cs="Times New Roman"/>
          <w:i/>
          <w:color w:val="222222"/>
          <w:sz w:val="24"/>
          <w:szCs w:val="24"/>
          <w:highlight w:val="white"/>
        </w:rPr>
        <w:t>Lantana camara</w:t>
      </w:r>
      <w:r w:rsidRPr="001A7C77">
        <w:rPr>
          <w:rFonts w:ascii="Times New Roman" w:eastAsia="Times New Roman" w:hAnsi="Times New Roman" w:cs="Times New Roman"/>
          <w:color w:val="222222"/>
          <w:sz w:val="24"/>
          <w:szCs w:val="24"/>
          <w:highlight w:val="white"/>
        </w:rPr>
        <w:t> Species. </w:t>
      </w:r>
      <w:r w:rsidRPr="001A7C77">
        <w:rPr>
          <w:rFonts w:ascii="Times New Roman" w:eastAsia="Times New Roman" w:hAnsi="Times New Roman" w:cs="Times New Roman"/>
          <w:i/>
          <w:color w:val="222222"/>
          <w:sz w:val="24"/>
          <w:szCs w:val="24"/>
          <w:highlight w:val="white"/>
        </w:rPr>
        <w:t>J. Health Sci. Surveill. Syst.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10</w:t>
      </w:r>
      <w:r w:rsidRPr="001A7C77">
        <w:rPr>
          <w:rFonts w:ascii="Times New Roman" w:eastAsia="Times New Roman" w:hAnsi="Times New Roman" w:cs="Times New Roman"/>
          <w:color w:val="222222"/>
          <w:sz w:val="24"/>
          <w:szCs w:val="24"/>
          <w:highlight w:val="white"/>
        </w:rPr>
        <w:t>, 408–419.</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Hoang, H.G.; Chiang, C.F.; Lin, C.; Wu, C.Y.; Lee, C.W.; Cheruiyot, N.K.; Tran, H.T.; Bui, X.T. Human health risk simulation and assessment of heavy metal contamination in a river affected by industrial activities. </w:t>
      </w:r>
      <w:r w:rsidRPr="001A7C77">
        <w:rPr>
          <w:rFonts w:ascii="Times New Roman" w:eastAsia="Times New Roman" w:hAnsi="Times New Roman" w:cs="Times New Roman"/>
          <w:i/>
          <w:color w:val="222222"/>
          <w:sz w:val="24"/>
          <w:szCs w:val="24"/>
          <w:highlight w:val="white"/>
        </w:rPr>
        <w:t>Environ. Pollut.</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285</w:t>
      </w:r>
      <w:r w:rsidRPr="001A7C77">
        <w:rPr>
          <w:rFonts w:ascii="Times New Roman" w:eastAsia="Times New Roman" w:hAnsi="Times New Roman" w:cs="Times New Roman"/>
          <w:color w:val="222222"/>
          <w:sz w:val="24"/>
          <w:szCs w:val="24"/>
          <w:highlight w:val="white"/>
        </w:rPr>
        <w:t>, 117414.</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Ibrahimpašić, J.; Jogić, V.; Džaferović, A.; Makić, H.; Toromanović, M.; Dedić, S. The potential of corn. </w:t>
      </w:r>
      <w:r w:rsidRPr="001A7C77">
        <w:rPr>
          <w:rFonts w:ascii="Times New Roman" w:eastAsia="Times New Roman" w:hAnsi="Times New Roman" w:cs="Times New Roman"/>
          <w:i/>
          <w:color w:val="222222"/>
          <w:sz w:val="24"/>
          <w:szCs w:val="24"/>
          <w:highlight w:val="white"/>
        </w:rPr>
        <w:t>Technol. Acta</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31–38.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Ionata, E.; Caputo, E.; Mandrich, L.; Marcolongo, L. Moving towards Biofuels and High-Value Products through Phytoremediation and Biocatalytic Processes. </w:t>
      </w:r>
      <w:r w:rsidRPr="001A7C77">
        <w:rPr>
          <w:rFonts w:ascii="Times New Roman" w:eastAsia="Times New Roman" w:hAnsi="Times New Roman" w:cs="Times New Roman"/>
          <w:i/>
          <w:color w:val="222222"/>
          <w:sz w:val="24"/>
          <w:szCs w:val="24"/>
          <w:highlight w:val="white"/>
        </w:rPr>
        <w:t>Catalysts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14</w:t>
      </w:r>
      <w:r w:rsidRPr="001A7C77">
        <w:rPr>
          <w:rFonts w:ascii="Times New Roman" w:eastAsia="Times New Roman" w:hAnsi="Times New Roman" w:cs="Times New Roman"/>
          <w:color w:val="222222"/>
          <w:sz w:val="24"/>
          <w:szCs w:val="24"/>
          <w:highlight w:val="white"/>
        </w:rPr>
        <w:t>, 118.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Jabborova, Dilfuza, Hua Ma, Sonoko Dorothea BellingrathKimura, and Stephan Wirth. "Impacts of biochar on basil (Ocimumbasilicum) growth, root morphological traits, plant biochemical and physiological properties and soil enzymatic activities." Scientia Horticulturae 290 (2021): 110518.</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Jadhav, Chitrarekha A., Dattaprasad N. Vikhe, and R. S. Jadhav. "Global and domestic market of herbal medicines: A review." Research Journal of Science and Technology 12, no. 4 (2020): 327-330.</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Kundu, C. K., Anand, N. R., Banerjee, H., Devi, N. M., Gunri, S. K., Nayak, L., ... &amp; De, S. K. (2023). Growth, yield and quality of medicinal plant Chia (Salvia hispanica) as influenced by planting methods and density. The Indian Journal of Agricultural Sciences, 93(9), 991-996.</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Learning, X.; Premkumar, G. </w:t>
      </w:r>
      <w:r w:rsidRPr="001A7C77">
        <w:rPr>
          <w:rFonts w:ascii="Times New Roman" w:eastAsia="Times New Roman" w:hAnsi="Times New Roman" w:cs="Times New Roman"/>
          <w:i/>
          <w:color w:val="222222"/>
          <w:sz w:val="24"/>
          <w:szCs w:val="24"/>
          <w:highlight w:val="white"/>
        </w:rPr>
        <w:t>Bioenergy Crops A Sustainable Means of Phytoremediation</w:t>
      </w:r>
      <w:r w:rsidRPr="001A7C77">
        <w:rPr>
          <w:rFonts w:ascii="Times New Roman" w:eastAsia="Times New Roman" w:hAnsi="Times New Roman" w:cs="Times New Roman"/>
          <w:color w:val="222222"/>
          <w:sz w:val="24"/>
          <w:szCs w:val="24"/>
          <w:highlight w:val="white"/>
        </w:rPr>
        <w:t>; CRC Press: Boca Raton, FL, USA, 2022. </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Li, J.; Leng, Z.; Wu, Y.; Du, Y.; Dai, Z.; Biswas, A.; Zheng, X.; Li, G.; Mahmoud, E.K.; Jia, H.; et al. Interactions between invasive plants and heavy metal stresses: A review. </w:t>
      </w:r>
      <w:r w:rsidRPr="001A7C77">
        <w:rPr>
          <w:rFonts w:ascii="Times New Roman" w:eastAsia="Times New Roman" w:hAnsi="Times New Roman" w:cs="Times New Roman"/>
          <w:i/>
          <w:color w:val="222222"/>
          <w:sz w:val="24"/>
          <w:szCs w:val="24"/>
          <w:highlight w:val="white"/>
        </w:rPr>
        <w:t>J. Plant Ecol.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15</w:t>
      </w:r>
      <w:r w:rsidRPr="001A7C77">
        <w:rPr>
          <w:rFonts w:ascii="Times New Roman" w:eastAsia="Times New Roman" w:hAnsi="Times New Roman" w:cs="Times New Roman"/>
          <w:color w:val="222222"/>
          <w:sz w:val="24"/>
          <w:szCs w:val="24"/>
          <w:highlight w:val="white"/>
        </w:rPr>
        <w:t>, 429–436.</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Liao, Chang, Qiuxiang Tian, and Feng Liu. "Nitrogen availability regulates deep soil priming effect by changing microbial metabolic efficiency in a subtropical forest." Journal of Forestry Research 32, no. 2 (2021): 713-723.</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Malabadi, Ravindra B., Kiran P. Kolkar, Raju K. Chalannavar, Manohara Acharya, and Bhagyavana S. Mudigoudra. "Industrial Cannabis sativa: Hemp-Biochar-Applications and Disadvantages." World Journal of Advanced Research and Reviews 20, no. 01 (2023): 371-383.</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lastRenderedPageBreak/>
        <w:t>Maurya, A.; Sharma, D.; Partap, M.; Kumar, R.; Bhargava, B. Microbially-assisted phytoremediation toward air pollutants: Current trends and future directions. </w:t>
      </w:r>
      <w:r w:rsidRPr="001A7C77">
        <w:rPr>
          <w:rFonts w:ascii="Times New Roman" w:eastAsia="Times New Roman" w:hAnsi="Times New Roman" w:cs="Times New Roman"/>
          <w:i/>
          <w:color w:val="222222"/>
          <w:sz w:val="24"/>
          <w:szCs w:val="24"/>
          <w:highlight w:val="white"/>
        </w:rPr>
        <w:t>Environ. Technol. Innov.</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31</w:t>
      </w:r>
      <w:r w:rsidRPr="001A7C77">
        <w:rPr>
          <w:rFonts w:ascii="Times New Roman" w:eastAsia="Times New Roman" w:hAnsi="Times New Roman" w:cs="Times New Roman"/>
          <w:color w:val="222222"/>
          <w:sz w:val="24"/>
          <w:szCs w:val="24"/>
          <w:highlight w:val="white"/>
        </w:rPr>
        <w:t>, 103140.</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Meena, Bhanu Raj, Deepali Chittora, Shivangi Mittholiya, and Kanika Sharma. "Herbal bio-formulation: an effective mean to control Alterneriasolani." Plant Archives (09725210) 20, no. 2 (2020).</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Nigam, Nidhi, Puja Khare, Mohd Ahsan, Vineet Yadav, Karuna Shanker, Raghavendra Pratap Singh, Versha Pandey et al. "Biochar amendment reduced the risk associated with metal uptake and improved metabolite content in medicinal herbs." Physiologia Plantarum 173, no. 1 (2021): 321-339.</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Ozyigit, Ibrahim Ilker, Ilhan Dogan, AsliHocaoglu-Ozyigit, BestenurYalcin, Aysegul Erdogan, Ibrahim Ertugrul Yalcin, Evren Cabi, and Yilmaz Kaya. "Production of secondary metabolites using tissue culture-based biotechnological applications." Frontiers in Plant Science 14 (2023): 1132555.</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Pinto, Ana Paula, Jorge MS Faria, A. V. Dordio, and AJ Palace Carvalho. "Organic farming–A sustainable option to reduce soil degradation." Agroecological approaches for sustainable soil management (2023): 83-143.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Prakash, Jai, DilfuzaEgamberdieva, and Naveen Kumar Arora. "A Novel Bacillus safensis-Based Formulation along with Mycorrhiza Inoculation for Controlling Alternaria alternata and Simultaneously Improving Growth, Nutrient Uptake, and Steviol Glycosides in Stevia rebaudiana under Field Conditions." Plants 11, no. 14 (2022): 1857.</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Rahman, S.U.; Yasin, G.; Nawaz, M.F.; Cheng, H.; Azhar, M.F.; Riaz, L.; Javed, A.; Li, Y. Evaluation of heavy metal phytoremediation potential of six tree species of Faisalabad city of Pakistan during summer and winter seasons. </w:t>
      </w:r>
      <w:r w:rsidRPr="001A7C77">
        <w:rPr>
          <w:rFonts w:ascii="Times New Roman" w:eastAsia="Times New Roman" w:hAnsi="Times New Roman" w:cs="Times New Roman"/>
          <w:i/>
          <w:color w:val="222222"/>
          <w:sz w:val="24"/>
          <w:szCs w:val="24"/>
          <w:highlight w:val="white"/>
        </w:rPr>
        <w:t>J. Environ.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2022</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320</w:t>
      </w:r>
      <w:r w:rsidRPr="001A7C77">
        <w:rPr>
          <w:rFonts w:ascii="Times New Roman" w:eastAsia="Times New Roman" w:hAnsi="Times New Roman" w:cs="Times New Roman"/>
          <w:color w:val="222222"/>
          <w:sz w:val="24"/>
          <w:szCs w:val="24"/>
          <w:highlight w:val="white"/>
        </w:rPr>
        <w:t>, 115801. </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Rheay, H.T.; Omondi, E.C.; Brewer, C.E. Potential of hemp (</w:t>
      </w:r>
      <w:r w:rsidRPr="001A7C77">
        <w:rPr>
          <w:rFonts w:ascii="Times New Roman" w:eastAsia="Times New Roman" w:hAnsi="Times New Roman" w:cs="Times New Roman"/>
          <w:i/>
          <w:color w:val="222222"/>
          <w:sz w:val="24"/>
          <w:szCs w:val="24"/>
          <w:highlight w:val="white"/>
        </w:rPr>
        <w:t>Cannabis sativa</w:t>
      </w:r>
      <w:r w:rsidRPr="001A7C77">
        <w:rPr>
          <w:rFonts w:ascii="Times New Roman" w:eastAsia="Times New Roman" w:hAnsi="Times New Roman" w:cs="Times New Roman"/>
          <w:color w:val="222222"/>
          <w:sz w:val="24"/>
          <w:szCs w:val="24"/>
          <w:highlight w:val="white"/>
        </w:rPr>
        <w:t> L.) for paired phytoremediation and bioenergy production.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525–536.</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rPr>
      </w:pPr>
      <w:r w:rsidRPr="001A7C77">
        <w:rPr>
          <w:rFonts w:ascii="Times New Roman" w:eastAsia="Times New Roman" w:hAnsi="Times New Roman" w:cs="Times New Roman"/>
          <w:color w:val="222222"/>
          <w:sz w:val="24"/>
          <w:szCs w:val="24"/>
        </w:rPr>
        <w:t>Riaz, U.; Athar, T.; Mustafa, U.; Iqbal, R. Economic feasibility of phytoremediation. In </w:t>
      </w:r>
      <w:r w:rsidRPr="001A7C77">
        <w:rPr>
          <w:rFonts w:ascii="Times New Roman" w:eastAsia="Times New Roman" w:hAnsi="Times New Roman" w:cs="Times New Roman"/>
          <w:i/>
          <w:color w:val="222222"/>
          <w:sz w:val="24"/>
          <w:szCs w:val="24"/>
        </w:rPr>
        <w:t>Phytoremediation</w:t>
      </w:r>
      <w:r w:rsidRPr="001A7C77">
        <w:rPr>
          <w:rFonts w:ascii="Times New Roman" w:eastAsia="Times New Roman" w:hAnsi="Times New Roman" w:cs="Times New Roman"/>
          <w:color w:val="222222"/>
          <w:sz w:val="24"/>
          <w:szCs w:val="24"/>
        </w:rPr>
        <w:t xml:space="preserve">; Academic Press: Cambridge, MA, USA, 2022.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J., Kumar, R., Choudhary A.K., Shilpa, Rathore, S.,(2021) . Agricultural diversification through medicinal and aromatic crops – A review, Indian Journal of Agronomy,66 :S73-S83</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 xml:space="preserve">Singh, P. A., Sood, A., &amp; Baldi, A. (2021). Determining constraints in medicinal plants adoption: A model geospatial study in the Indian state of Punjab. Journal of Applied Research on Medicinal and Aromatic Plants, 25, 100342.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Singh, Preet Amol, Neha Bajwa, Sampath Chinnam, Arun Chandan, and Ashish Baldi. "An overview of some important deliberations to promote medicinal plants cultivation." Journal of Applied Research on Medicinal and Aromatic Plants 31 (2022): 100400.</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Sreenikethanam, Arathi, Subhisha Raj, PoornachandarGugulothu, and Amit K. Bajhaiya. "Genetic engineering of microalgae for secondary metabolite production: Recent developments, challenges, and future prospects." Frontiers in Bioengineering and Biotechnology 10 (2022): 836056.</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Sundarrajan, Priya, and LekhaBhagtaney. "Traditional Medicinal Plants as Bioresources in Health Security." In Ethnic Knowledge and Perspectives of Medicinal Plants, pp. 53-75. Apple Academic Press, 2024.</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lastRenderedPageBreak/>
        <w:t>Takase, M.; Kipkoech, R.; Essandoh, P.K. A comprehensive review of energy scenario and sustainable energy in Kenya. </w:t>
      </w:r>
      <w:r w:rsidRPr="001A7C77">
        <w:rPr>
          <w:rFonts w:ascii="Times New Roman" w:eastAsia="Times New Roman" w:hAnsi="Times New Roman" w:cs="Times New Roman"/>
          <w:i/>
          <w:color w:val="222222"/>
          <w:sz w:val="24"/>
          <w:szCs w:val="24"/>
          <w:highlight w:val="white"/>
        </w:rPr>
        <w:t>Fuel Commun.</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7</w:t>
      </w:r>
      <w:r w:rsidRPr="001A7C77">
        <w:rPr>
          <w:rFonts w:ascii="Times New Roman" w:eastAsia="Times New Roman" w:hAnsi="Times New Roman" w:cs="Times New Roman"/>
          <w:color w:val="222222"/>
          <w:sz w:val="24"/>
          <w:szCs w:val="24"/>
          <w:highlight w:val="white"/>
        </w:rPr>
        <w:t>, 100015.</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Tavali, Ismail Emrah. "Short-term effect of biochar on the improvement of calcareous soil biological properties and marjoram (Origanum major ana L.) growth under greenhouse conditions in a Mediterranean climate." NotulaeBotanicaeHortiAgrobotanici Cluj-Napoca 50, no. 2 (2022).</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Thakur, Meenakshi, and Rakesh Kumar. "Mulching: Boosting crop productivity and improving soil environment in herbal plants." Journal of Applied Research on Medicinal and Aromatic Plants 20 (2021): 100287.</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Tripathi, Priyanka, Kashyap, and Shipra Shah. "Effect of organic amendments on growth and yield attributes of medicinal and aromatic plants under peach-based agroforestry system in the mid-hills of the Western Himalayas." Forests, Trees and Livelihoods 29, no. 4 (2020): 222-237.</w:t>
      </w:r>
    </w:p>
    <w:p w:rsidR="00BF10D0" w:rsidRPr="001A7C77" w:rsidRDefault="006B0B99" w:rsidP="001A7C77">
      <w:pPr>
        <w:pStyle w:val="ListParagraph"/>
        <w:numPr>
          <w:ilvl w:val="0"/>
          <w:numId w:val="1"/>
        </w:numPr>
        <w:spacing w:before="24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color w:val="222222"/>
          <w:sz w:val="24"/>
          <w:szCs w:val="24"/>
          <w:highlight w:val="white"/>
        </w:rPr>
        <w:t>Tripathi, S.; Sharma, P.; Purchase, D.; Chandra, R. Distillery wastewater detoxification and management through phytoremediation employing </w:t>
      </w:r>
      <w:r w:rsidRPr="001A7C77">
        <w:rPr>
          <w:rFonts w:ascii="Times New Roman" w:eastAsia="Times New Roman" w:hAnsi="Times New Roman" w:cs="Times New Roman"/>
          <w:i/>
          <w:color w:val="222222"/>
          <w:sz w:val="24"/>
          <w:szCs w:val="24"/>
          <w:highlight w:val="white"/>
        </w:rPr>
        <w:t>Ricinus communis</w:t>
      </w:r>
      <w:r w:rsidRPr="001A7C77">
        <w:rPr>
          <w:rFonts w:ascii="Times New Roman" w:eastAsia="Times New Roman" w:hAnsi="Times New Roman" w:cs="Times New Roman"/>
          <w:color w:val="222222"/>
          <w:sz w:val="24"/>
          <w:szCs w:val="24"/>
          <w:highlight w:val="white"/>
        </w:rPr>
        <w:t> L. </w:t>
      </w:r>
      <w:r w:rsidRPr="001A7C77">
        <w:rPr>
          <w:rFonts w:ascii="Times New Roman" w:eastAsia="Times New Roman" w:hAnsi="Times New Roman" w:cs="Times New Roman"/>
          <w:i/>
          <w:color w:val="222222"/>
          <w:sz w:val="24"/>
          <w:szCs w:val="24"/>
          <w:highlight w:val="white"/>
        </w:rPr>
        <w:t>Bioresour. Technol.</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333</w:t>
      </w:r>
      <w:r w:rsidRPr="001A7C77">
        <w:rPr>
          <w:rFonts w:ascii="Times New Roman" w:eastAsia="Times New Roman" w:hAnsi="Times New Roman" w:cs="Times New Roman"/>
          <w:color w:val="222222"/>
          <w:sz w:val="24"/>
          <w:szCs w:val="24"/>
          <w:highlight w:val="white"/>
        </w:rPr>
        <w:t>, 125192.</w:t>
      </w:r>
    </w:p>
    <w:p w:rsidR="00BF10D0" w:rsidRPr="001A7C77" w:rsidRDefault="006B0B99" w:rsidP="001A7C77">
      <w:pPr>
        <w:pStyle w:val="ListParagraph"/>
        <w:numPr>
          <w:ilvl w:val="0"/>
          <w:numId w:val="1"/>
        </w:numPr>
        <w:shd w:val="clear" w:color="auto" w:fill="FFFFFF"/>
        <w:spacing w:before="240" w:after="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Vera, I.; Hoefnagels, R.; Junginger, M. Supply potential of lignocellulosic energy crops grown on marginal land and greenhouse gas footprint of advanced A spatially explicit assessment under the sustainability criteria of the Renewable Energy Directive Recast. </w:t>
      </w:r>
      <w:r w:rsidRPr="001A7C77">
        <w:rPr>
          <w:rFonts w:ascii="Times New Roman" w:eastAsia="Times New Roman" w:hAnsi="Times New Roman" w:cs="Times New Roman"/>
          <w:i/>
          <w:color w:val="222222"/>
          <w:sz w:val="24"/>
          <w:szCs w:val="24"/>
          <w:highlight w:val="white"/>
        </w:rPr>
        <w:t>GCB Bioenergy</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13</w:t>
      </w:r>
      <w:r w:rsidRPr="001A7C77">
        <w:rPr>
          <w:rFonts w:ascii="Times New Roman" w:eastAsia="Times New Roman" w:hAnsi="Times New Roman" w:cs="Times New Roman"/>
          <w:color w:val="222222"/>
          <w:sz w:val="24"/>
          <w:szCs w:val="24"/>
          <w:highlight w:val="white"/>
        </w:rPr>
        <w:t>, 1425–1447.</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Wang, L.; Rinklebe, J.; Tack, F.M.G.; Hou, D. A review of green remediation strategies for heavy metal contaminated soil. </w:t>
      </w:r>
      <w:r w:rsidRPr="001A7C77">
        <w:rPr>
          <w:rFonts w:ascii="Times New Roman" w:eastAsia="Times New Roman" w:hAnsi="Times New Roman" w:cs="Times New Roman"/>
          <w:i/>
          <w:color w:val="222222"/>
          <w:sz w:val="24"/>
          <w:szCs w:val="24"/>
          <w:highlight w:val="white"/>
        </w:rPr>
        <w:t>Soil Use Manag.</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37</w:t>
      </w:r>
      <w:r w:rsidRPr="001A7C77">
        <w:rPr>
          <w:rFonts w:ascii="Times New Roman" w:eastAsia="Times New Roman" w:hAnsi="Times New Roman" w:cs="Times New Roman"/>
          <w:color w:val="222222"/>
          <w:sz w:val="24"/>
          <w:szCs w:val="24"/>
          <w:highlight w:val="white"/>
        </w:rPr>
        <w:t>, 936–963. </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Wang, L.; Zhang, Q.; Liao, X.; Li, X.; Zheng, S.; Zhao, F. Phytoexclusion of heavy metals using low heavy metal accumulating cultivars: A green technology. </w:t>
      </w:r>
      <w:r w:rsidRPr="001A7C77">
        <w:rPr>
          <w:rFonts w:ascii="Times New Roman" w:eastAsia="Times New Roman" w:hAnsi="Times New Roman" w:cs="Times New Roman"/>
          <w:i/>
          <w:color w:val="222222"/>
          <w:sz w:val="24"/>
          <w:szCs w:val="24"/>
          <w:highlight w:val="white"/>
        </w:rPr>
        <w:t>J. Hazard. Mater.</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2021</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413</w:t>
      </w:r>
      <w:r w:rsidRPr="001A7C77">
        <w:rPr>
          <w:rFonts w:ascii="Times New Roman" w:eastAsia="Times New Roman" w:hAnsi="Times New Roman" w:cs="Times New Roman"/>
          <w:color w:val="222222"/>
          <w:sz w:val="24"/>
          <w:szCs w:val="24"/>
          <w:highlight w:val="white"/>
        </w:rPr>
        <w:t>, 125427.</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Xu, Q.; Wu, B. Recent Progress on Ex Situ Remediation Technology and Resource Utilization for Heavy Metal Contaminated Sediment. </w:t>
      </w:r>
      <w:r w:rsidRPr="001A7C77">
        <w:rPr>
          <w:rFonts w:ascii="Times New Roman" w:eastAsia="Times New Roman" w:hAnsi="Times New Roman" w:cs="Times New Roman"/>
          <w:i/>
          <w:color w:val="222222"/>
          <w:sz w:val="24"/>
          <w:szCs w:val="24"/>
          <w:highlight w:val="white"/>
        </w:rPr>
        <w:t>Toxics</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2023</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11</w:t>
      </w:r>
      <w:r w:rsidRPr="001A7C77">
        <w:rPr>
          <w:rFonts w:ascii="Times New Roman" w:eastAsia="Times New Roman" w:hAnsi="Times New Roman" w:cs="Times New Roman"/>
          <w:color w:val="222222"/>
          <w:sz w:val="24"/>
          <w:szCs w:val="24"/>
          <w:highlight w:val="white"/>
        </w:rPr>
        <w:t>, 207.</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Yang, Xiaotong, Zhifang Ran, Rui Li, Lei Fang, Jie Zhou, and Lanping Guo. "Effects of biochar on the growth, ginsenoside content, and soil microbial community composition of Panax quinquefolium L." Journal of Soil Science and Plant Nutrition 22, no. 2 (2022): 2670-2686.</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sz w:val="24"/>
          <w:szCs w:val="24"/>
        </w:rPr>
      </w:pPr>
      <w:r w:rsidRPr="001A7C77">
        <w:rPr>
          <w:rFonts w:ascii="Times New Roman" w:eastAsia="Times New Roman" w:hAnsi="Times New Roman" w:cs="Times New Roman"/>
          <w:sz w:val="24"/>
          <w:szCs w:val="24"/>
        </w:rPr>
        <w:t>Zhang, Jingling, Yanli Zhou, Shuhan Wen, Lijie Jia, Ruirui Zhang, Yu Chen, Ping Zhao, and Guangqiang Long. "Biochar improves the yield and quality of Erigeron breviscapus in heavily cadmium-polluted soil." Scientia Horticulturae 321 (2023): 112371.</w:t>
      </w:r>
    </w:p>
    <w:p w:rsidR="00BF10D0" w:rsidRPr="001A7C77" w:rsidRDefault="006B0B99" w:rsidP="001A7C77">
      <w:pPr>
        <w:pStyle w:val="ListParagraph"/>
        <w:numPr>
          <w:ilvl w:val="0"/>
          <w:numId w:val="1"/>
        </w:numPr>
        <w:spacing w:before="280" w:after="280" w:line="240" w:lineRule="auto"/>
        <w:jc w:val="both"/>
        <w:rPr>
          <w:rFonts w:ascii="Times New Roman" w:eastAsia="Times New Roman" w:hAnsi="Times New Roman" w:cs="Times New Roman"/>
          <w:color w:val="222222"/>
          <w:sz w:val="24"/>
          <w:szCs w:val="24"/>
          <w:highlight w:val="white"/>
        </w:rPr>
      </w:pPr>
      <w:r w:rsidRPr="001A7C77">
        <w:rPr>
          <w:rFonts w:ascii="Times New Roman" w:eastAsia="Times New Roman" w:hAnsi="Times New Roman" w:cs="Times New Roman"/>
          <w:color w:val="222222"/>
          <w:sz w:val="24"/>
          <w:szCs w:val="24"/>
          <w:highlight w:val="white"/>
        </w:rPr>
        <w:t>Zheng, X.; Lin, H.; Du, D.; Li, G.; Alam, O.; Cheng, Z.; Liu, X.; Jiang, S.; Li, J. Remediation of heavy metals polluted soil environment: A critical review on biological approaches. </w:t>
      </w:r>
      <w:r w:rsidRPr="001A7C77">
        <w:rPr>
          <w:rFonts w:ascii="Times New Roman" w:eastAsia="Times New Roman" w:hAnsi="Times New Roman" w:cs="Times New Roman"/>
          <w:i/>
          <w:color w:val="222222"/>
          <w:sz w:val="24"/>
          <w:szCs w:val="24"/>
          <w:highlight w:val="white"/>
        </w:rPr>
        <w:t>Ecotoxicol. Environ. Saf.</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b/>
          <w:color w:val="222222"/>
          <w:sz w:val="24"/>
          <w:szCs w:val="24"/>
          <w:highlight w:val="white"/>
        </w:rPr>
        <w:t>2024</w:t>
      </w:r>
      <w:r w:rsidRPr="001A7C77">
        <w:rPr>
          <w:rFonts w:ascii="Times New Roman" w:eastAsia="Times New Roman" w:hAnsi="Times New Roman" w:cs="Times New Roman"/>
          <w:color w:val="222222"/>
          <w:sz w:val="24"/>
          <w:szCs w:val="24"/>
          <w:highlight w:val="white"/>
        </w:rPr>
        <w:t>, </w:t>
      </w:r>
      <w:r w:rsidRPr="001A7C77">
        <w:rPr>
          <w:rFonts w:ascii="Times New Roman" w:eastAsia="Times New Roman" w:hAnsi="Times New Roman" w:cs="Times New Roman"/>
          <w:i/>
          <w:color w:val="222222"/>
          <w:sz w:val="24"/>
          <w:szCs w:val="24"/>
          <w:highlight w:val="white"/>
        </w:rPr>
        <w:t>284</w:t>
      </w:r>
      <w:r w:rsidRPr="001A7C77">
        <w:rPr>
          <w:rFonts w:ascii="Times New Roman" w:eastAsia="Times New Roman" w:hAnsi="Times New Roman" w:cs="Times New Roman"/>
          <w:color w:val="222222"/>
          <w:sz w:val="24"/>
          <w:szCs w:val="24"/>
          <w:highlight w:val="white"/>
        </w:rPr>
        <w:t>, 116883. </w:t>
      </w:r>
    </w:p>
    <w:p w:rsidR="00BF10D0" w:rsidRDefault="00BF10D0">
      <w:pPr>
        <w:spacing w:before="280" w:line="240" w:lineRule="auto"/>
        <w:jc w:val="both"/>
        <w:rPr>
          <w:rFonts w:ascii="Times New Roman" w:eastAsia="Times New Roman" w:hAnsi="Times New Roman" w:cs="Times New Roman"/>
          <w:sz w:val="24"/>
          <w:szCs w:val="24"/>
        </w:rPr>
      </w:pPr>
    </w:p>
    <w:sectPr w:rsidR="00BF10D0" w:rsidSect="00E41FB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855" w:rsidRDefault="00674855" w:rsidP="00AB5F8A">
      <w:pPr>
        <w:spacing w:after="0" w:line="240" w:lineRule="auto"/>
      </w:pPr>
      <w:r>
        <w:separator/>
      </w:r>
    </w:p>
  </w:endnote>
  <w:endnote w:type="continuationSeparator" w:id="1">
    <w:p w:rsidR="00674855" w:rsidRDefault="00674855" w:rsidP="00AB5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AB5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AB5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AB5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855" w:rsidRDefault="00674855" w:rsidP="00AB5F8A">
      <w:pPr>
        <w:spacing w:after="0" w:line="240" w:lineRule="auto"/>
      </w:pPr>
      <w:r>
        <w:separator/>
      </w:r>
    </w:p>
  </w:footnote>
  <w:footnote w:type="continuationSeparator" w:id="1">
    <w:p w:rsidR="00674855" w:rsidRDefault="00674855" w:rsidP="00AB5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E41F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E41F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F8A" w:rsidRDefault="00E41F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640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16A76"/>
    <w:multiLevelType w:val="hybridMultilevel"/>
    <w:tmpl w:val="21E23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F10D0"/>
    <w:rsid w:val="0007340D"/>
    <w:rsid w:val="001A7C77"/>
    <w:rsid w:val="005F63DC"/>
    <w:rsid w:val="00674855"/>
    <w:rsid w:val="006B0B99"/>
    <w:rsid w:val="006E0361"/>
    <w:rsid w:val="00A77D5E"/>
    <w:rsid w:val="00AA049D"/>
    <w:rsid w:val="00AB5F8A"/>
    <w:rsid w:val="00BF10D0"/>
    <w:rsid w:val="00BF50B3"/>
    <w:rsid w:val="00C536D1"/>
    <w:rsid w:val="00CB6F99"/>
    <w:rsid w:val="00CE0F0E"/>
    <w:rsid w:val="00D005E5"/>
    <w:rsid w:val="00DD233F"/>
    <w:rsid w:val="00E41FB3"/>
    <w:rsid w:val="00E95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B3"/>
  </w:style>
  <w:style w:type="paragraph" w:styleId="Heading1">
    <w:name w:val="heading 1"/>
    <w:basedOn w:val="Normal"/>
    <w:next w:val="Normal"/>
    <w:uiPriority w:val="9"/>
    <w:qFormat/>
    <w:rsid w:val="00E41FB3"/>
    <w:pPr>
      <w:keepNext/>
      <w:keepLines/>
      <w:spacing w:before="480" w:after="120"/>
      <w:outlineLvl w:val="0"/>
    </w:pPr>
    <w:rPr>
      <w:b/>
      <w:sz w:val="48"/>
      <w:szCs w:val="48"/>
    </w:rPr>
  </w:style>
  <w:style w:type="paragraph" w:styleId="Heading2">
    <w:name w:val="heading 2"/>
    <w:basedOn w:val="Normal"/>
    <w:next w:val="Normal"/>
    <w:uiPriority w:val="9"/>
    <w:unhideWhenUsed/>
    <w:qFormat/>
    <w:rsid w:val="00E41FB3"/>
    <w:pPr>
      <w:keepNext/>
      <w:keepLines/>
      <w:spacing w:before="360" w:after="80"/>
      <w:outlineLvl w:val="1"/>
    </w:pPr>
    <w:rPr>
      <w:b/>
      <w:sz w:val="36"/>
      <w:szCs w:val="36"/>
    </w:rPr>
  </w:style>
  <w:style w:type="paragraph" w:styleId="Heading3">
    <w:name w:val="heading 3"/>
    <w:basedOn w:val="Normal"/>
    <w:next w:val="Normal"/>
    <w:uiPriority w:val="9"/>
    <w:unhideWhenUsed/>
    <w:qFormat/>
    <w:rsid w:val="00E41FB3"/>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unhideWhenUsed/>
    <w:qFormat/>
    <w:rsid w:val="00E41FB3"/>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rsid w:val="00E41FB3"/>
    <w:pPr>
      <w:keepNext/>
      <w:keepLines/>
      <w:spacing w:before="220" w:after="40"/>
      <w:outlineLvl w:val="4"/>
    </w:pPr>
    <w:rPr>
      <w:b/>
    </w:rPr>
  </w:style>
  <w:style w:type="paragraph" w:styleId="Heading6">
    <w:name w:val="heading 6"/>
    <w:basedOn w:val="Normal"/>
    <w:next w:val="Normal"/>
    <w:uiPriority w:val="9"/>
    <w:semiHidden/>
    <w:unhideWhenUsed/>
    <w:qFormat/>
    <w:rsid w:val="00E41FB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1FB3"/>
    <w:pPr>
      <w:keepNext/>
      <w:keepLines/>
      <w:spacing w:before="480" w:after="120"/>
    </w:pPr>
    <w:rPr>
      <w:b/>
      <w:sz w:val="72"/>
      <w:szCs w:val="72"/>
    </w:rPr>
  </w:style>
  <w:style w:type="paragraph" w:styleId="Subtitle">
    <w:name w:val="Subtitle"/>
    <w:basedOn w:val="Normal"/>
    <w:next w:val="Normal"/>
    <w:uiPriority w:val="11"/>
    <w:qFormat/>
    <w:rsid w:val="00E41FB3"/>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233F"/>
    <w:rPr>
      <w:color w:val="0000FF" w:themeColor="hyperlink"/>
      <w:u w:val="single"/>
    </w:rPr>
  </w:style>
  <w:style w:type="character" w:customStyle="1" w:styleId="UnresolvedMention">
    <w:name w:val="Unresolved Mention"/>
    <w:basedOn w:val="DefaultParagraphFont"/>
    <w:uiPriority w:val="99"/>
    <w:semiHidden/>
    <w:unhideWhenUsed/>
    <w:rsid w:val="00DD233F"/>
    <w:rPr>
      <w:color w:val="605E5C"/>
      <w:shd w:val="clear" w:color="auto" w:fill="E1DFDD"/>
    </w:rPr>
  </w:style>
  <w:style w:type="paragraph" w:styleId="ListParagraph">
    <w:name w:val="List Paragraph"/>
    <w:basedOn w:val="Normal"/>
    <w:uiPriority w:val="34"/>
    <w:qFormat/>
    <w:rsid w:val="001A7C77"/>
    <w:pPr>
      <w:ind w:left="720"/>
      <w:contextualSpacing/>
    </w:pPr>
  </w:style>
  <w:style w:type="paragraph" w:styleId="Header">
    <w:name w:val="header"/>
    <w:basedOn w:val="Normal"/>
    <w:link w:val="HeaderChar"/>
    <w:uiPriority w:val="99"/>
    <w:unhideWhenUsed/>
    <w:rsid w:val="00AB5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F8A"/>
  </w:style>
  <w:style w:type="paragraph" w:styleId="Footer">
    <w:name w:val="footer"/>
    <w:basedOn w:val="Normal"/>
    <w:link w:val="FooterChar"/>
    <w:uiPriority w:val="99"/>
    <w:unhideWhenUsed/>
    <w:rsid w:val="00AB5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F8A"/>
  </w:style>
  <w:style w:type="paragraph" w:styleId="BalloonText">
    <w:name w:val="Balloon Text"/>
    <w:basedOn w:val="Normal"/>
    <w:link w:val="BalloonTextChar"/>
    <w:uiPriority w:val="99"/>
    <w:semiHidden/>
    <w:unhideWhenUsed/>
    <w:rsid w:val="00CB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F288-F9A3-4691-B7F0-7A32A5464C24}" type="doc">
      <dgm:prSet loTypeId="urn:microsoft.com/office/officeart/2005/8/layout/radial5" loCatId="relationship" qsTypeId="urn:microsoft.com/office/officeart/2005/8/quickstyle/simple5" qsCatId="simple" csTypeId="urn:microsoft.com/office/officeart/2005/8/colors/colorful1#1" csCatId="colorful" phldr="1"/>
      <dgm:spPr/>
      <dgm:t>
        <a:bodyPr/>
        <a:lstStyle/>
        <a:p>
          <a:endParaRPr lang="en-US"/>
        </a:p>
      </dgm:t>
    </dgm:pt>
    <dgm:pt modelId="{4BF12CC2-D626-49FE-84F0-5C16F405E0EE}">
      <dgm:prSet phldrT="[Text]" custT="1"/>
      <dgm:spPr/>
      <dgm:t>
        <a:bodyPr/>
        <a:lstStyle/>
        <a:p>
          <a:r>
            <a:rPr lang="en-US" sz="900" b="1"/>
            <a:t>INTEGRATED WEED MANAGEMENT STRATEGIES</a:t>
          </a:r>
        </a:p>
      </dgm:t>
    </dgm:pt>
    <dgm:pt modelId="{7ABEBFEA-659D-4E9B-A355-0671D4DFA3DD}" type="parTrans" cxnId="{73F8BE49-E6F3-4148-86B9-AFC80F74655D}">
      <dgm:prSet/>
      <dgm:spPr/>
      <dgm:t>
        <a:bodyPr/>
        <a:lstStyle/>
        <a:p>
          <a:endParaRPr lang="en-US"/>
        </a:p>
      </dgm:t>
    </dgm:pt>
    <dgm:pt modelId="{EDBFC1C8-A910-435C-9692-A84897898139}" type="sibTrans" cxnId="{73F8BE49-E6F3-4148-86B9-AFC80F74655D}">
      <dgm:prSet/>
      <dgm:spPr/>
      <dgm:t>
        <a:bodyPr/>
        <a:lstStyle/>
        <a:p>
          <a:endParaRPr lang="en-US"/>
        </a:p>
      </dgm:t>
    </dgm:pt>
    <dgm:pt modelId="{89752ADE-6A48-4C98-8100-FAF5BE18EECE}">
      <dgm:prSet phldrT="[Text]"/>
      <dgm:spPr/>
      <dgm:t>
        <a:bodyPr/>
        <a:lstStyle/>
        <a:p>
          <a:r>
            <a:rPr lang="en-US" b="1"/>
            <a:t>STALE SEEDBED TECHNIQUE</a:t>
          </a:r>
        </a:p>
      </dgm:t>
    </dgm:pt>
    <dgm:pt modelId="{67C39E1D-6595-4AD3-9912-BD1B8D739F3C}" type="parTrans" cxnId="{D72FA44C-5038-42EC-83BE-21FB76E740E6}">
      <dgm:prSet/>
      <dgm:spPr/>
      <dgm:t>
        <a:bodyPr/>
        <a:lstStyle/>
        <a:p>
          <a:endParaRPr lang="en-US"/>
        </a:p>
      </dgm:t>
    </dgm:pt>
    <dgm:pt modelId="{2168C02D-B769-48ED-8055-BE9AE1FE8DA3}" type="sibTrans" cxnId="{D72FA44C-5038-42EC-83BE-21FB76E740E6}">
      <dgm:prSet/>
      <dgm:spPr/>
      <dgm:t>
        <a:bodyPr/>
        <a:lstStyle/>
        <a:p>
          <a:endParaRPr lang="en-US"/>
        </a:p>
      </dgm:t>
    </dgm:pt>
    <dgm:pt modelId="{7A3031F6-2282-47D3-9335-853F7013F8B0}">
      <dgm:prSet phldrT="[Text]"/>
      <dgm:spPr/>
      <dgm:t>
        <a:bodyPr/>
        <a:lstStyle/>
        <a:p>
          <a:r>
            <a:rPr lang="en-US" b="1"/>
            <a:t>CROP ROTATION</a:t>
          </a:r>
        </a:p>
      </dgm:t>
    </dgm:pt>
    <dgm:pt modelId="{2AA881BC-B8B4-4685-868A-A7AEEF832790}" type="parTrans" cxnId="{716716B6-3898-4939-909A-F0AF2308CBDE}">
      <dgm:prSet/>
      <dgm:spPr/>
      <dgm:t>
        <a:bodyPr/>
        <a:lstStyle/>
        <a:p>
          <a:endParaRPr lang="en-US"/>
        </a:p>
      </dgm:t>
    </dgm:pt>
    <dgm:pt modelId="{9512A6A4-D752-4FDB-90B0-DB0221998FC4}" type="sibTrans" cxnId="{716716B6-3898-4939-909A-F0AF2308CBDE}">
      <dgm:prSet/>
      <dgm:spPr/>
      <dgm:t>
        <a:bodyPr/>
        <a:lstStyle/>
        <a:p>
          <a:endParaRPr lang="en-US"/>
        </a:p>
      </dgm:t>
    </dgm:pt>
    <dgm:pt modelId="{F29E1E17-602B-444B-AE64-C930FA5928BE}">
      <dgm:prSet phldrT="[Text]"/>
      <dgm:spPr/>
      <dgm:t>
        <a:bodyPr/>
        <a:lstStyle/>
        <a:p>
          <a:r>
            <a:rPr lang="en-US" b="1"/>
            <a:t>PHYTOCHEMICAL APPLICATION</a:t>
          </a:r>
        </a:p>
      </dgm:t>
    </dgm:pt>
    <dgm:pt modelId="{50C5E975-F455-4A8A-B9C0-6E7502AF8047}" type="parTrans" cxnId="{B9C79C32-E41E-4F99-9E4E-9263BEECA553}">
      <dgm:prSet/>
      <dgm:spPr/>
      <dgm:t>
        <a:bodyPr/>
        <a:lstStyle/>
        <a:p>
          <a:endParaRPr lang="en-US"/>
        </a:p>
      </dgm:t>
    </dgm:pt>
    <dgm:pt modelId="{1F214E2B-3CC8-49F4-8327-0C534BC37EA5}" type="sibTrans" cxnId="{B9C79C32-E41E-4F99-9E4E-9263BEECA553}">
      <dgm:prSet/>
      <dgm:spPr/>
      <dgm:t>
        <a:bodyPr/>
        <a:lstStyle/>
        <a:p>
          <a:endParaRPr lang="en-US"/>
        </a:p>
      </dgm:t>
    </dgm:pt>
    <dgm:pt modelId="{188FEB5F-3E78-4B01-9DB3-F1F27807D568}">
      <dgm:prSet/>
      <dgm:spPr/>
      <dgm:t>
        <a:bodyPr/>
        <a:lstStyle/>
        <a:p>
          <a:r>
            <a:rPr lang="en-US" b="1"/>
            <a:t>CROP SOWING TIME &amp; RESIDUE</a:t>
          </a:r>
        </a:p>
      </dgm:t>
    </dgm:pt>
    <dgm:pt modelId="{06802845-0AAD-4DA3-B1AD-A1FD96361BF0}" type="parTrans" cxnId="{F339B081-3027-4515-851B-DE6B98AE25A6}">
      <dgm:prSet/>
      <dgm:spPr/>
      <dgm:t>
        <a:bodyPr/>
        <a:lstStyle/>
        <a:p>
          <a:endParaRPr lang="en-US"/>
        </a:p>
      </dgm:t>
    </dgm:pt>
    <dgm:pt modelId="{8C6A7F90-1709-4380-8896-29F34CBEB75B}" type="sibTrans" cxnId="{F339B081-3027-4515-851B-DE6B98AE25A6}">
      <dgm:prSet/>
      <dgm:spPr/>
      <dgm:t>
        <a:bodyPr/>
        <a:lstStyle/>
        <a:p>
          <a:endParaRPr lang="en-US"/>
        </a:p>
      </dgm:t>
    </dgm:pt>
    <dgm:pt modelId="{B86FB8BE-7DC1-4B3C-B4D2-916024365E1F}">
      <dgm:prSet/>
      <dgm:spPr/>
      <dgm:t>
        <a:bodyPr/>
        <a:lstStyle/>
        <a:p>
          <a:r>
            <a:rPr lang="en-US" b="1"/>
            <a:t>NARROW ROW SPACING</a:t>
          </a:r>
        </a:p>
      </dgm:t>
    </dgm:pt>
    <dgm:pt modelId="{1E97FA09-62A8-46AB-9F66-B43EE421EA98}" type="parTrans" cxnId="{42D63168-1FF1-47A8-95F5-AFB41313F7CE}">
      <dgm:prSet/>
      <dgm:spPr/>
      <dgm:t>
        <a:bodyPr/>
        <a:lstStyle/>
        <a:p>
          <a:endParaRPr lang="en-US"/>
        </a:p>
      </dgm:t>
    </dgm:pt>
    <dgm:pt modelId="{DF843078-B777-4258-9F9B-E376ABE8FE85}" type="sibTrans" cxnId="{42D63168-1FF1-47A8-95F5-AFB41313F7CE}">
      <dgm:prSet/>
      <dgm:spPr/>
      <dgm:t>
        <a:bodyPr/>
        <a:lstStyle/>
        <a:p>
          <a:endParaRPr lang="en-US"/>
        </a:p>
      </dgm:t>
    </dgm:pt>
    <dgm:pt modelId="{DA8A2F98-A3D1-4C6F-BCB8-B9F6026D6FBF}">
      <dgm:prSet/>
      <dgm:spPr/>
      <dgm:t>
        <a:bodyPr/>
        <a:lstStyle/>
        <a:p>
          <a:r>
            <a:rPr lang="en-US" b="1"/>
            <a:t>HIGH SEEDLING RATES</a:t>
          </a:r>
        </a:p>
      </dgm:t>
    </dgm:pt>
    <dgm:pt modelId="{7BB4B57A-E935-4EE1-B42E-6CA06174ECFA}" type="parTrans" cxnId="{503B0A79-0284-4AAD-B5DB-6C8131116E2E}">
      <dgm:prSet/>
      <dgm:spPr/>
      <dgm:t>
        <a:bodyPr/>
        <a:lstStyle/>
        <a:p>
          <a:endParaRPr lang="en-US"/>
        </a:p>
      </dgm:t>
    </dgm:pt>
    <dgm:pt modelId="{46BAD056-005F-499F-83DC-136EC48D3873}" type="sibTrans" cxnId="{503B0A79-0284-4AAD-B5DB-6C8131116E2E}">
      <dgm:prSet/>
      <dgm:spPr/>
      <dgm:t>
        <a:bodyPr/>
        <a:lstStyle/>
        <a:p>
          <a:endParaRPr lang="en-US"/>
        </a:p>
      </dgm:t>
    </dgm:pt>
    <dgm:pt modelId="{4F91C4B7-9AD8-4487-8A45-D71794E42153}">
      <dgm:prSet/>
      <dgm:spPr/>
      <dgm:t>
        <a:bodyPr/>
        <a:lstStyle/>
        <a:p>
          <a:r>
            <a:rPr lang="en-US" b="1"/>
            <a:t>WEED COMPETITIVE CULTIVARS</a:t>
          </a:r>
        </a:p>
      </dgm:t>
    </dgm:pt>
    <dgm:pt modelId="{3CCB822E-9250-4B2E-ADF9-1961767F7B62}" type="parTrans" cxnId="{C2845F5C-9B69-4570-9E4B-CA403200FB06}">
      <dgm:prSet/>
      <dgm:spPr/>
      <dgm:t>
        <a:bodyPr/>
        <a:lstStyle/>
        <a:p>
          <a:endParaRPr lang="en-US"/>
        </a:p>
      </dgm:t>
    </dgm:pt>
    <dgm:pt modelId="{613B7552-EA15-45D2-AE2A-8D1DCC524CDF}" type="sibTrans" cxnId="{C2845F5C-9B69-4570-9E4B-CA403200FB06}">
      <dgm:prSet/>
      <dgm:spPr/>
      <dgm:t>
        <a:bodyPr/>
        <a:lstStyle/>
        <a:p>
          <a:endParaRPr lang="en-US"/>
        </a:p>
      </dgm:t>
    </dgm:pt>
    <dgm:pt modelId="{A5EF2509-11AC-41EF-94BA-276ACFEE75EA}" type="pres">
      <dgm:prSet presAssocID="{07A8F288-F9A3-4691-B7F0-7A32A5464C24}" presName="Name0" presStyleCnt="0">
        <dgm:presLayoutVars>
          <dgm:chMax val="1"/>
          <dgm:dir/>
          <dgm:animLvl val="ctr"/>
          <dgm:resizeHandles val="exact"/>
        </dgm:presLayoutVars>
      </dgm:prSet>
      <dgm:spPr/>
      <dgm:t>
        <a:bodyPr/>
        <a:lstStyle/>
        <a:p>
          <a:endParaRPr lang="en-US"/>
        </a:p>
      </dgm:t>
    </dgm:pt>
    <dgm:pt modelId="{B22AA547-6DA4-4331-B37D-53835D9D55DE}" type="pres">
      <dgm:prSet presAssocID="{4BF12CC2-D626-49FE-84F0-5C16F405E0EE}" presName="centerShape" presStyleLbl="node0" presStyleIdx="0" presStyleCnt="1" custScaleX="104971"/>
      <dgm:spPr/>
      <dgm:t>
        <a:bodyPr/>
        <a:lstStyle/>
        <a:p>
          <a:endParaRPr lang="en-US"/>
        </a:p>
      </dgm:t>
    </dgm:pt>
    <dgm:pt modelId="{4C8F8A1E-4A9D-428B-BEC5-35775772D6F2}" type="pres">
      <dgm:prSet presAssocID="{67C39E1D-6595-4AD3-9912-BD1B8D739F3C}" presName="parTrans" presStyleLbl="sibTrans2D1" presStyleIdx="0" presStyleCnt="7"/>
      <dgm:spPr/>
      <dgm:t>
        <a:bodyPr/>
        <a:lstStyle/>
        <a:p>
          <a:endParaRPr lang="en-US"/>
        </a:p>
      </dgm:t>
    </dgm:pt>
    <dgm:pt modelId="{B1F5EFEB-2B7D-457D-8B7E-4C6CCE237E0D}" type="pres">
      <dgm:prSet presAssocID="{67C39E1D-6595-4AD3-9912-BD1B8D739F3C}" presName="connectorText" presStyleLbl="sibTrans2D1" presStyleIdx="0" presStyleCnt="7"/>
      <dgm:spPr/>
      <dgm:t>
        <a:bodyPr/>
        <a:lstStyle/>
        <a:p>
          <a:endParaRPr lang="en-US"/>
        </a:p>
      </dgm:t>
    </dgm:pt>
    <dgm:pt modelId="{51C07420-89FA-449A-81D6-252B5FF19279}" type="pres">
      <dgm:prSet presAssocID="{89752ADE-6A48-4C98-8100-FAF5BE18EECE}" presName="node" presStyleLbl="node1" presStyleIdx="0" presStyleCnt="7">
        <dgm:presLayoutVars>
          <dgm:bulletEnabled val="1"/>
        </dgm:presLayoutVars>
      </dgm:prSet>
      <dgm:spPr/>
      <dgm:t>
        <a:bodyPr/>
        <a:lstStyle/>
        <a:p>
          <a:endParaRPr lang="en-US"/>
        </a:p>
      </dgm:t>
    </dgm:pt>
    <dgm:pt modelId="{49548A6D-0439-4EBD-A61B-9A6070B1BDA6}" type="pres">
      <dgm:prSet presAssocID="{06802845-0AAD-4DA3-B1AD-A1FD96361BF0}" presName="parTrans" presStyleLbl="sibTrans2D1" presStyleIdx="1" presStyleCnt="7"/>
      <dgm:spPr/>
      <dgm:t>
        <a:bodyPr/>
        <a:lstStyle/>
        <a:p>
          <a:endParaRPr lang="en-US"/>
        </a:p>
      </dgm:t>
    </dgm:pt>
    <dgm:pt modelId="{9F7D1040-755B-4339-B953-FDB9B7EAB919}" type="pres">
      <dgm:prSet presAssocID="{06802845-0AAD-4DA3-B1AD-A1FD96361BF0}" presName="connectorText" presStyleLbl="sibTrans2D1" presStyleIdx="1" presStyleCnt="7"/>
      <dgm:spPr/>
      <dgm:t>
        <a:bodyPr/>
        <a:lstStyle/>
        <a:p>
          <a:endParaRPr lang="en-US"/>
        </a:p>
      </dgm:t>
    </dgm:pt>
    <dgm:pt modelId="{333D4834-C9D7-42FE-BAB2-15C2364A4734}" type="pres">
      <dgm:prSet presAssocID="{188FEB5F-3E78-4B01-9DB3-F1F27807D568}" presName="node" presStyleLbl="node1" presStyleIdx="1" presStyleCnt="7">
        <dgm:presLayoutVars>
          <dgm:bulletEnabled val="1"/>
        </dgm:presLayoutVars>
      </dgm:prSet>
      <dgm:spPr/>
      <dgm:t>
        <a:bodyPr/>
        <a:lstStyle/>
        <a:p>
          <a:endParaRPr lang="en-US"/>
        </a:p>
      </dgm:t>
    </dgm:pt>
    <dgm:pt modelId="{1EE5A900-8C5E-4C4E-BB9A-9D59D228DCD8}" type="pres">
      <dgm:prSet presAssocID="{1E97FA09-62A8-46AB-9F66-B43EE421EA98}" presName="parTrans" presStyleLbl="sibTrans2D1" presStyleIdx="2" presStyleCnt="7"/>
      <dgm:spPr/>
      <dgm:t>
        <a:bodyPr/>
        <a:lstStyle/>
        <a:p>
          <a:endParaRPr lang="en-US"/>
        </a:p>
      </dgm:t>
    </dgm:pt>
    <dgm:pt modelId="{D9CB8603-8289-47A3-8ECD-80A10593F740}" type="pres">
      <dgm:prSet presAssocID="{1E97FA09-62A8-46AB-9F66-B43EE421EA98}" presName="connectorText" presStyleLbl="sibTrans2D1" presStyleIdx="2" presStyleCnt="7"/>
      <dgm:spPr/>
      <dgm:t>
        <a:bodyPr/>
        <a:lstStyle/>
        <a:p>
          <a:endParaRPr lang="en-US"/>
        </a:p>
      </dgm:t>
    </dgm:pt>
    <dgm:pt modelId="{FC245577-E53A-4F5C-BDB1-0A80519080F8}" type="pres">
      <dgm:prSet presAssocID="{B86FB8BE-7DC1-4B3C-B4D2-916024365E1F}" presName="node" presStyleLbl="node1" presStyleIdx="2" presStyleCnt="7">
        <dgm:presLayoutVars>
          <dgm:bulletEnabled val="1"/>
        </dgm:presLayoutVars>
      </dgm:prSet>
      <dgm:spPr/>
      <dgm:t>
        <a:bodyPr/>
        <a:lstStyle/>
        <a:p>
          <a:endParaRPr lang="en-US"/>
        </a:p>
      </dgm:t>
    </dgm:pt>
    <dgm:pt modelId="{C8503194-C2AB-4632-927B-21DF8FAC41C2}" type="pres">
      <dgm:prSet presAssocID="{7BB4B57A-E935-4EE1-B42E-6CA06174ECFA}" presName="parTrans" presStyleLbl="sibTrans2D1" presStyleIdx="3" presStyleCnt="7"/>
      <dgm:spPr/>
      <dgm:t>
        <a:bodyPr/>
        <a:lstStyle/>
        <a:p>
          <a:endParaRPr lang="en-US"/>
        </a:p>
      </dgm:t>
    </dgm:pt>
    <dgm:pt modelId="{228C3643-B2CA-4324-B0A2-9F33633DD6AD}" type="pres">
      <dgm:prSet presAssocID="{7BB4B57A-E935-4EE1-B42E-6CA06174ECFA}" presName="connectorText" presStyleLbl="sibTrans2D1" presStyleIdx="3" presStyleCnt="7"/>
      <dgm:spPr/>
      <dgm:t>
        <a:bodyPr/>
        <a:lstStyle/>
        <a:p>
          <a:endParaRPr lang="en-US"/>
        </a:p>
      </dgm:t>
    </dgm:pt>
    <dgm:pt modelId="{74C589E3-1DD5-4018-8376-9C7EED97B527}" type="pres">
      <dgm:prSet presAssocID="{DA8A2F98-A3D1-4C6F-BCB8-B9F6026D6FBF}" presName="node" presStyleLbl="node1" presStyleIdx="3" presStyleCnt="7">
        <dgm:presLayoutVars>
          <dgm:bulletEnabled val="1"/>
        </dgm:presLayoutVars>
      </dgm:prSet>
      <dgm:spPr/>
      <dgm:t>
        <a:bodyPr/>
        <a:lstStyle/>
        <a:p>
          <a:endParaRPr lang="en-US"/>
        </a:p>
      </dgm:t>
    </dgm:pt>
    <dgm:pt modelId="{CBC23922-7E98-4846-A3F2-BC5EC75B408E}" type="pres">
      <dgm:prSet presAssocID="{3CCB822E-9250-4B2E-ADF9-1961767F7B62}" presName="parTrans" presStyleLbl="sibTrans2D1" presStyleIdx="4" presStyleCnt="7"/>
      <dgm:spPr/>
      <dgm:t>
        <a:bodyPr/>
        <a:lstStyle/>
        <a:p>
          <a:endParaRPr lang="en-US"/>
        </a:p>
      </dgm:t>
    </dgm:pt>
    <dgm:pt modelId="{1A42564F-9F58-49AD-A5A0-373BBC6A8471}" type="pres">
      <dgm:prSet presAssocID="{3CCB822E-9250-4B2E-ADF9-1961767F7B62}" presName="connectorText" presStyleLbl="sibTrans2D1" presStyleIdx="4" presStyleCnt="7"/>
      <dgm:spPr/>
      <dgm:t>
        <a:bodyPr/>
        <a:lstStyle/>
        <a:p>
          <a:endParaRPr lang="en-US"/>
        </a:p>
      </dgm:t>
    </dgm:pt>
    <dgm:pt modelId="{2E1CC6EE-F740-48A1-AB4C-E5DDF16AF7FB}" type="pres">
      <dgm:prSet presAssocID="{4F91C4B7-9AD8-4487-8A45-D71794E42153}" presName="node" presStyleLbl="node1" presStyleIdx="4" presStyleCnt="7">
        <dgm:presLayoutVars>
          <dgm:bulletEnabled val="1"/>
        </dgm:presLayoutVars>
      </dgm:prSet>
      <dgm:spPr/>
      <dgm:t>
        <a:bodyPr/>
        <a:lstStyle/>
        <a:p>
          <a:endParaRPr lang="en-US"/>
        </a:p>
      </dgm:t>
    </dgm:pt>
    <dgm:pt modelId="{DA9570B7-928D-45FF-B609-B032BD455645}" type="pres">
      <dgm:prSet presAssocID="{2AA881BC-B8B4-4685-868A-A7AEEF832790}" presName="parTrans" presStyleLbl="sibTrans2D1" presStyleIdx="5" presStyleCnt="7"/>
      <dgm:spPr/>
      <dgm:t>
        <a:bodyPr/>
        <a:lstStyle/>
        <a:p>
          <a:endParaRPr lang="en-US"/>
        </a:p>
      </dgm:t>
    </dgm:pt>
    <dgm:pt modelId="{272B69FD-4FE9-48E4-9FFB-62E42EDE055A}" type="pres">
      <dgm:prSet presAssocID="{2AA881BC-B8B4-4685-868A-A7AEEF832790}" presName="connectorText" presStyleLbl="sibTrans2D1" presStyleIdx="5" presStyleCnt="7"/>
      <dgm:spPr/>
      <dgm:t>
        <a:bodyPr/>
        <a:lstStyle/>
        <a:p>
          <a:endParaRPr lang="en-US"/>
        </a:p>
      </dgm:t>
    </dgm:pt>
    <dgm:pt modelId="{68F4B616-186F-4974-AB0D-037AA1C32138}" type="pres">
      <dgm:prSet presAssocID="{7A3031F6-2282-47D3-9335-853F7013F8B0}" presName="node" presStyleLbl="node1" presStyleIdx="5" presStyleCnt="7">
        <dgm:presLayoutVars>
          <dgm:bulletEnabled val="1"/>
        </dgm:presLayoutVars>
      </dgm:prSet>
      <dgm:spPr/>
      <dgm:t>
        <a:bodyPr/>
        <a:lstStyle/>
        <a:p>
          <a:endParaRPr lang="en-US"/>
        </a:p>
      </dgm:t>
    </dgm:pt>
    <dgm:pt modelId="{DF525DAE-555C-4FA8-93E0-6E8C5021C6C8}" type="pres">
      <dgm:prSet presAssocID="{50C5E975-F455-4A8A-B9C0-6E7502AF8047}" presName="parTrans" presStyleLbl="sibTrans2D1" presStyleIdx="6" presStyleCnt="7"/>
      <dgm:spPr/>
      <dgm:t>
        <a:bodyPr/>
        <a:lstStyle/>
        <a:p>
          <a:endParaRPr lang="en-US"/>
        </a:p>
      </dgm:t>
    </dgm:pt>
    <dgm:pt modelId="{DD714501-2FC2-4318-90E5-597BA868B125}" type="pres">
      <dgm:prSet presAssocID="{50C5E975-F455-4A8A-B9C0-6E7502AF8047}" presName="connectorText" presStyleLbl="sibTrans2D1" presStyleIdx="6" presStyleCnt="7"/>
      <dgm:spPr/>
      <dgm:t>
        <a:bodyPr/>
        <a:lstStyle/>
        <a:p>
          <a:endParaRPr lang="en-US"/>
        </a:p>
      </dgm:t>
    </dgm:pt>
    <dgm:pt modelId="{9183E5B5-CF02-4672-9527-97CD7162EEF0}" type="pres">
      <dgm:prSet presAssocID="{F29E1E17-602B-444B-AE64-C930FA5928BE}" presName="node" presStyleLbl="node1" presStyleIdx="6" presStyleCnt="7">
        <dgm:presLayoutVars>
          <dgm:bulletEnabled val="1"/>
        </dgm:presLayoutVars>
      </dgm:prSet>
      <dgm:spPr/>
      <dgm:t>
        <a:bodyPr/>
        <a:lstStyle/>
        <a:p>
          <a:endParaRPr lang="en-US"/>
        </a:p>
      </dgm:t>
    </dgm:pt>
  </dgm:ptLst>
  <dgm:cxnLst>
    <dgm:cxn modelId="{D72FA44C-5038-42EC-83BE-21FB76E740E6}" srcId="{4BF12CC2-D626-49FE-84F0-5C16F405E0EE}" destId="{89752ADE-6A48-4C98-8100-FAF5BE18EECE}" srcOrd="0" destOrd="0" parTransId="{67C39E1D-6595-4AD3-9912-BD1B8D739F3C}" sibTransId="{2168C02D-B769-48ED-8055-BE9AE1FE8DA3}"/>
    <dgm:cxn modelId="{AC72A584-9C22-46B2-89D8-2520E51BC223}" type="presOf" srcId="{1E97FA09-62A8-46AB-9F66-B43EE421EA98}" destId="{D9CB8603-8289-47A3-8ECD-80A10593F740}" srcOrd="1" destOrd="0" presId="urn:microsoft.com/office/officeart/2005/8/layout/radial5"/>
    <dgm:cxn modelId="{71AE8A61-3FBE-4DB8-A922-095B128565E6}" type="presOf" srcId="{2AA881BC-B8B4-4685-868A-A7AEEF832790}" destId="{DA9570B7-928D-45FF-B609-B032BD455645}" srcOrd="0" destOrd="0" presId="urn:microsoft.com/office/officeart/2005/8/layout/radial5"/>
    <dgm:cxn modelId="{089E0520-1876-4B4D-8EDA-D5DF8499D1E6}" type="presOf" srcId="{07A8F288-F9A3-4691-B7F0-7A32A5464C24}" destId="{A5EF2509-11AC-41EF-94BA-276ACFEE75EA}" srcOrd="0" destOrd="0" presId="urn:microsoft.com/office/officeart/2005/8/layout/radial5"/>
    <dgm:cxn modelId="{1F75F90B-6A80-4C52-B335-A7A301280A48}" type="presOf" srcId="{89752ADE-6A48-4C98-8100-FAF5BE18EECE}" destId="{51C07420-89FA-449A-81D6-252B5FF19279}" srcOrd="0" destOrd="0" presId="urn:microsoft.com/office/officeart/2005/8/layout/radial5"/>
    <dgm:cxn modelId="{9CBBA1C3-657C-4485-84D5-DBDCA40B0F31}" type="presOf" srcId="{1E97FA09-62A8-46AB-9F66-B43EE421EA98}" destId="{1EE5A900-8C5E-4C4E-BB9A-9D59D228DCD8}" srcOrd="0" destOrd="0" presId="urn:microsoft.com/office/officeart/2005/8/layout/radial5"/>
    <dgm:cxn modelId="{73F8BE49-E6F3-4148-86B9-AFC80F74655D}" srcId="{07A8F288-F9A3-4691-B7F0-7A32A5464C24}" destId="{4BF12CC2-D626-49FE-84F0-5C16F405E0EE}" srcOrd="0" destOrd="0" parTransId="{7ABEBFEA-659D-4E9B-A355-0671D4DFA3DD}" sibTransId="{EDBFC1C8-A910-435C-9692-A84897898139}"/>
    <dgm:cxn modelId="{2C57ABC5-532A-49D6-ACCB-36EA2E95D494}" type="presOf" srcId="{06802845-0AAD-4DA3-B1AD-A1FD96361BF0}" destId="{9F7D1040-755B-4339-B953-FDB9B7EAB919}" srcOrd="1" destOrd="0" presId="urn:microsoft.com/office/officeart/2005/8/layout/radial5"/>
    <dgm:cxn modelId="{898F2D4A-95FF-43FC-8EBF-34E2DE08CEF2}" type="presOf" srcId="{7A3031F6-2282-47D3-9335-853F7013F8B0}" destId="{68F4B616-186F-4974-AB0D-037AA1C32138}" srcOrd="0" destOrd="0" presId="urn:microsoft.com/office/officeart/2005/8/layout/radial5"/>
    <dgm:cxn modelId="{E7556AB3-6D8A-4D5E-A600-38A1686899F5}" type="presOf" srcId="{DA8A2F98-A3D1-4C6F-BCB8-B9F6026D6FBF}" destId="{74C589E3-1DD5-4018-8376-9C7EED97B527}" srcOrd="0" destOrd="0" presId="urn:microsoft.com/office/officeart/2005/8/layout/radial5"/>
    <dgm:cxn modelId="{741BE531-1328-4397-8CD4-AE17943E8213}" type="presOf" srcId="{7BB4B57A-E935-4EE1-B42E-6CA06174ECFA}" destId="{228C3643-B2CA-4324-B0A2-9F33633DD6AD}" srcOrd="1" destOrd="0" presId="urn:microsoft.com/office/officeart/2005/8/layout/radial5"/>
    <dgm:cxn modelId="{A9302CA1-BBAC-4DD5-A447-37A41CCF496A}" type="presOf" srcId="{3CCB822E-9250-4B2E-ADF9-1961767F7B62}" destId="{CBC23922-7E98-4846-A3F2-BC5EC75B408E}" srcOrd="0" destOrd="0" presId="urn:microsoft.com/office/officeart/2005/8/layout/radial5"/>
    <dgm:cxn modelId="{2D5177F5-0487-49EB-A3B6-DF129AED4740}" type="presOf" srcId="{67C39E1D-6595-4AD3-9912-BD1B8D739F3C}" destId="{B1F5EFEB-2B7D-457D-8B7E-4C6CCE237E0D}" srcOrd="1" destOrd="0" presId="urn:microsoft.com/office/officeart/2005/8/layout/radial5"/>
    <dgm:cxn modelId="{918427F8-B63A-4C40-92B4-F9A3FBE611B8}" type="presOf" srcId="{2AA881BC-B8B4-4685-868A-A7AEEF832790}" destId="{272B69FD-4FE9-48E4-9FFB-62E42EDE055A}" srcOrd="1" destOrd="0" presId="urn:microsoft.com/office/officeart/2005/8/layout/radial5"/>
    <dgm:cxn modelId="{42D63168-1FF1-47A8-95F5-AFB41313F7CE}" srcId="{4BF12CC2-D626-49FE-84F0-5C16F405E0EE}" destId="{B86FB8BE-7DC1-4B3C-B4D2-916024365E1F}" srcOrd="2" destOrd="0" parTransId="{1E97FA09-62A8-46AB-9F66-B43EE421EA98}" sibTransId="{DF843078-B777-4258-9F9B-E376ABE8FE85}"/>
    <dgm:cxn modelId="{F4972CED-5F23-438F-B8CA-ABE1E8F78821}" type="presOf" srcId="{7BB4B57A-E935-4EE1-B42E-6CA06174ECFA}" destId="{C8503194-C2AB-4632-927B-21DF8FAC41C2}" srcOrd="0" destOrd="0" presId="urn:microsoft.com/office/officeart/2005/8/layout/radial5"/>
    <dgm:cxn modelId="{F339B081-3027-4515-851B-DE6B98AE25A6}" srcId="{4BF12CC2-D626-49FE-84F0-5C16F405E0EE}" destId="{188FEB5F-3E78-4B01-9DB3-F1F27807D568}" srcOrd="1" destOrd="0" parTransId="{06802845-0AAD-4DA3-B1AD-A1FD96361BF0}" sibTransId="{8C6A7F90-1709-4380-8896-29F34CBEB75B}"/>
    <dgm:cxn modelId="{7FEFC87A-DA19-4805-A04F-96CF64DEADBD}" type="presOf" srcId="{50C5E975-F455-4A8A-B9C0-6E7502AF8047}" destId="{DD714501-2FC2-4318-90E5-597BA868B125}" srcOrd="1" destOrd="0" presId="urn:microsoft.com/office/officeart/2005/8/layout/radial5"/>
    <dgm:cxn modelId="{A4695C0E-114C-4DD1-8E2A-DCE3B006935F}" type="presOf" srcId="{B86FB8BE-7DC1-4B3C-B4D2-916024365E1F}" destId="{FC245577-E53A-4F5C-BDB1-0A80519080F8}" srcOrd="0" destOrd="0" presId="urn:microsoft.com/office/officeart/2005/8/layout/radial5"/>
    <dgm:cxn modelId="{50950287-1F74-4AF8-BC63-53D44A341FAA}" type="presOf" srcId="{4F91C4B7-9AD8-4487-8A45-D71794E42153}" destId="{2E1CC6EE-F740-48A1-AB4C-E5DDF16AF7FB}" srcOrd="0" destOrd="0" presId="urn:microsoft.com/office/officeart/2005/8/layout/radial5"/>
    <dgm:cxn modelId="{3D7EEFF7-3E30-4A13-A021-959D4D2930C0}" type="presOf" srcId="{4BF12CC2-D626-49FE-84F0-5C16F405E0EE}" destId="{B22AA547-6DA4-4331-B37D-53835D9D55DE}" srcOrd="0" destOrd="0" presId="urn:microsoft.com/office/officeart/2005/8/layout/radial5"/>
    <dgm:cxn modelId="{B9C79C32-E41E-4F99-9E4E-9263BEECA553}" srcId="{4BF12CC2-D626-49FE-84F0-5C16F405E0EE}" destId="{F29E1E17-602B-444B-AE64-C930FA5928BE}" srcOrd="6" destOrd="0" parTransId="{50C5E975-F455-4A8A-B9C0-6E7502AF8047}" sibTransId="{1F214E2B-3CC8-49F4-8327-0C534BC37EA5}"/>
    <dgm:cxn modelId="{6C6DFED1-DC2E-4FE6-BA79-A45B23BCA44D}" type="presOf" srcId="{188FEB5F-3E78-4B01-9DB3-F1F27807D568}" destId="{333D4834-C9D7-42FE-BAB2-15C2364A4734}" srcOrd="0" destOrd="0" presId="urn:microsoft.com/office/officeart/2005/8/layout/radial5"/>
    <dgm:cxn modelId="{E3B80DF6-A341-408E-BA0F-22E653DFC18F}" type="presOf" srcId="{50C5E975-F455-4A8A-B9C0-6E7502AF8047}" destId="{DF525DAE-555C-4FA8-93E0-6E8C5021C6C8}" srcOrd="0" destOrd="0" presId="urn:microsoft.com/office/officeart/2005/8/layout/radial5"/>
    <dgm:cxn modelId="{58C698D5-28C0-4CA0-920E-421BDED268F2}" type="presOf" srcId="{67C39E1D-6595-4AD3-9912-BD1B8D739F3C}" destId="{4C8F8A1E-4A9D-428B-BEC5-35775772D6F2}" srcOrd="0" destOrd="0" presId="urn:microsoft.com/office/officeart/2005/8/layout/radial5"/>
    <dgm:cxn modelId="{C2845F5C-9B69-4570-9E4B-CA403200FB06}" srcId="{4BF12CC2-D626-49FE-84F0-5C16F405E0EE}" destId="{4F91C4B7-9AD8-4487-8A45-D71794E42153}" srcOrd="4" destOrd="0" parTransId="{3CCB822E-9250-4B2E-ADF9-1961767F7B62}" sibTransId="{613B7552-EA15-45D2-AE2A-8D1DCC524CDF}"/>
    <dgm:cxn modelId="{50E70CB9-56D9-4745-9802-E06FA1343DCD}" type="presOf" srcId="{F29E1E17-602B-444B-AE64-C930FA5928BE}" destId="{9183E5B5-CF02-4672-9527-97CD7162EEF0}" srcOrd="0" destOrd="0" presId="urn:microsoft.com/office/officeart/2005/8/layout/radial5"/>
    <dgm:cxn modelId="{5EFA64C2-70B9-4E96-ACBE-C1E71B2B04FF}" type="presOf" srcId="{3CCB822E-9250-4B2E-ADF9-1961767F7B62}" destId="{1A42564F-9F58-49AD-A5A0-373BBC6A8471}" srcOrd="1" destOrd="0" presId="urn:microsoft.com/office/officeart/2005/8/layout/radial5"/>
    <dgm:cxn modelId="{716716B6-3898-4939-909A-F0AF2308CBDE}" srcId="{4BF12CC2-D626-49FE-84F0-5C16F405E0EE}" destId="{7A3031F6-2282-47D3-9335-853F7013F8B0}" srcOrd="5" destOrd="0" parTransId="{2AA881BC-B8B4-4685-868A-A7AEEF832790}" sibTransId="{9512A6A4-D752-4FDB-90B0-DB0221998FC4}"/>
    <dgm:cxn modelId="{503B0A79-0284-4AAD-B5DB-6C8131116E2E}" srcId="{4BF12CC2-D626-49FE-84F0-5C16F405E0EE}" destId="{DA8A2F98-A3D1-4C6F-BCB8-B9F6026D6FBF}" srcOrd="3" destOrd="0" parTransId="{7BB4B57A-E935-4EE1-B42E-6CA06174ECFA}" sibTransId="{46BAD056-005F-499F-83DC-136EC48D3873}"/>
    <dgm:cxn modelId="{B13329FB-2962-4CD2-A699-E2567B4EE615}" type="presOf" srcId="{06802845-0AAD-4DA3-B1AD-A1FD96361BF0}" destId="{49548A6D-0439-4EBD-A61B-9A6070B1BDA6}" srcOrd="0" destOrd="0" presId="urn:microsoft.com/office/officeart/2005/8/layout/radial5"/>
    <dgm:cxn modelId="{7345F62D-EC0C-4B71-89FF-6A7E448FDFA0}" type="presParOf" srcId="{A5EF2509-11AC-41EF-94BA-276ACFEE75EA}" destId="{B22AA547-6DA4-4331-B37D-53835D9D55DE}" srcOrd="0" destOrd="0" presId="urn:microsoft.com/office/officeart/2005/8/layout/radial5"/>
    <dgm:cxn modelId="{9C835BC3-FF39-4E66-9708-93CBD191E7D2}" type="presParOf" srcId="{A5EF2509-11AC-41EF-94BA-276ACFEE75EA}" destId="{4C8F8A1E-4A9D-428B-BEC5-35775772D6F2}" srcOrd="1" destOrd="0" presId="urn:microsoft.com/office/officeart/2005/8/layout/radial5"/>
    <dgm:cxn modelId="{E30F770B-5983-49A2-BC9E-D68AF5AF1532}" type="presParOf" srcId="{4C8F8A1E-4A9D-428B-BEC5-35775772D6F2}" destId="{B1F5EFEB-2B7D-457D-8B7E-4C6CCE237E0D}" srcOrd="0" destOrd="0" presId="urn:microsoft.com/office/officeart/2005/8/layout/radial5"/>
    <dgm:cxn modelId="{68EEF1DF-5B38-4CA4-83F1-2B6D521F148E}" type="presParOf" srcId="{A5EF2509-11AC-41EF-94BA-276ACFEE75EA}" destId="{51C07420-89FA-449A-81D6-252B5FF19279}" srcOrd="2" destOrd="0" presId="urn:microsoft.com/office/officeart/2005/8/layout/radial5"/>
    <dgm:cxn modelId="{95E7991F-EFE7-4BB3-BB6E-80D5821C4CFA}" type="presParOf" srcId="{A5EF2509-11AC-41EF-94BA-276ACFEE75EA}" destId="{49548A6D-0439-4EBD-A61B-9A6070B1BDA6}" srcOrd="3" destOrd="0" presId="urn:microsoft.com/office/officeart/2005/8/layout/radial5"/>
    <dgm:cxn modelId="{D3ACB366-596A-4A5C-A7E3-F697B8D6E743}" type="presParOf" srcId="{49548A6D-0439-4EBD-A61B-9A6070B1BDA6}" destId="{9F7D1040-755B-4339-B953-FDB9B7EAB919}" srcOrd="0" destOrd="0" presId="urn:microsoft.com/office/officeart/2005/8/layout/radial5"/>
    <dgm:cxn modelId="{6D510387-58BE-44D7-BACF-F7749179828A}" type="presParOf" srcId="{A5EF2509-11AC-41EF-94BA-276ACFEE75EA}" destId="{333D4834-C9D7-42FE-BAB2-15C2364A4734}" srcOrd="4" destOrd="0" presId="urn:microsoft.com/office/officeart/2005/8/layout/radial5"/>
    <dgm:cxn modelId="{0A1F7B35-73D2-43F0-AC89-EF7284651A60}" type="presParOf" srcId="{A5EF2509-11AC-41EF-94BA-276ACFEE75EA}" destId="{1EE5A900-8C5E-4C4E-BB9A-9D59D228DCD8}" srcOrd="5" destOrd="0" presId="urn:microsoft.com/office/officeart/2005/8/layout/radial5"/>
    <dgm:cxn modelId="{3379C0EB-E653-4BFE-AC25-9AF7131C1297}" type="presParOf" srcId="{1EE5A900-8C5E-4C4E-BB9A-9D59D228DCD8}" destId="{D9CB8603-8289-47A3-8ECD-80A10593F740}" srcOrd="0" destOrd="0" presId="urn:microsoft.com/office/officeart/2005/8/layout/radial5"/>
    <dgm:cxn modelId="{3E46EDCF-7DC5-44BB-A644-090CC4FD528E}" type="presParOf" srcId="{A5EF2509-11AC-41EF-94BA-276ACFEE75EA}" destId="{FC245577-E53A-4F5C-BDB1-0A80519080F8}" srcOrd="6" destOrd="0" presId="urn:microsoft.com/office/officeart/2005/8/layout/radial5"/>
    <dgm:cxn modelId="{3275C56C-6C4F-499D-9096-80D771BF023D}" type="presParOf" srcId="{A5EF2509-11AC-41EF-94BA-276ACFEE75EA}" destId="{C8503194-C2AB-4632-927B-21DF8FAC41C2}" srcOrd="7" destOrd="0" presId="urn:microsoft.com/office/officeart/2005/8/layout/radial5"/>
    <dgm:cxn modelId="{4330EA90-57B8-44F1-ABD0-4F17CF53ACCC}" type="presParOf" srcId="{C8503194-C2AB-4632-927B-21DF8FAC41C2}" destId="{228C3643-B2CA-4324-B0A2-9F33633DD6AD}" srcOrd="0" destOrd="0" presId="urn:microsoft.com/office/officeart/2005/8/layout/radial5"/>
    <dgm:cxn modelId="{513087D1-1F98-4102-9958-E7AFED336886}" type="presParOf" srcId="{A5EF2509-11AC-41EF-94BA-276ACFEE75EA}" destId="{74C589E3-1DD5-4018-8376-9C7EED97B527}" srcOrd="8" destOrd="0" presId="urn:microsoft.com/office/officeart/2005/8/layout/radial5"/>
    <dgm:cxn modelId="{CF4CF6D2-ECD4-4632-A638-79EDF3E98279}" type="presParOf" srcId="{A5EF2509-11AC-41EF-94BA-276ACFEE75EA}" destId="{CBC23922-7E98-4846-A3F2-BC5EC75B408E}" srcOrd="9" destOrd="0" presId="urn:microsoft.com/office/officeart/2005/8/layout/radial5"/>
    <dgm:cxn modelId="{CAD1FAA8-3C8F-4E54-BB80-D6648AE3D8BF}" type="presParOf" srcId="{CBC23922-7E98-4846-A3F2-BC5EC75B408E}" destId="{1A42564F-9F58-49AD-A5A0-373BBC6A8471}" srcOrd="0" destOrd="0" presId="urn:microsoft.com/office/officeart/2005/8/layout/radial5"/>
    <dgm:cxn modelId="{C32A3765-38B0-4327-BCA9-A3EA577AA849}" type="presParOf" srcId="{A5EF2509-11AC-41EF-94BA-276ACFEE75EA}" destId="{2E1CC6EE-F740-48A1-AB4C-E5DDF16AF7FB}" srcOrd="10" destOrd="0" presId="urn:microsoft.com/office/officeart/2005/8/layout/radial5"/>
    <dgm:cxn modelId="{A8B0C858-FBAB-4C44-AC2D-17042473C183}" type="presParOf" srcId="{A5EF2509-11AC-41EF-94BA-276ACFEE75EA}" destId="{DA9570B7-928D-45FF-B609-B032BD455645}" srcOrd="11" destOrd="0" presId="urn:microsoft.com/office/officeart/2005/8/layout/radial5"/>
    <dgm:cxn modelId="{356990C5-1897-440F-A2D2-2B7B3A62DDCE}" type="presParOf" srcId="{DA9570B7-928D-45FF-B609-B032BD455645}" destId="{272B69FD-4FE9-48E4-9FFB-62E42EDE055A}" srcOrd="0" destOrd="0" presId="urn:microsoft.com/office/officeart/2005/8/layout/radial5"/>
    <dgm:cxn modelId="{7854C05F-D590-4825-970F-AF307BDD26D5}" type="presParOf" srcId="{A5EF2509-11AC-41EF-94BA-276ACFEE75EA}" destId="{68F4B616-186F-4974-AB0D-037AA1C32138}" srcOrd="12" destOrd="0" presId="urn:microsoft.com/office/officeart/2005/8/layout/radial5"/>
    <dgm:cxn modelId="{D7319A98-09AD-4092-9CE4-8AB1603E8E80}" type="presParOf" srcId="{A5EF2509-11AC-41EF-94BA-276ACFEE75EA}" destId="{DF525DAE-555C-4FA8-93E0-6E8C5021C6C8}" srcOrd="13" destOrd="0" presId="urn:microsoft.com/office/officeart/2005/8/layout/radial5"/>
    <dgm:cxn modelId="{CC8B0CD2-611B-47C6-AE52-C53C3A55FAF2}" type="presParOf" srcId="{DF525DAE-555C-4FA8-93E0-6E8C5021C6C8}" destId="{DD714501-2FC2-4318-90E5-597BA868B125}" srcOrd="0" destOrd="0" presId="urn:microsoft.com/office/officeart/2005/8/layout/radial5"/>
    <dgm:cxn modelId="{99A6535D-26EC-4DA4-824D-58C95CCC9BB8}" type="presParOf" srcId="{A5EF2509-11AC-41EF-94BA-276ACFEE75EA}" destId="{9183E5B5-CF02-4672-9527-97CD7162EEF0}" srcOrd="14"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2AA547-6DA4-4331-B37D-53835D9D55DE}">
      <dsp:nvSpPr>
        <dsp:cNvPr id="0" name=""/>
        <dsp:cNvSpPr/>
      </dsp:nvSpPr>
      <dsp:spPr>
        <a:xfrm>
          <a:off x="2511858" y="1959013"/>
          <a:ext cx="1132533" cy="107890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INTEGRATED WEED MANAGEMENT STRATEGIES</a:t>
          </a:r>
        </a:p>
      </dsp:txBody>
      <dsp:txXfrm>
        <a:off x="2677714" y="2117014"/>
        <a:ext cx="800821" cy="762899"/>
      </dsp:txXfrm>
    </dsp:sp>
    <dsp:sp modelId="{4C8F8A1E-4A9D-428B-BEC5-35775772D6F2}">
      <dsp:nvSpPr>
        <dsp:cNvPr id="0" name=""/>
        <dsp:cNvSpPr/>
      </dsp:nvSpPr>
      <dsp:spPr>
        <a:xfrm rot="16200000">
          <a:off x="2917089" y="1519669"/>
          <a:ext cx="322072"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60474" y="1620901"/>
        <a:ext cx="235302" cy="173541"/>
      </dsp:txXfrm>
    </dsp:sp>
    <dsp:sp modelId="{51C07420-89FA-449A-81D6-252B5FF19279}">
      <dsp:nvSpPr>
        <dsp:cNvPr id="0" name=""/>
        <dsp:cNvSpPr/>
      </dsp:nvSpPr>
      <dsp:spPr>
        <a:xfrm>
          <a:off x="2403812" y="2702"/>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STALE SEEDBED TECHNIQUE</a:t>
          </a:r>
        </a:p>
      </dsp:txBody>
      <dsp:txXfrm>
        <a:off x="2601314" y="200204"/>
        <a:ext cx="953622" cy="953622"/>
      </dsp:txXfrm>
    </dsp:sp>
    <dsp:sp modelId="{49548A6D-0439-4EBD-A61B-9A6070B1BDA6}">
      <dsp:nvSpPr>
        <dsp:cNvPr id="0" name=""/>
        <dsp:cNvSpPr/>
      </dsp:nvSpPr>
      <dsp:spPr>
        <a:xfrm rot="19285714">
          <a:off x="3579906"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589371" y="1913529"/>
        <a:ext cx="226863" cy="173541"/>
      </dsp:txXfrm>
    </dsp:sp>
    <dsp:sp modelId="{333D4834-C9D7-42FE-BAB2-15C2364A4734}">
      <dsp:nvSpPr>
        <dsp:cNvPr id="0" name=""/>
        <dsp:cNvSpPr/>
      </dsp:nvSpPr>
      <dsp:spPr>
        <a:xfrm>
          <a:off x="3827877"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SOWING TIME &amp; RESIDUE</a:t>
          </a:r>
        </a:p>
      </dsp:txBody>
      <dsp:txXfrm>
        <a:off x="4025379" y="885998"/>
        <a:ext cx="953622" cy="953622"/>
      </dsp:txXfrm>
    </dsp:sp>
    <dsp:sp modelId="{1EE5A900-8C5E-4C4E-BB9A-9D59D228DCD8}">
      <dsp:nvSpPr>
        <dsp:cNvPr id="0" name=""/>
        <dsp:cNvSpPr/>
      </dsp:nvSpPr>
      <dsp:spPr>
        <a:xfrm rot="771429">
          <a:off x="3749830" y="2542378"/>
          <a:ext cx="308614" cy="289235"/>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750918" y="2590571"/>
        <a:ext cx="221844" cy="173541"/>
      </dsp:txXfrm>
    </dsp:sp>
    <dsp:sp modelId="{FC245577-E53A-4F5C-BDB1-0A80519080F8}">
      <dsp:nvSpPr>
        <dsp:cNvPr id="0" name=""/>
        <dsp:cNvSpPr/>
      </dsp:nvSpPr>
      <dsp:spPr>
        <a:xfrm>
          <a:off x="4179593" y="2229461"/>
          <a:ext cx="1348626" cy="1348626"/>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NARROW ROW SPACING</a:t>
          </a:r>
        </a:p>
      </dsp:txBody>
      <dsp:txXfrm>
        <a:off x="4377095" y="2426963"/>
        <a:ext cx="953622" cy="953622"/>
      </dsp:txXfrm>
    </dsp:sp>
    <dsp:sp modelId="{C8503194-C2AB-4632-927B-21DF8FAC41C2}">
      <dsp:nvSpPr>
        <dsp:cNvPr id="0" name=""/>
        <dsp:cNvSpPr/>
      </dsp:nvSpPr>
      <dsp:spPr>
        <a:xfrm rot="3857143">
          <a:off x="3281349" y="3107622"/>
          <a:ext cx="319551" cy="289235"/>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305910" y="3126380"/>
        <a:ext cx="232781" cy="173541"/>
      </dsp:txXfrm>
    </dsp:sp>
    <dsp:sp modelId="{74C589E3-1DD5-4018-8376-9C7EED97B527}">
      <dsp:nvSpPr>
        <dsp:cNvPr id="0" name=""/>
        <dsp:cNvSpPr/>
      </dsp:nvSpPr>
      <dsp:spPr>
        <a:xfrm>
          <a:off x="3194109" y="3465219"/>
          <a:ext cx="1348626" cy="1348626"/>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HIGH SEEDLING RATES</a:t>
          </a:r>
        </a:p>
      </dsp:txBody>
      <dsp:txXfrm>
        <a:off x="3391611" y="3662721"/>
        <a:ext cx="953622" cy="953622"/>
      </dsp:txXfrm>
    </dsp:sp>
    <dsp:sp modelId="{CBC23922-7E98-4846-A3F2-BC5EC75B408E}">
      <dsp:nvSpPr>
        <dsp:cNvPr id="0" name=""/>
        <dsp:cNvSpPr/>
      </dsp:nvSpPr>
      <dsp:spPr>
        <a:xfrm rot="6942857">
          <a:off x="2555350" y="3107622"/>
          <a:ext cx="319551" cy="289235"/>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617559" y="3126380"/>
        <a:ext cx="232781" cy="173541"/>
      </dsp:txXfrm>
    </dsp:sp>
    <dsp:sp modelId="{2E1CC6EE-F740-48A1-AB4C-E5DDF16AF7FB}">
      <dsp:nvSpPr>
        <dsp:cNvPr id="0" name=""/>
        <dsp:cNvSpPr/>
      </dsp:nvSpPr>
      <dsp:spPr>
        <a:xfrm>
          <a:off x="1613515" y="3465219"/>
          <a:ext cx="1348626" cy="1348626"/>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WEED COMPETITIVE CULTIVARS</a:t>
          </a:r>
        </a:p>
      </dsp:txBody>
      <dsp:txXfrm>
        <a:off x="1811017" y="3662721"/>
        <a:ext cx="953622" cy="953622"/>
      </dsp:txXfrm>
    </dsp:sp>
    <dsp:sp modelId="{DA9570B7-928D-45FF-B609-B032BD455645}">
      <dsp:nvSpPr>
        <dsp:cNvPr id="0" name=""/>
        <dsp:cNvSpPr/>
      </dsp:nvSpPr>
      <dsp:spPr>
        <a:xfrm rot="10028571">
          <a:off x="2097805" y="2542378"/>
          <a:ext cx="308614" cy="289235"/>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183487" y="2590571"/>
        <a:ext cx="221844" cy="173541"/>
      </dsp:txXfrm>
    </dsp:sp>
    <dsp:sp modelId="{68F4B616-186F-4974-AB0D-037AA1C32138}">
      <dsp:nvSpPr>
        <dsp:cNvPr id="0" name=""/>
        <dsp:cNvSpPr/>
      </dsp:nvSpPr>
      <dsp:spPr>
        <a:xfrm>
          <a:off x="628031" y="2229461"/>
          <a:ext cx="1348626" cy="1348626"/>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CROP ROTATION</a:t>
          </a:r>
        </a:p>
      </dsp:txBody>
      <dsp:txXfrm>
        <a:off x="825533" y="2426963"/>
        <a:ext cx="953622" cy="953622"/>
      </dsp:txXfrm>
    </dsp:sp>
    <dsp:sp modelId="{DF525DAE-555C-4FA8-93E0-6E8C5021C6C8}">
      <dsp:nvSpPr>
        <dsp:cNvPr id="0" name=""/>
        <dsp:cNvSpPr/>
      </dsp:nvSpPr>
      <dsp:spPr>
        <a:xfrm rot="13114286">
          <a:off x="2262710" y="1828632"/>
          <a:ext cx="313633" cy="289235"/>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2340015" y="1913529"/>
        <a:ext cx="226863" cy="173541"/>
      </dsp:txXfrm>
    </dsp:sp>
    <dsp:sp modelId="{9183E5B5-CF02-4672-9527-97CD7162EEF0}">
      <dsp:nvSpPr>
        <dsp:cNvPr id="0" name=""/>
        <dsp:cNvSpPr/>
      </dsp:nvSpPr>
      <dsp:spPr>
        <a:xfrm>
          <a:off x="979746" y="688496"/>
          <a:ext cx="1348626" cy="1348626"/>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b="1" kern="1200"/>
            <a:t>PHYTOCHEMICAL APPLICATION</a:t>
          </a:r>
        </a:p>
      </dsp:txBody>
      <dsp:txXfrm>
        <a:off x="1177248" y="885998"/>
        <a:ext cx="953622" cy="9536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COMPUTER</cp:lastModifiedBy>
  <cp:revision>8</cp:revision>
  <dcterms:created xsi:type="dcterms:W3CDTF">2025-03-19T16:12:00Z</dcterms:created>
  <dcterms:modified xsi:type="dcterms:W3CDTF">2025-03-26T17:33:00Z</dcterms:modified>
</cp:coreProperties>
</file>