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2F2" w:rsidRPr="009451DA" w:rsidRDefault="000422F2" w:rsidP="000422F2">
      <w:pPr>
        <w:spacing w:line="480" w:lineRule="auto"/>
        <w:jc w:val="both"/>
        <w:rPr>
          <w:rFonts w:ascii="Arial" w:hAnsi="Arial" w:cs="Arial"/>
          <w:b/>
        </w:rPr>
      </w:pPr>
      <w:r w:rsidRPr="009451DA">
        <w:rPr>
          <w:rFonts w:ascii="Arial" w:hAnsi="Arial" w:cs="Arial"/>
          <w:b/>
        </w:rPr>
        <w:t xml:space="preserve">Title: </w:t>
      </w:r>
      <w:r w:rsidR="00BD4D6B" w:rsidRPr="00BD4D6B">
        <w:rPr>
          <w:rFonts w:ascii="Arial" w:hAnsi="Arial" w:cs="Arial"/>
          <w:b/>
          <w:sz w:val="20"/>
          <w:szCs w:val="20"/>
        </w:rPr>
        <w:t>Norms Establishment With Bolten Analysis For The Central Indian Population.</w:t>
      </w:r>
    </w:p>
    <w:p w:rsidR="000422F2" w:rsidRPr="009451DA" w:rsidRDefault="000422F2" w:rsidP="00036E18">
      <w:pPr>
        <w:tabs>
          <w:tab w:val="left" w:pos="1490"/>
        </w:tabs>
        <w:spacing w:line="480" w:lineRule="auto"/>
        <w:jc w:val="both"/>
        <w:rPr>
          <w:rFonts w:ascii="Arial" w:hAnsi="Arial" w:cs="Arial"/>
          <w:b/>
        </w:rPr>
      </w:pPr>
      <w:r w:rsidRPr="009451DA">
        <w:rPr>
          <w:rFonts w:ascii="Arial" w:hAnsi="Arial" w:cs="Arial"/>
          <w:b/>
        </w:rPr>
        <w:t>Abstract:</w:t>
      </w:r>
      <w:r w:rsidR="00036E18" w:rsidRPr="009451DA">
        <w:rPr>
          <w:rFonts w:ascii="Arial" w:hAnsi="Arial" w:cs="Arial"/>
          <w:b/>
        </w:rPr>
        <w:tab/>
      </w:r>
    </w:p>
    <w:p w:rsidR="000422F2" w:rsidRPr="009451DA" w:rsidRDefault="000422F2" w:rsidP="000422F2">
      <w:pPr>
        <w:spacing w:line="480" w:lineRule="auto"/>
        <w:jc w:val="both"/>
        <w:rPr>
          <w:rFonts w:ascii="Arial" w:hAnsi="Arial" w:cs="Arial"/>
          <w:sz w:val="20"/>
          <w:szCs w:val="20"/>
        </w:rPr>
      </w:pPr>
      <w:r w:rsidRPr="009451DA">
        <w:rPr>
          <w:rFonts w:ascii="Arial" w:hAnsi="Arial" w:cs="Arial"/>
          <w:b/>
        </w:rPr>
        <w:t>Objective</w:t>
      </w:r>
      <w:r w:rsidRPr="009451DA">
        <w:rPr>
          <w:rFonts w:ascii="Arial" w:hAnsi="Arial" w:cs="Arial"/>
        </w:rPr>
        <w:t>:</w:t>
      </w:r>
      <w:r w:rsidRPr="009451DA">
        <w:rPr>
          <w:rFonts w:ascii="Arial" w:hAnsi="Arial" w:cs="Arial"/>
          <w:sz w:val="20"/>
          <w:szCs w:val="20"/>
        </w:rPr>
        <w:t xml:space="preserve"> To establish the norms for the Bolton analysis in Central India (male and female) population. </w:t>
      </w:r>
      <w:r w:rsidRPr="009451DA">
        <w:rPr>
          <w:rFonts w:ascii="Arial" w:hAnsi="Arial" w:cs="Arial"/>
          <w:b/>
        </w:rPr>
        <w:t>Materials and methods</w:t>
      </w:r>
      <w:r w:rsidR="0030705A" w:rsidRPr="009451DA">
        <w:rPr>
          <w:rFonts w:ascii="Arial" w:hAnsi="Arial" w:cs="Arial"/>
        </w:rPr>
        <w:t>:</w:t>
      </w:r>
      <w:r w:rsidR="0030705A" w:rsidRPr="009451DA">
        <w:rPr>
          <w:rFonts w:ascii="Arial" w:hAnsi="Arial" w:cs="Arial"/>
          <w:sz w:val="20"/>
          <w:szCs w:val="20"/>
        </w:rPr>
        <w:t xml:space="preserve"> 125</w:t>
      </w:r>
      <w:r w:rsidRPr="009451DA">
        <w:rPr>
          <w:rFonts w:ascii="Arial" w:hAnsi="Arial" w:cs="Arial"/>
          <w:sz w:val="20"/>
          <w:szCs w:val="20"/>
        </w:rPr>
        <w:t xml:space="preserve"> study casts (62 males and 63 females) from 15 to 30 years were selected from the Department of Orthodontics. The mesio-distal dimension fro</w:t>
      </w:r>
      <w:r w:rsidR="00BD4D6B">
        <w:rPr>
          <w:rFonts w:ascii="Arial" w:hAnsi="Arial" w:cs="Arial"/>
          <w:sz w:val="20"/>
          <w:szCs w:val="20"/>
        </w:rPr>
        <w:t xml:space="preserve">m right to left permanent molars </w:t>
      </w:r>
      <w:r w:rsidRPr="009451DA">
        <w:rPr>
          <w:rFonts w:ascii="Arial" w:hAnsi="Arial" w:cs="Arial"/>
          <w:sz w:val="20"/>
          <w:szCs w:val="20"/>
        </w:rPr>
        <w:t>of ma</w:t>
      </w:r>
      <w:r w:rsidR="00BD4D6B">
        <w:rPr>
          <w:rFonts w:ascii="Arial" w:hAnsi="Arial" w:cs="Arial"/>
          <w:sz w:val="20"/>
          <w:szCs w:val="20"/>
        </w:rPr>
        <w:t>xillary and mandibular teeth were</w:t>
      </w:r>
      <w:r w:rsidRPr="009451DA">
        <w:rPr>
          <w:rFonts w:ascii="Arial" w:hAnsi="Arial" w:cs="Arial"/>
          <w:sz w:val="20"/>
          <w:szCs w:val="20"/>
        </w:rPr>
        <w:t xml:space="preserve"> measured with a digital calliper, to calculate, analyse and compare the Bolton ratio. Paired </w:t>
      </w:r>
      <w:r w:rsidR="00BD4D6B">
        <w:rPr>
          <w:rFonts w:ascii="Arial" w:hAnsi="Arial" w:cs="Arial"/>
          <w:sz w:val="20"/>
          <w:szCs w:val="20"/>
        </w:rPr>
        <w:t>and unpaired T-test, z-value were</w:t>
      </w:r>
      <w:r w:rsidRPr="009451DA">
        <w:rPr>
          <w:rFonts w:ascii="Arial" w:hAnsi="Arial" w:cs="Arial"/>
          <w:sz w:val="20"/>
          <w:szCs w:val="20"/>
        </w:rPr>
        <w:t xml:space="preserve"> used for the statistical analysis. </w:t>
      </w:r>
      <w:r w:rsidRPr="009451DA">
        <w:rPr>
          <w:rFonts w:ascii="Arial" w:hAnsi="Arial" w:cs="Arial"/>
          <w:b/>
        </w:rPr>
        <w:t>Results:</w:t>
      </w:r>
      <w:r w:rsidRPr="009451DA">
        <w:rPr>
          <w:rFonts w:ascii="Arial" w:hAnsi="Arial" w:cs="Arial"/>
          <w:sz w:val="20"/>
          <w:szCs w:val="20"/>
        </w:rPr>
        <w:t xml:space="preserve"> The overall mean</w:t>
      </w:r>
      <w:r w:rsidR="00BD4D6B">
        <w:rPr>
          <w:rFonts w:ascii="Arial" w:hAnsi="Arial" w:cs="Arial"/>
          <w:sz w:val="20"/>
          <w:szCs w:val="20"/>
        </w:rPr>
        <w:t xml:space="preserve"> ratio for males and females were</w:t>
      </w:r>
      <w:r w:rsidRPr="009451DA">
        <w:rPr>
          <w:rFonts w:ascii="Arial" w:hAnsi="Arial" w:cs="Arial"/>
          <w:sz w:val="20"/>
          <w:szCs w:val="20"/>
        </w:rPr>
        <w:t xml:space="preserve"> 88.42±6.01 and 88.85±4.03 and the anterior mean</w:t>
      </w:r>
      <w:r w:rsidR="00BD4D6B">
        <w:rPr>
          <w:rFonts w:ascii="Arial" w:hAnsi="Arial" w:cs="Arial"/>
          <w:sz w:val="20"/>
          <w:szCs w:val="20"/>
        </w:rPr>
        <w:t xml:space="preserve"> ratio for males and females were</w:t>
      </w:r>
      <w:r w:rsidRPr="009451DA">
        <w:rPr>
          <w:rFonts w:ascii="Arial" w:hAnsi="Arial" w:cs="Arial"/>
          <w:sz w:val="20"/>
          <w:szCs w:val="20"/>
        </w:rPr>
        <w:t xml:space="preserve"> 77.83±6.42 and 78.88±5.13 respectively. There was a non-statistical difference in the anterior and overall mean within males and females. A statistically significant difference was found when Central Indian females were compared with Caucasian participants. In a comparison of the present study with other Indian populations, significant data was found with anterior and overall ratio but non-significant data was found for anterior ratio for the Telangana population. </w:t>
      </w:r>
      <w:r w:rsidRPr="009451DA">
        <w:rPr>
          <w:rFonts w:ascii="Arial" w:hAnsi="Arial" w:cs="Arial"/>
          <w:b/>
        </w:rPr>
        <w:t>Conclusion:</w:t>
      </w:r>
      <w:r w:rsidRPr="009451DA">
        <w:rPr>
          <w:rFonts w:ascii="Arial" w:hAnsi="Arial" w:cs="Arial"/>
          <w:b/>
          <w:sz w:val="20"/>
          <w:szCs w:val="20"/>
        </w:rPr>
        <w:t xml:space="preserve"> </w:t>
      </w:r>
      <w:r w:rsidRPr="009451DA">
        <w:rPr>
          <w:rFonts w:ascii="Arial" w:hAnsi="Arial" w:cs="Arial"/>
          <w:sz w:val="20"/>
          <w:szCs w:val="20"/>
        </w:rPr>
        <w:t xml:space="preserve">It is suggested the population-specific norms are needed to plan treatment for orthodontics taking into consideration retention and stability. </w:t>
      </w:r>
    </w:p>
    <w:p w:rsidR="000422F2" w:rsidRPr="009451DA" w:rsidRDefault="000422F2" w:rsidP="000422F2">
      <w:pPr>
        <w:spacing w:line="480" w:lineRule="auto"/>
        <w:jc w:val="both"/>
        <w:rPr>
          <w:rFonts w:ascii="Arial" w:hAnsi="Arial" w:cs="Arial"/>
          <w:sz w:val="20"/>
          <w:szCs w:val="20"/>
        </w:rPr>
      </w:pPr>
      <w:r w:rsidRPr="009451DA">
        <w:rPr>
          <w:rFonts w:ascii="Arial" w:hAnsi="Arial" w:cs="Arial"/>
          <w:b/>
        </w:rPr>
        <w:t>Keywords</w:t>
      </w:r>
      <w:r w:rsidRPr="009451DA">
        <w:rPr>
          <w:rFonts w:ascii="Arial" w:hAnsi="Arial" w:cs="Arial"/>
        </w:rPr>
        <w:t>:</w:t>
      </w:r>
      <w:r w:rsidRPr="009451DA">
        <w:rPr>
          <w:rFonts w:ascii="Arial" w:hAnsi="Arial" w:cs="Arial"/>
          <w:sz w:val="20"/>
          <w:szCs w:val="20"/>
        </w:rPr>
        <w:t xml:space="preserve"> Bolton analysis, Central India population, Mesio-distal dimension.</w:t>
      </w:r>
    </w:p>
    <w:p w:rsidR="000422F2" w:rsidRPr="009451DA" w:rsidRDefault="000422F2">
      <w:pPr>
        <w:rPr>
          <w:rFonts w:ascii="Arial" w:hAnsi="Arial" w:cs="Arial"/>
          <w:sz w:val="20"/>
          <w:szCs w:val="20"/>
        </w:rPr>
      </w:pPr>
    </w:p>
    <w:p w:rsidR="000422F2" w:rsidRPr="009451DA" w:rsidRDefault="000422F2">
      <w:pPr>
        <w:rPr>
          <w:rFonts w:ascii="Arial" w:hAnsi="Arial" w:cs="Arial"/>
          <w:sz w:val="20"/>
          <w:szCs w:val="20"/>
        </w:rPr>
      </w:pPr>
      <w:r w:rsidRPr="009451DA">
        <w:rPr>
          <w:rFonts w:ascii="Arial" w:hAnsi="Arial" w:cs="Arial"/>
          <w:sz w:val="20"/>
          <w:szCs w:val="20"/>
        </w:rPr>
        <w:br w:type="page"/>
      </w:r>
    </w:p>
    <w:p w:rsidR="000422F2" w:rsidRPr="009451DA" w:rsidRDefault="000422F2" w:rsidP="000422F2">
      <w:pPr>
        <w:spacing w:line="480" w:lineRule="auto"/>
        <w:jc w:val="both"/>
        <w:rPr>
          <w:rFonts w:ascii="Arial" w:hAnsi="Arial" w:cs="Arial"/>
          <w:sz w:val="20"/>
          <w:szCs w:val="20"/>
        </w:rPr>
      </w:pPr>
      <w:r w:rsidRPr="009451DA">
        <w:rPr>
          <w:rFonts w:ascii="Arial" w:hAnsi="Arial" w:cs="Arial"/>
          <w:b/>
        </w:rPr>
        <w:lastRenderedPageBreak/>
        <w:t xml:space="preserve">Introduction: </w:t>
      </w:r>
      <w:r w:rsidRPr="009451DA">
        <w:rPr>
          <w:rFonts w:ascii="Arial" w:hAnsi="Arial" w:cs="Arial"/>
          <w:sz w:val="20"/>
          <w:szCs w:val="20"/>
        </w:rPr>
        <w:t xml:space="preserve"> </w:t>
      </w:r>
    </w:p>
    <w:p w:rsidR="000422F2" w:rsidRPr="009451DA" w:rsidRDefault="000422F2" w:rsidP="0018597D">
      <w:pPr>
        <w:spacing w:line="480" w:lineRule="auto"/>
        <w:jc w:val="both"/>
        <w:rPr>
          <w:rFonts w:ascii="Arial" w:hAnsi="Arial" w:cs="Arial"/>
          <w:sz w:val="20"/>
          <w:szCs w:val="20"/>
        </w:rPr>
      </w:pPr>
      <w:r w:rsidRPr="009451DA">
        <w:rPr>
          <w:rFonts w:ascii="Arial" w:hAnsi="Arial" w:cs="Arial"/>
          <w:sz w:val="20"/>
          <w:szCs w:val="20"/>
        </w:rPr>
        <w:t xml:space="preserve">The number, size, and shape of tooth and jaws when normal, the equilibrium is maintained. But if variation occurs in any one of them, then there will be “malocclusion” </w:t>
      </w:r>
      <w:r w:rsidRPr="009451DA">
        <w:rPr>
          <w:rFonts w:ascii="Arial" w:hAnsi="Arial" w:cs="Arial"/>
          <w:sz w:val="20"/>
          <w:szCs w:val="20"/>
          <w:vertAlign w:val="superscript"/>
        </w:rPr>
        <w:t>[1]</w:t>
      </w:r>
      <w:r w:rsidRPr="009451DA">
        <w:rPr>
          <w:rFonts w:ascii="Arial" w:hAnsi="Arial" w:cs="Arial"/>
          <w:sz w:val="20"/>
          <w:szCs w:val="20"/>
        </w:rPr>
        <w:t>. To rectify their malocclusion, 90 percent of grown orthodontic cases require extractions. Many of them fall into the category of borderline circumstances that demand camouflage treatment. In borderline instances, the major dilemma in orthodontic treatment planning is whether to extract or not to extract.</w:t>
      </w:r>
    </w:p>
    <w:p w:rsidR="0018597D" w:rsidRPr="009451DA" w:rsidRDefault="0018597D" w:rsidP="0018597D">
      <w:pPr>
        <w:spacing w:line="480" w:lineRule="auto"/>
        <w:jc w:val="both"/>
        <w:rPr>
          <w:rFonts w:ascii="Arial" w:hAnsi="Arial" w:cs="Arial"/>
          <w:sz w:val="20"/>
          <w:szCs w:val="20"/>
        </w:rPr>
      </w:pPr>
      <w:r w:rsidRPr="009451DA">
        <w:rPr>
          <w:rFonts w:ascii="Arial" w:hAnsi="Arial" w:cs="Arial"/>
          <w:sz w:val="20"/>
          <w:szCs w:val="20"/>
        </w:rPr>
        <w:t>It is essential to keep track of the case's diagnosis in order to arrange a successful orthodontic treatment. The use of diagnostic model analysis</w:t>
      </w:r>
      <w:r w:rsidR="00610BAB" w:rsidRPr="009451DA">
        <w:rPr>
          <w:rFonts w:ascii="Arial" w:hAnsi="Arial" w:cs="Arial"/>
          <w:sz w:val="20"/>
          <w:szCs w:val="20"/>
          <w:vertAlign w:val="superscript"/>
        </w:rPr>
        <w:t xml:space="preserve"> [1</w:t>
      </w:r>
      <w:r w:rsidRPr="009451DA">
        <w:rPr>
          <w:rFonts w:ascii="Arial" w:hAnsi="Arial" w:cs="Arial"/>
          <w:sz w:val="20"/>
          <w:szCs w:val="20"/>
          <w:vertAlign w:val="superscript"/>
        </w:rPr>
        <w:t>]</w:t>
      </w:r>
      <w:r w:rsidRPr="009451DA">
        <w:rPr>
          <w:rFonts w:ascii="Arial" w:hAnsi="Arial" w:cs="Arial"/>
          <w:sz w:val="20"/>
          <w:szCs w:val="20"/>
        </w:rPr>
        <w:t xml:space="preserve"> is one of the most significant diagnostic tools.</w:t>
      </w:r>
      <w:r w:rsidRPr="009451DA">
        <w:rPr>
          <w:rFonts w:ascii="Arial" w:hAnsi="Arial" w:cs="Arial"/>
          <w:sz w:val="20"/>
          <w:szCs w:val="20"/>
          <w:vertAlign w:val="superscript"/>
        </w:rPr>
        <w:t xml:space="preserve"> </w:t>
      </w:r>
      <w:r w:rsidRPr="009451DA">
        <w:rPr>
          <w:rFonts w:ascii="Arial" w:hAnsi="Arial" w:cs="Arial"/>
          <w:sz w:val="20"/>
          <w:szCs w:val="20"/>
        </w:rPr>
        <w:t xml:space="preserve"> The objective of studying the diagnostic models during formulating a treatment protocol is an estimation of tooth material, to plan for extraction or non-extraction. Researchers, in a quest to evaluate the mesio-distal width, gave numerous analyses for example Peck and Peck </w:t>
      </w:r>
      <w:r w:rsidR="00610BAB" w:rsidRPr="009451DA">
        <w:rPr>
          <w:rFonts w:ascii="Arial" w:hAnsi="Arial" w:cs="Arial"/>
          <w:sz w:val="20"/>
          <w:szCs w:val="20"/>
          <w:vertAlign w:val="superscript"/>
        </w:rPr>
        <w:t>[2</w:t>
      </w:r>
      <w:r w:rsidRPr="009451DA">
        <w:rPr>
          <w:rFonts w:ascii="Arial" w:hAnsi="Arial" w:cs="Arial"/>
          <w:sz w:val="20"/>
          <w:szCs w:val="20"/>
          <w:vertAlign w:val="superscript"/>
        </w:rPr>
        <w:t>]</w:t>
      </w:r>
      <w:r w:rsidRPr="009451DA">
        <w:rPr>
          <w:rFonts w:ascii="Arial" w:hAnsi="Arial" w:cs="Arial"/>
          <w:sz w:val="20"/>
          <w:szCs w:val="20"/>
        </w:rPr>
        <w:t xml:space="preserve"> (1975), but this analysis was only for the lower anterior. </w:t>
      </w:r>
    </w:p>
    <w:p w:rsidR="0018597D" w:rsidRPr="009451DA" w:rsidRDefault="0018597D" w:rsidP="0018597D">
      <w:pPr>
        <w:spacing w:line="480" w:lineRule="auto"/>
        <w:jc w:val="both"/>
        <w:rPr>
          <w:rFonts w:ascii="Arial" w:hAnsi="Arial" w:cs="Arial"/>
          <w:sz w:val="20"/>
          <w:szCs w:val="20"/>
        </w:rPr>
      </w:pPr>
      <w:r w:rsidRPr="009451DA">
        <w:rPr>
          <w:rFonts w:ascii="Arial" w:hAnsi="Arial" w:cs="Arial"/>
          <w:sz w:val="20"/>
          <w:szCs w:val="20"/>
        </w:rPr>
        <w:t>Wayne A Bolton</w:t>
      </w:r>
      <w:r w:rsidR="0030705A" w:rsidRPr="009451DA">
        <w:rPr>
          <w:rFonts w:ascii="Arial" w:hAnsi="Arial" w:cs="Arial"/>
          <w:sz w:val="20"/>
          <w:szCs w:val="20"/>
        </w:rPr>
        <w:t xml:space="preserve"> et al</w:t>
      </w:r>
      <w:r w:rsidRPr="009451DA">
        <w:rPr>
          <w:rFonts w:ascii="Arial" w:hAnsi="Arial" w:cs="Arial"/>
          <w:sz w:val="20"/>
          <w:szCs w:val="20"/>
        </w:rPr>
        <w:t xml:space="preserve"> </w:t>
      </w:r>
      <w:r w:rsidR="00610BAB" w:rsidRPr="009451DA">
        <w:rPr>
          <w:rFonts w:ascii="Arial" w:hAnsi="Arial" w:cs="Arial"/>
          <w:sz w:val="20"/>
          <w:szCs w:val="20"/>
          <w:vertAlign w:val="superscript"/>
        </w:rPr>
        <w:t>[3</w:t>
      </w:r>
      <w:r w:rsidR="008153C6" w:rsidRPr="009451DA">
        <w:rPr>
          <w:rFonts w:ascii="Arial" w:hAnsi="Arial" w:cs="Arial"/>
          <w:sz w:val="20"/>
          <w:szCs w:val="20"/>
          <w:vertAlign w:val="superscript"/>
        </w:rPr>
        <w:t>]</w:t>
      </w:r>
      <w:r w:rsidR="008153C6" w:rsidRPr="009451DA">
        <w:rPr>
          <w:rFonts w:ascii="Arial" w:hAnsi="Arial" w:cs="Arial"/>
          <w:sz w:val="20"/>
          <w:szCs w:val="20"/>
        </w:rPr>
        <w:t xml:space="preserve"> </w:t>
      </w:r>
      <w:r w:rsidRPr="009451DA">
        <w:rPr>
          <w:rFonts w:ascii="Arial" w:hAnsi="Arial" w:cs="Arial"/>
          <w:sz w:val="20"/>
          <w:szCs w:val="20"/>
        </w:rPr>
        <w:t>(1958) proposed "Bolton's analysis" to examine the tooth size disparity. He examined dental casts and developed two ratios for assessing tooth size disparity, comparing the mesio-distal widths of mandibular and maxillary anterior six teeth (anterior ratio) and permanent molar to molar twelve teeth (overall ratio) on Caucasians of all ethnicities and genders. Even though it is widely acknowledged, its applicability in different populations is being questioned.</w:t>
      </w:r>
    </w:p>
    <w:p w:rsidR="008153C6" w:rsidRPr="009451DA" w:rsidRDefault="008153C6" w:rsidP="0018597D">
      <w:pPr>
        <w:spacing w:line="480" w:lineRule="auto"/>
        <w:jc w:val="both"/>
        <w:rPr>
          <w:rFonts w:ascii="Arial" w:hAnsi="Arial" w:cs="Arial"/>
          <w:sz w:val="20"/>
          <w:szCs w:val="20"/>
        </w:rPr>
      </w:pPr>
      <w:r w:rsidRPr="009451DA">
        <w:rPr>
          <w:rFonts w:ascii="Arial" w:hAnsi="Arial" w:cs="Arial"/>
          <w:sz w:val="20"/>
          <w:szCs w:val="20"/>
        </w:rPr>
        <w:t xml:space="preserve">Lundstrom </w:t>
      </w:r>
      <w:r w:rsidR="0030705A" w:rsidRPr="009451DA">
        <w:rPr>
          <w:rFonts w:ascii="Arial" w:hAnsi="Arial" w:cs="Arial"/>
          <w:sz w:val="20"/>
          <w:szCs w:val="20"/>
        </w:rPr>
        <w:t>et al</w:t>
      </w:r>
      <w:r w:rsidR="00610BAB" w:rsidRPr="009451DA">
        <w:rPr>
          <w:rFonts w:ascii="Arial" w:hAnsi="Arial" w:cs="Arial"/>
          <w:sz w:val="20"/>
          <w:szCs w:val="20"/>
          <w:vertAlign w:val="superscript"/>
        </w:rPr>
        <w:t>[4</w:t>
      </w:r>
      <w:r w:rsidRPr="009451DA">
        <w:rPr>
          <w:rFonts w:ascii="Arial" w:hAnsi="Arial" w:cs="Arial"/>
          <w:sz w:val="20"/>
          <w:szCs w:val="20"/>
          <w:vertAlign w:val="superscript"/>
        </w:rPr>
        <w:t>]</w:t>
      </w:r>
      <w:r w:rsidRPr="009451DA">
        <w:rPr>
          <w:rFonts w:ascii="Arial" w:hAnsi="Arial" w:cs="Arial"/>
          <w:sz w:val="20"/>
          <w:szCs w:val="20"/>
        </w:rPr>
        <w:t xml:space="preserve"> (1955) conducted a review of the European literature on tooth disharmonies and concluded that there was a strong hereditary predisposition in the mesiodistal width of tooth size, and so no single analysis could be applied to all populations. Jaw and tooth size varies from population to population. Because tooth growth is influenced by both inherited and environmental factors, the question of whether or not to treat other populations according to Caucasian standards arises.</w:t>
      </w:r>
    </w:p>
    <w:p w:rsidR="008153C6" w:rsidRPr="009451DA" w:rsidRDefault="008153C6" w:rsidP="008153C6">
      <w:pPr>
        <w:spacing w:line="480" w:lineRule="auto"/>
        <w:jc w:val="both"/>
        <w:rPr>
          <w:rFonts w:ascii="Arial" w:hAnsi="Arial" w:cs="Arial"/>
          <w:sz w:val="20"/>
          <w:szCs w:val="20"/>
        </w:rPr>
      </w:pPr>
      <w:r w:rsidRPr="009451DA">
        <w:rPr>
          <w:rFonts w:ascii="Arial" w:hAnsi="Arial" w:cs="Arial"/>
          <w:sz w:val="20"/>
          <w:szCs w:val="20"/>
        </w:rPr>
        <w:t xml:space="preserve">The literature review by Lavelle </w:t>
      </w:r>
      <w:r w:rsidR="0030705A" w:rsidRPr="009451DA">
        <w:rPr>
          <w:rFonts w:ascii="Arial" w:hAnsi="Arial" w:cs="Arial"/>
          <w:sz w:val="20"/>
          <w:szCs w:val="20"/>
        </w:rPr>
        <w:t>et al</w:t>
      </w:r>
      <w:r w:rsidR="00610BAB" w:rsidRPr="009451DA">
        <w:rPr>
          <w:rFonts w:ascii="Arial" w:hAnsi="Arial" w:cs="Arial"/>
          <w:sz w:val="20"/>
          <w:szCs w:val="20"/>
          <w:vertAlign w:val="superscript"/>
        </w:rPr>
        <w:t>[5</w:t>
      </w:r>
      <w:r w:rsidRPr="009451DA">
        <w:rPr>
          <w:rFonts w:ascii="Arial" w:hAnsi="Arial" w:cs="Arial"/>
          <w:sz w:val="20"/>
          <w:szCs w:val="20"/>
          <w:vertAlign w:val="superscript"/>
        </w:rPr>
        <w:t>]</w:t>
      </w:r>
      <w:r w:rsidRPr="009451DA">
        <w:rPr>
          <w:rFonts w:ascii="Arial" w:hAnsi="Arial" w:cs="Arial"/>
          <w:sz w:val="20"/>
          <w:szCs w:val="20"/>
        </w:rPr>
        <w:t xml:space="preserve"> (1972) indicated that tooth size ratios have an ethnic, racial, and sexual variation. Few authors have also proposed an intermaxillary ratio analysis designed to localize discrepancies in tooth size for the Indian population of Maratha</w:t>
      </w:r>
      <w:r w:rsidR="00610BAB" w:rsidRPr="009451DA">
        <w:rPr>
          <w:rFonts w:ascii="Arial" w:hAnsi="Arial" w:cs="Arial"/>
          <w:sz w:val="20"/>
          <w:szCs w:val="20"/>
          <w:vertAlign w:val="superscript"/>
        </w:rPr>
        <w:t xml:space="preserve"> [6</w:t>
      </w:r>
      <w:r w:rsidRPr="009451DA">
        <w:rPr>
          <w:rFonts w:ascii="Arial" w:hAnsi="Arial" w:cs="Arial"/>
          <w:sz w:val="20"/>
          <w:szCs w:val="20"/>
          <w:vertAlign w:val="superscript"/>
        </w:rPr>
        <w:t>]</w:t>
      </w:r>
      <w:r w:rsidRPr="009451DA">
        <w:rPr>
          <w:rFonts w:ascii="Arial" w:hAnsi="Arial" w:cs="Arial"/>
          <w:sz w:val="20"/>
          <w:szCs w:val="20"/>
        </w:rPr>
        <w:t xml:space="preserve">, </w:t>
      </w:r>
      <w:r w:rsidRPr="009451DA">
        <w:rPr>
          <w:rFonts w:ascii="Arial" w:hAnsi="Arial" w:cs="Arial"/>
          <w:sz w:val="20"/>
          <w:szCs w:val="20"/>
          <w:vertAlign w:val="superscript"/>
        </w:rPr>
        <w:t xml:space="preserve">  </w:t>
      </w:r>
      <w:r w:rsidRPr="009451DA">
        <w:rPr>
          <w:rFonts w:ascii="Arial" w:hAnsi="Arial" w:cs="Arial"/>
          <w:sz w:val="20"/>
          <w:szCs w:val="20"/>
        </w:rPr>
        <w:t>Jaipur</w:t>
      </w:r>
      <w:r w:rsidR="00610BAB" w:rsidRPr="009451DA">
        <w:rPr>
          <w:rFonts w:ascii="Arial" w:hAnsi="Arial" w:cs="Arial"/>
          <w:sz w:val="20"/>
          <w:szCs w:val="20"/>
          <w:vertAlign w:val="superscript"/>
        </w:rPr>
        <w:t xml:space="preserve"> [7</w:t>
      </w:r>
      <w:r w:rsidRPr="009451DA">
        <w:rPr>
          <w:rFonts w:ascii="Arial" w:hAnsi="Arial" w:cs="Arial"/>
          <w:sz w:val="20"/>
          <w:szCs w:val="20"/>
          <w:vertAlign w:val="superscript"/>
        </w:rPr>
        <w:t>]</w:t>
      </w:r>
      <w:r w:rsidRPr="009451DA">
        <w:rPr>
          <w:rFonts w:ascii="Arial" w:hAnsi="Arial" w:cs="Arial"/>
          <w:sz w:val="20"/>
          <w:szCs w:val="20"/>
        </w:rPr>
        <w:t xml:space="preserve">, Telangana </w:t>
      </w:r>
      <w:r w:rsidR="00610BAB" w:rsidRPr="009451DA">
        <w:rPr>
          <w:rFonts w:ascii="Arial" w:hAnsi="Arial" w:cs="Arial"/>
          <w:sz w:val="20"/>
          <w:szCs w:val="20"/>
          <w:vertAlign w:val="superscript"/>
        </w:rPr>
        <w:t>[8</w:t>
      </w:r>
      <w:r w:rsidRPr="009451DA">
        <w:rPr>
          <w:rFonts w:ascii="Arial" w:hAnsi="Arial" w:cs="Arial"/>
          <w:sz w:val="20"/>
          <w:szCs w:val="20"/>
          <w:vertAlign w:val="superscript"/>
        </w:rPr>
        <w:t>]</w:t>
      </w:r>
      <w:r w:rsidRPr="009451DA">
        <w:rPr>
          <w:rFonts w:ascii="Arial" w:hAnsi="Arial" w:cs="Arial"/>
          <w:sz w:val="20"/>
          <w:szCs w:val="20"/>
        </w:rPr>
        <w:t xml:space="preserve">, and Chattisgarh population </w:t>
      </w:r>
      <w:r w:rsidR="00610BAB" w:rsidRPr="009451DA">
        <w:rPr>
          <w:rFonts w:ascii="Arial" w:hAnsi="Arial" w:cs="Arial"/>
          <w:sz w:val="20"/>
          <w:szCs w:val="20"/>
          <w:vertAlign w:val="superscript"/>
        </w:rPr>
        <w:t>[9</w:t>
      </w:r>
      <w:r w:rsidRPr="009451DA">
        <w:rPr>
          <w:rFonts w:ascii="Arial" w:hAnsi="Arial" w:cs="Arial"/>
          <w:sz w:val="20"/>
          <w:szCs w:val="20"/>
          <w:vertAlign w:val="superscript"/>
        </w:rPr>
        <w:t>]</w:t>
      </w:r>
      <w:r w:rsidRPr="009451DA">
        <w:rPr>
          <w:rFonts w:ascii="Arial" w:hAnsi="Arial" w:cs="Arial"/>
          <w:sz w:val="20"/>
          <w:szCs w:val="20"/>
        </w:rPr>
        <w:t>.</w:t>
      </w:r>
    </w:p>
    <w:p w:rsidR="0030705A" w:rsidRPr="009451DA" w:rsidRDefault="0030705A" w:rsidP="0030705A">
      <w:pPr>
        <w:spacing w:line="480" w:lineRule="auto"/>
        <w:jc w:val="both"/>
        <w:rPr>
          <w:rFonts w:ascii="Arial" w:hAnsi="Arial" w:cs="Arial"/>
          <w:sz w:val="20"/>
          <w:szCs w:val="20"/>
        </w:rPr>
      </w:pPr>
      <w:r w:rsidRPr="009451DA">
        <w:rPr>
          <w:rFonts w:ascii="Arial" w:hAnsi="Arial" w:cs="Arial"/>
          <w:sz w:val="20"/>
          <w:szCs w:val="20"/>
        </w:rPr>
        <w:t>Likewise, there arose a need to evaluate the mesio-distal dimension to treat the Central India population with orthodontic</w:t>
      </w:r>
      <w:r w:rsidR="00BD4D6B">
        <w:rPr>
          <w:rFonts w:ascii="Arial" w:hAnsi="Arial" w:cs="Arial"/>
          <w:sz w:val="20"/>
          <w:szCs w:val="20"/>
        </w:rPr>
        <w:t xml:space="preserve"> treatment. The present</w:t>
      </w:r>
      <w:r w:rsidRPr="009451DA">
        <w:rPr>
          <w:rFonts w:ascii="Arial" w:hAnsi="Arial" w:cs="Arial"/>
          <w:sz w:val="20"/>
          <w:szCs w:val="20"/>
        </w:rPr>
        <w:t xml:space="preserve"> study was thus planned with an objective to;</w:t>
      </w:r>
    </w:p>
    <w:p w:rsidR="0030705A" w:rsidRPr="009451DA" w:rsidRDefault="0030705A" w:rsidP="0030705A">
      <w:pPr>
        <w:spacing w:line="480" w:lineRule="auto"/>
        <w:jc w:val="both"/>
        <w:rPr>
          <w:rFonts w:ascii="Arial" w:hAnsi="Arial" w:cs="Arial"/>
          <w:sz w:val="20"/>
          <w:szCs w:val="20"/>
        </w:rPr>
      </w:pPr>
      <w:r w:rsidRPr="009451DA">
        <w:rPr>
          <w:rFonts w:ascii="Arial" w:hAnsi="Arial" w:cs="Arial"/>
          <w:sz w:val="20"/>
          <w:szCs w:val="20"/>
        </w:rPr>
        <w:lastRenderedPageBreak/>
        <w:t xml:space="preserve">1) To evaluate and compare the mesio-distal dimension (anterior ratio, overall ratio) in males and females. </w:t>
      </w:r>
    </w:p>
    <w:p w:rsidR="008153C6" w:rsidRPr="009451DA" w:rsidRDefault="0030705A" w:rsidP="0030705A">
      <w:pPr>
        <w:spacing w:line="480" w:lineRule="auto"/>
        <w:jc w:val="both"/>
        <w:rPr>
          <w:rFonts w:ascii="Arial" w:hAnsi="Arial" w:cs="Arial"/>
          <w:sz w:val="20"/>
          <w:szCs w:val="20"/>
        </w:rPr>
      </w:pPr>
      <w:r w:rsidRPr="009451DA">
        <w:rPr>
          <w:rFonts w:ascii="Arial" w:hAnsi="Arial" w:cs="Arial"/>
          <w:sz w:val="20"/>
          <w:szCs w:val="20"/>
        </w:rPr>
        <w:t xml:space="preserve">2) To compare mesio-distal dimension (anterior ratio, overall ratio) in female patients with norms given by Bolton’s for female patients.     </w:t>
      </w:r>
    </w:p>
    <w:p w:rsidR="008153C6" w:rsidRPr="009451DA" w:rsidRDefault="008153C6" w:rsidP="0018597D">
      <w:pPr>
        <w:spacing w:line="480" w:lineRule="auto"/>
        <w:jc w:val="both"/>
        <w:rPr>
          <w:rFonts w:ascii="Arial" w:hAnsi="Arial" w:cs="Arial"/>
          <w:sz w:val="20"/>
          <w:szCs w:val="20"/>
        </w:rPr>
      </w:pPr>
    </w:p>
    <w:p w:rsidR="008153C6" w:rsidRPr="009451DA" w:rsidRDefault="008153C6" w:rsidP="0018597D">
      <w:pPr>
        <w:spacing w:line="480" w:lineRule="auto"/>
        <w:jc w:val="both"/>
        <w:rPr>
          <w:rFonts w:ascii="Arial" w:hAnsi="Arial" w:cs="Arial"/>
          <w:sz w:val="20"/>
          <w:szCs w:val="20"/>
        </w:rPr>
      </w:pPr>
    </w:p>
    <w:p w:rsidR="0018597D" w:rsidRPr="009451DA" w:rsidRDefault="0018597D" w:rsidP="0018597D">
      <w:pPr>
        <w:spacing w:line="480" w:lineRule="auto"/>
        <w:jc w:val="both"/>
        <w:rPr>
          <w:rFonts w:ascii="Arial" w:hAnsi="Arial" w:cs="Arial"/>
        </w:rPr>
      </w:pPr>
    </w:p>
    <w:p w:rsidR="0030705A" w:rsidRPr="009451DA" w:rsidRDefault="0030705A" w:rsidP="009451DA">
      <w:pPr>
        <w:rPr>
          <w:rFonts w:ascii="Arial" w:hAnsi="Arial" w:cs="Arial"/>
        </w:rPr>
      </w:pPr>
      <w:r w:rsidRPr="009451DA">
        <w:rPr>
          <w:rFonts w:ascii="Arial" w:hAnsi="Arial" w:cs="Arial"/>
          <w:b/>
        </w:rPr>
        <w:t>Materials and methods:</w:t>
      </w:r>
    </w:p>
    <w:p w:rsidR="00262385" w:rsidRPr="009451DA" w:rsidRDefault="00A367DF" w:rsidP="00262385">
      <w:pPr>
        <w:spacing w:line="480" w:lineRule="auto"/>
        <w:jc w:val="both"/>
        <w:rPr>
          <w:rFonts w:ascii="Arial" w:hAnsi="Arial" w:cs="Arial"/>
          <w:sz w:val="20"/>
          <w:szCs w:val="20"/>
        </w:rPr>
      </w:pPr>
      <w:r w:rsidRPr="009451DA">
        <w:rPr>
          <w:rFonts w:ascii="Arial" w:hAnsi="Arial" w:cs="Arial"/>
          <w:sz w:val="20"/>
          <w:szCs w:val="20"/>
        </w:rPr>
        <w:t>The Department of Orthodontics provi</w:t>
      </w:r>
      <w:r w:rsidR="00BD4D6B">
        <w:rPr>
          <w:rFonts w:ascii="Arial" w:hAnsi="Arial" w:cs="Arial"/>
          <w:sz w:val="20"/>
          <w:szCs w:val="20"/>
        </w:rPr>
        <w:t>ded dental research casts of 125</w:t>
      </w:r>
      <w:bookmarkStart w:id="0" w:name="_GoBack"/>
      <w:bookmarkEnd w:id="0"/>
      <w:r w:rsidRPr="009451DA">
        <w:rPr>
          <w:rFonts w:ascii="Arial" w:hAnsi="Arial" w:cs="Arial"/>
          <w:sz w:val="20"/>
          <w:szCs w:val="20"/>
        </w:rPr>
        <w:t xml:space="preserve"> adult patients (62 male and 63 female) with all second molars erupted (15-30 years). The sample size was calculated based on the mean and standard deviation values from Bolton's </w:t>
      </w:r>
      <w:r w:rsidR="002E6036" w:rsidRPr="009451DA">
        <w:rPr>
          <w:rFonts w:ascii="Arial" w:hAnsi="Arial" w:cs="Arial"/>
          <w:sz w:val="20"/>
          <w:szCs w:val="20"/>
        </w:rPr>
        <w:t>study</w:t>
      </w:r>
      <w:r w:rsidR="002E6036" w:rsidRPr="009451DA">
        <w:rPr>
          <w:rFonts w:ascii="Arial" w:hAnsi="Arial" w:cs="Arial"/>
          <w:sz w:val="20"/>
          <w:szCs w:val="20"/>
          <w:vertAlign w:val="superscript"/>
        </w:rPr>
        <w:t xml:space="preserve"> [</w:t>
      </w:r>
      <w:r w:rsidR="00610BAB" w:rsidRPr="009451DA">
        <w:rPr>
          <w:rFonts w:ascii="Arial" w:hAnsi="Arial" w:cs="Arial"/>
          <w:sz w:val="20"/>
          <w:szCs w:val="20"/>
          <w:vertAlign w:val="superscript"/>
        </w:rPr>
        <w:t>3</w:t>
      </w:r>
      <w:r w:rsidR="002E6036" w:rsidRPr="009451DA">
        <w:rPr>
          <w:rFonts w:ascii="Arial" w:hAnsi="Arial" w:cs="Arial"/>
          <w:sz w:val="20"/>
          <w:szCs w:val="20"/>
          <w:vertAlign w:val="superscript"/>
        </w:rPr>
        <w:t>]</w:t>
      </w:r>
      <w:r w:rsidR="002E6036" w:rsidRPr="009451DA">
        <w:rPr>
          <w:rFonts w:ascii="Arial" w:hAnsi="Arial" w:cs="Arial"/>
          <w:sz w:val="20"/>
          <w:szCs w:val="20"/>
        </w:rPr>
        <w:t>. The individuals were selected at random from the department's retrospective data. Pre-orthodontic treatment casts were chosen based on the following criteria: all permanent teeth in both arches, no mesio-distal or occlusal abrasions, caries, restorations, dental prosthesis, tooth anomalies, and patients whose case histories revealed that they were born in Central India and that their parents had lived here for many years.</w:t>
      </w:r>
      <w:r w:rsidR="00262385" w:rsidRPr="009451DA">
        <w:rPr>
          <w:rFonts w:ascii="Arial" w:hAnsi="Arial" w:cs="Arial"/>
          <w:sz w:val="20"/>
          <w:szCs w:val="20"/>
        </w:rPr>
        <w:t xml:space="preserve"> This study were approved by ethical committee and the IRB(Institutional Review Board) number for this study is DMIMS(DU)/IEC/2019/7985 .</w:t>
      </w:r>
    </w:p>
    <w:p w:rsidR="002E6036" w:rsidRPr="009451DA" w:rsidRDefault="002E6036" w:rsidP="002E6036">
      <w:pPr>
        <w:spacing w:line="480" w:lineRule="auto"/>
        <w:jc w:val="both"/>
        <w:rPr>
          <w:rFonts w:ascii="Arial" w:hAnsi="Arial" w:cs="Arial"/>
          <w:sz w:val="20"/>
          <w:szCs w:val="20"/>
        </w:rPr>
      </w:pPr>
      <w:r w:rsidRPr="009451DA">
        <w:rPr>
          <w:rFonts w:ascii="Arial" w:hAnsi="Arial" w:cs="Arial"/>
          <w:sz w:val="20"/>
          <w:szCs w:val="20"/>
        </w:rPr>
        <w:t xml:space="preserve">The mesio-distal widths of the teeth (nearest 0.01 mm) on the study models were calculated using a </w:t>
      </w:r>
      <w:r w:rsidR="008A652F">
        <w:rPr>
          <w:rFonts w:ascii="Arial" w:hAnsi="Arial" w:cs="Arial"/>
          <w:sz w:val="20"/>
          <w:szCs w:val="20"/>
        </w:rPr>
        <w:t xml:space="preserve">standardized </w:t>
      </w:r>
      <w:r w:rsidRPr="009451DA">
        <w:rPr>
          <w:rFonts w:ascii="Arial" w:hAnsi="Arial" w:cs="Arial"/>
          <w:sz w:val="20"/>
          <w:szCs w:val="20"/>
        </w:rPr>
        <w:t>digita</w:t>
      </w:r>
      <w:r w:rsidR="008A652F">
        <w:rPr>
          <w:rFonts w:ascii="Arial" w:hAnsi="Arial" w:cs="Arial"/>
          <w:sz w:val="20"/>
          <w:szCs w:val="20"/>
        </w:rPr>
        <w:t>l vernier</w:t>
      </w:r>
      <w:r w:rsidRPr="009451DA">
        <w:rPr>
          <w:rFonts w:ascii="Arial" w:hAnsi="Arial" w:cs="Arial"/>
          <w:sz w:val="20"/>
          <w:szCs w:val="20"/>
        </w:rPr>
        <w:t xml:space="preserve"> calliper</w:t>
      </w:r>
      <w:r w:rsidR="008A652F">
        <w:rPr>
          <w:rFonts w:ascii="Arial" w:hAnsi="Arial" w:cs="Arial"/>
          <w:sz w:val="20"/>
          <w:szCs w:val="20"/>
        </w:rPr>
        <w:t xml:space="preserve"> </w:t>
      </w:r>
      <w:r w:rsidR="008A652F" w:rsidRPr="009451DA">
        <w:rPr>
          <w:rFonts w:ascii="Arial" w:hAnsi="Arial" w:cs="Arial"/>
          <w:sz w:val="20"/>
          <w:szCs w:val="20"/>
        </w:rPr>
        <w:t>(figure-1)</w:t>
      </w:r>
      <w:r w:rsidRPr="009451DA">
        <w:rPr>
          <w:rFonts w:ascii="Arial" w:hAnsi="Arial" w:cs="Arial"/>
          <w:sz w:val="20"/>
          <w:szCs w:val="20"/>
        </w:rPr>
        <w:t xml:space="preserve">, and the anterior and overall ratios were calculated using Bolton's formulas </w:t>
      </w:r>
      <w:r w:rsidR="00610BAB" w:rsidRPr="009451DA">
        <w:rPr>
          <w:rFonts w:ascii="Arial" w:hAnsi="Arial" w:cs="Arial"/>
          <w:sz w:val="20"/>
          <w:szCs w:val="20"/>
          <w:vertAlign w:val="superscript"/>
        </w:rPr>
        <w:t>[3</w:t>
      </w:r>
      <w:r w:rsidRPr="009451DA">
        <w:rPr>
          <w:rFonts w:ascii="Arial" w:hAnsi="Arial" w:cs="Arial"/>
          <w:sz w:val="20"/>
          <w:szCs w:val="20"/>
          <w:vertAlign w:val="superscript"/>
        </w:rPr>
        <w:t>]</w:t>
      </w:r>
      <w:r w:rsidRPr="009451DA">
        <w:rPr>
          <w:rFonts w:ascii="Arial" w:hAnsi="Arial" w:cs="Arial"/>
          <w:sz w:val="20"/>
          <w:szCs w:val="20"/>
        </w:rPr>
        <w:t>. The dental casts were re-evaluated by the same investigator two months later to confirm measurement accuracy, and a reliability test was conducted to the first and second values. The standard deviations were used to calculate random error.</w:t>
      </w:r>
    </w:p>
    <w:p w:rsidR="009144FB" w:rsidRPr="009451DA" w:rsidRDefault="009144FB" w:rsidP="009144FB">
      <w:pPr>
        <w:spacing w:line="480" w:lineRule="auto"/>
        <w:jc w:val="both"/>
        <w:rPr>
          <w:rFonts w:ascii="Arial" w:hAnsi="Arial" w:cs="Arial"/>
          <w:sz w:val="20"/>
          <w:szCs w:val="20"/>
        </w:rPr>
      </w:pPr>
      <w:r w:rsidRPr="009451DA">
        <w:rPr>
          <w:rFonts w:ascii="Arial" w:hAnsi="Arial" w:cs="Arial"/>
          <w:noProof/>
          <w:sz w:val="20"/>
          <w:szCs w:val="20"/>
          <w:lang w:eastAsia="en-IN"/>
        </w:rPr>
        <w:lastRenderedPageBreak/>
        <w:drawing>
          <wp:inline distT="0" distB="0" distL="0" distR="0" wp14:anchorId="0AB4A7B5" wp14:editId="4F928FB0">
            <wp:extent cx="2607933" cy="2065623"/>
            <wp:effectExtent l="0" t="0" r="2540" b="0"/>
            <wp:docPr id="4" name="Picture 4" descr="E:\data0\JIndianSocPedodPrevDent_2013_31_1_36_112405_u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453122" name="Picture 1" descr="E:\data0\JIndianSocPedodPrevDent_2013_31_1_36_112405_u9.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649705" cy="2098709"/>
                    </a:xfrm>
                    <a:prstGeom prst="rect">
                      <a:avLst/>
                    </a:prstGeom>
                    <a:noFill/>
                    <a:ln>
                      <a:noFill/>
                    </a:ln>
                  </pic:spPr>
                </pic:pic>
              </a:graphicData>
            </a:graphic>
          </wp:inline>
        </w:drawing>
      </w:r>
    </w:p>
    <w:p w:rsidR="009144FB" w:rsidRPr="009451DA" w:rsidRDefault="009144FB" w:rsidP="009144FB">
      <w:pPr>
        <w:spacing w:line="480" w:lineRule="auto"/>
        <w:jc w:val="both"/>
        <w:rPr>
          <w:rFonts w:ascii="Arial" w:hAnsi="Arial" w:cs="Arial"/>
          <w:b/>
          <w:sz w:val="20"/>
          <w:szCs w:val="20"/>
        </w:rPr>
      </w:pPr>
      <w:r w:rsidRPr="009451DA">
        <w:rPr>
          <w:rFonts w:ascii="Arial" w:hAnsi="Arial" w:cs="Arial"/>
          <w:b/>
          <w:sz w:val="20"/>
          <w:szCs w:val="20"/>
        </w:rPr>
        <w:t>Figure 1- Use of digital caliper to evaluate the mesio-distal dimension.</w:t>
      </w:r>
    </w:p>
    <w:p w:rsidR="00373F0D" w:rsidRPr="009451DA" w:rsidRDefault="002E6036" w:rsidP="009144FB">
      <w:pPr>
        <w:spacing w:line="480" w:lineRule="auto"/>
        <w:jc w:val="both"/>
        <w:rPr>
          <w:rFonts w:ascii="Arial" w:hAnsi="Arial" w:cs="Arial"/>
          <w:b/>
          <w:sz w:val="20"/>
          <w:szCs w:val="20"/>
        </w:rPr>
      </w:pPr>
      <w:r w:rsidRPr="009451DA">
        <w:rPr>
          <w:rFonts w:ascii="Arial" w:hAnsi="Arial" w:cs="Arial"/>
          <w:sz w:val="20"/>
          <w:szCs w:val="20"/>
        </w:rPr>
        <w:t xml:space="preserve">The range, standard deviation, and mean of the generated data were statistically examined. To discriminate between the results of the following investigation and the results of Bolton's study, an unpaired t-test was used. A paired t-test was performed to compare male and female results, and a z value was utilised to compare the results to Bolton's norms </w:t>
      </w:r>
      <w:r w:rsidR="00610BAB" w:rsidRPr="009451DA">
        <w:rPr>
          <w:rFonts w:ascii="Arial" w:hAnsi="Arial" w:cs="Arial"/>
          <w:sz w:val="20"/>
          <w:szCs w:val="20"/>
          <w:vertAlign w:val="superscript"/>
        </w:rPr>
        <w:t>[3</w:t>
      </w:r>
      <w:r w:rsidRPr="009451DA">
        <w:rPr>
          <w:rFonts w:ascii="Arial" w:hAnsi="Arial" w:cs="Arial"/>
          <w:sz w:val="20"/>
          <w:szCs w:val="20"/>
          <w:vertAlign w:val="superscript"/>
        </w:rPr>
        <w:t>]</w:t>
      </w:r>
      <w:r w:rsidR="00373F0D" w:rsidRPr="009451DA">
        <w:rPr>
          <w:rFonts w:ascii="Arial" w:hAnsi="Arial" w:cs="Arial"/>
          <w:sz w:val="20"/>
          <w:szCs w:val="20"/>
        </w:rPr>
        <w:t>.</w:t>
      </w:r>
    </w:p>
    <w:p w:rsidR="00373F0D" w:rsidRPr="009451DA" w:rsidRDefault="00373F0D" w:rsidP="00E46D45">
      <w:pPr>
        <w:spacing w:line="480" w:lineRule="auto"/>
        <w:jc w:val="both"/>
        <w:rPr>
          <w:rFonts w:ascii="Arial" w:hAnsi="Arial" w:cs="Arial"/>
          <w:b/>
        </w:rPr>
      </w:pPr>
    </w:p>
    <w:p w:rsidR="00373F0D" w:rsidRPr="009451DA" w:rsidRDefault="00E46D45" w:rsidP="00373F0D">
      <w:pPr>
        <w:spacing w:line="480" w:lineRule="auto"/>
        <w:jc w:val="both"/>
        <w:rPr>
          <w:rFonts w:ascii="Arial" w:hAnsi="Arial" w:cs="Arial"/>
          <w:b/>
        </w:rPr>
      </w:pPr>
      <w:r w:rsidRPr="009451DA">
        <w:rPr>
          <w:rFonts w:ascii="Arial" w:hAnsi="Arial" w:cs="Arial"/>
          <w:b/>
        </w:rPr>
        <w:t>Results:</w:t>
      </w:r>
    </w:p>
    <w:tbl>
      <w:tblPr>
        <w:tblpPr w:leftFromText="180" w:rightFromText="180" w:vertAnchor="text" w:horzAnchor="margin" w:tblpXSpec="center" w:tblpY="1030"/>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99"/>
        <w:gridCol w:w="467"/>
        <w:gridCol w:w="1149"/>
        <w:gridCol w:w="1276"/>
        <w:gridCol w:w="815"/>
        <w:gridCol w:w="1669"/>
      </w:tblGrid>
      <w:tr w:rsidR="009E2A26" w:rsidRPr="009451DA" w:rsidTr="009E2A26">
        <w:trPr>
          <w:cantSplit/>
        </w:trPr>
        <w:tc>
          <w:tcPr>
            <w:tcW w:w="2699" w:type="dxa"/>
            <w:shd w:val="clear" w:color="auto" w:fill="FFFFFF"/>
            <w:vAlign w:val="center"/>
          </w:tcPr>
          <w:p w:rsidR="009E2A26" w:rsidRPr="009451DA" w:rsidRDefault="009E2A26" w:rsidP="009E2A26">
            <w:pPr>
              <w:spacing w:line="480" w:lineRule="auto"/>
              <w:jc w:val="both"/>
              <w:rPr>
                <w:rFonts w:ascii="Arial" w:hAnsi="Arial" w:cs="Arial"/>
                <w:sz w:val="20"/>
                <w:szCs w:val="20"/>
              </w:rPr>
            </w:pPr>
          </w:p>
        </w:tc>
        <w:tc>
          <w:tcPr>
            <w:tcW w:w="467" w:type="dxa"/>
            <w:shd w:val="clear" w:color="auto" w:fill="FFFFFF"/>
            <w:vAlign w:val="center"/>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N</w:t>
            </w:r>
          </w:p>
        </w:tc>
        <w:tc>
          <w:tcPr>
            <w:tcW w:w="1149" w:type="dxa"/>
            <w:shd w:val="clear" w:color="auto" w:fill="FFFFFF"/>
            <w:vAlign w:val="center"/>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Minimum</w:t>
            </w:r>
          </w:p>
        </w:tc>
        <w:tc>
          <w:tcPr>
            <w:tcW w:w="1276" w:type="dxa"/>
            <w:shd w:val="clear" w:color="auto" w:fill="FFFFFF"/>
            <w:vAlign w:val="center"/>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Maximum</w:t>
            </w:r>
          </w:p>
        </w:tc>
        <w:tc>
          <w:tcPr>
            <w:tcW w:w="815" w:type="dxa"/>
            <w:shd w:val="clear" w:color="auto" w:fill="FFFFFF"/>
            <w:vAlign w:val="center"/>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Mean</w:t>
            </w:r>
          </w:p>
        </w:tc>
        <w:tc>
          <w:tcPr>
            <w:tcW w:w="1669" w:type="dxa"/>
            <w:shd w:val="clear" w:color="auto" w:fill="FFFFFF"/>
            <w:vAlign w:val="center"/>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Std. Deviation</w:t>
            </w:r>
          </w:p>
        </w:tc>
      </w:tr>
      <w:tr w:rsidR="009E2A26" w:rsidRPr="009451DA" w:rsidTr="009E2A26">
        <w:trPr>
          <w:cantSplit/>
        </w:trPr>
        <w:tc>
          <w:tcPr>
            <w:tcW w:w="2699" w:type="dxa"/>
            <w:shd w:val="clear" w:color="auto" w:fill="FFFFFF"/>
            <w:vAlign w:val="center"/>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Sum of mandibular 6</w:t>
            </w:r>
          </w:p>
        </w:tc>
        <w:tc>
          <w:tcPr>
            <w:tcW w:w="467" w:type="dxa"/>
            <w:shd w:val="clear" w:color="auto" w:fill="FFFFFF"/>
            <w:vAlign w:val="center"/>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62</w:t>
            </w:r>
          </w:p>
        </w:tc>
        <w:tc>
          <w:tcPr>
            <w:tcW w:w="1149" w:type="dxa"/>
            <w:shd w:val="clear" w:color="auto" w:fill="FFFFFF"/>
            <w:vAlign w:val="center"/>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29.00</w:t>
            </w:r>
          </w:p>
        </w:tc>
        <w:tc>
          <w:tcPr>
            <w:tcW w:w="1276" w:type="dxa"/>
            <w:shd w:val="clear" w:color="auto" w:fill="FFFFFF"/>
            <w:vAlign w:val="center"/>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46.00</w:t>
            </w:r>
          </w:p>
        </w:tc>
        <w:tc>
          <w:tcPr>
            <w:tcW w:w="815" w:type="dxa"/>
            <w:shd w:val="clear" w:color="auto" w:fill="FFFFFF"/>
            <w:vAlign w:val="center"/>
          </w:tcPr>
          <w:p w:rsidR="009E2A26" w:rsidRPr="009451DA" w:rsidRDefault="009E2A26" w:rsidP="009E2A26">
            <w:pPr>
              <w:spacing w:line="480" w:lineRule="auto"/>
              <w:jc w:val="both"/>
              <w:rPr>
                <w:rFonts w:ascii="Arial" w:hAnsi="Arial" w:cs="Arial"/>
                <w:b/>
                <w:sz w:val="20"/>
                <w:szCs w:val="20"/>
              </w:rPr>
            </w:pPr>
            <w:r w:rsidRPr="009451DA">
              <w:rPr>
                <w:rFonts w:ascii="Arial" w:hAnsi="Arial" w:cs="Arial"/>
                <w:b/>
                <w:sz w:val="20"/>
                <w:szCs w:val="20"/>
              </w:rPr>
              <w:t>36.86</w:t>
            </w:r>
          </w:p>
        </w:tc>
        <w:tc>
          <w:tcPr>
            <w:tcW w:w="1669" w:type="dxa"/>
            <w:shd w:val="clear" w:color="auto" w:fill="FFFFFF"/>
            <w:vAlign w:val="center"/>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3.69</w:t>
            </w:r>
          </w:p>
        </w:tc>
      </w:tr>
      <w:tr w:rsidR="009E2A26" w:rsidRPr="009451DA" w:rsidTr="009E2A26">
        <w:trPr>
          <w:cantSplit/>
        </w:trPr>
        <w:tc>
          <w:tcPr>
            <w:tcW w:w="2699" w:type="dxa"/>
            <w:shd w:val="clear" w:color="auto" w:fill="FFFFFF"/>
            <w:vAlign w:val="center"/>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Sum of maxillary 6</w:t>
            </w:r>
          </w:p>
        </w:tc>
        <w:tc>
          <w:tcPr>
            <w:tcW w:w="467" w:type="dxa"/>
            <w:shd w:val="clear" w:color="auto" w:fill="FFFFFF"/>
            <w:vAlign w:val="center"/>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62</w:t>
            </w:r>
          </w:p>
        </w:tc>
        <w:tc>
          <w:tcPr>
            <w:tcW w:w="1149" w:type="dxa"/>
            <w:shd w:val="clear" w:color="auto" w:fill="FFFFFF"/>
            <w:vAlign w:val="center"/>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41.00</w:t>
            </w:r>
          </w:p>
        </w:tc>
        <w:tc>
          <w:tcPr>
            <w:tcW w:w="1276" w:type="dxa"/>
            <w:shd w:val="clear" w:color="auto" w:fill="FFFFFF"/>
            <w:vAlign w:val="center"/>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55.00</w:t>
            </w:r>
          </w:p>
        </w:tc>
        <w:tc>
          <w:tcPr>
            <w:tcW w:w="815" w:type="dxa"/>
            <w:shd w:val="clear" w:color="auto" w:fill="FFFFFF"/>
            <w:vAlign w:val="center"/>
          </w:tcPr>
          <w:p w:rsidR="009E2A26" w:rsidRPr="009451DA" w:rsidRDefault="009E2A26" w:rsidP="009E2A26">
            <w:pPr>
              <w:spacing w:line="480" w:lineRule="auto"/>
              <w:jc w:val="both"/>
              <w:rPr>
                <w:rFonts w:ascii="Arial" w:hAnsi="Arial" w:cs="Arial"/>
                <w:b/>
                <w:sz w:val="20"/>
                <w:szCs w:val="20"/>
              </w:rPr>
            </w:pPr>
            <w:r w:rsidRPr="009451DA">
              <w:rPr>
                <w:rFonts w:ascii="Arial" w:hAnsi="Arial" w:cs="Arial"/>
                <w:b/>
                <w:sz w:val="20"/>
                <w:szCs w:val="20"/>
              </w:rPr>
              <w:t>47.44</w:t>
            </w:r>
          </w:p>
        </w:tc>
        <w:tc>
          <w:tcPr>
            <w:tcW w:w="1669" w:type="dxa"/>
            <w:shd w:val="clear" w:color="auto" w:fill="FFFFFF"/>
            <w:vAlign w:val="center"/>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3.85</w:t>
            </w:r>
          </w:p>
        </w:tc>
      </w:tr>
      <w:tr w:rsidR="009E2A26" w:rsidRPr="009451DA" w:rsidTr="009E2A26">
        <w:trPr>
          <w:cantSplit/>
        </w:trPr>
        <w:tc>
          <w:tcPr>
            <w:tcW w:w="2699" w:type="dxa"/>
            <w:shd w:val="clear" w:color="auto" w:fill="FFFFFF"/>
            <w:vAlign w:val="center"/>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 xml:space="preserve">Anterior Ratio </w:t>
            </w:r>
          </w:p>
        </w:tc>
        <w:tc>
          <w:tcPr>
            <w:tcW w:w="467" w:type="dxa"/>
            <w:shd w:val="clear" w:color="auto" w:fill="FFFFFF"/>
            <w:vAlign w:val="center"/>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62</w:t>
            </w:r>
          </w:p>
        </w:tc>
        <w:tc>
          <w:tcPr>
            <w:tcW w:w="1149" w:type="dxa"/>
            <w:shd w:val="clear" w:color="auto" w:fill="FFFFFF"/>
            <w:vAlign w:val="center"/>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64.52</w:t>
            </w:r>
          </w:p>
        </w:tc>
        <w:tc>
          <w:tcPr>
            <w:tcW w:w="1276" w:type="dxa"/>
            <w:shd w:val="clear" w:color="auto" w:fill="FFFFFF"/>
            <w:vAlign w:val="center"/>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90.69</w:t>
            </w:r>
          </w:p>
        </w:tc>
        <w:tc>
          <w:tcPr>
            <w:tcW w:w="815" w:type="dxa"/>
            <w:shd w:val="clear" w:color="auto" w:fill="FFFFFF"/>
            <w:vAlign w:val="center"/>
          </w:tcPr>
          <w:p w:rsidR="009E2A26" w:rsidRPr="009451DA" w:rsidRDefault="009E2A26" w:rsidP="009E2A26">
            <w:pPr>
              <w:spacing w:line="480" w:lineRule="auto"/>
              <w:jc w:val="both"/>
              <w:rPr>
                <w:rFonts w:ascii="Arial" w:hAnsi="Arial" w:cs="Arial"/>
                <w:b/>
                <w:sz w:val="20"/>
                <w:szCs w:val="20"/>
              </w:rPr>
            </w:pPr>
            <w:r w:rsidRPr="009451DA">
              <w:rPr>
                <w:rFonts w:ascii="Arial" w:hAnsi="Arial" w:cs="Arial"/>
                <w:b/>
                <w:sz w:val="20"/>
                <w:szCs w:val="20"/>
              </w:rPr>
              <w:t>77.83</w:t>
            </w:r>
          </w:p>
        </w:tc>
        <w:tc>
          <w:tcPr>
            <w:tcW w:w="1669" w:type="dxa"/>
            <w:shd w:val="clear" w:color="auto" w:fill="FFFFFF"/>
            <w:vAlign w:val="center"/>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6.42</w:t>
            </w:r>
          </w:p>
        </w:tc>
      </w:tr>
      <w:tr w:rsidR="009E2A26" w:rsidRPr="009451DA" w:rsidTr="009E2A26">
        <w:trPr>
          <w:cantSplit/>
        </w:trPr>
        <w:tc>
          <w:tcPr>
            <w:tcW w:w="2699" w:type="dxa"/>
            <w:shd w:val="clear" w:color="auto" w:fill="FFFFFF"/>
            <w:vAlign w:val="center"/>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Sum of mandibular 12</w:t>
            </w:r>
          </w:p>
        </w:tc>
        <w:tc>
          <w:tcPr>
            <w:tcW w:w="467" w:type="dxa"/>
            <w:shd w:val="clear" w:color="auto" w:fill="FFFFFF"/>
            <w:vAlign w:val="center"/>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62</w:t>
            </w:r>
          </w:p>
        </w:tc>
        <w:tc>
          <w:tcPr>
            <w:tcW w:w="1149" w:type="dxa"/>
            <w:shd w:val="clear" w:color="auto" w:fill="FFFFFF"/>
            <w:vAlign w:val="center"/>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72.00</w:t>
            </w:r>
          </w:p>
        </w:tc>
        <w:tc>
          <w:tcPr>
            <w:tcW w:w="1276" w:type="dxa"/>
            <w:shd w:val="clear" w:color="auto" w:fill="FFFFFF"/>
            <w:vAlign w:val="center"/>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96.00</w:t>
            </w:r>
          </w:p>
        </w:tc>
        <w:tc>
          <w:tcPr>
            <w:tcW w:w="815" w:type="dxa"/>
            <w:shd w:val="clear" w:color="auto" w:fill="FFFFFF"/>
            <w:vAlign w:val="center"/>
          </w:tcPr>
          <w:p w:rsidR="009E2A26" w:rsidRPr="009451DA" w:rsidRDefault="009E2A26" w:rsidP="009E2A26">
            <w:pPr>
              <w:spacing w:line="480" w:lineRule="auto"/>
              <w:jc w:val="both"/>
              <w:rPr>
                <w:rFonts w:ascii="Arial" w:hAnsi="Arial" w:cs="Arial"/>
                <w:b/>
                <w:sz w:val="20"/>
                <w:szCs w:val="20"/>
              </w:rPr>
            </w:pPr>
            <w:r w:rsidRPr="009451DA">
              <w:rPr>
                <w:rFonts w:ascii="Arial" w:hAnsi="Arial" w:cs="Arial"/>
                <w:b/>
                <w:sz w:val="20"/>
                <w:szCs w:val="20"/>
              </w:rPr>
              <w:t>81.60</w:t>
            </w:r>
          </w:p>
        </w:tc>
        <w:tc>
          <w:tcPr>
            <w:tcW w:w="1669" w:type="dxa"/>
            <w:shd w:val="clear" w:color="auto" w:fill="FFFFFF"/>
            <w:vAlign w:val="center"/>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5.83</w:t>
            </w:r>
          </w:p>
        </w:tc>
      </w:tr>
      <w:tr w:rsidR="009E2A26" w:rsidRPr="009451DA" w:rsidTr="009E2A26">
        <w:trPr>
          <w:cantSplit/>
        </w:trPr>
        <w:tc>
          <w:tcPr>
            <w:tcW w:w="2699" w:type="dxa"/>
            <w:shd w:val="clear" w:color="auto" w:fill="FFFFFF"/>
            <w:vAlign w:val="center"/>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Sum of maxillary 12</w:t>
            </w:r>
          </w:p>
        </w:tc>
        <w:tc>
          <w:tcPr>
            <w:tcW w:w="467" w:type="dxa"/>
            <w:shd w:val="clear" w:color="auto" w:fill="FFFFFF"/>
            <w:vAlign w:val="center"/>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62</w:t>
            </w:r>
          </w:p>
        </w:tc>
        <w:tc>
          <w:tcPr>
            <w:tcW w:w="1149" w:type="dxa"/>
            <w:shd w:val="clear" w:color="auto" w:fill="FFFFFF"/>
            <w:vAlign w:val="center"/>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82.00</w:t>
            </w:r>
          </w:p>
        </w:tc>
        <w:tc>
          <w:tcPr>
            <w:tcW w:w="1276" w:type="dxa"/>
            <w:shd w:val="clear" w:color="auto" w:fill="FFFFFF"/>
            <w:vAlign w:val="center"/>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102.00</w:t>
            </w:r>
          </w:p>
        </w:tc>
        <w:tc>
          <w:tcPr>
            <w:tcW w:w="815" w:type="dxa"/>
            <w:shd w:val="clear" w:color="auto" w:fill="FFFFFF"/>
            <w:vAlign w:val="center"/>
          </w:tcPr>
          <w:p w:rsidR="009E2A26" w:rsidRPr="009451DA" w:rsidRDefault="009E2A26" w:rsidP="009E2A26">
            <w:pPr>
              <w:spacing w:line="480" w:lineRule="auto"/>
              <w:jc w:val="both"/>
              <w:rPr>
                <w:rFonts w:ascii="Arial" w:hAnsi="Arial" w:cs="Arial"/>
                <w:b/>
                <w:sz w:val="20"/>
                <w:szCs w:val="20"/>
              </w:rPr>
            </w:pPr>
            <w:r w:rsidRPr="009451DA">
              <w:rPr>
                <w:rFonts w:ascii="Arial" w:hAnsi="Arial" w:cs="Arial"/>
                <w:b/>
                <w:sz w:val="20"/>
                <w:szCs w:val="20"/>
              </w:rPr>
              <w:t>92.45</w:t>
            </w:r>
          </w:p>
        </w:tc>
        <w:tc>
          <w:tcPr>
            <w:tcW w:w="1669" w:type="dxa"/>
            <w:shd w:val="clear" w:color="auto" w:fill="FFFFFF"/>
            <w:vAlign w:val="center"/>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6.10</w:t>
            </w:r>
          </w:p>
        </w:tc>
      </w:tr>
      <w:tr w:rsidR="009E2A26" w:rsidRPr="009451DA" w:rsidTr="009E2A26">
        <w:trPr>
          <w:cantSplit/>
        </w:trPr>
        <w:tc>
          <w:tcPr>
            <w:tcW w:w="2699" w:type="dxa"/>
            <w:shd w:val="clear" w:color="auto" w:fill="FFFFFF"/>
            <w:vAlign w:val="center"/>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 xml:space="preserve">Overall Ratio </w:t>
            </w:r>
          </w:p>
        </w:tc>
        <w:tc>
          <w:tcPr>
            <w:tcW w:w="467" w:type="dxa"/>
            <w:shd w:val="clear" w:color="auto" w:fill="FFFFFF"/>
            <w:vAlign w:val="center"/>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62</w:t>
            </w:r>
          </w:p>
        </w:tc>
        <w:tc>
          <w:tcPr>
            <w:tcW w:w="1149" w:type="dxa"/>
            <w:shd w:val="clear" w:color="auto" w:fill="FFFFFF"/>
            <w:vAlign w:val="center"/>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78.41</w:t>
            </w:r>
          </w:p>
        </w:tc>
        <w:tc>
          <w:tcPr>
            <w:tcW w:w="1276" w:type="dxa"/>
            <w:shd w:val="clear" w:color="auto" w:fill="FFFFFF"/>
            <w:vAlign w:val="center"/>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105.45</w:t>
            </w:r>
          </w:p>
        </w:tc>
        <w:tc>
          <w:tcPr>
            <w:tcW w:w="815" w:type="dxa"/>
            <w:shd w:val="clear" w:color="auto" w:fill="FFFFFF"/>
            <w:vAlign w:val="center"/>
          </w:tcPr>
          <w:p w:rsidR="009E2A26" w:rsidRPr="009451DA" w:rsidRDefault="009E2A26" w:rsidP="009E2A26">
            <w:pPr>
              <w:spacing w:line="480" w:lineRule="auto"/>
              <w:jc w:val="both"/>
              <w:rPr>
                <w:rFonts w:ascii="Arial" w:hAnsi="Arial" w:cs="Arial"/>
                <w:b/>
                <w:sz w:val="20"/>
                <w:szCs w:val="20"/>
              </w:rPr>
            </w:pPr>
            <w:r w:rsidRPr="009451DA">
              <w:rPr>
                <w:rFonts w:ascii="Arial" w:hAnsi="Arial" w:cs="Arial"/>
                <w:b/>
                <w:sz w:val="20"/>
                <w:szCs w:val="20"/>
              </w:rPr>
              <w:t>88.42</w:t>
            </w:r>
          </w:p>
        </w:tc>
        <w:tc>
          <w:tcPr>
            <w:tcW w:w="1669" w:type="dxa"/>
            <w:shd w:val="clear" w:color="auto" w:fill="FFFFFF"/>
            <w:vAlign w:val="center"/>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6.01</w:t>
            </w:r>
          </w:p>
        </w:tc>
      </w:tr>
    </w:tbl>
    <w:p w:rsidR="00085FB4" w:rsidRPr="009451DA" w:rsidRDefault="00E46D45" w:rsidP="00373F0D">
      <w:pPr>
        <w:spacing w:line="480" w:lineRule="auto"/>
        <w:jc w:val="both"/>
        <w:rPr>
          <w:rFonts w:ascii="Arial" w:hAnsi="Arial" w:cs="Arial"/>
          <w:sz w:val="20"/>
          <w:szCs w:val="20"/>
        </w:rPr>
      </w:pPr>
      <w:r w:rsidRPr="009451DA">
        <w:rPr>
          <w:rFonts w:ascii="Arial" w:hAnsi="Arial" w:cs="Arial"/>
          <w:sz w:val="20"/>
          <w:szCs w:val="20"/>
        </w:rPr>
        <w:t>In males, the mean anterior ratio for males was 77.83±6.42, while the overall ratio was</w:t>
      </w:r>
      <w:r w:rsidR="00373F0D" w:rsidRPr="009451DA">
        <w:rPr>
          <w:rFonts w:ascii="Arial" w:hAnsi="Arial" w:cs="Arial"/>
          <w:sz w:val="20"/>
          <w:szCs w:val="20"/>
        </w:rPr>
        <w:t xml:space="preserve"> 88.42±6.01 (Table 1</w:t>
      </w:r>
      <w:r w:rsidRPr="009451DA">
        <w:rPr>
          <w:rFonts w:ascii="Arial" w:hAnsi="Arial" w:cs="Arial"/>
          <w:sz w:val="20"/>
          <w:szCs w:val="20"/>
        </w:rPr>
        <w:t xml:space="preserve">). </w:t>
      </w:r>
    </w:p>
    <w:p w:rsidR="00085FB4" w:rsidRPr="009451DA" w:rsidRDefault="00085FB4" w:rsidP="00085FB4">
      <w:pPr>
        <w:spacing w:line="480" w:lineRule="auto"/>
        <w:jc w:val="both"/>
        <w:rPr>
          <w:rFonts w:ascii="Arial" w:hAnsi="Arial" w:cs="Arial"/>
          <w:sz w:val="20"/>
          <w:szCs w:val="20"/>
        </w:rPr>
      </w:pPr>
    </w:p>
    <w:p w:rsidR="009E2A26" w:rsidRPr="009451DA" w:rsidRDefault="009E2A26" w:rsidP="00085FB4">
      <w:pPr>
        <w:spacing w:line="480" w:lineRule="auto"/>
        <w:jc w:val="both"/>
        <w:rPr>
          <w:rFonts w:ascii="Arial" w:hAnsi="Arial" w:cs="Arial"/>
          <w:sz w:val="20"/>
          <w:szCs w:val="20"/>
        </w:rPr>
      </w:pPr>
      <w:r w:rsidRPr="009451DA">
        <w:rPr>
          <w:rFonts w:ascii="Arial" w:hAnsi="Arial" w:cs="Arial"/>
          <w:b/>
          <w:sz w:val="20"/>
          <w:szCs w:val="20"/>
        </w:rPr>
        <w:t>Table 1: Mesio-distal tooth dimension (anterior and overall ratio) in male patients.</w:t>
      </w:r>
    </w:p>
    <w:p w:rsidR="00E46D45" w:rsidRPr="009451DA" w:rsidRDefault="00E46D45" w:rsidP="00373F0D">
      <w:pPr>
        <w:spacing w:line="480" w:lineRule="auto"/>
        <w:jc w:val="both"/>
        <w:rPr>
          <w:rFonts w:ascii="Arial" w:hAnsi="Arial" w:cs="Arial"/>
          <w:sz w:val="20"/>
          <w:szCs w:val="20"/>
        </w:rPr>
      </w:pPr>
      <w:r w:rsidRPr="009451DA">
        <w:rPr>
          <w:rFonts w:ascii="Arial" w:hAnsi="Arial" w:cs="Arial"/>
          <w:sz w:val="20"/>
          <w:szCs w:val="20"/>
        </w:rPr>
        <w:lastRenderedPageBreak/>
        <w:t>In females; the mean anterior ratio was 78.88±5.13, while the overall ratio was 88.85±4.03</w:t>
      </w:r>
      <w:r w:rsidR="00373F0D" w:rsidRPr="009451DA">
        <w:rPr>
          <w:rFonts w:ascii="Arial" w:hAnsi="Arial" w:cs="Arial"/>
          <w:sz w:val="20"/>
          <w:szCs w:val="20"/>
        </w:rPr>
        <w:t xml:space="preserve"> as shown in table 2</w:t>
      </w:r>
      <w:r w:rsidRPr="009451DA">
        <w:rPr>
          <w:rFonts w:ascii="Arial" w:hAnsi="Arial" w:cs="Arial"/>
          <w:sz w:val="20"/>
          <w:szCs w:val="20"/>
        </w:rPr>
        <w:t>.</w:t>
      </w:r>
    </w:p>
    <w:p w:rsidR="00085FB4" w:rsidRPr="009451DA" w:rsidRDefault="00085FB4" w:rsidP="00085FB4">
      <w:pPr>
        <w:spacing w:line="480" w:lineRule="auto"/>
        <w:jc w:val="both"/>
        <w:rPr>
          <w:rFonts w:ascii="Arial" w:hAnsi="Arial" w:cs="Arial"/>
          <w:b/>
          <w:sz w:val="20"/>
          <w:szCs w:val="20"/>
        </w:rPr>
      </w:pPr>
    </w:p>
    <w:tbl>
      <w:tblPr>
        <w:tblpPr w:leftFromText="180" w:rightFromText="180" w:vertAnchor="text" w:horzAnchor="margin" w:tblpY="270"/>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68"/>
        <w:gridCol w:w="562"/>
        <w:gridCol w:w="1385"/>
        <w:gridCol w:w="1538"/>
        <w:gridCol w:w="982"/>
        <w:gridCol w:w="1412"/>
      </w:tblGrid>
      <w:tr w:rsidR="00085FB4" w:rsidRPr="009451DA" w:rsidTr="009E2A26">
        <w:trPr>
          <w:cantSplit/>
          <w:trHeight w:val="1226"/>
        </w:trPr>
        <w:tc>
          <w:tcPr>
            <w:tcW w:w="2768" w:type="dxa"/>
            <w:shd w:val="clear" w:color="auto" w:fill="FFFFFF"/>
            <w:vAlign w:val="center"/>
          </w:tcPr>
          <w:p w:rsidR="00085FB4" w:rsidRPr="009451DA" w:rsidRDefault="00085FB4" w:rsidP="009E2A26">
            <w:pPr>
              <w:spacing w:line="480" w:lineRule="auto"/>
              <w:jc w:val="both"/>
              <w:rPr>
                <w:rFonts w:ascii="Arial" w:hAnsi="Arial" w:cs="Arial"/>
                <w:sz w:val="20"/>
                <w:szCs w:val="20"/>
              </w:rPr>
            </w:pPr>
          </w:p>
        </w:tc>
        <w:tc>
          <w:tcPr>
            <w:tcW w:w="562" w:type="dxa"/>
            <w:shd w:val="clear" w:color="auto" w:fill="FFFFFF"/>
            <w:vAlign w:val="center"/>
          </w:tcPr>
          <w:p w:rsidR="00085FB4" w:rsidRPr="009451DA" w:rsidRDefault="00085FB4" w:rsidP="009E2A26">
            <w:pPr>
              <w:spacing w:line="480" w:lineRule="auto"/>
              <w:jc w:val="both"/>
              <w:rPr>
                <w:rFonts w:ascii="Arial" w:hAnsi="Arial" w:cs="Arial"/>
                <w:sz w:val="20"/>
                <w:szCs w:val="20"/>
              </w:rPr>
            </w:pPr>
            <w:r w:rsidRPr="009451DA">
              <w:rPr>
                <w:rFonts w:ascii="Arial" w:hAnsi="Arial" w:cs="Arial"/>
                <w:sz w:val="20"/>
                <w:szCs w:val="20"/>
              </w:rPr>
              <w:t>N</w:t>
            </w:r>
          </w:p>
        </w:tc>
        <w:tc>
          <w:tcPr>
            <w:tcW w:w="1385" w:type="dxa"/>
            <w:shd w:val="clear" w:color="auto" w:fill="FFFFFF"/>
            <w:vAlign w:val="center"/>
          </w:tcPr>
          <w:p w:rsidR="00085FB4" w:rsidRPr="009451DA" w:rsidRDefault="00085FB4" w:rsidP="009E2A26">
            <w:pPr>
              <w:spacing w:line="480" w:lineRule="auto"/>
              <w:jc w:val="both"/>
              <w:rPr>
                <w:rFonts w:ascii="Arial" w:hAnsi="Arial" w:cs="Arial"/>
                <w:sz w:val="20"/>
                <w:szCs w:val="20"/>
              </w:rPr>
            </w:pPr>
            <w:r w:rsidRPr="009451DA">
              <w:rPr>
                <w:rFonts w:ascii="Arial" w:hAnsi="Arial" w:cs="Arial"/>
                <w:sz w:val="20"/>
                <w:szCs w:val="20"/>
              </w:rPr>
              <w:t>Minimum</w:t>
            </w:r>
          </w:p>
        </w:tc>
        <w:tc>
          <w:tcPr>
            <w:tcW w:w="1538" w:type="dxa"/>
            <w:shd w:val="clear" w:color="auto" w:fill="FFFFFF"/>
            <w:vAlign w:val="center"/>
          </w:tcPr>
          <w:p w:rsidR="00085FB4" w:rsidRPr="009451DA" w:rsidRDefault="00085FB4" w:rsidP="009E2A26">
            <w:pPr>
              <w:spacing w:line="480" w:lineRule="auto"/>
              <w:jc w:val="both"/>
              <w:rPr>
                <w:rFonts w:ascii="Arial" w:hAnsi="Arial" w:cs="Arial"/>
                <w:sz w:val="20"/>
                <w:szCs w:val="20"/>
              </w:rPr>
            </w:pPr>
            <w:r w:rsidRPr="009451DA">
              <w:rPr>
                <w:rFonts w:ascii="Arial" w:hAnsi="Arial" w:cs="Arial"/>
                <w:sz w:val="20"/>
                <w:szCs w:val="20"/>
              </w:rPr>
              <w:t>Maximum</w:t>
            </w:r>
          </w:p>
        </w:tc>
        <w:tc>
          <w:tcPr>
            <w:tcW w:w="982" w:type="dxa"/>
            <w:shd w:val="clear" w:color="auto" w:fill="FFFFFF"/>
            <w:vAlign w:val="center"/>
          </w:tcPr>
          <w:p w:rsidR="00085FB4" w:rsidRPr="009451DA" w:rsidRDefault="00085FB4" w:rsidP="009E2A26">
            <w:pPr>
              <w:spacing w:line="480" w:lineRule="auto"/>
              <w:jc w:val="both"/>
              <w:rPr>
                <w:rFonts w:ascii="Arial" w:hAnsi="Arial" w:cs="Arial"/>
                <w:sz w:val="20"/>
                <w:szCs w:val="20"/>
              </w:rPr>
            </w:pPr>
            <w:r w:rsidRPr="009451DA">
              <w:rPr>
                <w:rFonts w:ascii="Arial" w:hAnsi="Arial" w:cs="Arial"/>
                <w:sz w:val="20"/>
                <w:szCs w:val="20"/>
              </w:rPr>
              <w:t>Mean</w:t>
            </w:r>
          </w:p>
        </w:tc>
        <w:tc>
          <w:tcPr>
            <w:tcW w:w="1412" w:type="dxa"/>
            <w:shd w:val="clear" w:color="auto" w:fill="FFFFFF"/>
            <w:vAlign w:val="center"/>
          </w:tcPr>
          <w:p w:rsidR="00085FB4" w:rsidRPr="009451DA" w:rsidRDefault="00085FB4" w:rsidP="009E2A26">
            <w:pPr>
              <w:spacing w:line="480" w:lineRule="auto"/>
              <w:jc w:val="both"/>
              <w:rPr>
                <w:rFonts w:ascii="Arial" w:hAnsi="Arial" w:cs="Arial"/>
                <w:sz w:val="20"/>
                <w:szCs w:val="20"/>
              </w:rPr>
            </w:pPr>
            <w:r w:rsidRPr="009451DA">
              <w:rPr>
                <w:rFonts w:ascii="Arial" w:hAnsi="Arial" w:cs="Arial"/>
                <w:sz w:val="20"/>
                <w:szCs w:val="20"/>
              </w:rPr>
              <w:t>Std. Deviation</w:t>
            </w:r>
          </w:p>
        </w:tc>
      </w:tr>
      <w:tr w:rsidR="00085FB4" w:rsidRPr="009451DA" w:rsidTr="009E2A26">
        <w:trPr>
          <w:cantSplit/>
          <w:trHeight w:val="693"/>
        </w:trPr>
        <w:tc>
          <w:tcPr>
            <w:tcW w:w="2768" w:type="dxa"/>
            <w:shd w:val="clear" w:color="auto" w:fill="FFFFFF"/>
            <w:vAlign w:val="center"/>
          </w:tcPr>
          <w:p w:rsidR="00085FB4" w:rsidRPr="009451DA" w:rsidRDefault="00085FB4" w:rsidP="009E2A26">
            <w:pPr>
              <w:spacing w:line="480" w:lineRule="auto"/>
              <w:jc w:val="both"/>
              <w:rPr>
                <w:rFonts w:ascii="Arial" w:hAnsi="Arial" w:cs="Arial"/>
                <w:sz w:val="20"/>
                <w:szCs w:val="20"/>
              </w:rPr>
            </w:pPr>
            <w:r w:rsidRPr="009451DA">
              <w:rPr>
                <w:rFonts w:ascii="Arial" w:hAnsi="Arial" w:cs="Arial"/>
                <w:sz w:val="20"/>
                <w:szCs w:val="20"/>
              </w:rPr>
              <w:t>Sum of mandibular 6</w:t>
            </w:r>
          </w:p>
        </w:tc>
        <w:tc>
          <w:tcPr>
            <w:tcW w:w="562" w:type="dxa"/>
            <w:shd w:val="clear" w:color="auto" w:fill="FFFFFF"/>
            <w:vAlign w:val="center"/>
          </w:tcPr>
          <w:p w:rsidR="00085FB4" w:rsidRPr="009451DA" w:rsidRDefault="00085FB4" w:rsidP="009E2A26">
            <w:pPr>
              <w:spacing w:line="480" w:lineRule="auto"/>
              <w:jc w:val="both"/>
              <w:rPr>
                <w:rFonts w:ascii="Arial" w:hAnsi="Arial" w:cs="Arial"/>
                <w:sz w:val="20"/>
                <w:szCs w:val="20"/>
              </w:rPr>
            </w:pPr>
            <w:r w:rsidRPr="009451DA">
              <w:rPr>
                <w:rFonts w:ascii="Arial" w:hAnsi="Arial" w:cs="Arial"/>
                <w:sz w:val="20"/>
                <w:szCs w:val="20"/>
              </w:rPr>
              <w:t>63</w:t>
            </w:r>
          </w:p>
        </w:tc>
        <w:tc>
          <w:tcPr>
            <w:tcW w:w="1385" w:type="dxa"/>
            <w:shd w:val="clear" w:color="auto" w:fill="FFFFFF"/>
            <w:vAlign w:val="center"/>
          </w:tcPr>
          <w:p w:rsidR="00085FB4" w:rsidRPr="009451DA" w:rsidRDefault="00085FB4" w:rsidP="009E2A26">
            <w:pPr>
              <w:spacing w:line="480" w:lineRule="auto"/>
              <w:jc w:val="both"/>
              <w:rPr>
                <w:rFonts w:ascii="Arial" w:hAnsi="Arial" w:cs="Arial"/>
                <w:sz w:val="20"/>
                <w:szCs w:val="20"/>
              </w:rPr>
            </w:pPr>
            <w:r w:rsidRPr="009451DA">
              <w:rPr>
                <w:rFonts w:ascii="Arial" w:hAnsi="Arial" w:cs="Arial"/>
                <w:sz w:val="20"/>
                <w:szCs w:val="20"/>
              </w:rPr>
              <w:t>28.20</w:t>
            </w:r>
          </w:p>
        </w:tc>
        <w:tc>
          <w:tcPr>
            <w:tcW w:w="1538" w:type="dxa"/>
            <w:shd w:val="clear" w:color="auto" w:fill="FFFFFF"/>
            <w:vAlign w:val="center"/>
          </w:tcPr>
          <w:p w:rsidR="00085FB4" w:rsidRPr="009451DA" w:rsidRDefault="00085FB4" w:rsidP="009E2A26">
            <w:pPr>
              <w:spacing w:line="480" w:lineRule="auto"/>
              <w:jc w:val="both"/>
              <w:rPr>
                <w:rFonts w:ascii="Arial" w:hAnsi="Arial" w:cs="Arial"/>
                <w:sz w:val="20"/>
                <w:szCs w:val="20"/>
              </w:rPr>
            </w:pPr>
            <w:r w:rsidRPr="009451DA">
              <w:rPr>
                <w:rFonts w:ascii="Arial" w:hAnsi="Arial" w:cs="Arial"/>
                <w:sz w:val="20"/>
                <w:szCs w:val="20"/>
              </w:rPr>
              <w:t>42.00</w:t>
            </w:r>
          </w:p>
        </w:tc>
        <w:tc>
          <w:tcPr>
            <w:tcW w:w="982" w:type="dxa"/>
            <w:shd w:val="clear" w:color="auto" w:fill="FFFFFF"/>
            <w:vAlign w:val="center"/>
          </w:tcPr>
          <w:p w:rsidR="00085FB4" w:rsidRPr="009451DA" w:rsidRDefault="00085FB4" w:rsidP="009E2A26">
            <w:pPr>
              <w:spacing w:line="480" w:lineRule="auto"/>
              <w:jc w:val="both"/>
              <w:rPr>
                <w:rFonts w:ascii="Arial" w:hAnsi="Arial" w:cs="Arial"/>
                <w:b/>
                <w:sz w:val="20"/>
                <w:szCs w:val="20"/>
              </w:rPr>
            </w:pPr>
            <w:r w:rsidRPr="009451DA">
              <w:rPr>
                <w:rFonts w:ascii="Arial" w:hAnsi="Arial" w:cs="Arial"/>
                <w:b/>
                <w:sz w:val="20"/>
                <w:szCs w:val="20"/>
              </w:rPr>
              <w:t>34.28</w:t>
            </w:r>
          </w:p>
        </w:tc>
        <w:tc>
          <w:tcPr>
            <w:tcW w:w="1412" w:type="dxa"/>
            <w:shd w:val="clear" w:color="auto" w:fill="FFFFFF"/>
            <w:vAlign w:val="center"/>
          </w:tcPr>
          <w:p w:rsidR="00085FB4" w:rsidRPr="009451DA" w:rsidRDefault="00085FB4" w:rsidP="009E2A26">
            <w:pPr>
              <w:spacing w:line="480" w:lineRule="auto"/>
              <w:jc w:val="both"/>
              <w:rPr>
                <w:rFonts w:ascii="Arial" w:hAnsi="Arial" w:cs="Arial"/>
                <w:sz w:val="20"/>
                <w:szCs w:val="20"/>
              </w:rPr>
            </w:pPr>
            <w:r w:rsidRPr="009451DA">
              <w:rPr>
                <w:rFonts w:ascii="Arial" w:hAnsi="Arial" w:cs="Arial"/>
                <w:sz w:val="20"/>
                <w:szCs w:val="20"/>
              </w:rPr>
              <w:t>2.56</w:t>
            </w:r>
          </w:p>
        </w:tc>
      </w:tr>
      <w:tr w:rsidR="00085FB4" w:rsidRPr="009451DA" w:rsidTr="009E2A26">
        <w:trPr>
          <w:cantSplit/>
          <w:trHeight w:val="683"/>
        </w:trPr>
        <w:tc>
          <w:tcPr>
            <w:tcW w:w="2768" w:type="dxa"/>
            <w:shd w:val="clear" w:color="auto" w:fill="FFFFFF"/>
            <w:vAlign w:val="center"/>
          </w:tcPr>
          <w:p w:rsidR="00085FB4" w:rsidRPr="009451DA" w:rsidRDefault="00085FB4" w:rsidP="009E2A26">
            <w:pPr>
              <w:spacing w:line="480" w:lineRule="auto"/>
              <w:jc w:val="both"/>
              <w:rPr>
                <w:rFonts w:ascii="Arial" w:hAnsi="Arial" w:cs="Arial"/>
                <w:sz w:val="20"/>
                <w:szCs w:val="20"/>
              </w:rPr>
            </w:pPr>
            <w:r w:rsidRPr="009451DA">
              <w:rPr>
                <w:rFonts w:ascii="Arial" w:hAnsi="Arial" w:cs="Arial"/>
                <w:sz w:val="20"/>
                <w:szCs w:val="20"/>
              </w:rPr>
              <w:t>Sum of maxillary 6</w:t>
            </w:r>
          </w:p>
        </w:tc>
        <w:tc>
          <w:tcPr>
            <w:tcW w:w="562" w:type="dxa"/>
            <w:shd w:val="clear" w:color="auto" w:fill="FFFFFF"/>
            <w:vAlign w:val="center"/>
          </w:tcPr>
          <w:p w:rsidR="00085FB4" w:rsidRPr="009451DA" w:rsidRDefault="00085FB4" w:rsidP="009E2A26">
            <w:pPr>
              <w:spacing w:line="480" w:lineRule="auto"/>
              <w:jc w:val="both"/>
              <w:rPr>
                <w:rFonts w:ascii="Arial" w:hAnsi="Arial" w:cs="Arial"/>
                <w:sz w:val="20"/>
                <w:szCs w:val="20"/>
              </w:rPr>
            </w:pPr>
            <w:r w:rsidRPr="009451DA">
              <w:rPr>
                <w:rFonts w:ascii="Arial" w:hAnsi="Arial" w:cs="Arial"/>
                <w:sz w:val="20"/>
                <w:szCs w:val="20"/>
              </w:rPr>
              <w:t>63</w:t>
            </w:r>
          </w:p>
        </w:tc>
        <w:tc>
          <w:tcPr>
            <w:tcW w:w="1385" w:type="dxa"/>
            <w:shd w:val="clear" w:color="auto" w:fill="FFFFFF"/>
            <w:vAlign w:val="center"/>
          </w:tcPr>
          <w:p w:rsidR="00085FB4" w:rsidRPr="009451DA" w:rsidRDefault="00085FB4" w:rsidP="009E2A26">
            <w:pPr>
              <w:spacing w:line="480" w:lineRule="auto"/>
              <w:jc w:val="both"/>
              <w:rPr>
                <w:rFonts w:ascii="Arial" w:hAnsi="Arial" w:cs="Arial"/>
                <w:sz w:val="20"/>
                <w:szCs w:val="20"/>
              </w:rPr>
            </w:pPr>
            <w:r w:rsidRPr="009451DA">
              <w:rPr>
                <w:rFonts w:ascii="Arial" w:hAnsi="Arial" w:cs="Arial"/>
                <w:sz w:val="20"/>
                <w:szCs w:val="20"/>
              </w:rPr>
              <w:t>38.80</w:t>
            </w:r>
          </w:p>
        </w:tc>
        <w:tc>
          <w:tcPr>
            <w:tcW w:w="1538" w:type="dxa"/>
            <w:shd w:val="clear" w:color="auto" w:fill="FFFFFF"/>
            <w:vAlign w:val="center"/>
          </w:tcPr>
          <w:p w:rsidR="00085FB4" w:rsidRPr="009451DA" w:rsidRDefault="00085FB4" w:rsidP="009E2A26">
            <w:pPr>
              <w:spacing w:line="480" w:lineRule="auto"/>
              <w:jc w:val="both"/>
              <w:rPr>
                <w:rFonts w:ascii="Arial" w:hAnsi="Arial" w:cs="Arial"/>
                <w:sz w:val="20"/>
                <w:szCs w:val="20"/>
              </w:rPr>
            </w:pPr>
            <w:r w:rsidRPr="009451DA">
              <w:rPr>
                <w:rFonts w:ascii="Arial" w:hAnsi="Arial" w:cs="Arial"/>
                <w:sz w:val="20"/>
                <w:szCs w:val="20"/>
              </w:rPr>
              <w:t>49.60</w:t>
            </w:r>
          </w:p>
        </w:tc>
        <w:tc>
          <w:tcPr>
            <w:tcW w:w="982" w:type="dxa"/>
            <w:shd w:val="clear" w:color="auto" w:fill="FFFFFF"/>
            <w:vAlign w:val="center"/>
          </w:tcPr>
          <w:p w:rsidR="00085FB4" w:rsidRPr="009451DA" w:rsidRDefault="00085FB4" w:rsidP="009E2A26">
            <w:pPr>
              <w:spacing w:line="480" w:lineRule="auto"/>
              <w:jc w:val="both"/>
              <w:rPr>
                <w:rFonts w:ascii="Arial" w:hAnsi="Arial" w:cs="Arial"/>
                <w:b/>
                <w:sz w:val="20"/>
                <w:szCs w:val="20"/>
              </w:rPr>
            </w:pPr>
            <w:r w:rsidRPr="009451DA">
              <w:rPr>
                <w:rFonts w:ascii="Arial" w:hAnsi="Arial" w:cs="Arial"/>
                <w:b/>
                <w:sz w:val="20"/>
                <w:szCs w:val="20"/>
              </w:rPr>
              <w:t>43.66</w:t>
            </w:r>
          </w:p>
        </w:tc>
        <w:tc>
          <w:tcPr>
            <w:tcW w:w="1412" w:type="dxa"/>
            <w:shd w:val="clear" w:color="auto" w:fill="FFFFFF"/>
            <w:vAlign w:val="center"/>
          </w:tcPr>
          <w:p w:rsidR="00085FB4" w:rsidRPr="009451DA" w:rsidRDefault="00085FB4" w:rsidP="009E2A26">
            <w:pPr>
              <w:spacing w:line="480" w:lineRule="auto"/>
              <w:jc w:val="both"/>
              <w:rPr>
                <w:rFonts w:ascii="Arial" w:hAnsi="Arial" w:cs="Arial"/>
                <w:sz w:val="20"/>
                <w:szCs w:val="20"/>
              </w:rPr>
            </w:pPr>
            <w:r w:rsidRPr="009451DA">
              <w:rPr>
                <w:rFonts w:ascii="Arial" w:hAnsi="Arial" w:cs="Arial"/>
                <w:sz w:val="20"/>
                <w:szCs w:val="20"/>
              </w:rPr>
              <w:t>2.34</w:t>
            </w:r>
          </w:p>
        </w:tc>
      </w:tr>
      <w:tr w:rsidR="00085FB4" w:rsidRPr="009451DA" w:rsidTr="009E2A26">
        <w:trPr>
          <w:cantSplit/>
          <w:trHeight w:val="693"/>
        </w:trPr>
        <w:tc>
          <w:tcPr>
            <w:tcW w:w="2768" w:type="dxa"/>
            <w:shd w:val="clear" w:color="auto" w:fill="FFFFFF"/>
            <w:vAlign w:val="center"/>
          </w:tcPr>
          <w:p w:rsidR="00085FB4" w:rsidRPr="009451DA" w:rsidRDefault="00085FB4" w:rsidP="009E2A26">
            <w:pPr>
              <w:spacing w:line="480" w:lineRule="auto"/>
              <w:jc w:val="both"/>
              <w:rPr>
                <w:rFonts w:ascii="Arial" w:hAnsi="Arial" w:cs="Arial"/>
                <w:sz w:val="20"/>
                <w:szCs w:val="20"/>
              </w:rPr>
            </w:pPr>
            <w:r w:rsidRPr="009451DA">
              <w:rPr>
                <w:rFonts w:ascii="Arial" w:hAnsi="Arial" w:cs="Arial"/>
                <w:sz w:val="20"/>
                <w:szCs w:val="20"/>
              </w:rPr>
              <w:t xml:space="preserve">Anterior Ratio </w:t>
            </w:r>
          </w:p>
        </w:tc>
        <w:tc>
          <w:tcPr>
            <w:tcW w:w="562" w:type="dxa"/>
            <w:shd w:val="clear" w:color="auto" w:fill="FFFFFF"/>
            <w:vAlign w:val="center"/>
          </w:tcPr>
          <w:p w:rsidR="00085FB4" w:rsidRPr="009451DA" w:rsidRDefault="00085FB4" w:rsidP="009E2A26">
            <w:pPr>
              <w:spacing w:line="480" w:lineRule="auto"/>
              <w:jc w:val="both"/>
              <w:rPr>
                <w:rFonts w:ascii="Arial" w:hAnsi="Arial" w:cs="Arial"/>
                <w:sz w:val="20"/>
                <w:szCs w:val="20"/>
              </w:rPr>
            </w:pPr>
            <w:r w:rsidRPr="009451DA">
              <w:rPr>
                <w:rFonts w:ascii="Arial" w:hAnsi="Arial" w:cs="Arial"/>
                <w:sz w:val="20"/>
                <w:szCs w:val="20"/>
              </w:rPr>
              <w:t>63</w:t>
            </w:r>
          </w:p>
        </w:tc>
        <w:tc>
          <w:tcPr>
            <w:tcW w:w="1385" w:type="dxa"/>
            <w:shd w:val="clear" w:color="auto" w:fill="FFFFFF"/>
            <w:vAlign w:val="center"/>
          </w:tcPr>
          <w:p w:rsidR="00085FB4" w:rsidRPr="009451DA" w:rsidRDefault="00085FB4" w:rsidP="009E2A26">
            <w:pPr>
              <w:spacing w:line="480" w:lineRule="auto"/>
              <w:jc w:val="both"/>
              <w:rPr>
                <w:rFonts w:ascii="Arial" w:hAnsi="Arial" w:cs="Arial"/>
                <w:sz w:val="20"/>
                <w:szCs w:val="20"/>
              </w:rPr>
            </w:pPr>
            <w:r w:rsidRPr="009451DA">
              <w:rPr>
                <w:rFonts w:ascii="Arial" w:hAnsi="Arial" w:cs="Arial"/>
                <w:sz w:val="20"/>
                <w:szCs w:val="20"/>
              </w:rPr>
              <w:t>67.78</w:t>
            </w:r>
          </w:p>
        </w:tc>
        <w:tc>
          <w:tcPr>
            <w:tcW w:w="1538" w:type="dxa"/>
            <w:shd w:val="clear" w:color="auto" w:fill="FFFFFF"/>
            <w:vAlign w:val="center"/>
          </w:tcPr>
          <w:p w:rsidR="00085FB4" w:rsidRPr="009451DA" w:rsidRDefault="00085FB4" w:rsidP="009E2A26">
            <w:pPr>
              <w:spacing w:line="480" w:lineRule="auto"/>
              <w:jc w:val="both"/>
              <w:rPr>
                <w:rFonts w:ascii="Arial" w:hAnsi="Arial" w:cs="Arial"/>
                <w:sz w:val="20"/>
                <w:szCs w:val="20"/>
              </w:rPr>
            </w:pPr>
            <w:r w:rsidRPr="009451DA">
              <w:rPr>
                <w:rFonts w:ascii="Arial" w:hAnsi="Arial" w:cs="Arial"/>
                <w:sz w:val="20"/>
                <w:szCs w:val="20"/>
              </w:rPr>
              <w:t>87.50</w:t>
            </w:r>
          </w:p>
        </w:tc>
        <w:tc>
          <w:tcPr>
            <w:tcW w:w="982" w:type="dxa"/>
            <w:shd w:val="clear" w:color="auto" w:fill="FFFFFF"/>
            <w:vAlign w:val="center"/>
          </w:tcPr>
          <w:p w:rsidR="00085FB4" w:rsidRPr="009451DA" w:rsidRDefault="00085FB4" w:rsidP="009E2A26">
            <w:pPr>
              <w:spacing w:line="480" w:lineRule="auto"/>
              <w:jc w:val="both"/>
              <w:rPr>
                <w:rFonts w:ascii="Arial" w:hAnsi="Arial" w:cs="Arial"/>
                <w:b/>
                <w:sz w:val="20"/>
                <w:szCs w:val="20"/>
              </w:rPr>
            </w:pPr>
            <w:r w:rsidRPr="009451DA">
              <w:rPr>
                <w:rFonts w:ascii="Arial" w:hAnsi="Arial" w:cs="Arial"/>
                <w:b/>
                <w:sz w:val="20"/>
                <w:szCs w:val="20"/>
              </w:rPr>
              <w:t>78.88</w:t>
            </w:r>
          </w:p>
        </w:tc>
        <w:tc>
          <w:tcPr>
            <w:tcW w:w="1412" w:type="dxa"/>
            <w:shd w:val="clear" w:color="auto" w:fill="FFFFFF"/>
            <w:vAlign w:val="center"/>
          </w:tcPr>
          <w:p w:rsidR="00085FB4" w:rsidRPr="009451DA" w:rsidRDefault="00085FB4" w:rsidP="009E2A26">
            <w:pPr>
              <w:spacing w:line="480" w:lineRule="auto"/>
              <w:jc w:val="both"/>
              <w:rPr>
                <w:rFonts w:ascii="Arial" w:hAnsi="Arial" w:cs="Arial"/>
                <w:sz w:val="20"/>
                <w:szCs w:val="20"/>
              </w:rPr>
            </w:pPr>
            <w:r w:rsidRPr="009451DA">
              <w:rPr>
                <w:rFonts w:ascii="Arial" w:hAnsi="Arial" w:cs="Arial"/>
                <w:sz w:val="20"/>
                <w:szCs w:val="20"/>
              </w:rPr>
              <w:t>5.13</w:t>
            </w:r>
          </w:p>
        </w:tc>
      </w:tr>
      <w:tr w:rsidR="00085FB4" w:rsidRPr="009451DA" w:rsidTr="009E2A26">
        <w:trPr>
          <w:cantSplit/>
          <w:trHeight w:val="693"/>
        </w:trPr>
        <w:tc>
          <w:tcPr>
            <w:tcW w:w="2768" w:type="dxa"/>
            <w:shd w:val="clear" w:color="auto" w:fill="FFFFFF"/>
            <w:vAlign w:val="center"/>
          </w:tcPr>
          <w:p w:rsidR="00085FB4" w:rsidRPr="009451DA" w:rsidRDefault="00085FB4" w:rsidP="009E2A26">
            <w:pPr>
              <w:spacing w:line="480" w:lineRule="auto"/>
              <w:jc w:val="both"/>
              <w:rPr>
                <w:rFonts w:ascii="Arial" w:hAnsi="Arial" w:cs="Arial"/>
                <w:sz w:val="20"/>
                <w:szCs w:val="20"/>
              </w:rPr>
            </w:pPr>
            <w:r w:rsidRPr="009451DA">
              <w:rPr>
                <w:rFonts w:ascii="Arial" w:hAnsi="Arial" w:cs="Arial"/>
                <w:sz w:val="20"/>
                <w:szCs w:val="20"/>
              </w:rPr>
              <w:t>Sum of mandibular 12</w:t>
            </w:r>
          </w:p>
        </w:tc>
        <w:tc>
          <w:tcPr>
            <w:tcW w:w="562" w:type="dxa"/>
            <w:shd w:val="clear" w:color="auto" w:fill="FFFFFF"/>
            <w:vAlign w:val="center"/>
          </w:tcPr>
          <w:p w:rsidR="00085FB4" w:rsidRPr="009451DA" w:rsidRDefault="00085FB4" w:rsidP="009E2A26">
            <w:pPr>
              <w:spacing w:line="480" w:lineRule="auto"/>
              <w:jc w:val="both"/>
              <w:rPr>
                <w:rFonts w:ascii="Arial" w:hAnsi="Arial" w:cs="Arial"/>
                <w:sz w:val="20"/>
                <w:szCs w:val="20"/>
              </w:rPr>
            </w:pPr>
            <w:r w:rsidRPr="009451DA">
              <w:rPr>
                <w:rFonts w:ascii="Arial" w:hAnsi="Arial" w:cs="Arial"/>
                <w:sz w:val="20"/>
                <w:szCs w:val="20"/>
              </w:rPr>
              <w:t>63</w:t>
            </w:r>
          </w:p>
        </w:tc>
        <w:tc>
          <w:tcPr>
            <w:tcW w:w="1385" w:type="dxa"/>
            <w:shd w:val="clear" w:color="auto" w:fill="FFFFFF"/>
            <w:vAlign w:val="center"/>
          </w:tcPr>
          <w:p w:rsidR="00085FB4" w:rsidRPr="009451DA" w:rsidRDefault="00085FB4" w:rsidP="009E2A26">
            <w:pPr>
              <w:spacing w:line="480" w:lineRule="auto"/>
              <w:jc w:val="both"/>
              <w:rPr>
                <w:rFonts w:ascii="Arial" w:hAnsi="Arial" w:cs="Arial"/>
                <w:sz w:val="20"/>
                <w:szCs w:val="20"/>
              </w:rPr>
            </w:pPr>
            <w:r w:rsidRPr="009451DA">
              <w:rPr>
                <w:rFonts w:ascii="Arial" w:hAnsi="Arial" w:cs="Arial"/>
                <w:sz w:val="20"/>
                <w:szCs w:val="20"/>
              </w:rPr>
              <w:t>71.20</w:t>
            </w:r>
          </w:p>
        </w:tc>
        <w:tc>
          <w:tcPr>
            <w:tcW w:w="1538" w:type="dxa"/>
            <w:shd w:val="clear" w:color="auto" w:fill="FFFFFF"/>
            <w:vAlign w:val="center"/>
          </w:tcPr>
          <w:p w:rsidR="00085FB4" w:rsidRPr="009451DA" w:rsidRDefault="00085FB4" w:rsidP="009E2A26">
            <w:pPr>
              <w:spacing w:line="480" w:lineRule="auto"/>
              <w:jc w:val="both"/>
              <w:rPr>
                <w:rFonts w:ascii="Arial" w:hAnsi="Arial" w:cs="Arial"/>
                <w:sz w:val="20"/>
                <w:szCs w:val="20"/>
              </w:rPr>
            </w:pPr>
            <w:r w:rsidRPr="009451DA">
              <w:rPr>
                <w:rFonts w:ascii="Arial" w:hAnsi="Arial" w:cs="Arial"/>
                <w:sz w:val="20"/>
                <w:szCs w:val="20"/>
              </w:rPr>
              <w:t>96.00</w:t>
            </w:r>
          </w:p>
        </w:tc>
        <w:tc>
          <w:tcPr>
            <w:tcW w:w="982" w:type="dxa"/>
            <w:shd w:val="clear" w:color="auto" w:fill="FFFFFF"/>
            <w:vAlign w:val="center"/>
          </w:tcPr>
          <w:p w:rsidR="00085FB4" w:rsidRPr="009451DA" w:rsidRDefault="00085FB4" w:rsidP="009E2A26">
            <w:pPr>
              <w:spacing w:line="480" w:lineRule="auto"/>
              <w:jc w:val="both"/>
              <w:rPr>
                <w:rFonts w:ascii="Arial" w:hAnsi="Arial" w:cs="Arial"/>
                <w:b/>
                <w:sz w:val="20"/>
                <w:szCs w:val="20"/>
              </w:rPr>
            </w:pPr>
            <w:r w:rsidRPr="009451DA">
              <w:rPr>
                <w:rFonts w:ascii="Arial" w:hAnsi="Arial" w:cs="Arial"/>
                <w:b/>
                <w:sz w:val="20"/>
                <w:szCs w:val="20"/>
              </w:rPr>
              <w:t>78.00</w:t>
            </w:r>
          </w:p>
        </w:tc>
        <w:tc>
          <w:tcPr>
            <w:tcW w:w="1412" w:type="dxa"/>
            <w:shd w:val="clear" w:color="auto" w:fill="FFFFFF"/>
            <w:vAlign w:val="center"/>
          </w:tcPr>
          <w:p w:rsidR="00085FB4" w:rsidRPr="009451DA" w:rsidRDefault="00085FB4" w:rsidP="009E2A26">
            <w:pPr>
              <w:spacing w:line="480" w:lineRule="auto"/>
              <w:jc w:val="both"/>
              <w:rPr>
                <w:rFonts w:ascii="Arial" w:hAnsi="Arial" w:cs="Arial"/>
                <w:sz w:val="20"/>
                <w:szCs w:val="20"/>
              </w:rPr>
            </w:pPr>
            <w:r w:rsidRPr="009451DA">
              <w:rPr>
                <w:rFonts w:ascii="Arial" w:hAnsi="Arial" w:cs="Arial"/>
                <w:sz w:val="20"/>
                <w:szCs w:val="20"/>
              </w:rPr>
              <w:t>4.71</w:t>
            </w:r>
          </w:p>
        </w:tc>
      </w:tr>
      <w:tr w:rsidR="00085FB4" w:rsidRPr="009451DA" w:rsidTr="009E2A26">
        <w:trPr>
          <w:cantSplit/>
          <w:trHeight w:val="683"/>
        </w:trPr>
        <w:tc>
          <w:tcPr>
            <w:tcW w:w="2768" w:type="dxa"/>
            <w:shd w:val="clear" w:color="auto" w:fill="FFFFFF"/>
            <w:vAlign w:val="center"/>
          </w:tcPr>
          <w:p w:rsidR="00085FB4" w:rsidRPr="009451DA" w:rsidRDefault="00085FB4" w:rsidP="009E2A26">
            <w:pPr>
              <w:spacing w:line="480" w:lineRule="auto"/>
              <w:jc w:val="both"/>
              <w:rPr>
                <w:rFonts w:ascii="Arial" w:hAnsi="Arial" w:cs="Arial"/>
                <w:sz w:val="20"/>
                <w:szCs w:val="20"/>
              </w:rPr>
            </w:pPr>
            <w:r w:rsidRPr="009451DA">
              <w:rPr>
                <w:rFonts w:ascii="Arial" w:hAnsi="Arial" w:cs="Arial"/>
                <w:sz w:val="20"/>
                <w:szCs w:val="20"/>
              </w:rPr>
              <w:t>Sum of maxillary 12</w:t>
            </w:r>
          </w:p>
        </w:tc>
        <w:tc>
          <w:tcPr>
            <w:tcW w:w="562" w:type="dxa"/>
            <w:shd w:val="clear" w:color="auto" w:fill="FFFFFF"/>
            <w:vAlign w:val="center"/>
          </w:tcPr>
          <w:p w:rsidR="00085FB4" w:rsidRPr="009451DA" w:rsidRDefault="00085FB4" w:rsidP="009E2A26">
            <w:pPr>
              <w:spacing w:line="480" w:lineRule="auto"/>
              <w:jc w:val="both"/>
              <w:rPr>
                <w:rFonts w:ascii="Arial" w:hAnsi="Arial" w:cs="Arial"/>
                <w:sz w:val="20"/>
                <w:szCs w:val="20"/>
              </w:rPr>
            </w:pPr>
            <w:r w:rsidRPr="009451DA">
              <w:rPr>
                <w:rFonts w:ascii="Arial" w:hAnsi="Arial" w:cs="Arial"/>
                <w:sz w:val="20"/>
                <w:szCs w:val="20"/>
              </w:rPr>
              <w:t>63</w:t>
            </w:r>
          </w:p>
        </w:tc>
        <w:tc>
          <w:tcPr>
            <w:tcW w:w="1385" w:type="dxa"/>
            <w:shd w:val="clear" w:color="auto" w:fill="FFFFFF"/>
            <w:vAlign w:val="center"/>
          </w:tcPr>
          <w:p w:rsidR="00085FB4" w:rsidRPr="009451DA" w:rsidRDefault="00085FB4" w:rsidP="009E2A26">
            <w:pPr>
              <w:spacing w:line="480" w:lineRule="auto"/>
              <w:jc w:val="both"/>
              <w:rPr>
                <w:rFonts w:ascii="Arial" w:hAnsi="Arial" w:cs="Arial"/>
                <w:sz w:val="20"/>
                <w:szCs w:val="20"/>
              </w:rPr>
            </w:pPr>
            <w:r w:rsidRPr="009451DA">
              <w:rPr>
                <w:rFonts w:ascii="Arial" w:hAnsi="Arial" w:cs="Arial"/>
                <w:sz w:val="20"/>
                <w:szCs w:val="20"/>
              </w:rPr>
              <w:t>82.00</w:t>
            </w:r>
          </w:p>
        </w:tc>
        <w:tc>
          <w:tcPr>
            <w:tcW w:w="1538" w:type="dxa"/>
            <w:shd w:val="clear" w:color="auto" w:fill="FFFFFF"/>
            <w:vAlign w:val="center"/>
          </w:tcPr>
          <w:p w:rsidR="00085FB4" w:rsidRPr="009451DA" w:rsidRDefault="00085FB4" w:rsidP="009E2A26">
            <w:pPr>
              <w:spacing w:line="480" w:lineRule="auto"/>
              <w:jc w:val="both"/>
              <w:rPr>
                <w:rFonts w:ascii="Arial" w:hAnsi="Arial" w:cs="Arial"/>
                <w:sz w:val="20"/>
                <w:szCs w:val="20"/>
              </w:rPr>
            </w:pPr>
            <w:r w:rsidRPr="009451DA">
              <w:rPr>
                <w:rFonts w:ascii="Arial" w:hAnsi="Arial" w:cs="Arial"/>
                <w:sz w:val="20"/>
                <w:szCs w:val="20"/>
              </w:rPr>
              <w:t>99.00</w:t>
            </w:r>
          </w:p>
        </w:tc>
        <w:tc>
          <w:tcPr>
            <w:tcW w:w="982" w:type="dxa"/>
            <w:shd w:val="clear" w:color="auto" w:fill="FFFFFF"/>
            <w:vAlign w:val="center"/>
          </w:tcPr>
          <w:p w:rsidR="00085FB4" w:rsidRPr="009451DA" w:rsidRDefault="00085FB4" w:rsidP="009E2A26">
            <w:pPr>
              <w:spacing w:line="480" w:lineRule="auto"/>
              <w:jc w:val="both"/>
              <w:rPr>
                <w:rFonts w:ascii="Arial" w:hAnsi="Arial" w:cs="Arial"/>
                <w:b/>
                <w:sz w:val="20"/>
                <w:szCs w:val="20"/>
              </w:rPr>
            </w:pPr>
            <w:r w:rsidRPr="009451DA">
              <w:rPr>
                <w:rFonts w:ascii="Arial" w:hAnsi="Arial" w:cs="Arial"/>
                <w:b/>
                <w:sz w:val="20"/>
                <w:szCs w:val="20"/>
              </w:rPr>
              <w:t>87.80</w:t>
            </w:r>
          </w:p>
        </w:tc>
        <w:tc>
          <w:tcPr>
            <w:tcW w:w="1412" w:type="dxa"/>
            <w:shd w:val="clear" w:color="auto" w:fill="FFFFFF"/>
            <w:vAlign w:val="center"/>
          </w:tcPr>
          <w:p w:rsidR="00085FB4" w:rsidRPr="009451DA" w:rsidRDefault="00085FB4" w:rsidP="009E2A26">
            <w:pPr>
              <w:spacing w:line="480" w:lineRule="auto"/>
              <w:jc w:val="both"/>
              <w:rPr>
                <w:rFonts w:ascii="Arial" w:hAnsi="Arial" w:cs="Arial"/>
                <w:sz w:val="20"/>
                <w:szCs w:val="20"/>
              </w:rPr>
            </w:pPr>
            <w:r w:rsidRPr="009451DA">
              <w:rPr>
                <w:rFonts w:ascii="Arial" w:hAnsi="Arial" w:cs="Arial"/>
                <w:sz w:val="20"/>
                <w:szCs w:val="20"/>
              </w:rPr>
              <w:t>3.59</w:t>
            </w:r>
          </w:p>
        </w:tc>
      </w:tr>
      <w:tr w:rsidR="00085FB4" w:rsidRPr="009451DA" w:rsidTr="009E2A26">
        <w:trPr>
          <w:cantSplit/>
          <w:trHeight w:val="693"/>
        </w:trPr>
        <w:tc>
          <w:tcPr>
            <w:tcW w:w="2768" w:type="dxa"/>
            <w:shd w:val="clear" w:color="auto" w:fill="FFFFFF"/>
            <w:vAlign w:val="center"/>
          </w:tcPr>
          <w:p w:rsidR="00085FB4" w:rsidRPr="009451DA" w:rsidRDefault="00085FB4" w:rsidP="009E2A26">
            <w:pPr>
              <w:spacing w:line="480" w:lineRule="auto"/>
              <w:jc w:val="both"/>
              <w:rPr>
                <w:rFonts w:ascii="Arial" w:hAnsi="Arial" w:cs="Arial"/>
                <w:sz w:val="20"/>
                <w:szCs w:val="20"/>
              </w:rPr>
            </w:pPr>
            <w:r w:rsidRPr="009451DA">
              <w:rPr>
                <w:rFonts w:ascii="Arial" w:hAnsi="Arial" w:cs="Arial"/>
                <w:sz w:val="20"/>
                <w:szCs w:val="20"/>
              </w:rPr>
              <w:t xml:space="preserve">Overall Ratio </w:t>
            </w:r>
          </w:p>
        </w:tc>
        <w:tc>
          <w:tcPr>
            <w:tcW w:w="562" w:type="dxa"/>
            <w:shd w:val="clear" w:color="auto" w:fill="FFFFFF"/>
            <w:vAlign w:val="center"/>
          </w:tcPr>
          <w:p w:rsidR="00085FB4" w:rsidRPr="009451DA" w:rsidRDefault="00085FB4" w:rsidP="009E2A26">
            <w:pPr>
              <w:spacing w:line="480" w:lineRule="auto"/>
              <w:jc w:val="both"/>
              <w:rPr>
                <w:rFonts w:ascii="Arial" w:hAnsi="Arial" w:cs="Arial"/>
                <w:sz w:val="20"/>
                <w:szCs w:val="20"/>
              </w:rPr>
            </w:pPr>
            <w:r w:rsidRPr="009451DA">
              <w:rPr>
                <w:rFonts w:ascii="Arial" w:hAnsi="Arial" w:cs="Arial"/>
                <w:sz w:val="20"/>
                <w:szCs w:val="20"/>
              </w:rPr>
              <w:t>63</w:t>
            </w:r>
          </w:p>
        </w:tc>
        <w:tc>
          <w:tcPr>
            <w:tcW w:w="1385" w:type="dxa"/>
            <w:shd w:val="clear" w:color="auto" w:fill="FFFFFF"/>
            <w:vAlign w:val="center"/>
          </w:tcPr>
          <w:p w:rsidR="00085FB4" w:rsidRPr="009451DA" w:rsidRDefault="00085FB4" w:rsidP="009E2A26">
            <w:pPr>
              <w:spacing w:line="480" w:lineRule="auto"/>
              <w:jc w:val="both"/>
              <w:rPr>
                <w:rFonts w:ascii="Arial" w:hAnsi="Arial" w:cs="Arial"/>
                <w:sz w:val="20"/>
                <w:szCs w:val="20"/>
              </w:rPr>
            </w:pPr>
            <w:r w:rsidRPr="009451DA">
              <w:rPr>
                <w:rFonts w:ascii="Arial" w:hAnsi="Arial" w:cs="Arial"/>
                <w:sz w:val="20"/>
                <w:szCs w:val="20"/>
              </w:rPr>
              <w:t>80.90</w:t>
            </w:r>
          </w:p>
        </w:tc>
        <w:tc>
          <w:tcPr>
            <w:tcW w:w="1538" w:type="dxa"/>
            <w:shd w:val="clear" w:color="auto" w:fill="FFFFFF"/>
            <w:vAlign w:val="center"/>
          </w:tcPr>
          <w:p w:rsidR="00085FB4" w:rsidRPr="009451DA" w:rsidRDefault="00085FB4" w:rsidP="009E2A26">
            <w:pPr>
              <w:spacing w:line="480" w:lineRule="auto"/>
              <w:jc w:val="both"/>
              <w:rPr>
                <w:rFonts w:ascii="Arial" w:hAnsi="Arial" w:cs="Arial"/>
                <w:sz w:val="20"/>
                <w:szCs w:val="20"/>
              </w:rPr>
            </w:pPr>
            <w:r w:rsidRPr="009451DA">
              <w:rPr>
                <w:rFonts w:ascii="Arial" w:hAnsi="Arial" w:cs="Arial"/>
                <w:sz w:val="20"/>
                <w:szCs w:val="20"/>
              </w:rPr>
              <w:t>96.96</w:t>
            </w:r>
          </w:p>
        </w:tc>
        <w:tc>
          <w:tcPr>
            <w:tcW w:w="982" w:type="dxa"/>
            <w:shd w:val="clear" w:color="auto" w:fill="FFFFFF"/>
            <w:vAlign w:val="center"/>
          </w:tcPr>
          <w:p w:rsidR="00085FB4" w:rsidRPr="009451DA" w:rsidRDefault="00085FB4" w:rsidP="009E2A26">
            <w:pPr>
              <w:spacing w:line="480" w:lineRule="auto"/>
              <w:jc w:val="both"/>
              <w:rPr>
                <w:rFonts w:ascii="Arial" w:hAnsi="Arial" w:cs="Arial"/>
                <w:b/>
                <w:sz w:val="20"/>
                <w:szCs w:val="20"/>
              </w:rPr>
            </w:pPr>
            <w:r w:rsidRPr="009451DA">
              <w:rPr>
                <w:rFonts w:ascii="Arial" w:hAnsi="Arial" w:cs="Arial"/>
                <w:b/>
                <w:sz w:val="20"/>
                <w:szCs w:val="20"/>
              </w:rPr>
              <w:t>88.85</w:t>
            </w:r>
          </w:p>
        </w:tc>
        <w:tc>
          <w:tcPr>
            <w:tcW w:w="1412" w:type="dxa"/>
            <w:shd w:val="clear" w:color="auto" w:fill="FFFFFF"/>
            <w:vAlign w:val="center"/>
          </w:tcPr>
          <w:p w:rsidR="00085FB4" w:rsidRPr="009451DA" w:rsidRDefault="00085FB4" w:rsidP="009E2A26">
            <w:pPr>
              <w:spacing w:line="480" w:lineRule="auto"/>
              <w:jc w:val="both"/>
              <w:rPr>
                <w:rFonts w:ascii="Arial" w:hAnsi="Arial" w:cs="Arial"/>
                <w:sz w:val="20"/>
                <w:szCs w:val="20"/>
              </w:rPr>
            </w:pPr>
            <w:r w:rsidRPr="009451DA">
              <w:rPr>
                <w:rFonts w:ascii="Arial" w:hAnsi="Arial" w:cs="Arial"/>
                <w:sz w:val="20"/>
                <w:szCs w:val="20"/>
              </w:rPr>
              <w:t>4.03</w:t>
            </w:r>
          </w:p>
        </w:tc>
      </w:tr>
    </w:tbl>
    <w:p w:rsidR="00085FB4" w:rsidRPr="009451DA" w:rsidRDefault="00085FB4" w:rsidP="00E46D45">
      <w:pPr>
        <w:spacing w:line="480" w:lineRule="auto"/>
        <w:jc w:val="both"/>
        <w:rPr>
          <w:rFonts w:ascii="Arial" w:hAnsi="Arial" w:cs="Arial"/>
          <w:sz w:val="20"/>
          <w:szCs w:val="20"/>
        </w:rPr>
      </w:pPr>
    </w:p>
    <w:p w:rsidR="00085FB4" w:rsidRPr="009451DA" w:rsidRDefault="00085FB4" w:rsidP="00E46D45">
      <w:pPr>
        <w:spacing w:line="480" w:lineRule="auto"/>
        <w:jc w:val="both"/>
        <w:rPr>
          <w:rFonts w:ascii="Arial" w:hAnsi="Arial" w:cs="Arial"/>
          <w:sz w:val="20"/>
          <w:szCs w:val="20"/>
        </w:rPr>
      </w:pPr>
    </w:p>
    <w:p w:rsidR="009E2A26" w:rsidRPr="009451DA" w:rsidRDefault="009E2A26" w:rsidP="00E46D45">
      <w:pPr>
        <w:spacing w:line="480" w:lineRule="auto"/>
        <w:jc w:val="both"/>
        <w:rPr>
          <w:rFonts w:ascii="Arial" w:hAnsi="Arial" w:cs="Arial"/>
          <w:sz w:val="20"/>
          <w:szCs w:val="20"/>
        </w:rPr>
      </w:pPr>
      <w:r w:rsidRPr="009451DA">
        <w:rPr>
          <w:rFonts w:ascii="Arial" w:hAnsi="Arial" w:cs="Arial"/>
          <w:b/>
          <w:sz w:val="20"/>
          <w:szCs w:val="20"/>
        </w:rPr>
        <w:t>Table 2: Mesio-distal tooth dimension (anterior and overall ratio) in female patients.</w:t>
      </w:r>
    </w:p>
    <w:p w:rsidR="00085FB4" w:rsidRPr="009451DA" w:rsidRDefault="00E46D45" w:rsidP="00085FB4">
      <w:pPr>
        <w:spacing w:line="480" w:lineRule="auto"/>
        <w:jc w:val="both"/>
        <w:rPr>
          <w:rFonts w:ascii="Arial" w:hAnsi="Arial" w:cs="Arial"/>
          <w:sz w:val="20"/>
          <w:szCs w:val="20"/>
        </w:rPr>
      </w:pPr>
      <w:r w:rsidRPr="009451DA">
        <w:rPr>
          <w:rFonts w:ascii="Arial" w:hAnsi="Arial" w:cs="Arial"/>
          <w:sz w:val="20"/>
          <w:szCs w:val="20"/>
        </w:rPr>
        <w:t xml:space="preserve">Table 3 shows Statistically, a significant difference was found when mean of anterior ratio, the overall ratio for female was compared with norms given in Bolton's analysis; using z value which was 2.74 and 2.28 respectively.  </w:t>
      </w:r>
    </w:p>
    <w:tbl>
      <w:tblPr>
        <w:tblpPr w:leftFromText="180" w:rightFromText="180" w:vertAnchor="text" w:horzAnchor="margin" w:tblpXSpec="center" w:tblpY="305"/>
        <w:tblW w:w="8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10"/>
        <w:gridCol w:w="467"/>
        <w:gridCol w:w="1149"/>
        <w:gridCol w:w="1276"/>
        <w:gridCol w:w="815"/>
        <w:gridCol w:w="1243"/>
        <w:gridCol w:w="917"/>
      </w:tblGrid>
      <w:tr w:rsidR="00085FB4" w:rsidRPr="009451DA" w:rsidTr="008D77C1">
        <w:trPr>
          <w:cantSplit/>
        </w:trPr>
        <w:tc>
          <w:tcPr>
            <w:tcW w:w="2410" w:type="dxa"/>
            <w:shd w:val="clear" w:color="auto" w:fill="FFFFFF"/>
            <w:vAlign w:val="center"/>
          </w:tcPr>
          <w:p w:rsidR="00085FB4" w:rsidRPr="009451DA" w:rsidRDefault="00085FB4" w:rsidP="008D77C1">
            <w:pPr>
              <w:spacing w:line="480" w:lineRule="auto"/>
              <w:jc w:val="both"/>
              <w:rPr>
                <w:rFonts w:ascii="Arial" w:hAnsi="Arial" w:cs="Arial"/>
                <w:sz w:val="20"/>
                <w:szCs w:val="20"/>
              </w:rPr>
            </w:pPr>
          </w:p>
        </w:tc>
        <w:tc>
          <w:tcPr>
            <w:tcW w:w="467" w:type="dxa"/>
            <w:shd w:val="clear" w:color="auto" w:fill="FFFFFF"/>
            <w:vAlign w:val="center"/>
          </w:tcPr>
          <w:p w:rsidR="00085FB4" w:rsidRPr="009451DA" w:rsidRDefault="00085FB4" w:rsidP="008D77C1">
            <w:pPr>
              <w:spacing w:line="480" w:lineRule="auto"/>
              <w:jc w:val="both"/>
              <w:rPr>
                <w:rFonts w:ascii="Arial" w:hAnsi="Arial" w:cs="Arial"/>
                <w:sz w:val="20"/>
                <w:szCs w:val="20"/>
              </w:rPr>
            </w:pPr>
            <w:r w:rsidRPr="009451DA">
              <w:rPr>
                <w:rFonts w:ascii="Arial" w:hAnsi="Arial" w:cs="Arial"/>
                <w:sz w:val="20"/>
                <w:szCs w:val="20"/>
              </w:rPr>
              <w:t>N</w:t>
            </w:r>
          </w:p>
        </w:tc>
        <w:tc>
          <w:tcPr>
            <w:tcW w:w="1149" w:type="dxa"/>
            <w:shd w:val="clear" w:color="auto" w:fill="FFFFFF"/>
            <w:vAlign w:val="center"/>
          </w:tcPr>
          <w:p w:rsidR="00085FB4" w:rsidRPr="009451DA" w:rsidRDefault="00085FB4" w:rsidP="008D77C1">
            <w:pPr>
              <w:spacing w:line="480" w:lineRule="auto"/>
              <w:jc w:val="both"/>
              <w:rPr>
                <w:rFonts w:ascii="Arial" w:hAnsi="Arial" w:cs="Arial"/>
                <w:sz w:val="20"/>
                <w:szCs w:val="20"/>
              </w:rPr>
            </w:pPr>
            <w:r w:rsidRPr="009451DA">
              <w:rPr>
                <w:rFonts w:ascii="Arial" w:hAnsi="Arial" w:cs="Arial"/>
                <w:sz w:val="20"/>
                <w:szCs w:val="20"/>
              </w:rPr>
              <w:t>Minimum</w:t>
            </w:r>
          </w:p>
        </w:tc>
        <w:tc>
          <w:tcPr>
            <w:tcW w:w="1276" w:type="dxa"/>
            <w:shd w:val="clear" w:color="auto" w:fill="FFFFFF"/>
            <w:vAlign w:val="center"/>
          </w:tcPr>
          <w:p w:rsidR="00085FB4" w:rsidRPr="009451DA" w:rsidRDefault="00085FB4" w:rsidP="008D77C1">
            <w:pPr>
              <w:spacing w:line="480" w:lineRule="auto"/>
              <w:jc w:val="both"/>
              <w:rPr>
                <w:rFonts w:ascii="Arial" w:hAnsi="Arial" w:cs="Arial"/>
                <w:sz w:val="20"/>
                <w:szCs w:val="20"/>
              </w:rPr>
            </w:pPr>
            <w:r w:rsidRPr="009451DA">
              <w:rPr>
                <w:rFonts w:ascii="Arial" w:hAnsi="Arial" w:cs="Arial"/>
                <w:sz w:val="20"/>
                <w:szCs w:val="20"/>
              </w:rPr>
              <w:t>Maximum</w:t>
            </w:r>
          </w:p>
        </w:tc>
        <w:tc>
          <w:tcPr>
            <w:tcW w:w="815" w:type="dxa"/>
            <w:shd w:val="clear" w:color="auto" w:fill="FFFFFF"/>
            <w:vAlign w:val="center"/>
          </w:tcPr>
          <w:p w:rsidR="00085FB4" w:rsidRPr="009451DA" w:rsidRDefault="00085FB4" w:rsidP="008D77C1">
            <w:pPr>
              <w:spacing w:line="480" w:lineRule="auto"/>
              <w:jc w:val="both"/>
              <w:rPr>
                <w:rFonts w:ascii="Arial" w:hAnsi="Arial" w:cs="Arial"/>
                <w:sz w:val="20"/>
                <w:szCs w:val="20"/>
              </w:rPr>
            </w:pPr>
            <w:r w:rsidRPr="009451DA">
              <w:rPr>
                <w:rFonts w:ascii="Arial" w:hAnsi="Arial" w:cs="Arial"/>
                <w:sz w:val="20"/>
                <w:szCs w:val="20"/>
              </w:rPr>
              <w:t>Mean</w:t>
            </w:r>
          </w:p>
        </w:tc>
        <w:tc>
          <w:tcPr>
            <w:tcW w:w="1243" w:type="dxa"/>
            <w:shd w:val="clear" w:color="auto" w:fill="FFFFFF"/>
            <w:vAlign w:val="center"/>
          </w:tcPr>
          <w:p w:rsidR="00085FB4" w:rsidRPr="009451DA" w:rsidRDefault="00085FB4" w:rsidP="008D77C1">
            <w:pPr>
              <w:spacing w:line="480" w:lineRule="auto"/>
              <w:jc w:val="both"/>
              <w:rPr>
                <w:rFonts w:ascii="Arial" w:hAnsi="Arial" w:cs="Arial"/>
                <w:sz w:val="20"/>
                <w:szCs w:val="20"/>
              </w:rPr>
            </w:pPr>
            <w:r w:rsidRPr="009451DA">
              <w:rPr>
                <w:rFonts w:ascii="Arial" w:hAnsi="Arial" w:cs="Arial"/>
                <w:sz w:val="20"/>
                <w:szCs w:val="20"/>
              </w:rPr>
              <w:t>Std. Deviation</w:t>
            </w:r>
          </w:p>
        </w:tc>
        <w:tc>
          <w:tcPr>
            <w:tcW w:w="917" w:type="dxa"/>
            <w:shd w:val="clear" w:color="auto" w:fill="FFFFFF"/>
            <w:vAlign w:val="center"/>
          </w:tcPr>
          <w:p w:rsidR="00085FB4" w:rsidRPr="009451DA" w:rsidRDefault="00085FB4" w:rsidP="008D77C1">
            <w:pPr>
              <w:spacing w:line="480" w:lineRule="auto"/>
              <w:jc w:val="both"/>
              <w:rPr>
                <w:rFonts w:ascii="Arial" w:hAnsi="Arial" w:cs="Arial"/>
                <w:sz w:val="20"/>
                <w:szCs w:val="20"/>
              </w:rPr>
            </w:pPr>
            <w:r w:rsidRPr="009451DA">
              <w:rPr>
                <w:rFonts w:ascii="Arial" w:hAnsi="Arial" w:cs="Arial"/>
                <w:sz w:val="20"/>
                <w:szCs w:val="20"/>
              </w:rPr>
              <w:t>z-value</w:t>
            </w:r>
          </w:p>
        </w:tc>
      </w:tr>
      <w:tr w:rsidR="00085FB4" w:rsidRPr="009451DA" w:rsidTr="008D77C1">
        <w:trPr>
          <w:cantSplit/>
        </w:trPr>
        <w:tc>
          <w:tcPr>
            <w:tcW w:w="2410" w:type="dxa"/>
            <w:shd w:val="clear" w:color="auto" w:fill="FFFFFF"/>
            <w:vAlign w:val="center"/>
          </w:tcPr>
          <w:p w:rsidR="00085FB4" w:rsidRPr="009451DA" w:rsidRDefault="00085FB4" w:rsidP="008D77C1">
            <w:pPr>
              <w:spacing w:line="480" w:lineRule="auto"/>
              <w:jc w:val="both"/>
              <w:rPr>
                <w:rFonts w:ascii="Arial" w:hAnsi="Arial" w:cs="Arial"/>
                <w:sz w:val="20"/>
                <w:szCs w:val="20"/>
              </w:rPr>
            </w:pPr>
            <w:r w:rsidRPr="009451DA">
              <w:rPr>
                <w:rFonts w:ascii="Arial" w:hAnsi="Arial" w:cs="Arial"/>
                <w:sz w:val="20"/>
                <w:szCs w:val="20"/>
              </w:rPr>
              <w:t>Sum of mandibular 6</w:t>
            </w:r>
          </w:p>
        </w:tc>
        <w:tc>
          <w:tcPr>
            <w:tcW w:w="467" w:type="dxa"/>
            <w:shd w:val="clear" w:color="auto" w:fill="FFFFFF"/>
            <w:vAlign w:val="center"/>
          </w:tcPr>
          <w:p w:rsidR="00085FB4" w:rsidRPr="009451DA" w:rsidRDefault="00085FB4" w:rsidP="008D77C1">
            <w:pPr>
              <w:spacing w:line="480" w:lineRule="auto"/>
              <w:jc w:val="both"/>
              <w:rPr>
                <w:rFonts w:ascii="Arial" w:hAnsi="Arial" w:cs="Arial"/>
                <w:sz w:val="20"/>
                <w:szCs w:val="20"/>
              </w:rPr>
            </w:pPr>
            <w:r w:rsidRPr="009451DA">
              <w:rPr>
                <w:rFonts w:ascii="Arial" w:hAnsi="Arial" w:cs="Arial"/>
                <w:sz w:val="20"/>
                <w:szCs w:val="20"/>
              </w:rPr>
              <w:t>63</w:t>
            </w:r>
          </w:p>
        </w:tc>
        <w:tc>
          <w:tcPr>
            <w:tcW w:w="1149" w:type="dxa"/>
            <w:shd w:val="clear" w:color="auto" w:fill="FFFFFF"/>
            <w:vAlign w:val="center"/>
          </w:tcPr>
          <w:p w:rsidR="00085FB4" w:rsidRPr="009451DA" w:rsidRDefault="00085FB4" w:rsidP="008D77C1">
            <w:pPr>
              <w:spacing w:line="480" w:lineRule="auto"/>
              <w:jc w:val="both"/>
              <w:rPr>
                <w:rFonts w:ascii="Arial" w:hAnsi="Arial" w:cs="Arial"/>
                <w:sz w:val="20"/>
                <w:szCs w:val="20"/>
              </w:rPr>
            </w:pPr>
            <w:r w:rsidRPr="009451DA">
              <w:rPr>
                <w:rFonts w:ascii="Arial" w:hAnsi="Arial" w:cs="Arial"/>
                <w:sz w:val="20"/>
                <w:szCs w:val="20"/>
              </w:rPr>
              <w:t>28.20</w:t>
            </w:r>
          </w:p>
        </w:tc>
        <w:tc>
          <w:tcPr>
            <w:tcW w:w="1276" w:type="dxa"/>
            <w:shd w:val="clear" w:color="auto" w:fill="FFFFFF"/>
            <w:vAlign w:val="center"/>
          </w:tcPr>
          <w:p w:rsidR="00085FB4" w:rsidRPr="009451DA" w:rsidRDefault="00085FB4" w:rsidP="008D77C1">
            <w:pPr>
              <w:spacing w:line="480" w:lineRule="auto"/>
              <w:jc w:val="both"/>
              <w:rPr>
                <w:rFonts w:ascii="Arial" w:hAnsi="Arial" w:cs="Arial"/>
                <w:sz w:val="20"/>
                <w:szCs w:val="20"/>
              </w:rPr>
            </w:pPr>
            <w:r w:rsidRPr="009451DA">
              <w:rPr>
                <w:rFonts w:ascii="Arial" w:hAnsi="Arial" w:cs="Arial"/>
                <w:sz w:val="20"/>
                <w:szCs w:val="20"/>
              </w:rPr>
              <w:t>42.00</w:t>
            </w:r>
          </w:p>
        </w:tc>
        <w:tc>
          <w:tcPr>
            <w:tcW w:w="815" w:type="dxa"/>
            <w:shd w:val="clear" w:color="auto" w:fill="FFFFFF"/>
            <w:vAlign w:val="center"/>
          </w:tcPr>
          <w:p w:rsidR="00085FB4" w:rsidRPr="009451DA" w:rsidRDefault="00085FB4" w:rsidP="008D77C1">
            <w:pPr>
              <w:spacing w:line="480" w:lineRule="auto"/>
              <w:jc w:val="both"/>
              <w:rPr>
                <w:rFonts w:ascii="Arial" w:hAnsi="Arial" w:cs="Arial"/>
                <w:b/>
                <w:sz w:val="20"/>
                <w:szCs w:val="20"/>
              </w:rPr>
            </w:pPr>
            <w:r w:rsidRPr="009451DA">
              <w:rPr>
                <w:rFonts w:ascii="Arial" w:hAnsi="Arial" w:cs="Arial"/>
                <w:b/>
                <w:sz w:val="20"/>
                <w:szCs w:val="20"/>
              </w:rPr>
              <w:t>34.28</w:t>
            </w:r>
          </w:p>
        </w:tc>
        <w:tc>
          <w:tcPr>
            <w:tcW w:w="1243" w:type="dxa"/>
            <w:shd w:val="clear" w:color="auto" w:fill="FFFFFF"/>
            <w:vAlign w:val="center"/>
          </w:tcPr>
          <w:p w:rsidR="00085FB4" w:rsidRPr="009451DA" w:rsidRDefault="00085FB4" w:rsidP="008D77C1">
            <w:pPr>
              <w:spacing w:line="480" w:lineRule="auto"/>
              <w:jc w:val="both"/>
              <w:rPr>
                <w:rFonts w:ascii="Arial" w:hAnsi="Arial" w:cs="Arial"/>
                <w:sz w:val="20"/>
                <w:szCs w:val="20"/>
              </w:rPr>
            </w:pPr>
            <w:r w:rsidRPr="009451DA">
              <w:rPr>
                <w:rFonts w:ascii="Arial" w:hAnsi="Arial" w:cs="Arial"/>
                <w:sz w:val="20"/>
                <w:szCs w:val="20"/>
              </w:rPr>
              <w:t>2.56</w:t>
            </w:r>
          </w:p>
        </w:tc>
        <w:tc>
          <w:tcPr>
            <w:tcW w:w="917" w:type="dxa"/>
            <w:shd w:val="clear" w:color="auto" w:fill="FFFFFF"/>
          </w:tcPr>
          <w:p w:rsidR="00085FB4" w:rsidRPr="009451DA" w:rsidRDefault="00085FB4" w:rsidP="008D77C1">
            <w:pPr>
              <w:spacing w:line="480" w:lineRule="auto"/>
              <w:jc w:val="both"/>
              <w:rPr>
                <w:rFonts w:ascii="Arial" w:hAnsi="Arial" w:cs="Arial"/>
                <w:b/>
                <w:sz w:val="20"/>
                <w:szCs w:val="20"/>
              </w:rPr>
            </w:pPr>
          </w:p>
        </w:tc>
      </w:tr>
      <w:tr w:rsidR="00085FB4" w:rsidRPr="009451DA" w:rsidTr="008D77C1">
        <w:trPr>
          <w:cantSplit/>
        </w:trPr>
        <w:tc>
          <w:tcPr>
            <w:tcW w:w="2410" w:type="dxa"/>
            <w:shd w:val="clear" w:color="auto" w:fill="FFFFFF"/>
            <w:vAlign w:val="center"/>
          </w:tcPr>
          <w:p w:rsidR="00085FB4" w:rsidRPr="009451DA" w:rsidRDefault="00085FB4" w:rsidP="008D77C1">
            <w:pPr>
              <w:spacing w:line="480" w:lineRule="auto"/>
              <w:jc w:val="both"/>
              <w:rPr>
                <w:rFonts w:ascii="Arial" w:hAnsi="Arial" w:cs="Arial"/>
                <w:sz w:val="20"/>
                <w:szCs w:val="20"/>
              </w:rPr>
            </w:pPr>
            <w:r w:rsidRPr="009451DA">
              <w:rPr>
                <w:rFonts w:ascii="Arial" w:hAnsi="Arial" w:cs="Arial"/>
                <w:sz w:val="20"/>
                <w:szCs w:val="20"/>
              </w:rPr>
              <w:t>Sum of maxillary 6</w:t>
            </w:r>
          </w:p>
        </w:tc>
        <w:tc>
          <w:tcPr>
            <w:tcW w:w="467" w:type="dxa"/>
            <w:shd w:val="clear" w:color="auto" w:fill="FFFFFF"/>
            <w:vAlign w:val="center"/>
          </w:tcPr>
          <w:p w:rsidR="00085FB4" w:rsidRPr="009451DA" w:rsidRDefault="00085FB4" w:rsidP="008D77C1">
            <w:pPr>
              <w:spacing w:line="480" w:lineRule="auto"/>
              <w:jc w:val="both"/>
              <w:rPr>
                <w:rFonts w:ascii="Arial" w:hAnsi="Arial" w:cs="Arial"/>
                <w:sz w:val="20"/>
                <w:szCs w:val="20"/>
              </w:rPr>
            </w:pPr>
            <w:r w:rsidRPr="009451DA">
              <w:rPr>
                <w:rFonts w:ascii="Arial" w:hAnsi="Arial" w:cs="Arial"/>
                <w:sz w:val="20"/>
                <w:szCs w:val="20"/>
              </w:rPr>
              <w:t>63</w:t>
            </w:r>
          </w:p>
        </w:tc>
        <w:tc>
          <w:tcPr>
            <w:tcW w:w="1149" w:type="dxa"/>
            <w:shd w:val="clear" w:color="auto" w:fill="FFFFFF"/>
            <w:vAlign w:val="center"/>
          </w:tcPr>
          <w:p w:rsidR="00085FB4" w:rsidRPr="009451DA" w:rsidRDefault="00085FB4" w:rsidP="008D77C1">
            <w:pPr>
              <w:spacing w:line="480" w:lineRule="auto"/>
              <w:jc w:val="both"/>
              <w:rPr>
                <w:rFonts w:ascii="Arial" w:hAnsi="Arial" w:cs="Arial"/>
                <w:sz w:val="20"/>
                <w:szCs w:val="20"/>
              </w:rPr>
            </w:pPr>
            <w:r w:rsidRPr="009451DA">
              <w:rPr>
                <w:rFonts w:ascii="Arial" w:hAnsi="Arial" w:cs="Arial"/>
                <w:sz w:val="20"/>
                <w:szCs w:val="20"/>
              </w:rPr>
              <w:t>38.80</w:t>
            </w:r>
          </w:p>
        </w:tc>
        <w:tc>
          <w:tcPr>
            <w:tcW w:w="1276" w:type="dxa"/>
            <w:shd w:val="clear" w:color="auto" w:fill="FFFFFF"/>
            <w:vAlign w:val="center"/>
          </w:tcPr>
          <w:p w:rsidR="00085FB4" w:rsidRPr="009451DA" w:rsidRDefault="00085FB4" w:rsidP="008D77C1">
            <w:pPr>
              <w:spacing w:line="480" w:lineRule="auto"/>
              <w:jc w:val="both"/>
              <w:rPr>
                <w:rFonts w:ascii="Arial" w:hAnsi="Arial" w:cs="Arial"/>
                <w:sz w:val="20"/>
                <w:szCs w:val="20"/>
              </w:rPr>
            </w:pPr>
            <w:r w:rsidRPr="009451DA">
              <w:rPr>
                <w:rFonts w:ascii="Arial" w:hAnsi="Arial" w:cs="Arial"/>
                <w:sz w:val="20"/>
                <w:szCs w:val="20"/>
              </w:rPr>
              <w:t>49.60</w:t>
            </w:r>
          </w:p>
        </w:tc>
        <w:tc>
          <w:tcPr>
            <w:tcW w:w="815" w:type="dxa"/>
            <w:shd w:val="clear" w:color="auto" w:fill="FFFFFF"/>
            <w:vAlign w:val="center"/>
          </w:tcPr>
          <w:p w:rsidR="00085FB4" w:rsidRPr="009451DA" w:rsidRDefault="00085FB4" w:rsidP="008D77C1">
            <w:pPr>
              <w:spacing w:line="480" w:lineRule="auto"/>
              <w:jc w:val="both"/>
              <w:rPr>
                <w:rFonts w:ascii="Arial" w:hAnsi="Arial" w:cs="Arial"/>
                <w:b/>
                <w:sz w:val="20"/>
                <w:szCs w:val="20"/>
              </w:rPr>
            </w:pPr>
            <w:r w:rsidRPr="009451DA">
              <w:rPr>
                <w:rFonts w:ascii="Arial" w:hAnsi="Arial" w:cs="Arial"/>
                <w:b/>
                <w:sz w:val="20"/>
                <w:szCs w:val="20"/>
              </w:rPr>
              <w:t>43.66</w:t>
            </w:r>
          </w:p>
        </w:tc>
        <w:tc>
          <w:tcPr>
            <w:tcW w:w="1243" w:type="dxa"/>
            <w:shd w:val="clear" w:color="auto" w:fill="FFFFFF"/>
            <w:vAlign w:val="center"/>
          </w:tcPr>
          <w:p w:rsidR="00085FB4" w:rsidRPr="009451DA" w:rsidRDefault="00085FB4" w:rsidP="008D77C1">
            <w:pPr>
              <w:spacing w:line="480" w:lineRule="auto"/>
              <w:jc w:val="both"/>
              <w:rPr>
                <w:rFonts w:ascii="Arial" w:hAnsi="Arial" w:cs="Arial"/>
                <w:sz w:val="20"/>
                <w:szCs w:val="20"/>
              </w:rPr>
            </w:pPr>
            <w:r w:rsidRPr="009451DA">
              <w:rPr>
                <w:rFonts w:ascii="Arial" w:hAnsi="Arial" w:cs="Arial"/>
                <w:sz w:val="20"/>
                <w:szCs w:val="20"/>
              </w:rPr>
              <w:t>2.34</w:t>
            </w:r>
          </w:p>
        </w:tc>
        <w:tc>
          <w:tcPr>
            <w:tcW w:w="917" w:type="dxa"/>
            <w:shd w:val="clear" w:color="auto" w:fill="FFFFFF"/>
          </w:tcPr>
          <w:p w:rsidR="00085FB4" w:rsidRPr="009451DA" w:rsidRDefault="00085FB4" w:rsidP="008D77C1">
            <w:pPr>
              <w:spacing w:line="480" w:lineRule="auto"/>
              <w:jc w:val="both"/>
              <w:rPr>
                <w:rFonts w:ascii="Arial" w:hAnsi="Arial" w:cs="Arial"/>
                <w:b/>
                <w:sz w:val="20"/>
                <w:szCs w:val="20"/>
              </w:rPr>
            </w:pPr>
          </w:p>
        </w:tc>
      </w:tr>
      <w:tr w:rsidR="00085FB4" w:rsidRPr="009451DA" w:rsidTr="008D77C1">
        <w:trPr>
          <w:cantSplit/>
        </w:trPr>
        <w:tc>
          <w:tcPr>
            <w:tcW w:w="2410" w:type="dxa"/>
            <w:shd w:val="clear" w:color="auto" w:fill="FFFFFF"/>
            <w:vAlign w:val="center"/>
          </w:tcPr>
          <w:p w:rsidR="00085FB4" w:rsidRPr="009451DA" w:rsidRDefault="00085FB4" w:rsidP="008D77C1">
            <w:pPr>
              <w:spacing w:line="480" w:lineRule="auto"/>
              <w:jc w:val="both"/>
              <w:rPr>
                <w:rFonts w:ascii="Arial" w:hAnsi="Arial" w:cs="Arial"/>
                <w:sz w:val="20"/>
                <w:szCs w:val="20"/>
              </w:rPr>
            </w:pPr>
            <w:r w:rsidRPr="009451DA">
              <w:rPr>
                <w:rFonts w:ascii="Arial" w:hAnsi="Arial" w:cs="Arial"/>
                <w:sz w:val="20"/>
                <w:szCs w:val="20"/>
              </w:rPr>
              <w:t xml:space="preserve">Anterior Ratio </w:t>
            </w:r>
          </w:p>
        </w:tc>
        <w:tc>
          <w:tcPr>
            <w:tcW w:w="467" w:type="dxa"/>
            <w:shd w:val="clear" w:color="auto" w:fill="FFFFFF"/>
            <w:vAlign w:val="center"/>
          </w:tcPr>
          <w:p w:rsidR="00085FB4" w:rsidRPr="009451DA" w:rsidRDefault="00085FB4" w:rsidP="008D77C1">
            <w:pPr>
              <w:spacing w:line="480" w:lineRule="auto"/>
              <w:jc w:val="both"/>
              <w:rPr>
                <w:rFonts w:ascii="Arial" w:hAnsi="Arial" w:cs="Arial"/>
                <w:sz w:val="20"/>
                <w:szCs w:val="20"/>
              </w:rPr>
            </w:pPr>
            <w:r w:rsidRPr="009451DA">
              <w:rPr>
                <w:rFonts w:ascii="Arial" w:hAnsi="Arial" w:cs="Arial"/>
                <w:sz w:val="20"/>
                <w:szCs w:val="20"/>
              </w:rPr>
              <w:t>63</w:t>
            </w:r>
          </w:p>
        </w:tc>
        <w:tc>
          <w:tcPr>
            <w:tcW w:w="1149" w:type="dxa"/>
            <w:shd w:val="clear" w:color="auto" w:fill="FFFFFF"/>
            <w:vAlign w:val="center"/>
          </w:tcPr>
          <w:p w:rsidR="00085FB4" w:rsidRPr="009451DA" w:rsidRDefault="00085FB4" w:rsidP="008D77C1">
            <w:pPr>
              <w:spacing w:line="480" w:lineRule="auto"/>
              <w:jc w:val="both"/>
              <w:rPr>
                <w:rFonts w:ascii="Arial" w:hAnsi="Arial" w:cs="Arial"/>
                <w:sz w:val="20"/>
                <w:szCs w:val="20"/>
              </w:rPr>
            </w:pPr>
            <w:r w:rsidRPr="009451DA">
              <w:rPr>
                <w:rFonts w:ascii="Arial" w:hAnsi="Arial" w:cs="Arial"/>
                <w:sz w:val="20"/>
                <w:szCs w:val="20"/>
              </w:rPr>
              <w:t>67.78</w:t>
            </w:r>
          </w:p>
        </w:tc>
        <w:tc>
          <w:tcPr>
            <w:tcW w:w="1276" w:type="dxa"/>
            <w:shd w:val="clear" w:color="auto" w:fill="FFFFFF"/>
            <w:vAlign w:val="center"/>
          </w:tcPr>
          <w:p w:rsidR="00085FB4" w:rsidRPr="009451DA" w:rsidRDefault="00085FB4" w:rsidP="008D77C1">
            <w:pPr>
              <w:spacing w:line="480" w:lineRule="auto"/>
              <w:jc w:val="both"/>
              <w:rPr>
                <w:rFonts w:ascii="Arial" w:hAnsi="Arial" w:cs="Arial"/>
                <w:sz w:val="20"/>
                <w:szCs w:val="20"/>
              </w:rPr>
            </w:pPr>
            <w:r w:rsidRPr="009451DA">
              <w:rPr>
                <w:rFonts w:ascii="Arial" w:hAnsi="Arial" w:cs="Arial"/>
                <w:sz w:val="20"/>
                <w:szCs w:val="20"/>
              </w:rPr>
              <w:t>87.50</w:t>
            </w:r>
          </w:p>
        </w:tc>
        <w:tc>
          <w:tcPr>
            <w:tcW w:w="815" w:type="dxa"/>
            <w:shd w:val="clear" w:color="auto" w:fill="FFFFFF"/>
            <w:vAlign w:val="center"/>
          </w:tcPr>
          <w:p w:rsidR="00085FB4" w:rsidRPr="009451DA" w:rsidRDefault="00085FB4" w:rsidP="008D77C1">
            <w:pPr>
              <w:spacing w:line="480" w:lineRule="auto"/>
              <w:jc w:val="both"/>
              <w:rPr>
                <w:rFonts w:ascii="Arial" w:hAnsi="Arial" w:cs="Arial"/>
                <w:b/>
                <w:sz w:val="20"/>
                <w:szCs w:val="20"/>
              </w:rPr>
            </w:pPr>
            <w:r w:rsidRPr="009451DA">
              <w:rPr>
                <w:rFonts w:ascii="Arial" w:hAnsi="Arial" w:cs="Arial"/>
                <w:b/>
                <w:sz w:val="20"/>
                <w:szCs w:val="20"/>
              </w:rPr>
              <w:t>78.88</w:t>
            </w:r>
          </w:p>
        </w:tc>
        <w:tc>
          <w:tcPr>
            <w:tcW w:w="1243" w:type="dxa"/>
            <w:shd w:val="clear" w:color="auto" w:fill="FFFFFF"/>
            <w:vAlign w:val="center"/>
          </w:tcPr>
          <w:p w:rsidR="00085FB4" w:rsidRPr="009451DA" w:rsidRDefault="00085FB4" w:rsidP="008D77C1">
            <w:pPr>
              <w:spacing w:line="480" w:lineRule="auto"/>
              <w:jc w:val="both"/>
              <w:rPr>
                <w:rFonts w:ascii="Arial" w:hAnsi="Arial" w:cs="Arial"/>
                <w:sz w:val="20"/>
                <w:szCs w:val="20"/>
              </w:rPr>
            </w:pPr>
            <w:r w:rsidRPr="009451DA">
              <w:rPr>
                <w:rFonts w:ascii="Arial" w:hAnsi="Arial" w:cs="Arial"/>
                <w:sz w:val="20"/>
                <w:szCs w:val="20"/>
              </w:rPr>
              <w:t>5.13</w:t>
            </w:r>
          </w:p>
        </w:tc>
        <w:tc>
          <w:tcPr>
            <w:tcW w:w="917" w:type="dxa"/>
            <w:shd w:val="clear" w:color="auto" w:fill="FFFFFF"/>
          </w:tcPr>
          <w:p w:rsidR="00085FB4" w:rsidRPr="009451DA" w:rsidRDefault="00085FB4" w:rsidP="008D77C1">
            <w:pPr>
              <w:spacing w:line="480" w:lineRule="auto"/>
              <w:jc w:val="both"/>
              <w:rPr>
                <w:rFonts w:ascii="Arial" w:hAnsi="Arial" w:cs="Arial"/>
                <w:b/>
                <w:sz w:val="20"/>
                <w:szCs w:val="20"/>
              </w:rPr>
            </w:pPr>
            <w:r w:rsidRPr="009451DA">
              <w:rPr>
                <w:rFonts w:ascii="Arial" w:hAnsi="Arial" w:cs="Arial"/>
                <w:b/>
                <w:sz w:val="20"/>
                <w:szCs w:val="20"/>
              </w:rPr>
              <w:t>2.74, S</w:t>
            </w:r>
          </w:p>
        </w:tc>
      </w:tr>
      <w:tr w:rsidR="00085FB4" w:rsidRPr="009451DA" w:rsidTr="008D77C1">
        <w:trPr>
          <w:cantSplit/>
        </w:trPr>
        <w:tc>
          <w:tcPr>
            <w:tcW w:w="2410" w:type="dxa"/>
            <w:shd w:val="clear" w:color="auto" w:fill="FFFFFF"/>
            <w:vAlign w:val="center"/>
          </w:tcPr>
          <w:p w:rsidR="00085FB4" w:rsidRPr="009451DA" w:rsidRDefault="00085FB4" w:rsidP="008D77C1">
            <w:pPr>
              <w:spacing w:line="480" w:lineRule="auto"/>
              <w:jc w:val="both"/>
              <w:rPr>
                <w:rFonts w:ascii="Arial" w:hAnsi="Arial" w:cs="Arial"/>
                <w:sz w:val="20"/>
                <w:szCs w:val="20"/>
              </w:rPr>
            </w:pPr>
            <w:r w:rsidRPr="009451DA">
              <w:rPr>
                <w:rFonts w:ascii="Arial" w:hAnsi="Arial" w:cs="Arial"/>
                <w:sz w:val="20"/>
                <w:szCs w:val="20"/>
              </w:rPr>
              <w:t>Sum of mandibular 12</w:t>
            </w:r>
          </w:p>
        </w:tc>
        <w:tc>
          <w:tcPr>
            <w:tcW w:w="467" w:type="dxa"/>
            <w:shd w:val="clear" w:color="auto" w:fill="FFFFFF"/>
            <w:vAlign w:val="center"/>
          </w:tcPr>
          <w:p w:rsidR="00085FB4" w:rsidRPr="009451DA" w:rsidRDefault="00085FB4" w:rsidP="008D77C1">
            <w:pPr>
              <w:spacing w:line="480" w:lineRule="auto"/>
              <w:jc w:val="both"/>
              <w:rPr>
                <w:rFonts w:ascii="Arial" w:hAnsi="Arial" w:cs="Arial"/>
                <w:sz w:val="20"/>
                <w:szCs w:val="20"/>
              </w:rPr>
            </w:pPr>
            <w:r w:rsidRPr="009451DA">
              <w:rPr>
                <w:rFonts w:ascii="Arial" w:hAnsi="Arial" w:cs="Arial"/>
                <w:sz w:val="20"/>
                <w:szCs w:val="20"/>
              </w:rPr>
              <w:t>63</w:t>
            </w:r>
          </w:p>
        </w:tc>
        <w:tc>
          <w:tcPr>
            <w:tcW w:w="1149" w:type="dxa"/>
            <w:shd w:val="clear" w:color="auto" w:fill="FFFFFF"/>
            <w:vAlign w:val="center"/>
          </w:tcPr>
          <w:p w:rsidR="00085FB4" w:rsidRPr="009451DA" w:rsidRDefault="00085FB4" w:rsidP="008D77C1">
            <w:pPr>
              <w:spacing w:line="480" w:lineRule="auto"/>
              <w:jc w:val="both"/>
              <w:rPr>
                <w:rFonts w:ascii="Arial" w:hAnsi="Arial" w:cs="Arial"/>
                <w:sz w:val="20"/>
                <w:szCs w:val="20"/>
              </w:rPr>
            </w:pPr>
            <w:r w:rsidRPr="009451DA">
              <w:rPr>
                <w:rFonts w:ascii="Arial" w:hAnsi="Arial" w:cs="Arial"/>
                <w:sz w:val="20"/>
                <w:szCs w:val="20"/>
              </w:rPr>
              <w:t>71.20</w:t>
            </w:r>
          </w:p>
        </w:tc>
        <w:tc>
          <w:tcPr>
            <w:tcW w:w="1276" w:type="dxa"/>
            <w:shd w:val="clear" w:color="auto" w:fill="FFFFFF"/>
            <w:vAlign w:val="center"/>
          </w:tcPr>
          <w:p w:rsidR="00085FB4" w:rsidRPr="009451DA" w:rsidRDefault="00085FB4" w:rsidP="008D77C1">
            <w:pPr>
              <w:spacing w:line="480" w:lineRule="auto"/>
              <w:jc w:val="both"/>
              <w:rPr>
                <w:rFonts w:ascii="Arial" w:hAnsi="Arial" w:cs="Arial"/>
                <w:sz w:val="20"/>
                <w:szCs w:val="20"/>
              </w:rPr>
            </w:pPr>
            <w:r w:rsidRPr="009451DA">
              <w:rPr>
                <w:rFonts w:ascii="Arial" w:hAnsi="Arial" w:cs="Arial"/>
                <w:sz w:val="20"/>
                <w:szCs w:val="20"/>
              </w:rPr>
              <w:t>96.00</w:t>
            </w:r>
          </w:p>
        </w:tc>
        <w:tc>
          <w:tcPr>
            <w:tcW w:w="815" w:type="dxa"/>
            <w:shd w:val="clear" w:color="auto" w:fill="FFFFFF"/>
            <w:vAlign w:val="center"/>
          </w:tcPr>
          <w:p w:rsidR="00085FB4" w:rsidRPr="009451DA" w:rsidRDefault="00085FB4" w:rsidP="008D77C1">
            <w:pPr>
              <w:spacing w:line="480" w:lineRule="auto"/>
              <w:jc w:val="both"/>
              <w:rPr>
                <w:rFonts w:ascii="Arial" w:hAnsi="Arial" w:cs="Arial"/>
                <w:b/>
                <w:sz w:val="20"/>
                <w:szCs w:val="20"/>
              </w:rPr>
            </w:pPr>
            <w:r w:rsidRPr="009451DA">
              <w:rPr>
                <w:rFonts w:ascii="Arial" w:hAnsi="Arial" w:cs="Arial"/>
                <w:b/>
                <w:sz w:val="20"/>
                <w:szCs w:val="20"/>
              </w:rPr>
              <w:t>78.00</w:t>
            </w:r>
          </w:p>
        </w:tc>
        <w:tc>
          <w:tcPr>
            <w:tcW w:w="1243" w:type="dxa"/>
            <w:shd w:val="clear" w:color="auto" w:fill="FFFFFF"/>
            <w:vAlign w:val="center"/>
          </w:tcPr>
          <w:p w:rsidR="00085FB4" w:rsidRPr="009451DA" w:rsidRDefault="00085FB4" w:rsidP="008D77C1">
            <w:pPr>
              <w:spacing w:line="480" w:lineRule="auto"/>
              <w:jc w:val="both"/>
              <w:rPr>
                <w:rFonts w:ascii="Arial" w:hAnsi="Arial" w:cs="Arial"/>
                <w:sz w:val="20"/>
                <w:szCs w:val="20"/>
              </w:rPr>
            </w:pPr>
            <w:r w:rsidRPr="009451DA">
              <w:rPr>
                <w:rFonts w:ascii="Arial" w:hAnsi="Arial" w:cs="Arial"/>
                <w:sz w:val="20"/>
                <w:szCs w:val="20"/>
              </w:rPr>
              <w:t>4.71</w:t>
            </w:r>
          </w:p>
        </w:tc>
        <w:tc>
          <w:tcPr>
            <w:tcW w:w="917" w:type="dxa"/>
            <w:shd w:val="clear" w:color="auto" w:fill="FFFFFF"/>
          </w:tcPr>
          <w:p w:rsidR="00085FB4" w:rsidRPr="009451DA" w:rsidRDefault="00085FB4" w:rsidP="008D77C1">
            <w:pPr>
              <w:spacing w:line="480" w:lineRule="auto"/>
              <w:jc w:val="both"/>
              <w:rPr>
                <w:rFonts w:ascii="Arial" w:hAnsi="Arial" w:cs="Arial"/>
                <w:b/>
                <w:sz w:val="20"/>
                <w:szCs w:val="20"/>
              </w:rPr>
            </w:pPr>
          </w:p>
        </w:tc>
      </w:tr>
      <w:tr w:rsidR="00085FB4" w:rsidRPr="009451DA" w:rsidTr="008D77C1">
        <w:trPr>
          <w:cantSplit/>
        </w:trPr>
        <w:tc>
          <w:tcPr>
            <w:tcW w:w="2410" w:type="dxa"/>
            <w:shd w:val="clear" w:color="auto" w:fill="FFFFFF"/>
            <w:vAlign w:val="center"/>
          </w:tcPr>
          <w:p w:rsidR="00085FB4" w:rsidRPr="009451DA" w:rsidRDefault="00085FB4" w:rsidP="008D77C1">
            <w:pPr>
              <w:spacing w:line="480" w:lineRule="auto"/>
              <w:jc w:val="both"/>
              <w:rPr>
                <w:rFonts w:ascii="Arial" w:hAnsi="Arial" w:cs="Arial"/>
                <w:sz w:val="20"/>
                <w:szCs w:val="20"/>
              </w:rPr>
            </w:pPr>
            <w:r w:rsidRPr="009451DA">
              <w:rPr>
                <w:rFonts w:ascii="Arial" w:hAnsi="Arial" w:cs="Arial"/>
                <w:sz w:val="20"/>
                <w:szCs w:val="20"/>
              </w:rPr>
              <w:lastRenderedPageBreak/>
              <w:t>Sum of maxillary 12</w:t>
            </w:r>
          </w:p>
        </w:tc>
        <w:tc>
          <w:tcPr>
            <w:tcW w:w="467" w:type="dxa"/>
            <w:shd w:val="clear" w:color="auto" w:fill="FFFFFF"/>
            <w:vAlign w:val="center"/>
          </w:tcPr>
          <w:p w:rsidR="00085FB4" w:rsidRPr="009451DA" w:rsidRDefault="00085FB4" w:rsidP="008D77C1">
            <w:pPr>
              <w:spacing w:line="480" w:lineRule="auto"/>
              <w:jc w:val="both"/>
              <w:rPr>
                <w:rFonts w:ascii="Arial" w:hAnsi="Arial" w:cs="Arial"/>
                <w:sz w:val="20"/>
                <w:szCs w:val="20"/>
              </w:rPr>
            </w:pPr>
            <w:r w:rsidRPr="009451DA">
              <w:rPr>
                <w:rFonts w:ascii="Arial" w:hAnsi="Arial" w:cs="Arial"/>
                <w:sz w:val="20"/>
                <w:szCs w:val="20"/>
              </w:rPr>
              <w:t>63</w:t>
            </w:r>
          </w:p>
        </w:tc>
        <w:tc>
          <w:tcPr>
            <w:tcW w:w="1149" w:type="dxa"/>
            <w:shd w:val="clear" w:color="auto" w:fill="FFFFFF"/>
            <w:vAlign w:val="center"/>
          </w:tcPr>
          <w:p w:rsidR="00085FB4" w:rsidRPr="009451DA" w:rsidRDefault="00085FB4" w:rsidP="008D77C1">
            <w:pPr>
              <w:spacing w:line="480" w:lineRule="auto"/>
              <w:jc w:val="both"/>
              <w:rPr>
                <w:rFonts w:ascii="Arial" w:hAnsi="Arial" w:cs="Arial"/>
                <w:sz w:val="20"/>
                <w:szCs w:val="20"/>
              </w:rPr>
            </w:pPr>
            <w:r w:rsidRPr="009451DA">
              <w:rPr>
                <w:rFonts w:ascii="Arial" w:hAnsi="Arial" w:cs="Arial"/>
                <w:sz w:val="20"/>
                <w:szCs w:val="20"/>
              </w:rPr>
              <w:t>82.00</w:t>
            </w:r>
          </w:p>
        </w:tc>
        <w:tc>
          <w:tcPr>
            <w:tcW w:w="1276" w:type="dxa"/>
            <w:shd w:val="clear" w:color="auto" w:fill="FFFFFF"/>
            <w:vAlign w:val="center"/>
          </w:tcPr>
          <w:p w:rsidR="00085FB4" w:rsidRPr="009451DA" w:rsidRDefault="00085FB4" w:rsidP="008D77C1">
            <w:pPr>
              <w:spacing w:line="480" w:lineRule="auto"/>
              <w:jc w:val="both"/>
              <w:rPr>
                <w:rFonts w:ascii="Arial" w:hAnsi="Arial" w:cs="Arial"/>
                <w:sz w:val="20"/>
                <w:szCs w:val="20"/>
              </w:rPr>
            </w:pPr>
            <w:r w:rsidRPr="009451DA">
              <w:rPr>
                <w:rFonts w:ascii="Arial" w:hAnsi="Arial" w:cs="Arial"/>
                <w:sz w:val="20"/>
                <w:szCs w:val="20"/>
              </w:rPr>
              <w:t>99.00</w:t>
            </w:r>
          </w:p>
        </w:tc>
        <w:tc>
          <w:tcPr>
            <w:tcW w:w="815" w:type="dxa"/>
            <w:shd w:val="clear" w:color="auto" w:fill="FFFFFF"/>
            <w:vAlign w:val="center"/>
          </w:tcPr>
          <w:p w:rsidR="00085FB4" w:rsidRPr="009451DA" w:rsidRDefault="00085FB4" w:rsidP="008D77C1">
            <w:pPr>
              <w:spacing w:line="480" w:lineRule="auto"/>
              <w:jc w:val="both"/>
              <w:rPr>
                <w:rFonts w:ascii="Arial" w:hAnsi="Arial" w:cs="Arial"/>
                <w:b/>
                <w:sz w:val="20"/>
                <w:szCs w:val="20"/>
              </w:rPr>
            </w:pPr>
            <w:r w:rsidRPr="009451DA">
              <w:rPr>
                <w:rFonts w:ascii="Arial" w:hAnsi="Arial" w:cs="Arial"/>
                <w:b/>
                <w:sz w:val="20"/>
                <w:szCs w:val="20"/>
              </w:rPr>
              <w:t>87.80</w:t>
            </w:r>
          </w:p>
        </w:tc>
        <w:tc>
          <w:tcPr>
            <w:tcW w:w="1243" w:type="dxa"/>
            <w:shd w:val="clear" w:color="auto" w:fill="FFFFFF"/>
            <w:vAlign w:val="center"/>
          </w:tcPr>
          <w:p w:rsidR="00085FB4" w:rsidRPr="009451DA" w:rsidRDefault="00085FB4" w:rsidP="008D77C1">
            <w:pPr>
              <w:spacing w:line="480" w:lineRule="auto"/>
              <w:jc w:val="both"/>
              <w:rPr>
                <w:rFonts w:ascii="Arial" w:hAnsi="Arial" w:cs="Arial"/>
                <w:sz w:val="20"/>
                <w:szCs w:val="20"/>
              </w:rPr>
            </w:pPr>
            <w:r w:rsidRPr="009451DA">
              <w:rPr>
                <w:rFonts w:ascii="Arial" w:hAnsi="Arial" w:cs="Arial"/>
                <w:sz w:val="20"/>
                <w:szCs w:val="20"/>
              </w:rPr>
              <w:t>3.59</w:t>
            </w:r>
          </w:p>
        </w:tc>
        <w:tc>
          <w:tcPr>
            <w:tcW w:w="917" w:type="dxa"/>
            <w:shd w:val="clear" w:color="auto" w:fill="FFFFFF"/>
          </w:tcPr>
          <w:p w:rsidR="00085FB4" w:rsidRPr="009451DA" w:rsidRDefault="00085FB4" w:rsidP="008D77C1">
            <w:pPr>
              <w:spacing w:line="480" w:lineRule="auto"/>
              <w:jc w:val="both"/>
              <w:rPr>
                <w:rFonts w:ascii="Arial" w:hAnsi="Arial" w:cs="Arial"/>
                <w:b/>
                <w:sz w:val="20"/>
                <w:szCs w:val="20"/>
              </w:rPr>
            </w:pPr>
          </w:p>
        </w:tc>
      </w:tr>
      <w:tr w:rsidR="00085FB4" w:rsidRPr="009451DA" w:rsidTr="008D77C1">
        <w:trPr>
          <w:cantSplit/>
        </w:trPr>
        <w:tc>
          <w:tcPr>
            <w:tcW w:w="2410" w:type="dxa"/>
            <w:shd w:val="clear" w:color="auto" w:fill="FFFFFF"/>
            <w:vAlign w:val="center"/>
          </w:tcPr>
          <w:p w:rsidR="00085FB4" w:rsidRPr="009451DA" w:rsidRDefault="00085FB4" w:rsidP="008D77C1">
            <w:pPr>
              <w:spacing w:line="480" w:lineRule="auto"/>
              <w:jc w:val="both"/>
              <w:rPr>
                <w:rFonts w:ascii="Arial" w:hAnsi="Arial" w:cs="Arial"/>
                <w:sz w:val="20"/>
                <w:szCs w:val="20"/>
              </w:rPr>
            </w:pPr>
            <w:r w:rsidRPr="009451DA">
              <w:rPr>
                <w:rFonts w:ascii="Arial" w:hAnsi="Arial" w:cs="Arial"/>
                <w:sz w:val="20"/>
                <w:szCs w:val="20"/>
              </w:rPr>
              <w:t xml:space="preserve">Overall Ratio </w:t>
            </w:r>
          </w:p>
        </w:tc>
        <w:tc>
          <w:tcPr>
            <w:tcW w:w="467" w:type="dxa"/>
            <w:shd w:val="clear" w:color="auto" w:fill="FFFFFF"/>
            <w:vAlign w:val="center"/>
          </w:tcPr>
          <w:p w:rsidR="00085FB4" w:rsidRPr="009451DA" w:rsidRDefault="00085FB4" w:rsidP="008D77C1">
            <w:pPr>
              <w:spacing w:line="480" w:lineRule="auto"/>
              <w:jc w:val="both"/>
              <w:rPr>
                <w:rFonts w:ascii="Arial" w:hAnsi="Arial" w:cs="Arial"/>
                <w:sz w:val="20"/>
                <w:szCs w:val="20"/>
              </w:rPr>
            </w:pPr>
            <w:r w:rsidRPr="009451DA">
              <w:rPr>
                <w:rFonts w:ascii="Arial" w:hAnsi="Arial" w:cs="Arial"/>
                <w:sz w:val="20"/>
                <w:szCs w:val="20"/>
              </w:rPr>
              <w:t>63</w:t>
            </w:r>
          </w:p>
        </w:tc>
        <w:tc>
          <w:tcPr>
            <w:tcW w:w="1149" w:type="dxa"/>
            <w:shd w:val="clear" w:color="auto" w:fill="FFFFFF"/>
            <w:vAlign w:val="center"/>
          </w:tcPr>
          <w:p w:rsidR="00085FB4" w:rsidRPr="009451DA" w:rsidRDefault="00085FB4" w:rsidP="008D77C1">
            <w:pPr>
              <w:spacing w:line="480" w:lineRule="auto"/>
              <w:jc w:val="both"/>
              <w:rPr>
                <w:rFonts w:ascii="Arial" w:hAnsi="Arial" w:cs="Arial"/>
                <w:sz w:val="20"/>
                <w:szCs w:val="20"/>
              </w:rPr>
            </w:pPr>
            <w:r w:rsidRPr="009451DA">
              <w:rPr>
                <w:rFonts w:ascii="Arial" w:hAnsi="Arial" w:cs="Arial"/>
                <w:sz w:val="20"/>
                <w:szCs w:val="20"/>
              </w:rPr>
              <w:t>80.90</w:t>
            </w:r>
          </w:p>
        </w:tc>
        <w:tc>
          <w:tcPr>
            <w:tcW w:w="1276" w:type="dxa"/>
            <w:shd w:val="clear" w:color="auto" w:fill="FFFFFF"/>
            <w:vAlign w:val="center"/>
          </w:tcPr>
          <w:p w:rsidR="00085FB4" w:rsidRPr="009451DA" w:rsidRDefault="00085FB4" w:rsidP="008D77C1">
            <w:pPr>
              <w:spacing w:line="480" w:lineRule="auto"/>
              <w:jc w:val="both"/>
              <w:rPr>
                <w:rFonts w:ascii="Arial" w:hAnsi="Arial" w:cs="Arial"/>
                <w:sz w:val="20"/>
                <w:szCs w:val="20"/>
              </w:rPr>
            </w:pPr>
            <w:r w:rsidRPr="009451DA">
              <w:rPr>
                <w:rFonts w:ascii="Arial" w:hAnsi="Arial" w:cs="Arial"/>
                <w:sz w:val="20"/>
                <w:szCs w:val="20"/>
              </w:rPr>
              <w:t>96.96</w:t>
            </w:r>
          </w:p>
        </w:tc>
        <w:tc>
          <w:tcPr>
            <w:tcW w:w="815" w:type="dxa"/>
            <w:shd w:val="clear" w:color="auto" w:fill="FFFFFF"/>
            <w:vAlign w:val="center"/>
          </w:tcPr>
          <w:p w:rsidR="00085FB4" w:rsidRPr="009451DA" w:rsidRDefault="00085FB4" w:rsidP="008D77C1">
            <w:pPr>
              <w:spacing w:line="480" w:lineRule="auto"/>
              <w:jc w:val="both"/>
              <w:rPr>
                <w:rFonts w:ascii="Arial" w:hAnsi="Arial" w:cs="Arial"/>
                <w:b/>
                <w:sz w:val="20"/>
                <w:szCs w:val="20"/>
              </w:rPr>
            </w:pPr>
            <w:r w:rsidRPr="009451DA">
              <w:rPr>
                <w:rFonts w:ascii="Arial" w:hAnsi="Arial" w:cs="Arial"/>
                <w:b/>
                <w:sz w:val="20"/>
                <w:szCs w:val="20"/>
              </w:rPr>
              <w:t>88.85</w:t>
            </w:r>
          </w:p>
        </w:tc>
        <w:tc>
          <w:tcPr>
            <w:tcW w:w="1243" w:type="dxa"/>
            <w:shd w:val="clear" w:color="auto" w:fill="FFFFFF"/>
            <w:vAlign w:val="center"/>
          </w:tcPr>
          <w:p w:rsidR="00085FB4" w:rsidRPr="009451DA" w:rsidRDefault="00085FB4" w:rsidP="008D77C1">
            <w:pPr>
              <w:spacing w:line="480" w:lineRule="auto"/>
              <w:jc w:val="both"/>
              <w:rPr>
                <w:rFonts w:ascii="Arial" w:hAnsi="Arial" w:cs="Arial"/>
                <w:sz w:val="20"/>
                <w:szCs w:val="20"/>
              </w:rPr>
            </w:pPr>
            <w:r w:rsidRPr="009451DA">
              <w:rPr>
                <w:rFonts w:ascii="Arial" w:hAnsi="Arial" w:cs="Arial"/>
                <w:sz w:val="20"/>
                <w:szCs w:val="20"/>
              </w:rPr>
              <w:t>4.03</w:t>
            </w:r>
          </w:p>
        </w:tc>
        <w:tc>
          <w:tcPr>
            <w:tcW w:w="917" w:type="dxa"/>
            <w:shd w:val="clear" w:color="auto" w:fill="FFFFFF"/>
          </w:tcPr>
          <w:p w:rsidR="00085FB4" w:rsidRPr="009451DA" w:rsidRDefault="00085FB4" w:rsidP="008D77C1">
            <w:pPr>
              <w:spacing w:line="480" w:lineRule="auto"/>
              <w:jc w:val="both"/>
              <w:rPr>
                <w:rFonts w:ascii="Arial" w:hAnsi="Arial" w:cs="Arial"/>
                <w:b/>
                <w:sz w:val="20"/>
                <w:szCs w:val="20"/>
              </w:rPr>
            </w:pPr>
            <w:r w:rsidRPr="009451DA">
              <w:rPr>
                <w:rFonts w:ascii="Arial" w:hAnsi="Arial" w:cs="Arial"/>
                <w:b/>
                <w:sz w:val="20"/>
                <w:szCs w:val="20"/>
              </w:rPr>
              <w:t>2.28,S</w:t>
            </w:r>
          </w:p>
        </w:tc>
      </w:tr>
    </w:tbl>
    <w:p w:rsidR="00085FB4" w:rsidRPr="009451DA" w:rsidRDefault="00085FB4" w:rsidP="00E46D45">
      <w:pPr>
        <w:spacing w:line="480" w:lineRule="auto"/>
        <w:jc w:val="both"/>
        <w:rPr>
          <w:rFonts w:ascii="Arial" w:hAnsi="Arial" w:cs="Arial"/>
          <w:sz w:val="20"/>
          <w:szCs w:val="20"/>
        </w:rPr>
      </w:pPr>
    </w:p>
    <w:p w:rsidR="009E2A26" w:rsidRPr="009451DA" w:rsidRDefault="009E2A26" w:rsidP="00E46D45">
      <w:pPr>
        <w:spacing w:line="480" w:lineRule="auto"/>
        <w:jc w:val="both"/>
        <w:rPr>
          <w:rFonts w:ascii="Arial" w:hAnsi="Arial" w:cs="Arial"/>
          <w:sz w:val="20"/>
          <w:szCs w:val="20"/>
        </w:rPr>
      </w:pPr>
    </w:p>
    <w:p w:rsidR="009E2A26" w:rsidRPr="009451DA" w:rsidRDefault="009E2A26" w:rsidP="00E46D45">
      <w:pPr>
        <w:spacing w:line="480" w:lineRule="auto"/>
        <w:jc w:val="both"/>
        <w:rPr>
          <w:rFonts w:ascii="Arial" w:hAnsi="Arial" w:cs="Arial"/>
          <w:sz w:val="20"/>
          <w:szCs w:val="20"/>
        </w:rPr>
      </w:pPr>
    </w:p>
    <w:p w:rsidR="009E2A26" w:rsidRPr="009451DA" w:rsidRDefault="009E2A26" w:rsidP="00E46D45">
      <w:pPr>
        <w:spacing w:line="480" w:lineRule="auto"/>
        <w:jc w:val="both"/>
        <w:rPr>
          <w:rFonts w:ascii="Arial" w:hAnsi="Arial" w:cs="Arial"/>
          <w:sz w:val="20"/>
          <w:szCs w:val="20"/>
        </w:rPr>
      </w:pPr>
      <w:r w:rsidRPr="009451DA">
        <w:rPr>
          <w:rFonts w:ascii="Arial" w:hAnsi="Arial" w:cs="Arial"/>
          <w:b/>
          <w:sz w:val="20"/>
          <w:szCs w:val="20"/>
        </w:rPr>
        <w:t>Table 3: of Anterior ratio and overall ratio comparison in female patients with norms given by Bolton for female patients.</w:t>
      </w:r>
    </w:p>
    <w:p w:rsidR="00E46D45" w:rsidRPr="009451DA" w:rsidRDefault="00373F0D" w:rsidP="00E46D45">
      <w:pPr>
        <w:spacing w:line="480" w:lineRule="auto"/>
        <w:jc w:val="both"/>
        <w:rPr>
          <w:rFonts w:ascii="Arial" w:hAnsi="Arial" w:cs="Arial"/>
          <w:sz w:val="20"/>
          <w:szCs w:val="20"/>
        </w:rPr>
      </w:pPr>
      <w:r w:rsidRPr="009451DA">
        <w:rPr>
          <w:rFonts w:ascii="Arial" w:hAnsi="Arial" w:cs="Arial"/>
          <w:sz w:val="20"/>
          <w:szCs w:val="20"/>
        </w:rPr>
        <w:t xml:space="preserve">As shown in table 4 </w:t>
      </w:r>
      <w:r w:rsidR="00E51DA4" w:rsidRPr="009451DA">
        <w:rPr>
          <w:rFonts w:ascii="Arial" w:hAnsi="Arial" w:cs="Arial"/>
          <w:sz w:val="20"/>
          <w:szCs w:val="20"/>
        </w:rPr>
        <w:t xml:space="preserve"> b</w:t>
      </w:r>
      <w:r w:rsidR="00E46D45" w:rsidRPr="009451DA">
        <w:rPr>
          <w:rFonts w:ascii="Arial" w:hAnsi="Arial" w:cs="Arial"/>
          <w:sz w:val="20"/>
          <w:szCs w:val="20"/>
        </w:rPr>
        <w:t xml:space="preserve">y using Student’s unpaired t-test statistically significant difference was found in the mean sum of mandibular six and among gender (t=3.20, p-value=0.002) mean sum of maxillary six and among gender (t=4.70, p-value=0.0001). The mean sum of mandibular twelve and the mean sum of maxillary twelve for male patients was 81.60±5.83 and92.45 ±6.10, for female patients it was78.00 ±4.71 and 87.80±3.59. </w:t>
      </w:r>
    </w:p>
    <w:p w:rsidR="00E46D45" w:rsidRPr="009451DA" w:rsidRDefault="00E46D45" w:rsidP="00E46D45">
      <w:pPr>
        <w:spacing w:line="480" w:lineRule="auto"/>
        <w:jc w:val="both"/>
        <w:rPr>
          <w:rFonts w:ascii="Arial" w:hAnsi="Arial" w:cs="Arial"/>
          <w:sz w:val="20"/>
          <w:szCs w:val="20"/>
        </w:rPr>
      </w:pPr>
      <w:r w:rsidRPr="009451DA">
        <w:rPr>
          <w:rFonts w:ascii="Arial" w:hAnsi="Arial" w:cs="Arial"/>
          <w:sz w:val="20"/>
          <w:szCs w:val="20"/>
        </w:rPr>
        <w:t xml:space="preserve">By using Student’s unpaired t-test statistically significant difference was found in the mean sum of mandibular twelve and among gender (t=2.64, p-value=0.011) mean sum of maxillary twelve and among gender (t=3.70, p-value=0.00001). Mean sum of anterior ratio and overall ratio for male patient was 77.83±6.42 and 88.42±6.01 and for female patients was 78.88±5.13 and 88.85±4.03. </w:t>
      </w:r>
    </w:p>
    <w:tbl>
      <w:tblPr>
        <w:tblpPr w:leftFromText="180" w:rightFromText="180" w:vertAnchor="text" w:horzAnchor="margin" w:tblpY="348"/>
        <w:tblW w:w="8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76"/>
        <w:gridCol w:w="708"/>
        <w:gridCol w:w="1010"/>
        <w:gridCol w:w="779"/>
        <w:gridCol w:w="997"/>
        <w:gridCol w:w="936"/>
        <w:gridCol w:w="1243"/>
      </w:tblGrid>
      <w:tr w:rsidR="009E2A26" w:rsidRPr="009451DA" w:rsidTr="009E2A26">
        <w:trPr>
          <w:cantSplit/>
        </w:trPr>
        <w:tc>
          <w:tcPr>
            <w:tcW w:w="2676" w:type="dxa"/>
            <w:vMerge w:val="restart"/>
            <w:shd w:val="clear" w:color="auto" w:fill="FFFFFF"/>
            <w:vAlign w:val="center"/>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Bolton Analysis</w:t>
            </w:r>
          </w:p>
        </w:tc>
        <w:tc>
          <w:tcPr>
            <w:tcW w:w="1718" w:type="dxa"/>
            <w:gridSpan w:val="2"/>
            <w:shd w:val="clear" w:color="auto" w:fill="FFFFFF"/>
            <w:vAlign w:val="center"/>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Male</w:t>
            </w:r>
          </w:p>
        </w:tc>
        <w:tc>
          <w:tcPr>
            <w:tcW w:w="1776" w:type="dxa"/>
            <w:gridSpan w:val="2"/>
            <w:shd w:val="clear" w:color="auto" w:fill="FFFFFF"/>
            <w:vAlign w:val="center"/>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 xml:space="preserve">Female </w:t>
            </w:r>
          </w:p>
        </w:tc>
        <w:tc>
          <w:tcPr>
            <w:tcW w:w="936" w:type="dxa"/>
            <w:vMerge w:val="restart"/>
            <w:shd w:val="clear" w:color="auto" w:fill="FFFFFF"/>
            <w:vAlign w:val="center"/>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t-value</w:t>
            </w:r>
          </w:p>
        </w:tc>
        <w:tc>
          <w:tcPr>
            <w:tcW w:w="1243" w:type="dxa"/>
            <w:vMerge w:val="restart"/>
            <w:shd w:val="clear" w:color="auto" w:fill="FFFFFF"/>
            <w:vAlign w:val="center"/>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p-value</w:t>
            </w:r>
          </w:p>
        </w:tc>
      </w:tr>
      <w:tr w:rsidR="009E2A26" w:rsidRPr="009451DA" w:rsidTr="009E2A26">
        <w:trPr>
          <w:cantSplit/>
        </w:trPr>
        <w:tc>
          <w:tcPr>
            <w:tcW w:w="2676" w:type="dxa"/>
            <w:vMerge/>
            <w:shd w:val="clear" w:color="auto" w:fill="FFFFFF"/>
            <w:vAlign w:val="center"/>
          </w:tcPr>
          <w:p w:rsidR="009E2A26" w:rsidRPr="009451DA" w:rsidRDefault="009E2A26" w:rsidP="009E2A26">
            <w:pPr>
              <w:spacing w:line="480" w:lineRule="auto"/>
              <w:jc w:val="both"/>
              <w:rPr>
                <w:rFonts w:ascii="Arial" w:hAnsi="Arial" w:cs="Arial"/>
                <w:sz w:val="20"/>
                <w:szCs w:val="20"/>
              </w:rPr>
            </w:pPr>
          </w:p>
        </w:tc>
        <w:tc>
          <w:tcPr>
            <w:tcW w:w="708" w:type="dxa"/>
            <w:shd w:val="clear" w:color="auto" w:fill="FFFFFF"/>
            <w:vAlign w:val="center"/>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Mean</w:t>
            </w:r>
          </w:p>
        </w:tc>
        <w:tc>
          <w:tcPr>
            <w:tcW w:w="1010" w:type="dxa"/>
            <w:shd w:val="clear" w:color="auto" w:fill="FFFFFF"/>
            <w:vAlign w:val="center"/>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Std.</w:t>
            </w:r>
          </w:p>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Deviation</w:t>
            </w:r>
          </w:p>
        </w:tc>
        <w:tc>
          <w:tcPr>
            <w:tcW w:w="779" w:type="dxa"/>
            <w:shd w:val="clear" w:color="auto" w:fill="FFFFFF"/>
            <w:vAlign w:val="center"/>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Mean</w:t>
            </w:r>
          </w:p>
        </w:tc>
        <w:tc>
          <w:tcPr>
            <w:tcW w:w="997" w:type="dxa"/>
            <w:shd w:val="clear" w:color="auto" w:fill="FFFFFF"/>
            <w:vAlign w:val="center"/>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Std.</w:t>
            </w:r>
          </w:p>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Deviation</w:t>
            </w:r>
          </w:p>
        </w:tc>
        <w:tc>
          <w:tcPr>
            <w:tcW w:w="936" w:type="dxa"/>
            <w:vMerge/>
            <w:shd w:val="clear" w:color="auto" w:fill="FFFFFF"/>
            <w:vAlign w:val="center"/>
          </w:tcPr>
          <w:p w:rsidR="009E2A26" w:rsidRPr="009451DA" w:rsidRDefault="009E2A26" w:rsidP="009E2A26">
            <w:pPr>
              <w:spacing w:line="480" w:lineRule="auto"/>
              <w:jc w:val="both"/>
              <w:rPr>
                <w:rFonts w:ascii="Arial" w:hAnsi="Arial" w:cs="Arial"/>
                <w:sz w:val="20"/>
                <w:szCs w:val="20"/>
              </w:rPr>
            </w:pPr>
          </w:p>
        </w:tc>
        <w:tc>
          <w:tcPr>
            <w:tcW w:w="1243" w:type="dxa"/>
            <w:vMerge/>
            <w:shd w:val="clear" w:color="auto" w:fill="FFFFFF"/>
          </w:tcPr>
          <w:p w:rsidR="009E2A26" w:rsidRPr="009451DA" w:rsidRDefault="009E2A26" w:rsidP="009E2A26">
            <w:pPr>
              <w:spacing w:line="480" w:lineRule="auto"/>
              <w:jc w:val="both"/>
              <w:rPr>
                <w:rFonts w:ascii="Arial" w:hAnsi="Arial" w:cs="Arial"/>
                <w:sz w:val="20"/>
                <w:szCs w:val="20"/>
              </w:rPr>
            </w:pPr>
          </w:p>
        </w:tc>
      </w:tr>
      <w:tr w:rsidR="009E2A26" w:rsidRPr="009451DA" w:rsidTr="009E2A26">
        <w:trPr>
          <w:cantSplit/>
        </w:trPr>
        <w:tc>
          <w:tcPr>
            <w:tcW w:w="2676" w:type="dxa"/>
            <w:shd w:val="clear" w:color="auto" w:fill="FFFFFF"/>
            <w:vAlign w:val="center"/>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Sum of mandibular 6</w:t>
            </w:r>
          </w:p>
        </w:tc>
        <w:tc>
          <w:tcPr>
            <w:tcW w:w="708" w:type="dxa"/>
            <w:shd w:val="clear" w:color="auto" w:fill="FFFFFF"/>
            <w:vAlign w:val="center"/>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36.86</w:t>
            </w:r>
          </w:p>
        </w:tc>
        <w:tc>
          <w:tcPr>
            <w:tcW w:w="1010" w:type="dxa"/>
            <w:shd w:val="clear" w:color="auto" w:fill="FFFFFF"/>
            <w:vAlign w:val="center"/>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3.69</w:t>
            </w:r>
          </w:p>
        </w:tc>
        <w:tc>
          <w:tcPr>
            <w:tcW w:w="779" w:type="dxa"/>
            <w:shd w:val="clear" w:color="auto" w:fill="FFFFFF"/>
            <w:vAlign w:val="center"/>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34.28</w:t>
            </w:r>
          </w:p>
        </w:tc>
        <w:tc>
          <w:tcPr>
            <w:tcW w:w="997" w:type="dxa"/>
            <w:shd w:val="clear" w:color="auto" w:fill="FFFFFF"/>
            <w:vAlign w:val="center"/>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2.56</w:t>
            </w:r>
          </w:p>
        </w:tc>
        <w:tc>
          <w:tcPr>
            <w:tcW w:w="936" w:type="dxa"/>
            <w:shd w:val="clear" w:color="auto" w:fill="FFFFFF"/>
            <w:vAlign w:val="center"/>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3.20</w:t>
            </w:r>
          </w:p>
        </w:tc>
        <w:tc>
          <w:tcPr>
            <w:tcW w:w="1243" w:type="dxa"/>
            <w:shd w:val="clear" w:color="auto" w:fill="FFFFFF"/>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0.002, S</w:t>
            </w:r>
          </w:p>
        </w:tc>
      </w:tr>
      <w:tr w:rsidR="009E2A26" w:rsidRPr="009451DA" w:rsidTr="009E2A26">
        <w:trPr>
          <w:cantSplit/>
        </w:trPr>
        <w:tc>
          <w:tcPr>
            <w:tcW w:w="2676" w:type="dxa"/>
            <w:shd w:val="clear" w:color="auto" w:fill="FFFFFF"/>
            <w:vAlign w:val="center"/>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Sum of maxillary 6</w:t>
            </w:r>
          </w:p>
        </w:tc>
        <w:tc>
          <w:tcPr>
            <w:tcW w:w="708" w:type="dxa"/>
            <w:shd w:val="clear" w:color="auto" w:fill="FFFFFF"/>
            <w:vAlign w:val="center"/>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47.44</w:t>
            </w:r>
          </w:p>
        </w:tc>
        <w:tc>
          <w:tcPr>
            <w:tcW w:w="1010" w:type="dxa"/>
            <w:shd w:val="clear" w:color="auto" w:fill="FFFFFF"/>
            <w:vAlign w:val="center"/>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3.85</w:t>
            </w:r>
          </w:p>
        </w:tc>
        <w:tc>
          <w:tcPr>
            <w:tcW w:w="779" w:type="dxa"/>
            <w:shd w:val="clear" w:color="auto" w:fill="FFFFFF"/>
            <w:vAlign w:val="center"/>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43.66</w:t>
            </w:r>
          </w:p>
        </w:tc>
        <w:tc>
          <w:tcPr>
            <w:tcW w:w="997" w:type="dxa"/>
            <w:shd w:val="clear" w:color="auto" w:fill="FFFFFF"/>
            <w:vAlign w:val="center"/>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2.34</w:t>
            </w:r>
          </w:p>
        </w:tc>
        <w:tc>
          <w:tcPr>
            <w:tcW w:w="936" w:type="dxa"/>
            <w:shd w:val="clear" w:color="auto" w:fill="FFFFFF"/>
            <w:vAlign w:val="center"/>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4.70</w:t>
            </w:r>
          </w:p>
        </w:tc>
        <w:tc>
          <w:tcPr>
            <w:tcW w:w="1243" w:type="dxa"/>
            <w:shd w:val="clear" w:color="auto" w:fill="FFFFFF"/>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0.0001, S</w:t>
            </w:r>
          </w:p>
        </w:tc>
      </w:tr>
      <w:tr w:rsidR="009E2A26" w:rsidRPr="009451DA" w:rsidTr="009E2A26">
        <w:trPr>
          <w:cantSplit/>
        </w:trPr>
        <w:tc>
          <w:tcPr>
            <w:tcW w:w="2676" w:type="dxa"/>
            <w:shd w:val="clear" w:color="auto" w:fill="FFFFFF"/>
            <w:vAlign w:val="center"/>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 xml:space="preserve">Anterior Ratio </w:t>
            </w:r>
          </w:p>
        </w:tc>
        <w:tc>
          <w:tcPr>
            <w:tcW w:w="708" w:type="dxa"/>
            <w:shd w:val="clear" w:color="auto" w:fill="FFFFFF"/>
            <w:vAlign w:val="center"/>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77.83</w:t>
            </w:r>
          </w:p>
        </w:tc>
        <w:tc>
          <w:tcPr>
            <w:tcW w:w="1010" w:type="dxa"/>
            <w:shd w:val="clear" w:color="auto" w:fill="FFFFFF"/>
            <w:vAlign w:val="center"/>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6.42</w:t>
            </w:r>
          </w:p>
        </w:tc>
        <w:tc>
          <w:tcPr>
            <w:tcW w:w="779" w:type="dxa"/>
            <w:shd w:val="clear" w:color="auto" w:fill="FFFFFF"/>
            <w:vAlign w:val="center"/>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78.88</w:t>
            </w:r>
          </w:p>
        </w:tc>
        <w:tc>
          <w:tcPr>
            <w:tcW w:w="997" w:type="dxa"/>
            <w:shd w:val="clear" w:color="auto" w:fill="FFFFFF"/>
            <w:vAlign w:val="center"/>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5.13</w:t>
            </w:r>
          </w:p>
        </w:tc>
        <w:tc>
          <w:tcPr>
            <w:tcW w:w="936" w:type="dxa"/>
            <w:shd w:val="clear" w:color="auto" w:fill="FFFFFF"/>
            <w:vAlign w:val="center"/>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0.70</w:t>
            </w:r>
          </w:p>
        </w:tc>
        <w:tc>
          <w:tcPr>
            <w:tcW w:w="1243" w:type="dxa"/>
            <w:shd w:val="clear" w:color="auto" w:fill="FFFFFF"/>
          </w:tcPr>
          <w:p w:rsidR="009E2A26" w:rsidRPr="009451DA" w:rsidRDefault="009E2A26" w:rsidP="009E2A26">
            <w:pPr>
              <w:spacing w:line="480" w:lineRule="auto"/>
              <w:jc w:val="both"/>
              <w:rPr>
                <w:rFonts w:ascii="Arial" w:hAnsi="Arial" w:cs="Arial"/>
                <w:b/>
                <w:sz w:val="20"/>
                <w:szCs w:val="20"/>
              </w:rPr>
            </w:pPr>
            <w:r w:rsidRPr="009451DA">
              <w:rPr>
                <w:rFonts w:ascii="Arial" w:hAnsi="Arial" w:cs="Arial"/>
                <w:b/>
                <w:sz w:val="20"/>
                <w:szCs w:val="20"/>
              </w:rPr>
              <w:t>0.48, NS</w:t>
            </w:r>
          </w:p>
        </w:tc>
      </w:tr>
      <w:tr w:rsidR="009E2A26" w:rsidRPr="009451DA" w:rsidTr="009E2A26">
        <w:trPr>
          <w:cantSplit/>
        </w:trPr>
        <w:tc>
          <w:tcPr>
            <w:tcW w:w="2676" w:type="dxa"/>
            <w:shd w:val="clear" w:color="auto" w:fill="FFFFFF"/>
            <w:vAlign w:val="center"/>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Sum of mandibular 12</w:t>
            </w:r>
          </w:p>
        </w:tc>
        <w:tc>
          <w:tcPr>
            <w:tcW w:w="708" w:type="dxa"/>
            <w:shd w:val="clear" w:color="auto" w:fill="FFFFFF"/>
            <w:vAlign w:val="center"/>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81.60</w:t>
            </w:r>
          </w:p>
        </w:tc>
        <w:tc>
          <w:tcPr>
            <w:tcW w:w="1010" w:type="dxa"/>
            <w:shd w:val="clear" w:color="auto" w:fill="FFFFFF"/>
            <w:vAlign w:val="center"/>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5.83</w:t>
            </w:r>
          </w:p>
        </w:tc>
        <w:tc>
          <w:tcPr>
            <w:tcW w:w="779" w:type="dxa"/>
            <w:shd w:val="clear" w:color="auto" w:fill="FFFFFF"/>
            <w:vAlign w:val="center"/>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78.00</w:t>
            </w:r>
          </w:p>
        </w:tc>
        <w:tc>
          <w:tcPr>
            <w:tcW w:w="997" w:type="dxa"/>
            <w:shd w:val="clear" w:color="auto" w:fill="FFFFFF"/>
            <w:vAlign w:val="center"/>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4.71</w:t>
            </w:r>
          </w:p>
        </w:tc>
        <w:tc>
          <w:tcPr>
            <w:tcW w:w="936" w:type="dxa"/>
            <w:shd w:val="clear" w:color="auto" w:fill="FFFFFF"/>
            <w:vAlign w:val="center"/>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2.64</w:t>
            </w:r>
          </w:p>
        </w:tc>
        <w:tc>
          <w:tcPr>
            <w:tcW w:w="1243" w:type="dxa"/>
            <w:shd w:val="clear" w:color="auto" w:fill="FFFFFF"/>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0.011, S</w:t>
            </w:r>
          </w:p>
        </w:tc>
      </w:tr>
      <w:tr w:rsidR="009E2A26" w:rsidRPr="009451DA" w:rsidTr="009E2A26">
        <w:trPr>
          <w:cantSplit/>
        </w:trPr>
        <w:tc>
          <w:tcPr>
            <w:tcW w:w="2676" w:type="dxa"/>
            <w:shd w:val="clear" w:color="auto" w:fill="FFFFFF"/>
            <w:vAlign w:val="center"/>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Sum of maxillary 12</w:t>
            </w:r>
          </w:p>
        </w:tc>
        <w:tc>
          <w:tcPr>
            <w:tcW w:w="708" w:type="dxa"/>
            <w:shd w:val="clear" w:color="auto" w:fill="FFFFFF"/>
            <w:vAlign w:val="center"/>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92.45</w:t>
            </w:r>
          </w:p>
        </w:tc>
        <w:tc>
          <w:tcPr>
            <w:tcW w:w="1010" w:type="dxa"/>
            <w:shd w:val="clear" w:color="auto" w:fill="FFFFFF"/>
            <w:vAlign w:val="center"/>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6.10</w:t>
            </w:r>
          </w:p>
        </w:tc>
        <w:tc>
          <w:tcPr>
            <w:tcW w:w="779" w:type="dxa"/>
            <w:shd w:val="clear" w:color="auto" w:fill="FFFFFF"/>
            <w:vAlign w:val="center"/>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87.80</w:t>
            </w:r>
          </w:p>
        </w:tc>
        <w:tc>
          <w:tcPr>
            <w:tcW w:w="997" w:type="dxa"/>
            <w:shd w:val="clear" w:color="auto" w:fill="FFFFFF"/>
            <w:vAlign w:val="center"/>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3.59</w:t>
            </w:r>
          </w:p>
        </w:tc>
        <w:tc>
          <w:tcPr>
            <w:tcW w:w="936" w:type="dxa"/>
            <w:shd w:val="clear" w:color="auto" w:fill="FFFFFF"/>
            <w:vAlign w:val="center"/>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3.70</w:t>
            </w:r>
          </w:p>
        </w:tc>
        <w:tc>
          <w:tcPr>
            <w:tcW w:w="1243" w:type="dxa"/>
            <w:shd w:val="clear" w:color="auto" w:fill="FFFFFF"/>
          </w:tcPr>
          <w:p w:rsidR="009E2A26" w:rsidRPr="009451DA" w:rsidRDefault="009E2A26" w:rsidP="009E2A26">
            <w:pPr>
              <w:spacing w:line="480" w:lineRule="auto"/>
              <w:jc w:val="both"/>
              <w:rPr>
                <w:rFonts w:ascii="Arial" w:hAnsi="Arial" w:cs="Arial"/>
                <w:sz w:val="20"/>
                <w:szCs w:val="20"/>
              </w:rPr>
            </w:pPr>
            <w:r w:rsidRPr="009451DA">
              <w:rPr>
                <w:rFonts w:ascii="Arial" w:hAnsi="Arial" w:cs="Arial"/>
                <w:sz w:val="20"/>
                <w:szCs w:val="20"/>
              </w:rPr>
              <w:t>0.00001, S</w:t>
            </w:r>
          </w:p>
        </w:tc>
      </w:tr>
    </w:tbl>
    <w:p w:rsidR="00085FB4" w:rsidRPr="009451DA" w:rsidRDefault="00085FB4" w:rsidP="00085FB4">
      <w:pPr>
        <w:spacing w:line="480" w:lineRule="auto"/>
        <w:jc w:val="both"/>
        <w:rPr>
          <w:rFonts w:ascii="Arial" w:hAnsi="Arial" w:cs="Arial"/>
          <w:sz w:val="20"/>
          <w:szCs w:val="20"/>
        </w:rPr>
      </w:pPr>
    </w:p>
    <w:p w:rsidR="00085FB4" w:rsidRPr="009451DA" w:rsidRDefault="00085FB4" w:rsidP="00085FB4">
      <w:pPr>
        <w:spacing w:line="480" w:lineRule="auto"/>
        <w:jc w:val="both"/>
        <w:rPr>
          <w:rFonts w:ascii="Arial" w:hAnsi="Arial" w:cs="Arial"/>
          <w:b/>
          <w:sz w:val="20"/>
          <w:szCs w:val="20"/>
        </w:rPr>
      </w:pPr>
    </w:p>
    <w:p w:rsidR="00085FB4" w:rsidRPr="009451DA" w:rsidRDefault="00085FB4" w:rsidP="00085FB4">
      <w:pPr>
        <w:rPr>
          <w:rFonts w:ascii="Arial" w:hAnsi="Arial" w:cs="Arial"/>
          <w:sz w:val="20"/>
          <w:szCs w:val="20"/>
        </w:rPr>
      </w:pPr>
      <w:r w:rsidRPr="009451DA">
        <w:rPr>
          <w:rFonts w:ascii="Arial" w:hAnsi="Arial" w:cs="Arial"/>
          <w:sz w:val="20"/>
          <w:szCs w:val="20"/>
        </w:rPr>
        <w:br w:type="page"/>
      </w:r>
    </w:p>
    <w:tbl>
      <w:tblPr>
        <w:tblpPr w:leftFromText="180" w:rightFromText="180" w:vertAnchor="text" w:horzAnchor="margin" w:tblpY="-609"/>
        <w:tblW w:w="8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76"/>
        <w:gridCol w:w="708"/>
        <w:gridCol w:w="1010"/>
        <w:gridCol w:w="779"/>
        <w:gridCol w:w="997"/>
        <w:gridCol w:w="936"/>
        <w:gridCol w:w="1243"/>
      </w:tblGrid>
      <w:tr w:rsidR="00085FB4" w:rsidRPr="009451DA" w:rsidTr="00085FB4">
        <w:trPr>
          <w:cantSplit/>
        </w:trPr>
        <w:tc>
          <w:tcPr>
            <w:tcW w:w="2676" w:type="dxa"/>
            <w:shd w:val="clear" w:color="auto" w:fill="FFFFFF"/>
            <w:vAlign w:val="center"/>
          </w:tcPr>
          <w:p w:rsidR="00085FB4" w:rsidRPr="009451DA" w:rsidRDefault="00085FB4" w:rsidP="00085FB4">
            <w:pPr>
              <w:spacing w:line="480" w:lineRule="auto"/>
              <w:jc w:val="both"/>
              <w:rPr>
                <w:rFonts w:ascii="Arial" w:hAnsi="Arial" w:cs="Arial"/>
                <w:sz w:val="20"/>
                <w:szCs w:val="20"/>
              </w:rPr>
            </w:pPr>
            <w:r w:rsidRPr="009451DA">
              <w:rPr>
                <w:rFonts w:ascii="Arial" w:hAnsi="Arial" w:cs="Arial"/>
                <w:sz w:val="20"/>
                <w:szCs w:val="20"/>
              </w:rPr>
              <w:lastRenderedPageBreak/>
              <w:t xml:space="preserve">Overall Ratio </w:t>
            </w:r>
          </w:p>
        </w:tc>
        <w:tc>
          <w:tcPr>
            <w:tcW w:w="708" w:type="dxa"/>
            <w:shd w:val="clear" w:color="auto" w:fill="FFFFFF"/>
            <w:vAlign w:val="center"/>
          </w:tcPr>
          <w:p w:rsidR="00085FB4" w:rsidRPr="009451DA" w:rsidRDefault="00085FB4" w:rsidP="00085FB4">
            <w:pPr>
              <w:spacing w:line="480" w:lineRule="auto"/>
              <w:jc w:val="both"/>
              <w:rPr>
                <w:rFonts w:ascii="Arial" w:hAnsi="Arial" w:cs="Arial"/>
                <w:sz w:val="20"/>
                <w:szCs w:val="20"/>
              </w:rPr>
            </w:pPr>
            <w:r w:rsidRPr="009451DA">
              <w:rPr>
                <w:rFonts w:ascii="Arial" w:hAnsi="Arial" w:cs="Arial"/>
                <w:sz w:val="20"/>
                <w:szCs w:val="20"/>
              </w:rPr>
              <w:t>88.42</w:t>
            </w:r>
          </w:p>
        </w:tc>
        <w:tc>
          <w:tcPr>
            <w:tcW w:w="1010" w:type="dxa"/>
            <w:shd w:val="clear" w:color="auto" w:fill="FFFFFF"/>
            <w:vAlign w:val="center"/>
          </w:tcPr>
          <w:p w:rsidR="00085FB4" w:rsidRPr="009451DA" w:rsidRDefault="00085FB4" w:rsidP="00085FB4">
            <w:pPr>
              <w:spacing w:line="480" w:lineRule="auto"/>
              <w:jc w:val="both"/>
              <w:rPr>
                <w:rFonts w:ascii="Arial" w:hAnsi="Arial" w:cs="Arial"/>
                <w:sz w:val="20"/>
                <w:szCs w:val="20"/>
              </w:rPr>
            </w:pPr>
            <w:r w:rsidRPr="009451DA">
              <w:rPr>
                <w:rFonts w:ascii="Arial" w:hAnsi="Arial" w:cs="Arial"/>
                <w:sz w:val="20"/>
                <w:szCs w:val="20"/>
              </w:rPr>
              <w:t>6.01</w:t>
            </w:r>
          </w:p>
        </w:tc>
        <w:tc>
          <w:tcPr>
            <w:tcW w:w="779" w:type="dxa"/>
            <w:shd w:val="clear" w:color="auto" w:fill="FFFFFF"/>
            <w:vAlign w:val="center"/>
          </w:tcPr>
          <w:p w:rsidR="00085FB4" w:rsidRPr="009451DA" w:rsidRDefault="00085FB4" w:rsidP="00085FB4">
            <w:pPr>
              <w:spacing w:line="480" w:lineRule="auto"/>
              <w:jc w:val="both"/>
              <w:rPr>
                <w:rFonts w:ascii="Arial" w:hAnsi="Arial" w:cs="Arial"/>
                <w:sz w:val="20"/>
                <w:szCs w:val="20"/>
              </w:rPr>
            </w:pPr>
            <w:r w:rsidRPr="009451DA">
              <w:rPr>
                <w:rFonts w:ascii="Arial" w:hAnsi="Arial" w:cs="Arial"/>
                <w:sz w:val="20"/>
                <w:szCs w:val="20"/>
              </w:rPr>
              <w:t>88.85</w:t>
            </w:r>
          </w:p>
        </w:tc>
        <w:tc>
          <w:tcPr>
            <w:tcW w:w="997" w:type="dxa"/>
            <w:shd w:val="clear" w:color="auto" w:fill="FFFFFF"/>
            <w:vAlign w:val="center"/>
          </w:tcPr>
          <w:p w:rsidR="00085FB4" w:rsidRPr="009451DA" w:rsidRDefault="00085FB4" w:rsidP="00085FB4">
            <w:pPr>
              <w:spacing w:line="480" w:lineRule="auto"/>
              <w:jc w:val="both"/>
              <w:rPr>
                <w:rFonts w:ascii="Arial" w:hAnsi="Arial" w:cs="Arial"/>
                <w:sz w:val="20"/>
                <w:szCs w:val="20"/>
              </w:rPr>
            </w:pPr>
            <w:r w:rsidRPr="009451DA">
              <w:rPr>
                <w:rFonts w:ascii="Arial" w:hAnsi="Arial" w:cs="Arial"/>
                <w:sz w:val="20"/>
                <w:szCs w:val="20"/>
              </w:rPr>
              <w:t>4.03</w:t>
            </w:r>
          </w:p>
        </w:tc>
        <w:tc>
          <w:tcPr>
            <w:tcW w:w="936" w:type="dxa"/>
            <w:shd w:val="clear" w:color="auto" w:fill="FFFFFF"/>
            <w:vAlign w:val="center"/>
          </w:tcPr>
          <w:p w:rsidR="00085FB4" w:rsidRPr="009451DA" w:rsidRDefault="00085FB4" w:rsidP="00085FB4">
            <w:pPr>
              <w:spacing w:line="480" w:lineRule="auto"/>
              <w:jc w:val="both"/>
              <w:rPr>
                <w:rFonts w:ascii="Arial" w:hAnsi="Arial" w:cs="Arial"/>
                <w:sz w:val="20"/>
                <w:szCs w:val="20"/>
              </w:rPr>
            </w:pPr>
            <w:r w:rsidRPr="009451DA">
              <w:rPr>
                <w:rFonts w:ascii="Arial" w:hAnsi="Arial" w:cs="Arial"/>
                <w:sz w:val="20"/>
                <w:szCs w:val="20"/>
              </w:rPr>
              <w:t>0.33</w:t>
            </w:r>
          </w:p>
        </w:tc>
        <w:tc>
          <w:tcPr>
            <w:tcW w:w="1243" w:type="dxa"/>
            <w:shd w:val="clear" w:color="auto" w:fill="FFFFFF"/>
          </w:tcPr>
          <w:p w:rsidR="00085FB4" w:rsidRPr="009451DA" w:rsidRDefault="00085FB4" w:rsidP="00085FB4">
            <w:pPr>
              <w:spacing w:line="480" w:lineRule="auto"/>
              <w:jc w:val="both"/>
              <w:rPr>
                <w:rFonts w:ascii="Arial" w:hAnsi="Arial" w:cs="Arial"/>
                <w:b/>
                <w:sz w:val="20"/>
                <w:szCs w:val="20"/>
              </w:rPr>
            </w:pPr>
            <w:r w:rsidRPr="009451DA">
              <w:rPr>
                <w:rFonts w:ascii="Arial" w:hAnsi="Arial" w:cs="Arial"/>
                <w:b/>
                <w:sz w:val="20"/>
                <w:szCs w:val="20"/>
              </w:rPr>
              <w:t>0.73, NS</w:t>
            </w:r>
          </w:p>
        </w:tc>
      </w:tr>
    </w:tbl>
    <w:p w:rsidR="00085FB4" w:rsidRPr="009451DA" w:rsidRDefault="00085FB4" w:rsidP="00E46D45">
      <w:pPr>
        <w:spacing w:line="480" w:lineRule="auto"/>
        <w:jc w:val="both"/>
        <w:rPr>
          <w:rFonts w:ascii="Arial" w:hAnsi="Arial" w:cs="Arial"/>
          <w:sz w:val="20"/>
          <w:szCs w:val="20"/>
        </w:rPr>
      </w:pPr>
    </w:p>
    <w:p w:rsidR="009E2A26" w:rsidRPr="009451DA" w:rsidRDefault="009E2A26" w:rsidP="00E46D45">
      <w:pPr>
        <w:spacing w:line="480" w:lineRule="auto"/>
        <w:jc w:val="both"/>
        <w:rPr>
          <w:rFonts w:ascii="Arial" w:hAnsi="Arial" w:cs="Arial"/>
          <w:sz w:val="20"/>
          <w:szCs w:val="20"/>
        </w:rPr>
      </w:pPr>
    </w:p>
    <w:p w:rsidR="009E2A26" w:rsidRPr="009451DA" w:rsidRDefault="009E2A26" w:rsidP="00E46D45">
      <w:pPr>
        <w:spacing w:line="480" w:lineRule="auto"/>
        <w:jc w:val="both"/>
        <w:rPr>
          <w:rFonts w:ascii="Arial" w:hAnsi="Arial" w:cs="Arial"/>
          <w:sz w:val="20"/>
          <w:szCs w:val="20"/>
        </w:rPr>
      </w:pPr>
    </w:p>
    <w:p w:rsidR="009E2A26" w:rsidRPr="009451DA" w:rsidRDefault="009E2A26" w:rsidP="00E46D45">
      <w:pPr>
        <w:spacing w:line="480" w:lineRule="auto"/>
        <w:jc w:val="both"/>
        <w:rPr>
          <w:rFonts w:ascii="Arial" w:hAnsi="Arial" w:cs="Arial"/>
          <w:sz w:val="20"/>
          <w:szCs w:val="20"/>
        </w:rPr>
      </w:pPr>
      <w:r w:rsidRPr="009451DA">
        <w:rPr>
          <w:rFonts w:ascii="Arial" w:hAnsi="Arial" w:cs="Arial"/>
          <w:b/>
          <w:sz w:val="20"/>
          <w:szCs w:val="20"/>
        </w:rPr>
        <w:t>Table 4: Comparison of the mesio-distal dimension (anterior ratio and overall ratio) between male and female patients.</w:t>
      </w:r>
    </w:p>
    <w:p w:rsidR="00E46D45" w:rsidRPr="009451DA" w:rsidRDefault="00E46D45" w:rsidP="00E46D45">
      <w:pPr>
        <w:spacing w:line="480" w:lineRule="auto"/>
        <w:jc w:val="both"/>
        <w:rPr>
          <w:rFonts w:ascii="Arial" w:hAnsi="Arial" w:cs="Arial"/>
          <w:sz w:val="20"/>
          <w:szCs w:val="20"/>
        </w:rPr>
      </w:pPr>
      <w:r w:rsidRPr="009451DA">
        <w:rPr>
          <w:rFonts w:ascii="Arial" w:hAnsi="Arial" w:cs="Arial"/>
          <w:sz w:val="20"/>
          <w:szCs w:val="20"/>
        </w:rPr>
        <w:t>By using Student’s unpaired t-test statistically non-significant difference was found in the mean sum of anterior ratio and among gender (t=0.70, p-value=0.48). By using Student's unpaired t-test statistically non-significant difference was found in the mean sum of overall ratio and among gender (t=0.33, p-value=0.73).</w:t>
      </w:r>
    </w:p>
    <w:p w:rsidR="00E46D45" w:rsidRPr="009451DA" w:rsidRDefault="00E46D45" w:rsidP="00E46D45">
      <w:pPr>
        <w:spacing w:line="480" w:lineRule="auto"/>
        <w:jc w:val="both"/>
        <w:rPr>
          <w:rFonts w:ascii="Arial" w:hAnsi="Arial" w:cs="Arial"/>
          <w:sz w:val="20"/>
          <w:szCs w:val="20"/>
        </w:rPr>
      </w:pPr>
    </w:p>
    <w:p w:rsidR="002905D5" w:rsidRPr="009451DA" w:rsidRDefault="002905D5">
      <w:pPr>
        <w:rPr>
          <w:rFonts w:ascii="Arial" w:hAnsi="Arial" w:cs="Arial"/>
          <w:sz w:val="20"/>
          <w:szCs w:val="20"/>
        </w:rPr>
      </w:pPr>
    </w:p>
    <w:p w:rsidR="00E51DA4" w:rsidRPr="009451DA" w:rsidRDefault="00E51DA4" w:rsidP="00E51DA4">
      <w:pPr>
        <w:spacing w:line="480" w:lineRule="auto"/>
        <w:jc w:val="both"/>
        <w:rPr>
          <w:rFonts w:ascii="Arial" w:hAnsi="Arial" w:cs="Arial"/>
          <w:b/>
        </w:rPr>
      </w:pPr>
      <w:r w:rsidRPr="009451DA">
        <w:rPr>
          <w:rFonts w:ascii="Arial" w:hAnsi="Arial" w:cs="Arial"/>
          <w:b/>
        </w:rPr>
        <w:t>Discussion:</w:t>
      </w:r>
    </w:p>
    <w:p w:rsidR="00E51DA4" w:rsidRPr="009451DA" w:rsidRDefault="000D3A17" w:rsidP="00E51DA4">
      <w:pPr>
        <w:spacing w:line="480" w:lineRule="auto"/>
        <w:jc w:val="both"/>
        <w:rPr>
          <w:rFonts w:ascii="Arial" w:hAnsi="Arial" w:cs="Arial"/>
          <w:sz w:val="20"/>
          <w:szCs w:val="20"/>
        </w:rPr>
      </w:pPr>
      <w:r w:rsidRPr="000D3A17">
        <w:rPr>
          <w:rFonts w:ascii="Arial" w:hAnsi="Arial" w:cs="Arial"/>
          <w:sz w:val="20"/>
          <w:szCs w:val="20"/>
        </w:rPr>
        <w:t xml:space="preserve">According to Lavelle et al </w:t>
      </w:r>
      <w:r>
        <w:rPr>
          <w:rFonts w:ascii="Arial" w:hAnsi="Arial" w:cs="Arial"/>
          <w:sz w:val="20"/>
          <w:szCs w:val="20"/>
          <w:vertAlign w:val="superscript"/>
        </w:rPr>
        <w:t>[5</w:t>
      </w:r>
      <w:r w:rsidRPr="000D3A17">
        <w:rPr>
          <w:rFonts w:ascii="Arial" w:hAnsi="Arial" w:cs="Arial"/>
          <w:sz w:val="20"/>
          <w:szCs w:val="20"/>
          <w:vertAlign w:val="superscript"/>
        </w:rPr>
        <w:t>]</w:t>
      </w:r>
      <w:r w:rsidR="00794001">
        <w:rPr>
          <w:rFonts w:ascii="Arial" w:hAnsi="Arial" w:cs="Arial"/>
          <w:sz w:val="20"/>
          <w:szCs w:val="20"/>
        </w:rPr>
        <w:t xml:space="preserve">, Negroids </w:t>
      </w:r>
      <w:r w:rsidRPr="000D3A17">
        <w:rPr>
          <w:rFonts w:ascii="Arial" w:hAnsi="Arial" w:cs="Arial"/>
          <w:sz w:val="20"/>
          <w:szCs w:val="20"/>
        </w:rPr>
        <w:t>had consistently higher overall and anterior ratio in males than Caucasoids and Mongoloids</w:t>
      </w:r>
      <w:r w:rsidR="00E51DA4" w:rsidRPr="000D3A17">
        <w:rPr>
          <w:rFonts w:ascii="Arial" w:hAnsi="Arial" w:cs="Arial"/>
          <w:sz w:val="20"/>
          <w:szCs w:val="20"/>
        </w:rPr>
        <w:t>.</w:t>
      </w:r>
      <w:r w:rsidR="00E51DA4" w:rsidRPr="009451DA">
        <w:rPr>
          <w:rFonts w:ascii="Arial" w:hAnsi="Arial" w:cs="Arial"/>
          <w:sz w:val="20"/>
          <w:szCs w:val="20"/>
        </w:rPr>
        <w:t xml:space="preserve"> An inter-maxillary ratio study has been proposed by authors </w:t>
      </w:r>
      <w:r w:rsidR="00610BAB" w:rsidRPr="009451DA">
        <w:rPr>
          <w:rFonts w:ascii="Arial" w:hAnsi="Arial" w:cs="Arial"/>
          <w:sz w:val="20"/>
          <w:szCs w:val="20"/>
          <w:vertAlign w:val="superscript"/>
        </w:rPr>
        <w:t>[6-9</w:t>
      </w:r>
      <w:r w:rsidR="00E51DA4" w:rsidRPr="009451DA">
        <w:rPr>
          <w:rFonts w:ascii="Arial" w:hAnsi="Arial" w:cs="Arial"/>
          <w:sz w:val="20"/>
          <w:szCs w:val="20"/>
          <w:vertAlign w:val="superscript"/>
        </w:rPr>
        <w:t xml:space="preserve">] </w:t>
      </w:r>
      <w:r w:rsidR="00E51DA4" w:rsidRPr="009451DA">
        <w:rPr>
          <w:rFonts w:ascii="Arial" w:hAnsi="Arial" w:cs="Arial"/>
          <w:sz w:val="20"/>
          <w:szCs w:val="20"/>
        </w:rPr>
        <w:t xml:space="preserve">to investigate tooth size disparities in the Indian population. In their investigation, Lavelle </w:t>
      </w:r>
      <w:r w:rsidR="00610BAB" w:rsidRPr="009451DA">
        <w:rPr>
          <w:rFonts w:ascii="Arial" w:hAnsi="Arial" w:cs="Arial"/>
          <w:sz w:val="20"/>
          <w:szCs w:val="20"/>
          <w:vertAlign w:val="superscript"/>
        </w:rPr>
        <w:t>[5</w:t>
      </w:r>
      <w:r w:rsidR="00E51DA4" w:rsidRPr="009451DA">
        <w:rPr>
          <w:rFonts w:ascii="Arial" w:hAnsi="Arial" w:cs="Arial"/>
          <w:sz w:val="20"/>
          <w:szCs w:val="20"/>
          <w:vertAlign w:val="superscript"/>
        </w:rPr>
        <w:t>]</w:t>
      </w:r>
      <w:r w:rsidR="00E51DA4" w:rsidRPr="009451DA">
        <w:rPr>
          <w:rFonts w:ascii="Arial" w:hAnsi="Arial" w:cs="Arial"/>
          <w:sz w:val="20"/>
          <w:szCs w:val="20"/>
        </w:rPr>
        <w:t xml:space="preserve"> and Smith </w:t>
      </w:r>
      <w:r w:rsidR="00610BAB" w:rsidRPr="009451DA">
        <w:rPr>
          <w:rFonts w:ascii="Arial" w:hAnsi="Arial" w:cs="Arial"/>
          <w:sz w:val="20"/>
          <w:szCs w:val="20"/>
          <w:vertAlign w:val="superscript"/>
        </w:rPr>
        <w:t>[10</w:t>
      </w:r>
      <w:r w:rsidR="00E51DA4" w:rsidRPr="009451DA">
        <w:rPr>
          <w:rFonts w:ascii="Arial" w:hAnsi="Arial" w:cs="Arial"/>
          <w:sz w:val="20"/>
          <w:szCs w:val="20"/>
          <w:vertAlign w:val="superscript"/>
        </w:rPr>
        <w:t>]</w:t>
      </w:r>
      <w:r w:rsidR="00E51DA4" w:rsidRPr="009451DA">
        <w:rPr>
          <w:rFonts w:ascii="Arial" w:hAnsi="Arial" w:cs="Arial"/>
          <w:sz w:val="20"/>
          <w:szCs w:val="20"/>
        </w:rPr>
        <w:t xml:space="preserve"> found a difference in the mesio-distal dimension of teeth in male and female patients. Smith </w:t>
      </w:r>
      <w:r w:rsidR="00610BAB" w:rsidRPr="009451DA">
        <w:rPr>
          <w:rFonts w:ascii="Arial" w:hAnsi="Arial" w:cs="Arial"/>
          <w:sz w:val="20"/>
          <w:szCs w:val="20"/>
          <w:vertAlign w:val="superscript"/>
        </w:rPr>
        <w:t>[10</w:t>
      </w:r>
      <w:r w:rsidR="00E51DA4" w:rsidRPr="009451DA">
        <w:rPr>
          <w:rFonts w:ascii="Arial" w:hAnsi="Arial" w:cs="Arial"/>
          <w:sz w:val="20"/>
          <w:szCs w:val="20"/>
          <w:vertAlign w:val="superscript"/>
        </w:rPr>
        <w:t>]</w:t>
      </w:r>
      <w:r w:rsidR="00E51DA4" w:rsidRPr="009451DA">
        <w:rPr>
          <w:rFonts w:ascii="Arial" w:hAnsi="Arial" w:cs="Arial"/>
          <w:sz w:val="20"/>
          <w:szCs w:val="20"/>
        </w:rPr>
        <w:t xml:space="preserve"> analysed three populations and questioned about the applicability of Bolton </w:t>
      </w:r>
      <w:r w:rsidR="00E51DA4" w:rsidRPr="009451DA">
        <w:rPr>
          <w:rFonts w:ascii="Arial" w:hAnsi="Arial" w:cs="Arial"/>
          <w:sz w:val="20"/>
          <w:szCs w:val="20"/>
          <w:vertAlign w:val="superscript"/>
        </w:rPr>
        <w:t>[4]</w:t>
      </w:r>
      <w:r w:rsidR="00E51DA4" w:rsidRPr="009451DA">
        <w:rPr>
          <w:rFonts w:ascii="Arial" w:hAnsi="Arial" w:cs="Arial"/>
          <w:sz w:val="20"/>
          <w:szCs w:val="20"/>
        </w:rPr>
        <w:t xml:space="preserve"> for all populations. </w:t>
      </w:r>
    </w:p>
    <w:p w:rsidR="00E51DA4" w:rsidRPr="009451DA" w:rsidRDefault="00E51DA4" w:rsidP="00E51DA4">
      <w:pPr>
        <w:spacing w:line="480" w:lineRule="auto"/>
        <w:jc w:val="both"/>
        <w:rPr>
          <w:rFonts w:ascii="Arial" w:hAnsi="Arial" w:cs="Arial"/>
          <w:sz w:val="20"/>
          <w:szCs w:val="20"/>
        </w:rPr>
      </w:pPr>
      <w:r w:rsidRPr="009451DA">
        <w:rPr>
          <w:rFonts w:ascii="Arial" w:hAnsi="Arial" w:cs="Arial"/>
          <w:sz w:val="20"/>
          <w:szCs w:val="20"/>
        </w:rPr>
        <w:t>The anterior and overall ratios for males were 77.83</w:t>
      </w:r>
      <w:r w:rsidR="00EC4B05" w:rsidRPr="009451DA">
        <w:rPr>
          <w:rFonts w:ascii="Arial" w:hAnsi="Arial" w:cs="Arial"/>
          <w:sz w:val="20"/>
          <w:szCs w:val="20"/>
        </w:rPr>
        <w:t>±</w:t>
      </w:r>
      <w:r w:rsidRPr="009451DA">
        <w:rPr>
          <w:rFonts w:ascii="Arial" w:hAnsi="Arial" w:cs="Arial"/>
          <w:sz w:val="20"/>
          <w:szCs w:val="20"/>
        </w:rPr>
        <w:t>6.42 and 88.42</w:t>
      </w:r>
      <w:r w:rsidR="00EC4B05" w:rsidRPr="009451DA">
        <w:rPr>
          <w:rFonts w:ascii="Arial" w:hAnsi="Arial" w:cs="Arial"/>
          <w:sz w:val="20"/>
          <w:szCs w:val="20"/>
        </w:rPr>
        <w:t>±</w:t>
      </w:r>
      <w:r w:rsidRPr="009451DA">
        <w:rPr>
          <w:rFonts w:ascii="Arial" w:hAnsi="Arial" w:cs="Arial"/>
          <w:sz w:val="20"/>
          <w:szCs w:val="20"/>
        </w:rPr>
        <w:t>6.01 respectively, while females were 78.88</w:t>
      </w:r>
      <w:r w:rsidR="00EC4B05" w:rsidRPr="009451DA">
        <w:rPr>
          <w:rFonts w:ascii="Arial" w:hAnsi="Arial" w:cs="Arial"/>
          <w:sz w:val="20"/>
          <w:szCs w:val="20"/>
        </w:rPr>
        <w:t>±</w:t>
      </w:r>
      <w:r w:rsidRPr="009451DA">
        <w:rPr>
          <w:rFonts w:ascii="Arial" w:hAnsi="Arial" w:cs="Arial"/>
          <w:sz w:val="20"/>
          <w:szCs w:val="20"/>
        </w:rPr>
        <w:t>5.13 and 88.85</w:t>
      </w:r>
      <w:r w:rsidR="00EC4B05" w:rsidRPr="009451DA">
        <w:rPr>
          <w:rFonts w:ascii="Arial" w:hAnsi="Arial" w:cs="Arial"/>
          <w:sz w:val="20"/>
          <w:szCs w:val="20"/>
        </w:rPr>
        <w:t>±</w:t>
      </w:r>
      <w:r w:rsidRPr="009451DA">
        <w:rPr>
          <w:rFonts w:ascii="Arial" w:hAnsi="Arial" w:cs="Arial"/>
          <w:sz w:val="20"/>
          <w:szCs w:val="20"/>
        </w:rPr>
        <w:t>4.03 respectively in the following study.</w:t>
      </w:r>
    </w:p>
    <w:p w:rsidR="00EC4B05" w:rsidRPr="009451DA" w:rsidRDefault="00EC4B05" w:rsidP="00E51DA4">
      <w:pPr>
        <w:spacing w:line="480" w:lineRule="auto"/>
        <w:jc w:val="both"/>
        <w:rPr>
          <w:rFonts w:ascii="Arial" w:hAnsi="Arial" w:cs="Arial"/>
          <w:sz w:val="20"/>
          <w:szCs w:val="20"/>
        </w:rPr>
      </w:pPr>
      <w:r w:rsidRPr="009451DA">
        <w:rPr>
          <w:rFonts w:ascii="Arial" w:hAnsi="Arial" w:cs="Arial"/>
          <w:sz w:val="20"/>
          <w:szCs w:val="20"/>
        </w:rPr>
        <w:t xml:space="preserve">Furthermore, Bolton </w:t>
      </w:r>
      <w:r w:rsidR="00360C6F" w:rsidRPr="009451DA">
        <w:rPr>
          <w:rFonts w:ascii="Arial" w:hAnsi="Arial" w:cs="Arial"/>
          <w:sz w:val="20"/>
          <w:szCs w:val="20"/>
          <w:vertAlign w:val="superscript"/>
        </w:rPr>
        <w:t>[3</w:t>
      </w:r>
      <w:r w:rsidRPr="009451DA">
        <w:rPr>
          <w:rFonts w:ascii="Arial" w:hAnsi="Arial" w:cs="Arial"/>
          <w:sz w:val="20"/>
          <w:szCs w:val="20"/>
          <w:vertAlign w:val="superscript"/>
        </w:rPr>
        <w:t>]</w:t>
      </w:r>
      <w:r w:rsidRPr="009451DA">
        <w:rPr>
          <w:rFonts w:ascii="Arial" w:hAnsi="Arial" w:cs="Arial"/>
          <w:sz w:val="20"/>
          <w:szCs w:val="20"/>
        </w:rPr>
        <w:t xml:space="preserve"> did not take into account the gender distribution in the sampled population. Males had a much higher overall ratio, according to Smith et al </w:t>
      </w:r>
      <w:r w:rsidRPr="009451DA">
        <w:rPr>
          <w:rFonts w:ascii="Arial" w:hAnsi="Arial" w:cs="Arial"/>
          <w:sz w:val="20"/>
          <w:szCs w:val="20"/>
          <w:vertAlign w:val="superscript"/>
        </w:rPr>
        <w:t>[</w:t>
      </w:r>
      <w:r w:rsidR="00610BAB" w:rsidRPr="009451DA">
        <w:rPr>
          <w:rFonts w:ascii="Arial" w:hAnsi="Arial" w:cs="Arial"/>
          <w:sz w:val="20"/>
          <w:szCs w:val="20"/>
          <w:vertAlign w:val="superscript"/>
        </w:rPr>
        <w:t>10</w:t>
      </w:r>
      <w:r w:rsidRPr="009451DA">
        <w:rPr>
          <w:rFonts w:ascii="Arial" w:hAnsi="Arial" w:cs="Arial"/>
          <w:sz w:val="20"/>
          <w:szCs w:val="20"/>
          <w:vertAlign w:val="superscript"/>
        </w:rPr>
        <w:t>]</w:t>
      </w:r>
      <w:r w:rsidRPr="009451DA">
        <w:rPr>
          <w:rFonts w:ascii="Arial" w:hAnsi="Arial" w:cs="Arial"/>
          <w:sz w:val="20"/>
          <w:szCs w:val="20"/>
        </w:rPr>
        <w:t>.</w:t>
      </w:r>
    </w:p>
    <w:p w:rsidR="00EC4B05" w:rsidRPr="009451DA" w:rsidRDefault="00EC4B05" w:rsidP="00E51DA4">
      <w:pPr>
        <w:spacing w:line="480" w:lineRule="auto"/>
        <w:jc w:val="both"/>
        <w:rPr>
          <w:rFonts w:ascii="Arial" w:hAnsi="Arial" w:cs="Arial"/>
          <w:sz w:val="20"/>
          <w:szCs w:val="20"/>
        </w:rPr>
      </w:pPr>
      <w:r w:rsidRPr="009451DA">
        <w:rPr>
          <w:rFonts w:ascii="Arial" w:hAnsi="Arial" w:cs="Arial"/>
          <w:sz w:val="20"/>
          <w:szCs w:val="20"/>
        </w:rPr>
        <w:t>When male and female patients were compared in the next study, there was no significant difference detected. Males and females had significantly different means for the sum of maxillary and mandibular, six and twelve teeth, indicating a wide range in mesio-distal dimension in teeth.</w:t>
      </w:r>
    </w:p>
    <w:p w:rsidR="00EC4B05" w:rsidRPr="009451DA" w:rsidRDefault="00EC4B05" w:rsidP="00E51DA4">
      <w:pPr>
        <w:spacing w:line="480" w:lineRule="auto"/>
        <w:jc w:val="both"/>
        <w:rPr>
          <w:rFonts w:ascii="Arial" w:hAnsi="Arial" w:cs="Arial"/>
          <w:sz w:val="20"/>
          <w:szCs w:val="20"/>
        </w:rPr>
      </w:pPr>
      <w:r w:rsidRPr="009451DA">
        <w:rPr>
          <w:rFonts w:ascii="Arial" w:hAnsi="Arial" w:cs="Arial"/>
          <w:sz w:val="20"/>
          <w:szCs w:val="20"/>
        </w:rPr>
        <w:t xml:space="preserve">Another flaw in Bolton's </w:t>
      </w:r>
      <w:r w:rsidR="00360C6F" w:rsidRPr="009451DA">
        <w:rPr>
          <w:rFonts w:ascii="Arial" w:hAnsi="Arial" w:cs="Arial"/>
          <w:sz w:val="20"/>
          <w:szCs w:val="20"/>
          <w:vertAlign w:val="superscript"/>
        </w:rPr>
        <w:t>[3</w:t>
      </w:r>
      <w:r w:rsidRPr="009451DA">
        <w:rPr>
          <w:rFonts w:ascii="Arial" w:hAnsi="Arial" w:cs="Arial"/>
          <w:sz w:val="20"/>
          <w:szCs w:val="20"/>
          <w:vertAlign w:val="superscript"/>
        </w:rPr>
        <w:t>]</w:t>
      </w:r>
      <w:r w:rsidRPr="009451DA">
        <w:rPr>
          <w:rFonts w:ascii="Arial" w:hAnsi="Arial" w:cs="Arial"/>
          <w:sz w:val="20"/>
          <w:szCs w:val="20"/>
        </w:rPr>
        <w:t xml:space="preserve"> study was that only Caucasian ladies with good occlusion were assessed. 44 of the 55 instances had orthodontic treatment, whereas 11 had non-orthodontic treatment. While </w:t>
      </w:r>
      <w:r w:rsidRPr="009451DA">
        <w:rPr>
          <w:rFonts w:ascii="Arial" w:hAnsi="Arial" w:cs="Arial"/>
          <w:sz w:val="20"/>
          <w:szCs w:val="20"/>
        </w:rPr>
        <w:lastRenderedPageBreak/>
        <w:t xml:space="preserve">Bolton's </w:t>
      </w:r>
      <w:r w:rsidR="00360C6F" w:rsidRPr="009451DA">
        <w:rPr>
          <w:rFonts w:ascii="Arial" w:hAnsi="Arial" w:cs="Arial"/>
          <w:sz w:val="20"/>
          <w:szCs w:val="20"/>
          <w:vertAlign w:val="superscript"/>
        </w:rPr>
        <w:t>[3</w:t>
      </w:r>
      <w:r w:rsidRPr="009451DA">
        <w:rPr>
          <w:rFonts w:ascii="Arial" w:hAnsi="Arial" w:cs="Arial"/>
          <w:sz w:val="20"/>
          <w:szCs w:val="20"/>
          <w:vertAlign w:val="superscript"/>
        </w:rPr>
        <w:t>]</w:t>
      </w:r>
      <w:r w:rsidRPr="009451DA">
        <w:rPr>
          <w:rFonts w:ascii="Arial" w:hAnsi="Arial" w:cs="Arial"/>
          <w:sz w:val="20"/>
          <w:szCs w:val="20"/>
        </w:rPr>
        <w:t xml:space="preserve"> ratio was only used for white females and not for white males, blacks, or Hispanics, the overall ratio was consistently greater in females.</w:t>
      </w:r>
    </w:p>
    <w:p w:rsidR="00EC4B05" w:rsidRPr="009451DA" w:rsidRDefault="00EC4B05" w:rsidP="00E51DA4">
      <w:pPr>
        <w:spacing w:line="480" w:lineRule="auto"/>
        <w:jc w:val="both"/>
        <w:rPr>
          <w:rFonts w:ascii="Arial" w:hAnsi="Arial" w:cs="Arial"/>
          <w:sz w:val="20"/>
          <w:szCs w:val="20"/>
        </w:rPr>
      </w:pPr>
      <w:r w:rsidRPr="009451DA">
        <w:rPr>
          <w:rFonts w:ascii="Arial" w:hAnsi="Arial" w:cs="Arial"/>
          <w:sz w:val="20"/>
          <w:szCs w:val="20"/>
        </w:rPr>
        <w:t xml:space="preserve">When the female sample was compared to Bolton </w:t>
      </w:r>
      <w:r w:rsidR="00360C6F" w:rsidRPr="009451DA">
        <w:rPr>
          <w:rFonts w:ascii="Arial" w:hAnsi="Arial" w:cs="Arial"/>
          <w:sz w:val="20"/>
          <w:szCs w:val="20"/>
          <w:vertAlign w:val="superscript"/>
        </w:rPr>
        <w:t>[3</w:t>
      </w:r>
      <w:r w:rsidRPr="009451DA">
        <w:rPr>
          <w:rFonts w:ascii="Arial" w:hAnsi="Arial" w:cs="Arial"/>
          <w:sz w:val="20"/>
          <w:szCs w:val="20"/>
          <w:vertAlign w:val="superscript"/>
        </w:rPr>
        <w:t>]</w:t>
      </w:r>
      <w:r w:rsidRPr="009451DA">
        <w:rPr>
          <w:rFonts w:ascii="Arial" w:hAnsi="Arial" w:cs="Arial"/>
          <w:sz w:val="20"/>
          <w:szCs w:val="20"/>
        </w:rPr>
        <w:t xml:space="preserve"> norms in the following analysis, a significant disparity in the anterior and overall ratio was discovered. The use of Bolton's </w:t>
      </w:r>
      <w:r w:rsidR="00360C6F" w:rsidRPr="009451DA">
        <w:rPr>
          <w:rFonts w:ascii="Arial" w:hAnsi="Arial" w:cs="Arial"/>
          <w:sz w:val="20"/>
          <w:szCs w:val="20"/>
          <w:vertAlign w:val="superscript"/>
        </w:rPr>
        <w:t>[3</w:t>
      </w:r>
      <w:r w:rsidRPr="009451DA">
        <w:rPr>
          <w:rFonts w:ascii="Arial" w:hAnsi="Arial" w:cs="Arial"/>
          <w:sz w:val="20"/>
          <w:szCs w:val="20"/>
          <w:vertAlign w:val="superscript"/>
        </w:rPr>
        <w:t>]</w:t>
      </w:r>
      <w:r w:rsidRPr="009451DA">
        <w:rPr>
          <w:rFonts w:ascii="Arial" w:hAnsi="Arial" w:cs="Arial"/>
          <w:sz w:val="20"/>
          <w:szCs w:val="20"/>
        </w:rPr>
        <w:t xml:space="preserve"> standards for harmonious dentition in general is currently being debated, and they may not be appropriate to other groups. </w:t>
      </w:r>
    </w:p>
    <w:p w:rsidR="00085FB4" w:rsidRPr="009451DA" w:rsidRDefault="00360C6F" w:rsidP="00360C6F">
      <w:pPr>
        <w:spacing w:line="480" w:lineRule="auto"/>
        <w:jc w:val="both"/>
        <w:rPr>
          <w:rFonts w:ascii="Arial" w:hAnsi="Arial" w:cs="Arial"/>
          <w:sz w:val="20"/>
          <w:szCs w:val="20"/>
        </w:rPr>
      </w:pPr>
      <w:r w:rsidRPr="009451DA">
        <w:rPr>
          <w:rFonts w:ascii="Arial" w:hAnsi="Arial" w:cs="Arial"/>
          <w:sz w:val="20"/>
          <w:szCs w:val="20"/>
        </w:rPr>
        <w:t xml:space="preserve">Several studies </w:t>
      </w:r>
      <w:r w:rsidRPr="009451DA">
        <w:rPr>
          <w:rFonts w:ascii="Arial" w:hAnsi="Arial" w:cs="Arial"/>
          <w:sz w:val="20"/>
          <w:szCs w:val="20"/>
          <w:vertAlign w:val="superscript"/>
        </w:rPr>
        <w:t>[6-9]</w:t>
      </w:r>
      <w:r w:rsidRPr="009451DA">
        <w:rPr>
          <w:rFonts w:ascii="Arial" w:hAnsi="Arial" w:cs="Arial"/>
          <w:sz w:val="20"/>
          <w:szCs w:val="20"/>
        </w:rPr>
        <w:t xml:space="preserve"> have documented differences in mesio-distal tooth width in crowded and aligned arches around the world based on malocclusion, demographic, and gender. Bolton </w:t>
      </w:r>
      <w:r w:rsidRPr="009451DA">
        <w:rPr>
          <w:rFonts w:ascii="Arial" w:hAnsi="Arial" w:cs="Arial"/>
          <w:sz w:val="20"/>
          <w:szCs w:val="20"/>
          <w:vertAlign w:val="superscript"/>
        </w:rPr>
        <w:t>[3]</w:t>
      </w:r>
      <w:r w:rsidRPr="009451DA">
        <w:rPr>
          <w:rFonts w:ascii="Arial" w:hAnsi="Arial" w:cs="Arial"/>
          <w:sz w:val="20"/>
          <w:szCs w:val="20"/>
        </w:rPr>
        <w:t xml:space="preserve"> only created two ratios: maxillary and mandibular anterior and total. As a result, more research is needed to develop norms for mesio-distal tooth width for a variety of dental and skeletal malocclusions.</w:t>
      </w:r>
    </w:p>
    <w:p w:rsidR="00360C6F" w:rsidRPr="009451DA" w:rsidRDefault="00360C6F" w:rsidP="00360C6F">
      <w:pPr>
        <w:spacing w:line="480" w:lineRule="auto"/>
        <w:jc w:val="both"/>
        <w:rPr>
          <w:rFonts w:ascii="Arial" w:hAnsi="Arial" w:cs="Arial"/>
        </w:rPr>
      </w:pPr>
      <w:r w:rsidRPr="009451DA">
        <w:rPr>
          <w:rFonts w:ascii="Arial" w:hAnsi="Arial" w:cs="Arial"/>
          <w:b/>
        </w:rPr>
        <w:t xml:space="preserve">Conclusion: </w:t>
      </w:r>
    </w:p>
    <w:p w:rsidR="00360C6F" w:rsidRPr="009451DA" w:rsidRDefault="00360C6F" w:rsidP="00E51DA4">
      <w:pPr>
        <w:spacing w:line="480" w:lineRule="auto"/>
        <w:jc w:val="both"/>
        <w:rPr>
          <w:rFonts w:ascii="Arial" w:hAnsi="Arial" w:cs="Arial"/>
          <w:sz w:val="20"/>
          <w:szCs w:val="20"/>
        </w:rPr>
      </w:pPr>
      <w:r w:rsidRPr="009451DA">
        <w:rPr>
          <w:rFonts w:ascii="Arial" w:hAnsi="Arial" w:cs="Arial"/>
          <w:sz w:val="20"/>
          <w:szCs w:val="20"/>
        </w:rPr>
        <w:t xml:space="preserve">Bolton's </w:t>
      </w:r>
      <w:r w:rsidRPr="009451DA">
        <w:rPr>
          <w:rFonts w:ascii="Arial" w:hAnsi="Arial" w:cs="Arial"/>
          <w:sz w:val="20"/>
          <w:szCs w:val="20"/>
          <w:vertAlign w:val="superscript"/>
        </w:rPr>
        <w:t>[3]</w:t>
      </w:r>
      <w:r w:rsidRPr="009451DA">
        <w:rPr>
          <w:rFonts w:ascii="Arial" w:hAnsi="Arial" w:cs="Arial"/>
          <w:sz w:val="20"/>
          <w:szCs w:val="20"/>
        </w:rPr>
        <w:t xml:space="preserve"> norms for the Caucasian female population were significantly different from the values reported for the Central India group. Significant values for anterior and overall ratios were found when the population of Central India was compared to that of other Indian populations </w:t>
      </w:r>
      <w:r w:rsidRPr="009451DA">
        <w:rPr>
          <w:rFonts w:ascii="Arial" w:hAnsi="Arial" w:cs="Arial"/>
          <w:sz w:val="20"/>
          <w:szCs w:val="20"/>
          <w:vertAlign w:val="superscript"/>
        </w:rPr>
        <w:t>[7-10]</w:t>
      </w:r>
      <w:r w:rsidRPr="009451DA">
        <w:rPr>
          <w:rFonts w:ascii="Arial" w:hAnsi="Arial" w:cs="Arial"/>
          <w:sz w:val="20"/>
          <w:szCs w:val="20"/>
        </w:rPr>
        <w:t>. As a result, certain guidelines are necessary for proper treatment planning as well as long-term stability and retention. As a result, the current statistics for the Central India population should be considered before considering any orthodontic treatment.</w:t>
      </w:r>
    </w:p>
    <w:p w:rsidR="00764E2A" w:rsidRPr="009451DA" w:rsidRDefault="00764E2A" w:rsidP="00E51DA4">
      <w:pPr>
        <w:spacing w:line="480" w:lineRule="auto"/>
        <w:jc w:val="both"/>
        <w:rPr>
          <w:rFonts w:ascii="Arial" w:hAnsi="Arial" w:cs="Arial"/>
        </w:rPr>
      </w:pPr>
      <w:r w:rsidRPr="009451DA">
        <w:rPr>
          <w:rStyle w:val="Strong"/>
          <w:rFonts w:ascii="Arial" w:hAnsi="Arial" w:cs="Arial"/>
          <w:color w:val="333333"/>
          <w:shd w:val="clear" w:color="auto" w:fill="FFFFFF"/>
        </w:rPr>
        <w:t>Acknowledgments</w:t>
      </w:r>
      <w:r w:rsidRPr="009451DA">
        <w:rPr>
          <w:rFonts w:ascii="Arial" w:hAnsi="Arial" w:cs="Arial"/>
        </w:rPr>
        <w:t>-</w:t>
      </w:r>
    </w:p>
    <w:p w:rsidR="00764E2A" w:rsidRPr="009451DA" w:rsidRDefault="00764E2A" w:rsidP="008B4E95">
      <w:pPr>
        <w:spacing w:line="480" w:lineRule="auto"/>
        <w:rPr>
          <w:rFonts w:ascii="Arial" w:hAnsi="Arial" w:cs="Arial"/>
          <w:sz w:val="20"/>
          <w:szCs w:val="20"/>
          <w:lang w:val="en-US"/>
        </w:rPr>
      </w:pPr>
      <w:r w:rsidRPr="009451DA">
        <w:rPr>
          <w:rFonts w:ascii="Arial" w:hAnsi="Arial" w:cs="Arial"/>
          <w:sz w:val="20"/>
          <w:szCs w:val="20"/>
        </w:rPr>
        <w:t>The research was supported by Indian Council of Medical Reseach (ICMR-2019).</w:t>
      </w:r>
      <w:r w:rsidR="008B4E95" w:rsidRPr="009451DA">
        <w:rPr>
          <w:rFonts w:ascii="Arial" w:hAnsi="Arial" w:cs="Arial"/>
          <w:color w:val="333333"/>
          <w:sz w:val="20"/>
          <w:szCs w:val="20"/>
          <w:shd w:val="clear" w:color="auto" w:fill="FFFFFF"/>
        </w:rPr>
        <w:t xml:space="preserve"> I thank my guide Dr. Pallavi R Daigavane who provided insight and expertise that greatly assisted the research. I thank </w:t>
      </w:r>
      <w:r w:rsidR="008B4E95" w:rsidRPr="009451DA">
        <w:rPr>
          <w:rFonts w:ascii="Arial" w:hAnsi="Arial" w:cs="Arial"/>
          <w:sz w:val="20"/>
          <w:szCs w:val="20"/>
        </w:rPr>
        <w:t>Dr. Vikrant Vishwas Jadhav</w:t>
      </w:r>
      <w:r w:rsidR="008B4E95" w:rsidRPr="009451DA">
        <w:rPr>
          <w:rFonts w:ascii="Arial" w:hAnsi="Arial" w:cs="Arial"/>
          <w:color w:val="333333"/>
          <w:sz w:val="20"/>
          <w:szCs w:val="20"/>
          <w:shd w:val="clear" w:color="auto" w:fill="FFFFFF"/>
        </w:rPr>
        <w:t xml:space="preserve"> for assistance with methodology and for comments that greatly improved the manuscript and I would also like to show my gratitude to the </w:t>
      </w:r>
      <w:r w:rsidR="008B4E95" w:rsidRPr="009451DA">
        <w:rPr>
          <w:rFonts w:ascii="Arial" w:hAnsi="Arial" w:cs="Arial"/>
          <w:sz w:val="20"/>
          <w:szCs w:val="20"/>
          <w:lang w:val="en-US"/>
        </w:rPr>
        <w:t>Dr. Ranjit Kamble</w:t>
      </w:r>
      <w:r w:rsidR="008B4E95" w:rsidRPr="009451DA">
        <w:rPr>
          <w:rFonts w:ascii="Arial" w:hAnsi="Arial" w:cs="Arial"/>
          <w:color w:val="333333"/>
          <w:sz w:val="20"/>
          <w:szCs w:val="20"/>
          <w:shd w:val="clear" w:color="auto" w:fill="FFFFFF"/>
        </w:rPr>
        <w:t xml:space="preserve"> for sharing their pearls of wisdom with us during the course of this research.</w:t>
      </w:r>
    </w:p>
    <w:p w:rsidR="00360C6F" w:rsidRPr="009451DA" w:rsidRDefault="00360C6F" w:rsidP="00E51DA4">
      <w:pPr>
        <w:spacing w:line="480" w:lineRule="auto"/>
        <w:jc w:val="both"/>
        <w:rPr>
          <w:rFonts w:ascii="Arial" w:hAnsi="Arial" w:cs="Arial"/>
          <w:sz w:val="20"/>
          <w:szCs w:val="20"/>
        </w:rPr>
      </w:pPr>
    </w:p>
    <w:p w:rsidR="00360C6F" w:rsidRPr="009451DA" w:rsidRDefault="00360C6F">
      <w:pPr>
        <w:rPr>
          <w:rFonts w:ascii="Arial" w:hAnsi="Arial" w:cs="Arial"/>
          <w:sz w:val="20"/>
          <w:szCs w:val="20"/>
        </w:rPr>
      </w:pPr>
      <w:r w:rsidRPr="009451DA">
        <w:rPr>
          <w:rFonts w:ascii="Arial" w:hAnsi="Arial" w:cs="Arial"/>
          <w:sz w:val="20"/>
          <w:szCs w:val="20"/>
        </w:rPr>
        <w:br w:type="page"/>
      </w:r>
    </w:p>
    <w:p w:rsidR="00360C6F" w:rsidRPr="009451DA" w:rsidRDefault="00360C6F" w:rsidP="00360C6F">
      <w:pPr>
        <w:spacing w:line="480" w:lineRule="auto"/>
        <w:jc w:val="both"/>
        <w:rPr>
          <w:rFonts w:ascii="Arial" w:hAnsi="Arial" w:cs="Arial"/>
          <w:b/>
        </w:rPr>
      </w:pPr>
      <w:r w:rsidRPr="009451DA">
        <w:rPr>
          <w:rFonts w:ascii="Arial" w:hAnsi="Arial" w:cs="Arial"/>
          <w:b/>
        </w:rPr>
        <w:lastRenderedPageBreak/>
        <w:t>References:</w:t>
      </w:r>
    </w:p>
    <w:p w:rsidR="00360C6F" w:rsidRPr="009451DA" w:rsidRDefault="00360C6F" w:rsidP="00360C6F">
      <w:pPr>
        <w:pStyle w:val="ListParagraph"/>
        <w:numPr>
          <w:ilvl w:val="0"/>
          <w:numId w:val="1"/>
        </w:numPr>
        <w:spacing w:line="480" w:lineRule="auto"/>
        <w:rPr>
          <w:rFonts w:ascii="Arial" w:hAnsi="Arial" w:cs="Arial"/>
          <w:sz w:val="20"/>
          <w:szCs w:val="20"/>
        </w:rPr>
      </w:pPr>
      <w:r w:rsidRPr="009451DA">
        <w:rPr>
          <w:rFonts w:ascii="Arial" w:hAnsi="Arial" w:cs="Arial"/>
          <w:sz w:val="20"/>
          <w:szCs w:val="20"/>
        </w:rPr>
        <w:t>JC, McLaughlin RP. Orthodontic Treatment Mechanics and the Pre adjusted Appliance. London: Wolfe Medical Publishing; 1993.</w:t>
      </w:r>
    </w:p>
    <w:p w:rsidR="00360C6F" w:rsidRPr="009451DA" w:rsidRDefault="00360C6F" w:rsidP="00360C6F">
      <w:pPr>
        <w:pStyle w:val="ListParagraph"/>
        <w:numPr>
          <w:ilvl w:val="0"/>
          <w:numId w:val="1"/>
        </w:numPr>
        <w:spacing w:line="480" w:lineRule="auto"/>
        <w:rPr>
          <w:rFonts w:ascii="Arial" w:hAnsi="Arial" w:cs="Arial"/>
          <w:sz w:val="20"/>
          <w:szCs w:val="20"/>
        </w:rPr>
      </w:pPr>
      <w:r w:rsidRPr="009451DA">
        <w:rPr>
          <w:rFonts w:ascii="Arial" w:hAnsi="Arial" w:cs="Arial"/>
          <w:sz w:val="20"/>
          <w:szCs w:val="20"/>
        </w:rPr>
        <w:t>Peck S, Peck H. Crown dimension and mandibular incisor alignment. Angle Orthod.42:148-153,1975.</w:t>
      </w:r>
    </w:p>
    <w:p w:rsidR="00360C6F" w:rsidRPr="009451DA" w:rsidRDefault="00360C6F" w:rsidP="00360C6F">
      <w:pPr>
        <w:pStyle w:val="ListParagraph"/>
        <w:numPr>
          <w:ilvl w:val="0"/>
          <w:numId w:val="1"/>
        </w:numPr>
        <w:spacing w:line="480" w:lineRule="auto"/>
        <w:rPr>
          <w:rFonts w:ascii="Arial" w:hAnsi="Arial" w:cs="Arial"/>
          <w:sz w:val="20"/>
          <w:szCs w:val="20"/>
        </w:rPr>
      </w:pPr>
      <w:r w:rsidRPr="009451DA">
        <w:rPr>
          <w:rFonts w:ascii="Arial" w:hAnsi="Arial" w:cs="Arial"/>
          <w:sz w:val="20"/>
          <w:szCs w:val="20"/>
        </w:rPr>
        <w:t>Bolton WA. Disharmony in tooth size and its relation to the analysis and treatment of malocclusion. Angle Orthod 1958;28:113-130.</w:t>
      </w:r>
    </w:p>
    <w:p w:rsidR="00360C6F" w:rsidRPr="009451DA" w:rsidRDefault="00360C6F" w:rsidP="00360C6F">
      <w:pPr>
        <w:pStyle w:val="ListParagraph"/>
        <w:numPr>
          <w:ilvl w:val="0"/>
          <w:numId w:val="1"/>
        </w:numPr>
        <w:spacing w:line="480" w:lineRule="auto"/>
        <w:jc w:val="both"/>
        <w:rPr>
          <w:rFonts w:ascii="Arial" w:hAnsi="Arial" w:cs="Arial"/>
          <w:sz w:val="20"/>
          <w:szCs w:val="20"/>
        </w:rPr>
      </w:pPr>
      <w:r w:rsidRPr="009451DA">
        <w:rPr>
          <w:rFonts w:ascii="Arial" w:hAnsi="Arial" w:cs="Arial"/>
          <w:sz w:val="20"/>
          <w:szCs w:val="20"/>
        </w:rPr>
        <w:t>Lundstrom A. Intermaxillarey tooth width ratio and tooth alignment and occlusion. Acta odontol scand 1955; 12:265-92.</w:t>
      </w:r>
    </w:p>
    <w:p w:rsidR="00360C6F" w:rsidRPr="009451DA" w:rsidRDefault="00360C6F" w:rsidP="00360C6F">
      <w:pPr>
        <w:pStyle w:val="ListParagraph"/>
        <w:numPr>
          <w:ilvl w:val="0"/>
          <w:numId w:val="1"/>
        </w:numPr>
        <w:spacing w:line="480" w:lineRule="auto"/>
        <w:jc w:val="both"/>
        <w:rPr>
          <w:rFonts w:ascii="Arial" w:hAnsi="Arial" w:cs="Arial"/>
          <w:sz w:val="20"/>
          <w:szCs w:val="20"/>
        </w:rPr>
      </w:pPr>
      <w:r w:rsidRPr="009451DA">
        <w:rPr>
          <w:rFonts w:ascii="Arial" w:hAnsi="Arial" w:cs="Arial"/>
          <w:sz w:val="20"/>
          <w:szCs w:val="20"/>
        </w:rPr>
        <w:t>Lavelle CL. Maxillary and mandibular tooth size in different racial groups and in different occlusal categories.Am J Orthod 1972;61:29  37.</w:t>
      </w:r>
    </w:p>
    <w:p w:rsidR="00360C6F" w:rsidRPr="009451DA" w:rsidRDefault="00360C6F" w:rsidP="00360C6F">
      <w:pPr>
        <w:pStyle w:val="ListParagraph"/>
        <w:numPr>
          <w:ilvl w:val="0"/>
          <w:numId w:val="1"/>
        </w:numPr>
        <w:spacing w:line="480" w:lineRule="auto"/>
        <w:jc w:val="both"/>
        <w:rPr>
          <w:rFonts w:ascii="Arial" w:hAnsi="Arial" w:cs="Arial"/>
          <w:sz w:val="20"/>
          <w:szCs w:val="20"/>
        </w:rPr>
      </w:pPr>
      <w:r w:rsidRPr="009451DA">
        <w:rPr>
          <w:rFonts w:ascii="Arial" w:hAnsi="Arial" w:cs="Arial"/>
          <w:sz w:val="20"/>
          <w:szCs w:val="20"/>
        </w:rPr>
        <w:t>Saritha T, Sunitha C, Kumar P K, Naveen R. Applicability of bolton's analysis to a South Telangana population. Indian J Dent Sci 2017;9:225-32.</w:t>
      </w:r>
    </w:p>
    <w:p w:rsidR="00360C6F" w:rsidRPr="009451DA" w:rsidRDefault="00360C6F" w:rsidP="00360C6F">
      <w:pPr>
        <w:pStyle w:val="ListParagraph"/>
        <w:numPr>
          <w:ilvl w:val="0"/>
          <w:numId w:val="1"/>
        </w:numPr>
        <w:spacing w:line="480" w:lineRule="auto"/>
        <w:jc w:val="both"/>
        <w:rPr>
          <w:rFonts w:ascii="Arial" w:hAnsi="Arial" w:cs="Arial"/>
          <w:sz w:val="20"/>
          <w:szCs w:val="20"/>
        </w:rPr>
      </w:pPr>
      <w:r w:rsidRPr="009451DA">
        <w:rPr>
          <w:rFonts w:ascii="Arial" w:hAnsi="Arial" w:cs="Arial"/>
          <w:sz w:val="20"/>
          <w:szCs w:val="20"/>
        </w:rPr>
        <w:t>Jindal R, Bunger E. Bolton's intermaxillary tooth size ratios among school going children in Punjab population. Indian J Oral Sci 2013;4:110-3.</w:t>
      </w:r>
    </w:p>
    <w:p w:rsidR="00360C6F" w:rsidRPr="009451DA" w:rsidRDefault="00360C6F" w:rsidP="00360C6F">
      <w:pPr>
        <w:pStyle w:val="ListParagraph"/>
        <w:numPr>
          <w:ilvl w:val="0"/>
          <w:numId w:val="1"/>
        </w:numPr>
        <w:spacing w:line="480" w:lineRule="auto"/>
        <w:jc w:val="both"/>
        <w:rPr>
          <w:rFonts w:ascii="Arial" w:hAnsi="Arial" w:cs="Arial"/>
          <w:sz w:val="20"/>
          <w:szCs w:val="20"/>
        </w:rPr>
      </w:pPr>
      <w:r w:rsidRPr="009451DA">
        <w:rPr>
          <w:rFonts w:ascii="Arial" w:hAnsi="Arial" w:cs="Arial"/>
          <w:sz w:val="20"/>
          <w:szCs w:val="20"/>
        </w:rPr>
        <w:t>Shastri D, Singh A, and Tandon P, Bolton ratio in a North Indian population with different malocclusion. J Orthod Sci. 2015 Jul-Sep; 4(3): 83–85.</w:t>
      </w:r>
    </w:p>
    <w:p w:rsidR="00360C6F" w:rsidRPr="009451DA" w:rsidRDefault="00360C6F" w:rsidP="00360C6F">
      <w:pPr>
        <w:pStyle w:val="ListParagraph"/>
        <w:numPr>
          <w:ilvl w:val="0"/>
          <w:numId w:val="1"/>
        </w:numPr>
        <w:spacing w:line="480" w:lineRule="auto"/>
        <w:jc w:val="both"/>
        <w:rPr>
          <w:rFonts w:ascii="Arial" w:hAnsi="Arial" w:cs="Arial"/>
          <w:sz w:val="20"/>
          <w:szCs w:val="20"/>
        </w:rPr>
      </w:pPr>
      <w:r w:rsidRPr="009451DA">
        <w:rPr>
          <w:rFonts w:ascii="Arial" w:hAnsi="Arial" w:cs="Arial"/>
          <w:sz w:val="20"/>
          <w:szCs w:val="20"/>
        </w:rPr>
        <w:t>Patel YV, Nair VS, Jamenis SC. Bolton analysis of the maratha population in Pune. J Dent Allied Sci 2017;6:8-11.</w:t>
      </w:r>
    </w:p>
    <w:p w:rsidR="00085FB4" w:rsidRPr="009451DA" w:rsidRDefault="00360C6F" w:rsidP="00085FB4">
      <w:pPr>
        <w:pStyle w:val="ListParagraph"/>
        <w:numPr>
          <w:ilvl w:val="0"/>
          <w:numId w:val="1"/>
        </w:numPr>
        <w:spacing w:line="480" w:lineRule="auto"/>
        <w:jc w:val="both"/>
        <w:rPr>
          <w:rFonts w:ascii="Arial" w:hAnsi="Arial" w:cs="Arial"/>
          <w:sz w:val="20"/>
          <w:szCs w:val="20"/>
        </w:rPr>
      </w:pPr>
      <w:r w:rsidRPr="009451DA">
        <w:rPr>
          <w:rFonts w:ascii="Arial" w:hAnsi="Arial" w:cs="Arial"/>
          <w:sz w:val="20"/>
          <w:szCs w:val="20"/>
        </w:rPr>
        <w:t>Smith SS, Buschang PH, Watanbe E. Interarch tooth size relationship of 3populations: “dose Bolton’s analysis apply?” .Am J Ortho Dent</w:t>
      </w:r>
      <w:r w:rsidR="00085FB4" w:rsidRPr="009451DA">
        <w:rPr>
          <w:rFonts w:ascii="Arial" w:hAnsi="Arial" w:cs="Arial"/>
          <w:sz w:val="20"/>
          <w:szCs w:val="20"/>
        </w:rPr>
        <w:t>o Facial Orthop 2000;117:169-74.</w:t>
      </w:r>
    </w:p>
    <w:p w:rsidR="00085FB4" w:rsidRPr="009451DA" w:rsidRDefault="00085FB4" w:rsidP="00076999">
      <w:pPr>
        <w:pStyle w:val="ListParagraph"/>
        <w:spacing w:line="480" w:lineRule="auto"/>
        <w:ind w:left="360"/>
        <w:jc w:val="both"/>
        <w:rPr>
          <w:rFonts w:ascii="Arial" w:hAnsi="Arial" w:cs="Arial"/>
          <w:sz w:val="20"/>
          <w:szCs w:val="20"/>
        </w:rPr>
      </w:pPr>
    </w:p>
    <w:p w:rsidR="00076999" w:rsidRPr="009451DA" w:rsidRDefault="00076999" w:rsidP="00085FB4">
      <w:pPr>
        <w:spacing w:line="480" w:lineRule="auto"/>
        <w:jc w:val="both"/>
        <w:rPr>
          <w:rFonts w:ascii="Arial" w:hAnsi="Arial" w:cs="Arial"/>
          <w:b/>
          <w:sz w:val="20"/>
          <w:szCs w:val="20"/>
        </w:rPr>
      </w:pPr>
    </w:p>
    <w:p w:rsidR="00076999" w:rsidRPr="009451DA" w:rsidRDefault="00076999" w:rsidP="00085FB4">
      <w:pPr>
        <w:spacing w:line="480" w:lineRule="auto"/>
        <w:jc w:val="both"/>
        <w:rPr>
          <w:rFonts w:ascii="Arial" w:hAnsi="Arial" w:cs="Arial"/>
          <w:b/>
          <w:sz w:val="20"/>
          <w:szCs w:val="20"/>
        </w:rPr>
      </w:pPr>
    </w:p>
    <w:p w:rsidR="00E51DA4" w:rsidRPr="009451DA" w:rsidRDefault="00E51DA4">
      <w:pPr>
        <w:rPr>
          <w:rFonts w:ascii="Arial" w:hAnsi="Arial" w:cs="Arial"/>
          <w:sz w:val="20"/>
          <w:szCs w:val="20"/>
        </w:rPr>
      </w:pPr>
    </w:p>
    <w:sectPr w:rsidR="00E51DA4" w:rsidRPr="009451D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79C8" w:rsidRDefault="006679C8" w:rsidP="009E2A26">
      <w:pPr>
        <w:spacing w:after="0" w:line="240" w:lineRule="auto"/>
      </w:pPr>
      <w:r>
        <w:separator/>
      </w:r>
    </w:p>
  </w:endnote>
  <w:endnote w:type="continuationSeparator" w:id="0">
    <w:p w:rsidR="006679C8" w:rsidRDefault="006679C8" w:rsidP="009E2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79C8" w:rsidRDefault="006679C8" w:rsidP="009E2A26">
      <w:pPr>
        <w:spacing w:after="0" w:line="240" w:lineRule="auto"/>
      </w:pPr>
      <w:r>
        <w:separator/>
      </w:r>
    </w:p>
  </w:footnote>
  <w:footnote w:type="continuationSeparator" w:id="0">
    <w:p w:rsidR="006679C8" w:rsidRDefault="006679C8" w:rsidP="009E2A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C71D5"/>
    <w:multiLevelType w:val="hybridMultilevel"/>
    <w:tmpl w:val="A844A7D8"/>
    <w:lvl w:ilvl="0" w:tplc="2E304F0A">
      <w:start w:val="1"/>
      <w:numFmt w:val="decimal"/>
      <w:lvlText w:val="%1)"/>
      <w:lvlJc w:val="left"/>
      <w:pPr>
        <w:ind w:left="360" w:hanging="360"/>
      </w:pPr>
    </w:lvl>
    <w:lvl w:ilvl="1" w:tplc="A8DC8D66">
      <w:start w:val="1"/>
      <w:numFmt w:val="lowerLetter"/>
      <w:lvlText w:val="%2."/>
      <w:lvlJc w:val="left"/>
      <w:pPr>
        <w:ind w:left="1440" w:hanging="360"/>
      </w:pPr>
    </w:lvl>
    <w:lvl w:ilvl="2" w:tplc="EC24CD12">
      <w:start w:val="1"/>
      <w:numFmt w:val="lowerRoman"/>
      <w:lvlText w:val="%3."/>
      <w:lvlJc w:val="right"/>
      <w:pPr>
        <w:ind w:left="2160" w:hanging="180"/>
      </w:pPr>
    </w:lvl>
    <w:lvl w:ilvl="3" w:tplc="A998B6B2">
      <w:start w:val="1"/>
      <w:numFmt w:val="decimal"/>
      <w:lvlText w:val="%4."/>
      <w:lvlJc w:val="left"/>
      <w:pPr>
        <w:ind w:left="2880" w:hanging="360"/>
      </w:pPr>
    </w:lvl>
    <w:lvl w:ilvl="4" w:tplc="3DFA04D4">
      <w:start w:val="1"/>
      <w:numFmt w:val="lowerLetter"/>
      <w:lvlText w:val="%5."/>
      <w:lvlJc w:val="left"/>
      <w:pPr>
        <w:ind w:left="3600" w:hanging="360"/>
      </w:pPr>
    </w:lvl>
    <w:lvl w:ilvl="5" w:tplc="9FC61970">
      <w:start w:val="1"/>
      <w:numFmt w:val="lowerRoman"/>
      <w:lvlText w:val="%6."/>
      <w:lvlJc w:val="right"/>
      <w:pPr>
        <w:ind w:left="4320" w:hanging="180"/>
      </w:pPr>
    </w:lvl>
    <w:lvl w:ilvl="6" w:tplc="39CA8824">
      <w:start w:val="1"/>
      <w:numFmt w:val="decimal"/>
      <w:lvlText w:val="%7."/>
      <w:lvlJc w:val="left"/>
      <w:pPr>
        <w:ind w:left="5040" w:hanging="360"/>
      </w:pPr>
    </w:lvl>
    <w:lvl w:ilvl="7" w:tplc="3E9C71CE">
      <w:start w:val="1"/>
      <w:numFmt w:val="lowerLetter"/>
      <w:lvlText w:val="%8."/>
      <w:lvlJc w:val="left"/>
      <w:pPr>
        <w:ind w:left="5760" w:hanging="360"/>
      </w:pPr>
    </w:lvl>
    <w:lvl w:ilvl="8" w:tplc="7C5A12DE">
      <w:start w:val="1"/>
      <w:numFmt w:val="lowerRoman"/>
      <w:lvlText w:val="%9."/>
      <w:lvlJc w:val="right"/>
      <w:pPr>
        <w:ind w:left="6480" w:hanging="180"/>
      </w:pPr>
    </w:lvl>
  </w:abstractNum>
  <w:abstractNum w:abstractNumId="1">
    <w:nsid w:val="46C23C01"/>
    <w:multiLevelType w:val="hybridMultilevel"/>
    <w:tmpl w:val="8B501E22"/>
    <w:lvl w:ilvl="0" w:tplc="DE38A032">
      <w:start w:val="1"/>
      <w:numFmt w:val="decimal"/>
      <w:lvlText w:val="%1."/>
      <w:lvlJc w:val="left"/>
      <w:pPr>
        <w:ind w:left="360" w:hanging="360"/>
      </w:pPr>
    </w:lvl>
    <w:lvl w:ilvl="1" w:tplc="3ECA518A" w:tentative="1">
      <w:start w:val="1"/>
      <w:numFmt w:val="lowerLetter"/>
      <w:lvlText w:val="%2."/>
      <w:lvlJc w:val="left"/>
      <w:pPr>
        <w:ind w:left="1440" w:hanging="360"/>
      </w:pPr>
    </w:lvl>
    <w:lvl w:ilvl="2" w:tplc="6D4C7294" w:tentative="1">
      <w:start w:val="1"/>
      <w:numFmt w:val="lowerRoman"/>
      <w:lvlText w:val="%3."/>
      <w:lvlJc w:val="right"/>
      <w:pPr>
        <w:ind w:left="2160" w:hanging="180"/>
      </w:pPr>
    </w:lvl>
    <w:lvl w:ilvl="3" w:tplc="FFCCD2FE" w:tentative="1">
      <w:start w:val="1"/>
      <w:numFmt w:val="decimal"/>
      <w:lvlText w:val="%4."/>
      <w:lvlJc w:val="left"/>
      <w:pPr>
        <w:ind w:left="2880" w:hanging="360"/>
      </w:pPr>
    </w:lvl>
    <w:lvl w:ilvl="4" w:tplc="FF0055FE" w:tentative="1">
      <w:start w:val="1"/>
      <w:numFmt w:val="lowerLetter"/>
      <w:lvlText w:val="%5."/>
      <w:lvlJc w:val="left"/>
      <w:pPr>
        <w:ind w:left="3600" w:hanging="360"/>
      </w:pPr>
    </w:lvl>
    <w:lvl w:ilvl="5" w:tplc="842C0658" w:tentative="1">
      <w:start w:val="1"/>
      <w:numFmt w:val="lowerRoman"/>
      <w:lvlText w:val="%6."/>
      <w:lvlJc w:val="right"/>
      <w:pPr>
        <w:ind w:left="4320" w:hanging="180"/>
      </w:pPr>
    </w:lvl>
    <w:lvl w:ilvl="6" w:tplc="CA2696A2" w:tentative="1">
      <w:start w:val="1"/>
      <w:numFmt w:val="decimal"/>
      <w:lvlText w:val="%7."/>
      <w:lvlJc w:val="left"/>
      <w:pPr>
        <w:ind w:left="5040" w:hanging="360"/>
      </w:pPr>
    </w:lvl>
    <w:lvl w:ilvl="7" w:tplc="5E78980E" w:tentative="1">
      <w:start w:val="1"/>
      <w:numFmt w:val="lowerLetter"/>
      <w:lvlText w:val="%8."/>
      <w:lvlJc w:val="left"/>
      <w:pPr>
        <w:ind w:left="5760" w:hanging="360"/>
      </w:pPr>
    </w:lvl>
    <w:lvl w:ilvl="8" w:tplc="FEFCAC76"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2F2"/>
    <w:rsid w:val="00036E18"/>
    <w:rsid w:val="000422F2"/>
    <w:rsid w:val="00076999"/>
    <w:rsid w:val="00085FB4"/>
    <w:rsid w:val="000D3A17"/>
    <w:rsid w:val="0018597D"/>
    <w:rsid w:val="00262385"/>
    <w:rsid w:val="002905D5"/>
    <w:rsid w:val="002E6036"/>
    <w:rsid w:val="0030705A"/>
    <w:rsid w:val="00360C6F"/>
    <w:rsid w:val="00373F0D"/>
    <w:rsid w:val="00610BAB"/>
    <w:rsid w:val="006679C8"/>
    <w:rsid w:val="00764E2A"/>
    <w:rsid w:val="00794001"/>
    <w:rsid w:val="008153C6"/>
    <w:rsid w:val="008A652F"/>
    <w:rsid w:val="008B4E95"/>
    <w:rsid w:val="009144FB"/>
    <w:rsid w:val="009451DA"/>
    <w:rsid w:val="009E2A26"/>
    <w:rsid w:val="00A367DF"/>
    <w:rsid w:val="00BD4D6B"/>
    <w:rsid w:val="00E46D45"/>
    <w:rsid w:val="00E51DA4"/>
    <w:rsid w:val="00E86E34"/>
    <w:rsid w:val="00E91D2D"/>
    <w:rsid w:val="00EC4B0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A2F7DA-0CCA-4683-92CD-06E653CEB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5F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C4B05"/>
    <w:rPr>
      <w:sz w:val="16"/>
      <w:szCs w:val="16"/>
    </w:rPr>
  </w:style>
  <w:style w:type="paragraph" w:styleId="CommentText">
    <w:name w:val="annotation text"/>
    <w:basedOn w:val="Normal"/>
    <w:link w:val="CommentTextChar"/>
    <w:uiPriority w:val="99"/>
    <w:semiHidden/>
    <w:unhideWhenUsed/>
    <w:rsid w:val="00EC4B05"/>
    <w:pPr>
      <w:spacing w:line="240" w:lineRule="auto"/>
    </w:pPr>
    <w:rPr>
      <w:sz w:val="20"/>
      <w:szCs w:val="20"/>
    </w:rPr>
  </w:style>
  <w:style w:type="character" w:customStyle="1" w:styleId="CommentTextChar">
    <w:name w:val="Comment Text Char"/>
    <w:basedOn w:val="DefaultParagraphFont"/>
    <w:link w:val="CommentText"/>
    <w:uiPriority w:val="99"/>
    <w:semiHidden/>
    <w:rsid w:val="00EC4B05"/>
    <w:rPr>
      <w:sz w:val="20"/>
      <w:szCs w:val="20"/>
    </w:rPr>
  </w:style>
  <w:style w:type="paragraph" w:styleId="CommentSubject">
    <w:name w:val="annotation subject"/>
    <w:basedOn w:val="CommentText"/>
    <w:next w:val="CommentText"/>
    <w:link w:val="CommentSubjectChar"/>
    <w:uiPriority w:val="99"/>
    <w:semiHidden/>
    <w:unhideWhenUsed/>
    <w:rsid w:val="00EC4B05"/>
    <w:rPr>
      <w:b/>
      <w:bCs/>
    </w:rPr>
  </w:style>
  <w:style w:type="character" w:customStyle="1" w:styleId="CommentSubjectChar">
    <w:name w:val="Comment Subject Char"/>
    <w:basedOn w:val="CommentTextChar"/>
    <w:link w:val="CommentSubject"/>
    <w:uiPriority w:val="99"/>
    <w:semiHidden/>
    <w:rsid w:val="00EC4B05"/>
    <w:rPr>
      <w:b/>
      <w:bCs/>
      <w:sz w:val="20"/>
      <w:szCs w:val="20"/>
    </w:rPr>
  </w:style>
  <w:style w:type="paragraph" w:styleId="BalloonText">
    <w:name w:val="Balloon Text"/>
    <w:basedOn w:val="Normal"/>
    <w:link w:val="BalloonTextChar"/>
    <w:uiPriority w:val="99"/>
    <w:semiHidden/>
    <w:unhideWhenUsed/>
    <w:rsid w:val="00EC4B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4B05"/>
    <w:rPr>
      <w:rFonts w:ascii="Segoe UI" w:hAnsi="Segoe UI" w:cs="Segoe UI"/>
      <w:sz w:val="18"/>
      <w:szCs w:val="18"/>
    </w:rPr>
  </w:style>
  <w:style w:type="paragraph" w:styleId="ListParagraph">
    <w:name w:val="List Paragraph"/>
    <w:basedOn w:val="Normal"/>
    <w:uiPriority w:val="34"/>
    <w:qFormat/>
    <w:rsid w:val="00360C6F"/>
    <w:pPr>
      <w:ind w:left="720"/>
      <w:contextualSpacing/>
    </w:pPr>
  </w:style>
  <w:style w:type="paragraph" w:styleId="Header">
    <w:name w:val="header"/>
    <w:basedOn w:val="Normal"/>
    <w:link w:val="HeaderChar"/>
    <w:uiPriority w:val="99"/>
    <w:unhideWhenUsed/>
    <w:rsid w:val="009E2A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2A26"/>
  </w:style>
  <w:style w:type="paragraph" w:styleId="Footer">
    <w:name w:val="footer"/>
    <w:basedOn w:val="Normal"/>
    <w:link w:val="FooterChar"/>
    <w:uiPriority w:val="99"/>
    <w:unhideWhenUsed/>
    <w:rsid w:val="009E2A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2A26"/>
  </w:style>
  <w:style w:type="character" w:styleId="Strong">
    <w:name w:val="Strong"/>
    <w:basedOn w:val="DefaultParagraphFont"/>
    <w:uiPriority w:val="22"/>
    <w:qFormat/>
    <w:rsid w:val="00764E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177</TotalTime>
  <Pages>9</Pages>
  <Words>2087</Words>
  <Characters>11901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16</cp:revision>
  <dcterms:created xsi:type="dcterms:W3CDTF">2021-10-26T06:18:00Z</dcterms:created>
  <dcterms:modified xsi:type="dcterms:W3CDTF">2021-12-04T01:17:00Z</dcterms:modified>
</cp:coreProperties>
</file>