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38804F" w14:textId="5FD1C887" w:rsidR="000574A9" w:rsidRPr="007E61D7" w:rsidRDefault="00590A4E" w:rsidP="00FB315A">
      <w:pPr>
        <w:pStyle w:val="BodyText"/>
        <w:spacing w:before="240" w:after="240"/>
        <w:jc w:val="center"/>
        <w:rPr>
          <w:rFonts w:ascii="Times New Roman" w:eastAsia="Arial" w:hAnsi="Times New Roman" w:cs="Times New Roman"/>
          <w:b/>
          <w:szCs w:val="24"/>
        </w:rPr>
      </w:pPr>
      <w:r>
        <w:rPr>
          <w:rFonts w:ascii="Times New Roman" w:eastAsia="Arial" w:hAnsi="Times New Roman" w:cs="Times New Roman"/>
          <w:b/>
          <w:szCs w:val="24"/>
        </w:rPr>
        <w:t xml:space="preserve">Sub-acute </w:t>
      </w:r>
      <w:proofErr w:type="spellStart"/>
      <w:r w:rsidR="000575FC">
        <w:rPr>
          <w:rFonts w:ascii="Times New Roman" w:eastAsia="Arial" w:hAnsi="Times New Roman" w:cs="Times New Roman"/>
          <w:b/>
          <w:szCs w:val="24"/>
        </w:rPr>
        <w:t>Pentazocine</w:t>
      </w:r>
      <w:proofErr w:type="spellEnd"/>
      <w:r w:rsidR="000575FC">
        <w:rPr>
          <w:rFonts w:ascii="Times New Roman" w:eastAsia="Arial" w:hAnsi="Times New Roman" w:cs="Times New Roman"/>
          <w:b/>
          <w:szCs w:val="24"/>
        </w:rPr>
        <w:t xml:space="preserve"> </w:t>
      </w:r>
      <w:r w:rsidR="000574A9" w:rsidRPr="007E61D7">
        <w:rPr>
          <w:rFonts w:ascii="Times New Roman" w:eastAsia="Arial" w:hAnsi="Times New Roman" w:cs="Times New Roman"/>
          <w:b/>
          <w:szCs w:val="24"/>
        </w:rPr>
        <w:t xml:space="preserve">Induced Toxicity: Biochemical and Histopathological </w:t>
      </w:r>
      <w:r w:rsidR="003B57DB" w:rsidRPr="007E61D7">
        <w:rPr>
          <w:rFonts w:ascii="Times New Roman" w:eastAsia="Arial" w:hAnsi="Times New Roman" w:cs="Times New Roman"/>
          <w:b/>
          <w:szCs w:val="24"/>
        </w:rPr>
        <w:t>Study of Rat Intestinal Tissues</w:t>
      </w:r>
    </w:p>
    <w:p w14:paraId="5E48A8D6" w14:textId="77777777" w:rsidR="008B6046" w:rsidRDefault="008B6046" w:rsidP="00FB315A">
      <w:pPr>
        <w:pStyle w:val="BodyText"/>
        <w:spacing w:before="240" w:after="240"/>
        <w:jc w:val="both"/>
        <w:rPr>
          <w:rFonts w:ascii="Times New Roman" w:eastAsia="Arial" w:hAnsi="Times New Roman" w:cs="Times New Roman"/>
          <w:b/>
          <w:szCs w:val="24"/>
        </w:rPr>
      </w:pPr>
    </w:p>
    <w:p w14:paraId="246A9AC6" w14:textId="4E8BA513" w:rsidR="00600E0E" w:rsidRPr="007E61D7" w:rsidRDefault="00410D04" w:rsidP="00FB315A">
      <w:pPr>
        <w:pStyle w:val="BodyText"/>
        <w:spacing w:before="240" w:after="240"/>
        <w:jc w:val="both"/>
        <w:rPr>
          <w:rFonts w:ascii="Times New Roman" w:eastAsia="Arial" w:hAnsi="Times New Roman" w:cs="Times New Roman"/>
          <w:szCs w:val="24"/>
        </w:rPr>
      </w:pPr>
      <w:r w:rsidRPr="007E61D7">
        <w:rPr>
          <w:rFonts w:ascii="Times New Roman" w:eastAsia="Arial" w:hAnsi="Times New Roman" w:cs="Times New Roman"/>
          <w:b/>
          <w:szCs w:val="24"/>
        </w:rPr>
        <w:t>ABSTRACT</w:t>
      </w:r>
    </w:p>
    <w:p w14:paraId="28C0723A" w14:textId="420C81E8" w:rsidR="00600E0E" w:rsidRPr="007E61D7" w:rsidRDefault="00B42706" w:rsidP="00D117FA">
      <w:pPr>
        <w:pStyle w:val="BodyText"/>
        <w:spacing w:before="240" w:after="240"/>
        <w:jc w:val="both"/>
        <w:rPr>
          <w:rFonts w:cs="Times New Roman"/>
          <w:szCs w:val="24"/>
        </w:rPr>
      </w:pPr>
      <w:r>
        <w:rPr>
          <w:rFonts w:ascii="Times New Roman" w:hAnsi="Times New Roman" w:cs="Times New Roman"/>
          <w:b/>
          <w:szCs w:val="24"/>
        </w:rPr>
        <w:t>Background</w:t>
      </w:r>
      <w:r w:rsidR="00410D04" w:rsidRPr="007E61D7">
        <w:rPr>
          <w:rFonts w:ascii="Times New Roman" w:hAnsi="Times New Roman" w:cs="Times New Roman"/>
          <w:szCs w:val="24"/>
        </w:rPr>
        <w:t xml:space="preserve">: </w:t>
      </w:r>
      <w:proofErr w:type="spellStart"/>
      <w:r w:rsidR="00D117FA" w:rsidRPr="007E61D7">
        <w:rPr>
          <w:rFonts w:ascii="Times New Roman" w:hAnsi="Times New Roman" w:cs="Times New Roman"/>
          <w:szCs w:val="24"/>
        </w:rPr>
        <w:t>Pentazocine</w:t>
      </w:r>
      <w:proofErr w:type="spellEnd"/>
      <w:r w:rsidR="00D117FA" w:rsidRPr="007E61D7">
        <w:rPr>
          <w:rFonts w:ascii="Times New Roman" w:hAnsi="Times New Roman" w:cs="Times New Roman"/>
          <w:szCs w:val="24"/>
        </w:rPr>
        <w:t xml:space="preserve"> addiction in Nigeria has emerged as a health issue among young people dealing with various types of pain, despite the drug's widespread use among sickle-cell sufferers</w:t>
      </w:r>
      <w:r w:rsidR="00410D04" w:rsidRPr="007E61D7">
        <w:rPr>
          <w:rFonts w:ascii="Times New Roman" w:hAnsi="Times New Roman" w:cs="Times New Roman"/>
          <w:szCs w:val="24"/>
        </w:rPr>
        <w:t xml:space="preserve">. </w:t>
      </w:r>
      <w:r w:rsidRPr="007E61D7">
        <w:rPr>
          <w:rFonts w:ascii="Times New Roman" w:hAnsi="Times New Roman" w:cs="Times New Roman"/>
          <w:b/>
          <w:szCs w:val="24"/>
        </w:rPr>
        <w:t>Objective</w:t>
      </w:r>
      <w:r>
        <w:rPr>
          <w:rFonts w:ascii="Times New Roman" w:hAnsi="Times New Roman" w:cs="Times New Roman"/>
          <w:szCs w:val="24"/>
        </w:rPr>
        <w:t xml:space="preserve">: </w:t>
      </w:r>
      <w:r w:rsidR="00410D04" w:rsidRPr="007E61D7">
        <w:rPr>
          <w:rFonts w:ascii="Times New Roman" w:hAnsi="Times New Roman" w:cs="Times New Roman"/>
          <w:szCs w:val="24"/>
        </w:rPr>
        <w:t xml:space="preserve">This study aimed to evaluate the toxicological effects of </w:t>
      </w:r>
      <w:proofErr w:type="spellStart"/>
      <w:r w:rsidR="00410D04" w:rsidRPr="007E61D7">
        <w:rPr>
          <w:rFonts w:ascii="Times New Roman" w:hAnsi="Times New Roman" w:cs="Times New Roman"/>
          <w:szCs w:val="24"/>
        </w:rPr>
        <w:t>pentazocine</w:t>
      </w:r>
      <w:proofErr w:type="spellEnd"/>
      <w:r w:rsidR="00410D04" w:rsidRPr="007E61D7">
        <w:rPr>
          <w:rFonts w:ascii="Times New Roman" w:hAnsi="Times New Roman" w:cs="Times New Roman"/>
          <w:szCs w:val="24"/>
        </w:rPr>
        <w:t xml:space="preserve"> on the intestines. </w:t>
      </w:r>
      <w:r w:rsidR="00410D04" w:rsidRPr="007E61D7">
        <w:rPr>
          <w:rFonts w:ascii="Times New Roman" w:hAnsi="Times New Roman" w:cs="Times New Roman"/>
          <w:b/>
          <w:szCs w:val="24"/>
        </w:rPr>
        <w:t>Methods</w:t>
      </w:r>
      <w:r w:rsidR="00410D04" w:rsidRPr="007E61D7">
        <w:rPr>
          <w:rFonts w:ascii="Times New Roman" w:hAnsi="Times New Roman" w:cs="Times New Roman"/>
          <w:szCs w:val="24"/>
        </w:rPr>
        <w:t xml:space="preserve">: Twenty-eight (28) adult </w:t>
      </w:r>
      <w:proofErr w:type="spellStart"/>
      <w:r w:rsidR="00410D04" w:rsidRPr="007E61D7">
        <w:rPr>
          <w:rFonts w:ascii="Times New Roman" w:hAnsi="Times New Roman" w:cs="Times New Roman"/>
          <w:szCs w:val="24"/>
        </w:rPr>
        <w:t>Wistar</w:t>
      </w:r>
      <w:proofErr w:type="spellEnd"/>
      <w:r w:rsidR="00410D04" w:rsidRPr="007E61D7">
        <w:rPr>
          <w:rFonts w:ascii="Times New Roman" w:hAnsi="Times New Roman" w:cs="Times New Roman"/>
          <w:szCs w:val="24"/>
        </w:rPr>
        <w:t xml:space="preserve"> rats were acclimatized and grouped into four. Group 1 (control) was administered 1ml of normal saline (0.9% </w:t>
      </w:r>
      <w:proofErr w:type="spellStart"/>
      <w:r w:rsidR="00410D04" w:rsidRPr="007E61D7">
        <w:rPr>
          <w:rFonts w:ascii="Times New Roman" w:hAnsi="Times New Roman" w:cs="Times New Roman"/>
          <w:szCs w:val="24"/>
        </w:rPr>
        <w:t>NaCl</w:t>
      </w:r>
      <w:proofErr w:type="spellEnd"/>
      <w:r w:rsidR="00410D04" w:rsidRPr="007E61D7">
        <w:rPr>
          <w:rFonts w:ascii="Times New Roman" w:hAnsi="Times New Roman" w:cs="Times New Roman"/>
          <w:szCs w:val="24"/>
        </w:rPr>
        <w:t xml:space="preserve">) while groups 2 – 4 served as the experimental groups and administered </w:t>
      </w:r>
      <w:r w:rsidR="00410D04" w:rsidRPr="007E61D7">
        <w:rPr>
          <w:rFonts w:ascii="Times New Roman" w:hAnsi="Times New Roman" w:cs="Times New Roman"/>
          <w:color w:val="000000"/>
          <w:szCs w:val="24"/>
        </w:rPr>
        <w:t xml:space="preserve">graded doses of 30 mg/kg, 60 mg/kg, and 90 mg/kg </w:t>
      </w:r>
      <w:proofErr w:type="spellStart"/>
      <w:r w:rsidR="00410D04" w:rsidRPr="007E61D7">
        <w:rPr>
          <w:rFonts w:ascii="Times New Roman" w:hAnsi="Times New Roman" w:cs="Times New Roman"/>
          <w:color w:val="000000"/>
          <w:szCs w:val="24"/>
        </w:rPr>
        <w:t>pentazocine</w:t>
      </w:r>
      <w:proofErr w:type="spellEnd"/>
      <w:r w:rsidR="00410D04" w:rsidRPr="007E61D7">
        <w:rPr>
          <w:rFonts w:ascii="Times New Roman" w:hAnsi="Times New Roman" w:cs="Times New Roman"/>
          <w:color w:val="000000"/>
          <w:szCs w:val="24"/>
        </w:rPr>
        <w:t xml:space="preserve"> (PZ) </w:t>
      </w:r>
      <w:r w:rsidR="00410D04" w:rsidRPr="007E61D7">
        <w:rPr>
          <w:rFonts w:ascii="Times New Roman" w:hAnsi="Times New Roman" w:cs="Times New Roman"/>
          <w:szCs w:val="24"/>
        </w:rPr>
        <w:t xml:space="preserve">intramuscularly for 14 days. </w:t>
      </w:r>
      <w:r>
        <w:rPr>
          <w:rFonts w:ascii="Times New Roman" w:hAnsi="Times New Roman" w:cs="Times New Roman"/>
          <w:color w:val="000000"/>
          <w:szCs w:val="24"/>
        </w:rPr>
        <w:t>Both intestines</w:t>
      </w:r>
      <w:r w:rsidR="00410D04" w:rsidRPr="007E61D7">
        <w:rPr>
          <w:rFonts w:ascii="Times New Roman" w:hAnsi="Times New Roman" w:cs="Times New Roman"/>
          <w:color w:val="000000"/>
          <w:szCs w:val="24"/>
        </w:rPr>
        <w:t xml:space="preserve"> were obtained and analyzed for biochemical parameters such as catalase (CAT), superoxide dismutase (SOD), and </w:t>
      </w:r>
      <w:proofErr w:type="spellStart"/>
      <w:r w:rsidR="00410D04" w:rsidRPr="007E61D7">
        <w:rPr>
          <w:rFonts w:ascii="Times New Roman" w:hAnsi="Times New Roman" w:cs="Times New Roman"/>
          <w:color w:val="000000"/>
          <w:szCs w:val="24"/>
        </w:rPr>
        <w:t>malondialdehyde</w:t>
      </w:r>
      <w:proofErr w:type="spellEnd"/>
      <w:r w:rsidR="00410D04" w:rsidRPr="007E61D7">
        <w:rPr>
          <w:rFonts w:ascii="Times New Roman" w:hAnsi="Times New Roman" w:cs="Times New Roman"/>
          <w:color w:val="000000"/>
          <w:szCs w:val="24"/>
        </w:rPr>
        <w:t xml:space="preserve"> (MDA), as well as histopathological analyses of sample tissues. A one-way analysis of variance (ANOVA) was used to analyze the differences between the </w:t>
      </w:r>
      <w:r w:rsidR="003A1033">
        <w:rPr>
          <w:rFonts w:ascii="Times New Roman" w:hAnsi="Times New Roman" w:cs="Times New Roman"/>
          <w:color w:val="000000"/>
          <w:szCs w:val="24"/>
        </w:rPr>
        <w:t xml:space="preserve">control and experimental </w:t>
      </w:r>
      <w:r w:rsidR="00410D04" w:rsidRPr="007E61D7">
        <w:rPr>
          <w:rFonts w:ascii="Times New Roman" w:hAnsi="Times New Roman" w:cs="Times New Roman"/>
          <w:color w:val="000000"/>
          <w:szCs w:val="24"/>
        </w:rPr>
        <w:t xml:space="preserve">groups using the Statistical Package for Social Sciences (SPSS) version 23.0. </w:t>
      </w:r>
      <w:r w:rsidR="00410D04" w:rsidRPr="007E61D7">
        <w:rPr>
          <w:rFonts w:ascii="Times New Roman" w:hAnsi="Times New Roman" w:cs="Times New Roman"/>
          <w:b/>
          <w:color w:val="000000"/>
          <w:szCs w:val="24"/>
        </w:rPr>
        <w:t>Results</w:t>
      </w:r>
      <w:r w:rsidR="00410D04" w:rsidRPr="007E61D7">
        <w:rPr>
          <w:rFonts w:ascii="Times New Roman" w:hAnsi="Times New Roman" w:cs="Times New Roman"/>
          <w:color w:val="000000"/>
          <w:szCs w:val="24"/>
        </w:rPr>
        <w:t xml:space="preserve">: </w:t>
      </w:r>
      <w:r w:rsidR="00410D04" w:rsidRPr="007E61D7">
        <w:rPr>
          <w:rFonts w:ascii="Times New Roman" w:eastAsia="Times New Roman" w:hAnsi="Times New Roman" w:cs="Times New Roman"/>
          <w:szCs w:val="24"/>
        </w:rPr>
        <w:t xml:space="preserve">In the intestines, there were significant increases in CAT and SOD enzymes, as well as substantial decreases in MDA levels in PZ-treated groups. </w:t>
      </w:r>
      <w:r w:rsidR="00410D04" w:rsidRPr="007E61D7">
        <w:rPr>
          <w:rFonts w:ascii="Times New Roman" w:hAnsi="Times New Roman" w:cs="Times New Roman"/>
          <w:szCs w:val="24"/>
        </w:rPr>
        <w:t xml:space="preserve">Intestinal histopathology of PZ-treated groups displayed notable glandular distortions, and infiltration of inflammatory cells within the mucosa epithelia. </w:t>
      </w:r>
      <w:r w:rsidR="00410D04" w:rsidRPr="007E61D7">
        <w:rPr>
          <w:rFonts w:ascii="Times New Roman" w:hAnsi="Times New Roman" w:cs="Times New Roman"/>
          <w:b/>
          <w:szCs w:val="24"/>
        </w:rPr>
        <w:t>Conclusion</w:t>
      </w:r>
      <w:r w:rsidR="00410D04" w:rsidRPr="007E61D7">
        <w:rPr>
          <w:rFonts w:ascii="Times New Roman" w:hAnsi="Times New Roman" w:cs="Times New Roman"/>
          <w:szCs w:val="24"/>
        </w:rPr>
        <w:t xml:space="preserve">: Sub-acute </w:t>
      </w:r>
      <w:proofErr w:type="spellStart"/>
      <w:r w:rsidR="00410D04" w:rsidRPr="007E61D7">
        <w:rPr>
          <w:rFonts w:ascii="Times New Roman" w:hAnsi="Times New Roman" w:cs="Times New Roman"/>
          <w:szCs w:val="24"/>
        </w:rPr>
        <w:t>pentazocine</w:t>
      </w:r>
      <w:proofErr w:type="spellEnd"/>
      <w:r w:rsidR="00410D04" w:rsidRPr="007E61D7">
        <w:rPr>
          <w:rFonts w:ascii="Times New Roman" w:hAnsi="Times New Roman" w:cs="Times New Roman"/>
          <w:szCs w:val="24"/>
        </w:rPr>
        <w:t xml:space="preserve"> administration was shown to </w:t>
      </w:r>
      <w:r w:rsidR="00460CF0" w:rsidRPr="007E61D7">
        <w:rPr>
          <w:rFonts w:ascii="Times New Roman" w:hAnsi="Times New Roman" w:cs="Times New Roman"/>
          <w:szCs w:val="24"/>
        </w:rPr>
        <w:t>cause</w:t>
      </w:r>
      <w:r w:rsidR="00410D04" w:rsidRPr="007E61D7">
        <w:rPr>
          <w:rFonts w:ascii="Times New Roman" w:hAnsi="Times New Roman" w:cs="Times New Roman"/>
          <w:szCs w:val="24"/>
        </w:rPr>
        <w:t xml:space="preserve"> moderate toxicity and </w:t>
      </w:r>
      <w:r w:rsidR="00460CF0" w:rsidRPr="007E61D7">
        <w:rPr>
          <w:rFonts w:ascii="Times New Roman" w:hAnsi="Times New Roman" w:cs="Times New Roman"/>
          <w:szCs w:val="24"/>
        </w:rPr>
        <w:t xml:space="preserve">could lead to </w:t>
      </w:r>
      <w:r>
        <w:rPr>
          <w:rFonts w:ascii="Times New Roman" w:hAnsi="Times New Roman" w:cs="Times New Roman"/>
          <w:szCs w:val="24"/>
        </w:rPr>
        <w:t xml:space="preserve">associated </w:t>
      </w:r>
      <w:r w:rsidR="00410D04" w:rsidRPr="007E61D7">
        <w:rPr>
          <w:rFonts w:ascii="Times New Roman" w:hAnsi="Times New Roman" w:cs="Times New Roman"/>
          <w:szCs w:val="24"/>
        </w:rPr>
        <w:t>gut-brain inflammatory responses.</w:t>
      </w:r>
    </w:p>
    <w:p w14:paraId="634DDFB1" w14:textId="2933F005" w:rsidR="002C4781" w:rsidRDefault="00410D04" w:rsidP="00FB315A">
      <w:pPr>
        <w:pStyle w:val="BodyText"/>
        <w:spacing w:before="240" w:after="240"/>
        <w:jc w:val="both"/>
        <w:rPr>
          <w:rFonts w:ascii="Times New Roman" w:hAnsi="Times New Roman" w:cs="Times New Roman"/>
          <w:szCs w:val="24"/>
        </w:rPr>
      </w:pPr>
      <w:r w:rsidRPr="007E61D7">
        <w:rPr>
          <w:rFonts w:ascii="Times New Roman" w:hAnsi="Times New Roman" w:cs="Times New Roman"/>
          <w:b/>
          <w:szCs w:val="24"/>
        </w:rPr>
        <w:t>Keywords</w:t>
      </w:r>
      <w:r w:rsidR="00460CF0" w:rsidRPr="007E61D7">
        <w:rPr>
          <w:rFonts w:ascii="Times New Roman" w:hAnsi="Times New Roman" w:cs="Times New Roman"/>
          <w:szCs w:val="24"/>
        </w:rPr>
        <w:t xml:space="preserve">: </w:t>
      </w:r>
      <w:proofErr w:type="spellStart"/>
      <w:r w:rsidR="00460CF0" w:rsidRPr="007E61D7">
        <w:rPr>
          <w:rFonts w:ascii="Times New Roman" w:hAnsi="Times New Roman" w:cs="Times New Roman"/>
          <w:szCs w:val="24"/>
        </w:rPr>
        <w:t>Pentazocine</w:t>
      </w:r>
      <w:proofErr w:type="spellEnd"/>
      <w:r w:rsidR="00460CF0" w:rsidRPr="007E61D7">
        <w:rPr>
          <w:rFonts w:ascii="Times New Roman" w:hAnsi="Times New Roman" w:cs="Times New Roman"/>
          <w:szCs w:val="24"/>
        </w:rPr>
        <w:t>, Toxicity</w:t>
      </w:r>
      <w:r w:rsidRPr="007E61D7">
        <w:rPr>
          <w:rFonts w:ascii="Times New Roman" w:hAnsi="Times New Roman" w:cs="Times New Roman"/>
          <w:szCs w:val="24"/>
        </w:rPr>
        <w:t xml:space="preserve">, </w:t>
      </w:r>
      <w:r w:rsidR="00460CF0" w:rsidRPr="007E61D7">
        <w:rPr>
          <w:rFonts w:ascii="Times New Roman" w:hAnsi="Times New Roman" w:cs="Times New Roman"/>
          <w:szCs w:val="24"/>
        </w:rPr>
        <w:t xml:space="preserve">Intestines, </w:t>
      </w:r>
      <w:r w:rsidR="005B2F3C">
        <w:rPr>
          <w:rFonts w:ascii="Times New Roman" w:hAnsi="Times New Roman" w:cs="Times New Roman"/>
          <w:szCs w:val="24"/>
        </w:rPr>
        <w:t>superoxide dismutase (SOD)</w:t>
      </w:r>
      <w:bookmarkStart w:id="0" w:name="_GoBack"/>
      <w:bookmarkEnd w:id="0"/>
    </w:p>
    <w:p w14:paraId="41FF6BA4" w14:textId="2C98219A" w:rsidR="00600E0E" w:rsidRPr="007E61D7" w:rsidRDefault="00410D04" w:rsidP="00FB315A">
      <w:pPr>
        <w:pStyle w:val="BodyText"/>
        <w:spacing w:before="240" w:after="240"/>
        <w:jc w:val="both"/>
        <w:rPr>
          <w:rFonts w:ascii="Times New Roman" w:eastAsia="Arial" w:hAnsi="Times New Roman" w:cs="Times New Roman"/>
          <w:szCs w:val="24"/>
        </w:rPr>
      </w:pPr>
      <w:r w:rsidRPr="007E61D7">
        <w:rPr>
          <w:rFonts w:ascii="Times New Roman" w:eastAsia="Arial" w:hAnsi="Times New Roman" w:cs="Times New Roman"/>
          <w:b/>
          <w:szCs w:val="24"/>
        </w:rPr>
        <w:t>INTRODUCTION</w:t>
      </w:r>
    </w:p>
    <w:p w14:paraId="7ED14B84" w14:textId="6936A29E" w:rsidR="00600E0E" w:rsidRPr="003F076F" w:rsidRDefault="006B436A" w:rsidP="00FB315A">
      <w:pPr>
        <w:spacing w:after="240" w:line="240" w:lineRule="auto"/>
        <w:rPr>
          <w:rFonts w:cs="Times New Roman"/>
          <w:szCs w:val="24"/>
        </w:rPr>
      </w:pPr>
      <w:r w:rsidRPr="003F076F">
        <w:rPr>
          <w:rFonts w:cs="Times New Roman"/>
          <w:szCs w:val="24"/>
        </w:rPr>
        <w:t>Medical practitioners usually prescribe a class of drugs known as analgesics to treat and reduce different forms of pain</w:t>
      </w:r>
      <w:r w:rsidR="00947D4B" w:rsidRPr="003F076F">
        <w:rPr>
          <w:rFonts w:cs="Times New Roman"/>
          <w:szCs w:val="24"/>
        </w:rPr>
        <w:t xml:space="preserve"> (</w:t>
      </w:r>
      <w:proofErr w:type="spellStart"/>
      <w:r w:rsidR="00947D4B" w:rsidRPr="003F076F">
        <w:rPr>
          <w:rFonts w:cs="Times New Roman"/>
        </w:rPr>
        <w:t>Sarzi-Puttini</w:t>
      </w:r>
      <w:proofErr w:type="spellEnd"/>
      <w:r w:rsidR="00947D4B" w:rsidRPr="003F076F">
        <w:rPr>
          <w:rFonts w:cs="Times New Roman"/>
        </w:rPr>
        <w:t xml:space="preserve"> et al., 2012; </w:t>
      </w:r>
      <w:proofErr w:type="spellStart"/>
      <w:r w:rsidR="00947D4B" w:rsidRPr="003F076F">
        <w:rPr>
          <w:rFonts w:cs="Times New Roman"/>
        </w:rPr>
        <w:t>Manchikanti</w:t>
      </w:r>
      <w:proofErr w:type="spellEnd"/>
      <w:r w:rsidR="00947D4B" w:rsidRPr="003F076F">
        <w:rPr>
          <w:rFonts w:cs="Times New Roman"/>
        </w:rPr>
        <w:t xml:space="preserve"> et al., 2017</w:t>
      </w:r>
      <w:r w:rsidR="00947D4B" w:rsidRPr="003F076F">
        <w:rPr>
          <w:rFonts w:cs="Times New Roman"/>
          <w:szCs w:val="24"/>
        </w:rPr>
        <w:t>)</w:t>
      </w:r>
      <w:r w:rsidRPr="003F076F">
        <w:rPr>
          <w:rFonts w:cs="Times New Roman"/>
          <w:szCs w:val="24"/>
        </w:rPr>
        <w:t>. Through the activation of certain receptors in the central nervous system, these chemicals change how pain is perceived and start the healing process</w:t>
      </w:r>
      <w:r w:rsidR="00947D4B" w:rsidRPr="003F076F">
        <w:rPr>
          <w:rFonts w:cs="Times New Roman"/>
          <w:szCs w:val="24"/>
        </w:rPr>
        <w:t xml:space="preserve"> (</w:t>
      </w:r>
      <w:proofErr w:type="spellStart"/>
      <w:r w:rsidR="00947D4B" w:rsidRPr="003F076F">
        <w:rPr>
          <w:rFonts w:cs="Times New Roman"/>
        </w:rPr>
        <w:t>Uniyal</w:t>
      </w:r>
      <w:proofErr w:type="spellEnd"/>
      <w:r w:rsidR="00947D4B" w:rsidRPr="003F076F">
        <w:rPr>
          <w:rFonts w:cs="Times New Roman"/>
        </w:rPr>
        <w:t xml:space="preserve"> et al., 2020</w:t>
      </w:r>
      <w:r w:rsidR="00947D4B" w:rsidRPr="003F076F">
        <w:rPr>
          <w:rFonts w:cs="Times New Roman"/>
          <w:szCs w:val="24"/>
        </w:rPr>
        <w:t>)</w:t>
      </w:r>
      <w:r w:rsidRPr="003F076F">
        <w:rPr>
          <w:rFonts w:cs="Times New Roman"/>
          <w:szCs w:val="24"/>
        </w:rPr>
        <w:t>.</w:t>
      </w:r>
      <w:r w:rsidR="00410D04" w:rsidRPr="003F076F">
        <w:rPr>
          <w:rFonts w:cs="Times New Roman"/>
          <w:szCs w:val="24"/>
        </w:rPr>
        <w:t xml:space="preserve"> </w:t>
      </w:r>
      <w:r w:rsidR="00632800" w:rsidRPr="003F076F">
        <w:rPr>
          <w:rFonts w:cs="Times New Roman"/>
        </w:rPr>
        <w:t>Although, opioid analgesics aid in relieving pain by acting majorly in the nervous system, their peripheral action at the site of inflammation is crucial in some conditions like inflammatory bowel disease (IBD)</w:t>
      </w:r>
      <w:r w:rsidR="00947D4B" w:rsidRPr="003F076F">
        <w:rPr>
          <w:rFonts w:cs="Times New Roman"/>
        </w:rPr>
        <w:t xml:space="preserve"> (Philippe et al., 2006; </w:t>
      </w:r>
      <w:proofErr w:type="spellStart"/>
      <w:r w:rsidR="00893ACF" w:rsidRPr="003F076F">
        <w:rPr>
          <w:rFonts w:cs="Times New Roman"/>
        </w:rPr>
        <w:t>Niccum</w:t>
      </w:r>
      <w:proofErr w:type="spellEnd"/>
      <w:r w:rsidR="00893ACF" w:rsidRPr="003F076F">
        <w:rPr>
          <w:rFonts w:cs="Times New Roman"/>
        </w:rPr>
        <w:t xml:space="preserve"> et al., 2021; </w:t>
      </w:r>
      <w:r w:rsidR="00947D4B" w:rsidRPr="003F076F">
        <w:rPr>
          <w:rFonts w:cs="Times New Roman"/>
        </w:rPr>
        <w:t>Thomas et al., 2022)</w:t>
      </w:r>
      <w:r w:rsidR="00632800" w:rsidRPr="003F076F">
        <w:rPr>
          <w:rFonts w:cs="Times New Roman"/>
        </w:rPr>
        <w:t xml:space="preserve">. They exert these actions by binding to their </w:t>
      </w:r>
      <w:proofErr w:type="gramStart"/>
      <w:r w:rsidR="00632800" w:rsidRPr="003F076F">
        <w:rPr>
          <w:rFonts w:cs="Times New Roman"/>
        </w:rPr>
        <w:t>unique</w:t>
      </w:r>
      <w:proofErr w:type="gramEnd"/>
      <w:r w:rsidR="00632800" w:rsidRPr="003F076F">
        <w:rPr>
          <w:rFonts w:cs="Times New Roman"/>
        </w:rPr>
        <w:t xml:space="preserve"> receptors usually located on sensory nerve endings in the intestine that in turn, reduces the perception of pain by inhibiting the release of pro-inflammatory neurotransmitters</w:t>
      </w:r>
      <w:r w:rsidR="00947D4B" w:rsidRPr="003F076F">
        <w:rPr>
          <w:rFonts w:cs="Times New Roman"/>
        </w:rPr>
        <w:t xml:space="preserve"> (</w:t>
      </w:r>
      <w:proofErr w:type="spellStart"/>
      <w:r w:rsidR="00947D4B" w:rsidRPr="003F076F">
        <w:rPr>
          <w:rFonts w:cs="Times New Roman"/>
          <w:szCs w:val="24"/>
          <w:shd w:val="clear" w:color="auto" w:fill="FFFFFF"/>
        </w:rPr>
        <w:t>Sobczak</w:t>
      </w:r>
      <w:proofErr w:type="spellEnd"/>
      <w:r w:rsidR="00947D4B" w:rsidRPr="003F076F">
        <w:rPr>
          <w:rFonts w:cs="Times New Roman"/>
          <w:szCs w:val="24"/>
          <w:shd w:val="clear" w:color="auto" w:fill="FFFFFF"/>
        </w:rPr>
        <w:t xml:space="preserve"> et al., 2014</w:t>
      </w:r>
      <w:r w:rsidR="00947D4B" w:rsidRPr="003F076F">
        <w:rPr>
          <w:rFonts w:cs="Times New Roman"/>
        </w:rPr>
        <w:t>)</w:t>
      </w:r>
      <w:r w:rsidR="00632800" w:rsidRPr="003F076F">
        <w:rPr>
          <w:rFonts w:cs="Times New Roman"/>
        </w:rPr>
        <w:t xml:space="preserve">. </w:t>
      </w:r>
      <w:r w:rsidR="00A274D2" w:rsidRPr="003F076F">
        <w:rPr>
          <w:rFonts w:cs="Times New Roman"/>
        </w:rPr>
        <w:t xml:space="preserve">Already, certain </w:t>
      </w:r>
      <w:r w:rsidR="00A274D2" w:rsidRPr="003F076F">
        <w:rPr>
          <w:rFonts w:eastAsia="Times New Roman" w:cs="Times New Roman"/>
          <w:szCs w:val="24"/>
        </w:rPr>
        <w:t>opioids have been shown to increase the permeability of the intestinal barrier, thereby allowing substances to pass through that would normally be restricted, thereby causing a “leaky gut” (</w:t>
      </w:r>
      <w:r w:rsidR="00A274D2" w:rsidRPr="003F076F">
        <w:rPr>
          <w:rFonts w:cs="Times New Roman"/>
          <w:szCs w:val="24"/>
          <w:shd w:val="clear" w:color="auto" w:fill="FFFFFF"/>
        </w:rPr>
        <w:t>Rueda-</w:t>
      </w:r>
      <w:proofErr w:type="spellStart"/>
      <w:r w:rsidR="00A274D2" w:rsidRPr="003F076F">
        <w:rPr>
          <w:rFonts w:cs="Times New Roman"/>
          <w:szCs w:val="24"/>
          <w:shd w:val="clear" w:color="auto" w:fill="FFFFFF"/>
        </w:rPr>
        <w:t>Ruzafa</w:t>
      </w:r>
      <w:proofErr w:type="spellEnd"/>
      <w:r w:rsidR="00A274D2" w:rsidRPr="003F076F">
        <w:rPr>
          <w:rFonts w:cs="Times New Roman"/>
          <w:szCs w:val="24"/>
          <w:shd w:val="clear" w:color="auto" w:fill="FFFFFF"/>
        </w:rPr>
        <w:t xml:space="preserve"> et al., 2020; Thomas et al., 2022</w:t>
      </w:r>
      <w:r w:rsidR="00A274D2" w:rsidRPr="003F076F">
        <w:rPr>
          <w:rFonts w:eastAsia="Times New Roman" w:cs="Times New Roman"/>
          <w:szCs w:val="24"/>
        </w:rPr>
        <w:t>).</w:t>
      </w:r>
    </w:p>
    <w:p w14:paraId="4029AECB" w14:textId="77777777" w:rsidR="00632800" w:rsidRPr="003F076F" w:rsidRDefault="00FD33C5" w:rsidP="00FD33C5">
      <w:pPr>
        <w:spacing w:before="240" w:line="240" w:lineRule="auto"/>
        <w:rPr>
          <w:rFonts w:cs="Times New Roman"/>
        </w:rPr>
      </w:pPr>
      <w:proofErr w:type="spellStart"/>
      <w:r w:rsidRPr="003F076F">
        <w:rPr>
          <w:rFonts w:cs="Times New Roman"/>
        </w:rPr>
        <w:t>Pentazocine</w:t>
      </w:r>
      <w:proofErr w:type="spellEnd"/>
      <w:r w:rsidRPr="003F076F">
        <w:rPr>
          <w:rFonts w:cs="Times New Roman"/>
        </w:rPr>
        <w:t xml:space="preserve"> is a mixed agonist-antagonist opioid analgesic primarily used mostly among patients suffering from sickle-cell disease (SCD) for pain relief. It works as an agonist by binding to μ-opioid receptors, while also acting as an antagonist at by binding with κ-opioid receptors to cause an analgesic effect</w:t>
      </w:r>
      <w:r w:rsidR="007E61D7" w:rsidRPr="003F076F">
        <w:rPr>
          <w:rFonts w:cs="Times New Roman"/>
        </w:rPr>
        <w:t xml:space="preserve"> ((Mori et al., 2015; Cruz and Granados-Soto, 2022).)</w:t>
      </w:r>
      <w:r w:rsidRPr="003F076F">
        <w:rPr>
          <w:rFonts w:cs="Times New Roman"/>
        </w:rPr>
        <w:t xml:space="preserve">. The regular abuse of </w:t>
      </w:r>
      <w:r w:rsidR="007E61D7" w:rsidRPr="003F076F">
        <w:rPr>
          <w:rFonts w:cs="Times New Roman"/>
        </w:rPr>
        <w:t xml:space="preserve">common </w:t>
      </w:r>
      <w:r w:rsidRPr="003F076F">
        <w:rPr>
          <w:rFonts w:cs="Times New Roman"/>
        </w:rPr>
        <w:t>opioids</w:t>
      </w:r>
      <w:r w:rsidR="007E61D7" w:rsidRPr="003F076F">
        <w:rPr>
          <w:rFonts w:cs="Times New Roman"/>
        </w:rPr>
        <w:t xml:space="preserve"> </w:t>
      </w:r>
      <w:r w:rsidRPr="003F076F">
        <w:rPr>
          <w:rFonts w:cs="Times New Roman"/>
        </w:rPr>
        <w:t>is closely associated with various side effects that impact the gastrointestinal systems such as constipation, reduced gut motility, and potential mucosal damage</w:t>
      </w:r>
      <w:r w:rsidR="00975E2E" w:rsidRPr="003F076F">
        <w:rPr>
          <w:rFonts w:cs="Times New Roman"/>
        </w:rPr>
        <w:t xml:space="preserve"> </w:t>
      </w:r>
      <w:r w:rsidR="007E61D7" w:rsidRPr="003F076F">
        <w:rPr>
          <w:rFonts w:cs="Times New Roman"/>
        </w:rPr>
        <w:t xml:space="preserve">and these can cause gastrointestinal toxicity resulting in inflammation, ulceration, and damage to the mucosal </w:t>
      </w:r>
      <w:r w:rsidR="007E61D7" w:rsidRPr="003F076F">
        <w:rPr>
          <w:rFonts w:cs="Times New Roman"/>
        </w:rPr>
        <w:lastRenderedPageBreak/>
        <w:t xml:space="preserve">lining of the intestines. </w:t>
      </w:r>
      <w:r w:rsidR="00975E2E" w:rsidRPr="003F076F">
        <w:rPr>
          <w:rFonts w:cs="Times New Roman"/>
        </w:rPr>
        <w:t>(</w:t>
      </w:r>
      <w:r w:rsidR="00975E2E" w:rsidRPr="003F076F">
        <w:rPr>
          <w:rFonts w:cs="Times New Roman"/>
          <w:szCs w:val="24"/>
          <w:shd w:val="clear" w:color="auto" w:fill="FFFFFF"/>
        </w:rPr>
        <w:t xml:space="preserve">Ghosh et al., 2022; </w:t>
      </w:r>
      <w:proofErr w:type="spellStart"/>
      <w:r w:rsidR="00975E2E" w:rsidRPr="003F076F">
        <w:rPr>
          <w:rFonts w:cs="Times New Roman"/>
          <w:szCs w:val="24"/>
          <w:shd w:val="clear" w:color="auto" w:fill="FFFFFF"/>
        </w:rPr>
        <w:t>Jalodia</w:t>
      </w:r>
      <w:proofErr w:type="spellEnd"/>
      <w:r w:rsidR="00975E2E" w:rsidRPr="003F076F">
        <w:rPr>
          <w:rFonts w:cs="Times New Roman"/>
          <w:szCs w:val="24"/>
          <w:shd w:val="clear" w:color="auto" w:fill="FFFFFF"/>
        </w:rPr>
        <w:t xml:space="preserve"> et al., 2022</w:t>
      </w:r>
      <w:r w:rsidR="00975E2E" w:rsidRPr="003F076F">
        <w:rPr>
          <w:rFonts w:cs="Times New Roman"/>
        </w:rPr>
        <w:t>)</w:t>
      </w:r>
      <w:r w:rsidRPr="003F076F">
        <w:rPr>
          <w:rFonts w:cs="Times New Roman"/>
        </w:rPr>
        <w:t xml:space="preserve">. </w:t>
      </w:r>
      <w:r w:rsidR="007E61D7" w:rsidRPr="003F076F">
        <w:rPr>
          <w:rFonts w:cs="Times New Roman"/>
        </w:rPr>
        <w:t>Furthermore</w:t>
      </w:r>
      <w:r w:rsidRPr="003F076F">
        <w:rPr>
          <w:rFonts w:cs="Times New Roman"/>
        </w:rPr>
        <w:t>, opioid-induced inhibition of gastrointestinal motility caused by the activation of μ-opioid receptors could present certain complications in gut health</w:t>
      </w:r>
      <w:r w:rsidR="00975E2E" w:rsidRPr="003F076F">
        <w:rPr>
          <w:rFonts w:cs="Times New Roman"/>
        </w:rPr>
        <w:t xml:space="preserve"> </w:t>
      </w:r>
      <w:r w:rsidR="00975E2E" w:rsidRPr="003F076F">
        <w:rPr>
          <w:rFonts w:eastAsia="Times New Roman" w:cs="Times New Roman"/>
          <w:szCs w:val="24"/>
        </w:rPr>
        <w:t>(</w:t>
      </w:r>
      <w:proofErr w:type="spellStart"/>
      <w:r w:rsidR="00975E2E" w:rsidRPr="003F076F">
        <w:rPr>
          <w:rFonts w:cs="Times New Roman"/>
          <w:szCs w:val="24"/>
          <w:shd w:val="clear" w:color="auto" w:fill="FFFFFF"/>
        </w:rPr>
        <w:t>Sobczak</w:t>
      </w:r>
      <w:proofErr w:type="spellEnd"/>
      <w:r w:rsidR="00975E2E" w:rsidRPr="003F076F">
        <w:rPr>
          <w:rFonts w:cs="Times New Roman"/>
          <w:szCs w:val="24"/>
          <w:shd w:val="clear" w:color="auto" w:fill="FFFFFF"/>
        </w:rPr>
        <w:t xml:space="preserve"> et al., 2014; Rueda-</w:t>
      </w:r>
      <w:proofErr w:type="spellStart"/>
      <w:r w:rsidR="00975E2E" w:rsidRPr="003F076F">
        <w:rPr>
          <w:rFonts w:cs="Times New Roman"/>
          <w:szCs w:val="24"/>
          <w:shd w:val="clear" w:color="auto" w:fill="FFFFFF"/>
        </w:rPr>
        <w:t>Ruzafa</w:t>
      </w:r>
      <w:proofErr w:type="spellEnd"/>
      <w:r w:rsidR="00975E2E" w:rsidRPr="003F076F">
        <w:rPr>
          <w:rFonts w:cs="Times New Roman"/>
          <w:szCs w:val="24"/>
          <w:shd w:val="clear" w:color="auto" w:fill="FFFFFF"/>
        </w:rPr>
        <w:t xml:space="preserve"> et al., 2020</w:t>
      </w:r>
      <w:r w:rsidR="00975E2E" w:rsidRPr="003F076F">
        <w:rPr>
          <w:rFonts w:eastAsia="Times New Roman" w:cs="Times New Roman"/>
          <w:szCs w:val="24"/>
        </w:rPr>
        <w:t>)</w:t>
      </w:r>
      <w:r w:rsidRPr="003F076F">
        <w:rPr>
          <w:rFonts w:cs="Times New Roman"/>
        </w:rPr>
        <w:t xml:space="preserve">. </w:t>
      </w:r>
    </w:p>
    <w:p w14:paraId="5D1C9559" w14:textId="76111856" w:rsidR="00600E0E" w:rsidRPr="0054160E" w:rsidRDefault="00632800" w:rsidP="0054160E">
      <w:pPr>
        <w:spacing w:before="240" w:line="240" w:lineRule="auto"/>
        <w:rPr>
          <w:rFonts w:cs="Times New Roman"/>
        </w:rPr>
      </w:pPr>
      <w:r w:rsidRPr="003F076F">
        <w:rPr>
          <w:rFonts w:cs="Times New Roman"/>
          <w:szCs w:val="24"/>
        </w:rPr>
        <w:t xml:space="preserve">Despite </w:t>
      </w:r>
      <w:r w:rsidR="0054160E" w:rsidRPr="003F076F">
        <w:rPr>
          <w:rFonts w:cs="Times New Roman"/>
          <w:szCs w:val="24"/>
        </w:rPr>
        <w:t>some</w:t>
      </w:r>
      <w:r w:rsidRPr="003F076F">
        <w:rPr>
          <w:rFonts w:cs="Times New Roman"/>
          <w:szCs w:val="24"/>
        </w:rPr>
        <w:t xml:space="preserve"> literature that has been reported on the toxic effects of </w:t>
      </w:r>
      <w:proofErr w:type="spellStart"/>
      <w:r w:rsidRPr="003F076F">
        <w:rPr>
          <w:rFonts w:cs="Times New Roman"/>
          <w:szCs w:val="24"/>
        </w:rPr>
        <w:t>pentazocine</w:t>
      </w:r>
      <w:proofErr w:type="spellEnd"/>
      <w:r w:rsidRPr="003F076F">
        <w:rPr>
          <w:rFonts w:cs="Times New Roman"/>
          <w:szCs w:val="24"/>
        </w:rPr>
        <w:t xml:space="preserve"> in selected organ systems such as cardiovascular and nervous systems (Hart and </w:t>
      </w:r>
      <w:proofErr w:type="spellStart"/>
      <w:r w:rsidRPr="003F076F">
        <w:rPr>
          <w:rFonts w:cs="Times New Roman"/>
          <w:szCs w:val="24"/>
        </w:rPr>
        <w:t>Adheke</w:t>
      </w:r>
      <w:proofErr w:type="spellEnd"/>
      <w:r w:rsidRPr="003F076F">
        <w:rPr>
          <w:rFonts w:cs="Times New Roman"/>
          <w:szCs w:val="24"/>
        </w:rPr>
        <w:t xml:space="preserve">, 2024 &amp; 2025), there remains the </w:t>
      </w:r>
      <w:r w:rsidRPr="003F076F">
        <w:rPr>
          <w:rFonts w:cs="Times New Roman"/>
        </w:rPr>
        <w:t xml:space="preserve">knowledge gap regarding the specific impacts of </w:t>
      </w:r>
      <w:proofErr w:type="spellStart"/>
      <w:r w:rsidRPr="003F076F">
        <w:rPr>
          <w:rFonts w:cs="Times New Roman"/>
        </w:rPr>
        <w:t>pentazocine</w:t>
      </w:r>
      <w:proofErr w:type="spellEnd"/>
      <w:r w:rsidRPr="003F076F">
        <w:rPr>
          <w:rFonts w:cs="Times New Roman"/>
        </w:rPr>
        <w:t xml:space="preserve"> on intestinal health. </w:t>
      </w:r>
      <w:r w:rsidR="00893ACF" w:rsidRPr="003F076F">
        <w:rPr>
          <w:rFonts w:cs="Times New Roman"/>
        </w:rPr>
        <w:t>However, p</w:t>
      </w:r>
      <w:r w:rsidR="00FD33C5" w:rsidRPr="003F076F">
        <w:rPr>
          <w:rFonts w:cs="Times New Roman"/>
        </w:rPr>
        <w:t xml:space="preserve">reviously reported literature </w:t>
      </w:r>
      <w:r w:rsidR="00893ACF" w:rsidRPr="003F076F">
        <w:rPr>
          <w:rFonts w:cs="Times New Roman"/>
        </w:rPr>
        <w:t>has</w:t>
      </w:r>
      <w:r w:rsidR="00FD33C5" w:rsidRPr="003F076F">
        <w:rPr>
          <w:rFonts w:cs="Times New Roman"/>
        </w:rPr>
        <w:t xml:space="preserve"> clearly shown that </w:t>
      </w:r>
      <w:r w:rsidR="0054160E" w:rsidRPr="003F076F">
        <w:rPr>
          <w:rFonts w:cs="Times New Roman"/>
        </w:rPr>
        <w:t>both long- and short-term uses of certain analgesics such as non-steroid anti-inflammatory drugs (NSAIDS) can develop inflammatory processes, stenosis, and ulcers (non- or perforated) in the small intestine or colon</w:t>
      </w:r>
      <w:r w:rsidR="00947D4B" w:rsidRPr="003F076F">
        <w:rPr>
          <w:rFonts w:cs="Times New Roman"/>
        </w:rPr>
        <w:t xml:space="preserve"> (</w:t>
      </w:r>
      <w:proofErr w:type="spellStart"/>
      <w:r w:rsidR="00947D4B" w:rsidRPr="003F076F">
        <w:rPr>
          <w:rFonts w:cs="Times New Roman"/>
        </w:rPr>
        <w:t>Gonçalves</w:t>
      </w:r>
      <w:proofErr w:type="spellEnd"/>
      <w:r w:rsidR="00947D4B" w:rsidRPr="003F076F">
        <w:rPr>
          <w:rFonts w:cs="Times New Roman"/>
        </w:rPr>
        <w:t xml:space="preserve"> Junior et al., 2012; </w:t>
      </w:r>
      <w:proofErr w:type="spellStart"/>
      <w:r w:rsidR="00947D4B" w:rsidRPr="003F076F">
        <w:rPr>
          <w:rFonts w:cs="Times New Roman"/>
        </w:rPr>
        <w:t>Boelsterli</w:t>
      </w:r>
      <w:proofErr w:type="spellEnd"/>
      <w:r w:rsidR="00947D4B" w:rsidRPr="003F076F">
        <w:rPr>
          <w:rFonts w:cs="Times New Roman"/>
        </w:rPr>
        <w:t xml:space="preserve"> et al., 2013; </w:t>
      </w:r>
      <w:proofErr w:type="spellStart"/>
      <w:r w:rsidR="00947D4B" w:rsidRPr="003F076F">
        <w:rPr>
          <w:rFonts w:cs="Times New Roman"/>
        </w:rPr>
        <w:t>Bjarnason</w:t>
      </w:r>
      <w:proofErr w:type="spellEnd"/>
      <w:r w:rsidR="00947D4B" w:rsidRPr="003F076F">
        <w:rPr>
          <w:rFonts w:cs="Times New Roman"/>
        </w:rPr>
        <w:t xml:space="preserve"> et al., 2018)</w:t>
      </w:r>
      <w:r w:rsidR="0054160E" w:rsidRPr="003F076F">
        <w:rPr>
          <w:rFonts w:cs="Times New Roman"/>
        </w:rPr>
        <w:t xml:space="preserve">. </w:t>
      </w:r>
      <w:r w:rsidR="0054160E" w:rsidRPr="003F076F">
        <w:rPr>
          <w:rFonts w:cs="Times New Roman"/>
          <w:szCs w:val="24"/>
        </w:rPr>
        <w:t xml:space="preserve">The purpose of this study was to examine both the biochemical and histological effects of </w:t>
      </w:r>
      <w:proofErr w:type="spellStart"/>
      <w:r w:rsidR="0054160E" w:rsidRPr="003F076F">
        <w:rPr>
          <w:rFonts w:cs="Times New Roman"/>
          <w:szCs w:val="24"/>
        </w:rPr>
        <w:t>pentazocine</w:t>
      </w:r>
      <w:proofErr w:type="spellEnd"/>
      <w:r w:rsidR="0054160E" w:rsidRPr="003F076F">
        <w:rPr>
          <w:rFonts w:cs="Times New Roman"/>
          <w:szCs w:val="24"/>
        </w:rPr>
        <w:t xml:space="preserve"> administration on the intestines of </w:t>
      </w:r>
      <w:proofErr w:type="spellStart"/>
      <w:r w:rsidR="0054160E" w:rsidRPr="003F076F">
        <w:rPr>
          <w:rFonts w:cs="Times New Roman"/>
          <w:szCs w:val="24"/>
        </w:rPr>
        <w:t>Wistar</w:t>
      </w:r>
      <w:proofErr w:type="spellEnd"/>
      <w:r w:rsidR="0054160E" w:rsidRPr="003F076F">
        <w:rPr>
          <w:rFonts w:cs="Times New Roman"/>
          <w:szCs w:val="24"/>
        </w:rPr>
        <w:t xml:space="preserve"> rats. </w:t>
      </w:r>
      <w:r w:rsidRPr="003F076F">
        <w:rPr>
          <w:rFonts w:cs="Times New Roman"/>
          <w:szCs w:val="24"/>
        </w:rPr>
        <w:t xml:space="preserve">This study </w:t>
      </w:r>
      <w:r w:rsidR="0054160E" w:rsidRPr="003F076F">
        <w:rPr>
          <w:rFonts w:cs="Times New Roman"/>
          <w:szCs w:val="24"/>
        </w:rPr>
        <w:t xml:space="preserve">is highly relevant as it </w:t>
      </w:r>
      <w:r w:rsidRPr="003F076F">
        <w:rPr>
          <w:rFonts w:cs="Times New Roman"/>
          <w:szCs w:val="24"/>
        </w:rPr>
        <w:t>broaden</w:t>
      </w:r>
      <w:r w:rsidR="0054160E" w:rsidRPr="003F076F">
        <w:rPr>
          <w:rFonts w:cs="Times New Roman"/>
          <w:szCs w:val="24"/>
        </w:rPr>
        <w:t>s</w:t>
      </w:r>
      <w:r w:rsidRPr="003F076F">
        <w:rPr>
          <w:rFonts w:cs="Times New Roman"/>
          <w:szCs w:val="24"/>
        </w:rPr>
        <w:t xml:space="preserve"> the scope of the pathophysiology of gut-brain axis by providing a novel </w:t>
      </w:r>
      <w:r w:rsidR="00410D04" w:rsidRPr="003F076F">
        <w:rPr>
          <w:rFonts w:cs="Times New Roman"/>
          <w:szCs w:val="24"/>
        </w:rPr>
        <w:t xml:space="preserve">understanding of </w:t>
      </w:r>
      <w:r w:rsidRPr="003F076F">
        <w:rPr>
          <w:rFonts w:cs="Times New Roman"/>
          <w:szCs w:val="24"/>
        </w:rPr>
        <w:t>the</w:t>
      </w:r>
      <w:r w:rsidR="00410D04" w:rsidRPr="003F076F">
        <w:rPr>
          <w:rFonts w:cs="Times New Roman"/>
          <w:szCs w:val="24"/>
        </w:rPr>
        <w:t xml:space="preserve"> </w:t>
      </w:r>
      <w:r w:rsidRPr="003F076F">
        <w:rPr>
          <w:rFonts w:cs="Times New Roman"/>
          <w:szCs w:val="24"/>
        </w:rPr>
        <w:t xml:space="preserve">mechanism of action of </w:t>
      </w:r>
      <w:proofErr w:type="spellStart"/>
      <w:r w:rsidRPr="003F076F">
        <w:rPr>
          <w:rFonts w:cs="Times New Roman"/>
          <w:szCs w:val="24"/>
        </w:rPr>
        <w:t>pentazocine</w:t>
      </w:r>
      <w:proofErr w:type="spellEnd"/>
      <w:r w:rsidRPr="003F076F">
        <w:rPr>
          <w:rFonts w:cs="Times New Roman"/>
          <w:szCs w:val="24"/>
        </w:rPr>
        <w:t xml:space="preserve"> </w:t>
      </w:r>
      <w:r w:rsidR="0054160E" w:rsidRPr="003F076F">
        <w:rPr>
          <w:rFonts w:cs="Times New Roman"/>
          <w:szCs w:val="24"/>
        </w:rPr>
        <w:t>on</w:t>
      </w:r>
      <w:r w:rsidRPr="003F076F">
        <w:rPr>
          <w:rFonts w:cs="Times New Roman"/>
          <w:szCs w:val="24"/>
        </w:rPr>
        <w:t xml:space="preserve"> the sensory nerve endings of the intestine</w:t>
      </w:r>
      <w:r w:rsidR="00410D04" w:rsidRPr="003F076F">
        <w:rPr>
          <w:rFonts w:cs="Times New Roman"/>
          <w:szCs w:val="24"/>
        </w:rPr>
        <w:t>.</w:t>
      </w:r>
      <w:r w:rsidR="00410D04" w:rsidRPr="007E61D7">
        <w:rPr>
          <w:rFonts w:cs="Times New Roman"/>
          <w:szCs w:val="24"/>
        </w:rPr>
        <w:t xml:space="preserve"> </w:t>
      </w:r>
    </w:p>
    <w:p w14:paraId="2C9A4F00" w14:textId="77777777" w:rsidR="00CD16F2" w:rsidRPr="007E61D7" w:rsidRDefault="00410D04" w:rsidP="00FB315A">
      <w:pPr>
        <w:spacing w:before="240" w:after="240" w:line="240" w:lineRule="auto"/>
        <w:rPr>
          <w:rFonts w:eastAsia="Times New Roman" w:cs="Times New Roman"/>
          <w:b/>
          <w:szCs w:val="24"/>
        </w:rPr>
      </w:pPr>
      <w:r w:rsidRPr="007E61D7">
        <w:rPr>
          <w:rFonts w:eastAsia="Times New Roman" w:cs="Times New Roman"/>
          <w:b/>
          <w:szCs w:val="24"/>
        </w:rPr>
        <w:t>MATERIALS AND METHODS</w:t>
      </w:r>
    </w:p>
    <w:p w14:paraId="36D57A68" w14:textId="77777777" w:rsidR="00CD16F2" w:rsidRPr="007E61D7" w:rsidRDefault="00410D04" w:rsidP="00FB315A">
      <w:pPr>
        <w:spacing w:before="240" w:after="240" w:line="240" w:lineRule="auto"/>
        <w:rPr>
          <w:rFonts w:eastAsia="Times New Roman" w:cs="Times New Roman"/>
          <w:b/>
          <w:szCs w:val="24"/>
        </w:rPr>
      </w:pPr>
      <w:r w:rsidRPr="007E61D7">
        <w:rPr>
          <w:rFonts w:eastAsia="Times New Roman" w:cs="Times New Roman"/>
          <w:b/>
          <w:szCs w:val="24"/>
        </w:rPr>
        <w:t>Drugs and Chemicals</w:t>
      </w:r>
    </w:p>
    <w:p w14:paraId="36C5C598" w14:textId="77777777" w:rsidR="00CD16F2" w:rsidRPr="007E61D7" w:rsidRDefault="00410D04" w:rsidP="00FB315A">
      <w:pPr>
        <w:spacing w:before="240" w:after="240" w:line="240" w:lineRule="auto"/>
        <w:rPr>
          <w:rFonts w:eastAsia="Times New Roman" w:cs="Times New Roman"/>
          <w:szCs w:val="24"/>
        </w:rPr>
      </w:pPr>
      <w:r w:rsidRPr="007E61D7">
        <w:rPr>
          <w:rFonts w:eastAsia="Times New Roman" w:cs="Times New Roman"/>
          <w:szCs w:val="24"/>
        </w:rPr>
        <w:t xml:space="preserve">Injections of </w:t>
      </w:r>
      <w:proofErr w:type="spellStart"/>
      <w:r w:rsidRPr="007E61D7">
        <w:rPr>
          <w:rFonts w:eastAsia="Times New Roman" w:cs="Times New Roman"/>
          <w:szCs w:val="24"/>
        </w:rPr>
        <w:t>pentazocine</w:t>
      </w:r>
      <w:proofErr w:type="spellEnd"/>
      <w:r w:rsidRPr="007E61D7">
        <w:rPr>
          <w:rFonts w:eastAsia="Times New Roman" w:cs="Times New Roman"/>
          <w:szCs w:val="24"/>
        </w:rPr>
        <w:t xml:space="preserve"> (PZ) (marketed as Pentabeta-30) were obtained from </w:t>
      </w:r>
      <w:proofErr w:type="spellStart"/>
      <w:r w:rsidRPr="007E61D7">
        <w:rPr>
          <w:rFonts w:eastAsia="Times New Roman" w:cs="Times New Roman"/>
          <w:szCs w:val="24"/>
        </w:rPr>
        <w:t>Dooka</w:t>
      </w:r>
      <w:proofErr w:type="spellEnd"/>
      <w:r w:rsidRPr="007E61D7">
        <w:rPr>
          <w:rFonts w:eastAsia="Times New Roman" w:cs="Times New Roman"/>
          <w:szCs w:val="24"/>
        </w:rPr>
        <w:t xml:space="preserve"> Pharmacy, Port-Harcourt. The drug was dissolved in normal saline (0.9% </w:t>
      </w:r>
      <w:proofErr w:type="spellStart"/>
      <w:r w:rsidRPr="007E61D7">
        <w:rPr>
          <w:rFonts w:eastAsia="Times New Roman" w:cs="Times New Roman"/>
          <w:szCs w:val="24"/>
        </w:rPr>
        <w:t>NaCl</w:t>
      </w:r>
      <w:proofErr w:type="spellEnd"/>
      <w:r w:rsidRPr="007E61D7">
        <w:rPr>
          <w:rFonts w:eastAsia="Times New Roman" w:cs="Times New Roman"/>
          <w:szCs w:val="24"/>
        </w:rPr>
        <w:t xml:space="preserve">) and administered to the experimental animals (albino rats) </w:t>
      </w:r>
      <w:r w:rsidR="00BC6988" w:rsidRPr="007E61D7">
        <w:rPr>
          <w:rFonts w:eastAsia="Times New Roman" w:cs="Times New Roman"/>
          <w:szCs w:val="24"/>
        </w:rPr>
        <w:t>intramuscularly</w:t>
      </w:r>
      <w:r w:rsidRPr="007E61D7">
        <w:rPr>
          <w:rFonts w:eastAsia="Times New Roman" w:cs="Times New Roman"/>
          <w:szCs w:val="24"/>
        </w:rPr>
        <w:t xml:space="preserve">. Normal saline served as a placebo drug. </w:t>
      </w:r>
    </w:p>
    <w:p w14:paraId="5C3A1B94" w14:textId="77777777" w:rsidR="00CD16F2" w:rsidRPr="007E61D7" w:rsidRDefault="00410D04" w:rsidP="00FB315A">
      <w:pPr>
        <w:spacing w:before="240" w:after="240" w:line="240" w:lineRule="auto"/>
        <w:rPr>
          <w:rFonts w:eastAsia="Times New Roman" w:cs="Times New Roman"/>
          <w:b/>
          <w:szCs w:val="24"/>
        </w:rPr>
      </w:pPr>
      <w:r w:rsidRPr="007E61D7">
        <w:rPr>
          <w:rFonts w:eastAsia="Times New Roman" w:cs="Times New Roman"/>
          <w:b/>
          <w:szCs w:val="24"/>
        </w:rPr>
        <w:t>Animals and Animal Handling</w:t>
      </w:r>
    </w:p>
    <w:p w14:paraId="3C40E1EB" w14:textId="44A6C063" w:rsidR="00600E0E" w:rsidRPr="007E61D7" w:rsidRDefault="00410D04" w:rsidP="00FB315A">
      <w:pPr>
        <w:spacing w:after="240" w:line="240" w:lineRule="auto"/>
        <w:rPr>
          <w:rFonts w:cs="Times New Roman"/>
          <w:szCs w:val="24"/>
        </w:rPr>
      </w:pPr>
      <w:r w:rsidRPr="007E61D7">
        <w:rPr>
          <w:rFonts w:cs="Times New Roman"/>
          <w:szCs w:val="24"/>
        </w:rPr>
        <w:t xml:space="preserve">The current study used a randomized controlled trial (RCT) research methodology. The experimental rat sample size was determined by using the resource equation technique, utilizing degrees of freedom (E) as specified in the procedures defined by </w:t>
      </w:r>
      <w:proofErr w:type="spellStart"/>
      <w:r w:rsidRPr="007E61D7">
        <w:rPr>
          <w:rFonts w:cs="Times New Roman"/>
          <w:szCs w:val="24"/>
        </w:rPr>
        <w:t>Festing</w:t>
      </w:r>
      <w:proofErr w:type="spellEnd"/>
      <w:r w:rsidRPr="007E61D7">
        <w:rPr>
          <w:rFonts w:cs="Times New Roman"/>
          <w:szCs w:val="24"/>
        </w:rPr>
        <w:t xml:space="preserve"> et al. (22). The study included four groups, each consisting of seven rats, denoted as </w:t>
      </w:r>
      <w:r w:rsidR="00BC6988" w:rsidRPr="007E61D7">
        <w:rPr>
          <w:rFonts w:cs="Times New Roman"/>
          <w:szCs w:val="24"/>
        </w:rPr>
        <w:t>“</w:t>
      </w:r>
      <w:r w:rsidRPr="007E61D7">
        <w:rPr>
          <w:rFonts w:cs="Times New Roman"/>
          <w:szCs w:val="24"/>
        </w:rPr>
        <w:t>k</w:t>
      </w:r>
      <w:r w:rsidR="00BC6988" w:rsidRPr="007E61D7">
        <w:rPr>
          <w:rFonts w:cs="Times New Roman"/>
          <w:szCs w:val="24"/>
        </w:rPr>
        <w:t>”</w:t>
      </w:r>
      <w:r w:rsidRPr="007E61D7">
        <w:rPr>
          <w:rFonts w:cs="Times New Roman"/>
          <w:szCs w:val="24"/>
        </w:rPr>
        <w:t xml:space="preserve">. Hence, the mathematical representation for E was derived as </w:t>
      </w:r>
      <w:proofErr w:type="spellStart"/>
      <w:r w:rsidRPr="007E61D7">
        <w:rPr>
          <w:rFonts w:cs="Times New Roman"/>
          <w:szCs w:val="24"/>
        </w:rPr>
        <w:t>kn</w:t>
      </w:r>
      <w:proofErr w:type="spellEnd"/>
      <w:r w:rsidRPr="007E61D7">
        <w:rPr>
          <w:rFonts w:cs="Times New Roman"/>
          <w:szCs w:val="24"/>
        </w:rPr>
        <w:t xml:space="preserve">-k = (28-4) = 24. Given that the value of E is more than 20, it was considered sufficient to use seven (7) rats per group to determine the ideal sample size. After receiving authorization, a cohort of twenty-eight (28) albino </w:t>
      </w:r>
      <w:proofErr w:type="spellStart"/>
      <w:r w:rsidRPr="007E61D7">
        <w:rPr>
          <w:rFonts w:cs="Times New Roman"/>
          <w:szCs w:val="24"/>
        </w:rPr>
        <w:t>Wistar</w:t>
      </w:r>
      <w:proofErr w:type="spellEnd"/>
      <w:r w:rsidRPr="007E61D7">
        <w:rPr>
          <w:rFonts w:cs="Times New Roman"/>
          <w:szCs w:val="24"/>
        </w:rPr>
        <w:t xml:space="preserve"> rats</w:t>
      </w:r>
      <w:r w:rsidR="00E62E2A">
        <w:rPr>
          <w:rFonts w:cs="Times New Roman"/>
          <w:szCs w:val="24"/>
        </w:rPr>
        <w:t xml:space="preserve"> </w:t>
      </w:r>
      <w:r w:rsidR="00E62E2A" w:rsidRPr="00E62E2A">
        <w:rPr>
          <w:rFonts w:cs="Times New Roman"/>
          <w:szCs w:val="24"/>
          <w:highlight w:val="yellow"/>
        </w:rPr>
        <w:t>(mean weight of 120g)</w:t>
      </w:r>
      <w:r w:rsidRPr="00E62E2A">
        <w:rPr>
          <w:rFonts w:cs="Times New Roman"/>
          <w:szCs w:val="24"/>
          <w:highlight w:val="yellow"/>
        </w:rPr>
        <w:t>,</w:t>
      </w:r>
      <w:r w:rsidRPr="007E61D7">
        <w:rPr>
          <w:rFonts w:cs="Times New Roman"/>
          <w:szCs w:val="24"/>
        </w:rPr>
        <w:t xml:space="preserve"> were used as experimental animal models. The animals were then accommodated at the Zoo-research Laboratory of Basic Medical Sciences, situated at the University of Port-Harcourt. All the animals were separately housed in four wooden cages, each particularly built to fit seven creatures. </w:t>
      </w:r>
      <w:r w:rsidR="007A3B3A" w:rsidRPr="007E61D7">
        <w:rPr>
          <w:rFonts w:eastAsia="Times New Roman" w:cs="Times New Roman"/>
          <w:szCs w:val="24"/>
        </w:rPr>
        <w:t xml:space="preserve">In line with the regulations for the protection of animals used in scientific procedures in the Directive 2010/63/EU, proper handling of cages was done and the conditions under which animals are kept were favorable throughout the research process. Cages should be designed to provide adequate space, comfort, and enrichment for the animals. </w:t>
      </w:r>
      <w:r w:rsidRPr="007E61D7">
        <w:rPr>
          <w:rFonts w:cs="Times New Roman"/>
          <w:szCs w:val="24"/>
        </w:rPr>
        <w:t xml:space="preserve">To maintain thermal equilibrium, the temperature of the surroundings was consistently regulated at roughly 25°C, while the daily relative humidity fluctuated between 40% and 48%. </w:t>
      </w:r>
      <w:r w:rsidR="007A3B3A" w:rsidRPr="007E61D7">
        <w:rPr>
          <w:rFonts w:cs="Times New Roman"/>
          <w:szCs w:val="24"/>
        </w:rPr>
        <w:t>T</w:t>
      </w:r>
      <w:r w:rsidR="007A3B3A" w:rsidRPr="007E61D7">
        <w:rPr>
          <w:rFonts w:eastAsia="Times New Roman" w:cs="Times New Roman"/>
          <w:szCs w:val="24"/>
        </w:rPr>
        <w:t xml:space="preserve">rained personnel were responsible for the handling of animals and the maintenance of their cages. </w:t>
      </w:r>
      <w:r w:rsidRPr="007E61D7">
        <w:rPr>
          <w:rFonts w:cs="Times New Roman"/>
          <w:szCs w:val="24"/>
        </w:rPr>
        <w:t xml:space="preserve">The animals had 2 weeks of physiological adaption before the trial began. Furthermore, apart from their usual meals, they were mandated to be provided with unlimited amounts of water for consumption. It is essential that the management techniques and procedures for experimental animals strictly comply with the criteria established by the Animal Use and Care Committee of the National Veterinary Research Institute in </w:t>
      </w:r>
      <w:proofErr w:type="spellStart"/>
      <w:r w:rsidRPr="007E61D7">
        <w:rPr>
          <w:rFonts w:cs="Times New Roman"/>
          <w:szCs w:val="24"/>
        </w:rPr>
        <w:t>Vom</w:t>
      </w:r>
      <w:proofErr w:type="spellEnd"/>
      <w:r w:rsidRPr="007E61D7">
        <w:rPr>
          <w:rFonts w:cs="Times New Roman"/>
          <w:szCs w:val="24"/>
        </w:rPr>
        <w:t xml:space="preserve">, Nigeria. Authorization has been granted by the University </w:t>
      </w:r>
      <w:r w:rsidRPr="007E61D7">
        <w:rPr>
          <w:rFonts w:cs="Times New Roman"/>
          <w:szCs w:val="24"/>
        </w:rPr>
        <w:lastRenderedPageBreak/>
        <w:t>of Port Harcourt's Research Ethics Committee, under reference number UPH/CEREMAD/REC/MM95/023.</w:t>
      </w:r>
    </w:p>
    <w:p w14:paraId="2027D674" w14:textId="77777777" w:rsidR="00CD16F2" w:rsidRPr="007E61D7" w:rsidRDefault="00410D04" w:rsidP="00FB315A">
      <w:pPr>
        <w:spacing w:before="240" w:after="240" w:line="240" w:lineRule="auto"/>
        <w:rPr>
          <w:rFonts w:cs="Times New Roman"/>
          <w:b/>
          <w:szCs w:val="24"/>
        </w:rPr>
      </w:pPr>
      <w:r w:rsidRPr="007E61D7">
        <w:rPr>
          <w:rFonts w:cs="Times New Roman"/>
          <w:b/>
          <w:szCs w:val="24"/>
        </w:rPr>
        <w:t>Experimental Model and Drug Treatment</w:t>
      </w:r>
    </w:p>
    <w:p w14:paraId="335AF110" w14:textId="7460DC07" w:rsidR="00600E0E" w:rsidRPr="007E61D7" w:rsidRDefault="00410D04" w:rsidP="00FB315A">
      <w:pPr>
        <w:spacing w:after="240" w:line="240" w:lineRule="auto"/>
        <w:rPr>
          <w:rFonts w:cs="Times New Roman"/>
          <w:szCs w:val="24"/>
        </w:rPr>
      </w:pPr>
      <w:r w:rsidRPr="00E62E2A">
        <w:rPr>
          <w:rFonts w:cs="Times New Roman"/>
          <w:szCs w:val="24"/>
          <w:highlight w:val="yellow"/>
        </w:rPr>
        <w:t xml:space="preserve">In </w:t>
      </w:r>
      <w:r w:rsidR="00E62E2A" w:rsidRPr="00E62E2A">
        <w:rPr>
          <w:rFonts w:cs="Times New Roman"/>
          <w:szCs w:val="24"/>
          <w:highlight w:val="yellow"/>
        </w:rPr>
        <w:t>line with the</w:t>
      </w:r>
      <w:r w:rsidRPr="00E62E2A">
        <w:rPr>
          <w:rFonts w:cs="Times New Roman"/>
          <w:szCs w:val="24"/>
          <w:highlight w:val="yellow"/>
        </w:rPr>
        <w:t xml:space="preserve"> study conducted by Hart and </w:t>
      </w:r>
      <w:proofErr w:type="spellStart"/>
      <w:r w:rsidRPr="00E62E2A">
        <w:rPr>
          <w:rFonts w:cs="Times New Roman"/>
          <w:szCs w:val="24"/>
          <w:highlight w:val="yellow"/>
        </w:rPr>
        <w:t>Adheke</w:t>
      </w:r>
      <w:proofErr w:type="spellEnd"/>
      <w:r w:rsidRPr="00E62E2A">
        <w:rPr>
          <w:rFonts w:cs="Times New Roman"/>
          <w:szCs w:val="24"/>
          <w:highlight w:val="yellow"/>
        </w:rPr>
        <w:t xml:space="preserve"> (2024), </w:t>
      </w:r>
      <w:r w:rsidR="00E62E2A" w:rsidRPr="00E62E2A">
        <w:rPr>
          <w:rFonts w:cs="Times New Roman"/>
          <w:szCs w:val="24"/>
          <w:highlight w:val="yellow"/>
        </w:rPr>
        <w:t>rats</w:t>
      </w:r>
      <w:r w:rsidRPr="00E62E2A">
        <w:rPr>
          <w:rFonts w:cs="Times New Roman"/>
          <w:szCs w:val="24"/>
          <w:highlight w:val="yellow"/>
        </w:rPr>
        <w:t xml:space="preserve"> were randomly allocated to four groups.</w:t>
      </w:r>
      <w:r w:rsidRPr="007E61D7">
        <w:rPr>
          <w:rFonts w:cs="Times New Roman"/>
          <w:szCs w:val="24"/>
        </w:rPr>
        <w:t xml:space="preserve"> One cohort was assigned as the control group and administered a 1 ml dosage of a normal saline solution containing 0.9% sodium chloride concentrate. Over 14 days, </w:t>
      </w:r>
      <w:proofErr w:type="spellStart"/>
      <w:r w:rsidRPr="007E61D7">
        <w:rPr>
          <w:rFonts w:cs="Times New Roman"/>
          <w:szCs w:val="24"/>
        </w:rPr>
        <w:t>pentazocine</w:t>
      </w:r>
      <w:proofErr w:type="spellEnd"/>
      <w:r w:rsidRPr="007E61D7">
        <w:rPr>
          <w:rFonts w:cs="Times New Roman"/>
          <w:szCs w:val="24"/>
        </w:rPr>
        <w:t xml:space="preserve"> was delivered intramuscularly to treatment groups 2, 3, and 4 at dosages of 30 mg/kg (0.1ml PZ), 60 mg/kg (0.25ml PZ), and 90 mg/kg (0.4ml PZ) accordingly. </w:t>
      </w:r>
    </w:p>
    <w:p w14:paraId="42DED33F" w14:textId="77777777" w:rsidR="007D4A1A" w:rsidRPr="007E61D7" w:rsidRDefault="00410D04" w:rsidP="00FB315A">
      <w:pPr>
        <w:spacing w:before="240" w:after="240" w:line="240" w:lineRule="auto"/>
        <w:rPr>
          <w:rFonts w:cs="Times New Roman"/>
          <w:szCs w:val="24"/>
        </w:rPr>
      </w:pPr>
      <w:r w:rsidRPr="007E61D7">
        <w:rPr>
          <w:rFonts w:cs="Times New Roman"/>
          <w:szCs w:val="24"/>
        </w:rPr>
        <w:t>The low dose was measured for group 2 using the formulae of calculating dose volume from 30 mg/ml;</w:t>
      </w:r>
    </w:p>
    <w:p w14:paraId="795AE8F5" w14:textId="77777777" w:rsidR="007D4A1A" w:rsidRPr="007E61D7" w:rsidRDefault="00410D04" w:rsidP="00FB315A">
      <w:pPr>
        <w:spacing w:before="240" w:after="240" w:line="240" w:lineRule="auto"/>
        <w:rPr>
          <w:rFonts w:eastAsiaTheme="minorEastAsia" w:cs="Times New Roman"/>
          <w:szCs w:val="24"/>
        </w:rPr>
      </w:pPr>
      <w:r w:rsidRPr="007E61D7">
        <w:rPr>
          <w:rFonts w:cs="Times New Roman"/>
          <w:szCs w:val="24"/>
        </w:rPr>
        <w:t xml:space="preserve">Dosage (mg) = </w:t>
      </w:r>
      <m:oMath>
        <m:f>
          <m:fPr>
            <m:ctrlPr>
              <w:rPr>
                <w:rFonts w:ascii="Cambria Math" w:hAnsi="Cambria Math" w:cs="Times New Roman"/>
                <w:i/>
                <w:szCs w:val="24"/>
              </w:rPr>
            </m:ctrlPr>
          </m:fPr>
          <m:num>
            <m:r>
              <w:rPr>
                <w:rFonts w:ascii="Cambria Math" w:hAnsi="Cambria Math" w:cs="Times New Roman"/>
                <w:szCs w:val="24"/>
              </w:rPr>
              <m:t>Average Body weight of animal (g)</m:t>
            </m:r>
          </m:num>
          <m:den>
            <m:r>
              <w:rPr>
                <w:rFonts w:ascii="Cambria Math" w:hAnsi="Cambria Math" w:cs="Times New Roman"/>
                <w:szCs w:val="24"/>
              </w:rPr>
              <m:t>1000g</m:t>
            </m:r>
          </m:den>
        </m:f>
      </m:oMath>
      <w:r w:rsidRPr="007E61D7">
        <w:rPr>
          <w:rFonts w:eastAsiaTheme="minorEastAsia" w:cs="Times New Roman"/>
          <w:szCs w:val="24"/>
        </w:rPr>
        <w:t xml:space="preserve"> x dose </w:t>
      </w:r>
      <w:r w:rsidRPr="007E61D7">
        <w:rPr>
          <w:rFonts w:cs="Times New Roman"/>
          <w:szCs w:val="24"/>
        </w:rPr>
        <w:t xml:space="preserve">= </w:t>
      </w:r>
      <m:oMath>
        <m:f>
          <m:fPr>
            <m:ctrlPr>
              <w:rPr>
                <w:rFonts w:ascii="Cambria Math" w:hAnsi="Cambria Math" w:cs="Times New Roman"/>
                <w:i/>
                <w:szCs w:val="24"/>
              </w:rPr>
            </m:ctrlPr>
          </m:fPr>
          <m:num>
            <m:r>
              <w:rPr>
                <w:rFonts w:ascii="Cambria Math" w:hAnsi="Cambria Math" w:cs="Times New Roman"/>
                <w:szCs w:val="24"/>
              </w:rPr>
              <m:t>120 g</m:t>
            </m:r>
          </m:num>
          <m:den>
            <m:r>
              <w:rPr>
                <w:rFonts w:ascii="Cambria Math" w:hAnsi="Cambria Math" w:cs="Times New Roman"/>
                <w:szCs w:val="24"/>
              </w:rPr>
              <m:t>1000g</m:t>
            </m:r>
          </m:den>
        </m:f>
        <m:r>
          <w:rPr>
            <w:rFonts w:ascii="Cambria Math" w:hAnsi="Cambria Math" w:cs="Times New Roman"/>
            <w:szCs w:val="24"/>
          </w:rPr>
          <m:t>x 30mg</m:t>
        </m:r>
      </m:oMath>
      <w:r w:rsidRPr="007E61D7">
        <w:rPr>
          <w:rFonts w:eastAsiaTheme="minorEastAsia" w:cs="Times New Roman"/>
          <w:szCs w:val="24"/>
        </w:rPr>
        <w:t xml:space="preserve"> = 3.6 mg</w:t>
      </w:r>
    </w:p>
    <w:p w14:paraId="2FA7ED60" w14:textId="77777777" w:rsidR="007D4A1A" w:rsidRPr="007E61D7" w:rsidRDefault="00410D04" w:rsidP="00FB315A">
      <w:pPr>
        <w:spacing w:before="240" w:after="240" w:line="240" w:lineRule="auto"/>
        <w:rPr>
          <w:rFonts w:eastAsiaTheme="minorEastAsia" w:cs="Times New Roman"/>
          <w:szCs w:val="24"/>
        </w:rPr>
      </w:pPr>
      <w:r w:rsidRPr="007E61D7">
        <w:rPr>
          <w:rFonts w:eastAsiaTheme="minorEastAsia" w:cs="Times New Roman"/>
          <w:szCs w:val="24"/>
        </w:rPr>
        <w:t>If 30 mg of stock solution = 1 ml of dosage; therefore, 3.6 mg of stock solution will give a calculated volume of 3.6mg divided by 30 mg of stock solution which is approximately 0.1 ml.</w:t>
      </w:r>
    </w:p>
    <w:p w14:paraId="584A44C7" w14:textId="77777777" w:rsidR="007D4A1A" w:rsidRPr="007E61D7" w:rsidRDefault="00410D04" w:rsidP="00FB315A">
      <w:pPr>
        <w:spacing w:before="240" w:after="240" w:line="240" w:lineRule="auto"/>
        <w:rPr>
          <w:rFonts w:cs="Times New Roman"/>
          <w:szCs w:val="24"/>
        </w:rPr>
      </w:pPr>
      <w:r w:rsidRPr="007E61D7">
        <w:rPr>
          <w:rFonts w:cs="Times New Roman"/>
          <w:szCs w:val="24"/>
        </w:rPr>
        <w:t xml:space="preserve">The medium dose was measured for group 3 using the same formulae as shown above to calculate the dose volume from 60 mg/ml to give 7.2 mg. </w:t>
      </w:r>
      <w:r w:rsidRPr="007E61D7">
        <w:rPr>
          <w:rFonts w:eastAsiaTheme="minorEastAsia" w:cs="Times New Roman"/>
          <w:szCs w:val="24"/>
        </w:rPr>
        <w:t>If 30 mg of stock solution gives 1 ml of dosage, 7.2 mg of stock solution will give a calculated volume of approximately 0.25 ml.</w:t>
      </w:r>
    </w:p>
    <w:p w14:paraId="343D7C62" w14:textId="77777777" w:rsidR="007D4A1A" w:rsidRPr="007E61D7" w:rsidRDefault="00410D04" w:rsidP="00FB315A">
      <w:pPr>
        <w:spacing w:before="240" w:after="240" w:line="240" w:lineRule="auto"/>
        <w:rPr>
          <w:rFonts w:cs="Times New Roman"/>
          <w:szCs w:val="24"/>
        </w:rPr>
      </w:pPr>
      <w:r w:rsidRPr="007E61D7">
        <w:rPr>
          <w:rFonts w:cs="Times New Roman"/>
          <w:szCs w:val="24"/>
        </w:rPr>
        <w:t xml:space="preserve">Finally, the high dose was measured for group 4 using the above formulae of calculating dose volume from 90 mg/ml to give 10.8 mg. </w:t>
      </w:r>
      <w:r w:rsidRPr="007E61D7">
        <w:rPr>
          <w:rFonts w:eastAsiaTheme="minorEastAsia" w:cs="Times New Roman"/>
          <w:szCs w:val="24"/>
        </w:rPr>
        <w:t>If 30 mg of stock solution gives 1 ml of dosage</w:t>
      </w:r>
      <w:r w:rsidRPr="007E61D7">
        <w:rPr>
          <w:rFonts w:cs="Times New Roman"/>
          <w:szCs w:val="24"/>
        </w:rPr>
        <w:t xml:space="preserve">, </w:t>
      </w:r>
      <w:r w:rsidRPr="007E61D7">
        <w:rPr>
          <w:rFonts w:eastAsiaTheme="minorEastAsia" w:cs="Times New Roman"/>
          <w:szCs w:val="24"/>
        </w:rPr>
        <w:t>10.8 mg of stock solution will give an approximate volume of 0.4 ml.</w:t>
      </w:r>
    </w:p>
    <w:p w14:paraId="35D97945" w14:textId="77777777" w:rsidR="00600E0E" w:rsidRPr="007E61D7" w:rsidRDefault="00410D04" w:rsidP="00FB315A">
      <w:pPr>
        <w:spacing w:after="240" w:line="240" w:lineRule="auto"/>
        <w:rPr>
          <w:rFonts w:cs="Times New Roman"/>
          <w:szCs w:val="24"/>
        </w:rPr>
      </w:pPr>
      <w:r w:rsidRPr="007E61D7">
        <w:rPr>
          <w:rFonts w:cs="Times New Roman"/>
          <w:szCs w:val="24"/>
        </w:rPr>
        <w:t>All treatments were administered once daily between 11 am and 12 pm, and the experimental rats were monitored for 3 hours after the drug delivery. After the regular daily meal, the animals were furnished with their customary access to drinkable water. Nevertheless, their usual dietary routine was decreased and carefully supervised. Upon completion of the experiment, after the animals had been given each dose, they were only provided with water for drinking and thereafter subjected to rigorous monitoring over the next 24 hours until they were all executed the next day. Following the sacrificial process, surgical acquisition of neurological and intestinal tissue samples was performed. These samples were then homogenized using an Ultra-</w:t>
      </w:r>
      <w:proofErr w:type="spellStart"/>
      <w:r w:rsidRPr="007E61D7">
        <w:rPr>
          <w:rFonts w:cs="Times New Roman"/>
          <w:szCs w:val="24"/>
        </w:rPr>
        <w:t>Turrax</w:t>
      </w:r>
      <w:proofErr w:type="spellEnd"/>
      <w:r w:rsidRPr="007E61D7">
        <w:rPr>
          <w:rFonts w:cs="Times New Roman"/>
          <w:szCs w:val="24"/>
        </w:rPr>
        <w:t xml:space="preserve"> homogenizer with a cold 50 </w:t>
      </w:r>
      <w:proofErr w:type="spellStart"/>
      <w:r w:rsidRPr="007E61D7">
        <w:rPr>
          <w:rFonts w:cs="Times New Roman"/>
          <w:szCs w:val="24"/>
        </w:rPr>
        <w:t>mM</w:t>
      </w:r>
      <w:proofErr w:type="spellEnd"/>
      <w:r w:rsidRPr="007E61D7">
        <w:rPr>
          <w:rFonts w:cs="Times New Roman"/>
          <w:szCs w:val="24"/>
        </w:rPr>
        <w:t xml:space="preserve"> phosphate buffer in a 1:4 (m/v) ratio for further biochemical analysis.</w:t>
      </w:r>
    </w:p>
    <w:p w14:paraId="730E1259" w14:textId="5B460121" w:rsidR="007D4A1A" w:rsidRPr="007E61D7" w:rsidRDefault="00410D04" w:rsidP="00FB315A">
      <w:pPr>
        <w:spacing w:before="240" w:after="240" w:line="240" w:lineRule="auto"/>
        <w:rPr>
          <w:rFonts w:cs="Times New Roman"/>
          <w:b/>
          <w:szCs w:val="24"/>
        </w:rPr>
      </w:pPr>
      <w:r w:rsidRPr="007E61D7">
        <w:rPr>
          <w:rFonts w:cs="Times New Roman"/>
          <w:b/>
          <w:szCs w:val="24"/>
        </w:rPr>
        <w:t xml:space="preserve">Assessment of </w:t>
      </w:r>
      <w:r w:rsidR="005B42ED" w:rsidRPr="007E61D7">
        <w:rPr>
          <w:rFonts w:cs="Times New Roman"/>
          <w:b/>
          <w:szCs w:val="24"/>
        </w:rPr>
        <w:t>Oxidative Stress</w:t>
      </w:r>
      <w:r w:rsidRPr="007E61D7">
        <w:rPr>
          <w:rFonts w:cs="Times New Roman"/>
          <w:b/>
          <w:szCs w:val="24"/>
        </w:rPr>
        <w:t xml:space="preserve"> Parameters</w:t>
      </w:r>
      <w:r w:rsidR="00F22EB5" w:rsidRPr="007E61D7">
        <w:rPr>
          <w:rFonts w:cs="Times New Roman"/>
          <w:b/>
          <w:szCs w:val="24"/>
        </w:rPr>
        <w:t xml:space="preserve"> of the Intestines</w:t>
      </w:r>
    </w:p>
    <w:p w14:paraId="7DE2C8B4" w14:textId="27A634BE" w:rsidR="00E970EE" w:rsidRPr="007E61D7" w:rsidRDefault="00410D04" w:rsidP="00FB315A">
      <w:pPr>
        <w:spacing w:after="240" w:line="240" w:lineRule="auto"/>
        <w:rPr>
          <w:rFonts w:eastAsia="Times New Roman" w:cs="Times New Roman"/>
          <w:szCs w:val="24"/>
        </w:rPr>
      </w:pPr>
      <w:r w:rsidRPr="007E61D7">
        <w:rPr>
          <w:rFonts w:cs="Times New Roman"/>
          <w:szCs w:val="24"/>
        </w:rPr>
        <w:t xml:space="preserve">The Sinha (23) method was used to quantify </w:t>
      </w:r>
      <w:r w:rsidR="0048123A" w:rsidRPr="007E61D7">
        <w:rPr>
          <w:rFonts w:cs="Times New Roman"/>
          <w:szCs w:val="24"/>
        </w:rPr>
        <w:t>the activity of catalase (CAT). Here, t</w:t>
      </w:r>
      <w:r w:rsidR="0048123A" w:rsidRPr="007E61D7">
        <w:rPr>
          <w:rFonts w:eastAsia="Times New Roman" w:cs="Times New Roman"/>
          <w:szCs w:val="24"/>
        </w:rPr>
        <w:t>he tissues of were obtained and homogenized in phosphate buffer (at pH 7.0) to create a tissue homogenate of about 1.0 mg protein/ml. The homogenate was then centrifuged to remove debris to obtain a clear supernatant. Later, t</w:t>
      </w:r>
      <w:r w:rsidR="0048123A" w:rsidRPr="007E61D7">
        <w:rPr>
          <w:rFonts w:eastAsia="Times New Roman" w:cs="Times New Roman"/>
          <w:bCs/>
          <w:szCs w:val="24"/>
        </w:rPr>
        <w:t>he</w:t>
      </w:r>
      <w:r w:rsidR="0048123A" w:rsidRPr="007E61D7">
        <w:rPr>
          <w:rFonts w:eastAsia="Times New Roman" w:cs="Times New Roman"/>
          <w:szCs w:val="24"/>
        </w:rPr>
        <w:t xml:space="preserve"> Bradford assay was used to determine the protein concentration in the supernatant. </w:t>
      </w:r>
      <w:r w:rsidR="00E970EE" w:rsidRPr="007E61D7">
        <w:rPr>
          <w:rFonts w:eastAsia="Times New Roman" w:cs="Times New Roman"/>
          <w:szCs w:val="24"/>
        </w:rPr>
        <w:t>A dichromate/acetic acid reagent was prepared by mixing a 5% solution of potassium dichromate (</w:t>
      </w:r>
      <w:proofErr w:type="spellStart"/>
      <w:r w:rsidR="00E970EE" w:rsidRPr="007E61D7">
        <w:rPr>
          <w:rFonts w:eastAsia="Times New Roman" w:cs="Times New Roman"/>
          <w:szCs w:val="24"/>
        </w:rPr>
        <w:t>K</w:t>
      </w:r>
      <w:r w:rsidR="00E970EE" w:rsidRPr="007E61D7">
        <w:rPr>
          <w:rFonts w:ascii="Cambria Math" w:eastAsia="Times New Roman" w:hAnsi="Cambria Math" w:cs="Cambria Math"/>
          <w:szCs w:val="24"/>
        </w:rPr>
        <w:t>₂</w:t>
      </w:r>
      <w:r w:rsidR="00E970EE" w:rsidRPr="007E61D7">
        <w:rPr>
          <w:rFonts w:eastAsia="Times New Roman" w:cs="Times New Roman"/>
          <w:szCs w:val="24"/>
        </w:rPr>
        <w:t>Cr</w:t>
      </w:r>
      <w:r w:rsidR="00E970EE" w:rsidRPr="007E61D7">
        <w:rPr>
          <w:rFonts w:ascii="Cambria Math" w:eastAsia="Times New Roman" w:hAnsi="Cambria Math" w:cs="Cambria Math"/>
          <w:szCs w:val="24"/>
        </w:rPr>
        <w:t>₂</w:t>
      </w:r>
      <w:r w:rsidR="00E970EE" w:rsidRPr="007E61D7">
        <w:rPr>
          <w:rFonts w:eastAsia="Times New Roman" w:cs="Times New Roman"/>
          <w:szCs w:val="24"/>
        </w:rPr>
        <w:t>O</w:t>
      </w:r>
      <w:proofErr w:type="spellEnd"/>
      <w:r w:rsidR="00E970EE" w:rsidRPr="007E61D7">
        <w:rPr>
          <w:rFonts w:ascii="Cambria Math" w:eastAsia="Times New Roman" w:hAnsi="Cambria Math" w:cs="Cambria Math"/>
          <w:szCs w:val="24"/>
        </w:rPr>
        <w:t>₇</w:t>
      </w:r>
      <w:r w:rsidR="00BD6FE0" w:rsidRPr="007E61D7">
        <w:rPr>
          <w:rFonts w:eastAsia="Times New Roman" w:cs="Times New Roman"/>
          <w:szCs w:val="24"/>
        </w:rPr>
        <w:t xml:space="preserve">) with glacial acetic acid in the ratio of </w:t>
      </w:r>
      <w:r w:rsidR="00E970EE" w:rsidRPr="007E61D7">
        <w:rPr>
          <w:rFonts w:eastAsia="Times New Roman" w:cs="Times New Roman"/>
          <w:szCs w:val="24"/>
        </w:rPr>
        <w:t>1:3 (by volume). Then, a 0.2 M hydrogen peroxide (H</w:t>
      </w:r>
      <w:r w:rsidR="00E970EE" w:rsidRPr="007E61D7">
        <w:rPr>
          <w:rFonts w:ascii="Cambria Math" w:eastAsia="Times New Roman" w:hAnsi="Cambria Math" w:cs="Cambria Math"/>
          <w:szCs w:val="24"/>
        </w:rPr>
        <w:t>₂</w:t>
      </w:r>
      <w:r w:rsidR="00E970EE" w:rsidRPr="007E61D7">
        <w:rPr>
          <w:rFonts w:eastAsia="Times New Roman" w:cs="Times New Roman"/>
          <w:szCs w:val="24"/>
        </w:rPr>
        <w:t>O</w:t>
      </w:r>
      <w:r w:rsidR="00E970EE" w:rsidRPr="007E61D7">
        <w:rPr>
          <w:rFonts w:ascii="Cambria Math" w:eastAsia="Times New Roman" w:hAnsi="Cambria Math" w:cs="Cambria Math"/>
          <w:szCs w:val="24"/>
        </w:rPr>
        <w:t>₂</w:t>
      </w:r>
      <w:r w:rsidR="00E970EE" w:rsidRPr="007E61D7">
        <w:rPr>
          <w:rFonts w:eastAsia="Times New Roman" w:cs="Times New Roman"/>
          <w:szCs w:val="24"/>
        </w:rPr>
        <w:t xml:space="preserve">) solution was also prepared. Inside small test tubes, we add a specific volume of the tissue supernatant to a series of tubes containing varying amounts of hydrogen peroxide. The reaction was monitored for about 2 minutes at room temperature. </w:t>
      </w:r>
      <w:r w:rsidR="00E970EE" w:rsidRPr="007E61D7">
        <w:rPr>
          <w:rFonts w:eastAsia="Times New Roman" w:cs="Times New Roman"/>
          <w:szCs w:val="24"/>
        </w:rPr>
        <w:lastRenderedPageBreak/>
        <w:t>Subsequently, the reaction was stopped by adding the dichromate/acetic acid reagent to the mixture and heated for some time. Finally, the absorbance of the resulting chromic acetate was measured at a wavelength of between 570-610 nm using a spectrophotometer. Then, the catalase activity (K) was determined based on the decrease in hydrogen peroxide concentration.</w:t>
      </w:r>
    </w:p>
    <w:p w14:paraId="003AA2A5" w14:textId="2E422A20" w:rsidR="00E970EE" w:rsidRPr="007E61D7" w:rsidRDefault="0048123A" w:rsidP="00FB315A">
      <w:pPr>
        <w:spacing w:after="240" w:line="240" w:lineRule="auto"/>
        <w:rPr>
          <w:rFonts w:cs="Times New Roman"/>
          <w:szCs w:val="24"/>
        </w:rPr>
      </w:pPr>
      <w:r w:rsidRPr="007E61D7">
        <w:rPr>
          <w:rFonts w:cs="Times New Roman"/>
          <w:szCs w:val="24"/>
        </w:rPr>
        <w:t>The</w:t>
      </w:r>
      <w:r w:rsidR="00410D04" w:rsidRPr="007E61D7">
        <w:rPr>
          <w:rFonts w:cs="Times New Roman"/>
          <w:szCs w:val="24"/>
        </w:rPr>
        <w:t xml:space="preserve"> </w:t>
      </w:r>
      <w:proofErr w:type="spellStart"/>
      <w:r w:rsidR="00410D04" w:rsidRPr="007E61D7">
        <w:rPr>
          <w:rFonts w:cs="Times New Roman"/>
          <w:szCs w:val="24"/>
        </w:rPr>
        <w:t>Misra</w:t>
      </w:r>
      <w:proofErr w:type="spellEnd"/>
      <w:r w:rsidR="00410D04" w:rsidRPr="007E61D7">
        <w:rPr>
          <w:rFonts w:cs="Times New Roman"/>
          <w:szCs w:val="24"/>
        </w:rPr>
        <w:t xml:space="preserve"> and </w:t>
      </w:r>
      <w:proofErr w:type="spellStart"/>
      <w:r w:rsidR="00410D04" w:rsidRPr="007E61D7">
        <w:rPr>
          <w:rFonts w:cs="Times New Roman"/>
          <w:szCs w:val="24"/>
        </w:rPr>
        <w:t>Fridovich</w:t>
      </w:r>
      <w:proofErr w:type="spellEnd"/>
      <w:r w:rsidR="00410D04" w:rsidRPr="007E61D7">
        <w:rPr>
          <w:rFonts w:cs="Times New Roman"/>
          <w:szCs w:val="24"/>
        </w:rPr>
        <w:t xml:space="preserve"> (24) method was used to compute the activity</w:t>
      </w:r>
      <w:r w:rsidR="00CD1135" w:rsidRPr="007E61D7">
        <w:rPr>
          <w:rFonts w:cs="Times New Roman"/>
          <w:szCs w:val="24"/>
        </w:rPr>
        <w:t xml:space="preserve"> of superoxide dismutase (SOD). </w:t>
      </w:r>
      <w:r w:rsidR="00597D56" w:rsidRPr="007E61D7">
        <w:rPr>
          <w:rFonts w:eastAsia="Times New Roman" w:cs="Times New Roman"/>
          <w:szCs w:val="24"/>
        </w:rPr>
        <w:t xml:space="preserve">The tissues were homogenized in phosphate buffer to extract the superoxide dismutase. The homogenate </w:t>
      </w:r>
      <w:r w:rsidR="00E33812" w:rsidRPr="007E61D7">
        <w:rPr>
          <w:rFonts w:eastAsia="Times New Roman" w:cs="Times New Roman"/>
          <w:szCs w:val="24"/>
        </w:rPr>
        <w:t>was</w:t>
      </w:r>
      <w:r w:rsidR="00597D56" w:rsidRPr="007E61D7">
        <w:rPr>
          <w:rFonts w:eastAsia="Times New Roman" w:cs="Times New Roman"/>
          <w:szCs w:val="24"/>
        </w:rPr>
        <w:t xml:space="preserve"> then centrifuged to remove debris, and the supernatant </w:t>
      </w:r>
      <w:r w:rsidR="00E33812" w:rsidRPr="007E61D7">
        <w:rPr>
          <w:rFonts w:eastAsia="Times New Roman" w:cs="Times New Roman"/>
          <w:szCs w:val="24"/>
        </w:rPr>
        <w:t>was</w:t>
      </w:r>
      <w:r w:rsidR="00597D56" w:rsidRPr="007E61D7">
        <w:rPr>
          <w:rFonts w:eastAsia="Times New Roman" w:cs="Times New Roman"/>
          <w:szCs w:val="24"/>
        </w:rPr>
        <w:t xml:space="preserve"> collected for analysis. The protein concentration of the tissue extract </w:t>
      </w:r>
      <w:r w:rsidR="00E33812" w:rsidRPr="007E61D7">
        <w:rPr>
          <w:rFonts w:eastAsia="Times New Roman" w:cs="Times New Roman"/>
          <w:szCs w:val="24"/>
        </w:rPr>
        <w:t>was</w:t>
      </w:r>
      <w:r w:rsidR="00597D56" w:rsidRPr="007E61D7">
        <w:rPr>
          <w:rFonts w:eastAsia="Times New Roman" w:cs="Times New Roman"/>
          <w:szCs w:val="24"/>
        </w:rPr>
        <w:t xml:space="preserve"> determined using the Bradford assay method. </w:t>
      </w:r>
      <w:r w:rsidR="00E33812" w:rsidRPr="007E61D7">
        <w:rPr>
          <w:rFonts w:eastAsia="Times New Roman" w:cs="Times New Roman"/>
          <w:szCs w:val="24"/>
        </w:rPr>
        <w:t>Later, t</w:t>
      </w:r>
      <w:r w:rsidR="00597D56" w:rsidRPr="007E61D7">
        <w:rPr>
          <w:rFonts w:eastAsia="Times New Roman" w:cs="Times New Roman"/>
          <w:szCs w:val="24"/>
        </w:rPr>
        <w:t xml:space="preserve">he SOD activity was assessed by measuring its ability to inhibit the autoxidation of epinephrine. Here, a specific concentration of epinephrine is prepared in a buffered solution (e.g., </w:t>
      </w:r>
      <w:proofErr w:type="spellStart"/>
      <w:r w:rsidR="00597D56" w:rsidRPr="007E61D7">
        <w:rPr>
          <w:rFonts w:eastAsia="Times New Roman" w:cs="Times New Roman"/>
          <w:szCs w:val="24"/>
        </w:rPr>
        <w:t>Tris</w:t>
      </w:r>
      <w:proofErr w:type="spellEnd"/>
      <w:r w:rsidR="00597D56" w:rsidRPr="007E61D7">
        <w:rPr>
          <w:rFonts w:eastAsia="Times New Roman" w:cs="Times New Roman"/>
          <w:szCs w:val="24"/>
        </w:rPr>
        <w:t xml:space="preserve"> or sodium carbonate buffer). The tissue extract containing the SOD is added to the epinephrine solution. The reaction was monitored </w:t>
      </w:r>
      <w:proofErr w:type="spellStart"/>
      <w:r w:rsidR="00597D56" w:rsidRPr="007E61D7">
        <w:rPr>
          <w:rFonts w:eastAsia="Times New Roman" w:cs="Times New Roman"/>
          <w:szCs w:val="24"/>
        </w:rPr>
        <w:t>spectrophotometrically</w:t>
      </w:r>
      <w:proofErr w:type="spellEnd"/>
      <w:r w:rsidR="00597D56" w:rsidRPr="007E61D7">
        <w:rPr>
          <w:rFonts w:eastAsia="Times New Roman" w:cs="Times New Roman"/>
          <w:szCs w:val="24"/>
        </w:rPr>
        <w:t xml:space="preserve"> by measuring the increase in absorbance at 480 nm. The rate of increase in absorbance was recorded, and the percentage of inhibition of epinephrine oxidation is calculated. The results were plotted to determine the concentration of SOD.</w:t>
      </w:r>
    </w:p>
    <w:p w14:paraId="647E5427" w14:textId="3B56E3F1" w:rsidR="00600E0E" w:rsidRPr="007E61D7" w:rsidRDefault="00CD1135" w:rsidP="00FB315A">
      <w:pPr>
        <w:spacing w:after="240" w:line="240" w:lineRule="auto"/>
        <w:rPr>
          <w:rFonts w:cs="Times New Roman"/>
          <w:szCs w:val="24"/>
        </w:rPr>
      </w:pPr>
      <w:r w:rsidRPr="007E61D7">
        <w:rPr>
          <w:rFonts w:cs="Times New Roman"/>
          <w:szCs w:val="24"/>
        </w:rPr>
        <w:t>T</w:t>
      </w:r>
      <w:r w:rsidR="00410D04" w:rsidRPr="007E61D7">
        <w:rPr>
          <w:rFonts w:cs="Times New Roman"/>
          <w:szCs w:val="24"/>
        </w:rPr>
        <w:t xml:space="preserve">he methodology of reactive components of </w:t>
      </w:r>
      <w:proofErr w:type="spellStart"/>
      <w:r w:rsidR="00E970EE" w:rsidRPr="007E61D7">
        <w:rPr>
          <w:rFonts w:eastAsia="Times New Roman" w:cs="Times New Roman"/>
          <w:szCs w:val="24"/>
        </w:rPr>
        <w:t>thiobarbituric</w:t>
      </w:r>
      <w:proofErr w:type="spellEnd"/>
      <w:r w:rsidR="00E970EE" w:rsidRPr="007E61D7">
        <w:rPr>
          <w:rFonts w:eastAsia="Times New Roman" w:cs="Times New Roman"/>
          <w:szCs w:val="24"/>
        </w:rPr>
        <w:t xml:space="preserve"> acid (TBA)</w:t>
      </w:r>
      <w:r w:rsidR="00E970EE" w:rsidRPr="007E61D7">
        <w:rPr>
          <w:rFonts w:cs="Times New Roman"/>
          <w:szCs w:val="24"/>
        </w:rPr>
        <w:t xml:space="preserve"> </w:t>
      </w:r>
      <w:r w:rsidR="00410D04" w:rsidRPr="007E61D7">
        <w:rPr>
          <w:rFonts w:cs="Times New Roman"/>
          <w:szCs w:val="24"/>
        </w:rPr>
        <w:t xml:space="preserve">(25) was employed to evaluate the lipid peroxidation marker, </w:t>
      </w:r>
      <w:proofErr w:type="spellStart"/>
      <w:r w:rsidR="00410D04" w:rsidRPr="007E61D7">
        <w:rPr>
          <w:rFonts w:cs="Times New Roman"/>
          <w:szCs w:val="24"/>
        </w:rPr>
        <w:t>malondialdehyde</w:t>
      </w:r>
      <w:proofErr w:type="spellEnd"/>
      <w:r w:rsidR="00410D04" w:rsidRPr="007E61D7">
        <w:rPr>
          <w:rFonts w:cs="Times New Roman"/>
          <w:szCs w:val="24"/>
        </w:rPr>
        <w:t xml:space="preserve"> (MDA).</w:t>
      </w:r>
      <w:r w:rsidRPr="007E61D7">
        <w:rPr>
          <w:rFonts w:cs="Times New Roman"/>
          <w:szCs w:val="24"/>
        </w:rPr>
        <w:t xml:space="preserve"> </w:t>
      </w:r>
      <w:r w:rsidR="00E970EE" w:rsidRPr="007E61D7">
        <w:rPr>
          <w:rFonts w:eastAsia="Times New Roman" w:cs="Times New Roman"/>
          <w:szCs w:val="24"/>
        </w:rPr>
        <w:t>Here, the tissues were first homogenized in phosphate buffer to create a tissue extract to help release lipids and proteins from the tissue cells to produce a homogenate. The homogenate was then subjected to a solvent extraction process using a mixture of chloroform and methanol to separate the lipids from proteins and other cellular components. Later, the solution is allowed to settle, and the lower organic phase (containing the lipids) was collected. The protein concentration in the remaining aqueous phase can be quantified using the Bradford assay. The TBA reagent was prepared and combined with the lipid extract. The mixture is then heated using a boiling water bath for about 2 minutes. After heating, the solution was cooled and centrifuged to remove any precipitate. Later, the absorbance of the supernatant was measured at 535 nm using a spectrophotometer. The concentration of MDA was calculated using a standard curve generated from known concentrations of MDA.</w:t>
      </w:r>
    </w:p>
    <w:p w14:paraId="5D6F4F8F" w14:textId="77777777" w:rsidR="007D4A1A" w:rsidRPr="007E61D7" w:rsidRDefault="00410D04" w:rsidP="00FB315A">
      <w:pPr>
        <w:spacing w:before="240" w:after="240" w:line="240" w:lineRule="auto"/>
        <w:rPr>
          <w:rFonts w:cs="Times New Roman"/>
          <w:b/>
          <w:szCs w:val="24"/>
        </w:rPr>
      </w:pPr>
      <w:r w:rsidRPr="007E61D7">
        <w:rPr>
          <w:rFonts w:cs="Times New Roman"/>
          <w:b/>
          <w:szCs w:val="24"/>
        </w:rPr>
        <w:t>Histopathological Analysis of the Brain and Intestines</w:t>
      </w:r>
    </w:p>
    <w:p w14:paraId="124BFEB0" w14:textId="652473D2" w:rsidR="00600E0E" w:rsidRPr="007E61D7" w:rsidRDefault="00410D04" w:rsidP="00FB315A">
      <w:pPr>
        <w:spacing w:after="240" w:line="240" w:lineRule="auto"/>
        <w:rPr>
          <w:rFonts w:cs="Times New Roman"/>
          <w:szCs w:val="24"/>
        </w:rPr>
      </w:pPr>
      <w:r w:rsidRPr="007E61D7">
        <w:rPr>
          <w:rFonts w:cs="Times New Roman"/>
          <w:szCs w:val="24"/>
        </w:rPr>
        <w:t xml:space="preserve">To conduct standard histopathology procedures, </w:t>
      </w:r>
      <w:r w:rsidR="00B42706">
        <w:rPr>
          <w:rFonts w:cs="Times New Roman"/>
          <w:szCs w:val="24"/>
        </w:rPr>
        <w:t>intestinal</w:t>
      </w:r>
      <w:r w:rsidRPr="007E61D7">
        <w:rPr>
          <w:rFonts w:cs="Times New Roman"/>
          <w:szCs w:val="24"/>
        </w:rPr>
        <w:t xml:space="preserve"> samples were obtained from sacrificed rats. After being preserved in a 10% formaldehyde solution, the samples were hydrated using ethanol at different percentages, namely 75%, 90%, 95%, and 100%. After the dehydration process, the materials underwent further purification by two cycles of xylene extraction processing. The samples were then submerged and made translucent by being covered with molten paraffin wax while being subjected to pressure. Divisible paraffin slices, each measuring 5 µm in thickness, were generated using a sled microtome. Moreover, the slices were positioned on glass slides and subjected to a sequential staining procedure using hematoxylin and eosin-colored dyes. Following an exhaustive examination of the stained slides, their images were then compared. Utilizing an </w:t>
      </w:r>
      <w:proofErr w:type="spellStart"/>
      <w:r w:rsidRPr="007E61D7">
        <w:rPr>
          <w:rFonts w:cs="Times New Roman"/>
          <w:szCs w:val="24"/>
        </w:rPr>
        <w:t>Accu</w:t>
      </w:r>
      <w:proofErr w:type="spellEnd"/>
      <w:r w:rsidRPr="007E61D7">
        <w:rPr>
          <w:rFonts w:cs="Times New Roman"/>
          <w:szCs w:val="24"/>
        </w:rPr>
        <w:t>-Scope 3000 digital microscope, photomicrographs were produced.</w:t>
      </w:r>
    </w:p>
    <w:p w14:paraId="08766255" w14:textId="77777777" w:rsidR="007D4A1A" w:rsidRPr="007E61D7" w:rsidRDefault="00410D04" w:rsidP="00FB315A">
      <w:pPr>
        <w:spacing w:before="240" w:after="240" w:line="240" w:lineRule="auto"/>
        <w:rPr>
          <w:rFonts w:cs="Times New Roman"/>
          <w:b/>
          <w:szCs w:val="24"/>
        </w:rPr>
      </w:pPr>
      <w:r w:rsidRPr="007E61D7">
        <w:rPr>
          <w:rFonts w:cs="Times New Roman"/>
          <w:b/>
          <w:szCs w:val="24"/>
        </w:rPr>
        <w:t>Methods of Data Analysis</w:t>
      </w:r>
    </w:p>
    <w:p w14:paraId="40A719CA" w14:textId="70769F0B" w:rsidR="00600E0E" w:rsidRPr="007E61D7" w:rsidRDefault="00410D04" w:rsidP="00FB315A">
      <w:pPr>
        <w:spacing w:after="240" w:line="240" w:lineRule="auto"/>
        <w:rPr>
          <w:rFonts w:cs="Times New Roman"/>
          <w:szCs w:val="24"/>
        </w:rPr>
      </w:pPr>
      <w:r w:rsidRPr="007E61D7">
        <w:rPr>
          <w:rFonts w:cs="Times New Roman"/>
          <w:szCs w:val="24"/>
        </w:rPr>
        <w:t xml:space="preserve">This study was conducted using Version 23.0 of the </w:t>
      </w:r>
      <w:r w:rsidR="00E62E2A">
        <w:rPr>
          <w:rFonts w:cs="Times New Roman"/>
          <w:szCs w:val="24"/>
        </w:rPr>
        <w:t xml:space="preserve">IBM </w:t>
      </w:r>
      <w:r w:rsidRPr="007E61D7">
        <w:rPr>
          <w:rFonts w:cs="Times New Roman"/>
          <w:szCs w:val="24"/>
        </w:rPr>
        <w:t xml:space="preserve">Statistical Package for Social Sciences (SPSS). </w:t>
      </w:r>
      <w:r w:rsidR="00E62E2A" w:rsidRPr="00E62E2A">
        <w:rPr>
          <w:rFonts w:cs="Times New Roman"/>
          <w:szCs w:val="24"/>
          <w:highlight w:val="yellow"/>
        </w:rPr>
        <w:t>The</w:t>
      </w:r>
      <w:r w:rsidRPr="00E62E2A">
        <w:rPr>
          <w:rFonts w:cs="Times New Roman"/>
          <w:szCs w:val="24"/>
          <w:highlight w:val="yellow"/>
        </w:rPr>
        <w:t xml:space="preserve"> least significant difference (Post </w:t>
      </w:r>
      <w:r w:rsidR="00E62E2A" w:rsidRPr="00E62E2A">
        <w:rPr>
          <w:rFonts w:cs="Times New Roman"/>
          <w:szCs w:val="24"/>
          <w:highlight w:val="yellow"/>
        </w:rPr>
        <w:t>H</w:t>
      </w:r>
      <w:r w:rsidRPr="00E62E2A">
        <w:rPr>
          <w:rFonts w:cs="Times New Roman"/>
          <w:szCs w:val="24"/>
          <w:highlight w:val="yellow"/>
        </w:rPr>
        <w:t xml:space="preserve">oc) test </w:t>
      </w:r>
      <w:r w:rsidR="00E62E2A" w:rsidRPr="00E62E2A">
        <w:rPr>
          <w:rFonts w:cs="Times New Roman"/>
          <w:szCs w:val="24"/>
          <w:highlight w:val="yellow"/>
        </w:rPr>
        <w:t>of</w:t>
      </w:r>
      <w:r w:rsidRPr="00E62E2A">
        <w:rPr>
          <w:rFonts w:cs="Times New Roman"/>
          <w:szCs w:val="24"/>
          <w:highlight w:val="yellow"/>
        </w:rPr>
        <w:t xml:space="preserve"> one-way analysis of variance </w:t>
      </w:r>
      <w:r w:rsidRPr="00E62E2A">
        <w:rPr>
          <w:rFonts w:cs="Times New Roman"/>
          <w:szCs w:val="24"/>
          <w:highlight w:val="yellow"/>
        </w:rPr>
        <w:lastRenderedPageBreak/>
        <w:t>(ANOVA)</w:t>
      </w:r>
      <w:r w:rsidR="00E62E2A" w:rsidRPr="00E62E2A">
        <w:rPr>
          <w:rFonts w:cs="Times New Roman"/>
          <w:szCs w:val="24"/>
          <w:highlight w:val="yellow"/>
        </w:rPr>
        <w:t xml:space="preserve"> was used to evaluate the differences in the oxidative stress parameters between control and experimental groups</w:t>
      </w:r>
      <w:r w:rsidRPr="00E62E2A">
        <w:rPr>
          <w:rFonts w:cs="Times New Roman"/>
          <w:szCs w:val="24"/>
          <w:highlight w:val="yellow"/>
        </w:rPr>
        <w:t xml:space="preserve">. Statistical significance </w:t>
      </w:r>
      <w:r w:rsidR="00E62E2A" w:rsidRPr="00E62E2A">
        <w:rPr>
          <w:rFonts w:cs="Times New Roman"/>
          <w:szCs w:val="24"/>
          <w:highlight w:val="yellow"/>
        </w:rPr>
        <w:t>of</w:t>
      </w:r>
      <w:r w:rsidRPr="00E62E2A">
        <w:rPr>
          <w:rFonts w:cs="Times New Roman"/>
          <w:szCs w:val="24"/>
          <w:highlight w:val="yellow"/>
        </w:rPr>
        <w:t xml:space="preserve"> 95% confidence </w:t>
      </w:r>
      <w:r w:rsidR="00E62E2A" w:rsidRPr="00E62E2A">
        <w:rPr>
          <w:rFonts w:cs="Times New Roman"/>
          <w:szCs w:val="24"/>
          <w:highlight w:val="yellow"/>
        </w:rPr>
        <w:t>level</w:t>
      </w:r>
      <w:r w:rsidRPr="00E62E2A">
        <w:rPr>
          <w:rFonts w:cs="Times New Roman"/>
          <w:szCs w:val="24"/>
          <w:highlight w:val="yellow"/>
        </w:rPr>
        <w:t xml:space="preserve"> </w:t>
      </w:r>
      <w:r w:rsidR="00E62E2A" w:rsidRPr="00E62E2A">
        <w:rPr>
          <w:rFonts w:cs="Times New Roman"/>
          <w:szCs w:val="24"/>
          <w:highlight w:val="yellow"/>
        </w:rPr>
        <w:t>was</w:t>
      </w:r>
      <w:r w:rsidRPr="00E62E2A">
        <w:rPr>
          <w:rFonts w:cs="Times New Roman"/>
          <w:szCs w:val="24"/>
          <w:highlight w:val="yellow"/>
        </w:rPr>
        <w:t xml:space="preserve"> used.</w:t>
      </w:r>
    </w:p>
    <w:p w14:paraId="65953C16" w14:textId="77777777" w:rsidR="007D4A1A" w:rsidRPr="007E61D7" w:rsidRDefault="00410D04" w:rsidP="00FB315A">
      <w:pPr>
        <w:pStyle w:val="BodyText"/>
        <w:spacing w:beforeLines="100" w:before="240" w:after="240"/>
        <w:jc w:val="both"/>
        <w:rPr>
          <w:rFonts w:ascii="Times New Roman" w:hAnsi="Times New Roman" w:cs="Times New Roman"/>
          <w:b/>
          <w:szCs w:val="24"/>
        </w:rPr>
      </w:pPr>
      <w:r w:rsidRPr="007E61D7">
        <w:rPr>
          <w:rFonts w:ascii="Times New Roman" w:hAnsi="Times New Roman" w:cs="Times New Roman"/>
          <w:b/>
          <w:szCs w:val="24"/>
        </w:rPr>
        <w:t>RESULTS</w:t>
      </w:r>
    </w:p>
    <w:p w14:paraId="4ABF35FA" w14:textId="77777777" w:rsidR="007D4A1A" w:rsidRPr="007E61D7" w:rsidRDefault="00410D04" w:rsidP="00FB315A">
      <w:pPr>
        <w:spacing w:before="240" w:after="240" w:line="240" w:lineRule="auto"/>
        <w:rPr>
          <w:rFonts w:cs="Times New Roman"/>
          <w:b/>
          <w:bCs/>
          <w:szCs w:val="24"/>
        </w:rPr>
      </w:pPr>
      <w:r w:rsidRPr="007E61D7">
        <w:rPr>
          <w:rFonts w:cs="Times New Roman"/>
          <w:b/>
          <w:bCs/>
          <w:szCs w:val="24"/>
        </w:rPr>
        <w:t xml:space="preserve">Changes in </w:t>
      </w:r>
      <w:r w:rsidR="001E5D4E" w:rsidRPr="007E61D7">
        <w:rPr>
          <w:rFonts w:cs="Times New Roman"/>
          <w:b/>
          <w:bCs/>
          <w:szCs w:val="24"/>
        </w:rPr>
        <w:t>oxidative stress</w:t>
      </w:r>
      <w:r w:rsidRPr="007E61D7">
        <w:rPr>
          <w:rFonts w:cs="Times New Roman"/>
          <w:b/>
          <w:bCs/>
          <w:szCs w:val="24"/>
        </w:rPr>
        <w:t xml:space="preserve"> parameters of the small intestine</w:t>
      </w:r>
    </w:p>
    <w:p w14:paraId="24869AF4" w14:textId="63C50A63" w:rsidR="00600E0E" w:rsidRPr="007E61D7" w:rsidRDefault="00410D04" w:rsidP="00FB315A">
      <w:pPr>
        <w:spacing w:after="240" w:line="240" w:lineRule="auto"/>
        <w:rPr>
          <w:rFonts w:cs="Times New Roman"/>
          <w:szCs w:val="24"/>
        </w:rPr>
      </w:pPr>
      <w:r w:rsidRPr="007E61D7">
        <w:rPr>
          <w:rFonts w:cs="Times New Roman"/>
          <w:szCs w:val="24"/>
        </w:rPr>
        <w:t xml:space="preserve">The findings presented </w:t>
      </w:r>
      <w:r w:rsidRPr="0076594A">
        <w:rPr>
          <w:rFonts w:cs="Times New Roman"/>
          <w:szCs w:val="24"/>
          <w:highlight w:val="yellow"/>
        </w:rPr>
        <w:t xml:space="preserve">in Table </w:t>
      </w:r>
      <w:r w:rsidR="0076594A" w:rsidRPr="0076594A">
        <w:rPr>
          <w:rFonts w:cs="Times New Roman"/>
          <w:szCs w:val="24"/>
          <w:highlight w:val="yellow"/>
        </w:rPr>
        <w:t>1</w:t>
      </w:r>
      <w:r w:rsidRPr="007E61D7">
        <w:rPr>
          <w:rFonts w:cs="Times New Roman"/>
          <w:szCs w:val="24"/>
        </w:rPr>
        <w:t xml:space="preserve"> demonstrate significant differences in the antioxidant enzyme activities of </w:t>
      </w:r>
      <w:r w:rsidR="007E1418" w:rsidRPr="007E61D7">
        <w:rPr>
          <w:rFonts w:cs="Times New Roman"/>
          <w:szCs w:val="24"/>
        </w:rPr>
        <w:t>CAT</w:t>
      </w:r>
      <w:r w:rsidRPr="007E61D7">
        <w:rPr>
          <w:rFonts w:cs="Times New Roman"/>
          <w:szCs w:val="24"/>
        </w:rPr>
        <w:t xml:space="preserve"> and a little increase in </w:t>
      </w:r>
      <w:r w:rsidR="007E1418" w:rsidRPr="007E61D7">
        <w:rPr>
          <w:rFonts w:cs="Times New Roman"/>
          <w:szCs w:val="24"/>
        </w:rPr>
        <w:t>SOD</w:t>
      </w:r>
      <w:r w:rsidRPr="007E61D7">
        <w:rPr>
          <w:rFonts w:cs="Times New Roman"/>
          <w:szCs w:val="24"/>
        </w:rPr>
        <w:t xml:space="preserve"> levels across all experimental groups in comparison to the control groups. With mean CAT levels of 0.96 </w:t>
      </w:r>
      <w:proofErr w:type="spellStart"/>
      <w:r w:rsidR="00137647" w:rsidRPr="007E61D7">
        <w:rPr>
          <w:rFonts w:cs="Times New Roman"/>
          <w:szCs w:val="24"/>
        </w:rPr>
        <w:t>nmol</w:t>
      </w:r>
      <w:proofErr w:type="spellEnd"/>
      <w:r w:rsidR="00137647" w:rsidRPr="007E61D7">
        <w:rPr>
          <w:rFonts w:cs="Times New Roman"/>
          <w:szCs w:val="24"/>
        </w:rPr>
        <w:t xml:space="preserve">/mg </w:t>
      </w:r>
      <w:r w:rsidRPr="007E61D7">
        <w:rPr>
          <w:rFonts w:cs="Times New Roman"/>
          <w:szCs w:val="24"/>
        </w:rPr>
        <w:t xml:space="preserve">in the control group, the experimental groups in this study, which were administered </w:t>
      </w:r>
      <w:r w:rsidR="007E1418" w:rsidRPr="007E61D7">
        <w:rPr>
          <w:rFonts w:cs="Times New Roman"/>
          <w:szCs w:val="24"/>
        </w:rPr>
        <w:t xml:space="preserve">PZ </w:t>
      </w:r>
      <w:r w:rsidRPr="007E61D7">
        <w:rPr>
          <w:rFonts w:cs="Times New Roman"/>
          <w:szCs w:val="24"/>
        </w:rPr>
        <w:t xml:space="preserve">at low, medium, and high dosages, had mean CAT levels of 1.19, 0.91, and 0.81 </w:t>
      </w:r>
      <w:proofErr w:type="spellStart"/>
      <w:r w:rsidR="00137647" w:rsidRPr="007E61D7">
        <w:rPr>
          <w:rFonts w:cs="Times New Roman"/>
          <w:szCs w:val="24"/>
        </w:rPr>
        <w:t>nmol</w:t>
      </w:r>
      <w:proofErr w:type="spellEnd"/>
      <w:r w:rsidR="00137647" w:rsidRPr="007E61D7">
        <w:rPr>
          <w:rFonts w:cs="Times New Roman"/>
          <w:szCs w:val="24"/>
        </w:rPr>
        <w:t>/mg</w:t>
      </w:r>
      <w:r w:rsidRPr="007E61D7">
        <w:rPr>
          <w:rFonts w:cs="Times New Roman"/>
          <w:szCs w:val="24"/>
        </w:rPr>
        <w:t xml:space="preserve">, respectively.  In addition, the control group averaged 0.16 </w:t>
      </w:r>
      <w:proofErr w:type="spellStart"/>
      <w:r w:rsidR="00137647" w:rsidRPr="007E61D7">
        <w:rPr>
          <w:rFonts w:cs="Times New Roman"/>
          <w:szCs w:val="24"/>
        </w:rPr>
        <w:t>nmol</w:t>
      </w:r>
      <w:proofErr w:type="spellEnd"/>
      <w:r w:rsidR="00137647" w:rsidRPr="007E61D7">
        <w:rPr>
          <w:rFonts w:cs="Times New Roman"/>
          <w:szCs w:val="24"/>
        </w:rPr>
        <w:t>/mg</w:t>
      </w:r>
      <w:r w:rsidRPr="007E61D7">
        <w:rPr>
          <w:rFonts w:cs="Times New Roman"/>
          <w:szCs w:val="24"/>
        </w:rPr>
        <w:t xml:space="preserve"> of </w:t>
      </w:r>
      <w:r w:rsidR="007E1418" w:rsidRPr="007E61D7">
        <w:rPr>
          <w:rFonts w:cs="Times New Roman"/>
          <w:szCs w:val="24"/>
        </w:rPr>
        <w:t>SOD</w:t>
      </w:r>
      <w:r w:rsidRPr="007E61D7">
        <w:rPr>
          <w:rFonts w:cs="Times New Roman"/>
          <w:szCs w:val="24"/>
        </w:rPr>
        <w:t xml:space="preserve"> levels, whereas the experimental groups, administered </w:t>
      </w:r>
      <w:r w:rsidR="007E1418" w:rsidRPr="007E61D7">
        <w:rPr>
          <w:rFonts w:cs="Times New Roman"/>
          <w:szCs w:val="24"/>
        </w:rPr>
        <w:t xml:space="preserve">PZ </w:t>
      </w:r>
      <w:r w:rsidRPr="007E61D7">
        <w:rPr>
          <w:rFonts w:cs="Times New Roman"/>
          <w:szCs w:val="24"/>
        </w:rPr>
        <w:t xml:space="preserve">at low, medium, and high dosages, produced mean SOD levels of 0.16, 0.21, and 0.26 </w:t>
      </w:r>
      <w:proofErr w:type="spellStart"/>
      <w:r w:rsidR="00137647" w:rsidRPr="007E61D7">
        <w:rPr>
          <w:rFonts w:cs="Times New Roman"/>
          <w:szCs w:val="24"/>
        </w:rPr>
        <w:t>nmol</w:t>
      </w:r>
      <w:proofErr w:type="spellEnd"/>
      <w:r w:rsidR="00137647" w:rsidRPr="007E61D7">
        <w:rPr>
          <w:rFonts w:cs="Times New Roman"/>
          <w:szCs w:val="24"/>
        </w:rPr>
        <w:t>/mg</w:t>
      </w:r>
      <w:r w:rsidRPr="007E61D7">
        <w:rPr>
          <w:rFonts w:cs="Times New Roman"/>
          <w:szCs w:val="24"/>
        </w:rPr>
        <w:t>, respectively.</w:t>
      </w:r>
    </w:p>
    <w:p w14:paraId="5AF34207" w14:textId="77777777" w:rsidR="00600E0E" w:rsidRPr="007E61D7" w:rsidRDefault="00EA39E3" w:rsidP="00FB315A">
      <w:pPr>
        <w:spacing w:after="240" w:line="240" w:lineRule="auto"/>
        <w:rPr>
          <w:rFonts w:cs="Times New Roman"/>
          <w:szCs w:val="24"/>
        </w:rPr>
      </w:pPr>
      <w:r w:rsidRPr="007E61D7">
        <w:rPr>
          <w:rFonts w:cs="Times New Roman"/>
          <w:szCs w:val="24"/>
        </w:rPr>
        <w:t>Also</w:t>
      </w:r>
      <w:r w:rsidR="00410D04" w:rsidRPr="007E61D7">
        <w:rPr>
          <w:rFonts w:cs="Times New Roman"/>
          <w:szCs w:val="24"/>
        </w:rPr>
        <w:t xml:space="preserve">, all experimental groups showed significant reductions in the lipid peroxidation activities of </w:t>
      </w:r>
      <w:r w:rsidR="007E1418" w:rsidRPr="007E61D7">
        <w:rPr>
          <w:rFonts w:cs="Times New Roman"/>
          <w:szCs w:val="24"/>
        </w:rPr>
        <w:t>MDA</w:t>
      </w:r>
      <w:r w:rsidR="00410D04" w:rsidRPr="007E61D7">
        <w:rPr>
          <w:rFonts w:cs="Times New Roman"/>
          <w:szCs w:val="24"/>
        </w:rPr>
        <w:t xml:space="preserve"> as compared to the control group. Compared to the mean MDA levels of 0.60 </w:t>
      </w:r>
      <w:proofErr w:type="spellStart"/>
      <w:r w:rsidR="00137647" w:rsidRPr="007E61D7">
        <w:rPr>
          <w:rFonts w:cs="Times New Roman"/>
          <w:szCs w:val="24"/>
        </w:rPr>
        <w:t>nmol</w:t>
      </w:r>
      <w:proofErr w:type="spellEnd"/>
      <w:r w:rsidR="00137647" w:rsidRPr="007E61D7">
        <w:rPr>
          <w:rFonts w:cs="Times New Roman"/>
          <w:szCs w:val="24"/>
        </w:rPr>
        <w:t>/mg</w:t>
      </w:r>
      <w:r w:rsidR="00410D04" w:rsidRPr="007E61D7">
        <w:rPr>
          <w:rFonts w:cs="Times New Roman"/>
          <w:szCs w:val="24"/>
        </w:rPr>
        <w:t xml:space="preserve"> in the control group, the experimental groups that received low, medium, and high doses of </w:t>
      </w:r>
      <w:r w:rsidR="007E1418" w:rsidRPr="007E61D7">
        <w:rPr>
          <w:rFonts w:cs="Times New Roman"/>
          <w:szCs w:val="24"/>
        </w:rPr>
        <w:t xml:space="preserve">PZ </w:t>
      </w:r>
      <w:r w:rsidR="00410D04" w:rsidRPr="007E61D7">
        <w:rPr>
          <w:rFonts w:cs="Times New Roman"/>
          <w:szCs w:val="24"/>
        </w:rPr>
        <w:t xml:space="preserve">had mean MDA values of 0.59, 0.56, and 0.49 </w:t>
      </w:r>
      <w:proofErr w:type="spellStart"/>
      <w:r w:rsidR="00137647" w:rsidRPr="007E61D7">
        <w:rPr>
          <w:rFonts w:cs="Times New Roman"/>
          <w:szCs w:val="24"/>
        </w:rPr>
        <w:t>nmol</w:t>
      </w:r>
      <w:proofErr w:type="spellEnd"/>
      <w:r w:rsidR="00137647" w:rsidRPr="007E61D7">
        <w:rPr>
          <w:rFonts w:cs="Times New Roman"/>
          <w:szCs w:val="24"/>
        </w:rPr>
        <w:t>/mg</w:t>
      </w:r>
      <w:r w:rsidR="00410D04" w:rsidRPr="007E61D7">
        <w:rPr>
          <w:rFonts w:cs="Times New Roman"/>
          <w:szCs w:val="24"/>
        </w:rPr>
        <w:t>, respectively.</w:t>
      </w:r>
    </w:p>
    <w:p w14:paraId="4138FA02" w14:textId="77777777" w:rsidR="007D4A1A" w:rsidRPr="007E61D7" w:rsidRDefault="00410D04" w:rsidP="00FB315A">
      <w:pPr>
        <w:spacing w:before="240" w:after="240" w:line="240" w:lineRule="auto"/>
        <w:rPr>
          <w:rFonts w:cs="Times New Roman"/>
          <w:b/>
          <w:bCs/>
          <w:szCs w:val="24"/>
        </w:rPr>
      </w:pPr>
      <w:r w:rsidRPr="007E61D7">
        <w:rPr>
          <w:rFonts w:cs="Times New Roman"/>
          <w:b/>
          <w:bCs/>
          <w:szCs w:val="24"/>
        </w:rPr>
        <w:t xml:space="preserve">Changes in </w:t>
      </w:r>
      <w:r w:rsidR="001E5D4E" w:rsidRPr="007E61D7">
        <w:rPr>
          <w:rFonts w:cs="Times New Roman"/>
          <w:b/>
          <w:bCs/>
          <w:szCs w:val="24"/>
        </w:rPr>
        <w:t xml:space="preserve">oxidative stress </w:t>
      </w:r>
      <w:r w:rsidRPr="007E61D7">
        <w:rPr>
          <w:rFonts w:cs="Times New Roman"/>
          <w:b/>
          <w:bCs/>
          <w:szCs w:val="24"/>
        </w:rPr>
        <w:t>parameters of the large intestine</w:t>
      </w:r>
    </w:p>
    <w:p w14:paraId="41DBF50B" w14:textId="1C5C6D2E" w:rsidR="00600E0E" w:rsidRPr="007E61D7" w:rsidRDefault="00410D04" w:rsidP="00FB315A">
      <w:pPr>
        <w:spacing w:after="240" w:line="240" w:lineRule="auto"/>
        <w:rPr>
          <w:rFonts w:cs="Times New Roman"/>
          <w:szCs w:val="24"/>
        </w:rPr>
      </w:pPr>
      <w:r w:rsidRPr="007E61D7">
        <w:rPr>
          <w:rFonts w:cs="Times New Roman"/>
          <w:szCs w:val="24"/>
        </w:rPr>
        <w:t xml:space="preserve">By comparison to the control groups, all experimental groups demonstrated significant enhancements in the antioxidant enzyme activities of </w:t>
      </w:r>
      <w:r w:rsidR="007E1418" w:rsidRPr="007E61D7">
        <w:rPr>
          <w:rFonts w:cs="Times New Roman"/>
          <w:szCs w:val="24"/>
        </w:rPr>
        <w:t>CAT</w:t>
      </w:r>
      <w:r w:rsidRPr="007E61D7">
        <w:rPr>
          <w:rFonts w:cs="Times New Roman"/>
          <w:szCs w:val="24"/>
        </w:rPr>
        <w:t xml:space="preserve"> and considerably elevated levels of </w:t>
      </w:r>
      <w:r w:rsidR="007E1418" w:rsidRPr="007E61D7">
        <w:rPr>
          <w:rFonts w:cs="Times New Roman"/>
          <w:szCs w:val="24"/>
        </w:rPr>
        <w:t>SOD</w:t>
      </w:r>
      <w:r w:rsidRPr="007E61D7">
        <w:rPr>
          <w:rFonts w:cs="Times New Roman"/>
          <w:szCs w:val="24"/>
        </w:rPr>
        <w:t xml:space="preserve">, as seen </w:t>
      </w:r>
      <w:r w:rsidRPr="0076594A">
        <w:rPr>
          <w:rFonts w:cs="Times New Roman"/>
          <w:szCs w:val="24"/>
          <w:highlight w:val="yellow"/>
        </w:rPr>
        <w:t xml:space="preserve">in Table </w:t>
      </w:r>
      <w:r w:rsidR="0076594A" w:rsidRPr="0076594A">
        <w:rPr>
          <w:rFonts w:cs="Times New Roman"/>
          <w:szCs w:val="24"/>
          <w:highlight w:val="yellow"/>
        </w:rPr>
        <w:t>2</w:t>
      </w:r>
      <w:r w:rsidRPr="0076594A">
        <w:rPr>
          <w:rFonts w:cs="Times New Roman"/>
          <w:szCs w:val="24"/>
          <w:highlight w:val="yellow"/>
        </w:rPr>
        <w:t>.</w:t>
      </w:r>
      <w:r w:rsidRPr="007E61D7">
        <w:rPr>
          <w:rFonts w:cs="Times New Roman"/>
          <w:szCs w:val="24"/>
        </w:rPr>
        <w:t xml:space="preserve"> The experimental groups in this study, which were administered </w:t>
      </w:r>
      <w:r w:rsidR="007E1418" w:rsidRPr="007E61D7">
        <w:rPr>
          <w:rFonts w:cs="Times New Roman"/>
          <w:szCs w:val="24"/>
        </w:rPr>
        <w:t xml:space="preserve">PZ </w:t>
      </w:r>
      <w:r w:rsidRPr="007E61D7">
        <w:rPr>
          <w:rFonts w:cs="Times New Roman"/>
          <w:szCs w:val="24"/>
        </w:rPr>
        <w:t xml:space="preserve">at low, medium, and high dosages, had average CAT levels of 1.33, 1.56, and 0.93 </w:t>
      </w:r>
      <w:proofErr w:type="spellStart"/>
      <w:r w:rsidR="00137647" w:rsidRPr="007E61D7">
        <w:rPr>
          <w:rFonts w:cs="Times New Roman"/>
          <w:szCs w:val="24"/>
        </w:rPr>
        <w:t>nmol</w:t>
      </w:r>
      <w:proofErr w:type="spellEnd"/>
      <w:r w:rsidR="00137647" w:rsidRPr="007E61D7">
        <w:rPr>
          <w:rFonts w:cs="Times New Roman"/>
          <w:szCs w:val="24"/>
        </w:rPr>
        <w:t>/mg</w:t>
      </w:r>
      <w:r w:rsidRPr="007E61D7">
        <w:rPr>
          <w:rFonts w:cs="Times New Roman"/>
          <w:szCs w:val="24"/>
        </w:rPr>
        <w:t xml:space="preserve">, respectively, compared to the control group's average CAT level of 0.86 </w:t>
      </w:r>
      <w:proofErr w:type="spellStart"/>
      <w:r w:rsidR="00137647" w:rsidRPr="007E61D7">
        <w:rPr>
          <w:rFonts w:cs="Times New Roman"/>
          <w:szCs w:val="24"/>
        </w:rPr>
        <w:t>nmol</w:t>
      </w:r>
      <w:proofErr w:type="spellEnd"/>
      <w:r w:rsidR="00137647" w:rsidRPr="007E61D7">
        <w:rPr>
          <w:rFonts w:cs="Times New Roman"/>
          <w:szCs w:val="24"/>
        </w:rPr>
        <w:t>/mg</w:t>
      </w:r>
      <w:r w:rsidRPr="007E61D7">
        <w:rPr>
          <w:rFonts w:cs="Times New Roman"/>
          <w:szCs w:val="24"/>
        </w:rPr>
        <w:t xml:space="preserve">.  A mean </w:t>
      </w:r>
      <w:r w:rsidR="007E1418" w:rsidRPr="007E61D7">
        <w:rPr>
          <w:rFonts w:cs="Times New Roman"/>
          <w:szCs w:val="24"/>
        </w:rPr>
        <w:t>SOD</w:t>
      </w:r>
      <w:r w:rsidRPr="007E61D7">
        <w:rPr>
          <w:rFonts w:cs="Times New Roman"/>
          <w:szCs w:val="24"/>
        </w:rPr>
        <w:t xml:space="preserve"> level of 0.38 </w:t>
      </w:r>
      <w:proofErr w:type="spellStart"/>
      <w:r w:rsidR="00137647" w:rsidRPr="007E61D7">
        <w:rPr>
          <w:rFonts w:cs="Times New Roman"/>
          <w:szCs w:val="24"/>
        </w:rPr>
        <w:t>nmol</w:t>
      </w:r>
      <w:proofErr w:type="spellEnd"/>
      <w:r w:rsidR="00137647" w:rsidRPr="007E61D7">
        <w:rPr>
          <w:rFonts w:cs="Times New Roman"/>
          <w:szCs w:val="24"/>
        </w:rPr>
        <w:t>/mg</w:t>
      </w:r>
      <w:r w:rsidRPr="007E61D7">
        <w:rPr>
          <w:rFonts w:cs="Times New Roman"/>
          <w:szCs w:val="24"/>
        </w:rPr>
        <w:t xml:space="preserve"> was observed in the control group, whereas the experimental groups, which received </w:t>
      </w:r>
      <w:r w:rsidR="007E1418" w:rsidRPr="007E61D7">
        <w:rPr>
          <w:rFonts w:cs="Times New Roman"/>
          <w:szCs w:val="24"/>
        </w:rPr>
        <w:t xml:space="preserve">PZ </w:t>
      </w:r>
      <w:r w:rsidRPr="007E61D7">
        <w:rPr>
          <w:rFonts w:cs="Times New Roman"/>
          <w:szCs w:val="24"/>
        </w:rPr>
        <w:t xml:space="preserve">at low, moderate, and high doses, had mean SOD values of 0.45, 0.43, and 0.49 </w:t>
      </w:r>
      <w:proofErr w:type="spellStart"/>
      <w:r w:rsidR="00137647" w:rsidRPr="007E61D7">
        <w:rPr>
          <w:rFonts w:cs="Times New Roman"/>
          <w:szCs w:val="24"/>
        </w:rPr>
        <w:t>nmol</w:t>
      </w:r>
      <w:proofErr w:type="spellEnd"/>
      <w:r w:rsidR="00137647" w:rsidRPr="007E61D7">
        <w:rPr>
          <w:rFonts w:cs="Times New Roman"/>
          <w:szCs w:val="24"/>
        </w:rPr>
        <w:t>/mg</w:t>
      </w:r>
      <w:r w:rsidRPr="007E61D7">
        <w:rPr>
          <w:rFonts w:cs="Times New Roman"/>
          <w:szCs w:val="24"/>
        </w:rPr>
        <w:t>, respectively.</w:t>
      </w:r>
    </w:p>
    <w:p w14:paraId="2E548A6D" w14:textId="77777777" w:rsidR="00142A15" w:rsidRPr="007E61D7" w:rsidRDefault="00410D04" w:rsidP="00FB315A">
      <w:pPr>
        <w:spacing w:after="240" w:line="240" w:lineRule="auto"/>
        <w:rPr>
          <w:rFonts w:cs="Times New Roman"/>
          <w:color w:val="000000"/>
          <w:szCs w:val="24"/>
        </w:rPr>
      </w:pPr>
      <w:r w:rsidRPr="007E61D7">
        <w:rPr>
          <w:rFonts w:cs="Times New Roman"/>
          <w:szCs w:val="24"/>
        </w:rPr>
        <w:t xml:space="preserve">Importantly, all experimental groups showed substantial reductions in the lipid peroxidation activities of </w:t>
      </w:r>
      <w:r w:rsidR="007E1418" w:rsidRPr="007E61D7">
        <w:rPr>
          <w:rFonts w:cs="Times New Roman"/>
          <w:szCs w:val="24"/>
        </w:rPr>
        <w:t>MDA</w:t>
      </w:r>
      <w:r w:rsidRPr="007E61D7">
        <w:rPr>
          <w:rFonts w:cs="Times New Roman"/>
          <w:szCs w:val="24"/>
        </w:rPr>
        <w:t xml:space="preserve"> as compared to the control group. The mean MDA level in the control group was </w:t>
      </w:r>
      <w:r w:rsidRPr="007E61D7">
        <w:rPr>
          <w:rFonts w:cs="Times New Roman"/>
          <w:color w:val="000000"/>
          <w:szCs w:val="24"/>
        </w:rPr>
        <w:t xml:space="preserve">0.41 </w:t>
      </w:r>
      <w:proofErr w:type="spellStart"/>
      <w:r w:rsidR="00137647" w:rsidRPr="007E61D7">
        <w:rPr>
          <w:rFonts w:cs="Times New Roman"/>
          <w:szCs w:val="24"/>
        </w:rPr>
        <w:t>nmol</w:t>
      </w:r>
      <w:proofErr w:type="spellEnd"/>
      <w:r w:rsidR="00137647" w:rsidRPr="007E61D7">
        <w:rPr>
          <w:rFonts w:cs="Times New Roman"/>
          <w:szCs w:val="24"/>
        </w:rPr>
        <w:t>/mg</w:t>
      </w:r>
      <w:r w:rsidRPr="007E61D7">
        <w:rPr>
          <w:rFonts w:cs="Times New Roman"/>
          <w:color w:val="000000"/>
          <w:szCs w:val="24"/>
        </w:rPr>
        <w:t xml:space="preserve">, while that of the experimental groups that were treated with low, medium, and high doses of </w:t>
      </w:r>
      <w:r w:rsidR="007E1418" w:rsidRPr="007E61D7">
        <w:rPr>
          <w:rFonts w:cs="Times New Roman"/>
          <w:szCs w:val="24"/>
        </w:rPr>
        <w:t xml:space="preserve">PZ </w:t>
      </w:r>
      <w:r w:rsidRPr="007E61D7">
        <w:rPr>
          <w:rFonts w:cs="Times New Roman"/>
          <w:color w:val="000000"/>
          <w:szCs w:val="24"/>
        </w:rPr>
        <w:t xml:space="preserve">in this study had mean MDA levels of 0.37, 0.37, and 0.26 </w:t>
      </w:r>
      <w:proofErr w:type="spellStart"/>
      <w:r w:rsidR="00137647" w:rsidRPr="007E61D7">
        <w:rPr>
          <w:rFonts w:cs="Times New Roman"/>
          <w:szCs w:val="24"/>
        </w:rPr>
        <w:t>nmol</w:t>
      </w:r>
      <w:proofErr w:type="spellEnd"/>
      <w:r w:rsidR="00137647" w:rsidRPr="007E61D7">
        <w:rPr>
          <w:rFonts w:cs="Times New Roman"/>
          <w:szCs w:val="24"/>
        </w:rPr>
        <w:t>/mg</w:t>
      </w:r>
      <w:r w:rsidRPr="007E61D7">
        <w:rPr>
          <w:rFonts w:cs="Times New Roman"/>
          <w:color w:val="000000"/>
          <w:szCs w:val="24"/>
        </w:rPr>
        <w:t>, respectively.</w:t>
      </w:r>
    </w:p>
    <w:p w14:paraId="45A3829C" w14:textId="4B4D095A" w:rsidR="00142A15" w:rsidRPr="007E61D7" w:rsidRDefault="00410D04" w:rsidP="00EA39E3">
      <w:pPr>
        <w:autoSpaceDE w:val="0"/>
        <w:autoSpaceDN w:val="0"/>
        <w:adjustRightInd w:val="0"/>
        <w:spacing w:before="240" w:after="240" w:line="240" w:lineRule="auto"/>
        <w:jc w:val="center"/>
        <w:rPr>
          <w:rFonts w:cs="Times New Roman"/>
          <w:b/>
          <w:szCs w:val="24"/>
        </w:rPr>
      </w:pPr>
      <w:r w:rsidRPr="007E61D7">
        <w:rPr>
          <w:rFonts w:cs="Times New Roman"/>
          <w:b/>
          <w:szCs w:val="24"/>
        </w:rPr>
        <w:t xml:space="preserve">Table </w:t>
      </w:r>
      <w:r w:rsidR="00B42706">
        <w:rPr>
          <w:rFonts w:cs="Times New Roman"/>
          <w:b/>
          <w:szCs w:val="24"/>
        </w:rPr>
        <w:t>1</w:t>
      </w:r>
      <w:r w:rsidRPr="007E61D7">
        <w:rPr>
          <w:rFonts w:cs="Times New Roman"/>
          <w:b/>
          <w:szCs w:val="24"/>
        </w:rPr>
        <w:t xml:space="preserve">. Effects of </w:t>
      </w:r>
      <w:proofErr w:type="spellStart"/>
      <w:r w:rsidRPr="007E61D7">
        <w:rPr>
          <w:rFonts w:cs="Times New Roman"/>
          <w:b/>
          <w:szCs w:val="24"/>
        </w:rPr>
        <w:t>pentazocine</w:t>
      </w:r>
      <w:proofErr w:type="spellEnd"/>
      <w:r w:rsidRPr="007E61D7">
        <w:rPr>
          <w:rFonts w:cs="Times New Roman"/>
          <w:b/>
          <w:szCs w:val="24"/>
        </w:rPr>
        <w:t xml:space="preserve"> treatment on antioxidant enzyme activity and lipid peroxidation status in small intestine of rats</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3"/>
        <w:gridCol w:w="1896"/>
        <w:gridCol w:w="74"/>
        <w:gridCol w:w="1726"/>
        <w:gridCol w:w="230"/>
        <w:gridCol w:w="1718"/>
        <w:gridCol w:w="318"/>
      </w:tblGrid>
      <w:tr w:rsidR="00E972C5" w:rsidRPr="007E61D7" w14:paraId="5CC34FC2" w14:textId="77777777" w:rsidTr="00E972C5">
        <w:trPr>
          <w:jc w:val="center"/>
        </w:trPr>
        <w:tc>
          <w:tcPr>
            <w:tcW w:w="3093" w:type="dxa"/>
            <w:vMerge w:val="restart"/>
            <w:tcBorders>
              <w:top w:val="single" w:sz="4" w:space="0" w:color="auto"/>
              <w:bottom w:val="single" w:sz="4" w:space="0" w:color="auto"/>
            </w:tcBorders>
          </w:tcPr>
          <w:p w14:paraId="2CD67C74" w14:textId="77777777" w:rsidR="00E972C5" w:rsidRPr="007E61D7" w:rsidRDefault="00E972C5" w:rsidP="00EA39E3">
            <w:pPr>
              <w:autoSpaceDE w:val="0"/>
              <w:autoSpaceDN w:val="0"/>
              <w:adjustRightInd w:val="0"/>
              <w:jc w:val="center"/>
              <w:rPr>
                <w:rFonts w:ascii="Times New Roman" w:hAnsi="Times New Roman" w:cs="Times New Roman"/>
                <w:b/>
                <w:sz w:val="24"/>
                <w:szCs w:val="24"/>
              </w:rPr>
            </w:pPr>
            <w:r w:rsidRPr="007E61D7">
              <w:rPr>
                <w:rFonts w:ascii="Times New Roman" w:hAnsi="Times New Roman" w:cs="Times New Roman"/>
                <w:b/>
                <w:sz w:val="24"/>
                <w:szCs w:val="24"/>
              </w:rPr>
              <w:t>Treatment Groups</w:t>
            </w:r>
          </w:p>
        </w:tc>
        <w:tc>
          <w:tcPr>
            <w:tcW w:w="1970" w:type="dxa"/>
            <w:gridSpan w:val="2"/>
            <w:tcBorders>
              <w:top w:val="single" w:sz="4" w:space="0" w:color="auto"/>
              <w:bottom w:val="single" w:sz="4" w:space="0" w:color="auto"/>
            </w:tcBorders>
          </w:tcPr>
          <w:p w14:paraId="3B71498E" w14:textId="77777777" w:rsidR="00E972C5" w:rsidRPr="007E61D7" w:rsidRDefault="00E972C5" w:rsidP="00F00370">
            <w:pPr>
              <w:autoSpaceDE w:val="0"/>
              <w:autoSpaceDN w:val="0"/>
              <w:adjustRightInd w:val="0"/>
              <w:jc w:val="center"/>
              <w:rPr>
                <w:rFonts w:ascii="Times New Roman" w:hAnsi="Times New Roman" w:cs="Times New Roman"/>
                <w:b/>
                <w:sz w:val="24"/>
                <w:szCs w:val="24"/>
              </w:rPr>
            </w:pPr>
            <w:r w:rsidRPr="007E61D7">
              <w:rPr>
                <w:rFonts w:ascii="Times New Roman" w:hAnsi="Times New Roman" w:cs="Times New Roman"/>
                <w:b/>
                <w:sz w:val="24"/>
                <w:szCs w:val="24"/>
              </w:rPr>
              <w:t>CAT (</w:t>
            </w:r>
            <w:proofErr w:type="spellStart"/>
            <w:r w:rsidRPr="007E61D7">
              <w:rPr>
                <w:rFonts w:ascii="Times New Roman" w:hAnsi="Times New Roman" w:cs="Times New Roman"/>
                <w:b/>
                <w:sz w:val="24"/>
                <w:szCs w:val="24"/>
              </w:rPr>
              <w:t>nmol</w:t>
            </w:r>
            <w:proofErr w:type="spellEnd"/>
            <w:r w:rsidRPr="007E61D7">
              <w:rPr>
                <w:rFonts w:ascii="Times New Roman" w:hAnsi="Times New Roman" w:cs="Times New Roman"/>
                <w:b/>
                <w:sz w:val="24"/>
                <w:szCs w:val="24"/>
              </w:rPr>
              <w:t>/mg)</w:t>
            </w:r>
          </w:p>
        </w:tc>
        <w:tc>
          <w:tcPr>
            <w:tcW w:w="1956" w:type="dxa"/>
            <w:gridSpan w:val="2"/>
            <w:tcBorders>
              <w:top w:val="single" w:sz="4" w:space="0" w:color="auto"/>
              <w:bottom w:val="single" w:sz="4" w:space="0" w:color="auto"/>
            </w:tcBorders>
          </w:tcPr>
          <w:p w14:paraId="041F9725" w14:textId="77777777" w:rsidR="00E972C5" w:rsidRPr="007E61D7" w:rsidRDefault="00E972C5" w:rsidP="00F00370">
            <w:pPr>
              <w:autoSpaceDE w:val="0"/>
              <w:autoSpaceDN w:val="0"/>
              <w:adjustRightInd w:val="0"/>
              <w:jc w:val="center"/>
              <w:rPr>
                <w:rFonts w:ascii="Times New Roman" w:hAnsi="Times New Roman" w:cs="Times New Roman"/>
                <w:b/>
                <w:sz w:val="24"/>
                <w:szCs w:val="24"/>
              </w:rPr>
            </w:pPr>
            <w:r w:rsidRPr="007E61D7">
              <w:rPr>
                <w:rFonts w:ascii="Times New Roman" w:hAnsi="Times New Roman" w:cs="Times New Roman"/>
                <w:b/>
                <w:sz w:val="24"/>
                <w:szCs w:val="24"/>
              </w:rPr>
              <w:t>SOD (</w:t>
            </w:r>
            <w:proofErr w:type="spellStart"/>
            <w:r w:rsidRPr="007E61D7">
              <w:rPr>
                <w:rFonts w:ascii="Times New Roman" w:hAnsi="Times New Roman" w:cs="Times New Roman"/>
                <w:b/>
                <w:sz w:val="24"/>
                <w:szCs w:val="24"/>
              </w:rPr>
              <w:t>nmol</w:t>
            </w:r>
            <w:proofErr w:type="spellEnd"/>
            <w:r w:rsidRPr="007E61D7">
              <w:rPr>
                <w:rFonts w:ascii="Times New Roman" w:hAnsi="Times New Roman" w:cs="Times New Roman"/>
                <w:b/>
                <w:sz w:val="24"/>
                <w:szCs w:val="24"/>
              </w:rPr>
              <w:t>/mg)</w:t>
            </w:r>
          </w:p>
        </w:tc>
        <w:tc>
          <w:tcPr>
            <w:tcW w:w="2036" w:type="dxa"/>
            <w:gridSpan w:val="2"/>
            <w:tcBorders>
              <w:top w:val="single" w:sz="4" w:space="0" w:color="auto"/>
              <w:bottom w:val="single" w:sz="4" w:space="0" w:color="auto"/>
            </w:tcBorders>
          </w:tcPr>
          <w:p w14:paraId="4AF60FA7" w14:textId="77777777" w:rsidR="00E972C5" w:rsidRPr="007E61D7" w:rsidRDefault="00E972C5" w:rsidP="00F00370">
            <w:pPr>
              <w:autoSpaceDE w:val="0"/>
              <w:autoSpaceDN w:val="0"/>
              <w:adjustRightInd w:val="0"/>
              <w:jc w:val="center"/>
              <w:rPr>
                <w:rFonts w:ascii="Times New Roman" w:hAnsi="Times New Roman" w:cs="Times New Roman"/>
                <w:b/>
                <w:sz w:val="24"/>
                <w:szCs w:val="24"/>
              </w:rPr>
            </w:pPr>
            <w:r w:rsidRPr="007E61D7">
              <w:rPr>
                <w:rFonts w:ascii="Times New Roman" w:hAnsi="Times New Roman" w:cs="Times New Roman"/>
                <w:b/>
                <w:sz w:val="24"/>
                <w:szCs w:val="24"/>
              </w:rPr>
              <w:t>MDA (</w:t>
            </w:r>
            <w:proofErr w:type="spellStart"/>
            <w:r w:rsidRPr="007E61D7">
              <w:rPr>
                <w:rFonts w:ascii="Times New Roman" w:hAnsi="Times New Roman" w:cs="Times New Roman"/>
                <w:b/>
                <w:sz w:val="24"/>
                <w:szCs w:val="24"/>
              </w:rPr>
              <w:t>nmol</w:t>
            </w:r>
            <w:proofErr w:type="spellEnd"/>
            <w:r w:rsidRPr="007E61D7">
              <w:rPr>
                <w:rFonts w:ascii="Times New Roman" w:hAnsi="Times New Roman" w:cs="Times New Roman"/>
                <w:b/>
                <w:sz w:val="24"/>
                <w:szCs w:val="24"/>
              </w:rPr>
              <w:t>/mg)</w:t>
            </w:r>
          </w:p>
        </w:tc>
      </w:tr>
      <w:tr w:rsidR="005257F5" w:rsidRPr="007E61D7" w14:paraId="4FE6AB09" w14:textId="77777777" w:rsidTr="00BD2A86">
        <w:trPr>
          <w:gridAfter w:val="1"/>
          <w:wAfter w:w="318" w:type="dxa"/>
          <w:jc w:val="center"/>
        </w:trPr>
        <w:tc>
          <w:tcPr>
            <w:tcW w:w="3093" w:type="dxa"/>
            <w:vMerge/>
            <w:tcBorders>
              <w:top w:val="single" w:sz="4" w:space="0" w:color="auto"/>
              <w:bottom w:val="single" w:sz="4" w:space="0" w:color="auto"/>
            </w:tcBorders>
          </w:tcPr>
          <w:p w14:paraId="4BD7BA5D" w14:textId="77777777" w:rsidR="00142A15" w:rsidRPr="007E61D7" w:rsidRDefault="00142A15" w:rsidP="00EA39E3">
            <w:pPr>
              <w:autoSpaceDE w:val="0"/>
              <w:autoSpaceDN w:val="0"/>
              <w:adjustRightInd w:val="0"/>
              <w:jc w:val="center"/>
              <w:rPr>
                <w:rFonts w:ascii="Times New Roman" w:hAnsi="Times New Roman" w:cs="Times New Roman"/>
                <w:sz w:val="24"/>
                <w:szCs w:val="24"/>
              </w:rPr>
            </w:pPr>
          </w:p>
        </w:tc>
        <w:tc>
          <w:tcPr>
            <w:tcW w:w="1896" w:type="dxa"/>
            <w:tcBorders>
              <w:top w:val="single" w:sz="4" w:space="0" w:color="auto"/>
              <w:bottom w:val="single" w:sz="4" w:space="0" w:color="auto"/>
            </w:tcBorders>
          </w:tcPr>
          <w:p w14:paraId="2E15696A" w14:textId="77777777" w:rsidR="00142A15" w:rsidRPr="007E61D7" w:rsidRDefault="00410D04" w:rsidP="00EA39E3">
            <w:pPr>
              <w:autoSpaceDE w:val="0"/>
              <w:autoSpaceDN w:val="0"/>
              <w:adjustRightInd w:val="0"/>
              <w:jc w:val="center"/>
              <w:rPr>
                <w:rFonts w:ascii="Times New Roman" w:hAnsi="Times New Roman" w:cs="Times New Roman"/>
                <w:b/>
                <w:sz w:val="24"/>
                <w:szCs w:val="24"/>
              </w:rPr>
            </w:pPr>
            <w:r w:rsidRPr="007E61D7">
              <w:rPr>
                <w:rFonts w:ascii="Times New Roman" w:hAnsi="Times New Roman" w:cs="Times New Roman"/>
                <w:b/>
                <w:sz w:val="24"/>
                <w:szCs w:val="24"/>
              </w:rPr>
              <w:t>Mean ± S.E.M</w:t>
            </w:r>
          </w:p>
        </w:tc>
        <w:tc>
          <w:tcPr>
            <w:tcW w:w="1800" w:type="dxa"/>
            <w:gridSpan w:val="2"/>
            <w:tcBorders>
              <w:top w:val="single" w:sz="4" w:space="0" w:color="auto"/>
              <w:bottom w:val="single" w:sz="4" w:space="0" w:color="auto"/>
            </w:tcBorders>
          </w:tcPr>
          <w:p w14:paraId="0679C301" w14:textId="77777777" w:rsidR="00142A15" w:rsidRPr="007E61D7" w:rsidRDefault="00410D04" w:rsidP="00EA39E3">
            <w:pPr>
              <w:autoSpaceDE w:val="0"/>
              <w:autoSpaceDN w:val="0"/>
              <w:adjustRightInd w:val="0"/>
              <w:jc w:val="center"/>
              <w:rPr>
                <w:rFonts w:ascii="Times New Roman" w:hAnsi="Times New Roman" w:cs="Times New Roman"/>
                <w:b/>
                <w:sz w:val="24"/>
                <w:szCs w:val="24"/>
              </w:rPr>
            </w:pPr>
            <w:r w:rsidRPr="007E61D7">
              <w:rPr>
                <w:rFonts w:ascii="Times New Roman" w:hAnsi="Times New Roman" w:cs="Times New Roman"/>
                <w:b/>
                <w:sz w:val="24"/>
                <w:szCs w:val="24"/>
              </w:rPr>
              <w:t>Mean ± S.E.M</w:t>
            </w:r>
          </w:p>
        </w:tc>
        <w:tc>
          <w:tcPr>
            <w:tcW w:w="1948" w:type="dxa"/>
            <w:gridSpan w:val="2"/>
            <w:tcBorders>
              <w:top w:val="single" w:sz="4" w:space="0" w:color="auto"/>
              <w:bottom w:val="single" w:sz="4" w:space="0" w:color="auto"/>
            </w:tcBorders>
          </w:tcPr>
          <w:p w14:paraId="083AB962" w14:textId="77777777" w:rsidR="00142A15" w:rsidRPr="007E61D7" w:rsidRDefault="00410D04" w:rsidP="00EA39E3">
            <w:pPr>
              <w:autoSpaceDE w:val="0"/>
              <w:autoSpaceDN w:val="0"/>
              <w:adjustRightInd w:val="0"/>
              <w:jc w:val="center"/>
              <w:rPr>
                <w:rFonts w:ascii="Times New Roman" w:hAnsi="Times New Roman" w:cs="Times New Roman"/>
                <w:b/>
                <w:sz w:val="24"/>
                <w:szCs w:val="24"/>
              </w:rPr>
            </w:pPr>
            <w:r w:rsidRPr="007E61D7">
              <w:rPr>
                <w:rFonts w:ascii="Times New Roman" w:hAnsi="Times New Roman" w:cs="Times New Roman"/>
                <w:b/>
                <w:sz w:val="24"/>
                <w:szCs w:val="24"/>
              </w:rPr>
              <w:t>Mean ± S.E.M</w:t>
            </w:r>
          </w:p>
        </w:tc>
      </w:tr>
      <w:tr w:rsidR="005257F5" w:rsidRPr="007E61D7" w14:paraId="2C2D8EDA" w14:textId="77777777" w:rsidTr="00BD2A86">
        <w:trPr>
          <w:gridAfter w:val="1"/>
          <w:wAfter w:w="318" w:type="dxa"/>
          <w:jc w:val="center"/>
        </w:trPr>
        <w:tc>
          <w:tcPr>
            <w:tcW w:w="3093" w:type="dxa"/>
            <w:tcBorders>
              <w:top w:val="single" w:sz="4" w:space="0" w:color="auto"/>
              <w:bottom w:val="nil"/>
            </w:tcBorders>
          </w:tcPr>
          <w:p w14:paraId="5F3C4837" w14:textId="77777777" w:rsidR="00142A15" w:rsidRPr="007E61D7" w:rsidRDefault="00410D04" w:rsidP="00EA39E3">
            <w:pPr>
              <w:autoSpaceDE w:val="0"/>
              <w:autoSpaceDN w:val="0"/>
              <w:adjustRightInd w:val="0"/>
              <w:jc w:val="center"/>
              <w:rPr>
                <w:rFonts w:ascii="Times New Roman" w:hAnsi="Times New Roman" w:cs="Times New Roman"/>
                <w:sz w:val="24"/>
                <w:szCs w:val="24"/>
              </w:rPr>
            </w:pPr>
            <w:r w:rsidRPr="007E61D7">
              <w:rPr>
                <w:rFonts w:ascii="Times New Roman" w:hAnsi="Times New Roman" w:cs="Times New Roman"/>
                <w:sz w:val="24"/>
                <w:szCs w:val="24"/>
              </w:rPr>
              <w:t>1mL saline (control)</w:t>
            </w:r>
          </w:p>
        </w:tc>
        <w:tc>
          <w:tcPr>
            <w:tcW w:w="1896" w:type="dxa"/>
            <w:tcBorders>
              <w:top w:val="single" w:sz="4" w:space="0" w:color="auto"/>
              <w:bottom w:val="nil"/>
            </w:tcBorders>
          </w:tcPr>
          <w:p w14:paraId="26AB5EEB" w14:textId="77777777" w:rsidR="00142A15" w:rsidRPr="007E61D7" w:rsidRDefault="00410D04" w:rsidP="00EA39E3">
            <w:pPr>
              <w:autoSpaceDE w:val="0"/>
              <w:autoSpaceDN w:val="0"/>
              <w:adjustRightInd w:val="0"/>
              <w:jc w:val="center"/>
              <w:rPr>
                <w:rFonts w:ascii="Times New Roman" w:hAnsi="Times New Roman" w:cs="Times New Roman"/>
                <w:sz w:val="24"/>
                <w:szCs w:val="24"/>
              </w:rPr>
            </w:pPr>
            <w:r w:rsidRPr="007E61D7">
              <w:rPr>
                <w:rFonts w:ascii="Times New Roman" w:hAnsi="Times New Roman" w:cs="Times New Roman"/>
                <w:color w:val="000000"/>
                <w:sz w:val="24"/>
                <w:szCs w:val="24"/>
              </w:rPr>
              <w:t xml:space="preserve">0.96 </w:t>
            </w:r>
            <w:r w:rsidRPr="007E61D7">
              <w:rPr>
                <w:rFonts w:ascii="Times New Roman" w:hAnsi="Times New Roman" w:cs="Times New Roman"/>
                <w:sz w:val="24"/>
                <w:szCs w:val="24"/>
              </w:rPr>
              <w:t xml:space="preserve">± </w:t>
            </w:r>
            <w:r w:rsidRPr="007E61D7">
              <w:rPr>
                <w:rFonts w:ascii="Times New Roman" w:hAnsi="Times New Roman" w:cs="Times New Roman"/>
                <w:color w:val="000000"/>
                <w:sz w:val="24"/>
                <w:szCs w:val="24"/>
              </w:rPr>
              <w:t>0.20</w:t>
            </w:r>
          </w:p>
        </w:tc>
        <w:tc>
          <w:tcPr>
            <w:tcW w:w="1800" w:type="dxa"/>
            <w:gridSpan w:val="2"/>
            <w:tcBorders>
              <w:top w:val="single" w:sz="4" w:space="0" w:color="auto"/>
              <w:bottom w:val="nil"/>
            </w:tcBorders>
          </w:tcPr>
          <w:p w14:paraId="1765174B" w14:textId="77777777" w:rsidR="00142A15" w:rsidRPr="007E61D7" w:rsidRDefault="00410D04" w:rsidP="00EA39E3">
            <w:pPr>
              <w:autoSpaceDE w:val="0"/>
              <w:autoSpaceDN w:val="0"/>
              <w:adjustRightInd w:val="0"/>
              <w:jc w:val="center"/>
              <w:rPr>
                <w:rFonts w:ascii="Times New Roman" w:hAnsi="Times New Roman" w:cs="Times New Roman"/>
                <w:sz w:val="24"/>
                <w:szCs w:val="24"/>
              </w:rPr>
            </w:pPr>
            <w:r w:rsidRPr="007E61D7">
              <w:rPr>
                <w:rFonts w:ascii="Times New Roman" w:hAnsi="Times New Roman" w:cs="Times New Roman"/>
                <w:color w:val="000000"/>
                <w:sz w:val="24"/>
                <w:szCs w:val="24"/>
              </w:rPr>
              <w:t xml:space="preserve">0.16 </w:t>
            </w:r>
            <w:r w:rsidRPr="007E61D7">
              <w:rPr>
                <w:rFonts w:ascii="Times New Roman" w:hAnsi="Times New Roman" w:cs="Times New Roman"/>
                <w:sz w:val="24"/>
                <w:szCs w:val="24"/>
              </w:rPr>
              <w:t>±</w:t>
            </w:r>
            <w:r w:rsidRPr="007E61D7">
              <w:rPr>
                <w:rFonts w:ascii="Times New Roman" w:hAnsi="Times New Roman" w:cs="Times New Roman"/>
                <w:color w:val="000000"/>
                <w:sz w:val="24"/>
                <w:szCs w:val="24"/>
              </w:rPr>
              <w:t xml:space="preserve"> 0.04</w:t>
            </w:r>
          </w:p>
        </w:tc>
        <w:tc>
          <w:tcPr>
            <w:tcW w:w="1948" w:type="dxa"/>
            <w:gridSpan w:val="2"/>
            <w:tcBorders>
              <w:top w:val="single" w:sz="4" w:space="0" w:color="auto"/>
              <w:bottom w:val="nil"/>
            </w:tcBorders>
          </w:tcPr>
          <w:p w14:paraId="1C3B5B62" w14:textId="77777777" w:rsidR="00142A15" w:rsidRPr="007E61D7" w:rsidRDefault="00410D04" w:rsidP="00EA39E3">
            <w:pPr>
              <w:autoSpaceDE w:val="0"/>
              <w:autoSpaceDN w:val="0"/>
              <w:adjustRightInd w:val="0"/>
              <w:jc w:val="center"/>
              <w:rPr>
                <w:rFonts w:ascii="Times New Roman" w:hAnsi="Times New Roman" w:cs="Times New Roman"/>
                <w:sz w:val="24"/>
                <w:szCs w:val="24"/>
              </w:rPr>
            </w:pPr>
            <w:r w:rsidRPr="007E61D7">
              <w:rPr>
                <w:rFonts w:ascii="Times New Roman" w:hAnsi="Times New Roman" w:cs="Times New Roman"/>
                <w:color w:val="000000"/>
                <w:sz w:val="24"/>
                <w:szCs w:val="24"/>
              </w:rPr>
              <w:t xml:space="preserve">0.60 </w:t>
            </w:r>
            <w:r w:rsidRPr="007E61D7">
              <w:rPr>
                <w:rFonts w:ascii="Times New Roman" w:hAnsi="Times New Roman" w:cs="Times New Roman"/>
                <w:sz w:val="24"/>
                <w:szCs w:val="24"/>
              </w:rPr>
              <w:t xml:space="preserve">± </w:t>
            </w:r>
            <w:r w:rsidRPr="007E61D7">
              <w:rPr>
                <w:rFonts w:ascii="Times New Roman" w:hAnsi="Times New Roman" w:cs="Times New Roman"/>
                <w:color w:val="000000"/>
                <w:sz w:val="24"/>
                <w:szCs w:val="24"/>
              </w:rPr>
              <w:t>0.03</w:t>
            </w:r>
          </w:p>
        </w:tc>
      </w:tr>
      <w:tr w:rsidR="005257F5" w:rsidRPr="007E61D7" w14:paraId="487AE75B" w14:textId="77777777" w:rsidTr="00BD2A86">
        <w:trPr>
          <w:gridAfter w:val="1"/>
          <w:wAfter w:w="318" w:type="dxa"/>
          <w:jc w:val="center"/>
        </w:trPr>
        <w:tc>
          <w:tcPr>
            <w:tcW w:w="3093" w:type="dxa"/>
            <w:tcBorders>
              <w:top w:val="nil"/>
            </w:tcBorders>
          </w:tcPr>
          <w:p w14:paraId="6ACE0946" w14:textId="77777777" w:rsidR="00142A15" w:rsidRPr="007E61D7" w:rsidRDefault="00410D04" w:rsidP="00EA39E3">
            <w:pPr>
              <w:autoSpaceDE w:val="0"/>
              <w:autoSpaceDN w:val="0"/>
              <w:adjustRightInd w:val="0"/>
              <w:jc w:val="center"/>
              <w:rPr>
                <w:rFonts w:ascii="Times New Roman" w:hAnsi="Times New Roman" w:cs="Times New Roman"/>
                <w:sz w:val="24"/>
                <w:szCs w:val="24"/>
              </w:rPr>
            </w:pPr>
            <w:r w:rsidRPr="007E61D7">
              <w:rPr>
                <w:rFonts w:ascii="Times New Roman" w:hAnsi="Times New Roman" w:cs="Times New Roman"/>
                <w:sz w:val="24"/>
                <w:szCs w:val="24"/>
              </w:rPr>
              <w:t>0.1mL PZ (low dosage)</w:t>
            </w:r>
          </w:p>
        </w:tc>
        <w:tc>
          <w:tcPr>
            <w:tcW w:w="1896" w:type="dxa"/>
            <w:tcBorders>
              <w:top w:val="nil"/>
            </w:tcBorders>
          </w:tcPr>
          <w:p w14:paraId="7D46B897" w14:textId="77777777" w:rsidR="00142A15" w:rsidRPr="007E61D7" w:rsidRDefault="00410D04" w:rsidP="00EA39E3">
            <w:pPr>
              <w:autoSpaceDE w:val="0"/>
              <w:autoSpaceDN w:val="0"/>
              <w:adjustRightInd w:val="0"/>
              <w:jc w:val="center"/>
              <w:rPr>
                <w:rFonts w:ascii="Times New Roman" w:hAnsi="Times New Roman" w:cs="Times New Roman"/>
                <w:sz w:val="24"/>
                <w:szCs w:val="24"/>
              </w:rPr>
            </w:pPr>
            <w:r w:rsidRPr="007E61D7">
              <w:rPr>
                <w:rFonts w:ascii="Times New Roman" w:hAnsi="Times New Roman" w:cs="Times New Roman"/>
                <w:color w:val="000000"/>
                <w:sz w:val="24"/>
                <w:szCs w:val="24"/>
              </w:rPr>
              <w:t xml:space="preserve">1.19 </w:t>
            </w:r>
            <w:r w:rsidRPr="007E61D7">
              <w:rPr>
                <w:rFonts w:ascii="Times New Roman" w:hAnsi="Times New Roman" w:cs="Times New Roman"/>
                <w:sz w:val="24"/>
                <w:szCs w:val="24"/>
              </w:rPr>
              <w:t>± 0.18</w:t>
            </w:r>
          </w:p>
        </w:tc>
        <w:tc>
          <w:tcPr>
            <w:tcW w:w="1800" w:type="dxa"/>
            <w:gridSpan w:val="2"/>
            <w:tcBorders>
              <w:top w:val="nil"/>
            </w:tcBorders>
          </w:tcPr>
          <w:p w14:paraId="1D2463EE" w14:textId="77777777" w:rsidR="00142A15" w:rsidRPr="007E61D7" w:rsidRDefault="00410D04" w:rsidP="00EA39E3">
            <w:pPr>
              <w:autoSpaceDE w:val="0"/>
              <w:autoSpaceDN w:val="0"/>
              <w:adjustRightInd w:val="0"/>
              <w:jc w:val="center"/>
              <w:rPr>
                <w:rFonts w:ascii="Times New Roman" w:hAnsi="Times New Roman" w:cs="Times New Roman"/>
                <w:sz w:val="24"/>
                <w:szCs w:val="24"/>
              </w:rPr>
            </w:pPr>
            <w:r w:rsidRPr="007E61D7">
              <w:rPr>
                <w:rFonts w:ascii="Times New Roman" w:hAnsi="Times New Roman" w:cs="Times New Roman"/>
                <w:color w:val="000000"/>
                <w:sz w:val="24"/>
                <w:szCs w:val="24"/>
              </w:rPr>
              <w:t xml:space="preserve">0.16 </w:t>
            </w:r>
            <w:r w:rsidRPr="007E61D7">
              <w:rPr>
                <w:rFonts w:ascii="Times New Roman" w:hAnsi="Times New Roman" w:cs="Times New Roman"/>
                <w:sz w:val="24"/>
                <w:szCs w:val="24"/>
              </w:rPr>
              <w:t>±</w:t>
            </w:r>
            <w:r w:rsidRPr="007E61D7">
              <w:rPr>
                <w:rFonts w:ascii="Times New Roman" w:hAnsi="Times New Roman" w:cs="Times New Roman"/>
                <w:color w:val="000000"/>
                <w:sz w:val="24"/>
                <w:szCs w:val="24"/>
              </w:rPr>
              <w:t xml:space="preserve"> 0.02</w:t>
            </w:r>
          </w:p>
        </w:tc>
        <w:tc>
          <w:tcPr>
            <w:tcW w:w="1948" w:type="dxa"/>
            <w:gridSpan w:val="2"/>
            <w:tcBorders>
              <w:top w:val="nil"/>
            </w:tcBorders>
          </w:tcPr>
          <w:p w14:paraId="181A6AAB" w14:textId="77777777" w:rsidR="00142A15" w:rsidRPr="007E61D7" w:rsidRDefault="00410D04" w:rsidP="00EA39E3">
            <w:pPr>
              <w:autoSpaceDE w:val="0"/>
              <w:autoSpaceDN w:val="0"/>
              <w:adjustRightInd w:val="0"/>
              <w:jc w:val="center"/>
              <w:rPr>
                <w:rFonts w:ascii="Times New Roman" w:hAnsi="Times New Roman" w:cs="Times New Roman"/>
                <w:sz w:val="24"/>
                <w:szCs w:val="24"/>
              </w:rPr>
            </w:pPr>
            <w:r w:rsidRPr="007E61D7">
              <w:rPr>
                <w:rFonts w:ascii="Times New Roman" w:hAnsi="Times New Roman" w:cs="Times New Roman"/>
                <w:color w:val="000000"/>
                <w:sz w:val="24"/>
                <w:szCs w:val="24"/>
              </w:rPr>
              <w:t xml:space="preserve">0.59 </w:t>
            </w:r>
            <w:r w:rsidRPr="007E61D7">
              <w:rPr>
                <w:rFonts w:ascii="Times New Roman" w:hAnsi="Times New Roman" w:cs="Times New Roman"/>
                <w:sz w:val="24"/>
                <w:szCs w:val="24"/>
              </w:rPr>
              <w:t xml:space="preserve">± </w:t>
            </w:r>
            <w:r w:rsidRPr="007E61D7">
              <w:rPr>
                <w:rFonts w:ascii="Times New Roman" w:hAnsi="Times New Roman" w:cs="Times New Roman"/>
                <w:color w:val="000000"/>
                <w:sz w:val="24"/>
                <w:szCs w:val="24"/>
              </w:rPr>
              <w:t>0.02</w:t>
            </w:r>
            <w:r w:rsidRPr="007E61D7">
              <w:rPr>
                <w:rFonts w:ascii="Times New Roman" w:hAnsi="Times New Roman" w:cs="Times New Roman"/>
                <w:b/>
                <w:color w:val="000000"/>
                <w:sz w:val="24"/>
                <w:szCs w:val="24"/>
              </w:rPr>
              <w:t>a</w:t>
            </w:r>
          </w:p>
        </w:tc>
      </w:tr>
      <w:tr w:rsidR="005257F5" w:rsidRPr="007E61D7" w14:paraId="399A007A" w14:textId="77777777" w:rsidTr="00BD2A86">
        <w:trPr>
          <w:gridAfter w:val="1"/>
          <w:wAfter w:w="318" w:type="dxa"/>
          <w:jc w:val="center"/>
        </w:trPr>
        <w:tc>
          <w:tcPr>
            <w:tcW w:w="3093" w:type="dxa"/>
          </w:tcPr>
          <w:p w14:paraId="2E0A619B" w14:textId="77777777" w:rsidR="00142A15" w:rsidRPr="007E61D7" w:rsidRDefault="00410D04" w:rsidP="00EA39E3">
            <w:pPr>
              <w:autoSpaceDE w:val="0"/>
              <w:autoSpaceDN w:val="0"/>
              <w:adjustRightInd w:val="0"/>
              <w:jc w:val="center"/>
              <w:rPr>
                <w:rFonts w:ascii="Times New Roman" w:hAnsi="Times New Roman" w:cs="Times New Roman"/>
                <w:sz w:val="24"/>
                <w:szCs w:val="24"/>
              </w:rPr>
            </w:pPr>
            <w:r w:rsidRPr="007E61D7">
              <w:rPr>
                <w:rFonts w:ascii="Times New Roman" w:hAnsi="Times New Roman" w:cs="Times New Roman"/>
                <w:sz w:val="24"/>
                <w:szCs w:val="24"/>
              </w:rPr>
              <w:t>0.25mL PZ (medium dosage)</w:t>
            </w:r>
          </w:p>
        </w:tc>
        <w:tc>
          <w:tcPr>
            <w:tcW w:w="1896" w:type="dxa"/>
          </w:tcPr>
          <w:p w14:paraId="5F4F3F17" w14:textId="77777777" w:rsidR="00142A15" w:rsidRPr="007E61D7" w:rsidRDefault="00410D04" w:rsidP="00EA39E3">
            <w:pPr>
              <w:autoSpaceDE w:val="0"/>
              <w:autoSpaceDN w:val="0"/>
              <w:adjustRightInd w:val="0"/>
              <w:jc w:val="center"/>
              <w:rPr>
                <w:rFonts w:ascii="Times New Roman" w:hAnsi="Times New Roman" w:cs="Times New Roman"/>
                <w:sz w:val="24"/>
                <w:szCs w:val="24"/>
              </w:rPr>
            </w:pPr>
            <w:r w:rsidRPr="007E61D7">
              <w:rPr>
                <w:rFonts w:ascii="Times New Roman" w:hAnsi="Times New Roman" w:cs="Times New Roman"/>
                <w:color w:val="000000"/>
                <w:sz w:val="24"/>
                <w:szCs w:val="24"/>
              </w:rPr>
              <w:t xml:space="preserve">0.91 </w:t>
            </w:r>
            <w:r w:rsidRPr="007E61D7">
              <w:rPr>
                <w:rFonts w:ascii="Times New Roman" w:hAnsi="Times New Roman" w:cs="Times New Roman"/>
                <w:sz w:val="24"/>
                <w:szCs w:val="24"/>
              </w:rPr>
              <w:t>± 0.19</w:t>
            </w:r>
            <w:r w:rsidRPr="007E61D7">
              <w:rPr>
                <w:rFonts w:ascii="Times New Roman" w:hAnsi="Times New Roman" w:cs="Times New Roman"/>
                <w:b/>
                <w:sz w:val="24"/>
                <w:szCs w:val="24"/>
              </w:rPr>
              <w:t>a</w:t>
            </w:r>
          </w:p>
        </w:tc>
        <w:tc>
          <w:tcPr>
            <w:tcW w:w="1800" w:type="dxa"/>
            <w:gridSpan w:val="2"/>
          </w:tcPr>
          <w:p w14:paraId="7E342FA4" w14:textId="77777777" w:rsidR="00142A15" w:rsidRPr="007E61D7" w:rsidRDefault="00410D04" w:rsidP="00EA39E3">
            <w:pPr>
              <w:autoSpaceDE w:val="0"/>
              <w:autoSpaceDN w:val="0"/>
              <w:adjustRightInd w:val="0"/>
              <w:jc w:val="center"/>
              <w:rPr>
                <w:rFonts w:ascii="Times New Roman" w:hAnsi="Times New Roman" w:cs="Times New Roman"/>
                <w:sz w:val="24"/>
                <w:szCs w:val="24"/>
              </w:rPr>
            </w:pPr>
            <w:r w:rsidRPr="007E61D7">
              <w:rPr>
                <w:rFonts w:ascii="Times New Roman" w:hAnsi="Times New Roman" w:cs="Times New Roman"/>
                <w:color w:val="000000"/>
                <w:sz w:val="24"/>
                <w:szCs w:val="24"/>
              </w:rPr>
              <w:t xml:space="preserve">0.21 </w:t>
            </w:r>
            <w:r w:rsidRPr="007E61D7">
              <w:rPr>
                <w:rFonts w:ascii="Times New Roman" w:hAnsi="Times New Roman" w:cs="Times New Roman"/>
                <w:sz w:val="24"/>
                <w:szCs w:val="24"/>
              </w:rPr>
              <w:t>±</w:t>
            </w:r>
            <w:r w:rsidRPr="007E61D7">
              <w:rPr>
                <w:rFonts w:ascii="Times New Roman" w:hAnsi="Times New Roman" w:cs="Times New Roman"/>
                <w:color w:val="000000"/>
                <w:sz w:val="24"/>
                <w:szCs w:val="24"/>
              </w:rPr>
              <w:t xml:space="preserve"> 0.05</w:t>
            </w:r>
            <w:r w:rsidRPr="007E61D7">
              <w:rPr>
                <w:rFonts w:ascii="Times New Roman" w:hAnsi="Times New Roman" w:cs="Times New Roman"/>
                <w:b/>
                <w:color w:val="000000"/>
                <w:sz w:val="24"/>
                <w:szCs w:val="24"/>
              </w:rPr>
              <w:t>a,b</w:t>
            </w:r>
          </w:p>
        </w:tc>
        <w:tc>
          <w:tcPr>
            <w:tcW w:w="1948" w:type="dxa"/>
            <w:gridSpan w:val="2"/>
          </w:tcPr>
          <w:p w14:paraId="3314A210" w14:textId="77777777" w:rsidR="00142A15" w:rsidRPr="007E61D7" w:rsidRDefault="00410D04" w:rsidP="00EA39E3">
            <w:pPr>
              <w:autoSpaceDE w:val="0"/>
              <w:autoSpaceDN w:val="0"/>
              <w:adjustRightInd w:val="0"/>
              <w:jc w:val="center"/>
              <w:rPr>
                <w:rFonts w:ascii="Times New Roman" w:hAnsi="Times New Roman" w:cs="Times New Roman"/>
                <w:sz w:val="24"/>
                <w:szCs w:val="24"/>
              </w:rPr>
            </w:pPr>
            <w:r w:rsidRPr="007E61D7">
              <w:rPr>
                <w:rFonts w:ascii="Times New Roman" w:hAnsi="Times New Roman" w:cs="Times New Roman"/>
                <w:color w:val="000000"/>
                <w:sz w:val="24"/>
                <w:szCs w:val="24"/>
              </w:rPr>
              <w:t xml:space="preserve">0.56 </w:t>
            </w:r>
            <w:r w:rsidRPr="007E61D7">
              <w:rPr>
                <w:rFonts w:ascii="Times New Roman" w:hAnsi="Times New Roman" w:cs="Times New Roman"/>
                <w:sz w:val="24"/>
                <w:szCs w:val="24"/>
              </w:rPr>
              <w:t xml:space="preserve">± </w:t>
            </w:r>
            <w:r w:rsidRPr="007E61D7">
              <w:rPr>
                <w:rFonts w:ascii="Times New Roman" w:hAnsi="Times New Roman" w:cs="Times New Roman"/>
                <w:color w:val="000000"/>
                <w:sz w:val="24"/>
                <w:szCs w:val="24"/>
              </w:rPr>
              <w:t>0.04</w:t>
            </w:r>
            <w:r w:rsidRPr="007E61D7">
              <w:rPr>
                <w:rFonts w:ascii="Times New Roman" w:hAnsi="Times New Roman" w:cs="Times New Roman"/>
                <w:b/>
                <w:color w:val="000000"/>
                <w:sz w:val="24"/>
                <w:szCs w:val="24"/>
              </w:rPr>
              <w:t>a</w:t>
            </w:r>
          </w:p>
        </w:tc>
      </w:tr>
      <w:tr w:rsidR="005257F5" w:rsidRPr="007E61D7" w14:paraId="2C26881F" w14:textId="77777777" w:rsidTr="00BD2A86">
        <w:trPr>
          <w:gridAfter w:val="1"/>
          <w:wAfter w:w="318" w:type="dxa"/>
          <w:jc w:val="center"/>
        </w:trPr>
        <w:tc>
          <w:tcPr>
            <w:tcW w:w="3093" w:type="dxa"/>
          </w:tcPr>
          <w:p w14:paraId="641118CB" w14:textId="77777777" w:rsidR="00142A15" w:rsidRPr="007E61D7" w:rsidRDefault="00410D04" w:rsidP="00EA39E3">
            <w:pPr>
              <w:autoSpaceDE w:val="0"/>
              <w:autoSpaceDN w:val="0"/>
              <w:adjustRightInd w:val="0"/>
              <w:jc w:val="center"/>
              <w:rPr>
                <w:rFonts w:ascii="Times New Roman" w:hAnsi="Times New Roman" w:cs="Times New Roman"/>
                <w:sz w:val="24"/>
                <w:szCs w:val="24"/>
              </w:rPr>
            </w:pPr>
            <w:r w:rsidRPr="007E61D7">
              <w:rPr>
                <w:rFonts w:ascii="Times New Roman" w:hAnsi="Times New Roman" w:cs="Times New Roman"/>
                <w:sz w:val="24"/>
                <w:szCs w:val="24"/>
              </w:rPr>
              <w:t>0.4mL PZ (high dosage)</w:t>
            </w:r>
          </w:p>
        </w:tc>
        <w:tc>
          <w:tcPr>
            <w:tcW w:w="1896" w:type="dxa"/>
          </w:tcPr>
          <w:p w14:paraId="7EF100BB" w14:textId="77777777" w:rsidR="00142A15" w:rsidRPr="007E61D7" w:rsidRDefault="00410D04" w:rsidP="00EA39E3">
            <w:pPr>
              <w:autoSpaceDE w:val="0"/>
              <w:autoSpaceDN w:val="0"/>
              <w:adjustRightInd w:val="0"/>
              <w:jc w:val="center"/>
              <w:rPr>
                <w:rFonts w:ascii="Times New Roman" w:hAnsi="Times New Roman" w:cs="Times New Roman"/>
                <w:sz w:val="24"/>
                <w:szCs w:val="24"/>
              </w:rPr>
            </w:pPr>
            <w:r w:rsidRPr="007E61D7">
              <w:rPr>
                <w:rFonts w:ascii="Times New Roman" w:hAnsi="Times New Roman" w:cs="Times New Roman"/>
                <w:color w:val="000000"/>
                <w:sz w:val="24"/>
                <w:szCs w:val="24"/>
              </w:rPr>
              <w:t xml:space="preserve">0.81 </w:t>
            </w:r>
            <w:r w:rsidRPr="007E61D7">
              <w:rPr>
                <w:rFonts w:ascii="Times New Roman" w:hAnsi="Times New Roman" w:cs="Times New Roman"/>
                <w:sz w:val="24"/>
                <w:szCs w:val="24"/>
              </w:rPr>
              <w:t>± 0.23</w:t>
            </w:r>
            <w:r w:rsidRPr="007E61D7">
              <w:rPr>
                <w:rFonts w:ascii="Times New Roman" w:hAnsi="Times New Roman" w:cs="Times New Roman"/>
                <w:b/>
                <w:sz w:val="24"/>
                <w:szCs w:val="24"/>
              </w:rPr>
              <w:t>a</w:t>
            </w:r>
          </w:p>
        </w:tc>
        <w:tc>
          <w:tcPr>
            <w:tcW w:w="1800" w:type="dxa"/>
            <w:gridSpan w:val="2"/>
          </w:tcPr>
          <w:p w14:paraId="7EB5EFBB" w14:textId="77777777" w:rsidR="00142A15" w:rsidRPr="007E61D7" w:rsidRDefault="00410D04" w:rsidP="00EA39E3">
            <w:pPr>
              <w:autoSpaceDE w:val="0"/>
              <w:autoSpaceDN w:val="0"/>
              <w:adjustRightInd w:val="0"/>
              <w:jc w:val="center"/>
              <w:rPr>
                <w:rFonts w:ascii="Times New Roman" w:hAnsi="Times New Roman" w:cs="Times New Roman"/>
                <w:sz w:val="24"/>
                <w:szCs w:val="24"/>
              </w:rPr>
            </w:pPr>
            <w:r w:rsidRPr="007E61D7">
              <w:rPr>
                <w:rFonts w:ascii="Times New Roman" w:hAnsi="Times New Roman" w:cs="Times New Roman"/>
                <w:color w:val="000000"/>
                <w:sz w:val="24"/>
                <w:szCs w:val="24"/>
              </w:rPr>
              <w:t xml:space="preserve">0.26 </w:t>
            </w:r>
            <w:r w:rsidRPr="007E61D7">
              <w:rPr>
                <w:rFonts w:ascii="Times New Roman" w:hAnsi="Times New Roman" w:cs="Times New Roman"/>
                <w:sz w:val="24"/>
                <w:szCs w:val="24"/>
              </w:rPr>
              <w:t>±</w:t>
            </w:r>
            <w:r w:rsidRPr="007E61D7">
              <w:rPr>
                <w:rFonts w:ascii="Times New Roman" w:hAnsi="Times New Roman" w:cs="Times New Roman"/>
                <w:color w:val="000000"/>
                <w:sz w:val="24"/>
                <w:szCs w:val="24"/>
              </w:rPr>
              <w:t xml:space="preserve"> 0.07</w:t>
            </w:r>
            <w:r w:rsidRPr="007E61D7">
              <w:rPr>
                <w:rFonts w:ascii="Times New Roman" w:hAnsi="Times New Roman" w:cs="Times New Roman"/>
                <w:b/>
                <w:color w:val="000000"/>
                <w:sz w:val="24"/>
                <w:szCs w:val="24"/>
              </w:rPr>
              <w:t>a,b,c</w:t>
            </w:r>
          </w:p>
        </w:tc>
        <w:tc>
          <w:tcPr>
            <w:tcW w:w="1948" w:type="dxa"/>
            <w:gridSpan w:val="2"/>
          </w:tcPr>
          <w:p w14:paraId="24BAC50F" w14:textId="77777777" w:rsidR="00142A15" w:rsidRPr="007E61D7" w:rsidRDefault="00410D04" w:rsidP="00EA39E3">
            <w:pPr>
              <w:autoSpaceDE w:val="0"/>
              <w:autoSpaceDN w:val="0"/>
              <w:adjustRightInd w:val="0"/>
              <w:jc w:val="center"/>
              <w:rPr>
                <w:rFonts w:ascii="Times New Roman" w:hAnsi="Times New Roman" w:cs="Times New Roman"/>
                <w:sz w:val="24"/>
                <w:szCs w:val="24"/>
              </w:rPr>
            </w:pPr>
            <w:r w:rsidRPr="007E61D7">
              <w:rPr>
                <w:rFonts w:ascii="Times New Roman" w:hAnsi="Times New Roman" w:cs="Times New Roman"/>
                <w:color w:val="000000"/>
                <w:sz w:val="24"/>
                <w:szCs w:val="24"/>
              </w:rPr>
              <w:t xml:space="preserve">0.49 </w:t>
            </w:r>
            <w:r w:rsidRPr="007E61D7">
              <w:rPr>
                <w:rFonts w:ascii="Times New Roman" w:hAnsi="Times New Roman" w:cs="Times New Roman"/>
                <w:sz w:val="24"/>
                <w:szCs w:val="24"/>
              </w:rPr>
              <w:t xml:space="preserve">± </w:t>
            </w:r>
            <w:r w:rsidRPr="007E61D7">
              <w:rPr>
                <w:rFonts w:ascii="Times New Roman" w:hAnsi="Times New Roman" w:cs="Times New Roman"/>
                <w:color w:val="000000"/>
                <w:sz w:val="24"/>
                <w:szCs w:val="24"/>
              </w:rPr>
              <w:t>0.06</w:t>
            </w:r>
            <w:r w:rsidRPr="007E61D7">
              <w:rPr>
                <w:rFonts w:ascii="Times New Roman" w:hAnsi="Times New Roman" w:cs="Times New Roman"/>
                <w:b/>
                <w:color w:val="000000"/>
                <w:sz w:val="24"/>
                <w:szCs w:val="24"/>
              </w:rPr>
              <w:t>a,b</w:t>
            </w:r>
          </w:p>
        </w:tc>
      </w:tr>
    </w:tbl>
    <w:p w14:paraId="5D40E587" w14:textId="77777777" w:rsidR="00142A15" w:rsidRPr="007E61D7" w:rsidRDefault="00410D04" w:rsidP="00EA39E3">
      <w:pPr>
        <w:spacing w:after="0" w:line="240" w:lineRule="auto"/>
        <w:jc w:val="center"/>
        <w:rPr>
          <w:rFonts w:cs="Times New Roman"/>
          <w:szCs w:val="24"/>
        </w:rPr>
      </w:pPr>
      <w:r w:rsidRPr="007E61D7">
        <w:rPr>
          <w:rFonts w:cs="Times New Roman"/>
          <w:b/>
          <w:szCs w:val="24"/>
        </w:rPr>
        <w:t>a</w:t>
      </w:r>
      <w:r w:rsidRPr="007E61D7">
        <w:rPr>
          <w:rFonts w:cs="Times New Roman"/>
          <w:szCs w:val="24"/>
        </w:rPr>
        <w:t xml:space="preserve"> = indicates the least significant difference in comparison with the control group at p &lt; 0.05</w:t>
      </w:r>
    </w:p>
    <w:p w14:paraId="1DB244D6" w14:textId="77777777" w:rsidR="00142A15" w:rsidRPr="007E61D7" w:rsidRDefault="00410D04" w:rsidP="00EA39E3">
      <w:pPr>
        <w:spacing w:after="0" w:line="240" w:lineRule="auto"/>
        <w:jc w:val="center"/>
        <w:rPr>
          <w:rFonts w:cs="Times New Roman"/>
          <w:szCs w:val="24"/>
        </w:rPr>
      </w:pPr>
      <w:r w:rsidRPr="007E61D7">
        <w:rPr>
          <w:rFonts w:cs="Times New Roman"/>
          <w:b/>
          <w:szCs w:val="24"/>
        </w:rPr>
        <w:t>b</w:t>
      </w:r>
      <w:r w:rsidRPr="007E61D7">
        <w:rPr>
          <w:rFonts w:cs="Times New Roman"/>
          <w:szCs w:val="24"/>
        </w:rPr>
        <w:t xml:space="preserve"> = indicates the least significant difference in comparison with 0.1mL PZ group at p &lt; 0.05</w:t>
      </w:r>
    </w:p>
    <w:p w14:paraId="5B078295" w14:textId="77777777" w:rsidR="00142A15" w:rsidRPr="007E61D7" w:rsidRDefault="00410D04" w:rsidP="00EA39E3">
      <w:pPr>
        <w:autoSpaceDE w:val="0"/>
        <w:autoSpaceDN w:val="0"/>
        <w:adjustRightInd w:val="0"/>
        <w:spacing w:after="0" w:line="240" w:lineRule="auto"/>
        <w:jc w:val="center"/>
        <w:rPr>
          <w:rFonts w:cs="Times New Roman"/>
          <w:szCs w:val="24"/>
        </w:rPr>
      </w:pPr>
      <w:r w:rsidRPr="007E61D7">
        <w:rPr>
          <w:rFonts w:cs="Times New Roman"/>
          <w:b/>
          <w:szCs w:val="24"/>
        </w:rPr>
        <w:lastRenderedPageBreak/>
        <w:t>c</w:t>
      </w:r>
      <w:r w:rsidRPr="007E61D7">
        <w:rPr>
          <w:rFonts w:cs="Times New Roman"/>
          <w:szCs w:val="24"/>
        </w:rPr>
        <w:t xml:space="preserve"> = indicates the least significant difference in comparison with 0.25mL PZ group at p &lt; 0.05</w:t>
      </w:r>
    </w:p>
    <w:p w14:paraId="4A297AD9" w14:textId="156927FC" w:rsidR="00142A15" w:rsidRPr="007E61D7" w:rsidRDefault="00410D04" w:rsidP="00EA39E3">
      <w:pPr>
        <w:autoSpaceDE w:val="0"/>
        <w:autoSpaceDN w:val="0"/>
        <w:adjustRightInd w:val="0"/>
        <w:spacing w:before="240" w:after="240" w:line="240" w:lineRule="auto"/>
        <w:jc w:val="center"/>
        <w:rPr>
          <w:rFonts w:cs="Times New Roman"/>
          <w:b/>
          <w:szCs w:val="24"/>
        </w:rPr>
      </w:pPr>
      <w:r w:rsidRPr="007E61D7">
        <w:rPr>
          <w:rFonts w:cs="Times New Roman"/>
          <w:b/>
          <w:szCs w:val="24"/>
        </w:rPr>
        <w:t xml:space="preserve">Table </w:t>
      </w:r>
      <w:r w:rsidR="00B42706">
        <w:rPr>
          <w:rFonts w:cs="Times New Roman"/>
          <w:b/>
          <w:szCs w:val="24"/>
        </w:rPr>
        <w:t>2</w:t>
      </w:r>
      <w:r w:rsidRPr="007E61D7">
        <w:rPr>
          <w:rFonts w:cs="Times New Roman"/>
          <w:b/>
          <w:szCs w:val="24"/>
        </w:rPr>
        <w:t xml:space="preserve">. Effects of </w:t>
      </w:r>
      <w:proofErr w:type="spellStart"/>
      <w:r w:rsidRPr="007E61D7">
        <w:rPr>
          <w:rFonts w:cs="Times New Roman"/>
          <w:b/>
          <w:szCs w:val="24"/>
        </w:rPr>
        <w:t>pentazocine</w:t>
      </w:r>
      <w:proofErr w:type="spellEnd"/>
      <w:r w:rsidRPr="007E61D7">
        <w:rPr>
          <w:rFonts w:cs="Times New Roman"/>
          <w:b/>
          <w:szCs w:val="24"/>
        </w:rPr>
        <w:t xml:space="preserve"> treatment on antioxidant enzyme activity and lipid peroxidation status in large intestine of rats</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3"/>
        <w:gridCol w:w="1896"/>
        <w:gridCol w:w="74"/>
        <w:gridCol w:w="1726"/>
        <w:gridCol w:w="230"/>
        <w:gridCol w:w="1628"/>
        <w:gridCol w:w="408"/>
      </w:tblGrid>
      <w:tr w:rsidR="00E972C5" w:rsidRPr="007E61D7" w14:paraId="55453205" w14:textId="77777777" w:rsidTr="00E972C5">
        <w:trPr>
          <w:jc w:val="center"/>
        </w:trPr>
        <w:tc>
          <w:tcPr>
            <w:tcW w:w="3093" w:type="dxa"/>
            <w:vMerge w:val="restart"/>
            <w:tcBorders>
              <w:top w:val="single" w:sz="4" w:space="0" w:color="auto"/>
              <w:bottom w:val="single" w:sz="4" w:space="0" w:color="auto"/>
            </w:tcBorders>
          </w:tcPr>
          <w:p w14:paraId="345AC62D" w14:textId="77777777" w:rsidR="00E972C5" w:rsidRPr="007E61D7" w:rsidRDefault="00E972C5" w:rsidP="00EA39E3">
            <w:pPr>
              <w:autoSpaceDE w:val="0"/>
              <w:autoSpaceDN w:val="0"/>
              <w:adjustRightInd w:val="0"/>
              <w:jc w:val="center"/>
              <w:rPr>
                <w:rFonts w:ascii="Times New Roman" w:hAnsi="Times New Roman" w:cs="Times New Roman"/>
                <w:b/>
                <w:sz w:val="24"/>
                <w:szCs w:val="24"/>
              </w:rPr>
            </w:pPr>
            <w:r w:rsidRPr="007E61D7">
              <w:rPr>
                <w:rFonts w:ascii="Times New Roman" w:hAnsi="Times New Roman" w:cs="Times New Roman"/>
                <w:b/>
                <w:sz w:val="24"/>
                <w:szCs w:val="24"/>
              </w:rPr>
              <w:t>Treatment Groups</w:t>
            </w:r>
          </w:p>
        </w:tc>
        <w:tc>
          <w:tcPr>
            <w:tcW w:w="1970" w:type="dxa"/>
            <w:gridSpan w:val="2"/>
            <w:tcBorders>
              <w:top w:val="single" w:sz="4" w:space="0" w:color="auto"/>
              <w:bottom w:val="single" w:sz="4" w:space="0" w:color="auto"/>
            </w:tcBorders>
          </w:tcPr>
          <w:p w14:paraId="1971830B" w14:textId="77777777" w:rsidR="00E972C5" w:rsidRPr="007E61D7" w:rsidRDefault="00E972C5" w:rsidP="00F00370">
            <w:pPr>
              <w:autoSpaceDE w:val="0"/>
              <w:autoSpaceDN w:val="0"/>
              <w:adjustRightInd w:val="0"/>
              <w:jc w:val="center"/>
              <w:rPr>
                <w:rFonts w:ascii="Times New Roman" w:hAnsi="Times New Roman" w:cs="Times New Roman"/>
                <w:b/>
                <w:sz w:val="24"/>
                <w:szCs w:val="24"/>
              </w:rPr>
            </w:pPr>
            <w:r w:rsidRPr="007E61D7">
              <w:rPr>
                <w:rFonts w:ascii="Times New Roman" w:hAnsi="Times New Roman" w:cs="Times New Roman"/>
                <w:b/>
                <w:sz w:val="24"/>
                <w:szCs w:val="24"/>
              </w:rPr>
              <w:t>CAT (</w:t>
            </w:r>
            <w:proofErr w:type="spellStart"/>
            <w:r w:rsidRPr="007E61D7">
              <w:rPr>
                <w:rFonts w:ascii="Times New Roman" w:hAnsi="Times New Roman" w:cs="Times New Roman"/>
                <w:b/>
                <w:sz w:val="24"/>
                <w:szCs w:val="24"/>
              </w:rPr>
              <w:t>nmol</w:t>
            </w:r>
            <w:proofErr w:type="spellEnd"/>
            <w:r w:rsidRPr="007E61D7">
              <w:rPr>
                <w:rFonts w:ascii="Times New Roman" w:hAnsi="Times New Roman" w:cs="Times New Roman"/>
                <w:b/>
                <w:sz w:val="24"/>
                <w:szCs w:val="24"/>
              </w:rPr>
              <w:t>/mg)</w:t>
            </w:r>
          </w:p>
        </w:tc>
        <w:tc>
          <w:tcPr>
            <w:tcW w:w="1956" w:type="dxa"/>
            <w:gridSpan w:val="2"/>
            <w:tcBorders>
              <w:top w:val="single" w:sz="4" w:space="0" w:color="auto"/>
              <w:bottom w:val="single" w:sz="4" w:space="0" w:color="auto"/>
            </w:tcBorders>
          </w:tcPr>
          <w:p w14:paraId="32BCF68B" w14:textId="77777777" w:rsidR="00E972C5" w:rsidRPr="007E61D7" w:rsidRDefault="00E972C5" w:rsidP="00F00370">
            <w:pPr>
              <w:autoSpaceDE w:val="0"/>
              <w:autoSpaceDN w:val="0"/>
              <w:adjustRightInd w:val="0"/>
              <w:jc w:val="center"/>
              <w:rPr>
                <w:rFonts w:ascii="Times New Roman" w:hAnsi="Times New Roman" w:cs="Times New Roman"/>
                <w:b/>
                <w:sz w:val="24"/>
                <w:szCs w:val="24"/>
              </w:rPr>
            </w:pPr>
            <w:r w:rsidRPr="007E61D7">
              <w:rPr>
                <w:rFonts w:ascii="Times New Roman" w:hAnsi="Times New Roman" w:cs="Times New Roman"/>
                <w:b/>
                <w:sz w:val="24"/>
                <w:szCs w:val="24"/>
              </w:rPr>
              <w:t>SOD (</w:t>
            </w:r>
            <w:proofErr w:type="spellStart"/>
            <w:r w:rsidRPr="007E61D7">
              <w:rPr>
                <w:rFonts w:ascii="Times New Roman" w:hAnsi="Times New Roman" w:cs="Times New Roman"/>
                <w:b/>
                <w:sz w:val="24"/>
                <w:szCs w:val="24"/>
              </w:rPr>
              <w:t>nmol</w:t>
            </w:r>
            <w:proofErr w:type="spellEnd"/>
            <w:r w:rsidRPr="007E61D7">
              <w:rPr>
                <w:rFonts w:ascii="Times New Roman" w:hAnsi="Times New Roman" w:cs="Times New Roman"/>
                <w:b/>
                <w:sz w:val="24"/>
                <w:szCs w:val="24"/>
              </w:rPr>
              <w:t>/mg)</w:t>
            </w:r>
          </w:p>
        </w:tc>
        <w:tc>
          <w:tcPr>
            <w:tcW w:w="2036" w:type="dxa"/>
            <w:gridSpan w:val="2"/>
            <w:tcBorders>
              <w:top w:val="single" w:sz="4" w:space="0" w:color="auto"/>
              <w:bottom w:val="single" w:sz="4" w:space="0" w:color="auto"/>
            </w:tcBorders>
          </w:tcPr>
          <w:p w14:paraId="164AF928" w14:textId="77777777" w:rsidR="00E972C5" w:rsidRPr="007E61D7" w:rsidRDefault="00E972C5" w:rsidP="00F00370">
            <w:pPr>
              <w:autoSpaceDE w:val="0"/>
              <w:autoSpaceDN w:val="0"/>
              <w:adjustRightInd w:val="0"/>
              <w:jc w:val="center"/>
              <w:rPr>
                <w:rFonts w:ascii="Times New Roman" w:hAnsi="Times New Roman" w:cs="Times New Roman"/>
                <w:b/>
                <w:sz w:val="24"/>
                <w:szCs w:val="24"/>
              </w:rPr>
            </w:pPr>
            <w:r w:rsidRPr="007E61D7">
              <w:rPr>
                <w:rFonts w:ascii="Times New Roman" w:hAnsi="Times New Roman" w:cs="Times New Roman"/>
                <w:b/>
                <w:sz w:val="24"/>
                <w:szCs w:val="24"/>
              </w:rPr>
              <w:t>MDA (</w:t>
            </w:r>
            <w:proofErr w:type="spellStart"/>
            <w:r w:rsidRPr="007E61D7">
              <w:rPr>
                <w:rFonts w:ascii="Times New Roman" w:hAnsi="Times New Roman" w:cs="Times New Roman"/>
                <w:b/>
                <w:sz w:val="24"/>
                <w:szCs w:val="24"/>
              </w:rPr>
              <w:t>nmol</w:t>
            </w:r>
            <w:proofErr w:type="spellEnd"/>
            <w:r w:rsidRPr="007E61D7">
              <w:rPr>
                <w:rFonts w:ascii="Times New Roman" w:hAnsi="Times New Roman" w:cs="Times New Roman"/>
                <w:b/>
                <w:sz w:val="24"/>
                <w:szCs w:val="24"/>
              </w:rPr>
              <w:t>/mg)</w:t>
            </w:r>
          </w:p>
        </w:tc>
      </w:tr>
      <w:tr w:rsidR="005257F5" w:rsidRPr="007E61D7" w14:paraId="2F1AF51B" w14:textId="77777777" w:rsidTr="00BD2A86">
        <w:trPr>
          <w:gridAfter w:val="1"/>
          <w:wAfter w:w="408" w:type="dxa"/>
          <w:jc w:val="center"/>
        </w:trPr>
        <w:tc>
          <w:tcPr>
            <w:tcW w:w="3093" w:type="dxa"/>
            <w:vMerge/>
            <w:tcBorders>
              <w:top w:val="single" w:sz="4" w:space="0" w:color="auto"/>
              <w:bottom w:val="single" w:sz="4" w:space="0" w:color="auto"/>
            </w:tcBorders>
          </w:tcPr>
          <w:p w14:paraId="5A9CD663" w14:textId="77777777" w:rsidR="00142A15" w:rsidRPr="007E61D7" w:rsidRDefault="00142A15" w:rsidP="00EA39E3">
            <w:pPr>
              <w:autoSpaceDE w:val="0"/>
              <w:autoSpaceDN w:val="0"/>
              <w:adjustRightInd w:val="0"/>
              <w:jc w:val="center"/>
              <w:rPr>
                <w:rFonts w:ascii="Times New Roman" w:hAnsi="Times New Roman" w:cs="Times New Roman"/>
                <w:sz w:val="24"/>
                <w:szCs w:val="24"/>
              </w:rPr>
            </w:pPr>
          </w:p>
        </w:tc>
        <w:tc>
          <w:tcPr>
            <w:tcW w:w="1896" w:type="dxa"/>
            <w:tcBorders>
              <w:top w:val="single" w:sz="4" w:space="0" w:color="auto"/>
              <w:bottom w:val="single" w:sz="4" w:space="0" w:color="auto"/>
            </w:tcBorders>
          </w:tcPr>
          <w:p w14:paraId="4DD9755F" w14:textId="77777777" w:rsidR="00142A15" w:rsidRPr="007E61D7" w:rsidRDefault="00410D04" w:rsidP="00EA39E3">
            <w:pPr>
              <w:autoSpaceDE w:val="0"/>
              <w:autoSpaceDN w:val="0"/>
              <w:adjustRightInd w:val="0"/>
              <w:jc w:val="center"/>
              <w:rPr>
                <w:rFonts w:ascii="Times New Roman" w:hAnsi="Times New Roman" w:cs="Times New Roman"/>
                <w:b/>
                <w:sz w:val="24"/>
                <w:szCs w:val="24"/>
              </w:rPr>
            </w:pPr>
            <w:r w:rsidRPr="007E61D7">
              <w:rPr>
                <w:rFonts w:ascii="Times New Roman" w:hAnsi="Times New Roman" w:cs="Times New Roman"/>
                <w:b/>
                <w:sz w:val="24"/>
                <w:szCs w:val="24"/>
              </w:rPr>
              <w:t>Mean ± S.E.M</w:t>
            </w:r>
          </w:p>
        </w:tc>
        <w:tc>
          <w:tcPr>
            <w:tcW w:w="1800" w:type="dxa"/>
            <w:gridSpan w:val="2"/>
            <w:tcBorders>
              <w:top w:val="single" w:sz="4" w:space="0" w:color="auto"/>
              <w:bottom w:val="single" w:sz="4" w:space="0" w:color="auto"/>
            </w:tcBorders>
          </w:tcPr>
          <w:p w14:paraId="2A789C73" w14:textId="77777777" w:rsidR="00142A15" w:rsidRPr="007E61D7" w:rsidRDefault="00410D04" w:rsidP="00EA39E3">
            <w:pPr>
              <w:autoSpaceDE w:val="0"/>
              <w:autoSpaceDN w:val="0"/>
              <w:adjustRightInd w:val="0"/>
              <w:jc w:val="center"/>
              <w:rPr>
                <w:rFonts w:ascii="Times New Roman" w:hAnsi="Times New Roman" w:cs="Times New Roman"/>
                <w:b/>
                <w:sz w:val="24"/>
                <w:szCs w:val="24"/>
              </w:rPr>
            </w:pPr>
            <w:r w:rsidRPr="007E61D7">
              <w:rPr>
                <w:rFonts w:ascii="Times New Roman" w:hAnsi="Times New Roman" w:cs="Times New Roman"/>
                <w:b/>
                <w:sz w:val="24"/>
                <w:szCs w:val="24"/>
              </w:rPr>
              <w:t>Mean ± S.E.M</w:t>
            </w:r>
          </w:p>
        </w:tc>
        <w:tc>
          <w:tcPr>
            <w:tcW w:w="1858" w:type="dxa"/>
            <w:gridSpan w:val="2"/>
            <w:tcBorders>
              <w:top w:val="single" w:sz="4" w:space="0" w:color="auto"/>
              <w:bottom w:val="single" w:sz="4" w:space="0" w:color="auto"/>
            </w:tcBorders>
          </w:tcPr>
          <w:p w14:paraId="7016A092" w14:textId="77777777" w:rsidR="00142A15" w:rsidRPr="007E61D7" w:rsidRDefault="00410D04" w:rsidP="00EA39E3">
            <w:pPr>
              <w:autoSpaceDE w:val="0"/>
              <w:autoSpaceDN w:val="0"/>
              <w:adjustRightInd w:val="0"/>
              <w:jc w:val="center"/>
              <w:rPr>
                <w:rFonts w:ascii="Times New Roman" w:hAnsi="Times New Roman" w:cs="Times New Roman"/>
                <w:b/>
                <w:sz w:val="24"/>
                <w:szCs w:val="24"/>
              </w:rPr>
            </w:pPr>
            <w:r w:rsidRPr="007E61D7">
              <w:rPr>
                <w:rFonts w:ascii="Times New Roman" w:hAnsi="Times New Roman" w:cs="Times New Roman"/>
                <w:b/>
                <w:sz w:val="24"/>
                <w:szCs w:val="24"/>
              </w:rPr>
              <w:t>Mean ± S.E.M</w:t>
            </w:r>
          </w:p>
        </w:tc>
      </w:tr>
      <w:tr w:rsidR="005257F5" w:rsidRPr="007E61D7" w14:paraId="1A5423EE" w14:textId="77777777" w:rsidTr="00BD2A86">
        <w:trPr>
          <w:gridAfter w:val="1"/>
          <w:wAfter w:w="408" w:type="dxa"/>
          <w:jc w:val="center"/>
        </w:trPr>
        <w:tc>
          <w:tcPr>
            <w:tcW w:w="3093" w:type="dxa"/>
            <w:tcBorders>
              <w:top w:val="single" w:sz="4" w:space="0" w:color="auto"/>
              <w:bottom w:val="nil"/>
            </w:tcBorders>
          </w:tcPr>
          <w:p w14:paraId="3839CE39" w14:textId="77777777" w:rsidR="00142A15" w:rsidRPr="007E61D7" w:rsidRDefault="00410D04" w:rsidP="00EA39E3">
            <w:pPr>
              <w:autoSpaceDE w:val="0"/>
              <w:autoSpaceDN w:val="0"/>
              <w:adjustRightInd w:val="0"/>
              <w:jc w:val="center"/>
              <w:rPr>
                <w:rFonts w:ascii="Times New Roman" w:hAnsi="Times New Roman" w:cs="Times New Roman"/>
                <w:sz w:val="24"/>
                <w:szCs w:val="24"/>
              </w:rPr>
            </w:pPr>
            <w:r w:rsidRPr="007E61D7">
              <w:rPr>
                <w:rFonts w:ascii="Times New Roman" w:hAnsi="Times New Roman" w:cs="Times New Roman"/>
                <w:sz w:val="24"/>
                <w:szCs w:val="24"/>
              </w:rPr>
              <w:t>1mL saline (control)</w:t>
            </w:r>
          </w:p>
        </w:tc>
        <w:tc>
          <w:tcPr>
            <w:tcW w:w="1896" w:type="dxa"/>
            <w:tcBorders>
              <w:top w:val="single" w:sz="4" w:space="0" w:color="auto"/>
              <w:bottom w:val="nil"/>
            </w:tcBorders>
          </w:tcPr>
          <w:p w14:paraId="1CA92A24" w14:textId="77777777" w:rsidR="00142A15" w:rsidRPr="007E61D7" w:rsidRDefault="00410D04" w:rsidP="00EA39E3">
            <w:pPr>
              <w:autoSpaceDE w:val="0"/>
              <w:autoSpaceDN w:val="0"/>
              <w:adjustRightInd w:val="0"/>
              <w:jc w:val="center"/>
              <w:rPr>
                <w:rFonts w:ascii="Times New Roman" w:hAnsi="Times New Roman" w:cs="Times New Roman"/>
                <w:sz w:val="24"/>
                <w:szCs w:val="24"/>
              </w:rPr>
            </w:pPr>
            <w:r w:rsidRPr="007E61D7">
              <w:rPr>
                <w:rFonts w:ascii="Times New Roman" w:hAnsi="Times New Roman" w:cs="Times New Roman"/>
                <w:color w:val="000000"/>
                <w:sz w:val="24"/>
                <w:szCs w:val="24"/>
              </w:rPr>
              <w:t xml:space="preserve">0.86 </w:t>
            </w:r>
            <w:r w:rsidRPr="007E61D7">
              <w:rPr>
                <w:rFonts w:ascii="Times New Roman" w:hAnsi="Times New Roman" w:cs="Times New Roman"/>
                <w:sz w:val="24"/>
                <w:szCs w:val="24"/>
              </w:rPr>
              <w:t xml:space="preserve">± </w:t>
            </w:r>
            <w:r w:rsidRPr="007E61D7">
              <w:rPr>
                <w:rFonts w:ascii="Times New Roman" w:hAnsi="Times New Roman" w:cs="Times New Roman"/>
                <w:color w:val="000000"/>
                <w:sz w:val="24"/>
                <w:szCs w:val="24"/>
              </w:rPr>
              <w:t>0.13</w:t>
            </w:r>
          </w:p>
        </w:tc>
        <w:tc>
          <w:tcPr>
            <w:tcW w:w="1800" w:type="dxa"/>
            <w:gridSpan w:val="2"/>
            <w:tcBorders>
              <w:top w:val="single" w:sz="4" w:space="0" w:color="auto"/>
              <w:bottom w:val="nil"/>
            </w:tcBorders>
          </w:tcPr>
          <w:p w14:paraId="20C25ADB" w14:textId="77777777" w:rsidR="00142A15" w:rsidRPr="007E61D7" w:rsidRDefault="00410D04" w:rsidP="00EA39E3">
            <w:pPr>
              <w:autoSpaceDE w:val="0"/>
              <w:autoSpaceDN w:val="0"/>
              <w:adjustRightInd w:val="0"/>
              <w:jc w:val="center"/>
              <w:rPr>
                <w:rFonts w:ascii="Times New Roman" w:hAnsi="Times New Roman" w:cs="Times New Roman"/>
                <w:sz w:val="24"/>
                <w:szCs w:val="24"/>
              </w:rPr>
            </w:pPr>
            <w:r w:rsidRPr="007E61D7">
              <w:rPr>
                <w:rFonts w:ascii="Times New Roman" w:hAnsi="Times New Roman" w:cs="Times New Roman"/>
                <w:color w:val="000000"/>
                <w:sz w:val="24"/>
                <w:szCs w:val="24"/>
              </w:rPr>
              <w:t xml:space="preserve">0.38 </w:t>
            </w:r>
            <w:r w:rsidRPr="007E61D7">
              <w:rPr>
                <w:rFonts w:ascii="Times New Roman" w:hAnsi="Times New Roman" w:cs="Times New Roman"/>
                <w:sz w:val="24"/>
                <w:szCs w:val="24"/>
              </w:rPr>
              <w:t>±</w:t>
            </w:r>
            <w:r w:rsidRPr="007E61D7">
              <w:rPr>
                <w:rFonts w:ascii="Times New Roman" w:hAnsi="Times New Roman" w:cs="Times New Roman"/>
                <w:color w:val="000000"/>
                <w:sz w:val="24"/>
                <w:szCs w:val="24"/>
              </w:rPr>
              <w:t xml:space="preserve"> 0.06</w:t>
            </w:r>
          </w:p>
        </w:tc>
        <w:tc>
          <w:tcPr>
            <w:tcW w:w="1858" w:type="dxa"/>
            <w:gridSpan w:val="2"/>
            <w:tcBorders>
              <w:top w:val="single" w:sz="4" w:space="0" w:color="auto"/>
              <w:bottom w:val="nil"/>
            </w:tcBorders>
          </w:tcPr>
          <w:p w14:paraId="5B244ABD" w14:textId="77777777" w:rsidR="00142A15" w:rsidRPr="007E61D7" w:rsidRDefault="00410D04" w:rsidP="00EA39E3">
            <w:pPr>
              <w:autoSpaceDE w:val="0"/>
              <w:autoSpaceDN w:val="0"/>
              <w:adjustRightInd w:val="0"/>
              <w:jc w:val="center"/>
              <w:rPr>
                <w:rFonts w:ascii="Times New Roman" w:hAnsi="Times New Roman" w:cs="Times New Roman"/>
                <w:sz w:val="24"/>
                <w:szCs w:val="24"/>
              </w:rPr>
            </w:pPr>
            <w:r w:rsidRPr="007E61D7">
              <w:rPr>
                <w:rFonts w:ascii="Times New Roman" w:hAnsi="Times New Roman" w:cs="Times New Roman"/>
                <w:color w:val="000000"/>
                <w:sz w:val="24"/>
                <w:szCs w:val="24"/>
              </w:rPr>
              <w:t xml:space="preserve">0.41 </w:t>
            </w:r>
            <w:r w:rsidRPr="007E61D7">
              <w:rPr>
                <w:rFonts w:ascii="Times New Roman" w:hAnsi="Times New Roman" w:cs="Times New Roman"/>
                <w:sz w:val="24"/>
                <w:szCs w:val="24"/>
              </w:rPr>
              <w:t xml:space="preserve">± </w:t>
            </w:r>
            <w:r w:rsidRPr="007E61D7">
              <w:rPr>
                <w:rFonts w:ascii="Times New Roman" w:hAnsi="Times New Roman" w:cs="Times New Roman"/>
                <w:color w:val="000000"/>
                <w:sz w:val="24"/>
                <w:szCs w:val="24"/>
              </w:rPr>
              <w:t>0.05</w:t>
            </w:r>
          </w:p>
        </w:tc>
      </w:tr>
      <w:tr w:rsidR="005257F5" w:rsidRPr="007E61D7" w14:paraId="351220BF" w14:textId="77777777" w:rsidTr="00BD2A86">
        <w:trPr>
          <w:gridAfter w:val="1"/>
          <w:wAfter w:w="408" w:type="dxa"/>
          <w:jc w:val="center"/>
        </w:trPr>
        <w:tc>
          <w:tcPr>
            <w:tcW w:w="3093" w:type="dxa"/>
            <w:tcBorders>
              <w:top w:val="nil"/>
            </w:tcBorders>
          </w:tcPr>
          <w:p w14:paraId="28F33130" w14:textId="77777777" w:rsidR="00142A15" w:rsidRPr="007E61D7" w:rsidRDefault="00410D04" w:rsidP="00EA39E3">
            <w:pPr>
              <w:autoSpaceDE w:val="0"/>
              <w:autoSpaceDN w:val="0"/>
              <w:adjustRightInd w:val="0"/>
              <w:jc w:val="center"/>
              <w:rPr>
                <w:rFonts w:ascii="Times New Roman" w:hAnsi="Times New Roman" w:cs="Times New Roman"/>
                <w:sz w:val="24"/>
                <w:szCs w:val="24"/>
              </w:rPr>
            </w:pPr>
            <w:r w:rsidRPr="007E61D7">
              <w:rPr>
                <w:rFonts w:ascii="Times New Roman" w:hAnsi="Times New Roman" w:cs="Times New Roman"/>
                <w:sz w:val="24"/>
                <w:szCs w:val="24"/>
              </w:rPr>
              <w:t>0.1mL PZ (low dosage)</w:t>
            </w:r>
          </w:p>
        </w:tc>
        <w:tc>
          <w:tcPr>
            <w:tcW w:w="1896" w:type="dxa"/>
            <w:tcBorders>
              <w:top w:val="nil"/>
            </w:tcBorders>
          </w:tcPr>
          <w:p w14:paraId="14B2BC1B" w14:textId="77777777" w:rsidR="00142A15" w:rsidRPr="007E61D7" w:rsidRDefault="00410D04" w:rsidP="00EA39E3">
            <w:pPr>
              <w:autoSpaceDE w:val="0"/>
              <w:autoSpaceDN w:val="0"/>
              <w:adjustRightInd w:val="0"/>
              <w:jc w:val="center"/>
              <w:rPr>
                <w:rFonts w:ascii="Times New Roman" w:hAnsi="Times New Roman" w:cs="Times New Roman"/>
                <w:sz w:val="24"/>
                <w:szCs w:val="24"/>
              </w:rPr>
            </w:pPr>
            <w:r w:rsidRPr="007E61D7">
              <w:rPr>
                <w:rFonts w:ascii="Times New Roman" w:hAnsi="Times New Roman" w:cs="Times New Roman"/>
                <w:color w:val="000000"/>
                <w:sz w:val="24"/>
                <w:szCs w:val="24"/>
              </w:rPr>
              <w:t xml:space="preserve">1.33 </w:t>
            </w:r>
            <w:r w:rsidRPr="007E61D7">
              <w:rPr>
                <w:rFonts w:ascii="Times New Roman" w:hAnsi="Times New Roman" w:cs="Times New Roman"/>
                <w:sz w:val="24"/>
                <w:szCs w:val="24"/>
              </w:rPr>
              <w:t>± 0.35</w:t>
            </w:r>
            <w:r w:rsidRPr="007E61D7">
              <w:rPr>
                <w:rFonts w:ascii="Times New Roman" w:hAnsi="Times New Roman" w:cs="Times New Roman"/>
                <w:b/>
                <w:sz w:val="24"/>
                <w:szCs w:val="24"/>
              </w:rPr>
              <w:t>a</w:t>
            </w:r>
          </w:p>
        </w:tc>
        <w:tc>
          <w:tcPr>
            <w:tcW w:w="1800" w:type="dxa"/>
            <w:gridSpan w:val="2"/>
            <w:tcBorders>
              <w:top w:val="nil"/>
            </w:tcBorders>
          </w:tcPr>
          <w:p w14:paraId="27E71E18" w14:textId="77777777" w:rsidR="00142A15" w:rsidRPr="007E61D7" w:rsidRDefault="00410D04" w:rsidP="00EA39E3">
            <w:pPr>
              <w:autoSpaceDE w:val="0"/>
              <w:autoSpaceDN w:val="0"/>
              <w:adjustRightInd w:val="0"/>
              <w:jc w:val="center"/>
              <w:rPr>
                <w:rFonts w:ascii="Times New Roman" w:hAnsi="Times New Roman" w:cs="Times New Roman"/>
                <w:sz w:val="24"/>
                <w:szCs w:val="24"/>
              </w:rPr>
            </w:pPr>
            <w:r w:rsidRPr="007E61D7">
              <w:rPr>
                <w:rFonts w:ascii="Times New Roman" w:hAnsi="Times New Roman" w:cs="Times New Roman"/>
                <w:color w:val="000000"/>
                <w:sz w:val="24"/>
                <w:szCs w:val="24"/>
              </w:rPr>
              <w:t xml:space="preserve">0.45 </w:t>
            </w:r>
            <w:r w:rsidRPr="007E61D7">
              <w:rPr>
                <w:rFonts w:ascii="Times New Roman" w:hAnsi="Times New Roman" w:cs="Times New Roman"/>
                <w:sz w:val="24"/>
                <w:szCs w:val="24"/>
              </w:rPr>
              <w:t>±</w:t>
            </w:r>
            <w:r w:rsidRPr="007E61D7">
              <w:rPr>
                <w:rFonts w:ascii="Times New Roman" w:hAnsi="Times New Roman" w:cs="Times New Roman"/>
                <w:color w:val="000000"/>
                <w:sz w:val="24"/>
                <w:szCs w:val="24"/>
              </w:rPr>
              <w:t xml:space="preserve"> 0.01</w:t>
            </w:r>
            <w:r w:rsidRPr="007E61D7">
              <w:rPr>
                <w:rFonts w:ascii="Times New Roman" w:hAnsi="Times New Roman" w:cs="Times New Roman"/>
                <w:b/>
                <w:color w:val="000000"/>
                <w:sz w:val="24"/>
                <w:szCs w:val="24"/>
              </w:rPr>
              <w:t>a</w:t>
            </w:r>
          </w:p>
        </w:tc>
        <w:tc>
          <w:tcPr>
            <w:tcW w:w="1858" w:type="dxa"/>
            <w:gridSpan w:val="2"/>
            <w:tcBorders>
              <w:top w:val="nil"/>
            </w:tcBorders>
          </w:tcPr>
          <w:p w14:paraId="687A40BA" w14:textId="77777777" w:rsidR="00142A15" w:rsidRPr="007E61D7" w:rsidRDefault="00410D04" w:rsidP="00EA39E3">
            <w:pPr>
              <w:autoSpaceDE w:val="0"/>
              <w:autoSpaceDN w:val="0"/>
              <w:adjustRightInd w:val="0"/>
              <w:jc w:val="center"/>
              <w:rPr>
                <w:rFonts w:ascii="Times New Roman" w:hAnsi="Times New Roman" w:cs="Times New Roman"/>
                <w:sz w:val="24"/>
                <w:szCs w:val="24"/>
              </w:rPr>
            </w:pPr>
            <w:r w:rsidRPr="007E61D7">
              <w:rPr>
                <w:rFonts w:ascii="Times New Roman" w:hAnsi="Times New Roman" w:cs="Times New Roman"/>
                <w:color w:val="000000"/>
                <w:sz w:val="24"/>
                <w:szCs w:val="24"/>
              </w:rPr>
              <w:t xml:space="preserve">0.37 </w:t>
            </w:r>
            <w:r w:rsidRPr="007E61D7">
              <w:rPr>
                <w:rFonts w:ascii="Times New Roman" w:hAnsi="Times New Roman" w:cs="Times New Roman"/>
                <w:sz w:val="24"/>
                <w:szCs w:val="24"/>
              </w:rPr>
              <w:t xml:space="preserve">± </w:t>
            </w:r>
            <w:r w:rsidRPr="007E61D7">
              <w:rPr>
                <w:rFonts w:ascii="Times New Roman" w:hAnsi="Times New Roman" w:cs="Times New Roman"/>
                <w:color w:val="000000"/>
                <w:sz w:val="24"/>
                <w:szCs w:val="24"/>
              </w:rPr>
              <w:t>0.01</w:t>
            </w:r>
            <w:r w:rsidRPr="007E61D7">
              <w:rPr>
                <w:rFonts w:ascii="Times New Roman" w:hAnsi="Times New Roman" w:cs="Times New Roman"/>
                <w:b/>
                <w:color w:val="000000"/>
                <w:sz w:val="24"/>
                <w:szCs w:val="24"/>
              </w:rPr>
              <w:t>a</w:t>
            </w:r>
          </w:p>
        </w:tc>
      </w:tr>
      <w:tr w:rsidR="005257F5" w:rsidRPr="007E61D7" w14:paraId="5A3E2D17" w14:textId="77777777" w:rsidTr="00BD2A86">
        <w:trPr>
          <w:gridAfter w:val="1"/>
          <w:wAfter w:w="408" w:type="dxa"/>
          <w:jc w:val="center"/>
        </w:trPr>
        <w:tc>
          <w:tcPr>
            <w:tcW w:w="3093" w:type="dxa"/>
          </w:tcPr>
          <w:p w14:paraId="137F1EEC" w14:textId="77777777" w:rsidR="00142A15" w:rsidRPr="007E61D7" w:rsidRDefault="00410D04" w:rsidP="00EA39E3">
            <w:pPr>
              <w:autoSpaceDE w:val="0"/>
              <w:autoSpaceDN w:val="0"/>
              <w:adjustRightInd w:val="0"/>
              <w:jc w:val="center"/>
              <w:rPr>
                <w:rFonts w:ascii="Times New Roman" w:hAnsi="Times New Roman" w:cs="Times New Roman"/>
                <w:sz w:val="24"/>
                <w:szCs w:val="24"/>
              </w:rPr>
            </w:pPr>
            <w:r w:rsidRPr="007E61D7">
              <w:rPr>
                <w:rFonts w:ascii="Times New Roman" w:hAnsi="Times New Roman" w:cs="Times New Roman"/>
                <w:sz w:val="24"/>
                <w:szCs w:val="24"/>
              </w:rPr>
              <w:t>0.25mL PZ (medium dosage)</w:t>
            </w:r>
          </w:p>
        </w:tc>
        <w:tc>
          <w:tcPr>
            <w:tcW w:w="1896" w:type="dxa"/>
          </w:tcPr>
          <w:p w14:paraId="0ED20DEB" w14:textId="77777777" w:rsidR="00142A15" w:rsidRPr="007E61D7" w:rsidRDefault="00410D04" w:rsidP="00EA39E3">
            <w:pPr>
              <w:autoSpaceDE w:val="0"/>
              <w:autoSpaceDN w:val="0"/>
              <w:adjustRightInd w:val="0"/>
              <w:jc w:val="center"/>
              <w:rPr>
                <w:rFonts w:ascii="Times New Roman" w:hAnsi="Times New Roman" w:cs="Times New Roman"/>
                <w:sz w:val="24"/>
                <w:szCs w:val="24"/>
              </w:rPr>
            </w:pPr>
            <w:r w:rsidRPr="007E61D7">
              <w:rPr>
                <w:rFonts w:ascii="Times New Roman" w:hAnsi="Times New Roman" w:cs="Times New Roman"/>
                <w:color w:val="000000"/>
                <w:sz w:val="24"/>
                <w:szCs w:val="24"/>
              </w:rPr>
              <w:t xml:space="preserve">1.56 </w:t>
            </w:r>
            <w:r w:rsidRPr="007E61D7">
              <w:rPr>
                <w:rFonts w:ascii="Times New Roman" w:hAnsi="Times New Roman" w:cs="Times New Roman"/>
                <w:sz w:val="24"/>
                <w:szCs w:val="24"/>
              </w:rPr>
              <w:t>± 0.19</w:t>
            </w:r>
            <w:r w:rsidRPr="007E61D7">
              <w:rPr>
                <w:rFonts w:ascii="Times New Roman" w:hAnsi="Times New Roman" w:cs="Times New Roman"/>
                <w:b/>
                <w:sz w:val="24"/>
                <w:szCs w:val="24"/>
              </w:rPr>
              <w:t>a</w:t>
            </w:r>
          </w:p>
        </w:tc>
        <w:tc>
          <w:tcPr>
            <w:tcW w:w="1800" w:type="dxa"/>
            <w:gridSpan w:val="2"/>
          </w:tcPr>
          <w:p w14:paraId="2B6C9D1B" w14:textId="77777777" w:rsidR="00142A15" w:rsidRPr="007E61D7" w:rsidRDefault="00410D04" w:rsidP="00EA39E3">
            <w:pPr>
              <w:autoSpaceDE w:val="0"/>
              <w:autoSpaceDN w:val="0"/>
              <w:adjustRightInd w:val="0"/>
              <w:jc w:val="center"/>
              <w:rPr>
                <w:rFonts w:ascii="Times New Roman" w:hAnsi="Times New Roman" w:cs="Times New Roman"/>
                <w:sz w:val="24"/>
                <w:szCs w:val="24"/>
              </w:rPr>
            </w:pPr>
            <w:r w:rsidRPr="007E61D7">
              <w:rPr>
                <w:rFonts w:ascii="Times New Roman" w:hAnsi="Times New Roman" w:cs="Times New Roman"/>
                <w:color w:val="000000"/>
                <w:sz w:val="24"/>
                <w:szCs w:val="24"/>
              </w:rPr>
              <w:t xml:space="preserve">0.43 </w:t>
            </w:r>
            <w:r w:rsidRPr="007E61D7">
              <w:rPr>
                <w:rFonts w:ascii="Times New Roman" w:hAnsi="Times New Roman" w:cs="Times New Roman"/>
                <w:sz w:val="24"/>
                <w:szCs w:val="24"/>
              </w:rPr>
              <w:t>±</w:t>
            </w:r>
            <w:r w:rsidRPr="007E61D7">
              <w:rPr>
                <w:rFonts w:ascii="Times New Roman" w:hAnsi="Times New Roman" w:cs="Times New Roman"/>
                <w:color w:val="000000"/>
                <w:sz w:val="24"/>
                <w:szCs w:val="24"/>
              </w:rPr>
              <w:t xml:space="preserve"> 0.03</w:t>
            </w:r>
            <w:r w:rsidRPr="007E61D7">
              <w:rPr>
                <w:rFonts w:ascii="Times New Roman" w:hAnsi="Times New Roman" w:cs="Times New Roman"/>
                <w:b/>
                <w:color w:val="000000"/>
                <w:sz w:val="24"/>
                <w:szCs w:val="24"/>
              </w:rPr>
              <w:t>a</w:t>
            </w:r>
          </w:p>
        </w:tc>
        <w:tc>
          <w:tcPr>
            <w:tcW w:w="1858" w:type="dxa"/>
            <w:gridSpan w:val="2"/>
          </w:tcPr>
          <w:p w14:paraId="00D3D926" w14:textId="77777777" w:rsidR="00142A15" w:rsidRPr="007E61D7" w:rsidRDefault="00410D04" w:rsidP="00EA39E3">
            <w:pPr>
              <w:autoSpaceDE w:val="0"/>
              <w:autoSpaceDN w:val="0"/>
              <w:adjustRightInd w:val="0"/>
              <w:jc w:val="center"/>
              <w:rPr>
                <w:rFonts w:ascii="Times New Roman" w:hAnsi="Times New Roman" w:cs="Times New Roman"/>
                <w:sz w:val="24"/>
                <w:szCs w:val="24"/>
              </w:rPr>
            </w:pPr>
            <w:r w:rsidRPr="007E61D7">
              <w:rPr>
                <w:rFonts w:ascii="Times New Roman" w:hAnsi="Times New Roman" w:cs="Times New Roman"/>
                <w:color w:val="000000"/>
                <w:sz w:val="24"/>
                <w:szCs w:val="24"/>
              </w:rPr>
              <w:t xml:space="preserve">0.37 </w:t>
            </w:r>
            <w:r w:rsidRPr="007E61D7">
              <w:rPr>
                <w:rFonts w:ascii="Times New Roman" w:hAnsi="Times New Roman" w:cs="Times New Roman"/>
                <w:sz w:val="24"/>
                <w:szCs w:val="24"/>
              </w:rPr>
              <w:t xml:space="preserve">± </w:t>
            </w:r>
            <w:r w:rsidRPr="007E61D7">
              <w:rPr>
                <w:rFonts w:ascii="Times New Roman" w:hAnsi="Times New Roman" w:cs="Times New Roman"/>
                <w:color w:val="000000"/>
                <w:sz w:val="24"/>
                <w:szCs w:val="24"/>
              </w:rPr>
              <w:t>0.04</w:t>
            </w:r>
            <w:r w:rsidRPr="007E61D7">
              <w:rPr>
                <w:rFonts w:ascii="Times New Roman" w:hAnsi="Times New Roman" w:cs="Times New Roman"/>
                <w:b/>
                <w:color w:val="000000"/>
                <w:sz w:val="24"/>
                <w:szCs w:val="24"/>
              </w:rPr>
              <w:t>a</w:t>
            </w:r>
          </w:p>
        </w:tc>
      </w:tr>
      <w:tr w:rsidR="005257F5" w:rsidRPr="007E61D7" w14:paraId="3302B927" w14:textId="77777777" w:rsidTr="00BD2A86">
        <w:trPr>
          <w:gridAfter w:val="1"/>
          <w:wAfter w:w="408" w:type="dxa"/>
          <w:jc w:val="center"/>
        </w:trPr>
        <w:tc>
          <w:tcPr>
            <w:tcW w:w="3093" w:type="dxa"/>
          </w:tcPr>
          <w:p w14:paraId="1E54C498" w14:textId="77777777" w:rsidR="00142A15" w:rsidRPr="007E61D7" w:rsidRDefault="00410D04" w:rsidP="00EA39E3">
            <w:pPr>
              <w:autoSpaceDE w:val="0"/>
              <w:autoSpaceDN w:val="0"/>
              <w:adjustRightInd w:val="0"/>
              <w:jc w:val="center"/>
              <w:rPr>
                <w:rFonts w:ascii="Times New Roman" w:hAnsi="Times New Roman" w:cs="Times New Roman"/>
                <w:sz w:val="24"/>
                <w:szCs w:val="24"/>
              </w:rPr>
            </w:pPr>
            <w:r w:rsidRPr="007E61D7">
              <w:rPr>
                <w:rFonts w:ascii="Times New Roman" w:hAnsi="Times New Roman" w:cs="Times New Roman"/>
                <w:sz w:val="24"/>
                <w:szCs w:val="24"/>
              </w:rPr>
              <w:t>0.4mL PZ (high dosage)</w:t>
            </w:r>
          </w:p>
        </w:tc>
        <w:tc>
          <w:tcPr>
            <w:tcW w:w="1896" w:type="dxa"/>
          </w:tcPr>
          <w:p w14:paraId="3506B61D" w14:textId="77777777" w:rsidR="00142A15" w:rsidRPr="007E61D7" w:rsidRDefault="00410D04" w:rsidP="00EA39E3">
            <w:pPr>
              <w:autoSpaceDE w:val="0"/>
              <w:autoSpaceDN w:val="0"/>
              <w:adjustRightInd w:val="0"/>
              <w:jc w:val="center"/>
              <w:rPr>
                <w:rFonts w:ascii="Times New Roman" w:hAnsi="Times New Roman" w:cs="Times New Roman"/>
                <w:sz w:val="24"/>
                <w:szCs w:val="24"/>
              </w:rPr>
            </w:pPr>
            <w:r w:rsidRPr="007E61D7">
              <w:rPr>
                <w:rFonts w:ascii="Times New Roman" w:hAnsi="Times New Roman" w:cs="Times New Roman"/>
                <w:color w:val="000000"/>
                <w:sz w:val="24"/>
                <w:szCs w:val="24"/>
              </w:rPr>
              <w:t xml:space="preserve">0.93 </w:t>
            </w:r>
            <w:r w:rsidRPr="007E61D7">
              <w:rPr>
                <w:rFonts w:ascii="Times New Roman" w:hAnsi="Times New Roman" w:cs="Times New Roman"/>
                <w:sz w:val="24"/>
                <w:szCs w:val="24"/>
              </w:rPr>
              <w:t>± 0.21</w:t>
            </w:r>
          </w:p>
        </w:tc>
        <w:tc>
          <w:tcPr>
            <w:tcW w:w="1800" w:type="dxa"/>
            <w:gridSpan w:val="2"/>
          </w:tcPr>
          <w:p w14:paraId="5D854788" w14:textId="77777777" w:rsidR="00142A15" w:rsidRPr="007E61D7" w:rsidRDefault="00410D04" w:rsidP="00EA39E3">
            <w:pPr>
              <w:autoSpaceDE w:val="0"/>
              <w:autoSpaceDN w:val="0"/>
              <w:adjustRightInd w:val="0"/>
              <w:jc w:val="center"/>
              <w:rPr>
                <w:rFonts w:ascii="Times New Roman" w:hAnsi="Times New Roman" w:cs="Times New Roman"/>
                <w:sz w:val="24"/>
                <w:szCs w:val="24"/>
              </w:rPr>
            </w:pPr>
            <w:r w:rsidRPr="007E61D7">
              <w:rPr>
                <w:rFonts w:ascii="Times New Roman" w:hAnsi="Times New Roman" w:cs="Times New Roman"/>
                <w:color w:val="000000"/>
                <w:sz w:val="24"/>
                <w:szCs w:val="24"/>
              </w:rPr>
              <w:t xml:space="preserve">0.49 </w:t>
            </w:r>
            <w:r w:rsidRPr="007E61D7">
              <w:rPr>
                <w:rFonts w:ascii="Times New Roman" w:hAnsi="Times New Roman" w:cs="Times New Roman"/>
                <w:sz w:val="24"/>
                <w:szCs w:val="24"/>
              </w:rPr>
              <w:t>±</w:t>
            </w:r>
            <w:r w:rsidRPr="007E61D7">
              <w:rPr>
                <w:rFonts w:ascii="Times New Roman" w:hAnsi="Times New Roman" w:cs="Times New Roman"/>
                <w:color w:val="000000"/>
                <w:sz w:val="24"/>
                <w:szCs w:val="24"/>
              </w:rPr>
              <w:t xml:space="preserve"> 0.01</w:t>
            </w:r>
            <w:r w:rsidRPr="007E61D7">
              <w:rPr>
                <w:rFonts w:ascii="Times New Roman" w:hAnsi="Times New Roman" w:cs="Times New Roman"/>
                <w:b/>
                <w:color w:val="000000"/>
                <w:sz w:val="24"/>
                <w:szCs w:val="24"/>
              </w:rPr>
              <w:t>a,b</w:t>
            </w:r>
          </w:p>
        </w:tc>
        <w:tc>
          <w:tcPr>
            <w:tcW w:w="1858" w:type="dxa"/>
            <w:gridSpan w:val="2"/>
          </w:tcPr>
          <w:p w14:paraId="5D1613CE" w14:textId="77777777" w:rsidR="00142A15" w:rsidRPr="007E61D7" w:rsidRDefault="00410D04" w:rsidP="00EA39E3">
            <w:pPr>
              <w:autoSpaceDE w:val="0"/>
              <w:autoSpaceDN w:val="0"/>
              <w:adjustRightInd w:val="0"/>
              <w:jc w:val="center"/>
              <w:rPr>
                <w:rFonts w:ascii="Times New Roman" w:hAnsi="Times New Roman" w:cs="Times New Roman"/>
                <w:sz w:val="24"/>
                <w:szCs w:val="24"/>
              </w:rPr>
            </w:pPr>
            <w:r w:rsidRPr="007E61D7">
              <w:rPr>
                <w:rFonts w:ascii="Times New Roman" w:hAnsi="Times New Roman" w:cs="Times New Roman"/>
                <w:color w:val="000000"/>
                <w:sz w:val="24"/>
                <w:szCs w:val="24"/>
              </w:rPr>
              <w:t xml:space="preserve">0.26 </w:t>
            </w:r>
            <w:r w:rsidRPr="007E61D7">
              <w:rPr>
                <w:rFonts w:ascii="Times New Roman" w:hAnsi="Times New Roman" w:cs="Times New Roman"/>
                <w:sz w:val="24"/>
                <w:szCs w:val="24"/>
              </w:rPr>
              <w:t xml:space="preserve">± </w:t>
            </w:r>
            <w:r w:rsidRPr="007E61D7">
              <w:rPr>
                <w:rFonts w:ascii="Times New Roman" w:hAnsi="Times New Roman" w:cs="Times New Roman"/>
                <w:color w:val="000000"/>
                <w:sz w:val="24"/>
                <w:szCs w:val="24"/>
              </w:rPr>
              <w:t>0.01</w:t>
            </w:r>
            <w:r w:rsidRPr="007E61D7">
              <w:rPr>
                <w:rFonts w:ascii="Times New Roman" w:hAnsi="Times New Roman" w:cs="Times New Roman"/>
                <w:b/>
                <w:color w:val="000000"/>
                <w:sz w:val="24"/>
                <w:szCs w:val="24"/>
              </w:rPr>
              <w:t>a,b,c</w:t>
            </w:r>
          </w:p>
        </w:tc>
      </w:tr>
    </w:tbl>
    <w:p w14:paraId="0A85D58D" w14:textId="77777777" w:rsidR="00142A15" w:rsidRPr="007E61D7" w:rsidRDefault="00410D04" w:rsidP="00EA39E3">
      <w:pPr>
        <w:spacing w:after="0" w:line="240" w:lineRule="auto"/>
        <w:jc w:val="center"/>
        <w:rPr>
          <w:rFonts w:cs="Times New Roman"/>
          <w:szCs w:val="24"/>
        </w:rPr>
      </w:pPr>
      <w:r w:rsidRPr="007E61D7">
        <w:rPr>
          <w:rFonts w:cs="Times New Roman"/>
          <w:b/>
          <w:szCs w:val="24"/>
        </w:rPr>
        <w:t>a</w:t>
      </w:r>
      <w:r w:rsidRPr="007E61D7">
        <w:rPr>
          <w:rFonts w:cs="Times New Roman"/>
          <w:szCs w:val="24"/>
        </w:rPr>
        <w:t xml:space="preserve"> = indicates the least significant difference in comparison with the control group at p &lt; 0.05</w:t>
      </w:r>
    </w:p>
    <w:p w14:paraId="4B5E4788" w14:textId="77777777" w:rsidR="00142A15" w:rsidRPr="007E61D7" w:rsidRDefault="00410D04" w:rsidP="00EA39E3">
      <w:pPr>
        <w:spacing w:after="0" w:line="240" w:lineRule="auto"/>
        <w:jc w:val="center"/>
        <w:rPr>
          <w:rFonts w:cs="Times New Roman"/>
          <w:szCs w:val="24"/>
        </w:rPr>
      </w:pPr>
      <w:r w:rsidRPr="007E61D7">
        <w:rPr>
          <w:rFonts w:cs="Times New Roman"/>
          <w:b/>
          <w:szCs w:val="24"/>
        </w:rPr>
        <w:t>b</w:t>
      </w:r>
      <w:r w:rsidRPr="007E61D7">
        <w:rPr>
          <w:rFonts w:cs="Times New Roman"/>
          <w:szCs w:val="24"/>
        </w:rPr>
        <w:t xml:space="preserve"> = indicates the least significant difference in comparison with 0.1mL PZ group at p &lt; 0.05</w:t>
      </w:r>
    </w:p>
    <w:p w14:paraId="7AEB06EB" w14:textId="77777777" w:rsidR="00142A15" w:rsidRPr="007E61D7" w:rsidRDefault="00410D04" w:rsidP="00EA39E3">
      <w:pPr>
        <w:autoSpaceDE w:val="0"/>
        <w:autoSpaceDN w:val="0"/>
        <w:adjustRightInd w:val="0"/>
        <w:spacing w:after="0" w:line="240" w:lineRule="auto"/>
        <w:jc w:val="center"/>
        <w:rPr>
          <w:rFonts w:cs="Times New Roman"/>
          <w:szCs w:val="24"/>
        </w:rPr>
      </w:pPr>
      <w:r w:rsidRPr="007E61D7">
        <w:rPr>
          <w:rFonts w:cs="Times New Roman"/>
          <w:b/>
          <w:szCs w:val="24"/>
        </w:rPr>
        <w:t>c</w:t>
      </w:r>
      <w:r w:rsidRPr="007E61D7">
        <w:rPr>
          <w:rFonts w:cs="Times New Roman"/>
          <w:szCs w:val="24"/>
        </w:rPr>
        <w:t xml:space="preserve"> = indicates the least significant difference in comparison with 0.25mL PZ group at p &lt; 0.05</w:t>
      </w:r>
    </w:p>
    <w:p w14:paraId="25754F66" w14:textId="7E2FA2FE" w:rsidR="00142A15" w:rsidRPr="007E61D7" w:rsidRDefault="00142A15" w:rsidP="00FB315A">
      <w:pPr>
        <w:autoSpaceDE w:val="0"/>
        <w:autoSpaceDN w:val="0"/>
        <w:adjustRightInd w:val="0"/>
        <w:spacing w:before="240" w:after="240" w:line="240" w:lineRule="auto"/>
        <w:jc w:val="center"/>
        <w:rPr>
          <w:rFonts w:cs="Times New Roman"/>
          <w:b/>
          <w:szCs w:val="24"/>
        </w:rPr>
      </w:pPr>
    </w:p>
    <w:p w14:paraId="11444488" w14:textId="595B4CD3" w:rsidR="00142A15" w:rsidRPr="007E61D7" w:rsidRDefault="002C6D02" w:rsidP="00FB315A">
      <w:pPr>
        <w:autoSpaceDE w:val="0"/>
        <w:autoSpaceDN w:val="0"/>
        <w:adjustRightInd w:val="0"/>
        <w:spacing w:before="240" w:after="240" w:line="240" w:lineRule="auto"/>
        <w:jc w:val="center"/>
        <w:rPr>
          <w:rFonts w:cs="Times New Roman"/>
          <w:b/>
          <w:szCs w:val="24"/>
        </w:rPr>
      </w:pPr>
      <w:r>
        <w:rPr>
          <w:rFonts w:cs="Times New Roman"/>
          <w:b/>
          <w:noProof/>
          <w:szCs w:val="24"/>
        </w:rPr>
        <w:drawing>
          <wp:inline distT="0" distB="0" distL="0" distR="0" wp14:anchorId="30B76B3B" wp14:editId="2B78EE50">
            <wp:extent cx="5343525" cy="4000500"/>
            <wp:effectExtent l="0" t="0" r="9525" b="0"/>
            <wp:docPr id="9709851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43525" cy="4000500"/>
                    </a:xfrm>
                    <a:prstGeom prst="rect">
                      <a:avLst/>
                    </a:prstGeom>
                    <a:noFill/>
                    <a:ln>
                      <a:noFill/>
                    </a:ln>
                  </pic:spPr>
                </pic:pic>
              </a:graphicData>
            </a:graphic>
          </wp:inline>
        </w:drawing>
      </w:r>
    </w:p>
    <w:p w14:paraId="0305BD59" w14:textId="5E3C9A5E" w:rsidR="00142A15" w:rsidRPr="007E61D7" w:rsidRDefault="00410D04" w:rsidP="00FB315A">
      <w:pPr>
        <w:autoSpaceDE w:val="0"/>
        <w:autoSpaceDN w:val="0"/>
        <w:adjustRightInd w:val="0"/>
        <w:spacing w:before="240" w:after="240" w:line="240" w:lineRule="auto"/>
        <w:rPr>
          <w:rFonts w:cs="Times New Roman"/>
          <w:b/>
          <w:szCs w:val="24"/>
        </w:rPr>
      </w:pPr>
      <w:r w:rsidRPr="007E61D7">
        <w:rPr>
          <w:rFonts w:cs="Times New Roman"/>
          <w:b/>
          <w:szCs w:val="24"/>
        </w:rPr>
        <w:t xml:space="preserve">Figure </w:t>
      </w:r>
      <w:r w:rsidR="003F076F">
        <w:rPr>
          <w:rFonts w:cs="Times New Roman"/>
          <w:b/>
          <w:szCs w:val="24"/>
        </w:rPr>
        <w:t>1</w:t>
      </w:r>
      <w:r w:rsidRPr="007E61D7">
        <w:rPr>
          <w:rFonts w:cs="Times New Roman"/>
          <w:b/>
          <w:szCs w:val="24"/>
        </w:rPr>
        <w:t>.</w:t>
      </w:r>
      <w:r w:rsidRPr="007E61D7">
        <w:rPr>
          <w:rFonts w:cs="Times New Roman"/>
          <w:szCs w:val="24"/>
        </w:rPr>
        <w:t xml:space="preserve"> Photomicrograph of control (A) and experimental small intestinal groups (B, C, D). Signs shown in B, C, and D include distortions, inflammatory cell infiltrations within the mucosa epithelia, and </w:t>
      </w:r>
      <w:proofErr w:type="spellStart"/>
      <w:r w:rsidRPr="007E61D7">
        <w:rPr>
          <w:rFonts w:cs="Times New Roman"/>
          <w:szCs w:val="24"/>
        </w:rPr>
        <w:t>intervillous</w:t>
      </w:r>
      <w:proofErr w:type="spellEnd"/>
      <w:r w:rsidRPr="007E61D7">
        <w:rPr>
          <w:rFonts w:cs="Times New Roman"/>
          <w:szCs w:val="24"/>
        </w:rPr>
        <w:t xml:space="preserve"> spaces of the mucosa wall.</w:t>
      </w:r>
    </w:p>
    <w:p w14:paraId="0E3DABB1" w14:textId="5ABE8D7E" w:rsidR="00142A15" w:rsidRPr="007E61D7" w:rsidRDefault="002C6D02" w:rsidP="00FB315A">
      <w:pPr>
        <w:autoSpaceDE w:val="0"/>
        <w:autoSpaceDN w:val="0"/>
        <w:adjustRightInd w:val="0"/>
        <w:spacing w:before="240" w:after="240" w:line="240" w:lineRule="auto"/>
        <w:jc w:val="center"/>
        <w:rPr>
          <w:rFonts w:cs="Times New Roman"/>
          <w:b/>
          <w:szCs w:val="24"/>
        </w:rPr>
      </w:pPr>
      <w:r>
        <w:rPr>
          <w:rFonts w:cs="Times New Roman"/>
          <w:b/>
          <w:noProof/>
          <w:szCs w:val="24"/>
        </w:rPr>
        <w:lastRenderedPageBreak/>
        <w:drawing>
          <wp:inline distT="0" distB="0" distL="0" distR="0" wp14:anchorId="672FB1E3" wp14:editId="34C3E896">
            <wp:extent cx="5210175" cy="4038600"/>
            <wp:effectExtent l="0" t="0" r="9525" b="0"/>
            <wp:docPr id="12497837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0175" cy="4038600"/>
                    </a:xfrm>
                    <a:prstGeom prst="rect">
                      <a:avLst/>
                    </a:prstGeom>
                    <a:noFill/>
                    <a:ln>
                      <a:noFill/>
                    </a:ln>
                  </pic:spPr>
                </pic:pic>
              </a:graphicData>
            </a:graphic>
          </wp:inline>
        </w:drawing>
      </w:r>
    </w:p>
    <w:p w14:paraId="6EF06D28" w14:textId="1976A223" w:rsidR="00142A15" w:rsidRPr="007E61D7" w:rsidRDefault="00410D04" w:rsidP="00FB315A">
      <w:pPr>
        <w:autoSpaceDE w:val="0"/>
        <w:autoSpaceDN w:val="0"/>
        <w:adjustRightInd w:val="0"/>
        <w:spacing w:before="240" w:after="240" w:line="240" w:lineRule="auto"/>
        <w:rPr>
          <w:rFonts w:cs="Times New Roman"/>
          <w:b/>
          <w:szCs w:val="24"/>
        </w:rPr>
      </w:pPr>
      <w:r w:rsidRPr="007E61D7">
        <w:rPr>
          <w:rFonts w:cs="Times New Roman"/>
          <w:b/>
          <w:szCs w:val="24"/>
        </w:rPr>
        <w:t xml:space="preserve">Figure </w:t>
      </w:r>
      <w:r w:rsidR="003F076F">
        <w:rPr>
          <w:rFonts w:cs="Times New Roman"/>
          <w:b/>
          <w:szCs w:val="24"/>
        </w:rPr>
        <w:t>2</w:t>
      </w:r>
      <w:r w:rsidRPr="007E61D7">
        <w:rPr>
          <w:rFonts w:cs="Times New Roman"/>
          <w:b/>
          <w:szCs w:val="24"/>
        </w:rPr>
        <w:t>.</w:t>
      </w:r>
      <w:r w:rsidRPr="007E61D7">
        <w:rPr>
          <w:rFonts w:cs="Times New Roman"/>
          <w:szCs w:val="24"/>
        </w:rPr>
        <w:t xml:space="preserve"> Photomicrograph of control (A) and experimental large intestinal groups (B, C, D). Signs shown in B, C, and D include mild distortions and inflammatory cell infiltrations within the mucosa epithelia.</w:t>
      </w:r>
    </w:p>
    <w:p w14:paraId="18988FCB" w14:textId="77777777" w:rsidR="00EA39E3" w:rsidRPr="007E61D7" w:rsidRDefault="00EA39E3" w:rsidP="00FB315A">
      <w:pPr>
        <w:autoSpaceDE w:val="0"/>
        <w:autoSpaceDN w:val="0"/>
        <w:adjustRightInd w:val="0"/>
        <w:spacing w:before="240" w:after="240" w:line="240" w:lineRule="auto"/>
        <w:rPr>
          <w:rFonts w:cs="Times New Roman"/>
          <w:b/>
          <w:szCs w:val="24"/>
        </w:rPr>
      </w:pPr>
    </w:p>
    <w:p w14:paraId="2FD126C1" w14:textId="77777777" w:rsidR="00142A15" w:rsidRPr="007E61D7" w:rsidRDefault="00410D04" w:rsidP="00FB315A">
      <w:pPr>
        <w:autoSpaceDE w:val="0"/>
        <w:autoSpaceDN w:val="0"/>
        <w:adjustRightInd w:val="0"/>
        <w:spacing w:before="240" w:after="240" w:line="240" w:lineRule="auto"/>
        <w:rPr>
          <w:rFonts w:cs="Times New Roman"/>
          <w:szCs w:val="24"/>
        </w:rPr>
      </w:pPr>
      <w:r w:rsidRPr="007E61D7">
        <w:rPr>
          <w:rFonts w:cs="Times New Roman"/>
          <w:b/>
          <w:szCs w:val="24"/>
        </w:rPr>
        <w:t>DISCUSSION</w:t>
      </w:r>
    </w:p>
    <w:p w14:paraId="7DD70A5F" w14:textId="79D318B0" w:rsidR="00376FA9" w:rsidRDefault="00376FA9" w:rsidP="00FB315A">
      <w:pPr>
        <w:spacing w:after="240" w:line="240" w:lineRule="auto"/>
        <w:rPr>
          <w:rFonts w:cs="Times New Roman"/>
          <w:szCs w:val="24"/>
        </w:rPr>
      </w:pPr>
      <w:r>
        <w:rPr>
          <w:rFonts w:cs="Times New Roman"/>
          <w:szCs w:val="24"/>
        </w:rPr>
        <w:t>Apart</w:t>
      </w:r>
      <w:r w:rsidR="00410D04" w:rsidRPr="007E61D7">
        <w:rPr>
          <w:rFonts w:cs="Times New Roman"/>
          <w:szCs w:val="24"/>
        </w:rPr>
        <w:t xml:space="preserve"> from serving as crucial physical and immunological barriers, the gastrointestinal tract is the primary organ accountable for the functions of food digestion, absorption, and metabolism</w:t>
      </w:r>
      <w:r w:rsidR="003F076F">
        <w:rPr>
          <w:rFonts w:cs="Times New Roman"/>
          <w:szCs w:val="24"/>
        </w:rPr>
        <w:t xml:space="preserve"> (</w:t>
      </w:r>
      <w:r w:rsidR="003F076F" w:rsidRPr="003F076F">
        <w:rPr>
          <w:rFonts w:cs="Times New Roman"/>
          <w:shd w:val="clear" w:color="auto" w:fill="FFFFFF"/>
        </w:rPr>
        <w:t xml:space="preserve">Kim &amp; </w:t>
      </w:r>
      <w:proofErr w:type="spellStart"/>
      <w:r w:rsidR="003F076F" w:rsidRPr="003F076F">
        <w:rPr>
          <w:rFonts w:cs="Times New Roman"/>
          <w:shd w:val="clear" w:color="auto" w:fill="FFFFFF"/>
        </w:rPr>
        <w:t>Pritts</w:t>
      </w:r>
      <w:proofErr w:type="spellEnd"/>
      <w:r w:rsidR="003F076F">
        <w:rPr>
          <w:rFonts w:cs="Times New Roman"/>
          <w:shd w:val="clear" w:color="auto" w:fill="FFFFFF"/>
        </w:rPr>
        <w:t>, 2017</w:t>
      </w:r>
      <w:r w:rsidR="003F076F">
        <w:rPr>
          <w:rFonts w:cs="Times New Roman"/>
          <w:szCs w:val="24"/>
        </w:rPr>
        <w:t>)</w:t>
      </w:r>
      <w:r w:rsidR="00410D04" w:rsidRPr="007E61D7">
        <w:rPr>
          <w:rFonts w:cs="Times New Roman"/>
          <w:szCs w:val="24"/>
        </w:rPr>
        <w:t>. The gastrointestinal tract is well acknowledged as a substantial storage site for reactive oxygen species (ROS) because of its inevitable exposure to industrial toxins and microbial diseases</w:t>
      </w:r>
      <w:r w:rsidR="003F076F">
        <w:rPr>
          <w:rFonts w:cs="Times New Roman"/>
          <w:szCs w:val="24"/>
        </w:rPr>
        <w:t xml:space="preserve"> (</w:t>
      </w:r>
      <w:proofErr w:type="spellStart"/>
      <w:r w:rsidR="003F076F" w:rsidRPr="003F076F">
        <w:rPr>
          <w:rFonts w:cs="Times New Roman"/>
          <w:shd w:val="clear" w:color="auto" w:fill="FFFFFF"/>
        </w:rPr>
        <w:t>Anik</w:t>
      </w:r>
      <w:proofErr w:type="spellEnd"/>
      <w:r w:rsidR="003F076F">
        <w:rPr>
          <w:rFonts w:cs="Times New Roman"/>
          <w:shd w:val="clear" w:color="auto" w:fill="FFFFFF"/>
        </w:rPr>
        <w:t xml:space="preserve"> et al., 2022</w:t>
      </w:r>
      <w:r w:rsidR="003F076F">
        <w:rPr>
          <w:rFonts w:cs="Times New Roman"/>
          <w:szCs w:val="24"/>
        </w:rPr>
        <w:t>)</w:t>
      </w:r>
      <w:r w:rsidR="00410D04" w:rsidRPr="007E61D7">
        <w:rPr>
          <w:rFonts w:cs="Times New Roman"/>
          <w:szCs w:val="24"/>
        </w:rPr>
        <w:t xml:space="preserve">. The results of this study demonstrate significant disparities in the efficacy of the antioxidant enzymes catalase (CAT) and superoxide dismutase (SOD) in the small intestines of the experimental groups in comparison to the control group. Considerable variation in CAT levels was seen across the experimental groups, with the group given a low dose of PZ displaying the highest mean level. Relative to the control group, all experimental groups exhibited slight increases in the levels of superoxide dismutase (SOD). </w:t>
      </w:r>
      <w:r w:rsidR="00713283" w:rsidRPr="007E61D7">
        <w:rPr>
          <w:rFonts w:cs="Times New Roman"/>
          <w:szCs w:val="24"/>
        </w:rPr>
        <w:t>Furthermore,</w:t>
      </w:r>
      <w:r w:rsidR="00410D04" w:rsidRPr="007E61D7">
        <w:rPr>
          <w:rFonts w:cs="Times New Roman"/>
          <w:szCs w:val="24"/>
        </w:rPr>
        <w:t xml:space="preserve"> building upon a previous study carried out by Miyazono et al. (</w:t>
      </w:r>
      <w:r w:rsidR="00526A25">
        <w:rPr>
          <w:rFonts w:cs="Times New Roman"/>
          <w:szCs w:val="24"/>
        </w:rPr>
        <w:t>2004</w:t>
      </w:r>
      <w:r w:rsidR="00410D04" w:rsidRPr="007E61D7">
        <w:rPr>
          <w:rFonts w:cs="Times New Roman"/>
          <w:szCs w:val="24"/>
        </w:rPr>
        <w:t>), the levels of antioxidant enzymes, such as catalase and SOD, in the intestinal mucosa were examined and demonstrated to have significantly increased in the rats administered methotrexate compared to the control rats. In response to heightened levels of reactive oxygen species (ROS), cells typically enhance the synthesis and efficiency of superoxide dismutase (SOD) and catalase as a defense mechanism to mitigate oxidative harm (</w:t>
      </w:r>
      <w:proofErr w:type="spellStart"/>
      <w:r w:rsidR="00713283" w:rsidRPr="00436A1B">
        <w:rPr>
          <w:rFonts w:cs="Times New Roman"/>
          <w:szCs w:val="24"/>
          <w:shd w:val="clear" w:color="auto" w:fill="FFFFFF"/>
        </w:rPr>
        <w:t>Birben</w:t>
      </w:r>
      <w:proofErr w:type="spellEnd"/>
      <w:r w:rsidR="00713283">
        <w:rPr>
          <w:rFonts w:cs="Times New Roman"/>
          <w:szCs w:val="24"/>
          <w:shd w:val="clear" w:color="auto" w:fill="FFFFFF"/>
        </w:rPr>
        <w:t xml:space="preserve"> et al., 2012; </w:t>
      </w:r>
      <w:proofErr w:type="spellStart"/>
      <w:r w:rsidR="00713283" w:rsidRPr="00436A1B">
        <w:rPr>
          <w:rFonts w:cs="Times New Roman"/>
          <w:szCs w:val="24"/>
          <w:shd w:val="clear" w:color="auto" w:fill="FFFFFF"/>
        </w:rPr>
        <w:t>Schieber</w:t>
      </w:r>
      <w:proofErr w:type="spellEnd"/>
      <w:r w:rsidR="00713283">
        <w:rPr>
          <w:rFonts w:cs="Times New Roman"/>
          <w:szCs w:val="24"/>
          <w:shd w:val="clear" w:color="auto" w:fill="FFFFFF"/>
        </w:rPr>
        <w:t xml:space="preserve"> &amp;</w:t>
      </w:r>
      <w:r w:rsidR="00713283" w:rsidRPr="00436A1B">
        <w:rPr>
          <w:rFonts w:cs="Times New Roman"/>
          <w:szCs w:val="24"/>
          <w:shd w:val="clear" w:color="auto" w:fill="FFFFFF"/>
        </w:rPr>
        <w:t xml:space="preserve"> </w:t>
      </w:r>
      <w:proofErr w:type="spellStart"/>
      <w:r w:rsidR="00713283" w:rsidRPr="00436A1B">
        <w:rPr>
          <w:rFonts w:cs="Times New Roman"/>
          <w:szCs w:val="24"/>
          <w:shd w:val="clear" w:color="auto" w:fill="FFFFFF"/>
        </w:rPr>
        <w:t>Chandel</w:t>
      </w:r>
      <w:proofErr w:type="spellEnd"/>
      <w:r w:rsidR="00713283">
        <w:rPr>
          <w:rFonts w:cs="Times New Roman"/>
          <w:szCs w:val="24"/>
          <w:shd w:val="clear" w:color="auto" w:fill="FFFFFF"/>
        </w:rPr>
        <w:t>, 2014</w:t>
      </w:r>
      <w:r w:rsidR="00410D04" w:rsidRPr="007E61D7">
        <w:rPr>
          <w:rFonts w:cs="Times New Roman"/>
          <w:szCs w:val="24"/>
        </w:rPr>
        <w:t xml:space="preserve">). </w:t>
      </w:r>
    </w:p>
    <w:p w14:paraId="1C1FA17D" w14:textId="29819303" w:rsidR="00600E0E" w:rsidRPr="007E61D7" w:rsidRDefault="00376FA9" w:rsidP="00FB315A">
      <w:pPr>
        <w:spacing w:after="240" w:line="240" w:lineRule="auto"/>
        <w:rPr>
          <w:rFonts w:cs="Times New Roman"/>
          <w:szCs w:val="24"/>
        </w:rPr>
      </w:pPr>
      <w:r>
        <w:rPr>
          <w:rFonts w:cs="Times New Roman"/>
          <w:szCs w:val="24"/>
        </w:rPr>
        <w:lastRenderedPageBreak/>
        <w:t>In addition</w:t>
      </w:r>
      <w:r w:rsidR="00410D04" w:rsidRPr="007E61D7">
        <w:rPr>
          <w:rFonts w:cs="Times New Roman"/>
          <w:szCs w:val="24"/>
        </w:rPr>
        <w:t xml:space="preserve">, the current study demonstrated significant reductions in lipid peroxidation activity, as measured by </w:t>
      </w:r>
      <w:proofErr w:type="spellStart"/>
      <w:r w:rsidR="00410D04" w:rsidRPr="007E61D7">
        <w:rPr>
          <w:rFonts w:cs="Times New Roman"/>
          <w:szCs w:val="24"/>
        </w:rPr>
        <w:t>malondialdehyde</w:t>
      </w:r>
      <w:proofErr w:type="spellEnd"/>
      <w:r w:rsidR="00410D04" w:rsidRPr="007E61D7">
        <w:rPr>
          <w:rFonts w:cs="Times New Roman"/>
          <w:szCs w:val="24"/>
        </w:rPr>
        <w:t xml:space="preserve"> (MDA) levels, in all experimental groups as compared to the control group. The chemical </w:t>
      </w:r>
      <w:proofErr w:type="spellStart"/>
      <w:r w:rsidR="00410D04" w:rsidRPr="007E61D7">
        <w:rPr>
          <w:rFonts w:cs="Times New Roman"/>
          <w:szCs w:val="24"/>
        </w:rPr>
        <w:t>malondialdehyde</w:t>
      </w:r>
      <w:proofErr w:type="spellEnd"/>
      <w:r w:rsidR="00410D04" w:rsidRPr="007E61D7">
        <w:rPr>
          <w:rFonts w:cs="Times New Roman"/>
          <w:szCs w:val="24"/>
        </w:rPr>
        <w:t xml:space="preserve"> (MDA) is a byproduct of lipid peroxidation and is often used as a marker to assess the level of oxidative stress. An observed decrease in lipid peroxidation activity suggests a corresponding decrease in the generation of reactive oxygen species and the manifestation of oxidative stress (</w:t>
      </w:r>
      <w:proofErr w:type="spellStart"/>
      <w:r w:rsidR="00713283" w:rsidRPr="00436A1B">
        <w:rPr>
          <w:rFonts w:cs="Times New Roman"/>
          <w:szCs w:val="24"/>
          <w:shd w:val="clear" w:color="auto" w:fill="FFFFFF"/>
        </w:rPr>
        <w:t>Jadoon</w:t>
      </w:r>
      <w:proofErr w:type="spellEnd"/>
      <w:r w:rsidR="00713283" w:rsidRPr="00436A1B">
        <w:rPr>
          <w:rFonts w:cs="Times New Roman"/>
          <w:szCs w:val="24"/>
          <w:shd w:val="clear" w:color="auto" w:fill="FFFFFF"/>
        </w:rPr>
        <w:t xml:space="preserve"> </w:t>
      </w:r>
      <w:r w:rsidR="00713283">
        <w:rPr>
          <w:rFonts w:cs="Times New Roman"/>
          <w:szCs w:val="24"/>
          <w:shd w:val="clear" w:color="auto" w:fill="FFFFFF"/>
        </w:rPr>
        <w:t xml:space="preserve">&amp; </w:t>
      </w:r>
      <w:r w:rsidR="00713283" w:rsidRPr="00436A1B">
        <w:rPr>
          <w:rFonts w:cs="Times New Roman"/>
          <w:szCs w:val="24"/>
          <w:shd w:val="clear" w:color="auto" w:fill="FFFFFF"/>
        </w:rPr>
        <w:t>Malik</w:t>
      </w:r>
      <w:r w:rsidR="00713283">
        <w:rPr>
          <w:rFonts w:cs="Times New Roman"/>
          <w:szCs w:val="24"/>
          <w:shd w:val="clear" w:color="auto" w:fill="FFFFFF"/>
        </w:rPr>
        <w:t>, 2017</w:t>
      </w:r>
      <w:r w:rsidR="00410D04" w:rsidRPr="007E61D7">
        <w:rPr>
          <w:rFonts w:cs="Times New Roman"/>
          <w:szCs w:val="24"/>
        </w:rPr>
        <w:t>). Furthermore, a decrease in MDA levels might disrupt these cycles of redox signaling, leading to alterations in cellular reactivity and redox equilibrium (</w:t>
      </w:r>
      <w:proofErr w:type="spellStart"/>
      <w:r w:rsidR="00713283" w:rsidRPr="00436A1B">
        <w:rPr>
          <w:rFonts w:cs="Times New Roman"/>
          <w:szCs w:val="24"/>
          <w:shd w:val="clear" w:color="auto" w:fill="FFFFFF"/>
        </w:rPr>
        <w:t>Sadiq</w:t>
      </w:r>
      <w:proofErr w:type="spellEnd"/>
      <w:r w:rsidR="00713283">
        <w:rPr>
          <w:rFonts w:cs="Times New Roman"/>
          <w:szCs w:val="24"/>
          <w:shd w:val="clear" w:color="auto" w:fill="FFFFFF"/>
        </w:rPr>
        <w:t>, 2023</w:t>
      </w:r>
      <w:r w:rsidR="00410D04" w:rsidRPr="007E61D7">
        <w:rPr>
          <w:rFonts w:cs="Times New Roman"/>
          <w:szCs w:val="24"/>
        </w:rPr>
        <w:t>).</w:t>
      </w:r>
    </w:p>
    <w:p w14:paraId="04830BE2" w14:textId="0046B95A" w:rsidR="00600E0E" w:rsidRPr="007E61D7" w:rsidRDefault="00376FA9" w:rsidP="00FB315A">
      <w:pPr>
        <w:spacing w:after="240" w:line="240" w:lineRule="auto"/>
        <w:rPr>
          <w:rFonts w:cs="Times New Roman"/>
          <w:szCs w:val="24"/>
        </w:rPr>
      </w:pPr>
      <w:r>
        <w:rPr>
          <w:rFonts w:cs="Times New Roman"/>
          <w:szCs w:val="24"/>
        </w:rPr>
        <w:t xml:space="preserve">The present study also evaluated </w:t>
      </w:r>
      <w:r w:rsidR="00410D04" w:rsidRPr="007E61D7">
        <w:rPr>
          <w:rFonts w:cs="Times New Roman"/>
          <w:szCs w:val="24"/>
        </w:rPr>
        <w:t xml:space="preserve">oxidative stress markers in the large intestine </w:t>
      </w:r>
      <w:r>
        <w:rPr>
          <w:rFonts w:cs="Times New Roman"/>
          <w:szCs w:val="24"/>
        </w:rPr>
        <w:t xml:space="preserve">which </w:t>
      </w:r>
      <w:r w:rsidR="00410D04" w:rsidRPr="007E61D7">
        <w:rPr>
          <w:rFonts w:cs="Times New Roman"/>
          <w:szCs w:val="24"/>
        </w:rPr>
        <w:t xml:space="preserve">showed significant increases in the concentrations of the </w:t>
      </w:r>
      <w:r>
        <w:rPr>
          <w:rFonts w:cs="Times New Roman"/>
          <w:szCs w:val="24"/>
        </w:rPr>
        <w:t>CAT</w:t>
      </w:r>
      <w:r w:rsidR="00410D04" w:rsidRPr="007E61D7">
        <w:rPr>
          <w:rFonts w:cs="Times New Roman"/>
          <w:szCs w:val="24"/>
        </w:rPr>
        <w:t xml:space="preserve"> and </w:t>
      </w:r>
      <w:r>
        <w:rPr>
          <w:rFonts w:cs="Times New Roman"/>
          <w:szCs w:val="24"/>
        </w:rPr>
        <w:t>SOD</w:t>
      </w:r>
      <w:r w:rsidR="00410D04" w:rsidRPr="007E61D7">
        <w:rPr>
          <w:rFonts w:cs="Times New Roman"/>
          <w:szCs w:val="24"/>
        </w:rPr>
        <w:t xml:space="preserve"> in all experimental groups compared to the control group. </w:t>
      </w:r>
      <w:r>
        <w:rPr>
          <w:rFonts w:cs="Times New Roman"/>
          <w:szCs w:val="24"/>
        </w:rPr>
        <w:t>Also</w:t>
      </w:r>
      <w:r w:rsidR="00410D04" w:rsidRPr="007E61D7">
        <w:rPr>
          <w:rFonts w:cs="Times New Roman"/>
          <w:szCs w:val="24"/>
        </w:rPr>
        <w:t xml:space="preserve">, the study findings revealed substantial decreases in lipid peroxidation activity, measured by </w:t>
      </w:r>
      <w:proofErr w:type="spellStart"/>
      <w:r w:rsidR="00410D04" w:rsidRPr="007E61D7">
        <w:rPr>
          <w:rFonts w:cs="Times New Roman"/>
          <w:szCs w:val="24"/>
        </w:rPr>
        <w:t>malondialdehyde</w:t>
      </w:r>
      <w:proofErr w:type="spellEnd"/>
      <w:r w:rsidR="00410D04" w:rsidRPr="007E61D7">
        <w:rPr>
          <w:rFonts w:cs="Times New Roman"/>
          <w:szCs w:val="24"/>
        </w:rPr>
        <w:t xml:space="preserve"> (MDA) levels, in all experimental groups in comparison to the control group. The inhibition of lipid peroxidation m</w:t>
      </w:r>
      <w:r>
        <w:rPr>
          <w:rFonts w:cs="Times New Roman"/>
          <w:szCs w:val="24"/>
        </w:rPr>
        <w:t xml:space="preserve">ay have </w:t>
      </w:r>
      <w:r w:rsidR="00410D04" w:rsidRPr="007E61D7">
        <w:rPr>
          <w:rFonts w:cs="Times New Roman"/>
          <w:szCs w:val="24"/>
        </w:rPr>
        <w:t>compromise</w:t>
      </w:r>
      <w:r>
        <w:rPr>
          <w:rFonts w:cs="Times New Roman"/>
          <w:szCs w:val="24"/>
        </w:rPr>
        <w:t>d</w:t>
      </w:r>
      <w:r w:rsidR="00410D04" w:rsidRPr="007E61D7">
        <w:rPr>
          <w:rFonts w:cs="Times New Roman"/>
          <w:szCs w:val="24"/>
        </w:rPr>
        <w:t xml:space="preserve"> the </w:t>
      </w:r>
      <w:r>
        <w:rPr>
          <w:rFonts w:cs="Times New Roman"/>
          <w:szCs w:val="24"/>
        </w:rPr>
        <w:t xml:space="preserve">ability of the </w:t>
      </w:r>
      <w:r w:rsidR="00410D04" w:rsidRPr="007E61D7">
        <w:rPr>
          <w:rFonts w:cs="Times New Roman"/>
          <w:szCs w:val="24"/>
        </w:rPr>
        <w:t>intestinal barrier</w:t>
      </w:r>
      <w:r>
        <w:rPr>
          <w:rFonts w:cs="Times New Roman"/>
          <w:szCs w:val="24"/>
        </w:rPr>
        <w:t xml:space="preserve"> </w:t>
      </w:r>
      <w:r w:rsidR="00410D04" w:rsidRPr="007E61D7">
        <w:rPr>
          <w:rFonts w:cs="Times New Roman"/>
          <w:szCs w:val="24"/>
        </w:rPr>
        <w:t xml:space="preserve">to counteract </w:t>
      </w:r>
      <w:r>
        <w:rPr>
          <w:rFonts w:cs="Times New Roman"/>
          <w:szCs w:val="24"/>
        </w:rPr>
        <w:t>the action of PZ</w:t>
      </w:r>
      <w:r w:rsidR="00410D04" w:rsidRPr="007E61D7">
        <w:rPr>
          <w:rFonts w:cs="Times New Roman"/>
          <w:szCs w:val="24"/>
        </w:rPr>
        <w:t xml:space="preserve"> by enhancing their permeability and facilitating their penetration into the intestinal mucosa (</w:t>
      </w:r>
      <w:r w:rsidR="00713283" w:rsidRPr="00436A1B">
        <w:rPr>
          <w:rFonts w:cs="Times New Roman"/>
          <w:szCs w:val="24"/>
          <w:shd w:val="clear" w:color="auto" w:fill="FFFFFF"/>
        </w:rPr>
        <w:t>John</w:t>
      </w:r>
      <w:r w:rsidR="00713283">
        <w:rPr>
          <w:rFonts w:cs="Times New Roman"/>
          <w:szCs w:val="24"/>
          <w:shd w:val="clear" w:color="auto" w:fill="FFFFFF"/>
        </w:rPr>
        <w:t xml:space="preserve"> et al., 2011; </w:t>
      </w:r>
      <w:proofErr w:type="spellStart"/>
      <w:r w:rsidR="00713283" w:rsidRPr="00436A1B">
        <w:rPr>
          <w:rFonts w:cs="Times New Roman"/>
          <w:szCs w:val="24"/>
          <w:shd w:val="clear" w:color="auto" w:fill="FFFFFF"/>
        </w:rPr>
        <w:t>Almousa</w:t>
      </w:r>
      <w:proofErr w:type="spellEnd"/>
      <w:r w:rsidR="00713283">
        <w:rPr>
          <w:rFonts w:cs="Times New Roman"/>
          <w:szCs w:val="24"/>
          <w:shd w:val="clear" w:color="auto" w:fill="FFFFFF"/>
        </w:rPr>
        <w:t xml:space="preserve"> et al., 2018; </w:t>
      </w:r>
      <w:r w:rsidR="00713283" w:rsidRPr="00436A1B">
        <w:rPr>
          <w:rFonts w:cs="Times New Roman"/>
          <w:szCs w:val="24"/>
          <w:shd w:val="clear" w:color="auto" w:fill="FFFFFF"/>
        </w:rPr>
        <w:t>Wang</w:t>
      </w:r>
      <w:r w:rsidR="00713283">
        <w:rPr>
          <w:rFonts w:cs="Times New Roman"/>
          <w:szCs w:val="24"/>
          <w:shd w:val="clear" w:color="auto" w:fill="FFFFFF"/>
        </w:rPr>
        <w:t xml:space="preserve"> et al., 2020</w:t>
      </w:r>
      <w:r w:rsidR="00410D04" w:rsidRPr="007E61D7">
        <w:rPr>
          <w:rFonts w:cs="Times New Roman"/>
          <w:szCs w:val="24"/>
        </w:rPr>
        <w:t>). Furthermore, the products of lipid peroxidation can control the immunological activity of the gastrointestinal system. Suppression of lipid peroxidation might disrupt the balance of the intestinal immune system and result in uncontrolled inflammatory responses (</w:t>
      </w:r>
      <w:proofErr w:type="spellStart"/>
      <w:r w:rsidR="00713283" w:rsidRPr="00436A1B">
        <w:rPr>
          <w:rFonts w:cs="Times New Roman"/>
          <w:szCs w:val="24"/>
          <w:shd w:val="clear" w:color="auto" w:fill="FFFFFF"/>
        </w:rPr>
        <w:t>Iddir</w:t>
      </w:r>
      <w:proofErr w:type="spellEnd"/>
      <w:r w:rsidR="00713283">
        <w:rPr>
          <w:rFonts w:cs="Times New Roman"/>
          <w:szCs w:val="24"/>
          <w:shd w:val="clear" w:color="auto" w:fill="FFFFFF"/>
        </w:rPr>
        <w:t xml:space="preserve"> et al., 2020</w:t>
      </w:r>
      <w:r w:rsidR="00410D04" w:rsidRPr="007E61D7">
        <w:rPr>
          <w:rFonts w:cs="Times New Roman"/>
          <w:szCs w:val="24"/>
        </w:rPr>
        <w:t xml:space="preserve">). Alterations in the redox balance and oxidative stress resulting from </w:t>
      </w:r>
      <w:proofErr w:type="spellStart"/>
      <w:r w:rsidR="00410D04" w:rsidRPr="007E61D7">
        <w:rPr>
          <w:rFonts w:cs="Times New Roman"/>
          <w:szCs w:val="24"/>
        </w:rPr>
        <w:t>dysbiosis</w:t>
      </w:r>
      <w:proofErr w:type="spellEnd"/>
      <w:r w:rsidR="00410D04" w:rsidRPr="007E61D7">
        <w:rPr>
          <w:rFonts w:cs="Times New Roman"/>
          <w:szCs w:val="24"/>
        </w:rPr>
        <w:t xml:space="preserve"> induced by variations in lipid peroxidation and </w:t>
      </w:r>
      <w:proofErr w:type="spellStart"/>
      <w:r w:rsidR="00410D04" w:rsidRPr="007E61D7">
        <w:rPr>
          <w:rFonts w:cs="Times New Roman"/>
          <w:szCs w:val="24"/>
        </w:rPr>
        <w:t>antioxidative</w:t>
      </w:r>
      <w:proofErr w:type="spellEnd"/>
      <w:r w:rsidR="00410D04" w:rsidRPr="007E61D7">
        <w:rPr>
          <w:rFonts w:cs="Times New Roman"/>
          <w:szCs w:val="24"/>
        </w:rPr>
        <w:t xml:space="preserve"> activities may impact the composition and function of the gut microbiota (</w:t>
      </w:r>
      <w:proofErr w:type="spellStart"/>
      <w:r w:rsidR="00713283" w:rsidRPr="00436A1B">
        <w:rPr>
          <w:rFonts w:cs="Times New Roman"/>
          <w:szCs w:val="24"/>
          <w:shd w:val="clear" w:color="auto" w:fill="FFFFFF"/>
        </w:rPr>
        <w:t>Kunst</w:t>
      </w:r>
      <w:proofErr w:type="spellEnd"/>
      <w:r w:rsidR="00713283">
        <w:rPr>
          <w:rFonts w:cs="Times New Roman"/>
          <w:szCs w:val="24"/>
          <w:shd w:val="clear" w:color="auto" w:fill="FFFFFF"/>
        </w:rPr>
        <w:t xml:space="preserve"> et al., 2023</w:t>
      </w:r>
      <w:r w:rsidR="00410D04" w:rsidRPr="007E61D7">
        <w:rPr>
          <w:rFonts w:cs="Times New Roman"/>
          <w:szCs w:val="24"/>
        </w:rPr>
        <w:t>).</w:t>
      </w:r>
      <w:r w:rsidR="00CF2A21">
        <w:rPr>
          <w:rFonts w:cs="Times New Roman"/>
          <w:szCs w:val="24"/>
        </w:rPr>
        <w:t xml:space="preserve"> </w:t>
      </w:r>
      <w:r w:rsidR="00CF2A21" w:rsidRPr="00CF2A21">
        <w:rPr>
          <w:rFonts w:cs="Times New Roman"/>
          <w:highlight w:val="yellow"/>
          <w:lang/>
        </w:rPr>
        <w:t xml:space="preserve">Based on the results from this study, the possible consequences of </w:t>
      </w:r>
      <w:r w:rsidR="008648C0">
        <w:rPr>
          <w:rFonts w:cs="Times New Roman"/>
          <w:highlight w:val="yellow"/>
          <w:lang/>
        </w:rPr>
        <w:t xml:space="preserve">these </w:t>
      </w:r>
      <w:r w:rsidR="00CF2A21" w:rsidRPr="00CF2A21">
        <w:rPr>
          <w:rFonts w:cs="Times New Roman"/>
          <w:highlight w:val="yellow"/>
          <w:lang/>
        </w:rPr>
        <w:t>e</w:t>
      </w:r>
      <w:r w:rsidR="00CF2A21" w:rsidRPr="005E4664">
        <w:rPr>
          <w:rFonts w:cs="Times New Roman"/>
          <w:highlight w:val="yellow"/>
          <w:lang/>
        </w:rPr>
        <w:t>levat</w:t>
      </w:r>
      <w:r w:rsidR="00CF2A21" w:rsidRPr="00CF2A21">
        <w:rPr>
          <w:rFonts w:cs="Times New Roman"/>
          <w:highlight w:val="yellow"/>
          <w:lang/>
        </w:rPr>
        <w:t xml:space="preserve">ions </w:t>
      </w:r>
      <w:r w:rsidR="008648C0">
        <w:rPr>
          <w:rFonts w:cs="Times New Roman"/>
          <w:highlight w:val="yellow"/>
          <w:lang/>
        </w:rPr>
        <w:t>in</w:t>
      </w:r>
      <w:r w:rsidR="00CF2A21" w:rsidRPr="00CF2A21">
        <w:rPr>
          <w:rFonts w:cs="Times New Roman"/>
          <w:highlight w:val="yellow"/>
          <w:lang/>
        </w:rPr>
        <w:t xml:space="preserve"> </w:t>
      </w:r>
      <w:r w:rsidR="00CF2A21" w:rsidRPr="005E4664">
        <w:rPr>
          <w:rFonts w:cs="Times New Roman"/>
          <w:highlight w:val="yellow"/>
          <w:lang/>
        </w:rPr>
        <w:t>oxidative stress</w:t>
      </w:r>
      <w:r w:rsidR="00CF2A21" w:rsidRPr="00CF2A21">
        <w:rPr>
          <w:rFonts w:cs="Times New Roman"/>
          <w:highlight w:val="yellow"/>
          <w:lang/>
        </w:rPr>
        <w:t xml:space="preserve"> markers in association with microbiota intestinal actions are that the intestinal epithelial cells are likely to be damaged</w:t>
      </w:r>
      <w:r w:rsidR="00CF2A21" w:rsidRPr="005E4664">
        <w:rPr>
          <w:rFonts w:cs="Times New Roman"/>
          <w:highlight w:val="yellow"/>
          <w:lang/>
        </w:rPr>
        <w:t xml:space="preserve"> </w:t>
      </w:r>
      <w:r w:rsidR="00CF2A21" w:rsidRPr="00CF2A21">
        <w:rPr>
          <w:rFonts w:cs="Times New Roman"/>
          <w:highlight w:val="yellow"/>
          <w:lang/>
        </w:rPr>
        <w:t>thereby</w:t>
      </w:r>
      <w:r w:rsidR="00CF2A21" w:rsidRPr="005E4664">
        <w:rPr>
          <w:rFonts w:cs="Times New Roman"/>
          <w:highlight w:val="yellow"/>
          <w:lang/>
        </w:rPr>
        <w:t xml:space="preserve"> disrupt</w:t>
      </w:r>
      <w:r w:rsidR="00CF2A21" w:rsidRPr="00CF2A21">
        <w:rPr>
          <w:rFonts w:cs="Times New Roman"/>
          <w:highlight w:val="yellow"/>
          <w:lang/>
        </w:rPr>
        <w:t>ing</w:t>
      </w:r>
      <w:r w:rsidR="00CF2A21" w:rsidRPr="005E4664">
        <w:rPr>
          <w:rFonts w:cs="Times New Roman"/>
          <w:highlight w:val="yellow"/>
          <w:lang/>
        </w:rPr>
        <w:t xml:space="preserve"> the mucosal barrier</w:t>
      </w:r>
      <w:r w:rsidR="00CF2A21" w:rsidRPr="00CF2A21">
        <w:rPr>
          <w:rFonts w:cs="Times New Roman"/>
          <w:highlight w:val="yellow"/>
          <w:lang/>
        </w:rPr>
        <w:t>s within the intestine</w:t>
      </w:r>
      <w:r w:rsidR="00CF2A21" w:rsidRPr="005E4664">
        <w:rPr>
          <w:rFonts w:cs="Times New Roman"/>
          <w:highlight w:val="yellow"/>
          <w:lang/>
        </w:rPr>
        <w:t>.</w:t>
      </w:r>
    </w:p>
    <w:p w14:paraId="6595F86A" w14:textId="5CAB18B8" w:rsidR="00600E0E" w:rsidRPr="007E61D7" w:rsidRDefault="00410D04" w:rsidP="00FB315A">
      <w:pPr>
        <w:spacing w:after="240" w:line="240" w:lineRule="auto"/>
        <w:rPr>
          <w:rFonts w:cs="Times New Roman"/>
          <w:szCs w:val="24"/>
        </w:rPr>
      </w:pPr>
      <w:r w:rsidRPr="007E61D7">
        <w:rPr>
          <w:rFonts w:cs="Times New Roman"/>
          <w:szCs w:val="24"/>
        </w:rPr>
        <w:t xml:space="preserve">The present study showed that the groups of rats exposed to different dosages of </w:t>
      </w:r>
      <w:proofErr w:type="spellStart"/>
      <w:r w:rsidRPr="007E61D7">
        <w:rPr>
          <w:rFonts w:cs="Times New Roman"/>
          <w:szCs w:val="24"/>
        </w:rPr>
        <w:t>pentazocine</w:t>
      </w:r>
      <w:proofErr w:type="spellEnd"/>
      <w:r w:rsidRPr="007E61D7">
        <w:rPr>
          <w:rFonts w:cs="Times New Roman"/>
          <w:szCs w:val="24"/>
        </w:rPr>
        <w:t xml:space="preserve"> had notable alterations in the structural integrity of their intestinal tissues. The </w:t>
      </w:r>
      <w:r w:rsidR="00AE5BE9" w:rsidRPr="007E61D7">
        <w:rPr>
          <w:rFonts w:cs="Times New Roman"/>
          <w:szCs w:val="24"/>
        </w:rPr>
        <w:t>histopathological findings</w:t>
      </w:r>
      <w:r w:rsidRPr="007E61D7">
        <w:rPr>
          <w:rFonts w:cs="Times New Roman"/>
          <w:szCs w:val="24"/>
        </w:rPr>
        <w:t xml:space="preserve"> consisted of the distortion of the intestinal glands and goblet cells in the lamina </w:t>
      </w:r>
      <w:proofErr w:type="spellStart"/>
      <w:r w:rsidRPr="007E61D7">
        <w:rPr>
          <w:rFonts w:cs="Times New Roman"/>
          <w:szCs w:val="24"/>
        </w:rPr>
        <w:t>propria</w:t>
      </w:r>
      <w:proofErr w:type="spellEnd"/>
      <w:r w:rsidRPr="007E61D7">
        <w:rPr>
          <w:rFonts w:cs="Times New Roman"/>
          <w:szCs w:val="24"/>
        </w:rPr>
        <w:t xml:space="preserve">, along with the invasion of inflammatory cells into the mucosal epithelium and the existence of puncture holes in the mucosal wall. A concomitant study on the toxicity caused by diclofenac in rats that received treatment showed evidence of tissue necrosis and inflammation of the small intestine lamina </w:t>
      </w:r>
      <w:proofErr w:type="spellStart"/>
      <w:r w:rsidRPr="007E61D7">
        <w:rPr>
          <w:rFonts w:cs="Times New Roman"/>
          <w:szCs w:val="24"/>
        </w:rPr>
        <w:t>propria</w:t>
      </w:r>
      <w:proofErr w:type="spellEnd"/>
      <w:r w:rsidRPr="007E61D7">
        <w:rPr>
          <w:rFonts w:cs="Times New Roman"/>
          <w:szCs w:val="24"/>
        </w:rPr>
        <w:t xml:space="preserve"> (</w:t>
      </w:r>
      <w:r w:rsidR="00713283" w:rsidRPr="00436A1B">
        <w:rPr>
          <w:rFonts w:cs="Times New Roman"/>
          <w:szCs w:val="24"/>
          <w:shd w:val="clear" w:color="auto" w:fill="FFFFFF"/>
        </w:rPr>
        <w:t>Simon</w:t>
      </w:r>
      <w:r w:rsidR="00713283">
        <w:rPr>
          <w:rFonts w:cs="Times New Roman"/>
          <w:szCs w:val="24"/>
          <w:shd w:val="clear" w:color="auto" w:fill="FFFFFF"/>
        </w:rPr>
        <w:t xml:space="preserve"> et al., 2019</w:t>
      </w:r>
      <w:r w:rsidRPr="007E61D7">
        <w:rPr>
          <w:rFonts w:cs="Times New Roman"/>
          <w:szCs w:val="24"/>
        </w:rPr>
        <w:t xml:space="preserve">). A previous study demonstrated that rats subjected to meloxicam had signs of intestinal </w:t>
      </w:r>
      <w:proofErr w:type="spellStart"/>
      <w:r w:rsidRPr="007E61D7">
        <w:rPr>
          <w:rFonts w:cs="Times New Roman"/>
          <w:szCs w:val="24"/>
        </w:rPr>
        <w:t>histopathologies</w:t>
      </w:r>
      <w:proofErr w:type="spellEnd"/>
      <w:r w:rsidRPr="007E61D7">
        <w:rPr>
          <w:rFonts w:cs="Times New Roman"/>
          <w:szCs w:val="24"/>
        </w:rPr>
        <w:t xml:space="preserve">, such as mucosal and </w:t>
      </w:r>
      <w:proofErr w:type="spellStart"/>
      <w:r w:rsidRPr="007E61D7">
        <w:rPr>
          <w:rFonts w:cs="Times New Roman"/>
          <w:szCs w:val="24"/>
        </w:rPr>
        <w:t>Villar</w:t>
      </w:r>
      <w:proofErr w:type="spellEnd"/>
      <w:r w:rsidRPr="007E61D7">
        <w:rPr>
          <w:rFonts w:cs="Times New Roman"/>
          <w:szCs w:val="24"/>
        </w:rPr>
        <w:t xml:space="preserve"> muscle atrophy, necrosis, and desquamation of the epithelial lining, especially at the </w:t>
      </w:r>
      <w:proofErr w:type="spellStart"/>
      <w:r w:rsidRPr="007E61D7">
        <w:rPr>
          <w:rFonts w:cs="Times New Roman"/>
          <w:szCs w:val="24"/>
        </w:rPr>
        <w:t>villar</w:t>
      </w:r>
      <w:proofErr w:type="spellEnd"/>
      <w:r w:rsidRPr="007E61D7">
        <w:rPr>
          <w:rFonts w:cs="Times New Roman"/>
          <w:szCs w:val="24"/>
        </w:rPr>
        <w:t xml:space="preserve"> termini. Furthermore, the intestinal glands exhibited localized cellular congestion (</w:t>
      </w:r>
      <w:proofErr w:type="spellStart"/>
      <w:r w:rsidR="00713283" w:rsidRPr="00436A1B">
        <w:rPr>
          <w:rFonts w:cs="Times New Roman"/>
          <w:szCs w:val="24"/>
          <w:shd w:val="clear" w:color="auto" w:fill="FFFFFF"/>
        </w:rPr>
        <w:t>Abd</w:t>
      </w:r>
      <w:proofErr w:type="spellEnd"/>
      <w:r w:rsidR="00713283" w:rsidRPr="00436A1B">
        <w:rPr>
          <w:rFonts w:cs="Times New Roman"/>
          <w:szCs w:val="24"/>
          <w:shd w:val="clear" w:color="auto" w:fill="FFFFFF"/>
        </w:rPr>
        <w:t xml:space="preserve"> El-</w:t>
      </w:r>
      <w:proofErr w:type="spellStart"/>
      <w:r w:rsidR="00713283" w:rsidRPr="00436A1B">
        <w:rPr>
          <w:rFonts w:cs="Times New Roman"/>
          <w:szCs w:val="24"/>
          <w:shd w:val="clear" w:color="auto" w:fill="FFFFFF"/>
        </w:rPr>
        <w:t>Mawla</w:t>
      </w:r>
      <w:proofErr w:type="spellEnd"/>
      <w:r w:rsidR="00713283" w:rsidRPr="00436A1B">
        <w:rPr>
          <w:rFonts w:cs="Times New Roman"/>
          <w:szCs w:val="24"/>
          <w:shd w:val="clear" w:color="auto" w:fill="FFFFFF"/>
        </w:rPr>
        <w:t xml:space="preserve"> </w:t>
      </w:r>
      <w:r w:rsidR="00713283">
        <w:rPr>
          <w:rFonts w:cs="Times New Roman"/>
          <w:szCs w:val="24"/>
          <w:shd w:val="clear" w:color="auto" w:fill="FFFFFF"/>
        </w:rPr>
        <w:t>&amp;</w:t>
      </w:r>
      <w:r w:rsidR="00713283" w:rsidRPr="00436A1B">
        <w:rPr>
          <w:rFonts w:cs="Times New Roman"/>
          <w:szCs w:val="24"/>
          <w:shd w:val="clear" w:color="auto" w:fill="FFFFFF"/>
        </w:rPr>
        <w:t xml:space="preserve"> Osman</w:t>
      </w:r>
      <w:r w:rsidR="00713283">
        <w:rPr>
          <w:rFonts w:cs="Times New Roman"/>
          <w:szCs w:val="24"/>
          <w:shd w:val="clear" w:color="auto" w:fill="FFFFFF"/>
        </w:rPr>
        <w:t>, 2011</w:t>
      </w:r>
      <w:r w:rsidRPr="007E61D7">
        <w:rPr>
          <w:rFonts w:cs="Times New Roman"/>
          <w:szCs w:val="24"/>
        </w:rPr>
        <w:t>).</w:t>
      </w:r>
    </w:p>
    <w:p w14:paraId="4567F59D" w14:textId="77777777" w:rsidR="00142A15" w:rsidRPr="007E61D7" w:rsidRDefault="00410D04" w:rsidP="00FB315A">
      <w:pPr>
        <w:autoSpaceDE w:val="0"/>
        <w:autoSpaceDN w:val="0"/>
        <w:adjustRightInd w:val="0"/>
        <w:spacing w:before="240" w:after="240" w:line="240" w:lineRule="auto"/>
        <w:rPr>
          <w:rFonts w:cs="Times New Roman"/>
          <w:b/>
          <w:szCs w:val="24"/>
        </w:rPr>
      </w:pPr>
      <w:r w:rsidRPr="007E61D7">
        <w:rPr>
          <w:rFonts w:cs="Times New Roman"/>
          <w:b/>
          <w:szCs w:val="24"/>
        </w:rPr>
        <w:t>CONCLUSION</w:t>
      </w:r>
    </w:p>
    <w:p w14:paraId="47753C8E" w14:textId="2AA970F0" w:rsidR="00D915AB" w:rsidRPr="00D915AB" w:rsidRDefault="00D915AB" w:rsidP="00D915AB">
      <w:pPr>
        <w:spacing w:after="240" w:line="240" w:lineRule="auto"/>
        <w:rPr>
          <w:rFonts w:cs="Times New Roman"/>
          <w:szCs w:val="24"/>
        </w:rPr>
      </w:pPr>
      <w:r w:rsidRPr="00D915AB">
        <w:rPr>
          <w:rFonts w:cs="Times New Roman"/>
          <w:szCs w:val="24"/>
        </w:rPr>
        <w:t xml:space="preserve">Rat groups exposed to sub-acute </w:t>
      </w:r>
      <w:proofErr w:type="spellStart"/>
      <w:r w:rsidRPr="00D915AB">
        <w:rPr>
          <w:rFonts w:cs="Times New Roman"/>
          <w:szCs w:val="24"/>
        </w:rPr>
        <w:t>pentazocine</w:t>
      </w:r>
      <w:proofErr w:type="spellEnd"/>
      <w:r w:rsidRPr="00D915AB">
        <w:rPr>
          <w:rFonts w:cs="Times New Roman"/>
          <w:szCs w:val="24"/>
        </w:rPr>
        <w:t xml:space="preserve"> (PZ) displayed a moderate level of toxicity. </w:t>
      </w:r>
      <w:r>
        <w:rPr>
          <w:rFonts w:cs="Times New Roman"/>
          <w:szCs w:val="24"/>
        </w:rPr>
        <w:t>T</w:t>
      </w:r>
      <w:r w:rsidRPr="00D915AB">
        <w:rPr>
          <w:rFonts w:cs="Times New Roman"/>
          <w:szCs w:val="24"/>
        </w:rPr>
        <w:t>he administration of different dosages of PZ was linked to pathological anomalies in the histology of the intestine</w:t>
      </w:r>
      <w:r>
        <w:rPr>
          <w:rFonts w:cs="Times New Roman"/>
          <w:szCs w:val="24"/>
        </w:rPr>
        <w:t>s</w:t>
      </w:r>
      <w:r w:rsidRPr="00D915AB">
        <w:rPr>
          <w:rFonts w:cs="Times New Roman"/>
          <w:szCs w:val="24"/>
        </w:rPr>
        <w:t xml:space="preserve"> as well as noticeable changes in anti-oxidative activity. </w:t>
      </w:r>
      <w:r>
        <w:rPr>
          <w:rFonts w:cs="Times New Roman"/>
          <w:szCs w:val="24"/>
        </w:rPr>
        <w:t>A study</w:t>
      </w:r>
      <w:r w:rsidRPr="00D915AB">
        <w:rPr>
          <w:rFonts w:cs="Times New Roman"/>
          <w:szCs w:val="24"/>
        </w:rPr>
        <w:t xml:space="preserve"> limitation was that systemic inflammatory markers, including cytokines, were not measured in the blood to check for inflammation in organ tissue. Therefore, it is advised that more thorough research be done on the effects of PZ dosing on systemic inflammation. Additionally, pharmaceutical and medical facilities in the area must issue warnings regarding the use of </w:t>
      </w:r>
      <w:proofErr w:type="spellStart"/>
      <w:r w:rsidRPr="00D915AB">
        <w:rPr>
          <w:rFonts w:cs="Times New Roman"/>
          <w:szCs w:val="24"/>
        </w:rPr>
        <w:t>pentazocine</w:t>
      </w:r>
      <w:proofErr w:type="spellEnd"/>
      <w:r w:rsidRPr="00D915AB">
        <w:rPr>
          <w:rFonts w:cs="Times New Roman"/>
          <w:szCs w:val="24"/>
        </w:rPr>
        <w:t xml:space="preserve"> for the management and treatment of clinical pain problems.</w:t>
      </w:r>
    </w:p>
    <w:p w14:paraId="1567278E" w14:textId="77777777" w:rsidR="00B42706" w:rsidRPr="00B42706" w:rsidRDefault="00B42706" w:rsidP="00B42706">
      <w:pPr>
        <w:spacing w:line="240" w:lineRule="auto"/>
        <w:rPr>
          <w:rFonts w:cs="Times New Roman"/>
          <w:b/>
          <w:bCs/>
        </w:rPr>
      </w:pPr>
      <w:r w:rsidRPr="00B42706">
        <w:rPr>
          <w:rFonts w:cs="Times New Roman"/>
          <w:b/>
          <w:bCs/>
        </w:rPr>
        <w:lastRenderedPageBreak/>
        <w:t xml:space="preserve">DISCLAIMER (ARTIFICIAL INTELLIGENCE) </w:t>
      </w:r>
    </w:p>
    <w:p w14:paraId="31652743" w14:textId="77777777" w:rsidR="00B42706" w:rsidRPr="00D262F4" w:rsidRDefault="00B42706" w:rsidP="00B42706">
      <w:pPr>
        <w:spacing w:line="240" w:lineRule="auto"/>
        <w:rPr>
          <w:rFonts w:cs="Times New Roman"/>
        </w:rPr>
      </w:pPr>
      <w:r w:rsidRPr="00D262F4">
        <w:rPr>
          <w:rFonts w:cs="Times New Roman"/>
        </w:rPr>
        <w:t>Author(s) hereby declares that NO generative AI technologies such as Large Language Models (</w:t>
      </w:r>
      <w:proofErr w:type="spellStart"/>
      <w:r w:rsidRPr="00D262F4">
        <w:rPr>
          <w:rFonts w:cs="Times New Roman"/>
        </w:rPr>
        <w:t>ChatGPT</w:t>
      </w:r>
      <w:proofErr w:type="spellEnd"/>
      <w:r w:rsidRPr="00D262F4">
        <w:rPr>
          <w:rFonts w:cs="Times New Roman"/>
        </w:rPr>
        <w:t xml:space="preserve">, COPILOT, etc.) and text-to-image generators have been used during the writing or editing of this manuscript. </w:t>
      </w:r>
    </w:p>
    <w:p w14:paraId="10A0036B" w14:textId="77777777" w:rsidR="00B42706" w:rsidRPr="00B42706" w:rsidRDefault="00B42706" w:rsidP="00B42706">
      <w:pPr>
        <w:spacing w:line="240" w:lineRule="auto"/>
        <w:rPr>
          <w:rFonts w:cs="Times New Roman"/>
          <w:b/>
          <w:bCs/>
        </w:rPr>
      </w:pPr>
      <w:r w:rsidRPr="00B42706">
        <w:rPr>
          <w:rFonts w:cs="Times New Roman"/>
          <w:b/>
          <w:bCs/>
        </w:rPr>
        <w:t xml:space="preserve">ETHICAL APPROVAL </w:t>
      </w:r>
    </w:p>
    <w:p w14:paraId="65AFDDAF" w14:textId="77777777" w:rsidR="00B42706" w:rsidRDefault="00B42706" w:rsidP="00B42706">
      <w:pPr>
        <w:spacing w:line="240" w:lineRule="auto"/>
        <w:rPr>
          <w:rFonts w:cs="Times New Roman"/>
        </w:rPr>
      </w:pPr>
      <w:r w:rsidRPr="00D262F4">
        <w:rPr>
          <w:rFonts w:cs="Times New Roman"/>
        </w:rPr>
        <w:t xml:space="preserve">It is essential that the management techniques and procedures for experimental animals strictly comply with the criteria established by the Animal Use and Care Committee of the National Veterinary Research Institute in </w:t>
      </w:r>
      <w:proofErr w:type="spellStart"/>
      <w:r w:rsidRPr="00D262F4">
        <w:rPr>
          <w:rFonts w:cs="Times New Roman"/>
        </w:rPr>
        <w:t>Vom</w:t>
      </w:r>
      <w:proofErr w:type="spellEnd"/>
      <w:r w:rsidRPr="00D262F4">
        <w:rPr>
          <w:rFonts w:cs="Times New Roman"/>
        </w:rPr>
        <w:t>, Nigeria. Authorization has been granted by the University of Port Harcourt's Research Ethics Committee, under reference number UPH/CEREMAD/REC/MM95/023.</w:t>
      </w:r>
    </w:p>
    <w:p w14:paraId="30DF0574" w14:textId="77777777" w:rsidR="00FC1322" w:rsidRPr="00AF4C96" w:rsidRDefault="00FC1322" w:rsidP="00AF4C96">
      <w:pPr>
        <w:spacing w:line="240" w:lineRule="auto"/>
        <w:outlineLvl w:val="0"/>
        <w:rPr>
          <w:rFonts w:cs="Times New Roman"/>
        </w:rPr>
      </w:pPr>
      <w:r w:rsidRPr="00AF4C96">
        <w:rPr>
          <w:rFonts w:cs="Times New Roman"/>
          <w:b/>
          <w:bCs/>
        </w:rPr>
        <w:t>COMPETING INTERESTS DISCLAIMER:</w:t>
      </w:r>
    </w:p>
    <w:p w14:paraId="76E10A47" w14:textId="77777777" w:rsidR="00FC1322" w:rsidRPr="00AF4C96" w:rsidRDefault="00FC1322" w:rsidP="00AF4C96">
      <w:pPr>
        <w:spacing w:line="240" w:lineRule="auto"/>
        <w:rPr>
          <w:rFonts w:cs="Times New Roman"/>
        </w:rPr>
      </w:pPr>
      <w:r w:rsidRPr="00AF4C96">
        <w:rPr>
          <w:rFonts w:cs="Times New Roman"/>
        </w:rPr>
        <w:t>Authors have declared that they have no known competing financial interests OR non-financial interests OR personal relationships that could have appeared to influence the work reported in this paper.</w:t>
      </w:r>
    </w:p>
    <w:p w14:paraId="13B03D12" w14:textId="2DF415C0" w:rsidR="00142A15" w:rsidRPr="007E61D7" w:rsidRDefault="00410D04" w:rsidP="00FB315A">
      <w:pPr>
        <w:spacing w:before="240" w:after="240" w:line="240" w:lineRule="auto"/>
        <w:rPr>
          <w:rFonts w:cs="Times New Roman"/>
          <w:b/>
          <w:szCs w:val="24"/>
        </w:rPr>
      </w:pPr>
      <w:r w:rsidRPr="007E61D7">
        <w:rPr>
          <w:rFonts w:cs="Times New Roman"/>
          <w:b/>
          <w:szCs w:val="24"/>
        </w:rPr>
        <w:t>REFERENCES</w:t>
      </w:r>
    </w:p>
    <w:p w14:paraId="5E2CFE9C" w14:textId="77777777" w:rsidR="00E22E6C" w:rsidRPr="00856B06" w:rsidRDefault="00E22E6C" w:rsidP="00F17B36">
      <w:pPr>
        <w:spacing w:before="240" w:after="0" w:line="240" w:lineRule="auto"/>
        <w:rPr>
          <w:rFonts w:cs="Times New Roman"/>
          <w:shd w:val="clear" w:color="auto" w:fill="FFFFFF"/>
        </w:rPr>
      </w:pPr>
      <w:proofErr w:type="spellStart"/>
      <w:r w:rsidRPr="00832DBF">
        <w:rPr>
          <w:rFonts w:cs="Times New Roman"/>
          <w:shd w:val="clear" w:color="auto" w:fill="FFFFFF"/>
        </w:rPr>
        <w:t>Abd</w:t>
      </w:r>
      <w:proofErr w:type="spellEnd"/>
      <w:r w:rsidRPr="00832DBF">
        <w:rPr>
          <w:rFonts w:cs="Times New Roman"/>
          <w:shd w:val="clear" w:color="auto" w:fill="FFFFFF"/>
        </w:rPr>
        <w:t xml:space="preserve"> El-</w:t>
      </w:r>
      <w:proofErr w:type="spellStart"/>
      <w:r w:rsidRPr="00832DBF">
        <w:rPr>
          <w:rFonts w:cs="Times New Roman"/>
          <w:shd w:val="clear" w:color="auto" w:fill="FFFFFF"/>
        </w:rPr>
        <w:t>Mawla</w:t>
      </w:r>
      <w:proofErr w:type="spellEnd"/>
      <w:r w:rsidRPr="00832DBF">
        <w:rPr>
          <w:rFonts w:cs="Times New Roman"/>
          <w:shd w:val="clear" w:color="auto" w:fill="FFFFFF"/>
        </w:rPr>
        <w:t>, A. M., &amp; Osman, H. E. H. (2011). Effects of Gum acacia aqueous extract on the histology of the intestine and enzymes of both the intestine and the pancreas of albino rats treated with Meloxicam. </w:t>
      </w:r>
      <w:proofErr w:type="spellStart"/>
      <w:r w:rsidRPr="00832DBF">
        <w:rPr>
          <w:rFonts w:cs="Times New Roman"/>
          <w:i/>
          <w:iCs/>
          <w:shd w:val="clear" w:color="auto" w:fill="FFFFFF"/>
        </w:rPr>
        <w:t>Pharmacognosy</w:t>
      </w:r>
      <w:proofErr w:type="spellEnd"/>
      <w:r w:rsidRPr="00832DBF">
        <w:rPr>
          <w:rFonts w:cs="Times New Roman"/>
          <w:i/>
          <w:iCs/>
          <w:shd w:val="clear" w:color="auto" w:fill="FFFFFF"/>
        </w:rPr>
        <w:t xml:space="preserve"> research</w:t>
      </w:r>
      <w:r w:rsidRPr="00832DBF">
        <w:rPr>
          <w:rFonts w:cs="Times New Roman"/>
          <w:shd w:val="clear" w:color="auto" w:fill="FFFFFF"/>
        </w:rPr>
        <w:t>, </w:t>
      </w:r>
      <w:r w:rsidRPr="00832DBF">
        <w:rPr>
          <w:rFonts w:cs="Times New Roman"/>
          <w:i/>
          <w:iCs/>
          <w:shd w:val="clear" w:color="auto" w:fill="FFFFFF"/>
        </w:rPr>
        <w:t>3</w:t>
      </w:r>
      <w:r w:rsidRPr="00832DBF">
        <w:rPr>
          <w:rFonts w:cs="Times New Roman"/>
          <w:shd w:val="clear" w:color="auto" w:fill="FFFFFF"/>
        </w:rPr>
        <w:t>(2), 114.</w:t>
      </w:r>
    </w:p>
    <w:p w14:paraId="7F309F14" w14:textId="77777777" w:rsidR="00E22E6C" w:rsidRPr="00832DBF" w:rsidRDefault="00E22E6C" w:rsidP="00F17B36">
      <w:pPr>
        <w:spacing w:before="240" w:after="0" w:line="240" w:lineRule="auto"/>
        <w:rPr>
          <w:rFonts w:cs="Times New Roman"/>
          <w:shd w:val="clear" w:color="auto" w:fill="FFFFFF"/>
        </w:rPr>
      </w:pPr>
      <w:proofErr w:type="spellStart"/>
      <w:r w:rsidRPr="00832DBF">
        <w:rPr>
          <w:rFonts w:cs="Times New Roman"/>
          <w:shd w:val="clear" w:color="auto" w:fill="FFFFFF"/>
        </w:rPr>
        <w:t>Almousa</w:t>
      </w:r>
      <w:proofErr w:type="spellEnd"/>
      <w:r w:rsidRPr="00832DBF">
        <w:rPr>
          <w:rFonts w:cs="Times New Roman"/>
          <w:shd w:val="clear" w:color="auto" w:fill="FFFFFF"/>
        </w:rPr>
        <w:t xml:space="preserve">, A. A., </w:t>
      </w:r>
      <w:proofErr w:type="spellStart"/>
      <w:r w:rsidRPr="00832DBF">
        <w:rPr>
          <w:rFonts w:cs="Times New Roman"/>
          <w:shd w:val="clear" w:color="auto" w:fill="FFFFFF"/>
        </w:rPr>
        <w:t>Meurens</w:t>
      </w:r>
      <w:proofErr w:type="spellEnd"/>
      <w:r w:rsidRPr="00832DBF">
        <w:rPr>
          <w:rFonts w:cs="Times New Roman"/>
          <w:shd w:val="clear" w:color="auto" w:fill="FFFFFF"/>
        </w:rPr>
        <w:t xml:space="preserve">, F., </w:t>
      </w:r>
      <w:proofErr w:type="spellStart"/>
      <w:r w:rsidRPr="00832DBF">
        <w:rPr>
          <w:rFonts w:cs="Times New Roman"/>
          <w:shd w:val="clear" w:color="auto" w:fill="FFFFFF"/>
        </w:rPr>
        <w:t>Krol</w:t>
      </w:r>
      <w:proofErr w:type="spellEnd"/>
      <w:r w:rsidRPr="00832DBF">
        <w:rPr>
          <w:rFonts w:cs="Times New Roman"/>
          <w:shd w:val="clear" w:color="auto" w:fill="FFFFFF"/>
        </w:rPr>
        <w:t xml:space="preserve">, E. S., &amp; Alcorn, J. (2018). </w:t>
      </w:r>
      <w:proofErr w:type="spellStart"/>
      <w:r w:rsidRPr="00832DBF">
        <w:rPr>
          <w:rFonts w:cs="Times New Roman"/>
          <w:shd w:val="clear" w:color="auto" w:fill="FFFFFF"/>
        </w:rPr>
        <w:t>Linoorbitides</w:t>
      </w:r>
      <w:proofErr w:type="spellEnd"/>
      <w:r w:rsidRPr="00832DBF">
        <w:rPr>
          <w:rFonts w:cs="Times New Roman"/>
          <w:shd w:val="clear" w:color="auto" w:fill="FFFFFF"/>
        </w:rPr>
        <w:t xml:space="preserve"> and </w:t>
      </w:r>
      <w:proofErr w:type="spellStart"/>
      <w:r w:rsidRPr="00832DBF">
        <w:rPr>
          <w:rFonts w:cs="Times New Roman"/>
          <w:shd w:val="clear" w:color="auto" w:fill="FFFFFF"/>
        </w:rPr>
        <w:t>enterolactone</w:t>
      </w:r>
      <w:proofErr w:type="spellEnd"/>
      <w:r w:rsidRPr="00832DBF">
        <w:rPr>
          <w:rFonts w:cs="Times New Roman"/>
          <w:shd w:val="clear" w:color="auto" w:fill="FFFFFF"/>
        </w:rPr>
        <w:t xml:space="preserve"> mitigate inflammation-induced oxidative stress and loss of intestinal epithelial barrier integrity. </w:t>
      </w:r>
      <w:r w:rsidRPr="00832DBF">
        <w:rPr>
          <w:rFonts w:cs="Times New Roman"/>
          <w:i/>
          <w:iCs/>
          <w:shd w:val="clear" w:color="auto" w:fill="FFFFFF"/>
        </w:rPr>
        <w:t xml:space="preserve">International </w:t>
      </w:r>
      <w:proofErr w:type="spellStart"/>
      <w:r w:rsidRPr="00832DBF">
        <w:rPr>
          <w:rFonts w:cs="Times New Roman"/>
          <w:i/>
          <w:iCs/>
          <w:shd w:val="clear" w:color="auto" w:fill="FFFFFF"/>
        </w:rPr>
        <w:t>Immunopharmacology</w:t>
      </w:r>
      <w:proofErr w:type="spellEnd"/>
      <w:r w:rsidRPr="00832DBF">
        <w:rPr>
          <w:rFonts w:cs="Times New Roman"/>
          <w:shd w:val="clear" w:color="auto" w:fill="FFFFFF"/>
        </w:rPr>
        <w:t>, </w:t>
      </w:r>
      <w:r w:rsidRPr="00832DBF">
        <w:rPr>
          <w:rFonts w:cs="Times New Roman"/>
          <w:i/>
          <w:iCs/>
          <w:shd w:val="clear" w:color="auto" w:fill="FFFFFF"/>
        </w:rPr>
        <w:t>64</w:t>
      </w:r>
      <w:r w:rsidRPr="00832DBF">
        <w:rPr>
          <w:rFonts w:cs="Times New Roman"/>
          <w:shd w:val="clear" w:color="auto" w:fill="FFFFFF"/>
        </w:rPr>
        <w:t>, 42-51.</w:t>
      </w:r>
    </w:p>
    <w:p w14:paraId="0753BE80" w14:textId="77777777" w:rsidR="00E22E6C" w:rsidRPr="00856B06" w:rsidRDefault="00E22E6C" w:rsidP="00F17B36">
      <w:pPr>
        <w:spacing w:before="240" w:after="0" w:line="240" w:lineRule="auto"/>
        <w:rPr>
          <w:rFonts w:cs="Times New Roman"/>
          <w:shd w:val="clear" w:color="auto" w:fill="FFFFFF"/>
        </w:rPr>
      </w:pPr>
      <w:proofErr w:type="spellStart"/>
      <w:r w:rsidRPr="003F076F">
        <w:rPr>
          <w:rFonts w:cs="Times New Roman"/>
          <w:shd w:val="clear" w:color="auto" w:fill="FFFFFF"/>
        </w:rPr>
        <w:t>Anik</w:t>
      </w:r>
      <w:proofErr w:type="spellEnd"/>
      <w:r w:rsidRPr="003F076F">
        <w:rPr>
          <w:rFonts w:cs="Times New Roman"/>
          <w:shd w:val="clear" w:color="auto" w:fill="FFFFFF"/>
        </w:rPr>
        <w:t xml:space="preserve">, M. I., Mahmud, N., </w:t>
      </w:r>
      <w:proofErr w:type="spellStart"/>
      <w:r w:rsidRPr="003F076F">
        <w:rPr>
          <w:rFonts w:cs="Times New Roman"/>
          <w:shd w:val="clear" w:color="auto" w:fill="FFFFFF"/>
        </w:rPr>
        <w:t>Masud</w:t>
      </w:r>
      <w:proofErr w:type="spellEnd"/>
      <w:r w:rsidRPr="003F076F">
        <w:rPr>
          <w:rFonts w:cs="Times New Roman"/>
          <w:shd w:val="clear" w:color="auto" w:fill="FFFFFF"/>
        </w:rPr>
        <w:t>, A. A., Khan, M. I., Islam, M. N., Uddin, S., &amp; Hossain, M. K. (2022). Role of reactive oxygen species in aging and age-related diseases: A review. </w:t>
      </w:r>
      <w:r w:rsidRPr="003F076F">
        <w:rPr>
          <w:rFonts w:cs="Times New Roman"/>
          <w:i/>
          <w:iCs/>
          <w:shd w:val="clear" w:color="auto" w:fill="FFFFFF"/>
        </w:rPr>
        <w:t>ACS applied bio materials</w:t>
      </w:r>
      <w:r w:rsidRPr="003F076F">
        <w:rPr>
          <w:rFonts w:cs="Times New Roman"/>
          <w:shd w:val="clear" w:color="auto" w:fill="FFFFFF"/>
        </w:rPr>
        <w:t>, </w:t>
      </w:r>
      <w:r w:rsidRPr="003F076F">
        <w:rPr>
          <w:rFonts w:cs="Times New Roman"/>
          <w:i/>
          <w:iCs/>
          <w:shd w:val="clear" w:color="auto" w:fill="FFFFFF"/>
        </w:rPr>
        <w:t>5</w:t>
      </w:r>
      <w:r w:rsidRPr="003F076F">
        <w:rPr>
          <w:rFonts w:cs="Times New Roman"/>
          <w:shd w:val="clear" w:color="auto" w:fill="FFFFFF"/>
        </w:rPr>
        <w:t>(9), 4028-4054.</w:t>
      </w:r>
    </w:p>
    <w:p w14:paraId="32BFEE45" w14:textId="77777777" w:rsidR="00E22E6C" w:rsidRPr="00832DBF" w:rsidRDefault="00E22E6C" w:rsidP="00F17B36">
      <w:pPr>
        <w:spacing w:before="240" w:after="0" w:line="240" w:lineRule="auto"/>
        <w:rPr>
          <w:rFonts w:cs="Times New Roman"/>
          <w:shd w:val="clear" w:color="auto" w:fill="FFFFFF"/>
        </w:rPr>
      </w:pPr>
      <w:proofErr w:type="spellStart"/>
      <w:r w:rsidRPr="00832DBF">
        <w:rPr>
          <w:rFonts w:cs="Times New Roman"/>
          <w:shd w:val="clear" w:color="auto" w:fill="FFFFFF"/>
        </w:rPr>
        <w:t>Birben</w:t>
      </w:r>
      <w:proofErr w:type="spellEnd"/>
      <w:r w:rsidRPr="00832DBF">
        <w:rPr>
          <w:rFonts w:cs="Times New Roman"/>
          <w:shd w:val="clear" w:color="auto" w:fill="FFFFFF"/>
        </w:rPr>
        <w:t xml:space="preserve">, E., </w:t>
      </w:r>
      <w:proofErr w:type="spellStart"/>
      <w:r w:rsidRPr="00832DBF">
        <w:rPr>
          <w:rFonts w:cs="Times New Roman"/>
          <w:shd w:val="clear" w:color="auto" w:fill="FFFFFF"/>
        </w:rPr>
        <w:t>Sahiner</w:t>
      </w:r>
      <w:proofErr w:type="spellEnd"/>
      <w:r w:rsidRPr="00832DBF">
        <w:rPr>
          <w:rFonts w:cs="Times New Roman"/>
          <w:shd w:val="clear" w:color="auto" w:fill="FFFFFF"/>
        </w:rPr>
        <w:t xml:space="preserve">, U. M., </w:t>
      </w:r>
      <w:proofErr w:type="spellStart"/>
      <w:r w:rsidRPr="00832DBF">
        <w:rPr>
          <w:rFonts w:cs="Times New Roman"/>
          <w:shd w:val="clear" w:color="auto" w:fill="FFFFFF"/>
        </w:rPr>
        <w:t>Sackesen</w:t>
      </w:r>
      <w:proofErr w:type="spellEnd"/>
      <w:r w:rsidRPr="00832DBF">
        <w:rPr>
          <w:rFonts w:cs="Times New Roman"/>
          <w:shd w:val="clear" w:color="auto" w:fill="FFFFFF"/>
        </w:rPr>
        <w:t xml:space="preserve">, C., Erzurum, S., &amp; </w:t>
      </w:r>
      <w:proofErr w:type="spellStart"/>
      <w:r w:rsidRPr="00832DBF">
        <w:rPr>
          <w:rFonts w:cs="Times New Roman"/>
          <w:shd w:val="clear" w:color="auto" w:fill="FFFFFF"/>
        </w:rPr>
        <w:t>Kalayci</w:t>
      </w:r>
      <w:proofErr w:type="spellEnd"/>
      <w:r w:rsidRPr="00832DBF">
        <w:rPr>
          <w:rFonts w:cs="Times New Roman"/>
          <w:shd w:val="clear" w:color="auto" w:fill="FFFFFF"/>
        </w:rPr>
        <w:t>, O. (2012). Oxidative stress and antioxidant defense. </w:t>
      </w:r>
      <w:r w:rsidRPr="00832DBF">
        <w:rPr>
          <w:rFonts w:cs="Times New Roman"/>
          <w:i/>
          <w:iCs/>
          <w:shd w:val="clear" w:color="auto" w:fill="FFFFFF"/>
        </w:rPr>
        <w:t>World allergy organization journal</w:t>
      </w:r>
      <w:r w:rsidRPr="00832DBF">
        <w:rPr>
          <w:rFonts w:cs="Times New Roman"/>
          <w:shd w:val="clear" w:color="auto" w:fill="FFFFFF"/>
        </w:rPr>
        <w:t>, </w:t>
      </w:r>
      <w:r w:rsidRPr="00832DBF">
        <w:rPr>
          <w:rFonts w:cs="Times New Roman"/>
          <w:i/>
          <w:iCs/>
          <w:shd w:val="clear" w:color="auto" w:fill="FFFFFF"/>
        </w:rPr>
        <w:t>5</w:t>
      </w:r>
      <w:r w:rsidRPr="00832DBF">
        <w:rPr>
          <w:rFonts w:cs="Times New Roman"/>
          <w:shd w:val="clear" w:color="auto" w:fill="FFFFFF"/>
        </w:rPr>
        <w:t>, 9-19.</w:t>
      </w:r>
    </w:p>
    <w:p w14:paraId="0824A8A2" w14:textId="77777777" w:rsidR="00E22E6C" w:rsidRPr="00832DBF" w:rsidRDefault="00E22E6C" w:rsidP="00893ACF">
      <w:pPr>
        <w:spacing w:before="240" w:line="240" w:lineRule="auto"/>
        <w:rPr>
          <w:rFonts w:cs="Times New Roman"/>
        </w:rPr>
      </w:pPr>
      <w:proofErr w:type="spellStart"/>
      <w:r w:rsidRPr="00832DBF">
        <w:rPr>
          <w:rFonts w:cs="Times New Roman"/>
        </w:rPr>
        <w:t>Bjarnason</w:t>
      </w:r>
      <w:proofErr w:type="spellEnd"/>
      <w:r w:rsidRPr="00832DBF">
        <w:rPr>
          <w:rFonts w:cs="Times New Roman"/>
        </w:rPr>
        <w:t xml:space="preserve">, I., </w:t>
      </w:r>
      <w:proofErr w:type="spellStart"/>
      <w:r w:rsidRPr="00832DBF">
        <w:rPr>
          <w:rFonts w:cs="Times New Roman"/>
        </w:rPr>
        <w:t>Scarpignato</w:t>
      </w:r>
      <w:proofErr w:type="spellEnd"/>
      <w:r w:rsidRPr="00832DBF">
        <w:rPr>
          <w:rFonts w:cs="Times New Roman"/>
        </w:rPr>
        <w:t xml:space="preserve">, C., Holmgren, E., </w:t>
      </w:r>
      <w:proofErr w:type="spellStart"/>
      <w:r w:rsidRPr="00832DBF">
        <w:rPr>
          <w:rFonts w:cs="Times New Roman"/>
        </w:rPr>
        <w:t>Olszewski</w:t>
      </w:r>
      <w:proofErr w:type="spellEnd"/>
      <w:r w:rsidRPr="00832DBF">
        <w:rPr>
          <w:rFonts w:cs="Times New Roman"/>
        </w:rPr>
        <w:t xml:space="preserve">, M., Rainsford, K. D., &amp; </w:t>
      </w:r>
      <w:proofErr w:type="spellStart"/>
      <w:r w:rsidRPr="00832DBF">
        <w:rPr>
          <w:rFonts w:cs="Times New Roman"/>
        </w:rPr>
        <w:t>Lanas</w:t>
      </w:r>
      <w:proofErr w:type="spellEnd"/>
      <w:r w:rsidRPr="00832DBF">
        <w:rPr>
          <w:rFonts w:cs="Times New Roman"/>
        </w:rPr>
        <w:t>, A. (2018). Mechanisms of damage to the gastrointestinal tract from nonsteroidal anti-inflammatory drugs. </w:t>
      </w:r>
      <w:r w:rsidRPr="00832DBF">
        <w:rPr>
          <w:rFonts w:cs="Times New Roman"/>
          <w:i/>
          <w:iCs/>
        </w:rPr>
        <w:t>Gastroenterology</w:t>
      </w:r>
      <w:r w:rsidRPr="00832DBF">
        <w:rPr>
          <w:rFonts w:cs="Times New Roman"/>
        </w:rPr>
        <w:t>, </w:t>
      </w:r>
      <w:r w:rsidRPr="00832DBF">
        <w:rPr>
          <w:rFonts w:cs="Times New Roman"/>
          <w:i/>
          <w:iCs/>
        </w:rPr>
        <w:t>154</w:t>
      </w:r>
      <w:r w:rsidRPr="00832DBF">
        <w:rPr>
          <w:rFonts w:cs="Times New Roman"/>
        </w:rPr>
        <w:t>(3), 500-514.</w:t>
      </w:r>
    </w:p>
    <w:p w14:paraId="016600FC" w14:textId="77777777" w:rsidR="00E22E6C" w:rsidRPr="00832DBF" w:rsidRDefault="00E22E6C" w:rsidP="00893ACF">
      <w:pPr>
        <w:spacing w:before="240" w:line="240" w:lineRule="auto"/>
        <w:rPr>
          <w:rFonts w:cs="Times New Roman"/>
        </w:rPr>
      </w:pPr>
      <w:proofErr w:type="spellStart"/>
      <w:r w:rsidRPr="00832DBF">
        <w:rPr>
          <w:rFonts w:cs="Times New Roman"/>
        </w:rPr>
        <w:t>Boelsterli</w:t>
      </w:r>
      <w:proofErr w:type="spellEnd"/>
      <w:r w:rsidRPr="00832DBF">
        <w:rPr>
          <w:rFonts w:cs="Times New Roman"/>
        </w:rPr>
        <w:t xml:space="preserve">, U. A., </w:t>
      </w:r>
      <w:proofErr w:type="spellStart"/>
      <w:r w:rsidRPr="00832DBF">
        <w:rPr>
          <w:rFonts w:cs="Times New Roman"/>
        </w:rPr>
        <w:t>Redinbo</w:t>
      </w:r>
      <w:proofErr w:type="spellEnd"/>
      <w:r w:rsidRPr="00832DBF">
        <w:rPr>
          <w:rFonts w:cs="Times New Roman"/>
        </w:rPr>
        <w:t xml:space="preserve">, M. R., &amp; </w:t>
      </w:r>
      <w:proofErr w:type="spellStart"/>
      <w:r w:rsidRPr="00832DBF">
        <w:rPr>
          <w:rFonts w:cs="Times New Roman"/>
        </w:rPr>
        <w:t>Saitta</w:t>
      </w:r>
      <w:proofErr w:type="spellEnd"/>
      <w:r w:rsidRPr="00832DBF">
        <w:rPr>
          <w:rFonts w:cs="Times New Roman"/>
        </w:rPr>
        <w:t>, K. S. (2013). Multiple NSAID-induced hits injure the small intestine: underlying mechanisms and novel strategies. </w:t>
      </w:r>
      <w:r w:rsidRPr="00832DBF">
        <w:rPr>
          <w:rFonts w:cs="Times New Roman"/>
          <w:i/>
          <w:iCs/>
        </w:rPr>
        <w:t>Toxicological sciences</w:t>
      </w:r>
      <w:r w:rsidRPr="00832DBF">
        <w:rPr>
          <w:rFonts w:cs="Times New Roman"/>
        </w:rPr>
        <w:t>, </w:t>
      </w:r>
      <w:r w:rsidRPr="00832DBF">
        <w:rPr>
          <w:rFonts w:cs="Times New Roman"/>
          <w:i/>
          <w:iCs/>
        </w:rPr>
        <w:t>131</w:t>
      </w:r>
      <w:r w:rsidRPr="00832DBF">
        <w:rPr>
          <w:rFonts w:cs="Times New Roman"/>
        </w:rPr>
        <w:t>(2), 654-667.</w:t>
      </w:r>
    </w:p>
    <w:p w14:paraId="41406484" w14:textId="77777777" w:rsidR="00E22E6C" w:rsidRPr="00832DBF" w:rsidRDefault="00E22E6C" w:rsidP="00893ACF">
      <w:pPr>
        <w:spacing w:before="240" w:after="240" w:line="240" w:lineRule="auto"/>
        <w:rPr>
          <w:rFonts w:cs="Times New Roman"/>
          <w:szCs w:val="24"/>
          <w:shd w:val="clear" w:color="auto" w:fill="FFFFFF"/>
        </w:rPr>
      </w:pPr>
      <w:proofErr w:type="spellStart"/>
      <w:r w:rsidRPr="00832DBF">
        <w:rPr>
          <w:rFonts w:cs="Times New Roman"/>
          <w:szCs w:val="24"/>
          <w:shd w:val="clear" w:color="auto" w:fill="FFFFFF"/>
        </w:rPr>
        <w:t>Buege</w:t>
      </w:r>
      <w:proofErr w:type="spellEnd"/>
      <w:r w:rsidRPr="00832DBF">
        <w:rPr>
          <w:rFonts w:cs="Times New Roman"/>
          <w:szCs w:val="24"/>
          <w:shd w:val="clear" w:color="auto" w:fill="FFFFFF"/>
        </w:rPr>
        <w:t xml:space="preserve">, J. A., &amp; </w:t>
      </w:r>
      <w:proofErr w:type="spellStart"/>
      <w:r w:rsidRPr="00832DBF">
        <w:rPr>
          <w:rFonts w:cs="Times New Roman"/>
          <w:szCs w:val="24"/>
          <w:shd w:val="clear" w:color="auto" w:fill="FFFFFF"/>
        </w:rPr>
        <w:t>Aust</w:t>
      </w:r>
      <w:proofErr w:type="spellEnd"/>
      <w:r w:rsidRPr="00832DBF">
        <w:rPr>
          <w:rFonts w:cs="Times New Roman"/>
          <w:szCs w:val="24"/>
          <w:shd w:val="clear" w:color="auto" w:fill="FFFFFF"/>
        </w:rPr>
        <w:t>, S. D. (1978). [30] Microsomal lipid peroxidation. In </w:t>
      </w:r>
      <w:r w:rsidRPr="00832DBF">
        <w:rPr>
          <w:rFonts w:cs="Times New Roman"/>
          <w:i/>
          <w:iCs/>
          <w:szCs w:val="24"/>
          <w:shd w:val="clear" w:color="auto" w:fill="FFFFFF"/>
        </w:rPr>
        <w:t>Methods in enzymology</w:t>
      </w:r>
      <w:r w:rsidRPr="00832DBF">
        <w:rPr>
          <w:rFonts w:cs="Times New Roman"/>
          <w:szCs w:val="24"/>
          <w:shd w:val="clear" w:color="auto" w:fill="FFFFFF"/>
        </w:rPr>
        <w:t> (Vol. 52, pp. 302-310). Academic press.</w:t>
      </w:r>
    </w:p>
    <w:p w14:paraId="5E5CF2CB" w14:textId="77777777" w:rsidR="00E22E6C" w:rsidRPr="00832DBF" w:rsidRDefault="00E22E6C" w:rsidP="00893ACF">
      <w:pPr>
        <w:autoSpaceDE w:val="0"/>
        <w:autoSpaceDN w:val="0"/>
        <w:adjustRightInd w:val="0"/>
        <w:spacing w:before="240" w:after="240" w:line="240" w:lineRule="auto"/>
        <w:rPr>
          <w:rFonts w:cs="Times New Roman"/>
          <w:szCs w:val="24"/>
          <w:shd w:val="clear" w:color="auto" w:fill="FFFFFF"/>
        </w:rPr>
      </w:pPr>
      <w:r w:rsidRPr="00832DBF">
        <w:rPr>
          <w:rFonts w:cs="Times New Roman"/>
          <w:szCs w:val="24"/>
          <w:shd w:val="clear" w:color="auto" w:fill="FFFFFF"/>
        </w:rPr>
        <w:t xml:space="preserve">Cruz, S. L., &amp; Granados-Soto, V. (2022). Opioids and opiates: pharmacology, abuse, and addiction. In </w:t>
      </w:r>
      <w:r w:rsidRPr="00832DBF">
        <w:rPr>
          <w:rFonts w:cs="Times New Roman"/>
          <w:i/>
          <w:iCs/>
          <w:szCs w:val="24"/>
          <w:shd w:val="clear" w:color="auto" w:fill="FFFFFF"/>
        </w:rPr>
        <w:t>Neuroscience in the 21st Century: From Basic to Clinical</w:t>
      </w:r>
      <w:r w:rsidRPr="00832DBF">
        <w:rPr>
          <w:rFonts w:cs="Times New Roman"/>
          <w:szCs w:val="24"/>
          <w:shd w:val="clear" w:color="auto" w:fill="FFFFFF"/>
        </w:rPr>
        <w:t xml:space="preserve"> (pp. 4045-4082). Cham: Springer International Publishing. </w:t>
      </w:r>
    </w:p>
    <w:p w14:paraId="2EDB4F0E" w14:textId="77777777" w:rsidR="00E22E6C" w:rsidRPr="00832DBF" w:rsidRDefault="00E22E6C" w:rsidP="00893ACF">
      <w:pPr>
        <w:spacing w:before="240" w:after="240" w:line="240" w:lineRule="auto"/>
        <w:rPr>
          <w:rFonts w:cs="Times New Roman"/>
          <w:szCs w:val="24"/>
          <w:shd w:val="clear" w:color="auto" w:fill="FFFFFF"/>
        </w:rPr>
      </w:pPr>
      <w:proofErr w:type="spellStart"/>
      <w:r w:rsidRPr="00832DBF">
        <w:rPr>
          <w:rFonts w:cs="Times New Roman"/>
          <w:szCs w:val="24"/>
          <w:shd w:val="clear" w:color="auto" w:fill="FFFFFF"/>
        </w:rPr>
        <w:lastRenderedPageBreak/>
        <w:t>Festing</w:t>
      </w:r>
      <w:proofErr w:type="spellEnd"/>
      <w:r w:rsidRPr="00832DBF">
        <w:rPr>
          <w:rFonts w:cs="Times New Roman"/>
          <w:szCs w:val="24"/>
          <w:shd w:val="clear" w:color="auto" w:fill="FFFFFF"/>
        </w:rPr>
        <w:t>, M. F. (2006). Design and statistical methods in studies using animal models of development. </w:t>
      </w:r>
      <w:proofErr w:type="spellStart"/>
      <w:r w:rsidRPr="00832DBF">
        <w:rPr>
          <w:rFonts w:cs="Times New Roman"/>
          <w:i/>
          <w:iCs/>
          <w:szCs w:val="24"/>
          <w:shd w:val="clear" w:color="auto" w:fill="FFFFFF"/>
        </w:rPr>
        <w:t>Ilar</w:t>
      </w:r>
      <w:proofErr w:type="spellEnd"/>
      <w:r w:rsidRPr="00832DBF">
        <w:rPr>
          <w:rFonts w:cs="Times New Roman"/>
          <w:i/>
          <w:iCs/>
          <w:szCs w:val="24"/>
          <w:shd w:val="clear" w:color="auto" w:fill="FFFFFF"/>
        </w:rPr>
        <w:t xml:space="preserve"> Journal</w:t>
      </w:r>
      <w:r w:rsidRPr="00832DBF">
        <w:rPr>
          <w:rFonts w:cs="Times New Roman"/>
          <w:szCs w:val="24"/>
          <w:shd w:val="clear" w:color="auto" w:fill="FFFFFF"/>
        </w:rPr>
        <w:t>, </w:t>
      </w:r>
      <w:r w:rsidRPr="00832DBF">
        <w:rPr>
          <w:rFonts w:cs="Times New Roman"/>
          <w:i/>
          <w:iCs/>
          <w:szCs w:val="24"/>
          <w:shd w:val="clear" w:color="auto" w:fill="FFFFFF"/>
        </w:rPr>
        <w:t>47</w:t>
      </w:r>
      <w:r w:rsidRPr="00832DBF">
        <w:rPr>
          <w:rFonts w:cs="Times New Roman"/>
          <w:szCs w:val="24"/>
          <w:shd w:val="clear" w:color="auto" w:fill="FFFFFF"/>
        </w:rPr>
        <w:t>(1), 5-14.</w:t>
      </w:r>
    </w:p>
    <w:p w14:paraId="2E74A8D9" w14:textId="77777777" w:rsidR="00E22E6C" w:rsidRPr="00832DBF" w:rsidRDefault="00E22E6C" w:rsidP="00893ACF">
      <w:pPr>
        <w:spacing w:before="240" w:after="240" w:line="240" w:lineRule="auto"/>
        <w:rPr>
          <w:rFonts w:cs="Times New Roman"/>
          <w:szCs w:val="24"/>
          <w:shd w:val="clear" w:color="auto" w:fill="FFFFFF"/>
        </w:rPr>
      </w:pPr>
      <w:r w:rsidRPr="00832DBF">
        <w:rPr>
          <w:rFonts w:cs="Times New Roman"/>
          <w:szCs w:val="24"/>
          <w:shd w:val="clear" w:color="auto" w:fill="FFFFFF"/>
        </w:rPr>
        <w:t xml:space="preserve">Ghosh, N., Kesh, K., </w:t>
      </w:r>
      <w:proofErr w:type="spellStart"/>
      <w:r w:rsidRPr="00832DBF">
        <w:rPr>
          <w:rFonts w:cs="Times New Roman"/>
          <w:szCs w:val="24"/>
          <w:shd w:val="clear" w:color="auto" w:fill="FFFFFF"/>
        </w:rPr>
        <w:t>Ramakrishnan</w:t>
      </w:r>
      <w:proofErr w:type="spellEnd"/>
      <w:r w:rsidRPr="00832DBF">
        <w:rPr>
          <w:rFonts w:cs="Times New Roman"/>
          <w:szCs w:val="24"/>
          <w:shd w:val="clear" w:color="auto" w:fill="FFFFFF"/>
        </w:rPr>
        <w:t>, S., &amp; Roy, S. (2022). Opioid use in murine model results in severe gastric pathology that may be attenuated by proton pump inhibition. </w:t>
      </w:r>
      <w:r w:rsidRPr="00832DBF">
        <w:rPr>
          <w:rFonts w:cs="Times New Roman"/>
          <w:i/>
          <w:iCs/>
          <w:szCs w:val="24"/>
          <w:shd w:val="clear" w:color="auto" w:fill="FFFFFF"/>
        </w:rPr>
        <w:t>The American journal of pathology</w:t>
      </w:r>
      <w:r w:rsidRPr="00832DBF">
        <w:rPr>
          <w:rFonts w:cs="Times New Roman"/>
          <w:szCs w:val="24"/>
          <w:shd w:val="clear" w:color="auto" w:fill="FFFFFF"/>
        </w:rPr>
        <w:t>, </w:t>
      </w:r>
      <w:r w:rsidRPr="00832DBF">
        <w:rPr>
          <w:rFonts w:cs="Times New Roman"/>
          <w:i/>
          <w:iCs/>
          <w:szCs w:val="24"/>
          <w:shd w:val="clear" w:color="auto" w:fill="FFFFFF"/>
        </w:rPr>
        <w:t>192</w:t>
      </w:r>
      <w:r w:rsidRPr="00832DBF">
        <w:rPr>
          <w:rFonts w:cs="Times New Roman"/>
          <w:szCs w:val="24"/>
          <w:shd w:val="clear" w:color="auto" w:fill="FFFFFF"/>
        </w:rPr>
        <w:t>(8), 1136-1150.</w:t>
      </w:r>
    </w:p>
    <w:p w14:paraId="4C7E61BA" w14:textId="77777777" w:rsidR="00E22E6C" w:rsidRPr="00832DBF" w:rsidRDefault="00E22E6C" w:rsidP="00893ACF">
      <w:pPr>
        <w:spacing w:before="240" w:line="240" w:lineRule="auto"/>
        <w:rPr>
          <w:rFonts w:cs="Times New Roman"/>
        </w:rPr>
      </w:pPr>
      <w:proofErr w:type="spellStart"/>
      <w:r w:rsidRPr="00832DBF">
        <w:rPr>
          <w:rFonts w:cs="Times New Roman"/>
        </w:rPr>
        <w:t>Gonçalves</w:t>
      </w:r>
      <w:proofErr w:type="spellEnd"/>
      <w:r w:rsidRPr="00832DBF">
        <w:rPr>
          <w:rFonts w:cs="Times New Roman"/>
        </w:rPr>
        <w:t xml:space="preserve"> Junior, I., </w:t>
      </w:r>
      <w:proofErr w:type="spellStart"/>
      <w:r w:rsidRPr="00832DBF">
        <w:rPr>
          <w:rFonts w:cs="Times New Roman"/>
        </w:rPr>
        <w:t>Naresse</w:t>
      </w:r>
      <w:proofErr w:type="spellEnd"/>
      <w:r w:rsidRPr="00832DBF">
        <w:rPr>
          <w:rFonts w:cs="Times New Roman"/>
        </w:rPr>
        <w:t xml:space="preserve">, L. E., Rodrigues, M. A. M., &amp; </w:t>
      </w:r>
      <w:proofErr w:type="spellStart"/>
      <w:r w:rsidRPr="00832DBF">
        <w:rPr>
          <w:rFonts w:cs="Times New Roman"/>
        </w:rPr>
        <w:t>Kobayasi</w:t>
      </w:r>
      <w:proofErr w:type="spellEnd"/>
      <w:r w:rsidRPr="00832DBF">
        <w:rPr>
          <w:rFonts w:cs="Times New Roman"/>
        </w:rPr>
        <w:t xml:space="preserve">, S. (2012). Diclofenac sodium and </w:t>
      </w:r>
      <w:proofErr w:type="spellStart"/>
      <w:r w:rsidRPr="00832DBF">
        <w:rPr>
          <w:rFonts w:cs="Times New Roman"/>
        </w:rPr>
        <w:t>Imipenem</w:t>
      </w:r>
      <w:proofErr w:type="spellEnd"/>
      <w:r w:rsidRPr="00832DBF">
        <w:rPr>
          <w:rFonts w:cs="Times New Roman"/>
        </w:rPr>
        <w:t xml:space="preserve"> action on rat intestinal mucosa: a biomechanical and histological study. </w:t>
      </w:r>
      <w:proofErr w:type="spellStart"/>
      <w:r w:rsidRPr="00832DBF">
        <w:rPr>
          <w:rFonts w:cs="Times New Roman"/>
          <w:i/>
          <w:iCs/>
        </w:rPr>
        <w:t>Acta</w:t>
      </w:r>
      <w:proofErr w:type="spellEnd"/>
      <w:r w:rsidRPr="00832DBF">
        <w:rPr>
          <w:rFonts w:cs="Times New Roman"/>
          <w:i/>
          <w:iCs/>
        </w:rPr>
        <w:t xml:space="preserve"> </w:t>
      </w:r>
      <w:proofErr w:type="spellStart"/>
      <w:r w:rsidRPr="00832DBF">
        <w:rPr>
          <w:rFonts w:cs="Times New Roman"/>
          <w:i/>
          <w:iCs/>
        </w:rPr>
        <w:t>Cirúrgica</w:t>
      </w:r>
      <w:proofErr w:type="spellEnd"/>
      <w:r w:rsidRPr="00832DBF">
        <w:rPr>
          <w:rFonts w:cs="Times New Roman"/>
          <w:i/>
          <w:iCs/>
        </w:rPr>
        <w:t xml:space="preserve"> </w:t>
      </w:r>
      <w:proofErr w:type="spellStart"/>
      <w:r w:rsidRPr="00832DBF">
        <w:rPr>
          <w:rFonts w:cs="Times New Roman"/>
          <w:i/>
          <w:iCs/>
        </w:rPr>
        <w:t>Brasileira</w:t>
      </w:r>
      <w:proofErr w:type="spellEnd"/>
      <w:r w:rsidRPr="00832DBF">
        <w:rPr>
          <w:rFonts w:cs="Times New Roman"/>
        </w:rPr>
        <w:t>, </w:t>
      </w:r>
      <w:r w:rsidRPr="00832DBF">
        <w:rPr>
          <w:rFonts w:cs="Times New Roman"/>
          <w:i/>
          <w:iCs/>
        </w:rPr>
        <w:t>27</w:t>
      </w:r>
      <w:r w:rsidRPr="00832DBF">
        <w:rPr>
          <w:rFonts w:cs="Times New Roman"/>
        </w:rPr>
        <w:t>, 131-136.</w:t>
      </w:r>
    </w:p>
    <w:p w14:paraId="2777EEB2" w14:textId="77777777" w:rsidR="00E22E6C" w:rsidRPr="00832DBF" w:rsidRDefault="00E22E6C" w:rsidP="00893ACF">
      <w:pPr>
        <w:spacing w:before="240" w:after="240" w:line="240" w:lineRule="auto"/>
        <w:rPr>
          <w:rFonts w:cs="Times New Roman"/>
          <w:szCs w:val="24"/>
          <w:shd w:val="clear" w:color="auto" w:fill="FFFFFF"/>
        </w:rPr>
      </w:pPr>
      <w:r w:rsidRPr="00832DBF">
        <w:rPr>
          <w:rFonts w:cs="Times New Roman"/>
          <w:szCs w:val="24"/>
          <w:shd w:val="clear" w:color="auto" w:fill="FFFFFF"/>
        </w:rPr>
        <w:t xml:space="preserve">Hart, J. S., &amp; </w:t>
      </w:r>
      <w:proofErr w:type="spellStart"/>
      <w:r w:rsidRPr="00832DBF">
        <w:rPr>
          <w:rFonts w:cs="Times New Roman"/>
          <w:szCs w:val="24"/>
          <w:shd w:val="clear" w:color="auto" w:fill="FFFFFF"/>
        </w:rPr>
        <w:t>Adheke</w:t>
      </w:r>
      <w:proofErr w:type="spellEnd"/>
      <w:r w:rsidRPr="00832DBF">
        <w:rPr>
          <w:rFonts w:cs="Times New Roman"/>
          <w:szCs w:val="24"/>
          <w:shd w:val="clear" w:color="auto" w:fill="FFFFFF"/>
        </w:rPr>
        <w:t xml:space="preserve">, O. M. (2024). Evaluating cardiotoxicity upon chronic administration of graded doses of </w:t>
      </w:r>
      <w:proofErr w:type="spellStart"/>
      <w:r w:rsidRPr="00832DBF">
        <w:rPr>
          <w:rFonts w:cs="Times New Roman"/>
          <w:szCs w:val="24"/>
          <w:shd w:val="clear" w:color="auto" w:fill="FFFFFF"/>
        </w:rPr>
        <w:t>pentazocine</w:t>
      </w:r>
      <w:proofErr w:type="spellEnd"/>
      <w:r w:rsidRPr="00832DBF">
        <w:rPr>
          <w:rFonts w:cs="Times New Roman"/>
          <w:szCs w:val="24"/>
          <w:shd w:val="clear" w:color="auto" w:fill="FFFFFF"/>
        </w:rPr>
        <w:t xml:space="preserve"> in </w:t>
      </w:r>
      <w:proofErr w:type="spellStart"/>
      <w:r w:rsidRPr="00832DBF">
        <w:rPr>
          <w:rFonts w:cs="Times New Roman"/>
          <w:szCs w:val="24"/>
          <w:shd w:val="clear" w:color="auto" w:fill="FFFFFF"/>
        </w:rPr>
        <w:t>wistar</w:t>
      </w:r>
      <w:proofErr w:type="spellEnd"/>
      <w:r w:rsidRPr="00832DBF">
        <w:rPr>
          <w:rFonts w:cs="Times New Roman"/>
          <w:szCs w:val="24"/>
          <w:shd w:val="clear" w:color="auto" w:fill="FFFFFF"/>
        </w:rPr>
        <w:t xml:space="preserve"> rats. </w:t>
      </w:r>
      <w:r w:rsidRPr="00832DBF">
        <w:rPr>
          <w:rFonts w:cs="Times New Roman"/>
          <w:i/>
          <w:iCs/>
          <w:szCs w:val="24"/>
          <w:shd w:val="clear" w:color="auto" w:fill="FFFFFF"/>
        </w:rPr>
        <w:t>The Egyptian Journal of Forensic Sciences and Applied Toxicology</w:t>
      </w:r>
      <w:r w:rsidRPr="00832DBF">
        <w:rPr>
          <w:rFonts w:cs="Times New Roman"/>
          <w:szCs w:val="24"/>
          <w:shd w:val="clear" w:color="auto" w:fill="FFFFFF"/>
        </w:rPr>
        <w:t>, </w:t>
      </w:r>
      <w:r w:rsidRPr="00832DBF">
        <w:rPr>
          <w:rFonts w:cs="Times New Roman"/>
          <w:i/>
          <w:iCs/>
          <w:szCs w:val="24"/>
          <w:shd w:val="clear" w:color="auto" w:fill="FFFFFF"/>
        </w:rPr>
        <w:t>24</w:t>
      </w:r>
      <w:r w:rsidRPr="00832DBF">
        <w:rPr>
          <w:rFonts w:cs="Times New Roman"/>
          <w:szCs w:val="24"/>
          <w:shd w:val="clear" w:color="auto" w:fill="FFFFFF"/>
        </w:rPr>
        <w:t>(2), 73-78.</w:t>
      </w:r>
    </w:p>
    <w:p w14:paraId="3F0CD923" w14:textId="77777777" w:rsidR="00E22E6C" w:rsidRPr="00832DBF" w:rsidRDefault="00E22E6C" w:rsidP="00893ACF">
      <w:pPr>
        <w:spacing w:before="240" w:line="240" w:lineRule="auto"/>
        <w:rPr>
          <w:rFonts w:cs="Times New Roman"/>
        </w:rPr>
      </w:pPr>
      <w:r w:rsidRPr="00832DBF">
        <w:rPr>
          <w:rFonts w:cs="Times New Roman"/>
        </w:rPr>
        <w:t xml:space="preserve">Hart, J. S., &amp; </w:t>
      </w:r>
      <w:proofErr w:type="spellStart"/>
      <w:r w:rsidRPr="00832DBF">
        <w:rPr>
          <w:rFonts w:cs="Times New Roman"/>
        </w:rPr>
        <w:t>Adheke</w:t>
      </w:r>
      <w:proofErr w:type="spellEnd"/>
      <w:r w:rsidRPr="00832DBF">
        <w:rPr>
          <w:rFonts w:cs="Times New Roman"/>
        </w:rPr>
        <w:t xml:space="preserve">, O. M. Histopathological and Biochemical Investigations of the Brain upon Sub-Acute </w:t>
      </w:r>
      <w:proofErr w:type="spellStart"/>
      <w:r w:rsidRPr="00832DBF">
        <w:rPr>
          <w:rFonts w:cs="Times New Roman"/>
        </w:rPr>
        <w:t>Pentazocine</w:t>
      </w:r>
      <w:proofErr w:type="spellEnd"/>
      <w:r w:rsidRPr="00832DBF">
        <w:rPr>
          <w:rFonts w:cs="Times New Roman"/>
        </w:rPr>
        <w:t xml:space="preserve"> Administration. </w:t>
      </w:r>
      <w:r w:rsidRPr="00832DBF">
        <w:rPr>
          <w:rFonts w:cs="Times New Roman"/>
          <w:bCs/>
          <w:i/>
          <w:szCs w:val="24"/>
        </w:rPr>
        <w:t>Asian Journal of Advanced Research and Reports</w:t>
      </w:r>
      <w:r w:rsidRPr="00832DBF">
        <w:rPr>
          <w:rFonts w:cs="Times New Roman"/>
          <w:bCs/>
          <w:szCs w:val="24"/>
        </w:rPr>
        <w:t xml:space="preserve">. </w:t>
      </w:r>
      <w:bookmarkStart w:id="1" w:name="_Hlk189242869"/>
      <w:r w:rsidRPr="00832DBF">
        <w:rPr>
          <w:rFonts w:cs="Times New Roman"/>
          <w:bCs/>
          <w:szCs w:val="24"/>
        </w:rPr>
        <w:t>19(2), 150 – 158</w:t>
      </w:r>
      <w:bookmarkEnd w:id="1"/>
      <w:r w:rsidRPr="00832DBF">
        <w:rPr>
          <w:rFonts w:cs="Times New Roman"/>
          <w:bCs/>
          <w:szCs w:val="24"/>
        </w:rPr>
        <w:t>.</w:t>
      </w:r>
    </w:p>
    <w:p w14:paraId="6AF2EF93" w14:textId="77777777" w:rsidR="00E22E6C" w:rsidRPr="00832DBF" w:rsidRDefault="00E22E6C" w:rsidP="00F17B36">
      <w:pPr>
        <w:spacing w:before="240" w:after="0" w:line="240" w:lineRule="auto"/>
        <w:rPr>
          <w:rFonts w:cs="Times New Roman"/>
          <w:shd w:val="clear" w:color="auto" w:fill="FFFFFF"/>
        </w:rPr>
      </w:pPr>
      <w:proofErr w:type="spellStart"/>
      <w:r w:rsidRPr="00832DBF">
        <w:rPr>
          <w:rFonts w:cs="Times New Roman"/>
          <w:shd w:val="clear" w:color="auto" w:fill="FFFFFF"/>
        </w:rPr>
        <w:t>Iddir</w:t>
      </w:r>
      <w:proofErr w:type="spellEnd"/>
      <w:r w:rsidRPr="00832DBF">
        <w:rPr>
          <w:rFonts w:cs="Times New Roman"/>
          <w:shd w:val="clear" w:color="auto" w:fill="FFFFFF"/>
        </w:rPr>
        <w:t xml:space="preserve">, M., Brito, A., </w:t>
      </w:r>
      <w:proofErr w:type="spellStart"/>
      <w:r w:rsidRPr="00832DBF">
        <w:rPr>
          <w:rFonts w:cs="Times New Roman"/>
          <w:shd w:val="clear" w:color="auto" w:fill="FFFFFF"/>
        </w:rPr>
        <w:t>Dingeo</w:t>
      </w:r>
      <w:proofErr w:type="spellEnd"/>
      <w:r w:rsidRPr="00832DBF">
        <w:rPr>
          <w:rFonts w:cs="Times New Roman"/>
          <w:shd w:val="clear" w:color="auto" w:fill="FFFFFF"/>
        </w:rPr>
        <w:t xml:space="preserve">, G., Fernandez Del Campo, S. S., </w:t>
      </w:r>
      <w:proofErr w:type="spellStart"/>
      <w:r w:rsidRPr="00832DBF">
        <w:rPr>
          <w:rFonts w:cs="Times New Roman"/>
          <w:shd w:val="clear" w:color="auto" w:fill="FFFFFF"/>
        </w:rPr>
        <w:t>Samouda</w:t>
      </w:r>
      <w:proofErr w:type="spellEnd"/>
      <w:r w:rsidRPr="00832DBF">
        <w:rPr>
          <w:rFonts w:cs="Times New Roman"/>
          <w:shd w:val="clear" w:color="auto" w:fill="FFFFFF"/>
        </w:rPr>
        <w:t xml:space="preserve">, H., La </w:t>
      </w:r>
      <w:proofErr w:type="spellStart"/>
      <w:r w:rsidRPr="00832DBF">
        <w:rPr>
          <w:rFonts w:cs="Times New Roman"/>
          <w:shd w:val="clear" w:color="auto" w:fill="FFFFFF"/>
        </w:rPr>
        <w:t>Frano</w:t>
      </w:r>
      <w:proofErr w:type="spellEnd"/>
      <w:r w:rsidRPr="00832DBF">
        <w:rPr>
          <w:rFonts w:cs="Times New Roman"/>
          <w:shd w:val="clear" w:color="auto" w:fill="FFFFFF"/>
        </w:rPr>
        <w:t>, M. R., &amp; Bohn, T. (2020). Strengthening the immune system and reducing inflammation and oxidative stress through diet and nutrition: considerations during the COVID-19 crisis. </w:t>
      </w:r>
      <w:r w:rsidRPr="00832DBF">
        <w:rPr>
          <w:rFonts w:cs="Times New Roman"/>
          <w:i/>
          <w:iCs/>
          <w:shd w:val="clear" w:color="auto" w:fill="FFFFFF"/>
        </w:rPr>
        <w:t>Nutrients</w:t>
      </w:r>
      <w:r w:rsidRPr="00832DBF">
        <w:rPr>
          <w:rFonts w:cs="Times New Roman"/>
          <w:shd w:val="clear" w:color="auto" w:fill="FFFFFF"/>
        </w:rPr>
        <w:t>, </w:t>
      </w:r>
      <w:r w:rsidRPr="00832DBF">
        <w:rPr>
          <w:rFonts w:cs="Times New Roman"/>
          <w:i/>
          <w:iCs/>
          <w:shd w:val="clear" w:color="auto" w:fill="FFFFFF"/>
        </w:rPr>
        <w:t>12</w:t>
      </w:r>
      <w:r w:rsidRPr="00832DBF">
        <w:rPr>
          <w:rFonts w:cs="Times New Roman"/>
          <w:shd w:val="clear" w:color="auto" w:fill="FFFFFF"/>
        </w:rPr>
        <w:t>(6), 1562.</w:t>
      </w:r>
    </w:p>
    <w:p w14:paraId="04DDCEC5" w14:textId="77777777" w:rsidR="00E22E6C" w:rsidRPr="00832DBF" w:rsidRDefault="00E22E6C" w:rsidP="00F17B36">
      <w:pPr>
        <w:spacing w:before="240" w:after="0" w:line="240" w:lineRule="auto"/>
        <w:rPr>
          <w:rFonts w:cs="Times New Roman"/>
          <w:shd w:val="clear" w:color="auto" w:fill="FFFFFF"/>
        </w:rPr>
      </w:pPr>
      <w:proofErr w:type="spellStart"/>
      <w:r w:rsidRPr="00832DBF">
        <w:rPr>
          <w:rFonts w:cs="Times New Roman"/>
          <w:shd w:val="clear" w:color="auto" w:fill="FFFFFF"/>
        </w:rPr>
        <w:t>Jadoon</w:t>
      </w:r>
      <w:proofErr w:type="spellEnd"/>
      <w:r w:rsidRPr="00832DBF">
        <w:rPr>
          <w:rFonts w:cs="Times New Roman"/>
          <w:shd w:val="clear" w:color="auto" w:fill="FFFFFF"/>
        </w:rPr>
        <w:t>, S., &amp; Malik, A. (2017). A review article on the formation, mechanism and biochemistry of MDA and MDA as a biomarker of oxidative stress. </w:t>
      </w:r>
      <w:r w:rsidRPr="00832DBF">
        <w:rPr>
          <w:rFonts w:cs="Times New Roman"/>
          <w:i/>
          <w:iCs/>
          <w:shd w:val="clear" w:color="auto" w:fill="FFFFFF"/>
        </w:rPr>
        <w:t>Int. J. Adv. Res</w:t>
      </w:r>
      <w:r w:rsidRPr="00832DBF">
        <w:rPr>
          <w:rFonts w:cs="Times New Roman"/>
          <w:shd w:val="clear" w:color="auto" w:fill="FFFFFF"/>
        </w:rPr>
        <w:t>, </w:t>
      </w:r>
      <w:r w:rsidRPr="00832DBF">
        <w:rPr>
          <w:rFonts w:cs="Times New Roman"/>
          <w:i/>
          <w:iCs/>
          <w:shd w:val="clear" w:color="auto" w:fill="FFFFFF"/>
        </w:rPr>
        <w:t>5</w:t>
      </w:r>
      <w:r w:rsidRPr="00832DBF">
        <w:rPr>
          <w:rFonts w:cs="Times New Roman"/>
          <w:shd w:val="clear" w:color="auto" w:fill="FFFFFF"/>
        </w:rPr>
        <w:t>, 811-818.</w:t>
      </w:r>
    </w:p>
    <w:p w14:paraId="4C52127D" w14:textId="77777777" w:rsidR="00E22E6C" w:rsidRPr="00832DBF" w:rsidRDefault="00E22E6C" w:rsidP="00893ACF">
      <w:pPr>
        <w:spacing w:before="240" w:after="240" w:line="240" w:lineRule="auto"/>
        <w:rPr>
          <w:rFonts w:cs="Times New Roman"/>
          <w:szCs w:val="24"/>
          <w:shd w:val="clear" w:color="auto" w:fill="FFFFFF"/>
        </w:rPr>
      </w:pPr>
      <w:proofErr w:type="spellStart"/>
      <w:r w:rsidRPr="00832DBF">
        <w:rPr>
          <w:rFonts w:cs="Times New Roman"/>
          <w:szCs w:val="24"/>
          <w:shd w:val="clear" w:color="auto" w:fill="FFFFFF"/>
        </w:rPr>
        <w:t>Jalodia</w:t>
      </w:r>
      <w:proofErr w:type="spellEnd"/>
      <w:r w:rsidRPr="00832DBF">
        <w:rPr>
          <w:rFonts w:cs="Times New Roman"/>
          <w:szCs w:val="24"/>
          <w:shd w:val="clear" w:color="auto" w:fill="FFFFFF"/>
        </w:rPr>
        <w:t xml:space="preserve">, R., </w:t>
      </w:r>
      <w:proofErr w:type="spellStart"/>
      <w:r w:rsidRPr="00832DBF">
        <w:rPr>
          <w:rFonts w:cs="Times New Roman"/>
          <w:szCs w:val="24"/>
          <w:shd w:val="clear" w:color="auto" w:fill="FFFFFF"/>
        </w:rPr>
        <w:t>Kolli</w:t>
      </w:r>
      <w:proofErr w:type="spellEnd"/>
      <w:r w:rsidRPr="00832DBF">
        <w:rPr>
          <w:rFonts w:cs="Times New Roman"/>
          <w:szCs w:val="24"/>
          <w:shd w:val="clear" w:color="auto" w:fill="FFFFFF"/>
        </w:rPr>
        <w:t xml:space="preserve">, U., </w:t>
      </w:r>
      <w:proofErr w:type="spellStart"/>
      <w:r w:rsidRPr="00832DBF">
        <w:rPr>
          <w:rFonts w:cs="Times New Roman"/>
          <w:szCs w:val="24"/>
          <w:shd w:val="clear" w:color="auto" w:fill="FFFFFF"/>
        </w:rPr>
        <w:t>Braniff</w:t>
      </w:r>
      <w:proofErr w:type="spellEnd"/>
      <w:r w:rsidRPr="00832DBF">
        <w:rPr>
          <w:rFonts w:cs="Times New Roman"/>
          <w:szCs w:val="24"/>
          <w:shd w:val="clear" w:color="auto" w:fill="FFFFFF"/>
        </w:rPr>
        <w:t xml:space="preserve">, R. G., Tao, J., Abu, Y. F., </w:t>
      </w:r>
      <w:proofErr w:type="spellStart"/>
      <w:r w:rsidRPr="00832DBF">
        <w:rPr>
          <w:rFonts w:cs="Times New Roman"/>
          <w:szCs w:val="24"/>
          <w:shd w:val="clear" w:color="auto" w:fill="FFFFFF"/>
        </w:rPr>
        <w:t>Chupikova</w:t>
      </w:r>
      <w:proofErr w:type="spellEnd"/>
      <w:r w:rsidRPr="00832DBF">
        <w:rPr>
          <w:rFonts w:cs="Times New Roman"/>
          <w:szCs w:val="24"/>
          <w:shd w:val="clear" w:color="auto" w:fill="FFFFFF"/>
        </w:rPr>
        <w:t xml:space="preserve">, I., &amp; Roy, S. (2022). Morphine mediated neutrophil infiltration in intestinal tissue play essential role in histological damage and microbial </w:t>
      </w:r>
      <w:proofErr w:type="spellStart"/>
      <w:r w:rsidRPr="00832DBF">
        <w:rPr>
          <w:rFonts w:cs="Times New Roman"/>
          <w:szCs w:val="24"/>
          <w:shd w:val="clear" w:color="auto" w:fill="FFFFFF"/>
        </w:rPr>
        <w:t>dysbiosis</w:t>
      </w:r>
      <w:proofErr w:type="spellEnd"/>
      <w:r w:rsidRPr="00832DBF">
        <w:rPr>
          <w:rFonts w:cs="Times New Roman"/>
          <w:szCs w:val="24"/>
          <w:shd w:val="clear" w:color="auto" w:fill="FFFFFF"/>
        </w:rPr>
        <w:t>. </w:t>
      </w:r>
      <w:r w:rsidRPr="00832DBF">
        <w:rPr>
          <w:rFonts w:cs="Times New Roman"/>
          <w:i/>
          <w:iCs/>
          <w:szCs w:val="24"/>
          <w:shd w:val="clear" w:color="auto" w:fill="FFFFFF"/>
        </w:rPr>
        <w:t>Gut Microbes</w:t>
      </w:r>
      <w:r w:rsidRPr="00832DBF">
        <w:rPr>
          <w:rFonts w:cs="Times New Roman"/>
          <w:szCs w:val="24"/>
          <w:shd w:val="clear" w:color="auto" w:fill="FFFFFF"/>
        </w:rPr>
        <w:t>, </w:t>
      </w:r>
      <w:r w:rsidRPr="00832DBF">
        <w:rPr>
          <w:rFonts w:cs="Times New Roman"/>
          <w:i/>
          <w:iCs/>
          <w:szCs w:val="24"/>
          <w:shd w:val="clear" w:color="auto" w:fill="FFFFFF"/>
        </w:rPr>
        <w:t>14</w:t>
      </w:r>
      <w:r w:rsidRPr="00832DBF">
        <w:rPr>
          <w:rFonts w:cs="Times New Roman"/>
          <w:szCs w:val="24"/>
          <w:shd w:val="clear" w:color="auto" w:fill="FFFFFF"/>
        </w:rPr>
        <w:t xml:space="preserve">(1), </w:t>
      </w:r>
      <w:proofErr w:type="gramStart"/>
      <w:r w:rsidRPr="00832DBF">
        <w:rPr>
          <w:rFonts w:cs="Times New Roman"/>
          <w:szCs w:val="24"/>
          <w:shd w:val="clear" w:color="auto" w:fill="FFFFFF"/>
        </w:rPr>
        <w:t>2143225</w:t>
      </w:r>
      <w:proofErr w:type="gramEnd"/>
      <w:r w:rsidRPr="00832DBF">
        <w:rPr>
          <w:rFonts w:cs="Times New Roman"/>
          <w:szCs w:val="24"/>
          <w:shd w:val="clear" w:color="auto" w:fill="FFFFFF"/>
        </w:rPr>
        <w:t>.</w:t>
      </w:r>
    </w:p>
    <w:p w14:paraId="039C24B9" w14:textId="77777777" w:rsidR="00E22E6C" w:rsidRPr="00832DBF" w:rsidRDefault="00E22E6C" w:rsidP="00F17B36">
      <w:pPr>
        <w:spacing w:before="240" w:after="0" w:line="240" w:lineRule="auto"/>
        <w:rPr>
          <w:rFonts w:cs="Times New Roman"/>
          <w:shd w:val="clear" w:color="auto" w:fill="FFFFFF"/>
        </w:rPr>
      </w:pPr>
      <w:r w:rsidRPr="00832DBF">
        <w:rPr>
          <w:rFonts w:cs="Times New Roman"/>
          <w:shd w:val="clear" w:color="auto" w:fill="FFFFFF"/>
        </w:rPr>
        <w:t xml:space="preserve">John, L. J., Fromm, M., &amp; </w:t>
      </w:r>
      <w:proofErr w:type="spellStart"/>
      <w:r w:rsidRPr="00832DBF">
        <w:rPr>
          <w:rFonts w:cs="Times New Roman"/>
          <w:shd w:val="clear" w:color="auto" w:fill="FFFFFF"/>
        </w:rPr>
        <w:t>Schulzke</w:t>
      </w:r>
      <w:proofErr w:type="spellEnd"/>
      <w:r w:rsidRPr="00832DBF">
        <w:rPr>
          <w:rFonts w:cs="Times New Roman"/>
          <w:shd w:val="clear" w:color="auto" w:fill="FFFFFF"/>
        </w:rPr>
        <w:t>, J. D. (2011). Epithelial barriers in intestinal inflammation. </w:t>
      </w:r>
      <w:r w:rsidRPr="00832DBF">
        <w:rPr>
          <w:rFonts w:cs="Times New Roman"/>
          <w:i/>
          <w:iCs/>
          <w:shd w:val="clear" w:color="auto" w:fill="FFFFFF"/>
        </w:rPr>
        <w:t>Antioxidants &amp; redox signaling</w:t>
      </w:r>
      <w:r w:rsidRPr="00832DBF">
        <w:rPr>
          <w:rFonts w:cs="Times New Roman"/>
          <w:shd w:val="clear" w:color="auto" w:fill="FFFFFF"/>
        </w:rPr>
        <w:t>, </w:t>
      </w:r>
      <w:r w:rsidRPr="00832DBF">
        <w:rPr>
          <w:rFonts w:cs="Times New Roman"/>
          <w:i/>
          <w:iCs/>
          <w:shd w:val="clear" w:color="auto" w:fill="FFFFFF"/>
        </w:rPr>
        <w:t>15</w:t>
      </w:r>
      <w:r w:rsidRPr="00832DBF">
        <w:rPr>
          <w:rFonts w:cs="Times New Roman"/>
          <w:shd w:val="clear" w:color="auto" w:fill="FFFFFF"/>
        </w:rPr>
        <w:t>(5), 1255-1270.</w:t>
      </w:r>
    </w:p>
    <w:p w14:paraId="1839827C" w14:textId="77777777" w:rsidR="00E22E6C" w:rsidRPr="00832DBF" w:rsidRDefault="00E22E6C" w:rsidP="00F17B36">
      <w:pPr>
        <w:spacing w:before="240" w:after="0" w:line="240" w:lineRule="auto"/>
        <w:rPr>
          <w:rFonts w:cs="Times New Roman"/>
          <w:shd w:val="clear" w:color="auto" w:fill="FFFFFF"/>
        </w:rPr>
      </w:pPr>
      <w:r w:rsidRPr="003F076F">
        <w:rPr>
          <w:rFonts w:cs="Times New Roman"/>
          <w:shd w:val="clear" w:color="auto" w:fill="FFFFFF"/>
        </w:rPr>
        <w:t xml:space="preserve">Kim, Y., &amp; </w:t>
      </w:r>
      <w:proofErr w:type="spellStart"/>
      <w:r w:rsidRPr="003F076F">
        <w:rPr>
          <w:rFonts w:cs="Times New Roman"/>
          <w:shd w:val="clear" w:color="auto" w:fill="FFFFFF"/>
        </w:rPr>
        <w:t>Pritts</w:t>
      </w:r>
      <w:proofErr w:type="spellEnd"/>
      <w:r w:rsidRPr="003F076F">
        <w:rPr>
          <w:rFonts w:cs="Times New Roman"/>
          <w:shd w:val="clear" w:color="auto" w:fill="FFFFFF"/>
        </w:rPr>
        <w:t>, T. A. (2017). The gastrointestinal tract. </w:t>
      </w:r>
      <w:r w:rsidRPr="003F076F">
        <w:rPr>
          <w:rFonts w:cs="Times New Roman"/>
          <w:i/>
          <w:iCs/>
          <w:shd w:val="clear" w:color="auto" w:fill="FFFFFF"/>
        </w:rPr>
        <w:t>Geriatric trauma and critical care</w:t>
      </w:r>
      <w:r w:rsidRPr="003F076F">
        <w:rPr>
          <w:rFonts w:cs="Times New Roman"/>
          <w:shd w:val="clear" w:color="auto" w:fill="FFFFFF"/>
        </w:rPr>
        <w:t>, 35-43.</w:t>
      </w:r>
    </w:p>
    <w:p w14:paraId="714F8824" w14:textId="77777777" w:rsidR="00E22E6C" w:rsidRPr="00832DBF" w:rsidRDefault="00E22E6C" w:rsidP="00F17B36">
      <w:pPr>
        <w:spacing w:before="240" w:after="0" w:line="240" w:lineRule="auto"/>
        <w:rPr>
          <w:rFonts w:cs="Times New Roman"/>
        </w:rPr>
      </w:pPr>
      <w:proofErr w:type="spellStart"/>
      <w:r w:rsidRPr="00832DBF">
        <w:rPr>
          <w:rFonts w:cs="Times New Roman"/>
          <w:shd w:val="clear" w:color="auto" w:fill="FFFFFF"/>
        </w:rPr>
        <w:t>Kunst</w:t>
      </w:r>
      <w:proofErr w:type="spellEnd"/>
      <w:r w:rsidRPr="00832DBF">
        <w:rPr>
          <w:rFonts w:cs="Times New Roman"/>
          <w:shd w:val="clear" w:color="auto" w:fill="FFFFFF"/>
        </w:rPr>
        <w:t xml:space="preserve">, C., </w:t>
      </w:r>
      <w:proofErr w:type="spellStart"/>
      <w:r w:rsidRPr="00832DBF">
        <w:rPr>
          <w:rFonts w:cs="Times New Roman"/>
          <w:shd w:val="clear" w:color="auto" w:fill="FFFFFF"/>
        </w:rPr>
        <w:t>Schmid</w:t>
      </w:r>
      <w:proofErr w:type="spellEnd"/>
      <w:r w:rsidRPr="00832DBF">
        <w:rPr>
          <w:rFonts w:cs="Times New Roman"/>
          <w:shd w:val="clear" w:color="auto" w:fill="FFFFFF"/>
        </w:rPr>
        <w:t xml:space="preserve">, S., Michalski, M., </w:t>
      </w:r>
      <w:proofErr w:type="spellStart"/>
      <w:r w:rsidRPr="00832DBF">
        <w:rPr>
          <w:rFonts w:cs="Times New Roman"/>
          <w:shd w:val="clear" w:color="auto" w:fill="FFFFFF"/>
        </w:rPr>
        <w:t>Tümen</w:t>
      </w:r>
      <w:proofErr w:type="spellEnd"/>
      <w:r w:rsidRPr="00832DBF">
        <w:rPr>
          <w:rFonts w:cs="Times New Roman"/>
          <w:shd w:val="clear" w:color="auto" w:fill="FFFFFF"/>
        </w:rPr>
        <w:t xml:space="preserve">, D., </w:t>
      </w:r>
      <w:proofErr w:type="spellStart"/>
      <w:r w:rsidRPr="00832DBF">
        <w:rPr>
          <w:rFonts w:cs="Times New Roman"/>
          <w:shd w:val="clear" w:color="auto" w:fill="FFFFFF"/>
        </w:rPr>
        <w:t>Buttenschön</w:t>
      </w:r>
      <w:proofErr w:type="spellEnd"/>
      <w:r w:rsidRPr="00832DBF">
        <w:rPr>
          <w:rFonts w:cs="Times New Roman"/>
          <w:shd w:val="clear" w:color="auto" w:fill="FFFFFF"/>
        </w:rPr>
        <w:t xml:space="preserve">, J., Müller, M., &amp; </w:t>
      </w:r>
      <w:proofErr w:type="spellStart"/>
      <w:r w:rsidRPr="00832DBF">
        <w:rPr>
          <w:rFonts w:cs="Times New Roman"/>
          <w:shd w:val="clear" w:color="auto" w:fill="FFFFFF"/>
        </w:rPr>
        <w:t>Gülow</w:t>
      </w:r>
      <w:proofErr w:type="spellEnd"/>
      <w:r w:rsidRPr="00832DBF">
        <w:rPr>
          <w:rFonts w:cs="Times New Roman"/>
          <w:shd w:val="clear" w:color="auto" w:fill="FFFFFF"/>
        </w:rPr>
        <w:t>, K. (2023). The influence of gut microbiota on oxidative stress and the immune system. </w:t>
      </w:r>
      <w:r w:rsidRPr="00832DBF">
        <w:rPr>
          <w:rFonts w:cs="Times New Roman"/>
          <w:i/>
          <w:iCs/>
          <w:shd w:val="clear" w:color="auto" w:fill="FFFFFF"/>
        </w:rPr>
        <w:t>Biomedicines</w:t>
      </w:r>
      <w:r w:rsidRPr="00832DBF">
        <w:rPr>
          <w:rFonts w:cs="Times New Roman"/>
          <w:shd w:val="clear" w:color="auto" w:fill="FFFFFF"/>
        </w:rPr>
        <w:t>, </w:t>
      </w:r>
      <w:r w:rsidRPr="00832DBF">
        <w:rPr>
          <w:rFonts w:cs="Times New Roman"/>
          <w:i/>
          <w:iCs/>
          <w:shd w:val="clear" w:color="auto" w:fill="FFFFFF"/>
        </w:rPr>
        <w:t>11</w:t>
      </w:r>
      <w:r w:rsidRPr="00832DBF">
        <w:rPr>
          <w:rFonts w:cs="Times New Roman"/>
          <w:shd w:val="clear" w:color="auto" w:fill="FFFFFF"/>
        </w:rPr>
        <w:t>(5), 1388.</w:t>
      </w:r>
    </w:p>
    <w:p w14:paraId="1326B6A8" w14:textId="77777777" w:rsidR="00E22E6C" w:rsidRPr="00832DBF" w:rsidRDefault="00E22E6C" w:rsidP="00893ACF">
      <w:pPr>
        <w:spacing w:before="240" w:line="240" w:lineRule="auto"/>
        <w:rPr>
          <w:rFonts w:cs="Times New Roman"/>
        </w:rPr>
      </w:pPr>
      <w:proofErr w:type="spellStart"/>
      <w:r w:rsidRPr="00832DBF">
        <w:rPr>
          <w:rFonts w:cs="Times New Roman"/>
        </w:rPr>
        <w:t>Manchikanti</w:t>
      </w:r>
      <w:proofErr w:type="spellEnd"/>
      <w:r w:rsidRPr="00832DBF">
        <w:rPr>
          <w:rFonts w:cs="Times New Roman"/>
        </w:rPr>
        <w:t xml:space="preserve">, L., Kaye, A. M., </w:t>
      </w:r>
      <w:proofErr w:type="spellStart"/>
      <w:r w:rsidRPr="00832DBF">
        <w:rPr>
          <w:rFonts w:cs="Times New Roman"/>
        </w:rPr>
        <w:t>Knezevic</w:t>
      </w:r>
      <w:proofErr w:type="spellEnd"/>
      <w:r w:rsidRPr="00832DBF">
        <w:rPr>
          <w:rFonts w:cs="Times New Roman"/>
        </w:rPr>
        <w:t xml:space="preserve">, N. N., </w:t>
      </w:r>
      <w:proofErr w:type="spellStart"/>
      <w:r w:rsidRPr="00832DBF">
        <w:rPr>
          <w:rFonts w:cs="Times New Roman"/>
        </w:rPr>
        <w:t>McAnally</w:t>
      </w:r>
      <w:proofErr w:type="spellEnd"/>
      <w:r w:rsidRPr="00832DBF">
        <w:rPr>
          <w:rFonts w:cs="Times New Roman"/>
        </w:rPr>
        <w:t xml:space="preserve">, H., </w:t>
      </w:r>
      <w:proofErr w:type="spellStart"/>
      <w:r w:rsidRPr="00832DBF">
        <w:rPr>
          <w:rFonts w:cs="Times New Roman"/>
        </w:rPr>
        <w:t>Trescot</w:t>
      </w:r>
      <w:proofErr w:type="spellEnd"/>
      <w:r w:rsidRPr="00832DBF">
        <w:rPr>
          <w:rFonts w:cs="Times New Roman"/>
        </w:rPr>
        <w:t>, A. M., Blank, S., &amp; Helm, S. (2017). Responsible, safe, and effective prescription of opioids for chronic non-cancer pain: American Society of Interventional Pain Physicians (ASIPP) guidelines. </w:t>
      </w:r>
      <w:r w:rsidRPr="00832DBF">
        <w:rPr>
          <w:rFonts w:cs="Times New Roman"/>
          <w:i/>
          <w:iCs/>
        </w:rPr>
        <w:t>Pain physician</w:t>
      </w:r>
      <w:r w:rsidRPr="00832DBF">
        <w:rPr>
          <w:rFonts w:cs="Times New Roman"/>
        </w:rPr>
        <w:t>, </w:t>
      </w:r>
      <w:r w:rsidRPr="00832DBF">
        <w:rPr>
          <w:rFonts w:cs="Times New Roman"/>
          <w:i/>
          <w:iCs/>
        </w:rPr>
        <w:t>20</w:t>
      </w:r>
      <w:r w:rsidRPr="00832DBF">
        <w:rPr>
          <w:rFonts w:cs="Times New Roman"/>
        </w:rPr>
        <w:t>(2), S3.</w:t>
      </w:r>
    </w:p>
    <w:p w14:paraId="4F39FBF5" w14:textId="77777777" w:rsidR="00E22E6C" w:rsidRPr="00832DBF" w:rsidRDefault="00E22E6C" w:rsidP="00893ACF">
      <w:pPr>
        <w:spacing w:before="240" w:after="240" w:line="240" w:lineRule="auto"/>
        <w:rPr>
          <w:rFonts w:cs="Times New Roman"/>
          <w:szCs w:val="24"/>
          <w:shd w:val="clear" w:color="auto" w:fill="FFFFFF"/>
        </w:rPr>
      </w:pPr>
      <w:proofErr w:type="spellStart"/>
      <w:r w:rsidRPr="00832DBF">
        <w:rPr>
          <w:rFonts w:cs="Times New Roman"/>
          <w:szCs w:val="24"/>
          <w:shd w:val="clear" w:color="auto" w:fill="FFFFFF"/>
        </w:rPr>
        <w:t>Misra</w:t>
      </w:r>
      <w:proofErr w:type="spellEnd"/>
      <w:r w:rsidRPr="00832DBF">
        <w:rPr>
          <w:rFonts w:cs="Times New Roman"/>
          <w:szCs w:val="24"/>
          <w:shd w:val="clear" w:color="auto" w:fill="FFFFFF"/>
        </w:rPr>
        <w:t xml:space="preserve">, H. P., &amp; </w:t>
      </w:r>
      <w:proofErr w:type="spellStart"/>
      <w:r w:rsidRPr="00832DBF">
        <w:rPr>
          <w:rFonts w:cs="Times New Roman"/>
          <w:szCs w:val="24"/>
          <w:shd w:val="clear" w:color="auto" w:fill="FFFFFF"/>
        </w:rPr>
        <w:t>Fridovich</w:t>
      </w:r>
      <w:proofErr w:type="spellEnd"/>
      <w:r w:rsidRPr="00832DBF">
        <w:rPr>
          <w:rFonts w:cs="Times New Roman"/>
          <w:szCs w:val="24"/>
          <w:shd w:val="clear" w:color="auto" w:fill="FFFFFF"/>
        </w:rPr>
        <w:t>, I. (1972). The role of superoxide anion in the autoxidation of epinephrine and a simple assay for superoxide dismutase. </w:t>
      </w:r>
      <w:r w:rsidRPr="00832DBF">
        <w:rPr>
          <w:rFonts w:cs="Times New Roman"/>
          <w:i/>
          <w:iCs/>
          <w:szCs w:val="24"/>
          <w:shd w:val="clear" w:color="auto" w:fill="FFFFFF"/>
        </w:rPr>
        <w:t>Journal of Biological chemistry</w:t>
      </w:r>
      <w:r w:rsidRPr="00832DBF">
        <w:rPr>
          <w:rFonts w:cs="Times New Roman"/>
          <w:szCs w:val="24"/>
          <w:shd w:val="clear" w:color="auto" w:fill="FFFFFF"/>
        </w:rPr>
        <w:t>, </w:t>
      </w:r>
      <w:r w:rsidRPr="00832DBF">
        <w:rPr>
          <w:rFonts w:cs="Times New Roman"/>
          <w:i/>
          <w:iCs/>
          <w:szCs w:val="24"/>
          <w:shd w:val="clear" w:color="auto" w:fill="FFFFFF"/>
        </w:rPr>
        <w:t>247</w:t>
      </w:r>
      <w:r w:rsidRPr="00832DBF">
        <w:rPr>
          <w:rFonts w:cs="Times New Roman"/>
          <w:szCs w:val="24"/>
          <w:shd w:val="clear" w:color="auto" w:fill="FFFFFF"/>
        </w:rPr>
        <w:t>(10), 3170-3175.</w:t>
      </w:r>
    </w:p>
    <w:p w14:paraId="7E83D74B" w14:textId="77777777" w:rsidR="00E22E6C" w:rsidRPr="00832DBF" w:rsidRDefault="00E22E6C" w:rsidP="00F17B36">
      <w:pPr>
        <w:spacing w:before="240" w:after="0" w:line="240" w:lineRule="auto"/>
        <w:rPr>
          <w:rFonts w:cs="Times New Roman"/>
          <w:shd w:val="clear" w:color="auto" w:fill="FFFFFF"/>
        </w:rPr>
      </w:pPr>
      <w:r w:rsidRPr="00832DBF">
        <w:rPr>
          <w:rFonts w:cs="Times New Roman"/>
          <w:shd w:val="clear" w:color="auto" w:fill="FFFFFF"/>
        </w:rPr>
        <w:lastRenderedPageBreak/>
        <w:t xml:space="preserve">Miyazono, Y., </w:t>
      </w:r>
      <w:proofErr w:type="gramStart"/>
      <w:r w:rsidRPr="00832DBF">
        <w:rPr>
          <w:rFonts w:cs="Times New Roman"/>
          <w:shd w:val="clear" w:color="auto" w:fill="FFFFFF"/>
        </w:rPr>
        <w:t>Gao</w:t>
      </w:r>
      <w:proofErr w:type="gramEnd"/>
      <w:r w:rsidRPr="00832DBF">
        <w:rPr>
          <w:rFonts w:cs="Times New Roman"/>
          <w:shd w:val="clear" w:color="auto" w:fill="FFFFFF"/>
        </w:rPr>
        <w:t xml:space="preserve">, F., &amp; </w:t>
      </w:r>
      <w:proofErr w:type="spellStart"/>
      <w:r w:rsidRPr="00832DBF">
        <w:rPr>
          <w:rFonts w:cs="Times New Roman"/>
          <w:shd w:val="clear" w:color="auto" w:fill="FFFFFF"/>
        </w:rPr>
        <w:t>Horie</w:t>
      </w:r>
      <w:proofErr w:type="spellEnd"/>
      <w:r w:rsidRPr="00832DBF">
        <w:rPr>
          <w:rFonts w:cs="Times New Roman"/>
          <w:shd w:val="clear" w:color="auto" w:fill="FFFFFF"/>
        </w:rPr>
        <w:t>, T. (2004). Oxidative stress contributes to methotrexate-induced small intestinal toxicity in rats. </w:t>
      </w:r>
      <w:r w:rsidRPr="00832DBF">
        <w:rPr>
          <w:rFonts w:cs="Times New Roman"/>
          <w:i/>
          <w:iCs/>
          <w:shd w:val="clear" w:color="auto" w:fill="FFFFFF"/>
        </w:rPr>
        <w:t>Scandinavian journal of gastroenterology</w:t>
      </w:r>
      <w:r w:rsidRPr="00832DBF">
        <w:rPr>
          <w:rFonts w:cs="Times New Roman"/>
          <w:shd w:val="clear" w:color="auto" w:fill="FFFFFF"/>
        </w:rPr>
        <w:t>, </w:t>
      </w:r>
      <w:r w:rsidRPr="00832DBF">
        <w:rPr>
          <w:rFonts w:cs="Times New Roman"/>
          <w:i/>
          <w:iCs/>
          <w:shd w:val="clear" w:color="auto" w:fill="FFFFFF"/>
        </w:rPr>
        <w:t>39</w:t>
      </w:r>
      <w:r w:rsidRPr="00832DBF">
        <w:rPr>
          <w:rFonts w:cs="Times New Roman"/>
          <w:shd w:val="clear" w:color="auto" w:fill="FFFFFF"/>
        </w:rPr>
        <w:t>(11), 1119-1127.</w:t>
      </w:r>
    </w:p>
    <w:p w14:paraId="22E74AAA" w14:textId="77777777" w:rsidR="00E22E6C" w:rsidRPr="00832DBF" w:rsidRDefault="00E22E6C" w:rsidP="00893ACF">
      <w:pPr>
        <w:spacing w:before="240" w:line="240" w:lineRule="auto"/>
        <w:rPr>
          <w:rFonts w:cs="Times New Roman"/>
          <w:szCs w:val="24"/>
        </w:rPr>
      </w:pPr>
      <w:r w:rsidRPr="00832DBF">
        <w:rPr>
          <w:rFonts w:cs="Times New Roman"/>
          <w:szCs w:val="24"/>
        </w:rPr>
        <w:t xml:space="preserve">Mori, T., Itoh, T., </w:t>
      </w:r>
      <w:proofErr w:type="spellStart"/>
      <w:r w:rsidRPr="00832DBF">
        <w:rPr>
          <w:rFonts w:cs="Times New Roman"/>
          <w:szCs w:val="24"/>
        </w:rPr>
        <w:t>Yoshizawa</w:t>
      </w:r>
      <w:proofErr w:type="spellEnd"/>
      <w:r w:rsidRPr="00832DBF">
        <w:rPr>
          <w:rFonts w:cs="Times New Roman"/>
          <w:szCs w:val="24"/>
        </w:rPr>
        <w:t xml:space="preserve">, K., </w:t>
      </w:r>
      <w:proofErr w:type="spellStart"/>
      <w:r w:rsidRPr="00832DBF">
        <w:rPr>
          <w:rFonts w:cs="Times New Roman"/>
          <w:szCs w:val="24"/>
        </w:rPr>
        <w:t>Ise</w:t>
      </w:r>
      <w:proofErr w:type="spellEnd"/>
      <w:r w:rsidRPr="00832DBF">
        <w:rPr>
          <w:rFonts w:cs="Times New Roman"/>
          <w:szCs w:val="24"/>
        </w:rPr>
        <w:t xml:space="preserve">, Y., </w:t>
      </w:r>
      <w:proofErr w:type="spellStart"/>
      <w:r w:rsidRPr="00832DBF">
        <w:rPr>
          <w:rFonts w:cs="Times New Roman"/>
          <w:szCs w:val="24"/>
        </w:rPr>
        <w:t>Mizuo</w:t>
      </w:r>
      <w:proofErr w:type="spellEnd"/>
      <w:r w:rsidRPr="00832DBF">
        <w:rPr>
          <w:rFonts w:cs="Times New Roman"/>
          <w:szCs w:val="24"/>
        </w:rPr>
        <w:t>, K., Saeki, T., &amp; Suzuki, T. (2015). Involvement of μ‐and δ‐opioid receptor function in the rewarding effect of (±</w:t>
      </w:r>
      <w:proofErr w:type="gramStart"/>
      <w:r w:rsidRPr="00832DBF">
        <w:rPr>
          <w:rFonts w:cs="Times New Roman"/>
          <w:szCs w:val="24"/>
        </w:rPr>
        <w:t>)‐</w:t>
      </w:r>
      <w:proofErr w:type="spellStart"/>
      <w:proofErr w:type="gramEnd"/>
      <w:r w:rsidRPr="00832DBF">
        <w:rPr>
          <w:rFonts w:cs="Times New Roman"/>
          <w:szCs w:val="24"/>
        </w:rPr>
        <w:t>pentazocine</w:t>
      </w:r>
      <w:proofErr w:type="spellEnd"/>
      <w:r w:rsidRPr="00832DBF">
        <w:rPr>
          <w:rFonts w:cs="Times New Roman"/>
          <w:szCs w:val="24"/>
        </w:rPr>
        <w:t xml:space="preserve">. </w:t>
      </w:r>
      <w:r w:rsidRPr="00832DBF">
        <w:rPr>
          <w:rFonts w:cs="Times New Roman"/>
          <w:i/>
          <w:iCs/>
          <w:szCs w:val="24"/>
        </w:rPr>
        <w:t>Addiction Biology</w:t>
      </w:r>
      <w:r w:rsidRPr="00832DBF">
        <w:rPr>
          <w:rFonts w:cs="Times New Roman"/>
          <w:szCs w:val="24"/>
        </w:rPr>
        <w:t>, 20(4), 724-732.</w:t>
      </w:r>
    </w:p>
    <w:p w14:paraId="1E281D53" w14:textId="77777777" w:rsidR="00E22E6C" w:rsidRPr="00832DBF" w:rsidRDefault="00E22E6C" w:rsidP="00893ACF">
      <w:pPr>
        <w:spacing w:before="240" w:line="240" w:lineRule="auto"/>
        <w:rPr>
          <w:rFonts w:cs="Times New Roman"/>
        </w:rPr>
      </w:pPr>
      <w:proofErr w:type="spellStart"/>
      <w:r w:rsidRPr="00832DBF">
        <w:rPr>
          <w:rFonts w:cs="Times New Roman"/>
        </w:rPr>
        <w:t>Niccum</w:t>
      </w:r>
      <w:proofErr w:type="spellEnd"/>
      <w:r w:rsidRPr="00832DBF">
        <w:rPr>
          <w:rFonts w:cs="Times New Roman"/>
        </w:rPr>
        <w:t xml:space="preserve">, B., </w:t>
      </w:r>
      <w:proofErr w:type="spellStart"/>
      <w:r w:rsidRPr="00832DBF">
        <w:rPr>
          <w:rFonts w:cs="Times New Roman"/>
        </w:rPr>
        <w:t>Moninuola</w:t>
      </w:r>
      <w:proofErr w:type="spellEnd"/>
      <w:r w:rsidRPr="00832DBF">
        <w:rPr>
          <w:rFonts w:cs="Times New Roman"/>
        </w:rPr>
        <w:t xml:space="preserve">, O., Miller, K., &amp; </w:t>
      </w:r>
      <w:proofErr w:type="spellStart"/>
      <w:r w:rsidRPr="00832DBF">
        <w:rPr>
          <w:rFonts w:cs="Times New Roman"/>
        </w:rPr>
        <w:t>Khalili</w:t>
      </w:r>
      <w:proofErr w:type="spellEnd"/>
      <w:r w:rsidRPr="00832DBF">
        <w:rPr>
          <w:rFonts w:cs="Times New Roman"/>
        </w:rPr>
        <w:t>, H. (2021). Opioid use among patients with inflammatory bowel disease: a systematic review and meta-analysis. </w:t>
      </w:r>
      <w:r w:rsidRPr="00832DBF">
        <w:rPr>
          <w:rFonts w:cs="Times New Roman"/>
          <w:i/>
          <w:iCs/>
        </w:rPr>
        <w:t xml:space="preserve">Clinical Gastroenterology and </w:t>
      </w:r>
      <w:proofErr w:type="spellStart"/>
      <w:r w:rsidRPr="00832DBF">
        <w:rPr>
          <w:rFonts w:cs="Times New Roman"/>
          <w:i/>
          <w:iCs/>
        </w:rPr>
        <w:t>Hepatology</w:t>
      </w:r>
      <w:proofErr w:type="spellEnd"/>
      <w:r w:rsidRPr="00832DBF">
        <w:rPr>
          <w:rFonts w:cs="Times New Roman"/>
        </w:rPr>
        <w:t>, </w:t>
      </w:r>
      <w:r w:rsidRPr="00832DBF">
        <w:rPr>
          <w:rFonts w:cs="Times New Roman"/>
          <w:i/>
          <w:iCs/>
        </w:rPr>
        <w:t>19</w:t>
      </w:r>
      <w:r w:rsidRPr="00832DBF">
        <w:rPr>
          <w:rFonts w:cs="Times New Roman"/>
        </w:rPr>
        <w:t>(5), 895-907.</w:t>
      </w:r>
    </w:p>
    <w:p w14:paraId="03F9AA29" w14:textId="77777777" w:rsidR="00E22E6C" w:rsidRPr="00832DBF" w:rsidRDefault="00E22E6C" w:rsidP="00893ACF">
      <w:pPr>
        <w:spacing w:before="240" w:line="240" w:lineRule="auto"/>
        <w:rPr>
          <w:rFonts w:cs="Times New Roman"/>
        </w:rPr>
      </w:pPr>
      <w:r w:rsidRPr="00832DBF">
        <w:rPr>
          <w:rFonts w:cs="Times New Roman"/>
        </w:rPr>
        <w:t xml:space="preserve">Philippe, D., </w:t>
      </w:r>
      <w:proofErr w:type="spellStart"/>
      <w:r w:rsidRPr="00832DBF">
        <w:rPr>
          <w:rFonts w:cs="Times New Roman"/>
        </w:rPr>
        <w:t>Chakass</w:t>
      </w:r>
      <w:proofErr w:type="spellEnd"/>
      <w:r w:rsidRPr="00832DBF">
        <w:rPr>
          <w:rFonts w:cs="Times New Roman"/>
        </w:rPr>
        <w:t xml:space="preserve">, D., </w:t>
      </w:r>
      <w:proofErr w:type="spellStart"/>
      <w:r w:rsidRPr="00832DBF">
        <w:rPr>
          <w:rFonts w:cs="Times New Roman"/>
        </w:rPr>
        <w:t>Thuru</w:t>
      </w:r>
      <w:proofErr w:type="spellEnd"/>
      <w:r w:rsidRPr="00832DBF">
        <w:rPr>
          <w:rFonts w:cs="Times New Roman"/>
        </w:rPr>
        <w:t xml:space="preserve">, X., </w:t>
      </w:r>
      <w:proofErr w:type="spellStart"/>
      <w:r w:rsidRPr="00832DBF">
        <w:rPr>
          <w:rFonts w:cs="Times New Roman"/>
        </w:rPr>
        <w:t>Zerbib</w:t>
      </w:r>
      <w:proofErr w:type="spellEnd"/>
      <w:r w:rsidRPr="00832DBF">
        <w:rPr>
          <w:rFonts w:cs="Times New Roman"/>
        </w:rPr>
        <w:t xml:space="preserve">, P., </w:t>
      </w:r>
      <w:proofErr w:type="spellStart"/>
      <w:r w:rsidRPr="00832DBF">
        <w:rPr>
          <w:rFonts w:cs="Times New Roman"/>
        </w:rPr>
        <w:t>Tsicopoulos</w:t>
      </w:r>
      <w:proofErr w:type="spellEnd"/>
      <w:r w:rsidRPr="00832DBF">
        <w:rPr>
          <w:rFonts w:cs="Times New Roman"/>
        </w:rPr>
        <w:t xml:space="preserve">, A., </w:t>
      </w:r>
      <w:proofErr w:type="spellStart"/>
      <w:r w:rsidRPr="00832DBF">
        <w:rPr>
          <w:rFonts w:cs="Times New Roman"/>
        </w:rPr>
        <w:t>Geboes</w:t>
      </w:r>
      <w:proofErr w:type="spellEnd"/>
      <w:r w:rsidRPr="00832DBF">
        <w:rPr>
          <w:rFonts w:cs="Times New Roman"/>
        </w:rPr>
        <w:t xml:space="preserve">, K., &amp; </w:t>
      </w:r>
      <w:proofErr w:type="spellStart"/>
      <w:r w:rsidRPr="00832DBF">
        <w:rPr>
          <w:rFonts w:cs="Times New Roman"/>
        </w:rPr>
        <w:t>Chamaillard</w:t>
      </w:r>
      <w:proofErr w:type="spellEnd"/>
      <w:r w:rsidRPr="00832DBF">
        <w:rPr>
          <w:rFonts w:cs="Times New Roman"/>
        </w:rPr>
        <w:t>, M. (2006). Mu opioid receptor expression is increased in inflammatory bowel diseases: implications for homeostatic intestinal inflammation. </w:t>
      </w:r>
      <w:r w:rsidRPr="00832DBF">
        <w:rPr>
          <w:rFonts w:cs="Times New Roman"/>
          <w:i/>
          <w:iCs/>
        </w:rPr>
        <w:t>Gut</w:t>
      </w:r>
      <w:r w:rsidRPr="00832DBF">
        <w:rPr>
          <w:rFonts w:cs="Times New Roman"/>
        </w:rPr>
        <w:t>, </w:t>
      </w:r>
      <w:r w:rsidRPr="00832DBF">
        <w:rPr>
          <w:rFonts w:cs="Times New Roman"/>
          <w:i/>
          <w:iCs/>
        </w:rPr>
        <w:t>55</w:t>
      </w:r>
      <w:r w:rsidRPr="00832DBF">
        <w:rPr>
          <w:rFonts w:cs="Times New Roman"/>
        </w:rPr>
        <w:t>(6), 815-823.</w:t>
      </w:r>
    </w:p>
    <w:p w14:paraId="1C01926E" w14:textId="77777777" w:rsidR="00E22E6C" w:rsidRPr="00832DBF" w:rsidRDefault="00E22E6C" w:rsidP="00893ACF">
      <w:pPr>
        <w:spacing w:before="240" w:after="240" w:line="240" w:lineRule="auto"/>
        <w:rPr>
          <w:rFonts w:cs="Times New Roman"/>
          <w:szCs w:val="24"/>
          <w:shd w:val="clear" w:color="auto" w:fill="FFFFFF"/>
        </w:rPr>
      </w:pPr>
      <w:r w:rsidRPr="00832DBF">
        <w:rPr>
          <w:rFonts w:cs="Times New Roman"/>
          <w:szCs w:val="24"/>
          <w:shd w:val="clear" w:color="auto" w:fill="FFFFFF"/>
        </w:rPr>
        <w:t>Rueda-</w:t>
      </w:r>
      <w:proofErr w:type="spellStart"/>
      <w:r w:rsidRPr="00832DBF">
        <w:rPr>
          <w:rFonts w:cs="Times New Roman"/>
          <w:szCs w:val="24"/>
          <w:shd w:val="clear" w:color="auto" w:fill="FFFFFF"/>
        </w:rPr>
        <w:t>Ruzafa</w:t>
      </w:r>
      <w:proofErr w:type="spellEnd"/>
      <w:r w:rsidRPr="00832DBF">
        <w:rPr>
          <w:rFonts w:cs="Times New Roman"/>
          <w:szCs w:val="24"/>
          <w:shd w:val="clear" w:color="auto" w:fill="FFFFFF"/>
        </w:rPr>
        <w:t>, L., Cruz, F., Cardona, D., Hone, A. J., Molina-Torres, G., Sánchez-</w:t>
      </w:r>
      <w:proofErr w:type="spellStart"/>
      <w:r w:rsidRPr="00832DBF">
        <w:rPr>
          <w:rFonts w:cs="Times New Roman"/>
          <w:szCs w:val="24"/>
          <w:shd w:val="clear" w:color="auto" w:fill="FFFFFF"/>
        </w:rPr>
        <w:t>Labraca</w:t>
      </w:r>
      <w:proofErr w:type="spellEnd"/>
      <w:r w:rsidRPr="00832DBF">
        <w:rPr>
          <w:rFonts w:cs="Times New Roman"/>
          <w:szCs w:val="24"/>
          <w:shd w:val="clear" w:color="auto" w:fill="FFFFFF"/>
        </w:rPr>
        <w:t xml:space="preserve">, N., &amp; Roman, P. (2020). Opioid system influences gut-brain axis: </w:t>
      </w:r>
      <w:proofErr w:type="spellStart"/>
      <w:r w:rsidRPr="00832DBF">
        <w:rPr>
          <w:rFonts w:cs="Times New Roman"/>
          <w:szCs w:val="24"/>
          <w:shd w:val="clear" w:color="auto" w:fill="FFFFFF"/>
        </w:rPr>
        <w:t>Dysbiosis</w:t>
      </w:r>
      <w:proofErr w:type="spellEnd"/>
      <w:r w:rsidRPr="00832DBF">
        <w:rPr>
          <w:rFonts w:cs="Times New Roman"/>
          <w:szCs w:val="24"/>
          <w:shd w:val="clear" w:color="auto" w:fill="FFFFFF"/>
        </w:rPr>
        <w:t xml:space="preserve"> and related alterations. </w:t>
      </w:r>
      <w:r w:rsidRPr="00832DBF">
        <w:rPr>
          <w:rFonts w:cs="Times New Roman"/>
          <w:i/>
          <w:iCs/>
          <w:szCs w:val="24"/>
          <w:shd w:val="clear" w:color="auto" w:fill="FFFFFF"/>
        </w:rPr>
        <w:t>Pharmacological Research</w:t>
      </w:r>
      <w:r w:rsidRPr="00832DBF">
        <w:rPr>
          <w:rFonts w:cs="Times New Roman"/>
          <w:szCs w:val="24"/>
          <w:shd w:val="clear" w:color="auto" w:fill="FFFFFF"/>
        </w:rPr>
        <w:t>, </w:t>
      </w:r>
      <w:r w:rsidRPr="00832DBF">
        <w:rPr>
          <w:rFonts w:cs="Times New Roman"/>
          <w:i/>
          <w:iCs/>
          <w:szCs w:val="24"/>
          <w:shd w:val="clear" w:color="auto" w:fill="FFFFFF"/>
        </w:rPr>
        <w:t>159</w:t>
      </w:r>
      <w:r w:rsidRPr="00832DBF">
        <w:rPr>
          <w:rFonts w:cs="Times New Roman"/>
          <w:szCs w:val="24"/>
          <w:shd w:val="clear" w:color="auto" w:fill="FFFFFF"/>
        </w:rPr>
        <w:t>, 104928.</w:t>
      </w:r>
    </w:p>
    <w:p w14:paraId="035B4DE5" w14:textId="77777777" w:rsidR="00E22E6C" w:rsidRPr="00832DBF" w:rsidRDefault="00E22E6C" w:rsidP="00F17B36">
      <w:pPr>
        <w:spacing w:before="240" w:after="0" w:line="240" w:lineRule="auto"/>
        <w:rPr>
          <w:rFonts w:cs="Times New Roman"/>
          <w:shd w:val="clear" w:color="auto" w:fill="FFFFFF"/>
        </w:rPr>
      </w:pPr>
      <w:proofErr w:type="spellStart"/>
      <w:r w:rsidRPr="00832DBF">
        <w:rPr>
          <w:rFonts w:cs="Times New Roman"/>
          <w:shd w:val="clear" w:color="auto" w:fill="FFFFFF"/>
        </w:rPr>
        <w:t>Sadiq</w:t>
      </w:r>
      <w:proofErr w:type="spellEnd"/>
      <w:r w:rsidRPr="00832DBF">
        <w:rPr>
          <w:rFonts w:cs="Times New Roman"/>
          <w:shd w:val="clear" w:color="auto" w:fill="FFFFFF"/>
        </w:rPr>
        <w:t>, I. Z. (2023). Free radicals and oxidative stress: Signaling mechanisms, redox basis for human diseases, and cell cycle regulation. </w:t>
      </w:r>
      <w:r w:rsidRPr="00832DBF">
        <w:rPr>
          <w:rFonts w:cs="Times New Roman"/>
          <w:i/>
          <w:iCs/>
          <w:shd w:val="clear" w:color="auto" w:fill="FFFFFF"/>
        </w:rPr>
        <w:t>Current molecular medicine</w:t>
      </w:r>
      <w:r w:rsidRPr="00832DBF">
        <w:rPr>
          <w:rFonts w:cs="Times New Roman"/>
          <w:shd w:val="clear" w:color="auto" w:fill="FFFFFF"/>
        </w:rPr>
        <w:t>, </w:t>
      </w:r>
      <w:r w:rsidRPr="00832DBF">
        <w:rPr>
          <w:rFonts w:cs="Times New Roman"/>
          <w:i/>
          <w:iCs/>
          <w:shd w:val="clear" w:color="auto" w:fill="FFFFFF"/>
        </w:rPr>
        <w:t>23</w:t>
      </w:r>
      <w:r w:rsidRPr="00832DBF">
        <w:rPr>
          <w:rFonts w:cs="Times New Roman"/>
          <w:shd w:val="clear" w:color="auto" w:fill="FFFFFF"/>
        </w:rPr>
        <w:t>(1), 13-35.</w:t>
      </w:r>
    </w:p>
    <w:p w14:paraId="60C80C0D" w14:textId="77777777" w:rsidR="00E22E6C" w:rsidRPr="00832DBF" w:rsidRDefault="00E22E6C" w:rsidP="00893ACF">
      <w:pPr>
        <w:spacing w:before="240" w:line="240" w:lineRule="auto"/>
        <w:rPr>
          <w:rFonts w:cs="Times New Roman"/>
        </w:rPr>
      </w:pPr>
      <w:proofErr w:type="spellStart"/>
      <w:r w:rsidRPr="00832DBF">
        <w:rPr>
          <w:rFonts w:cs="Times New Roman"/>
        </w:rPr>
        <w:t>Sarzi-Puttini</w:t>
      </w:r>
      <w:proofErr w:type="spellEnd"/>
      <w:r w:rsidRPr="00832DBF">
        <w:rPr>
          <w:rFonts w:cs="Times New Roman"/>
        </w:rPr>
        <w:t xml:space="preserve">, P., </w:t>
      </w:r>
      <w:proofErr w:type="spellStart"/>
      <w:r w:rsidRPr="00832DBF">
        <w:rPr>
          <w:rFonts w:cs="Times New Roman"/>
        </w:rPr>
        <w:t>Vellucci</w:t>
      </w:r>
      <w:proofErr w:type="spellEnd"/>
      <w:r w:rsidRPr="00832DBF">
        <w:rPr>
          <w:rFonts w:cs="Times New Roman"/>
        </w:rPr>
        <w:t xml:space="preserve">, R., </w:t>
      </w:r>
      <w:proofErr w:type="spellStart"/>
      <w:r w:rsidRPr="00832DBF">
        <w:rPr>
          <w:rFonts w:cs="Times New Roman"/>
        </w:rPr>
        <w:t>Zuccaro</w:t>
      </w:r>
      <w:proofErr w:type="spellEnd"/>
      <w:r w:rsidRPr="00832DBF">
        <w:rPr>
          <w:rFonts w:cs="Times New Roman"/>
        </w:rPr>
        <w:t xml:space="preserve">, S. M., </w:t>
      </w:r>
      <w:proofErr w:type="spellStart"/>
      <w:r w:rsidRPr="00832DBF">
        <w:rPr>
          <w:rFonts w:cs="Times New Roman"/>
        </w:rPr>
        <w:t>Cherubino</w:t>
      </w:r>
      <w:proofErr w:type="spellEnd"/>
      <w:r w:rsidRPr="00832DBF">
        <w:rPr>
          <w:rFonts w:cs="Times New Roman"/>
        </w:rPr>
        <w:t xml:space="preserve">, P., </w:t>
      </w:r>
      <w:proofErr w:type="spellStart"/>
      <w:r w:rsidRPr="00832DBF">
        <w:rPr>
          <w:rFonts w:cs="Times New Roman"/>
        </w:rPr>
        <w:t>Labianca</w:t>
      </w:r>
      <w:proofErr w:type="spellEnd"/>
      <w:r w:rsidRPr="00832DBF">
        <w:rPr>
          <w:rFonts w:cs="Times New Roman"/>
        </w:rPr>
        <w:t xml:space="preserve">, R., &amp; </w:t>
      </w:r>
      <w:proofErr w:type="spellStart"/>
      <w:r w:rsidRPr="00832DBF">
        <w:rPr>
          <w:rFonts w:cs="Times New Roman"/>
        </w:rPr>
        <w:t>Fornasari</w:t>
      </w:r>
      <w:proofErr w:type="spellEnd"/>
      <w:r w:rsidRPr="00832DBF">
        <w:rPr>
          <w:rFonts w:cs="Times New Roman"/>
        </w:rPr>
        <w:t>, D. (2012). The appropriate treatment of chronic pain. </w:t>
      </w:r>
      <w:r w:rsidRPr="00832DBF">
        <w:rPr>
          <w:rFonts w:cs="Times New Roman"/>
          <w:i/>
          <w:iCs/>
        </w:rPr>
        <w:t>Clinical drug investigation</w:t>
      </w:r>
      <w:r w:rsidRPr="00832DBF">
        <w:rPr>
          <w:rFonts w:cs="Times New Roman"/>
        </w:rPr>
        <w:t>, </w:t>
      </w:r>
      <w:r w:rsidRPr="00832DBF">
        <w:rPr>
          <w:rFonts w:cs="Times New Roman"/>
          <w:i/>
          <w:iCs/>
        </w:rPr>
        <w:t>32</w:t>
      </w:r>
      <w:r w:rsidRPr="00832DBF">
        <w:rPr>
          <w:rFonts w:cs="Times New Roman"/>
        </w:rPr>
        <w:t>, 21-33.</w:t>
      </w:r>
    </w:p>
    <w:p w14:paraId="758341F6" w14:textId="77777777" w:rsidR="00E22E6C" w:rsidRPr="00832DBF" w:rsidRDefault="00E22E6C" w:rsidP="00F17B36">
      <w:pPr>
        <w:spacing w:before="240" w:after="0" w:line="240" w:lineRule="auto"/>
        <w:rPr>
          <w:rFonts w:cs="Times New Roman"/>
          <w:shd w:val="clear" w:color="auto" w:fill="FFFFFF"/>
        </w:rPr>
      </w:pPr>
      <w:proofErr w:type="spellStart"/>
      <w:r w:rsidRPr="00832DBF">
        <w:rPr>
          <w:rFonts w:cs="Times New Roman"/>
          <w:shd w:val="clear" w:color="auto" w:fill="FFFFFF"/>
        </w:rPr>
        <w:t>Schieber</w:t>
      </w:r>
      <w:proofErr w:type="spellEnd"/>
      <w:r w:rsidRPr="00832DBF">
        <w:rPr>
          <w:rFonts w:cs="Times New Roman"/>
          <w:shd w:val="clear" w:color="auto" w:fill="FFFFFF"/>
        </w:rPr>
        <w:t xml:space="preserve">, M., &amp; </w:t>
      </w:r>
      <w:proofErr w:type="spellStart"/>
      <w:r w:rsidRPr="00832DBF">
        <w:rPr>
          <w:rFonts w:cs="Times New Roman"/>
          <w:shd w:val="clear" w:color="auto" w:fill="FFFFFF"/>
        </w:rPr>
        <w:t>Chandel</w:t>
      </w:r>
      <w:proofErr w:type="spellEnd"/>
      <w:r w:rsidRPr="00832DBF">
        <w:rPr>
          <w:rFonts w:cs="Times New Roman"/>
          <w:shd w:val="clear" w:color="auto" w:fill="FFFFFF"/>
        </w:rPr>
        <w:t>, N. S. (2014). ROS function in redox signaling and oxidative stress. </w:t>
      </w:r>
      <w:r w:rsidRPr="00832DBF">
        <w:rPr>
          <w:rFonts w:cs="Times New Roman"/>
          <w:i/>
          <w:iCs/>
          <w:shd w:val="clear" w:color="auto" w:fill="FFFFFF"/>
        </w:rPr>
        <w:t>Current biology</w:t>
      </w:r>
      <w:r w:rsidRPr="00832DBF">
        <w:rPr>
          <w:rFonts w:cs="Times New Roman"/>
          <w:shd w:val="clear" w:color="auto" w:fill="FFFFFF"/>
        </w:rPr>
        <w:t>, </w:t>
      </w:r>
      <w:r w:rsidRPr="00832DBF">
        <w:rPr>
          <w:rFonts w:cs="Times New Roman"/>
          <w:i/>
          <w:iCs/>
          <w:shd w:val="clear" w:color="auto" w:fill="FFFFFF"/>
        </w:rPr>
        <w:t>24</w:t>
      </w:r>
      <w:r w:rsidRPr="00832DBF">
        <w:rPr>
          <w:rFonts w:cs="Times New Roman"/>
          <w:shd w:val="clear" w:color="auto" w:fill="FFFFFF"/>
        </w:rPr>
        <w:t>(10), R453-R462.</w:t>
      </w:r>
    </w:p>
    <w:p w14:paraId="47866225" w14:textId="77777777" w:rsidR="00E22E6C" w:rsidRPr="00832DBF" w:rsidRDefault="00E22E6C" w:rsidP="00F17B36">
      <w:pPr>
        <w:spacing w:before="240" w:after="0" w:line="240" w:lineRule="auto"/>
        <w:rPr>
          <w:rFonts w:cs="Times New Roman"/>
          <w:shd w:val="clear" w:color="auto" w:fill="FFFFFF"/>
        </w:rPr>
      </w:pPr>
      <w:r w:rsidRPr="00832DBF">
        <w:rPr>
          <w:rFonts w:cs="Times New Roman"/>
          <w:shd w:val="clear" w:color="auto" w:fill="FFFFFF"/>
        </w:rPr>
        <w:t xml:space="preserve">Simon, J. P., </w:t>
      </w:r>
      <w:proofErr w:type="spellStart"/>
      <w:r w:rsidRPr="00832DBF">
        <w:rPr>
          <w:rFonts w:cs="Times New Roman"/>
          <w:shd w:val="clear" w:color="auto" w:fill="FFFFFF"/>
        </w:rPr>
        <w:t>Parthasarathy</w:t>
      </w:r>
      <w:proofErr w:type="spellEnd"/>
      <w:r w:rsidRPr="00832DBF">
        <w:rPr>
          <w:rFonts w:cs="Times New Roman"/>
          <w:shd w:val="clear" w:color="auto" w:fill="FFFFFF"/>
        </w:rPr>
        <w:t xml:space="preserve">, M., </w:t>
      </w:r>
      <w:proofErr w:type="spellStart"/>
      <w:r w:rsidRPr="00832DBF">
        <w:rPr>
          <w:rFonts w:cs="Times New Roman"/>
          <w:shd w:val="clear" w:color="auto" w:fill="FFFFFF"/>
        </w:rPr>
        <w:t>Nithyanandham</w:t>
      </w:r>
      <w:proofErr w:type="spellEnd"/>
      <w:r w:rsidRPr="00832DBF">
        <w:rPr>
          <w:rFonts w:cs="Times New Roman"/>
          <w:shd w:val="clear" w:color="auto" w:fill="FFFFFF"/>
        </w:rPr>
        <w:t xml:space="preserve">, S., </w:t>
      </w:r>
      <w:proofErr w:type="spellStart"/>
      <w:r w:rsidRPr="00832DBF">
        <w:rPr>
          <w:rFonts w:cs="Times New Roman"/>
          <w:shd w:val="clear" w:color="auto" w:fill="FFFFFF"/>
        </w:rPr>
        <w:t>Katturaja</w:t>
      </w:r>
      <w:proofErr w:type="spellEnd"/>
      <w:r w:rsidRPr="00832DBF">
        <w:rPr>
          <w:rFonts w:cs="Times New Roman"/>
          <w:shd w:val="clear" w:color="auto" w:fill="FFFFFF"/>
        </w:rPr>
        <w:t xml:space="preserve">, R., </w:t>
      </w:r>
      <w:proofErr w:type="spellStart"/>
      <w:r w:rsidRPr="00832DBF">
        <w:rPr>
          <w:rFonts w:cs="Times New Roman"/>
          <w:shd w:val="clear" w:color="auto" w:fill="FFFFFF"/>
        </w:rPr>
        <w:t>Namachivayam</w:t>
      </w:r>
      <w:proofErr w:type="spellEnd"/>
      <w:r w:rsidRPr="00832DBF">
        <w:rPr>
          <w:rFonts w:cs="Times New Roman"/>
          <w:shd w:val="clear" w:color="auto" w:fill="FFFFFF"/>
        </w:rPr>
        <w:t xml:space="preserve">, A., &amp; Prince, S. E. (2019). Protective effect of the </w:t>
      </w:r>
      <w:proofErr w:type="spellStart"/>
      <w:r w:rsidRPr="00832DBF">
        <w:rPr>
          <w:rFonts w:cs="Times New Roman"/>
          <w:shd w:val="clear" w:color="auto" w:fill="FFFFFF"/>
        </w:rPr>
        <w:t>ethanolic</w:t>
      </w:r>
      <w:proofErr w:type="spellEnd"/>
      <w:r w:rsidRPr="00832DBF">
        <w:rPr>
          <w:rFonts w:cs="Times New Roman"/>
          <w:shd w:val="clear" w:color="auto" w:fill="FFFFFF"/>
        </w:rPr>
        <w:t xml:space="preserve"> and </w:t>
      </w:r>
      <w:proofErr w:type="spellStart"/>
      <w:r w:rsidRPr="00832DBF">
        <w:rPr>
          <w:rFonts w:cs="Times New Roman"/>
          <w:shd w:val="clear" w:color="auto" w:fill="FFFFFF"/>
        </w:rPr>
        <w:t>methanolic</w:t>
      </w:r>
      <w:proofErr w:type="spellEnd"/>
      <w:r w:rsidRPr="00832DBF">
        <w:rPr>
          <w:rFonts w:cs="Times New Roman"/>
          <w:shd w:val="clear" w:color="auto" w:fill="FFFFFF"/>
        </w:rPr>
        <w:t xml:space="preserve"> leaf extracts of </w:t>
      </w:r>
      <w:proofErr w:type="spellStart"/>
      <w:r w:rsidRPr="00832DBF">
        <w:rPr>
          <w:rFonts w:cs="Times New Roman"/>
          <w:shd w:val="clear" w:color="auto" w:fill="FFFFFF"/>
        </w:rPr>
        <w:t>Madhuca</w:t>
      </w:r>
      <w:proofErr w:type="spellEnd"/>
      <w:r w:rsidRPr="00832DBF">
        <w:rPr>
          <w:rFonts w:cs="Times New Roman"/>
          <w:shd w:val="clear" w:color="auto" w:fill="FFFFFF"/>
        </w:rPr>
        <w:t xml:space="preserve"> </w:t>
      </w:r>
      <w:proofErr w:type="spellStart"/>
      <w:r w:rsidRPr="00832DBF">
        <w:rPr>
          <w:rFonts w:cs="Times New Roman"/>
          <w:shd w:val="clear" w:color="auto" w:fill="FFFFFF"/>
        </w:rPr>
        <w:t>longifolia</w:t>
      </w:r>
      <w:proofErr w:type="spellEnd"/>
      <w:r w:rsidRPr="00832DBF">
        <w:rPr>
          <w:rFonts w:cs="Times New Roman"/>
          <w:shd w:val="clear" w:color="auto" w:fill="FFFFFF"/>
        </w:rPr>
        <w:t xml:space="preserve"> against diclofenac-induced toxicity in female </w:t>
      </w:r>
      <w:proofErr w:type="spellStart"/>
      <w:r w:rsidRPr="00832DBF">
        <w:rPr>
          <w:rFonts w:cs="Times New Roman"/>
          <w:shd w:val="clear" w:color="auto" w:fill="FFFFFF"/>
        </w:rPr>
        <w:t>Wistar</w:t>
      </w:r>
      <w:proofErr w:type="spellEnd"/>
      <w:r w:rsidRPr="00832DBF">
        <w:rPr>
          <w:rFonts w:cs="Times New Roman"/>
          <w:shd w:val="clear" w:color="auto" w:fill="FFFFFF"/>
        </w:rPr>
        <w:t xml:space="preserve"> albino rats. </w:t>
      </w:r>
      <w:r w:rsidRPr="00832DBF">
        <w:rPr>
          <w:rFonts w:cs="Times New Roman"/>
          <w:i/>
          <w:iCs/>
          <w:shd w:val="clear" w:color="auto" w:fill="FFFFFF"/>
        </w:rPr>
        <w:t>Pharmacological Reports</w:t>
      </w:r>
      <w:r w:rsidRPr="00832DBF">
        <w:rPr>
          <w:rFonts w:cs="Times New Roman"/>
          <w:shd w:val="clear" w:color="auto" w:fill="FFFFFF"/>
        </w:rPr>
        <w:t>, </w:t>
      </w:r>
      <w:r w:rsidRPr="00832DBF">
        <w:rPr>
          <w:rFonts w:cs="Times New Roman"/>
          <w:i/>
          <w:iCs/>
          <w:shd w:val="clear" w:color="auto" w:fill="FFFFFF"/>
        </w:rPr>
        <w:t>71</w:t>
      </w:r>
      <w:r w:rsidRPr="00832DBF">
        <w:rPr>
          <w:rFonts w:cs="Times New Roman"/>
          <w:shd w:val="clear" w:color="auto" w:fill="FFFFFF"/>
        </w:rPr>
        <w:t>(6), 983-993.</w:t>
      </w:r>
    </w:p>
    <w:p w14:paraId="096FEEF3" w14:textId="77777777" w:rsidR="00E22E6C" w:rsidRPr="00832DBF" w:rsidRDefault="00E22E6C" w:rsidP="00893ACF">
      <w:pPr>
        <w:spacing w:before="240" w:after="240" w:line="240" w:lineRule="auto"/>
        <w:rPr>
          <w:rFonts w:cs="Times New Roman"/>
          <w:szCs w:val="24"/>
          <w:shd w:val="clear" w:color="auto" w:fill="FFFFFF"/>
        </w:rPr>
      </w:pPr>
      <w:r w:rsidRPr="00832DBF">
        <w:rPr>
          <w:rFonts w:cs="Times New Roman"/>
          <w:szCs w:val="24"/>
          <w:shd w:val="clear" w:color="auto" w:fill="FFFFFF"/>
        </w:rPr>
        <w:t>Sinha, A. K. (1972). Colorimetric assay of catalase. </w:t>
      </w:r>
      <w:r w:rsidRPr="00832DBF">
        <w:rPr>
          <w:rFonts w:cs="Times New Roman"/>
          <w:i/>
          <w:iCs/>
          <w:szCs w:val="24"/>
          <w:shd w:val="clear" w:color="auto" w:fill="FFFFFF"/>
        </w:rPr>
        <w:t>Analytical biochemistry</w:t>
      </w:r>
      <w:r w:rsidRPr="00832DBF">
        <w:rPr>
          <w:rFonts w:cs="Times New Roman"/>
          <w:szCs w:val="24"/>
          <w:shd w:val="clear" w:color="auto" w:fill="FFFFFF"/>
        </w:rPr>
        <w:t>, </w:t>
      </w:r>
      <w:r w:rsidRPr="00832DBF">
        <w:rPr>
          <w:rFonts w:cs="Times New Roman"/>
          <w:i/>
          <w:iCs/>
          <w:szCs w:val="24"/>
          <w:shd w:val="clear" w:color="auto" w:fill="FFFFFF"/>
        </w:rPr>
        <w:t>47</w:t>
      </w:r>
      <w:r w:rsidRPr="00832DBF">
        <w:rPr>
          <w:rFonts w:cs="Times New Roman"/>
          <w:szCs w:val="24"/>
          <w:shd w:val="clear" w:color="auto" w:fill="FFFFFF"/>
        </w:rPr>
        <w:t>(2), 389-394.</w:t>
      </w:r>
    </w:p>
    <w:p w14:paraId="262E9B06" w14:textId="77777777" w:rsidR="00E22E6C" w:rsidRPr="00832DBF" w:rsidRDefault="00E22E6C" w:rsidP="00893ACF">
      <w:pPr>
        <w:spacing w:before="240" w:after="240" w:line="240" w:lineRule="auto"/>
        <w:rPr>
          <w:rFonts w:cs="Times New Roman"/>
          <w:szCs w:val="24"/>
          <w:shd w:val="clear" w:color="auto" w:fill="FFFFFF"/>
        </w:rPr>
      </w:pPr>
      <w:proofErr w:type="spellStart"/>
      <w:r w:rsidRPr="00832DBF">
        <w:rPr>
          <w:rFonts w:cs="Times New Roman"/>
          <w:szCs w:val="24"/>
          <w:shd w:val="clear" w:color="auto" w:fill="FFFFFF"/>
        </w:rPr>
        <w:t>Sobczak</w:t>
      </w:r>
      <w:proofErr w:type="spellEnd"/>
      <w:r w:rsidRPr="00832DBF">
        <w:rPr>
          <w:rFonts w:cs="Times New Roman"/>
          <w:szCs w:val="24"/>
          <w:shd w:val="clear" w:color="auto" w:fill="FFFFFF"/>
        </w:rPr>
        <w:t xml:space="preserve">, M., </w:t>
      </w:r>
      <w:proofErr w:type="spellStart"/>
      <w:r w:rsidRPr="00832DBF">
        <w:rPr>
          <w:rFonts w:cs="Times New Roman"/>
          <w:szCs w:val="24"/>
          <w:shd w:val="clear" w:color="auto" w:fill="FFFFFF"/>
        </w:rPr>
        <w:t>Sałaga</w:t>
      </w:r>
      <w:proofErr w:type="spellEnd"/>
      <w:r w:rsidRPr="00832DBF">
        <w:rPr>
          <w:rFonts w:cs="Times New Roman"/>
          <w:szCs w:val="24"/>
          <w:shd w:val="clear" w:color="auto" w:fill="FFFFFF"/>
        </w:rPr>
        <w:t xml:space="preserve">, M., </w:t>
      </w:r>
      <w:proofErr w:type="spellStart"/>
      <w:r w:rsidRPr="00832DBF">
        <w:rPr>
          <w:rFonts w:cs="Times New Roman"/>
          <w:szCs w:val="24"/>
          <w:shd w:val="clear" w:color="auto" w:fill="FFFFFF"/>
        </w:rPr>
        <w:t>Storr</w:t>
      </w:r>
      <w:proofErr w:type="spellEnd"/>
      <w:r w:rsidRPr="00832DBF">
        <w:rPr>
          <w:rFonts w:cs="Times New Roman"/>
          <w:szCs w:val="24"/>
          <w:shd w:val="clear" w:color="auto" w:fill="FFFFFF"/>
        </w:rPr>
        <w:t xml:space="preserve">, M. A., &amp; </w:t>
      </w:r>
      <w:proofErr w:type="spellStart"/>
      <w:r w:rsidRPr="00832DBF">
        <w:rPr>
          <w:rFonts w:cs="Times New Roman"/>
          <w:szCs w:val="24"/>
          <w:shd w:val="clear" w:color="auto" w:fill="FFFFFF"/>
        </w:rPr>
        <w:t>Fichna</w:t>
      </w:r>
      <w:proofErr w:type="spellEnd"/>
      <w:r w:rsidRPr="00832DBF">
        <w:rPr>
          <w:rFonts w:cs="Times New Roman"/>
          <w:szCs w:val="24"/>
          <w:shd w:val="clear" w:color="auto" w:fill="FFFFFF"/>
        </w:rPr>
        <w:t>, J. (2014). Physiology, signaling, and pharmacology of opioid receptors and their ligands in the gastrointestinal tract: current concepts and future perspectives. </w:t>
      </w:r>
      <w:r w:rsidRPr="00832DBF">
        <w:rPr>
          <w:rFonts w:cs="Times New Roman"/>
          <w:i/>
          <w:iCs/>
          <w:szCs w:val="24"/>
          <w:shd w:val="clear" w:color="auto" w:fill="FFFFFF"/>
        </w:rPr>
        <w:t>Journal of gastroenterology</w:t>
      </w:r>
      <w:r w:rsidRPr="00832DBF">
        <w:rPr>
          <w:rFonts w:cs="Times New Roman"/>
          <w:szCs w:val="24"/>
          <w:shd w:val="clear" w:color="auto" w:fill="FFFFFF"/>
        </w:rPr>
        <w:t>, </w:t>
      </w:r>
      <w:r w:rsidRPr="00832DBF">
        <w:rPr>
          <w:rFonts w:cs="Times New Roman"/>
          <w:i/>
          <w:iCs/>
          <w:szCs w:val="24"/>
          <w:shd w:val="clear" w:color="auto" w:fill="FFFFFF"/>
        </w:rPr>
        <w:t>49</w:t>
      </w:r>
      <w:r w:rsidRPr="00832DBF">
        <w:rPr>
          <w:rFonts w:cs="Times New Roman"/>
          <w:szCs w:val="24"/>
          <w:shd w:val="clear" w:color="auto" w:fill="FFFFFF"/>
        </w:rPr>
        <w:t>, 24-45.</w:t>
      </w:r>
    </w:p>
    <w:p w14:paraId="64FDF83D" w14:textId="77777777" w:rsidR="00E22E6C" w:rsidRPr="00832DBF" w:rsidRDefault="00E22E6C" w:rsidP="00893ACF">
      <w:pPr>
        <w:spacing w:before="240" w:line="240" w:lineRule="auto"/>
        <w:rPr>
          <w:rFonts w:cs="Times New Roman"/>
        </w:rPr>
      </w:pPr>
      <w:r w:rsidRPr="00832DBF">
        <w:rPr>
          <w:rFonts w:cs="Times New Roman"/>
        </w:rPr>
        <w:t xml:space="preserve">Thomas, K. R., Watt, J., Wu, C. M. J., </w:t>
      </w:r>
      <w:proofErr w:type="spellStart"/>
      <w:r w:rsidRPr="00832DBF">
        <w:rPr>
          <w:rFonts w:cs="Times New Roman"/>
        </w:rPr>
        <w:t>Akinrinoye</w:t>
      </w:r>
      <w:proofErr w:type="spellEnd"/>
      <w:r w:rsidRPr="00832DBF">
        <w:rPr>
          <w:rFonts w:cs="Times New Roman"/>
        </w:rPr>
        <w:t xml:space="preserve">, A., </w:t>
      </w:r>
      <w:proofErr w:type="spellStart"/>
      <w:r w:rsidRPr="00832DBF">
        <w:rPr>
          <w:rFonts w:cs="Times New Roman"/>
        </w:rPr>
        <w:t>Amjad</w:t>
      </w:r>
      <w:proofErr w:type="spellEnd"/>
      <w:r w:rsidRPr="00832DBF">
        <w:rPr>
          <w:rFonts w:cs="Times New Roman"/>
        </w:rPr>
        <w:t xml:space="preserve">, S., Colvin, L., &amp; Forget, P. (2022). Pain and opioid-induced gut microbial </w:t>
      </w:r>
      <w:proofErr w:type="spellStart"/>
      <w:r w:rsidRPr="00832DBF">
        <w:rPr>
          <w:rFonts w:cs="Times New Roman"/>
        </w:rPr>
        <w:t>dysbiosis</w:t>
      </w:r>
      <w:proofErr w:type="spellEnd"/>
      <w:r w:rsidRPr="00832DBF">
        <w:rPr>
          <w:rFonts w:cs="Times New Roman"/>
        </w:rPr>
        <w:t>. </w:t>
      </w:r>
      <w:r w:rsidRPr="00832DBF">
        <w:rPr>
          <w:rFonts w:cs="Times New Roman"/>
          <w:i/>
          <w:iCs/>
        </w:rPr>
        <w:t>Biomedicines</w:t>
      </w:r>
      <w:r w:rsidRPr="00832DBF">
        <w:rPr>
          <w:rFonts w:cs="Times New Roman"/>
        </w:rPr>
        <w:t>, </w:t>
      </w:r>
      <w:r w:rsidRPr="00832DBF">
        <w:rPr>
          <w:rFonts w:cs="Times New Roman"/>
          <w:i/>
          <w:iCs/>
        </w:rPr>
        <w:t>10</w:t>
      </w:r>
      <w:r w:rsidRPr="00832DBF">
        <w:rPr>
          <w:rFonts w:cs="Times New Roman"/>
        </w:rPr>
        <w:t>(8), 1815.</w:t>
      </w:r>
    </w:p>
    <w:p w14:paraId="7E292BCD" w14:textId="77777777" w:rsidR="00E22E6C" w:rsidRPr="00832DBF" w:rsidRDefault="00E22E6C" w:rsidP="00893ACF">
      <w:pPr>
        <w:spacing w:before="240" w:line="240" w:lineRule="auto"/>
        <w:rPr>
          <w:rFonts w:cs="Times New Roman"/>
        </w:rPr>
      </w:pPr>
      <w:proofErr w:type="spellStart"/>
      <w:r w:rsidRPr="00832DBF">
        <w:rPr>
          <w:rFonts w:cs="Times New Roman"/>
        </w:rPr>
        <w:t>Uniyal</w:t>
      </w:r>
      <w:proofErr w:type="spellEnd"/>
      <w:r w:rsidRPr="00832DBF">
        <w:rPr>
          <w:rFonts w:cs="Times New Roman"/>
        </w:rPr>
        <w:t xml:space="preserve">, A., </w:t>
      </w:r>
      <w:proofErr w:type="spellStart"/>
      <w:r w:rsidRPr="00832DBF">
        <w:rPr>
          <w:rFonts w:cs="Times New Roman"/>
        </w:rPr>
        <w:t>Gadepalli</w:t>
      </w:r>
      <w:proofErr w:type="spellEnd"/>
      <w:r w:rsidRPr="00832DBF">
        <w:rPr>
          <w:rFonts w:cs="Times New Roman"/>
        </w:rPr>
        <w:t xml:space="preserve">, A., </w:t>
      </w:r>
      <w:proofErr w:type="spellStart"/>
      <w:r w:rsidRPr="00832DBF">
        <w:rPr>
          <w:rFonts w:cs="Times New Roman"/>
        </w:rPr>
        <w:t>Akhilesh</w:t>
      </w:r>
      <w:proofErr w:type="spellEnd"/>
      <w:r w:rsidRPr="00832DBF">
        <w:rPr>
          <w:rFonts w:cs="Times New Roman"/>
        </w:rPr>
        <w:t>, &amp; Tiwari, V. (2020). Underpinning the neurobiological intricacies associated with opioid tolerance. </w:t>
      </w:r>
      <w:r w:rsidRPr="00832DBF">
        <w:rPr>
          <w:rFonts w:cs="Times New Roman"/>
          <w:i/>
          <w:iCs/>
        </w:rPr>
        <w:t>ACS chemical neuroscience</w:t>
      </w:r>
      <w:r w:rsidRPr="00832DBF">
        <w:rPr>
          <w:rFonts w:cs="Times New Roman"/>
        </w:rPr>
        <w:t>, </w:t>
      </w:r>
      <w:r w:rsidRPr="00832DBF">
        <w:rPr>
          <w:rFonts w:cs="Times New Roman"/>
          <w:i/>
          <w:iCs/>
        </w:rPr>
        <w:t>11</w:t>
      </w:r>
      <w:r w:rsidRPr="00832DBF">
        <w:rPr>
          <w:rFonts w:cs="Times New Roman"/>
        </w:rPr>
        <w:t>(6), 830-839.</w:t>
      </w:r>
    </w:p>
    <w:p w14:paraId="0C824A0B" w14:textId="77777777" w:rsidR="00E22E6C" w:rsidRPr="00832DBF" w:rsidRDefault="00E22E6C" w:rsidP="00893ACF">
      <w:pPr>
        <w:spacing w:before="240" w:after="240" w:line="240" w:lineRule="auto"/>
        <w:rPr>
          <w:rFonts w:cs="Times New Roman"/>
          <w:szCs w:val="24"/>
          <w:shd w:val="clear" w:color="auto" w:fill="FFFFFF"/>
        </w:rPr>
      </w:pPr>
      <w:proofErr w:type="spellStart"/>
      <w:r w:rsidRPr="00832DBF">
        <w:rPr>
          <w:rFonts w:cs="Times New Roman"/>
          <w:szCs w:val="24"/>
          <w:shd w:val="clear" w:color="auto" w:fill="FFFFFF"/>
        </w:rPr>
        <w:t>Vašková</w:t>
      </w:r>
      <w:proofErr w:type="spellEnd"/>
      <w:r w:rsidRPr="00832DBF">
        <w:rPr>
          <w:rFonts w:cs="Times New Roman"/>
          <w:szCs w:val="24"/>
          <w:shd w:val="clear" w:color="auto" w:fill="FFFFFF"/>
        </w:rPr>
        <w:t xml:space="preserve">, J., </w:t>
      </w:r>
      <w:proofErr w:type="spellStart"/>
      <w:r w:rsidRPr="00832DBF">
        <w:rPr>
          <w:rFonts w:cs="Times New Roman"/>
          <w:szCs w:val="24"/>
          <w:shd w:val="clear" w:color="auto" w:fill="FFFFFF"/>
        </w:rPr>
        <w:t>Kočan</w:t>
      </w:r>
      <w:proofErr w:type="spellEnd"/>
      <w:r w:rsidRPr="00832DBF">
        <w:rPr>
          <w:rFonts w:cs="Times New Roman"/>
          <w:szCs w:val="24"/>
          <w:shd w:val="clear" w:color="auto" w:fill="FFFFFF"/>
        </w:rPr>
        <w:t xml:space="preserve">, L., &amp; </w:t>
      </w:r>
      <w:proofErr w:type="spellStart"/>
      <w:r w:rsidRPr="00832DBF">
        <w:rPr>
          <w:rFonts w:cs="Times New Roman"/>
          <w:szCs w:val="24"/>
          <w:shd w:val="clear" w:color="auto" w:fill="FFFFFF"/>
        </w:rPr>
        <w:t>Vaško</w:t>
      </w:r>
      <w:proofErr w:type="spellEnd"/>
      <w:r w:rsidRPr="00832DBF">
        <w:rPr>
          <w:rFonts w:cs="Times New Roman"/>
          <w:szCs w:val="24"/>
          <w:shd w:val="clear" w:color="auto" w:fill="FFFFFF"/>
        </w:rPr>
        <w:t>, L. (2016). Oxidative stress and opioids. </w:t>
      </w:r>
      <w:r w:rsidRPr="00832DBF">
        <w:rPr>
          <w:rFonts w:cs="Times New Roman"/>
          <w:i/>
          <w:iCs/>
          <w:szCs w:val="24"/>
          <w:shd w:val="clear" w:color="auto" w:fill="FFFFFF"/>
        </w:rPr>
        <w:t>Global Journal of Anesthesiology</w:t>
      </w:r>
      <w:r w:rsidRPr="00832DBF">
        <w:rPr>
          <w:rFonts w:cs="Times New Roman"/>
          <w:szCs w:val="24"/>
          <w:shd w:val="clear" w:color="auto" w:fill="FFFFFF"/>
        </w:rPr>
        <w:t>, </w:t>
      </w:r>
      <w:r w:rsidRPr="00832DBF">
        <w:rPr>
          <w:rFonts w:cs="Times New Roman"/>
          <w:i/>
          <w:iCs/>
          <w:szCs w:val="24"/>
          <w:shd w:val="clear" w:color="auto" w:fill="FFFFFF"/>
        </w:rPr>
        <w:t>3</w:t>
      </w:r>
      <w:r w:rsidRPr="00832DBF">
        <w:rPr>
          <w:rFonts w:cs="Times New Roman"/>
          <w:szCs w:val="24"/>
          <w:shd w:val="clear" w:color="auto" w:fill="FFFFFF"/>
        </w:rPr>
        <w:t>(1), 020-029.</w:t>
      </w:r>
    </w:p>
    <w:p w14:paraId="7D5F3121" w14:textId="77777777" w:rsidR="00E22E6C" w:rsidRDefault="00E22E6C" w:rsidP="00F17B36">
      <w:pPr>
        <w:spacing w:before="240" w:after="0" w:line="240" w:lineRule="auto"/>
        <w:rPr>
          <w:rFonts w:cs="Times New Roman"/>
          <w:shd w:val="clear" w:color="auto" w:fill="FFFFFF"/>
        </w:rPr>
      </w:pPr>
      <w:r w:rsidRPr="00832DBF">
        <w:rPr>
          <w:rFonts w:cs="Times New Roman"/>
          <w:shd w:val="clear" w:color="auto" w:fill="FFFFFF"/>
        </w:rPr>
        <w:lastRenderedPageBreak/>
        <w:t>Wang, Y., Chen, Y., Zhang, X., Lu, Y., &amp; Chen, H. (2020). New insights in intestinal oxidative stress damage and the health intervention effects of nutrients: A review. </w:t>
      </w:r>
      <w:r w:rsidRPr="00832DBF">
        <w:rPr>
          <w:rFonts w:cs="Times New Roman"/>
          <w:i/>
          <w:iCs/>
          <w:shd w:val="clear" w:color="auto" w:fill="FFFFFF"/>
        </w:rPr>
        <w:t>Journal of Functional Foods</w:t>
      </w:r>
      <w:r w:rsidRPr="00832DBF">
        <w:rPr>
          <w:rFonts w:cs="Times New Roman"/>
          <w:shd w:val="clear" w:color="auto" w:fill="FFFFFF"/>
        </w:rPr>
        <w:t>, </w:t>
      </w:r>
      <w:r w:rsidRPr="00832DBF">
        <w:rPr>
          <w:rFonts w:cs="Times New Roman"/>
          <w:i/>
          <w:iCs/>
          <w:shd w:val="clear" w:color="auto" w:fill="FFFFFF"/>
        </w:rPr>
        <w:t>75</w:t>
      </w:r>
      <w:r w:rsidRPr="00832DBF">
        <w:rPr>
          <w:rFonts w:cs="Times New Roman"/>
          <w:shd w:val="clear" w:color="auto" w:fill="FFFFFF"/>
        </w:rPr>
        <w:t>, 104248.</w:t>
      </w:r>
    </w:p>
    <w:p w14:paraId="70C22240" w14:textId="77777777" w:rsidR="00686106" w:rsidRPr="00FB315A" w:rsidRDefault="00686106" w:rsidP="00FB315A">
      <w:pPr>
        <w:spacing w:after="240" w:line="240" w:lineRule="auto"/>
        <w:rPr>
          <w:rFonts w:cs="Times New Roman"/>
          <w:szCs w:val="24"/>
        </w:rPr>
      </w:pPr>
    </w:p>
    <w:sectPr w:rsidR="00686106" w:rsidRPr="00FB315A" w:rsidSect="00EA39E3">
      <w:headerReference w:type="even" r:id="rId9"/>
      <w:headerReference w:type="default" r:id="rId10"/>
      <w:footerReference w:type="even" r:id="rId11"/>
      <w:footerReference w:type="default" r:id="rId12"/>
      <w:headerReference w:type="first" r:id="rId13"/>
      <w:footerReference w:type="first" r:id="rId14"/>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B39338" w14:textId="77777777" w:rsidR="005C2ADF" w:rsidRDefault="005C2ADF" w:rsidP="008B6046">
      <w:pPr>
        <w:spacing w:after="0" w:line="240" w:lineRule="auto"/>
      </w:pPr>
      <w:r>
        <w:separator/>
      </w:r>
    </w:p>
  </w:endnote>
  <w:endnote w:type="continuationSeparator" w:id="0">
    <w:p w14:paraId="283A111C" w14:textId="77777777" w:rsidR="005C2ADF" w:rsidRDefault="005C2ADF" w:rsidP="008B6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C2D1E" w14:textId="77777777" w:rsidR="008B6046" w:rsidRDefault="008B60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70CB0" w14:textId="77777777" w:rsidR="008B6046" w:rsidRDefault="008B60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F2AB3" w14:textId="77777777" w:rsidR="008B6046" w:rsidRDefault="008B60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49BA2B" w14:textId="77777777" w:rsidR="005C2ADF" w:rsidRDefault="005C2ADF" w:rsidP="008B6046">
      <w:pPr>
        <w:spacing w:after="0" w:line="240" w:lineRule="auto"/>
      </w:pPr>
      <w:r>
        <w:separator/>
      </w:r>
    </w:p>
  </w:footnote>
  <w:footnote w:type="continuationSeparator" w:id="0">
    <w:p w14:paraId="565D682C" w14:textId="77777777" w:rsidR="005C2ADF" w:rsidRDefault="005C2ADF" w:rsidP="008B6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EFD3B" w14:textId="6A3468E5" w:rsidR="008B6046" w:rsidRDefault="005C2ADF">
    <w:pPr>
      <w:pStyle w:val="Header"/>
    </w:pPr>
    <w:r>
      <w:rPr>
        <w:noProof/>
      </w:rPr>
      <w:pict w14:anchorId="755573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335AA" w14:textId="26E9B116" w:rsidR="008B6046" w:rsidRDefault="005C2ADF">
    <w:pPr>
      <w:pStyle w:val="Header"/>
    </w:pPr>
    <w:r>
      <w:rPr>
        <w:noProof/>
      </w:rPr>
      <w:pict w14:anchorId="66640A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68F60" w14:textId="386FD979" w:rsidR="008B6046" w:rsidRDefault="005C2ADF">
    <w:pPr>
      <w:pStyle w:val="Header"/>
    </w:pPr>
    <w:r>
      <w:rPr>
        <w:noProof/>
      </w:rPr>
      <w:pict w14:anchorId="6E25BA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25A45"/>
    <w:multiLevelType w:val="hybridMultilevel"/>
    <w:tmpl w:val="AA9EFA52"/>
    <w:lvl w:ilvl="0" w:tplc="0478BF58">
      <w:start w:val="1"/>
      <w:numFmt w:val="decimal"/>
      <w:lvlText w:val="%1."/>
      <w:lvlJc w:val="left"/>
      <w:pPr>
        <w:ind w:left="720" w:hanging="360"/>
      </w:pPr>
    </w:lvl>
    <w:lvl w:ilvl="1" w:tplc="33C0C78A" w:tentative="1">
      <w:start w:val="1"/>
      <w:numFmt w:val="lowerLetter"/>
      <w:lvlText w:val="%2."/>
      <w:lvlJc w:val="left"/>
      <w:pPr>
        <w:ind w:left="1440" w:hanging="360"/>
      </w:pPr>
    </w:lvl>
    <w:lvl w:ilvl="2" w:tplc="7776492E" w:tentative="1">
      <w:start w:val="1"/>
      <w:numFmt w:val="lowerRoman"/>
      <w:lvlText w:val="%3."/>
      <w:lvlJc w:val="right"/>
      <w:pPr>
        <w:ind w:left="2160" w:hanging="180"/>
      </w:pPr>
    </w:lvl>
    <w:lvl w:ilvl="3" w:tplc="EB4C6ECE" w:tentative="1">
      <w:start w:val="1"/>
      <w:numFmt w:val="decimal"/>
      <w:lvlText w:val="%4."/>
      <w:lvlJc w:val="left"/>
      <w:pPr>
        <w:ind w:left="2880" w:hanging="360"/>
      </w:pPr>
    </w:lvl>
    <w:lvl w:ilvl="4" w:tplc="6BF06EEE" w:tentative="1">
      <w:start w:val="1"/>
      <w:numFmt w:val="lowerLetter"/>
      <w:lvlText w:val="%5."/>
      <w:lvlJc w:val="left"/>
      <w:pPr>
        <w:ind w:left="3600" w:hanging="360"/>
      </w:pPr>
    </w:lvl>
    <w:lvl w:ilvl="5" w:tplc="1E5E6862" w:tentative="1">
      <w:start w:val="1"/>
      <w:numFmt w:val="lowerRoman"/>
      <w:lvlText w:val="%6."/>
      <w:lvlJc w:val="right"/>
      <w:pPr>
        <w:ind w:left="4320" w:hanging="180"/>
      </w:pPr>
    </w:lvl>
    <w:lvl w:ilvl="6" w:tplc="FC1C5830" w:tentative="1">
      <w:start w:val="1"/>
      <w:numFmt w:val="decimal"/>
      <w:lvlText w:val="%7."/>
      <w:lvlJc w:val="left"/>
      <w:pPr>
        <w:ind w:left="5040" w:hanging="360"/>
      </w:pPr>
    </w:lvl>
    <w:lvl w:ilvl="7" w:tplc="C1707E18" w:tentative="1">
      <w:start w:val="1"/>
      <w:numFmt w:val="lowerLetter"/>
      <w:lvlText w:val="%8."/>
      <w:lvlJc w:val="left"/>
      <w:pPr>
        <w:ind w:left="5760" w:hanging="360"/>
      </w:pPr>
    </w:lvl>
    <w:lvl w:ilvl="8" w:tplc="CAD4D5D8" w:tentative="1">
      <w:start w:val="1"/>
      <w:numFmt w:val="lowerRoman"/>
      <w:lvlText w:val="%9."/>
      <w:lvlJc w:val="right"/>
      <w:pPr>
        <w:ind w:left="6480" w:hanging="180"/>
      </w:pPr>
    </w:lvl>
  </w:abstractNum>
  <w:abstractNum w:abstractNumId="1" w15:restartNumberingAfterBreak="0">
    <w:nsid w:val="5F300A48"/>
    <w:multiLevelType w:val="hybridMultilevel"/>
    <w:tmpl w:val="260280E4"/>
    <w:lvl w:ilvl="0" w:tplc="862818EC">
      <w:start w:val="1"/>
      <w:numFmt w:val="decimal"/>
      <w:lvlText w:val="%1."/>
      <w:lvlJc w:val="left"/>
      <w:pPr>
        <w:ind w:left="720" w:hanging="360"/>
      </w:pPr>
    </w:lvl>
    <w:lvl w:ilvl="1" w:tplc="72280314" w:tentative="1">
      <w:start w:val="1"/>
      <w:numFmt w:val="lowerLetter"/>
      <w:lvlText w:val="%2."/>
      <w:lvlJc w:val="left"/>
      <w:pPr>
        <w:ind w:left="1440" w:hanging="360"/>
      </w:pPr>
    </w:lvl>
    <w:lvl w:ilvl="2" w:tplc="7084F53A" w:tentative="1">
      <w:start w:val="1"/>
      <w:numFmt w:val="lowerRoman"/>
      <w:lvlText w:val="%3."/>
      <w:lvlJc w:val="right"/>
      <w:pPr>
        <w:ind w:left="2160" w:hanging="180"/>
      </w:pPr>
    </w:lvl>
    <w:lvl w:ilvl="3" w:tplc="6B145910" w:tentative="1">
      <w:start w:val="1"/>
      <w:numFmt w:val="decimal"/>
      <w:lvlText w:val="%4."/>
      <w:lvlJc w:val="left"/>
      <w:pPr>
        <w:ind w:left="2880" w:hanging="360"/>
      </w:pPr>
    </w:lvl>
    <w:lvl w:ilvl="4" w:tplc="2D8A6922" w:tentative="1">
      <w:start w:val="1"/>
      <w:numFmt w:val="lowerLetter"/>
      <w:lvlText w:val="%5."/>
      <w:lvlJc w:val="left"/>
      <w:pPr>
        <w:ind w:left="3600" w:hanging="360"/>
      </w:pPr>
    </w:lvl>
    <w:lvl w:ilvl="5" w:tplc="9BDA83A2" w:tentative="1">
      <w:start w:val="1"/>
      <w:numFmt w:val="lowerRoman"/>
      <w:lvlText w:val="%6."/>
      <w:lvlJc w:val="right"/>
      <w:pPr>
        <w:ind w:left="4320" w:hanging="180"/>
      </w:pPr>
    </w:lvl>
    <w:lvl w:ilvl="6" w:tplc="600072EE" w:tentative="1">
      <w:start w:val="1"/>
      <w:numFmt w:val="decimal"/>
      <w:lvlText w:val="%7."/>
      <w:lvlJc w:val="left"/>
      <w:pPr>
        <w:ind w:left="5040" w:hanging="360"/>
      </w:pPr>
    </w:lvl>
    <w:lvl w:ilvl="7" w:tplc="88CA3E84" w:tentative="1">
      <w:start w:val="1"/>
      <w:numFmt w:val="lowerLetter"/>
      <w:lvlText w:val="%8."/>
      <w:lvlJc w:val="left"/>
      <w:pPr>
        <w:ind w:left="5760" w:hanging="360"/>
      </w:pPr>
    </w:lvl>
    <w:lvl w:ilvl="8" w:tplc="C820E5E0"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E0E"/>
    <w:rsid w:val="000574A9"/>
    <w:rsid w:val="000575FC"/>
    <w:rsid w:val="00137647"/>
    <w:rsid w:val="00142A15"/>
    <w:rsid w:val="001758F6"/>
    <w:rsid w:val="00194463"/>
    <w:rsid w:val="001C18AF"/>
    <w:rsid w:val="001E5D4E"/>
    <w:rsid w:val="002106B8"/>
    <w:rsid w:val="002C4781"/>
    <w:rsid w:val="002C6D02"/>
    <w:rsid w:val="002C7135"/>
    <w:rsid w:val="002D79CA"/>
    <w:rsid w:val="002F09D9"/>
    <w:rsid w:val="00315D5B"/>
    <w:rsid w:val="00376FA9"/>
    <w:rsid w:val="003A1033"/>
    <w:rsid w:val="003B57DB"/>
    <w:rsid w:val="003F076F"/>
    <w:rsid w:val="00410D04"/>
    <w:rsid w:val="00460CF0"/>
    <w:rsid w:val="0048123A"/>
    <w:rsid w:val="004B19B4"/>
    <w:rsid w:val="004C4745"/>
    <w:rsid w:val="00524604"/>
    <w:rsid w:val="005257F5"/>
    <w:rsid w:val="00526A25"/>
    <w:rsid w:val="00527AC8"/>
    <w:rsid w:val="0054160E"/>
    <w:rsid w:val="00572124"/>
    <w:rsid w:val="00590A4E"/>
    <w:rsid w:val="0059403E"/>
    <w:rsid w:val="00597D56"/>
    <w:rsid w:val="005B2F3C"/>
    <w:rsid w:val="005B42ED"/>
    <w:rsid w:val="005C2ADF"/>
    <w:rsid w:val="00600E0E"/>
    <w:rsid w:val="00632800"/>
    <w:rsid w:val="00686106"/>
    <w:rsid w:val="006B436A"/>
    <w:rsid w:val="00713283"/>
    <w:rsid w:val="00737CD2"/>
    <w:rsid w:val="00740623"/>
    <w:rsid w:val="007538A7"/>
    <w:rsid w:val="0076533F"/>
    <w:rsid w:val="0076594A"/>
    <w:rsid w:val="00766875"/>
    <w:rsid w:val="00777F0B"/>
    <w:rsid w:val="007A09B8"/>
    <w:rsid w:val="007A3B3A"/>
    <w:rsid w:val="007D4A1A"/>
    <w:rsid w:val="007E1418"/>
    <w:rsid w:val="007E61D7"/>
    <w:rsid w:val="0080238F"/>
    <w:rsid w:val="00832DBF"/>
    <w:rsid w:val="008648C0"/>
    <w:rsid w:val="00893ACF"/>
    <w:rsid w:val="008B6046"/>
    <w:rsid w:val="00933173"/>
    <w:rsid w:val="00947D4B"/>
    <w:rsid w:val="00975E2E"/>
    <w:rsid w:val="00A22B08"/>
    <w:rsid w:val="00A274D2"/>
    <w:rsid w:val="00AD223D"/>
    <w:rsid w:val="00AE5BE9"/>
    <w:rsid w:val="00AF4C96"/>
    <w:rsid w:val="00B42706"/>
    <w:rsid w:val="00B55890"/>
    <w:rsid w:val="00BC6988"/>
    <w:rsid w:val="00BD6FE0"/>
    <w:rsid w:val="00BF3304"/>
    <w:rsid w:val="00C76963"/>
    <w:rsid w:val="00CD1135"/>
    <w:rsid w:val="00CD16F2"/>
    <w:rsid w:val="00CF2029"/>
    <w:rsid w:val="00CF2A21"/>
    <w:rsid w:val="00D117FA"/>
    <w:rsid w:val="00D23CC1"/>
    <w:rsid w:val="00D915AB"/>
    <w:rsid w:val="00E22E6C"/>
    <w:rsid w:val="00E26EE3"/>
    <w:rsid w:val="00E33812"/>
    <w:rsid w:val="00E62E2A"/>
    <w:rsid w:val="00E970EE"/>
    <w:rsid w:val="00E972C5"/>
    <w:rsid w:val="00EA39E3"/>
    <w:rsid w:val="00F17B36"/>
    <w:rsid w:val="00F22EB5"/>
    <w:rsid w:val="00F977F9"/>
    <w:rsid w:val="00FB315A"/>
    <w:rsid w:val="00FC1322"/>
    <w:rsid w:val="00FD3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DB6E099"/>
  <w15:docId w15:val="{831376BB-2E08-4B37-82A7-FE5530417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48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600E0E"/>
    <w:pPr>
      <w:spacing w:after="0" w:line="240" w:lineRule="auto"/>
      <w:jc w:val="left"/>
    </w:pPr>
    <w:rPr>
      <w:rFonts w:ascii="Calibri" w:eastAsia="Calibri" w:hAnsi="Calibri" w:cs="Calibri"/>
      <w:szCs w:val="20"/>
    </w:rPr>
  </w:style>
  <w:style w:type="character" w:customStyle="1" w:styleId="BodyTextChar">
    <w:name w:val="Body Text Char"/>
    <w:basedOn w:val="DefaultParagraphFont"/>
    <w:link w:val="BodyText"/>
    <w:rsid w:val="00600E0E"/>
    <w:rPr>
      <w:rFonts w:ascii="Calibri" w:eastAsia="Calibri" w:hAnsi="Calibri" w:cs="Calibri"/>
      <w:szCs w:val="20"/>
    </w:rPr>
  </w:style>
  <w:style w:type="table" w:styleId="TableGrid">
    <w:name w:val="Table Grid"/>
    <w:basedOn w:val="TableNormal"/>
    <w:uiPriority w:val="59"/>
    <w:rsid w:val="00142A15"/>
    <w:pPr>
      <w:spacing w:after="0" w:line="240" w:lineRule="auto"/>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2A15"/>
    <w:pPr>
      <w:spacing w:after="0" w:line="240" w:lineRule="auto"/>
      <w:ind w:left="720"/>
      <w:contextualSpacing/>
      <w:jc w:val="left"/>
    </w:pPr>
    <w:rPr>
      <w:rFonts w:ascii="Calibri" w:eastAsia="Calibri" w:hAnsi="Calibri" w:cs="Calibri"/>
      <w:sz w:val="22"/>
      <w:szCs w:val="20"/>
    </w:rPr>
  </w:style>
  <w:style w:type="paragraph" w:styleId="BalloonText">
    <w:name w:val="Balloon Text"/>
    <w:basedOn w:val="Normal"/>
    <w:link w:val="BalloonTextChar"/>
    <w:uiPriority w:val="99"/>
    <w:semiHidden/>
    <w:unhideWhenUsed/>
    <w:rsid w:val="00FB31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15A"/>
    <w:rPr>
      <w:rFonts w:ascii="Tahoma" w:hAnsi="Tahoma" w:cs="Tahoma"/>
      <w:sz w:val="16"/>
      <w:szCs w:val="16"/>
    </w:rPr>
  </w:style>
  <w:style w:type="paragraph" w:styleId="Header">
    <w:name w:val="header"/>
    <w:basedOn w:val="Normal"/>
    <w:link w:val="HeaderChar"/>
    <w:uiPriority w:val="99"/>
    <w:unhideWhenUsed/>
    <w:rsid w:val="008B60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046"/>
  </w:style>
  <w:style w:type="paragraph" w:styleId="Footer">
    <w:name w:val="footer"/>
    <w:basedOn w:val="Normal"/>
    <w:link w:val="FooterChar"/>
    <w:uiPriority w:val="99"/>
    <w:unhideWhenUsed/>
    <w:rsid w:val="008B60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88191">
      <w:bodyDiv w:val="1"/>
      <w:marLeft w:val="0"/>
      <w:marRight w:val="0"/>
      <w:marTop w:val="0"/>
      <w:marBottom w:val="0"/>
      <w:divBdr>
        <w:top w:val="none" w:sz="0" w:space="0" w:color="auto"/>
        <w:left w:val="none" w:sz="0" w:space="0" w:color="auto"/>
        <w:bottom w:val="none" w:sz="0" w:space="0" w:color="auto"/>
        <w:right w:val="none" w:sz="0" w:space="0" w:color="auto"/>
      </w:divBdr>
    </w:div>
    <w:div w:id="555822933">
      <w:bodyDiv w:val="1"/>
      <w:marLeft w:val="0"/>
      <w:marRight w:val="0"/>
      <w:marTop w:val="0"/>
      <w:marBottom w:val="0"/>
      <w:divBdr>
        <w:top w:val="none" w:sz="0" w:space="0" w:color="auto"/>
        <w:left w:val="none" w:sz="0" w:space="0" w:color="auto"/>
        <w:bottom w:val="none" w:sz="0" w:space="0" w:color="auto"/>
        <w:right w:val="none" w:sz="0" w:space="0" w:color="auto"/>
      </w:divBdr>
    </w:div>
    <w:div w:id="659848199">
      <w:bodyDiv w:val="1"/>
      <w:marLeft w:val="0"/>
      <w:marRight w:val="0"/>
      <w:marTop w:val="0"/>
      <w:marBottom w:val="0"/>
      <w:divBdr>
        <w:top w:val="none" w:sz="0" w:space="0" w:color="auto"/>
        <w:left w:val="none" w:sz="0" w:space="0" w:color="auto"/>
        <w:bottom w:val="none" w:sz="0" w:space="0" w:color="auto"/>
        <w:right w:val="none" w:sz="0" w:space="0" w:color="auto"/>
      </w:divBdr>
    </w:div>
    <w:div w:id="1164662730">
      <w:bodyDiv w:val="1"/>
      <w:marLeft w:val="0"/>
      <w:marRight w:val="0"/>
      <w:marTop w:val="0"/>
      <w:marBottom w:val="0"/>
      <w:divBdr>
        <w:top w:val="none" w:sz="0" w:space="0" w:color="auto"/>
        <w:left w:val="none" w:sz="0" w:space="0" w:color="auto"/>
        <w:bottom w:val="none" w:sz="0" w:space="0" w:color="auto"/>
        <w:right w:val="none" w:sz="0" w:space="0" w:color="auto"/>
      </w:divBdr>
    </w:div>
    <w:div w:id="1278291981">
      <w:bodyDiv w:val="1"/>
      <w:marLeft w:val="0"/>
      <w:marRight w:val="0"/>
      <w:marTop w:val="0"/>
      <w:marBottom w:val="0"/>
      <w:divBdr>
        <w:top w:val="none" w:sz="0" w:space="0" w:color="auto"/>
        <w:left w:val="none" w:sz="0" w:space="0" w:color="auto"/>
        <w:bottom w:val="none" w:sz="0" w:space="0" w:color="auto"/>
        <w:right w:val="none" w:sz="0" w:space="0" w:color="auto"/>
      </w:divBdr>
    </w:div>
    <w:div w:id="161043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839</TotalTime>
  <Pages>12</Pages>
  <Words>4778</Words>
  <Characters>27236</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SIEMPRE</dc:creator>
  <cp:lastModifiedBy>SDI CPU 1127</cp:lastModifiedBy>
  <cp:revision>49</cp:revision>
  <dcterms:created xsi:type="dcterms:W3CDTF">2024-09-06T14:14:00Z</dcterms:created>
  <dcterms:modified xsi:type="dcterms:W3CDTF">2025-03-22T05:26:00Z</dcterms:modified>
</cp:coreProperties>
</file>